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DFBDF6">
      <w:pPr>
        <w:pStyle w:val="27"/>
        <w:rPr>
          <w:rFonts w:hint="eastAsia"/>
          <w:color w:val="auto"/>
          <w:highlight w:val="none"/>
        </w:rPr>
      </w:pPr>
      <w:bookmarkStart w:id="23" w:name="_GoBack"/>
    </w:p>
    <w:p w14:paraId="7676D256">
      <w:pPr>
        <w:pStyle w:val="13"/>
        <w:ind w:firstLine="420"/>
        <w:rPr>
          <w:rFonts w:hint="eastAsia"/>
          <w:color w:val="auto"/>
          <w:highlight w:val="none"/>
        </w:rPr>
      </w:pPr>
    </w:p>
    <w:p w14:paraId="535F62A4">
      <w:pPr>
        <w:pStyle w:val="27"/>
        <w:jc w:val="center"/>
        <w:rPr>
          <w:rFonts w:hint="eastAsia" w:ascii="华文新魏" w:eastAsia="华文新魏"/>
          <w:b/>
          <w:bCs/>
          <w:color w:val="auto"/>
          <w:spacing w:val="80"/>
          <w:sz w:val="60"/>
          <w:szCs w:val="60"/>
          <w:highlight w:val="none"/>
        </w:rPr>
      </w:pPr>
      <w:r>
        <w:rPr>
          <w:rFonts w:hint="eastAsia" w:ascii="华文新魏" w:eastAsia="华文新魏"/>
          <w:b/>
          <w:bCs/>
          <w:color w:val="auto"/>
          <w:spacing w:val="80"/>
          <w:sz w:val="60"/>
          <w:szCs w:val="60"/>
          <w:highlight w:val="none"/>
        </w:rPr>
        <w:t>云之龙咨询集团有限公司</w:t>
      </w:r>
    </w:p>
    <w:p w14:paraId="7FCF3382">
      <w:pPr>
        <w:pStyle w:val="27"/>
        <w:jc w:val="center"/>
        <w:rPr>
          <w:rFonts w:hint="eastAsia" w:ascii="华文新魏" w:eastAsia="华文新魏"/>
          <w:b/>
          <w:bCs/>
          <w:color w:val="auto"/>
          <w:spacing w:val="80"/>
          <w:sz w:val="72"/>
          <w:highlight w:val="none"/>
        </w:rPr>
      </w:pPr>
    </w:p>
    <w:p w14:paraId="772863E8">
      <w:pPr>
        <w:pStyle w:val="27"/>
        <w:jc w:val="center"/>
        <w:rPr>
          <w:rFonts w:ascii="楷体_GB2312" w:eastAsia="楷体_GB2312"/>
          <w:b/>
          <w:bCs/>
          <w:color w:val="auto"/>
          <w:sz w:val="72"/>
          <w:highlight w:val="none"/>
        </w:rPr>
      </w:pPr>
    </w:p>
    <w:p w14:paraId="2EFC96A4">
      <w:pPr>
        <w:pStyle w:val="27"/>
        <w:jc w:val="center"/>
        <w:rPr>
          <w:rFonts w:hint="eastAsia"/>
          <w:color w:val="auto"/>
          <w:highlight w:val="none"/>
        </w:rPr>
      </w:pPr>
    </w:p>
    <w:p w14:paraId="0A7FEFAC">
      <w:pPr>
        <w:spacing w:line="1400" w:lineRule="exact"/>
        <w:jc w:val="center"/>
        <w:rPr>
          <w:rFonts w:hint="eastAsia" w:ascii="楷体_GB2312" w:eastAsia="楷体_GB2312"/>
          <w:b/>
          <w:color w:val="auto"/>
          <w:spacing w:val="60"/>
          <w:sz w:val="132"/>
          <w:szCs w:val="132"/>
          <w:highlight w:val="none"/>
        </w:rPr>
      </w:pPr>
      <w:r>
        <w:rPr>
          <w:rFonts w:hint="eastAsia" w:ascii="楷体_GB2312" w:eastAsia="楷体_GB2312"/>
          <w:b/>
          <w:color w:val="auto"/>
          <w:spacing w:val="60"/>
          <w:sz w:val="132"/>
          <w:szCs w:val="132"/>
          <w:highlight w:val="none"/>
        </w:rPr>
        <w:t>招标文件</w:t>
      </w:r>
    </w:p>
    <w:p w14:paraId="4B3E064D">
      <w:pPr>
        <w:pStyle w:val="27"/>
        <w:rPr>
          <w:rFonts w:hint="eastAsia"/>
          <w:color w:val="auto"/>
          <w:highlight w:val="none"/>
        </w:rPr>
      </w:pPr>
    </w:p>
    <w:p w14:paraId="2A305266">
      <w:pPr>
        <w:pStyle w:val="27"/>
        <w:ind w:firstLine="3885" w:firstLineChars="1850"/>
        <w:rPr>
          <w:rFonts w:hint="eastAsia"/>
          <w:color w:val="auto"/>
          <w:highlight w:val="none"/>
        </w:rPr>
      </w:pPr>
    </w:p>
    <w:p w14:paraId="40335B8D">
      <w:pPr>
        <w:pStyle w:val="27"/>
        <w:rPr>
          <w:rFonts w:hint="eastAsia"/>
          <w:color w:val="auto"/>
          <w:highlight w:val="none"/>
        </w:rPr>
      </w:pPr>
    </w:p>
    <w:p w14:paraId="3E8E8482">
      <w:pPr>
        <w:pStyle w:val="27"/>
        <w:rPr>
          <w:rFonts w:hint="eastAsia"/>
          <w:color w:val="auto"/>
          <w:highlight w:val="none"/>
        </w:rPr>
      </w:pPr>
    </w:p>
    <w:p w14:paraId="337A0D68">
      <w:pPr>
        <w:pStyle w:val="27"/>
        <w:rPr>
          <w:rFonts w:hint="eastAsia"/>
          <w:color w:val="auto"/>
          <w:highlight w:val="none"/>
        </w:rPr>
      </w:pPr>
    </w:p>
    <w:p w14:paraId="5BA39BBE">
      <w:pPr>
        <w:ind w:left="2823" w:leftChars="608" w:hanging="1546" w:hangingChars="500"/>
        <w:rPr>
          <w:rFonts w:hint="eastAsia" w:ascii="宋体" w:hAnsi="宋体" w:eastAsia="宋体"/>
          <w:b/>
          <w:bCs/>
          <w:color w:val="auto"/>
          <w:spacing w:val="-6"/>
          <w:sz w:val="32"/>
          <w:highlight w:val="none"/>
          <w:lang w:eastAsia="zh-CN"/>
        </w:rPr>
      </w:pPr>
      <w:r>
        <w:rPr>
          <w:rFonts w:hint="eastAsia" w:ascii="宋体" w:hAnsi="宋体"/>
          <w:b/>
          <w:bCs/>
          <w:color w:val="auto"/>
          <w:spacing w:val="-6"/>
          <w:sz w:val="32"/>
          <w:highlight w:val="none"/>
        </w:rPr>
        <w:t>项目名称：桂林市中西医结合医院医用中心负压吸引及医用压缩空气系统采购项目</w:t>
      </w:r>
    </w:p>
    <w:p w14:paraId="4E70F37F">
      <w:pPr>
        <w:ind w:firstLine="1237" w:firstLineChars="400"/>
        <w:rPr>
          <w:rFonts w:hint="eastAsia" w:ascii="宋体" w:hAnsi="宋体" w:eastAsia="宋体"/>
          <w:b/>
          <w:bCs/>
          <w:color w:val="auto"/>
          <w:spacing w:val="-6"/>
          <w:sz w:val="32"/>
          <w:highlight w:val="none"/>
          <w:lang w:eastAsia="zh-CN"/>
        </w:rPr>
      </w:pPr>
      <w:r>
        <w:rPr>
          <w:rFonts w:hint="eastAsia" w:ascii="宋体" w:hAnsi="宋体"/>
          <w:b/>
          <w:bCs/>
          <w:color w:val="auto"/>
          <w:spacing w:val="-6"/>
          <w:sz w:val="32"/>
          <w:highlight w:val="none"/>
        </w:rPr>
        <w:t>项目编号：</w:t>
      </w:r>
      <w:r>
        <w:rPr>
          <w:rFonts w:hint="eastAsia" w:ascii="宋体" w:hAnsi="宋体"/>
          <w:b/>
          <w:bCs/>
          <w:color w:val="auto"/>
          <w:spacing w:val="-6"/>
          <w:sz w:val="32"/>
          <w:highlight w:val="none"/>
          <w:lang w:eastAsia="zh-CN"/>
        </w:rPr>
        <w:t>GLZC2025-G1-990278-YZLZ</w:t>
      </w:r>
    </w:p>
    <w:p w14:paraId="53FA4F76">
      <w:pPr>
        <w:ind w:firstLine="1237" w:firstLineChars="400"/>
        <w:rPr>
          <w:rFonts w:hint="eastAsia" w:ascii="宋体" w:hAnsi="宋体" w:eastAsia="宋体"/>
          <w:b/>
          <w:bCs/>
          <w:color w:val="auto"/>
          <w:spacing w:val="-6"/>
          <w:sz w:val="32"/>
          <w:highlight w:val="none"/>
          <w:lang w:eastAsia="zh-CN"/>
        </w:rPr>
      </w:pPr>
      <w:r>
        <w:rPr>
          <w:rFonts w:hint="eastAsia" w:ascii="宋体" w:hAnsi="宋体"/>
          <w:b/>
          <w:bCs/>
          <w:color w:val="auto"/>
          <w:spacing w:val="-6"/>
          <w:sz w:val="32"/>
          <w:highlight w:val="none"/>
        </w:rPr>
        <w:t>代理编号</w:t>
      </w:r>
      <w:r>
        <w:rPr>
          <w:rFonts w:hint="eastAsia" w:ascii="宋体" w:hAnsi="宋体"/>
          <w:b/>
          <w:bCs/>
          <w:color w:val="auto"/>
          <w:spacing w:val="-6"/>
          <w:sz w:val="32"/>
          <w:highlight w:val="none"/>
          <w:lang w:eastAsia="zh-CN"/>
        </w:rPr>
        <w:t>：</w:t>
      </w:r>
      <w:r>
        <w:rPr>
          <w:rFonts w:hint="eastAsia" w:ascii="宋体" w:hAnsi="宋体"/>
          <w:bCs/>
          <w:color w:val="auto"/>
          <w:szCs w:val="21"/>
          <w:highlight w:val="none"/>
        </w:rPr>
        <w:t xml:space="preserve"> </w:t>
      </w:r>
      <w:r>
        <w:rPr>
          <w:rFonts w:hint="eastAsia" w:ascii="宋体" w:hAnsi="宋体"/>
          <w:b/>
          <w:bCs/>
          <w:color w:val="auto"/>
          <w:spacing w:val="-6"/>
          <w:sz w:val="32"/>
          <w:highlight w:val="none"/>
          <w:lang w:eastAsia="zh-CN"/>
        </w:rPr>
        <w:t>YZLGL2025-G1-041-GLZC</w:t>
      </w:r>
    </w:p>
    <w:p w14:paraId="4EA4F505">
      <w:pPr>
        <w:ind w:left="-2" w:leftChars="-1" w:firstLine="1446" w:firstLineChars="400"/>
        <w:rPr>
          <w:rFonts w:hint="eastAsia"/>
          <w:color w:val="auto"/>
          <w:highlight w:val="none"/>
        </w:rPr>
      </w:pPr>
      <w:r>
        <w:rPr>
          <w:rFonts w:hint="eastAsia" w:ascii="宋体" w:hAnsi="宋体"/>
          <w:b/>
          <w:bCs/>
          <w:color w:val="auto"/>
          <w:sz w:val="36"/>
          <w:highlight w:val="none"/>
        </w:rPr>
        <w:t xml:space="preserve">        </w:t>
      </w:r>
      <w:r>
        <w:rPr>
          <w:rFonts w:hint="eastAsia"/>
          <w:color w:val="auto"/>
          <w:highlight w:val="none"/>
        </w:rPr>
        <w:cr/>
      </w:r>
    </w:p>
    <w:p w14:paraId="6FCACA89">
      <w:pPr>
        <w:ind w:left="-2" w:leftChars="-1" w:firstLine="840" w:firstLineChars="400"/>
        <w:rPr>
          <w:color w:val="auto"/>
          <w:highlight w:val="none"/>
        </w:rPr>
      </w:pPr>
    </w:p>
    <w:p w14:paraId="396B0879">
      <w:pPr>
        <w:ind w:left="-2" w:leftChars="-1" w:firstLine="630" w:firstLineChars="300"/>
        <w:rPr>
          <w:rFonts w:hint="eastAsia"/>
          <w:color w:val="auto"/>
          <w:highlight w:val="none"/>
        </w:rPr>
      </w:pPr>
      <w:r>
        <w:rPr>
          <w:rFonts w:hint="eastAsia"/>
          <w:color w:val="auto"/>
          <w:highlight w:val="none"/>
        </w:rPr>
        <w:t>　</w:t>
      </w:r>
      <w:r>
        <w:rPr>
          <w:color w:val="auto"/>
          <w:highlight w:val="none"/>
        </w:rPr>
        <w:tab/>
      </w:r>
    </w:p>
    <w:p w14:paraId="44313DD6">
      <w:pPr>
        <w:ind w:left="103" w:leftChars="49" w:firstLine="1470" w:firstLineChars="700"/>
        <w:jc w:val="center"/>
        <w:rPr>
          <w:rFonts w:hint="eastAsia"/>
          <w:color w:val="auto"/>
          <w:highlight w:val="none"/>
        </w:rPr>
      </w:pPr>
    </w:p>
    <w:p w14:paraId="016A3370">
      <w:pPr>
        <w:ind w:left="103" w:leftChars="49" w:firstLine="1470" w:firstLineChars="700"/>
        <w:jc w:val="center"/>
        <w:rPr>
          <w:rFonts w:hint="eastAsia"/>
          <w:color w:val="auto"/>
          <w:highlight w:val="none"/>
        </w:rPr>
      </w:pPr>
    </w:p>
    <w:p w14:paraId="0F778BAC">
      <w:pPr>
        <w:ind w:left="103" w:leftChars="49" w:firstLine="1470" w:firstLineChars="700"/>
        <w:jc w:val="center"/>
        <w:rPr>
          <w:rFonts w:hint="eastAsia"/>
          <w:color w:val="auto"/>
          <w:highlight w:val="none"/>
        </w:rPr>
      </w:pPr>
    </w:p>
    <w:p w14:paraId="5F7D3B68">
      <w:pPr>
        <w:ind w:left="103" w:leftChars="49" w:firstLine="1470" w:firstLineChars="700"/>
        <w:jc w:val="center"/>
        <w:rPr>
          <w:rFonts w:hint="eastAsia" w:ascii="宋体" w:hAnsi="宋体"/>
          <w:b/>
          <w:bCs/>
          <w:color w:val="auto"/>
          <w:spacing w:val="9"/>
          <w:kern w:val="0"/>
          <w:sz w:val="32"/>
          <w:highlight w:val="none"/>
          <w:fitText w:val="3925" w:id="99222529"/>
          <w:lang w:eastAsia="zh-CN"/>
        </w:rPr>
      </w:pPr>
      <w:r>
        <w:rPr>
          <w:color w:val="auto"/>
          <w:highlight w:val="none"/>
        </w:rPr>
        <w:cr/>
      </w:r>
      <w:r>
        <w:rPr>
          <w:rFonts w:hint="eastAsia" w:ascii="宋体" w:hAnsi="宋体"/>
          <w:b/>
          <w:bCs/>
          <w:color w:val="auto"/>
          <w:spacing w:val="23"/>
          <w:kern w:val="0"/>
          <w:sz w:val="32"/>
          <w:highlight w:val="none"/>
          <w:fitText w:val="2520" w:id="99222528"/>
        </w:rPr>
        <w:t>采购代理机构</w:t>
      </w:r>
      <w:r>
        <w:rPr>
          <w:rFonts w:hint="eastAsia" w:ascii="宋体" w:hAnsi="宋体"/>
          <w:b/>
          <w:bCs/>
          <w:color w:val="auto"/>
          <w:spacing w:val="2"/>
          <w:kern w:val="0"/>
          <w:sz w:val="32"/>
          <w:highlight w:val="none"/>
          <w:fitText w:val="2520" w:id="99222528"/>
        </w:rPr>
        <w:t>：</w:t>
      </w:r>
      <w:r>
        <w:rPr>
          <w:rFonts w:hint="eastAsia" w:ascii="宋体" w:hAnsi="宋体"/>
          <w:b/>
          <w:bCs/>
          <w:color w:val="auto"/>
          <w:spacing w:val="20"/>
          <w:kern w:val="0"/>
          <w:sz w:val="32"/>
          <w:highlight w:val="none"/>
          <w:fitText w:val="3925" w:id="99222529"/>
        </w:rPr>
        <w:t>云之龙咨询集团有限公</w:t>
      </w:r>
      <w:r>
        <w:rPr>
          <w:rFonts w:hint="eastAsia" w:ascii="宋体" w:hAnsi="宋体"/>
          <w:b/>
          <w:bCs/>
          <w:color w:val="auto"/>
          <w:spacing w:val="2"/>
          <w:kern w:val="0"/>
          <w:sz w:val="32"/>
          <w:highlight w:val="none"/>
          <w:fitText w:val="3925" w:id="99222529"/>
        </w:rPr>
        <w:t>司</w:t>
      </w:r>
      <w:r>
        <w:rPr>
          <w:rFonts w:hint="eastAsia" w:ascii="宋体" w:hAnsi="宋体"/>
          <w:b/>
          <w:bCs/>
          <w:color w:val="auto"/>
          <w:spacing w:val="40"/>
          <w:sz w:val="32"/>
          <w:highlight w:val="none"/>
        </w:rPr>
        <w:cr/>
      </w:r>
      <w:r>
        <w:rPr>
          <w:rFonts w:hint="eastAsia" w:ascii="黑体" w:eastAsia="黑体"/>
          <w:b w:val="0"/>
          <w:bCs w:val="0"/>
          <w:color w:val="auto"/>
          <w:spacing w:val="-8"/>
          <w:sz w:val="32"/>
          <w:highlight w:val="none"/>
        </w:rPr>
        <w:t xml:space="preserve"> </w:t>
      </w:r>
      <w:r>
        <w:rPr>
          <w:rFonts w:ascii="黑体" w:eastAsia="黑体"/>
          <w:b w:val="0"/>
          <w:bCs w:val="0"/>
          <w:color w:val="auto"/>
          <w:spacing w:val="-8"/>
          <w:sz w:val="32"/>
          <w:highlight w:val="none"/>
        </w:rPr>
        <w:t xml:space="preserve"> </w:t>
      </w:r>
      <w:r>
        <w:rPr>
          <w:rFonts w:hint="eastAsia" w:ascii="宋体" w:hAnsi="宋体"/>
          <w:b/>
          <w:bCs/>
          <w:color w:val="auto"/>
          <w:spacing w:val="128"/>
          <w:kern w:val="0"/>
          <w:sz w:val="32"/>
          <w:highlight w:val="none"/>
          <w:fitText w:val="3925" w:id="99222529"/>
          <w:lang w:eastAsia="zh-CN"/>
        </w:rPr>
        <w:t>2025年</w:t>
      </w:r>
      <w:r>
        <w:rPr>
          <w:rFonts w:hint="eastAsia" w:ascii="宋体" w:hAnsi="宋体"/>
          <w:b/>
          <w:bCs/>
          <w:color w:val="auto"/>
          <w:spacing w:val="128"/>
          <w:kern w:val="0"/>
          <w:sz w:val="32"/>
          <w:highlight w:val="none"/>
          <w:fitText w:val="3925" w:id="99222529"/>
          <w:lang w:val="en-US" w:eastAsia="zh-CN"/>
        </w:rPr>
        <w:t>7</w:t>
      </w:r>
      <w:r>
        <w:rPr>
          <w:rFonts w:hint="eastAsia" w:ascii="宋体" w:hAnsi="宋体"/>
          <w:b/>
          <w:bCs/>
          <w:color w:val="auto"/>
          <w:spacing w:val="128"/>
          <w:kern w:val="0"/>
          <w:sz w:val="32"/>
          <w:highlight w:val="none"/>
          <w:fitText w:val="3925" w:id="99222529"/>
          <w:lang w:eastAsia="zh-CN"/>
        </w:rPr>
        <w:t>月</w:t>
      </w:r>
      <w:r>
        <w:rPr>
          <w:rFonts w:hint="eastAsia" w:ascii="宋体" w:hAnsi="宋体"/>
          <w:b/>
          <w:bCs/>
          <w:color w:val="auto"/>
          <w:spacing w:val="128"/>
          <w:kern w:val="0"/>
          <w:sz w:val="32"/>
          <w:highlight w:val="none"/>
          <w:fitText w:val="3925" w:id="99222529"/>
          <w:lang w:val="en-US" w:eastAsia="zh-CN"/>
        </w:rPr>
        <w:t>2</w:t>
      </w:r>
      <w:r>
        <w:rPr>
          <w:rFonts w:hint="eastAsia" w:ascii="宋体" w:hAnsi="宋体"/>
          <w:b/>
          <w:bCs/>
          <w:color w:val="auto"/>
          <w:spacing w:val="2"/>
          <w:kern w:val="0"/>
          <w:sz w:val="32"/>
          <w:highlight w:val="none"/>
          <w:fitText w:val="3925" w:id="99222529"/>
          <w:lang w:eastAsia="zh-CN"/>
        </w:rPr>
        <w:t>日</w:t>
      </w:r>
    </w:p>
    <w:p w14:paraId="7910B2DA">
      <w:pPr>
        <w:ind w:left="103" w:leftChars="49" w:firstLine="2240" w:firstLineChars="700"/>
        <w:jc w:val="center"/>
        <w:rPr>
          <w:rFonts w:hint="eastAsia" w:ascii="黑体" w:eastAsia="黑体"/>
          <w:color w:val="auto"/>
          <w:sz w:val="32"/>
          <w:highlight w:val="none"/>
        </w:rPr>
      </w:pPr>
    </w:p>
    <w:p w14:paraId="5B35E5D3">
      <w:pPr>
        <w:pStyle w:val="27"/>
        <w:spacing w:line="440" w:lineRule="exact"/>
        <w:jc w:val="center"/>
        <w:rPr>
          <w:rFonts w:hint="eastAsia" w:ascii="隶书" w:eastAsia="隶书"/>
          <w:color w:val="auto"/>
          <w:sz w:val="44"/>
          <w:highlight w:val="none"/>
        </w:rPr>
      </w:pPr>
    </w:p>
    <w:p w14:paraId="2FCCEA81">
      <w:pPr>
        <w:pStyle w:val="27"/>
        <w:spacing w:line="440" w:lineRule="exact"/>
        <w:jc w:val="center"/>
        <w:rPr>
          <w:rFonts w:hint="eastAsia" w:ascii="隶书" w:eastAsia="隶书"/>
          <w:color w:val="auto"/>
          <w:sz w:val="44"/>
          <w:highlight w:val="none"/>
        </w:rPr>
      </w:pPr>
    </w:p>
    <w:p w14:paraId="185FC743">
      <w:pPr>
        <w:pStyle w:val="27"/>
        <w:spacing w:line="440" w:lineRule="exact"/>
        <w:jc w:val="center"/>
        <w:rPr>
          <w:rFonts w:hint="eastAsia" w:ascii="隶书" w:eastAsia="隶书"/>
          <w:color w:val="auto"/>
          <w:sz w:val="44"/>
          <w:highlight w:val="none"/>
        </w:rPr>
      </w:pPr>
    </w:p>
    <w:p w14:paraId="023E9F4B">
      <w:pPr>
        <w:pStyle w:val="27"/>
        <w:spacing w:line="440" w:lineRule="exact"/>
        <w:jc w:val="center"/>
        <w:rPr>
          <w:rFonts w:ascii="隶书" w:eastAsia="隶书"/>
          <w:color w:val="auto"/>
          <w:sz w:val="44"/>
          <w:highlight w:val="none"/>
        </w:rPr>
      </w:pPr>
      <w:r>
        <w:rPr>
          <w:rFonts w:hint="eastAsia" w:ascii="隶书" w:eastAsia="隶书"/>
          <w:color w:val="auto"/>
          <w:sz w:val="44"/>
          <w:highlight w:val="none"/>
        </w:rPr>
        <w:t>目     录</w:t>
      </w:r>
    </w:p>
    <w:p w14:paraId="1A58150E">
      <w:pPr>
        <w:pStyle w:val="27"/>
        <w:jc w:val="center"/>
        <w:rPr>
          <w:rFonts w:ascii="隶书" w:eastAsia="隶书"/>
          <w:color w:val="auto"/>
          <w:highlight w:val="none"/>
        </w:rPr>
      </w:pPr>
    </w:p>
    <w:p w14:paraId="3E86E077">
      <w:pPr>
        <w:tabs>
          <w:tab w:val="left" w:pos="8860"/>
          <w:tab w:val="left" w:pos="9140"/>
        </w:tabs>
        <w:ind w:firstLine="735"/>
        <w:rPr>
          <w:rFonts w:hint="eastAsia" w:ascii="隶书" w:hAnsi="Courier New" w:eastAsia="隶书"/>
          <w:color w:val="auto"/>
          <w:sz w:val="32"/>
          <w:szCs w:val="22"/>
          <w:highlight w:val="none"/>
        </w:rPr>
      </w:pPr>
      <w:r>
        <w:rPr>
          <w:rFonts w:hint="eastAsia" w:ascii="隶书" w:hAnsi="Courier New" w:eastAsia="隶书"/>
          <w:color w:val="auto"/>
          <w:sz w:val="32"/>
          <w:szCs w:val="22"/>
          <w:highlight w:val="none"/>
        </w:rPr>
        <w:t>第一章：招标公告……………………………………………2</w:t>
      </w:r>
    </w:p>
    <w:p w14:paraId="7767DC95">
      <w:pPr>
        <w:tabs>
          <w:tab w:val="left" w:pos="1800"/>
          <w:tab w:val="left" w:pos="8860"/>
          <w:tab w:val="left" w:pos="9140"/>
        </w:tabs>
        <w:ind w:firstLine="735"/>
        <w:rPr>
          <w:rFonts w:hint="eastAsia" w:ascii="隶书" w:hAnsi="Courier New" w:eastAsia="隶书"/>
          <w:color w:val="auto"/>
          <w:sz w:val="32"/>
          <w:szCs w:val="22"/>
          <w:highlight w:val="none"/>
        </w:rPr>
      </w:pPr>
      <w:r>
        <w:rPr>
          <w:rFonts w:hint="eastAsia" w:ascii="隶书" w:hAnsi="Courier New" w:eastAsia="隶书"/>
          <w:color w:val="auto"/>
          <w:sz w:val="32"/>
          <w:szCs w:val="22"/>
          <w:highlight w:val="none"/>
        </w:rPr>
        <w:t>第二章：投标人须知…………………………………………5</w:t>
      </w:r>
    </w:p>
    <w:p w14:paraId="1FE9961F">
      <w:pPr>
        <w:ind w:firstLine="735"/>
        <w:rPr>
          <w:rFonts w:hint="eastAsia" w:ascii="隶书" w:hAnsi="Courier New" w:eastAsia="隶书"/>
          <w:color w:val="auto"/>
          <w:sz w:val="32"/>
          <w:szCs w:val="22"/>
          <w:highlight w:val="none"/>
          <w:lang w:eastAsia="zh-CN"/>
        </w:rPr>
      </w:pPr>
      <w:r>
        <w:rPr>
          <w:rFonts w:hint="eastAsia" w:ascii="隶书" w:hAnsi="Courier New" w:eastAsia="隶书"/>
          <w:color w:val="auto"/>
          <w:sz w:val="32"/>
          <w:szCs w:val="22"/>
          <w:highlight w:val="none"/>
        </w:rPr>
        <w:t>第三章：采购需求……………………………………………2</w:t>
      </w:r>
      <w:r>
        <w:rPr>
          <w:rFonts w:hint="eastAsia" w:ascii="隶书" w:hAnsi="Courier New" w:eastAsia="隶书"/>
          <w:color w:val="auto"/>
          <w:sz w:val="32"/>
          <w:szCs w:val="22"/>
          <w:highlight w:val="none"/>
          <w:lang w:val="en-US" w:eastAsia="zh-CN"/>
        </w:rPr>
        <w:t>8</w:t>
      </w:r>
    </w:p>
    <w:p w14:paraId="02D4D125">
      <w:pPr>
        <w:tabs>
          <w:tab w:val="left" w:pos="8930"/>
          <w:tab w:val="left" w:pos="9105"/>
        </w:tabs>
        <w:ind w:left="2011" w:leftChars="348" w:hanging="1280" w:hangingChars="400"/>
        <w:rPr>
          <w:rFonts w:hint="eastAsia" w:ascii="隶书" w:hAnsi="Courier New" w:eastAsia="隶书"/>
          <w:color w:val="auto"/>
          <w:sz w:val="32"/>
          <w:szCs w:val="22"/>
          <w:highlight w:val="none"/>
          <w:lang w:eastAsia="zh-CN"/>
        </w:rPr>
      </w:pPr>
      <w:r>
        <w:rPr>
          <w:rFonts w:hint="eastAsia" w:ascii="隶书" w:hAnsi="Courier New" w:eastAsia="隶书"/>
          <w:color w:val="auto"/>
          <w:sz w:val="32"/>
          <w:szCs w:val="22"/>
          <w:highlight w:val="none"/>
        </w:rPr>
        <w:t>第四章：评标办法……………………………………………</w:t>
      </w:r>
      <w:r>
        <w:rPr>
          <w:rFonts w:ascii="隶书" w:hAnsi="Courier New" w:eastAsia="隶书"/>
          <w:color w:val="auto"/>
          <w:sz w:val="32"/>
          <w:szCs w:val="22"/>
          <w:highlight w:val="none"/>
        </w:rPr>
        <w:t>3</w:t>
      </w:r>
      <w:r>
        <w:rPr>
          <w:rFonts w:hint="eastAsia" w:ascii="隶书" w:hAnsi="Courier New" w:eastAsia="隶书"/>
          <w:color w:val="auto"/>
          <w:sz w:val="32"/>
          <w:szCs w:val="22"/>
          <w:highlight w:val="none"/>
          <w:lang w:val="en-US" w:eastAsia="zh-CN"/>
        </w:rPr>
        <w:t>5</w:t>
      </w:r>
    </w:p>
    <w:p w14:paraId="455391EF">
      <w:pPr>
        <w:ind w:firstLine="735"/>
        <w:rPr>
          <w:rFonts w:hint="eastAsia" w:ascii="隶书" w:hAnsi="Courier New" w:eastAsia="隶书"/>
          <w:color w:val="auto"/>
          <w:sz w:val="32"/>
          <w:szCs w:val="22"/>
          <w:highlight w:val="none"/>
          <w:lang w:eastAsia="zh-CN"/>
        </w:rPr>
      </w:pPr>
      <w:r>
        <w:rPr>
          <w:rFonts w:hint="eastAsia" w:ascii="隶书" w:hAnsi="Courier New" w:eastAsia="隶书"/>
          <w:color w:val="auto"/>
          <w:sz w:val="32"/>
          <w:szCs w:val="22"/>
          <w:highlight w:val="none"/>
        </w:rPr>
        <w:t>第五章：政府采购合同（合同主要条款及格式）…………</w:t>
      </w:r>
      <w:r>
        <w:rPr>
          <w:rFonts w:ascii="隶书" w:hAnsi="Courier New" w:eastAsia="隶书"/>
          <w:color w:val="auto"/>
          <w:sz w:val="32"/>
          <w:szCs w:val="22"/>
          <w:highlight w:val="none"/>
        </w:rPr>
        <w:t>3</w:t>
      </w:r>
      <w:r>
        <w:rPr>
          <w:rFonts w:hint="eastAsia" w:ascii="隶书" w:hAnsi="Courier New" w:eastAsia="隶书"/>
          <w:color w:val="auto"/>
          <w:sz w:val="32"/>
          <w:szCs w:val="22"/>
          <w:highlight w:val="none"/>
          <w:lang w:val="en-US" w:eastAsia="zh-CN"/>
        </w:rPr>
        <w:t>7</w:t>
      </w:r>
    </w:p>
    <w:p w14:paraId="3BC24CF1">
      <w:pPr>
        <w:ind w:firstLine="735"/>
        <w:rPr>
          <w:rFonts w:hint="default" w:ascii="隶书" w:hAnsi="Courier New" w:eastAsia="隶书"/>
          <w:color w:val="auto"/>
          <w:sz w:val="32"/>
          <w:szCs w:val="22"/>
          <w:highlight w:val="none"/>
          <w:lang w:val="en-US" w:eastAsia="zh-CN"/>
        </w:rPr>
      </w:pPr>
      <w:r>
        <w:rPr>
          <w:rFonts w:hint="eastAsia" w:ascii="隶书" w:hAnsi="Courier New" w:eastAsia="隶书"/>
          <w:color w:val="auto"/>
          <w:sz w:val="32"/>
          <w:szCs w:val="22"/>
          <w:highlight w:val="none"/>
        </w:rPr>
        <w:t>第六章：投标文件（格式）…………………………………</w:t>
      </w:r>
      <w:r>
        <w:rPr>
          <w:rFonts w:ascii="隶书" w:hAnsi="Courier New" w:eastAsia="隶书"/>
          <w:color w:val="auto"/>
          <w:sz w:val="32"/>
          <w:szCs w:val="22"/>
          <w:highlight w:val="none"/>
        </w:rPr>
        <w:t>4</w:t>
      </w:r>
      <w:r>
        <w:rPr>
          <w:rFonts w:hint="eastAsia" w:ascii="隶书" w:hAnsi="Courier New" w:eastAsia="隶书"/>
          <w:color w:val="auto"/>
          <w:sz w:val="32"/>
          <w:szCs w:val="22"/>
          <w:highlight w:val="none"/>
          <w:lang w:val="en-US" w:eastAsia="zh-CN"/>
        </w:rPr>
        <w:t>3</w:t>
      </w:r>
    </w:p>
    <w:p w14:paraId="4977632F">
      <w:pPr>
        <w:ind w:firstLine="2730" w:firstLineChars="1300"/>
        <w:rPr>
          <w:rFonts w:hint="eastAsia"/>
          <w:color w:val="auto"/>
          <w:szCs w:val="21"/>
          <w:highlight w:val="none"/>
        </w:rPr>
      </w:pPr>
    </w:p>
    <w:p w14:paraId="009DA4F8">
      <w:pPr>
        <w:ind w:firstLine="2730" w:firstLineChars="1300"/>
        <w:rPr>
          <w:rFonts w:hint="eastAsia"/>
          <w:color w:val="auto"/>
          <w:szCs w:val="21"/>
          <w:highlight w:val="none"/>
        </w:rPr>
      </w:pPr>
    </w:p>
    <w:p w14:paraId="7CD3D704">
      <w:pPr>
        <w:ind w:firstLine="2730" w:firstLineChars="1300"/>
        <w:rPr>
          <w:rFonts w:hint="eastAsia"/>
          <w:color w:val="auto"/>
          <w:szCs w:val="21"/>
          <w:highlight w:val="none"/>
        </w:rPr>
      </w:pPr>
    </w:p>
    <w:p w14:paraId="145054F2">
      <w:pPr>
        <w:ind w:firstLine="2730" w:firstLineChars="1300"/>
        <w:rPr>
          <w:rFonts w:hint="eastAsia"/>
          <w:color w:val="auto"/>
          <w:szCs w:val="21"/>
          <w:highlight w:val="none"/>
        </w:rPr>
      </w:pPr>
    </w:p>
    <w:p w14:paraId="126F375B">
      <w:pPr>
        <w:ind w:firstLine="2730" w:firstLineChars="1300"/>
        <w:rPr>
          <w:rFonts w:hint="eastAsia"/>
          <w:color w:val="auto"/>
          <w:szCs w:val="21"/>
          <w:highlight w:val="none"/>
        </w:rPr>
      </w:pPr>
    </w:p>
    <w:p w14:paraId="7E5524C0">
      <w:pPr>
        <w:ind w:firstLine="2730" w:firstLineChars="1300"/>
        <w:rPr>
          <w:rFonts w:hint="eastAsia"/>
          <w:color w:val="auto"/>
          <w:szCs w:val="21"/>
          <w:highlight w:val="none"/>
        </w:rPr>
      </w:pPr>
    </w:p>
    <w:p w14:paraId="2C0E8CC9">
      <w:pPr>
        <w:jc w:val="center"/>
        <w:rPr>
          <w:rFonts w:hint="eastAsia" w:ascii="宋体" w:hAnsi="宋体"/>
          <w:b/>
          <w:color w:val="auto"/>
          <w:sz w:val="32"/>
          <w:szCs w:val="32"/>
          <w:highlight w:val="none"/>
        </w:rPr>
      </w:pPr>
    </w:p>
    <w:p w14:paraId="15FEDD10">
      <w:pPr>
        <w:jc w:val="center"/>
        <w:rPr>
          <w:rFonts w:hint="eastAsia" w:ascii="宋体" w:hAnsi="宋体"/>
          <w:b/>
          <w:color w:val="auto"/>
          <w:sz w:val="32"/>
          <w:szCs w:val="32"/>
          <w:highlight w:val="none"/>
        </w:rPr>
      </w:pPr>
    </w:p>
    <w:p w14:paraId="67A146B5">
      <w:pPr>
        <w:jc w:val="center"/>
        <w:rPr>
          <w:rFonts w:hint="eastAsia" w:ascii="宋体" w:hAnsi="宋体"/>
          <w:b/>
          <w:color w:val="auto"/>
          <w:sz w:val="32"/>
          <w:szCs w:val="32"/>
          <w:highlight w:val="none"/>
        </w:rPr>
      </w:pPr>
    </w:p>
    <w:p w14:paraId="04CAD31F">
      <w:pPr>
        <w:jc w:val="center"/>
        <w:rPr>
          <w:rFonts w:hint="eastAsia" w:ascii="宋体" w:hAnsi="宋体"/>
          <w:b/>
          <w:color w:val="auto"/>
          <w:sz w:val="32"/>
          <w:szCs w:val="32"/>
          <w:highlight w:val="none"/>
        </w:rPr>
      </w:pPr>
    </w:p>
    <w:p w14:paraId="3D5F1BC9">
      <w:pPr>
        <w:jc w:val="center"/>
        <w:rPr>
          <w:rFonts w:hint="eastAsia" w:ascii="宋体" w:hAnsi="宋体"/>
          <w:b/>
          <w:color w:val="auto"/>
          <w:sz w:val="32"/>
          <w:szCs w:val="32"/>
          <w:highlight w:val="none"/>
        </w:rPr>
      </w:pPr>
    </w:p>
    <w:p w14:paraId="0AD707EA">
      <w:pPr>
        <w:jc w:val="center"/>
        <w:rPr>
          <w:rFonts w:hint="eastAsia" w:ascii="宋体" w:hAnsi="宋体"/>
          <w:b/>
          <w:color w:val="auto"/>
          <w:sz w:val="32"/>
          <w:szCs w:val="32"/>
          <w:highlight w:val="none"/>
        </w:rPr>
      </w:pPr>
    </w:p>
    <w:p w14:paraId="7C51E41B">
      <w:pPr>
        <w:jc w:val="center"/>
        <w:rPr>
          <w:rFonts w:hint="eastAsia" w:ascii="宋体" w:hAnsi="宋体"/>
          <w:b/>
          <w:color w:val="auto"/>
          <w:sz w:val="32"/>
          <w:szCs w:val="32"/>
          <w:highlight w:val="none"/>
        </w:rPr>
      </w:pPr>
    </w:p>
    <w:p w14:paraId="1D76FD45">
      <w:pPr>
        <w:jc w:val="center"/>
        <w:rPr>
          <w:rFonts w:hint="eastAsia" w:ascii="宋体" w:hAnsi="宋体"/>
          <w:b/>
          <w:color w:val="auto"/>
          <w:sz w:val="32"/>
          <w:szCs w:val="32"/>
          <w:highlight w:val="none"/>
        </w:rPr>
      </w:pPr>
    </w:p>
    <w:p w14:paraId="59FDFF8B">
      <w:pPr>
        <w:jc w:val="center"/>
        <w:rPr>
          <w:rFonts w:ascii="宋体" w:hAnsi="宋体"/>
          <w:b/>
          <w:color w:val="auto"/>
          <w:sz w:val="32"/>
          <w:szCs w:val="32"/>
          <w:highlight w:val="none"/>
        </w:rPr>
      </w:pPr>
    </w:p>
    <w:p w14:paraId="32797EED">
      <w:pPr>
        <w:jc w:val="center"/>
        <w:rPr>
          <w:rFonts w:hint="eastAsia" w:ascii="宋体" w:hAnsi="宋体"/>
          <w:b/>
          <w:color w:val="auto"/>
          <w:sz w:val="32"/>
          <w:szCs w:val="32"/>
          <w:highlight w:val="none"/>
        </w:rPr>
      </w:pPr>
    </w:p>
    <w:p w14:paraId="5B7D3D29">
      <w:pPr>
        <w:jc w:val="center"/>
        <w:rPr>
          <w:rFonts w:hint="eastAsia" w:ascii="宋体" w:hAnsi="宋体"/>
          <w:b/>
          <w:color w:val="auto"/>
          <w:sz w:val="32"/>
          <w:szCs w:val="32"/>
          <w:highlight w:val="none"/>
        </w:rPr>
      </w:pPr>
    </w:p>
    <w:p w14:paraId="2C1CA29A">
      <w:pPr>
        <w:jc w:val="center"/>
        <w:rPr>
          <w:rFonts w:hint="eastAsia" w:ascii="宋体" w:hAnsi="宋体"/>
          <w:color w:val="auto"/>
          <w:highlight w:val="none"/>
        </w:rPr>
      </w:pPr>
      <w:r>
        <w:rPr>
          <w:rFonts w:hint="eastAsia" w:ascii="宋体" w:hAnsi="宋体"/>
          <w:b/>
          <w:color w:val="auto"/>
          <w:sz w:val="32"/>
          <w:szCs w:val="32"/>
          <w:highlight w:val="none"/>
        </w:rPr>
        <w:t>第一章</w:t>
      </w:r>
      <w:r>
        <w:rPr>
          <w:rFonts w:hint="eastAsia" w:ascii="宋体" w:hAnsi="宋体"/>
          <w:color w:val="auto"/>
          <w:highlight w:val="none"/>
        </w:rPr>
        <w:t xml:space="preserve">  </w:t>
      </w:r>
      <w:bookmarkStart w:id="0" w:name="OLE_LINK23"/>
      <w:r>
        <w:rPr>
          <w:rFonts w:hint="eastAsia" w:ascii="宋体" w:hAnsi="宋体"/>
          <w:b/>
          <w:color w:val="auto"/>
          <w:sz w:val="32"/>
          <w:szCs w:val="32"/>
          <w:highlight w:val="none"/>
        </w:rPr>
        <w:t>招标公告</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14:paraId="229E8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top"/>
          </w:tcPr>
          <w:p w14:paraId="75E271C4">
            <w:pPr>
              <w:spacing w:line="360" w:lineRule="exact"/>
              <w:jc w:val="left"/>
              <w:rPr>
                <w:rFonts w:hint="eastAsia" w:ascii="宋体" w:hAnsi="宋体"/>
                <w:color w:val="auto"/>
                <w:highlight w:val="none"/>
              </w:rPr>
            </w:pPr>
            <w:r>
              <w:rPr>
                <w:rFonts w:hint="eastAsia" w:ascii="宋体" w:hAnsi="宋体"/>
                <w:color w:val="auto"/>
                <w:highlight w:val="none"/>
              </w:rPr>
              <w:t>项目概况</w:t>
            </w:r>
          </w:p>
          <w:p w14:paraId="38320486">
            <w:pPr>
              <w:spacing w:line="360" w:lineRule="exact"/>
              <w:ind w:firstLine="525" w:firstLineChars="250"/>
              <w:jc w:val="left"/>
              <w:rPr>
                <w:rFonts w:hint="eastAsia" w:ascii="宋体" w:hAnsi="宋体"/>
                <w:color w:val="auto"/>
                <w:highlight w:val="none"/>
              </w:rPr>
            </w:pPr>
            <w:r>
              <w:rPr>
                <w:rFonts w:hint="eastAsia" w:ascii="宋体" w:hAnsi="宋体"/>
                <w:bCs/>
                <w:color w:val="auto"/>
                <w:szCs w:val="21"/>
                <w:highlight w:val="none"/>
              </w:rPr>
              <w:t>桂林市中西医结合医院医用中心负压吸引及医用压缩空气系统采购项目</w:t>
            </w:r>
            <w:r>
              <w:rPr>
                <w:rFonts w:hint="eastAsia" w:ascii="宋体" w:hAnsi="宋体"/>
                <w:color w:val="auto"/>
                <w:highlight w:val="none"/>
              </w:rPr>
              <w:t>项目的潜在投标</w:t>
            </w:r>
            <w:r>
              <w:rPr>
                <w:rFonts w:hint="eastAsia" w:ascii="宋体" w:hAnsi="宋体"/>
                <w:color w:val="auto"/>
                <w:szCs w:val="21"/>
                <w:highlight w:val="none"/>
              </w:rPr>
              <w:t>人应在</w:t>
            </w:r>
            <w:r>
              <w:rPr>
                <w:rFonts w:hint="eastAsia" w:ascii="宋体" w:hAnsi="宋体" w:cs="宋体"/>
                <w:color w:val="auto"/>
                <w:highlight w:val="none"/>
              </w:rPr>
              <w:t>广西政府采购云平台</w:t>
            </w:r>
            <w:r>
              <w:rPr>
                <w:rFonts w:ascii="宋体" w:hAnsi="宋体"/>
                <w:color w:val="auto"/>
                <w:highlight w:val="none"/>
              </w:rPr>
              <w:t>（</w:t>
            </w:r>
            <w:r>
              <w:rPr>
                <w:rFonts w:hint="eastAsia" w:ascii="宋体" w:hAnsi="宋体"/>
                <w:color w:val="auto"/>
                <w:highlight w:val="none"/>
              </w:rPr>
              <w:t>www.gcy.zfcg.gxzf.gov.cn</w:t>
            </w:r>
            <w:r>
              <w:rPr>
                <w:rFonts w:ascii="宋体" w:hAnsi="宋体"/>
                <w:color w:val="auto"/>
                <w:highlight w:val="none"/>
              </w:rPr>
              <w:t>）</w:t>
            </w:r>
            <w:r>
              <w:rPr>
                <w:rFonts w:hint="eastAsia" w:ascii="宋体" w:hAnsi="宋体"/>
                <w:color w:val="auto"/>
                <w:szCs w:val="21"/>
                <w:highlight w:val="none"/>
              </w:rPr>
              <w:t>下载招标文件电子版，</w:t>
            </w:r>
            <w:r>
              <w:rPr>
                <w:rFonts w:hint="eastAsia" w:ascii="宋体" w:hAnsi="宋体"/>
                <w:color w:val="auto"/>
                <w:highlight w:val="none"/>
              </w:rPr>
              <w:t>并于</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7</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23</w:t>
            </w:r>
            <w:r>
              <w:rPr>
                <w:rFonts w:hint="eastAsia" w:ascii="宋体" w:hAnsi="宋体"/>
                <w:color w:val="auto"/>
                <w:szCs w:val="21"/>
                <w:highlight w:val="none"/>
                <w:lang w:eastAsia="zh-CN"/>
              </w:rPr>
              <w:t>日</w:t>
            </w:r>
            <w:r>
              <w:rPr>
                <w:rFonts w:hint="eastAsia" w:ascii="宋体" w:hAnsi="宋体"/>
                <w:bCs/>
                <w:color w:val="auto"/>
                <w:highlight w:val="none"/>
              </w:rPr>
              <w:t>上午9:30（北京时间）</w:t>
            </w:r>
            <w:r>
              <w:rPr>
                <w:rFonts w:hint="eastAsia" w:ascii="宋体" w:hAnsi="宋体"/>
                <w:color w:val="auto"/>
                <w:highlight w:val="none"/>
              </w:rPr>
              <w:t>前递交投标</w:t>
            </w:r>
            <w:r>
              <w:rPr>
                <w:rFonts w:ascii="宋体" w:hAnsi="宋体"/>
                <w:color w:val="auto"/>
                <w:highlight w:val="none"/>
              </w:rPr>
              <w:t>文件</w:t>
            </w:r>
            <w:r>
              <w:rPr>
                <w:rFonts w:hint="eastAsia" w:ascii="宋体" w:hAnsi="宋体"/>
                <w:color w:val="auto"/>
                <w:highlight w:val="none"/>
              </w:rPr>
              <w:t>。</w:t>
            </w:r>
          </w:p>
        </w:tc>
      </w:tr>
    </w:tbl>
    <w:p w14:paraId="7C066EB5">
      <w:pPr>
        <w:numPr>
          <w:ilvl w:val="0"/>
          <w:numId w:val="4"/>
        </w:numPr>
        <w:spacing w:line="360" w:lineRule="exact"/>
        <w:rPr>
          <w:rFonts w:hint="eastAsia" w:ascii="宋体" w:hAnsi="宋体"/>
          <w:bCs/>
          <w:color w:val="auto"/>
          <w:szCs w:val="21"/>
          <w:highlight w:val="none"/>
        </w:rPr>
      </w:pPr>
      <w:r>
        <w:rPr>
          <w:rFonts w:hint="eastAsia" w:ascii="宋体" w:hAnsi="宋体" w:cs="宋体"/>
          <w:b/>
          <w:color w:val="auto"/>
          <w:szCs w:val="21"/>
          <w:highlight w:val="none"/>
        </w:rPr>
        <w:t>项目基本情况</w:t>
      </w:r>
    </w:p>
    <w:p w14:paraId="19B96125">
      <w:pPr>
        <w:widowControl/>
        <w:shd w:val="clear" w:color="auto" w:fill="FFFFFF"/>
        <w:ind w:left="105" w:right="360" w:firstLine="315" w:firstLineChars="150"/>
        <w:jc w:val="left"/>
        <w:rPr>
          <w:rFonts w:hint="eastAsia" w:ascii="宋体" w:hAnsi="宋体"/>
          <w:bCs/>
          <w:color w:val="auto"/>
          <w:szCs w:val="21"/>
          <w:highlight w:val="none"/>
        </w:rPr>
      </w:pPr>
      <w:r>
        <w:rPr>
          <w:rFonts w:hint="eastAsia" w:ascii="宋体" w:hAnsi="宋体"/>
          <w:bCs/>
          <w:color w:val="auto"/>
          <w:szCs w:val="21"/>
          <w:highlight w:val="none"/>
        </w:rPr>
        <w:t>项目编号：</w:t>
      </w:r>
      <w:r>
        <w:rPr>
          <w:rFonts w:hint="eastAsia" w:ascii="宋体" w:hAnsi="宋体"/>
          <w:bCs/>
          <w:color w:val="auto"/>
          <w:szCs w:val="21"/>
          <w:highlight w:val="none"/>
          <w:lang w:eastAsia="zh-CN"/>
        </w:rPr>
        <w:t>GLZC2025-G1-990278-YZLZ</w:t>
      </w:r>
      <w:r>
        <w:rPr>
          <w:rFonts w:hint="eastAsia" w:ascii="宋体" w:hAnsi="宋体"/>
          <w:bCs/>
          <w:color w:val="auto"/>
          <w:szCs w:val="21"/>
          <w:highlight w:val="none"/>
        </w:rPr>
        <w:t xml:space="preserve"> </w:t>
      </w:r>
    </w:p>
    <w:p w14:paraId="74B95AEA">
      <w:pPr>
        <w:spacing w:line="360" w:lineRule="exact"/>
        <w:ind w:firstLine="420" w:firstLineChars="200"/>
        <w:rPr>
          <w:rFonts w:hint="eastAsia" w:ascii="宋体" w:hAnsi="宋体"/>
          <w:bCs/>
          <w:color w:val="auto"/>
          <w:szCs w:val="21"/>
          <w:highlight w:val="none"/>
        </w:rPr>
      </w:pPr>
      <w:r>
        <w:rPr>
          <w:rFonts w:hint="eastAsia" w:ascii="宋体" w:hAnsi="宋体"/>
          <w:color w:val="auto"/>
          <w:szCs w:val="21"/>
          <w:highlight w:val="none"/>
        </w:rPr>
        <w:t>项目名称</w:t>
      </w:r>
      <w:r>
        <w:rPr>
          <w:rFonts w:hint="eastAsia" w:ascii="宋体" w:hAnsi="宋体"/>
          <w:bCs/>
          <w:color w:val="auto"/>
          <w:szCs w:val="21"/>
          <w:highlight w:val="none"/>
        </w:rPr>
        <w:t>：桂林市中西医结合医院医用中心负压吸引及医用压缩空气系统采购项目</w:t>
      </w:r>
    </w:p>
    <w:p w14:paraId="63C82768">
      <w:pPr>
        <w:spacing w:line="360" w:lineRule="exact"/>
        <w:ind w:firstLine="420" w:firstLineChars="200"/>
        <w:rPr>
          <w:rFonts w:hint="eastAsia" w:ascii="宋体" w:hAnsi="宋体"/>
          <w:bCs/>
          <w:color w:val="auto"/>
          <w:szCs w:val="21"/>
          <w:highlight w:val="none"/>
        </w:rPr>
      </w:pPr>
      <w:r>
        <w:rPr>
          <w:rFonts w:hint="eastAsia" w:ascii="宋体" w:hAnsi="宋体"/>
          <w:color w:val="auto"/>
          <w:highlight w:val="none"/>
        </w:rPr>
        <w:t>预算总金</w:t>
      </w:r>
      <w:r>
        <w:rPr>
          <w:rFonts w:hint="eastAsia" w:ascii="宋体" w:hAnsi="宋体"/>
          <w:bCs/>
          <w:color w:val="auto"/>
          <w:szCs w:val="21"/>
          <w:highlight w:val="none"/>
        </w:rPr>
        <w:t>额（元）：</w:t>
      </w:r>
      <w:r>
        <w:rPr>
          <w:rFonts w:hint="eastAsia" w:ascii="宋体" w:hAnsi="宋体"/>
          <w:bCs/>
          <w:color w:val="auto"/>
          <w:szCs w:val="21"/>
          <w:highlight w:val="none"/>
          <w:lang w:val="en-US" w:eastAsia="zh-CN"/>
        </w:rPr>
        <w:t>60</w:t>
      </w:r>
      <w:r>
        <w:rPr>
          <w:rFonts w:hint="eastAsia" w:ascii="宋体" w:hAnsi="宋体"/>
          <w:bCs/>
          <w:color w:val="auto"/>
          <w:szCs w:val="21"/>
          <w:highlight w:val="none"/>
        </w:rPr>
        <w:t>0000.00</w:t>
      </w:r>
    </w:p>
    <w:p w14:paraId="24048706">
      <w:pPr>
        <w:spacing w:line="360" w:lineRule="exact"/>
        <w:ind w:firstLine="420" w:firstLineChars="200"/>
        <w:rPr>
          <w:rFonts w:hint="eastAsia" w:ascii="宋体" w:hAnsi="宋体"/>
          <w:color w:val="auto"/>
          <w:highlight w:val="none"/>
        </w:rPr>
      </w:pPr>
      <w:r>
        <w:rPr>
          <w:rFonts w:hint="eastAsia" w:ascii="宋体" w:hAnsi="宋体"/>
          <w:color w:val="auto"/>
          <w:highlight w:val="none"/>
        </w:rPr>
        <w:t>采购需求：</w:t>
      </w:r>
    </w:p>
    <w:p w14:paraId="7FC2A42A">
      <w:pPr>
        <w:spacing w:line="360" w:lineRule="exact"/>
        <w:ind w:firstLine="420" w:firstLineChars="200"/>
        <w:rPr>
          <w:rFonts w:hint="eastAsia" w:ascii="宋体" w:hAnsi="宋体"/>
          <w:color w:val="auto"/>
          <w:highlight w:val="none"/>
        </w:rPr>
      </w:pPr>
      <w:r>
        <w:rPr>
          <w:rFonts w:hint="eastAsia" w:ascii="宋体" w:hAnsi="宋体"/>
          <w:color w:val="auto"/>
          <w:highlight w:val="none"/>
        </w:rPr>
        <w:t>（1）标项名称：</w:t>
      </w:r>
      <w:r>
        <w:rPr>
          <w:rFonts w:hint="eastAsia" w:ascii="宋体" w:hAnsi="宋体"/>
          <w:bCs/>
          <w:color w:val="auto"/>
          <w:szCs w:val="21"/>
          <w:highlight w:val="none"/>
        </w:rPr>
        <w:t>桂林市中西医结合医院医用中心负压吸引及医用压缩空气系统采购项目</w:t>
      </w:r>
    </w:p>
    <w:p w14:paraId="51FEEB1E">
      <w:pPr>
        <w:spacing w:line="360" w:lineRule="exact"/>
        <w:ind w:firstLine="420" w:firstLineChars="200"/>
        <w:rPr>
          <w:rFonts w:hint="eastAsia" w:ascii="宋体" w:hAnsi="宋体"/>
          <w:color w:val="auto"/>
          <w:highlight w:val="none"/>
        </w:rPr>
      </w:pPr>
      <w:r>
        <w:rPr>
          <w:rFonts w:hint="eastAsia" w:ascii="宋体" w:hAnsi="宋体"/>
          <w:color w:val="auto"/>
          <w:highlight w:val="none"/>
        </w:rPr>
        <w:t>（2）数量：</w:t>
      </w:r>
      <w:r>
        <w:rPr>
          <w:rFonts w:hint="eastAsia" w:ascii="宋体" w:hAnsi="宋体"/>
          <w:color w:val="auto"/>
          <w:highlight w:val="none"/>
          <w:lang w:val="en-US" w:eastAsia="zh-CN"/>
        </w:rPr>
        <w:t>2套</w:t>
      </w:r>
      <w:r>
        <w:rPr>
          <w:rFonts w:hint="eastAsia" w:ascii="宋体" w:hAnsi="宋体"/>
          <w:color w:val="auto"/>
          <w:highlight w:val="none"/>
        </w:rPr>
        <w:t>。</w:t>
      </w:r>
    </w:p>
    <w:p w14:paraId="158FE49B">
      <w:pPr>
        <w:spacing w:line="360" w:lineRule="exact"/>
        <w:ind w:firstLine="420" w:firstLineChars="200"/>
        <w:rPr>
          <w:rFonts w:hint="eastAsia" w:ascii="宋体" w:hAnsi="宋体"/>
          <w:color w:val="auto"/>
          <w:highlight w:val="none"/>
        </w:rPr>
      </w:pPr>
      <w:r>
        <w:rPr>
          <w:rFonts w:hint="eastAsia" w:ascii="宋体" w:hAnsi="宋体"/>
          <w:color w:val="auto"/>
          <w:highlight w:val="none"/>
        </w:rPr>
        <w:t>（3）预算金额</w:t>
      </w:r>
      <w:r>
        <w:rPr>
          <w:rFonts w:hint="eastAsia" w:ascii="宋体" w:hAnsi="宋体"/>
          <w:bCs/>
          <w:color w:val="auto"/>
          <w:szCs w:val="21"/>
          <w:highlight w:val="none"/>
        </w:rPr>
        <w:t>（元）</w:t>
      </w:r>
      <w:r>
        <w:rPr>
          <w:rFonts w:hint="eastAsia" w:ascii="宋体" w:hAnsi="宋体"/>
          <w:color w:val="auto"/>
          <w:highlight w:val="none"/>
        </w:rPr>
        <w:t>：</w:t>
      </w:r>
      <w:r>
        <w:rPr>
          <w:rFonts w:hint="eastAsia" w:ascii="宋体" w:hAnsi="宋体"/>
          <w:color w:val="auto"/>
          <w:highlight w:val="none"/>
          <w:lang w:val="en-US" w:eastAsia="zh-CN"/>
        </w:rPr>
        <w:t>60</w:t>
      </w:r>
      <w:r>
        <w:rPr>
          <w:rFonts w:hint="eastAsia" w:ascii="宋体" w:hAnsi="宋体"/>
          <w:color w:val="auto"/>
          <w:highlight w:val="none"/>
        </w:rPr>
        <w:t>0000.00</w:t>
      </w:r>
    </w:p>
    <w:p w14:paraId="52948B58">
      <w:pPr>
        <w:spacing w:line="360" w:lineRule="exact"/>
        <w:ind w:firstLine="420" w:firstLineChars="200"/>
        <w:rPr>
          <w:rFonts w:hint="default" w:ascii="宋体" w:hAnsi="宋体" w:eastAsia="宋体"/>
          <w:color w:val="auto"/>
          <w:highlight w:val="none"/>
          <w:lang w:val="en-US" w:eastAsia="zh-CN"/>
        </w:rPr>
      </w:pPr>
      <w:r>
        <w:rPr>
          <w:rFonts w:hint="eastAsia" w:ascii="宋体" w:hAnsi="宋体"/>
          <w:color w:val="auto"/>
          <w:highlight w:val="none"/>
        </w:rPr>
        <w:t>（</w:t>
      </w:r>
      <w:r>
        <w:rPr>
          <w:rFonts w:hint="eastAsia" w:ascii="宋体" w:hAnsi="宋体"/>
          <w:color w:val="auto"/>
          <w:highlight w:val="none"/>
          <w:lang w:val="en-US" w:eastAsia="zh-CN"/>
        </w:rPr>
        <w:t>4</w:t>
      </w:r>
      <w:r>
        <w:rPr>
          <w:rFonts w:hint="eastAsia" w:ascii="宋体" w:hAnsi="宋体"/>
          <w:color w:val="auto"/>
          <w:highlight w:val="none"/>
        </w:rPr>
        <w:t>）最高限价（</w:t>
      </w:r>
      <w:r>
        <w:rPr>
          <w:rFonts w:hint="eastAsia" w:ascii="宋体" w:hAnsi="宋体"/>
          <w:color w:val="auto"/>
          <w:highlight w:val="none"/>
          <w:lang w:val="en-US" w:eastAsia="zh-CN"/>
        </w:rPr>
        <w:t>元</w:t>
      </w:r>
      <w:r>
        <w:rPr>
          <w:rFonts w:hint="eastAsia" w:ascii="宋体" w:hAnsi="宋体"/>
          <w:color w:val="auto"/>
          <w:highlight w:val="none"/>
        </w:rPr>
        <w:t>）：</w:t>
      </w:r>
      <w:r>
        <w:rPr>
          <w:rFonts w:hint="eastAsia" w:ascii="宋体" w:hAnsi="宋体"/>
          <w:color w:val="auto"/>
          <w:highlight w:val="none"/>
          <w:lang w:val="en-US" w:eastAsia="zh-CN"/>
        </w:rPr>
        <w:t>550000.00</w:t>
      </w:r>
    </w:p>
    <w:p w14:paraId="1FFD42E9">
      <w:pPr>
        <w:spacing w:line="360" w:lineRule="exact"/>
        <w:ind w:firstLine="420" w:firstLineChars="200"/>
        <w:rPr>
          <w:rFonts w:hint="eastAsia" w:ascii="宋体" w:hAnsi="宋体" w:eastAsia="宋体" w:cs="Times New Roman"/>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5</w:t>
      </w:r>
      <w:r>
        <w:rPr>
          <w:rFonts w:hint="eastAsia" w:ascii="宋体" w:hAnsi="宋体"/>
          <w:color w:val="auto"/>
          <w:highlight w:val="none"/>
        </w:rPr>
        <w:t>）</w:t>
      </w:r>
      <w:r>
        <w:rPr>
          <w:rFonts w:ascii="宋体" w:hAnsi="宋体" w:eastAsia="宋体" w:cs="Times New Roman"/>
          <w:color w:val="auto"/>
          <w:highlight w:val="none"/>
        </w:rPr>
        <w:t>简要规格描述或项目基本概况介绍、用途</w:t>
      </w:r>
      <w:r>
        <w:rPr>
          <w:rFonts w:hint="eastAsia" w:ascii="宋体" w:hAnsi="宋体" w:eastAsia="宋体" w:cs="Times New Roman"/>
          <w:color w:val="auto"/>
          <w:highlight w:val="none"/>
        </w:rPr>
        <w:t>：①标的的名称、</w:t>
      </w:r>
      <w:r>
        <w:rPr>
          <w:rFonts w:hint="eastAsia" w:ascii="宋体" w:hAnsi="宋体" w:eastAsia="宋体" w:cs="Times New Roman"/>
          <w:color w:val="auto"/>
          <w:highlight w:val="none"/>
        </w:rPr>
        <w:t>数量及单位：</w:t>
      </w:r>
      <w:r>
        <w:rPr>
          <w:rFonts w:hint="eastAsia" w:ascii="宋体" w:hAnsi="宋体" w:cs="宋体"/>
          <w:b w:val="0"/>
          <w:bCs w:val="0"/>
          <w:color w:val="auto"/>
          <w:kern w:val="0"/>
          <w:sz w:val="22"/>
          <w:szCs w:val="22"/>
          <w:highlight w:val="none"/>
        </w:rPr>
        <w:t>医用中心吸引系统</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套、</w:t>
      </w:r>
      <w:r>
        <w:rPr>
          <w:rFonts w:hint="eastAsia" w:ascii="宋体" w:hAnsi="宋体" w:cs="宋体"/>
          <w:b w:val="0"/>
          <w:bCs w:val="0"/>
          <w:color w:val="auto"/>
          <w:kern w:val="0"/>
          <w:sz w:val="22"/>
          <w:szCs w:val="22"/>
          <w:highlight w:val="none"/>
        </w:rPr>
        <w:t>医用压缩空气供应系统</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套</w:t>
      </w:r>
      <w:r>
        <w:rPr>
          <w:rFonts w:hint="eastAsia" w:ascii="宋体" w:hAnsi="宋体" w:eastAsia="宋体" w:cs="Times New Roman"/>
          <w:color w:val="auto"/>
          <w:highlight w:val="none"/>
          <w:lang w:val="en-US" w:eastAsia="zh-CN"/>
        </w:rPr>
        <w:t>；</w:t>
      </w:r>
      <w:r>
        <w:rPr>
          <w:rFonts w:hint="eastAsia" w:ascii="宋体" w:hAnsi="宋体" w:eastAsia="宋体" w:cs="Times New Roman"/>
          <w:color w:val="auto"/>
          <w:highlight w:val="none"/>
        </w:rPr>
        <w:t>②简要技术需求或者</w:t>
      </w:r>
      <w:r>
        <w:rPr>
          <w:rFonts w:hint="eastAsia" w:ascii="宋体" w:hAnsi="宋体" w:eastAsia="宋体" w:cs="Times New Roman"/>
          <w:color w:val="auto"/>
          <w:highlight w:val="none"/>
        </w:rPr>
        <w:t>服务要求</w:t>
      </w:r>
      <w:r>
        <w:rPr>
          <w:rFonts w:hint="eastAsia" w:ascii="宋体" w:hAnsi="宋体" w:eastAsia="宋体" w:cs="Times New Roman"/>
          <w:color w:val="auto"/>
          <w:highlight w:val="none"/>
          <w:lang w:eastAsia="zh-CN"/>
        </w:rPr>
        <w:t>：</w:t>
      </w:r>
      <w:r>
        <w:rPr>
          <w:rFonts w:hint="eastAsia" w:ascii="宋体" w:hAnsi="宋体" w:eastAsia="宋体" w:cs="Times New Roman"/>
          <w:color w:val="auto"/>
          <w:highlight w:val="none"/>
        </w:rPr>
        <w:t>按照国家有关产品“三包”规定执行“三包”。具体详见采购需求。</w:t>
      </w:r>
    </w:p>
    <w:p w14:paraId="69191272">
      <w:pPr>
        <w:spacing w:line="360" w:lineRule="exact"/>
        <w:ind w:firstLine="420" w:firstLineChars="200"/>
        <w:rPr>
          <w:rFonts w:ascii="宋体" w:hAnsi="宋体"/>
          <w:color w:val="auto"/>
          <w:highlight w:val="none"/>
        </w:rPr>
      </w:pPr>
      <w:r>
        <w:rPr>
          <w:rFonts w:hint="eastAsia" w:ascii="宋体" w:hAnsi="宋体"/>
          <w:color w:val="auto"/>
          <w:highlight w:val="none"/>
        </w:rPr>
        <w:t>（6）合同履行期限：</w:t>
      </w:r>
      <w:r>
        <w:rPr>
          <w:rFonts w:hint="eastAsia" w:ascii="宋体" w:hAnsi="宋体" w:eastAsia="宋体" w:cs="Times New Roman"/>
          <w:color w:val="auto"/>
          <w:highlight w:val="none"/>
        </w:rPr>
        <w:t>自合同签订之日起</w:t>
      </w:r>
      <w:r>
        <w:rPr>
          <w:rFonts w:hint="eastAsia" w:ascii="宋体" w:hAnsi="宋体" w:eastAsia="宋体" w:cs="Times New Roman"/>
          <w:color w:val="auto"/>
          <w:highlight w:val="none"/>
          <w:lang w:val="en-US" w:eastAsia="zh-CN"/>
        </w:rPr>
        <w:t>20个工作日内</w:t>
      </w:r>
      <w:r>
        <w:rPr>
          <w:rFonts w:hint="eastAsia" w:ascii="宋体" w:hAnsi="宋体" w:eastAsia="宋体" w:cs="Times New Roman"/>
          <w:color w:val="auto"/>
          <w:highlight w:val="none"/>
        </w:rPr>
        <w:t>全部安装调试合</w:t>
      </w:r>
      <w:r>
        <w:rPr>
          <w:rFonts w:hint="eastAsia" w:ascii="宋体" w:hAnsi="宋体"/>
          <w:color w:val="auto"/>
          <w:highlight w:val="none"/>
        </w:rPr>
        <w:t>格完毕并交付使用。</w:t>
      </w:r>
    </w:p>
    <w:p w14:paraId="5BB3C318">
      <w:pPr>
        <w:spacing w:line="360" w:lineRule="exact"/>
        <w:ind w:firstLine="420" w:firstLineChars="200"/>
        <w:rPr>
          <w:rFonts w:ascii="宋体" w:hAnsi="宋体"/>
          <w:color w:val="auto"/>
          <w:highlight w:val="none"/>
        </w:rPr>
      </w:pPr>
      <w:r>
        <w:rPr>
          <w:rFonts w:hint="eastAsia" w:ascii="宋体" w:hAnsi="宋体"/>
          <w:color w:val="auto"/>
          <w:highlight w:val="none"/>
        </w:rPr>
        <w:t>（7）本项目否接受联合体投标。</w:t>
      </w:r>
    </w:p>
    <w:p w14:paraId="0D03E808">
      <w:pPr>
        <w:spacing w:line="360" w:lineRule="exact"/>
        <w:ind w:firstLine="422" w:firstLineChars="200"/>
        <w:rPr>
          <w:rFonts w:hint="eastAsia" w:ascii="宋体" w:hAnsi="宋体"/>
          <w:b/>
          <w:color w:val="auto"/>
          <w:szCs w:val="21"/>
          <w:highlight w:val="none"/>
        </w:rPr>
      </w:pPr>
      <w:r>
        <w:rPr>
          <w:rFonts w:hint="eastAsia" w:ascii="宋体" w:hAnsi="宋体"/>
          <w:b/>
          <w:color w:val="auto"/>
          <w:highlight w:val="none"/>
        </w:rPr>
        <w:t>二</w:t>
      </w:r>
      <w:r>
        <w:rPr>
          <w:rFonts w:hint="eastAsia" w:ascii="宋体" w:hAnsi="宋体"/>
          <w:b/>
          <w:color w:val="auto"/>
          <w:szCs w:val="21"/>
          <w:highlight w:val="none"/>
        </w:rPr>
        <w:t>、申请人的资格要求：</w:t>
      </w:r>
    </w:p>
    <w:p w14:paraId="41A75ADE">
      <w:pPr>
        <w:spacing w:line="360" w:lineRule="exact"/>
        <w:ind w:firstLine="420" w:firstLineChars="200"/>
        <w:rPr>
          <w:rFonts w:ascii="宋体" w:hAnsi="宋体"/>
          <w:color w:val="auto"/>
          <w:highlight w:val="none"/>
        </w:rPr>
      </w:pPr>
      <w:r>
        <w:rPr>
          <w:rFonts w:hint="eastAsia" w:ascii="宋体" w:hAnsi="宋体"/>
          <w:color w:val="auto"/>
          <w:highlight w:val="none"/>
        </w:rPr>
        <w:t>1.满足《中华人民共和国政府采购法》第二十二条规定；</w:t>
      </w:r>
    </w:p>
    <w:p w14:paraId="66DD6BFD">
      <w:pPr>
        <w:spacing w:line="360" w:lineRule="exact"/>
        <w:ind w:firstLine="420" w:firstLineChars="200"/>
        <w:rPr>
          <w:rFonts w:hint="eastAsia" w:ascii="宋体" w:hAnsi="宋体"/>
          <w:color w:val="auto"/>
          <w:highlight w:val="none"/>
        </w:rPr>
      </w:pPr>
      <w:r>
        <w:rPr>
          <w:rFonts w:hint="eastAsia" w:ascii="宋体" w:hAnsi="宋体"/>
          <w:color w:val="auto"/>
          <w:highlight w:val="none"/>
        </w:rPr>
        <w:t>2.落实政府采购政策需满足的资格要求：无；</w:t>
      </w:r>
    </w:p>
    <w:p w14:paraId="19F3D962">
      <w:pPr>
        <w:spacing w:line="360" w:lineRule="exact"/>
        <w:ind w:firstLine="420" w:firstLineChars="200"/>
        <w:rPr>
          <w:rFonts w:hint="eastAsia" w:ascii="宋体" w:hAnsi="宋体"/>
          <w:color w:val="auto"/>
          <w:highlight w:val="none"/>
        </w:rPr>
      </w:pPr>
      <w:r>
        <w:rPr>
          <w:rFonts w:hint="eastAsia" w:ascii="宋体" w:hAnsi="宋体"/>
          <w:color w:val="auto"/>
          <w:highlight w:val="none"/>
        </w:rPr>
        <w:t>3.本项目的特定资格要求：本项目</w:t>
      </w:r>
      <w:r>
        <w:rPr>
          <w:rFonts w:hint="eastAsia" w:ascii="宋体" w:hAnsi="宋体"/>
          <w:color w:val="auto"/>
          <w:highlight w:val="none"/>
          <w:lang w:eastAsia="zh-CN"/>
        </w:rPr>
        <w:t>投标人</w:t>
      </w:r>
      <w:r>
        <w:rPr>
          <w:rFonts w:ascii="宋体" w:hAnsi="宋体"/>
          <w:color w:val="auto"/>
          <w:highlight w:val="none"/>
        </w:rPr>
        <w:t>按《医疗器械监督管理条例》（国务院令第739号）医疗器械分类管理要求具备有效的医疗器械经营备案凭证或者经营许可证，且经营范围必须包含</w:t>
      </w:r>
      <w:r>
        <w:rPr>
          <w:rFonts w:hint="eastAsia" w:ascii="宋体" w:hAnsi="宋体"/>
          <w:color w:val="auto"/>
          <w:highlight w:val="none"/>
        </w:rPr>
        <w:t>所投</w:t>
      </w:r>
      <w:r>
        <w:rPr>
          <w:rFonts w:ascii="宋体" w:hAnsi="宋体"/>
          <w:color w:val="auto"/>
          <w:highlight w:val="none"/>
        </w:rPr>
        <w:t>采购标的[符合《医疗器械监督管理条例》第四十一条第二款规定的除外]；或者</w:t>
      </w:r>
      <w:r>
        <w:rPr>
          <w:rFonts w:hint="eastAsia" w:ascii="宋体" w:hAnsi="宋体"/>
          <w:color w:val="auto"/>
          <w:highlight w:val="none"/>
          <w:lang w:eastAsia="zh-CN"/>
        </w:rPr>
        <w:t>投标人</w:t>
      </w:r>
      <w:r>
        <w:rPr>
          <w:rFonts w:ascii="宋体" w:hAnsi="宋体"/>
          <w:color w:val="auto"/>
          <w:highlight w:val="none"/>
        </w:rPr>
        <w:t>具有《医疗器械监督管理条例》第四十三条规定的注册人凭证。</w:t>
      </w:r>
    </w:p>
    <w:p w14:paraId="3FA846AF">
      <w:pPr>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三、获取招标文件</w:t>
      </w:r>
    </w:p>
    <w:p w14:paraId="1FE7D592">
      <w:pPr>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时间：</w:t>
      </w:r>
      <w:r>
        <w:rPr>
          <w:rFonts w:hint="eastAsia" w:ascii="宋体" w:hAnsi="宋体"/>
          <w:color w:val="auto"/>
          <w:szCs w:val="21"/>
          <w:highlight w:val="none"/>
        </w:rPr>
        <w:t>2025年7月2日</w:t>
      </w:r>
      <w:r>
        <w:rPr>
          <w:rFonts w:ascii="宋体" w:hAnsi="宋体"/>
          <w:color w:val="auto"/>
          <w:szCs w:val="21"/>
          <w:highlight w:val="none"/>
        </w:rPr>
        <w:t>至</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7</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23</w:t>
      </w:r>
      <w:r>
        <w:rPr>
          <w:rFonts w:hint="eastAsia" w:ascii="宋体" w:hAnsi="宋体"/>
          <w:color w:val="auto"/>
          <w:szCs w:val="21"/>
          <w:highlight w:val="none"/>
          <w:lang w:eastAsia="zh-CN"/>
        </w:rPr>
        <w:t>日</w:t>
      </w:r>
      <w:r>
        <w:rPr>
          <w:rFonts w:ascii="宋体" w:hAnsi="宋体"/>
          <w:color w:val="auto"/>
          <w:szCs w:val="21"/>
          <w:highlight w:val="none"/>
        </w:rPr>
        <w:t>，每天上午00:00至12:00，下午12:0</w:t>
      </w:r>
      <w:r>
        <w:rPr>
          <w:rFonts w:hint="eastAsia" w:ascii="宋体" w:hAnsi="宋体"/>
          <w:color w:val="auto"/>
          <w:szCs w:val="21"/>
          <w:highlight w:val="none"/>
        </w:rPr>
        <w:t>1</w:t>
      </w:r>
      <w:r>
        <w:rPr>
          <w:rFonts w:ascii="宋体" w:hAnsi="宋体"/>
          <w:color w:val="auto"/>
          <w:szCs w:val="21"/>
          <w:highlight w:val="none"/>
        </w:rPr>
        <w:t>至23:59（北京时间，法定节假日除外）</w:t>
      </w:r>
    </w:p>
    <w:p w14:paraId="4EF6FD98">
      <w:pPr>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地点（网址）：</w:t>
      </w:r>
      <w:r>
        <w:rPr>
          <w:rFonts w:hint="eastAsia" w:ascii="宋体" w:hAnsi="宋体" w:cs="宋体"/>
          <w:color w:val="auto"/>
          <w:highlight w:val="none"/>
        </w:rPr>
        <w:t>广西政府采购云平台</w:t>
      </w:r>
      <w:r>
        <w:rPr>
          <w:rFonts w:hint="eastAsia" w:ascii="宋体" w:hAnsi="宋体"/>
          <w:color w:val="auto"/>
          <w:highlight w:val="none"/>
        </w:rPr>
        <w:t>（www.gcy.zfcg.gxzf.gov.cn）</w:t>
      </w:r>
      <w:r>
        <w:rPr>
          <w:rFonts w:ascii="宋体" w:hAnsi="宋体"/>
          <w:color w:val="auto"/>
          <w:szCs w:val="21"/>
          <w:highlight w:val="none"/>
        </w:rPr>
        <w:t>。</w:t>
      </w:r>
    </w:p>
    <w:p w14:paraId="7D31220B">
      <w:pPr>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方式：</w:t>
      </w:r>
      <w:r>
        <w:rPr>
          <w:color w:val="auto"/>
          <w:highlight w:val="none"/>
        </w:rPr>
        <w:t>投标人应在</w:t>
      </w:r>
      <w:r>
        <w:rPr>
          <w:rFonts w:hint="eastAsia" w:ascii="宋体" w:hAnsi="宋体" w:cs="宋体"/>
          <w:color w:val="auto"/>
          <w:highlight w:val="none"/>
        </w:rPr>
        <w:t>广西政府采购云平台</w:t>
      </w:r>
      <w:r>
        <w:rPr>
          <w:rFonts w:hint="eastAsia" w:ascii="宋体" w:hAnsi="宋体"/>
          <w:color w:val="auto"/>
          <w:highlight w:val="none"/>
        </w:rPr>
        <w:t>（www.gcy.zfcg.gxzf.gov.cn）</w:t>
      </w:r>
      <w:r>
        <w:rPr>
          <w:color w:val="auto"/>
          <w:highlight w:val="none"/>
        </w:rPr>
        <w:t>下载招标文件电子版</w:t>
      </w:r>
      <w:r>
        <w:rPr>
          <w:rFonts w:hint="eastAsia" w:ascii="宋体" w:hAnsi="宋体"/>
          <w:color w:val="auto"/>
          <w:szCs w:val="21"/>
          <w:highlight w:val="none"/>
        </w:rPr>
        <w:t xml:space="preserve">。 </w:t>
      </w:r>
    </w:p>
    <w:p w14:paraId="17D8EDAA">
      <w:pPr>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售价（元）：0 </w:t>
      </w:r>
    </w:p>
    <w:p w14:paraId="5439F1FB">
      <w:pPr>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四、</w:t>
      </w:r>
      <w:r>
        <w:rPr>
          <w:rFonts w:hint="eastAsia" w:ascii="宋体" w:hAnsi="宋体" w:cs="宋体"/>
          <w:b/>
          <w:color w:val="auto"/>
          <w:szCs w:val="21"/>
          <w:highlight w:val="none"/>
        </w:rPr>
        <w:t>提交投标文件截止时间、开标时间和地点</w:t>
      </w:r>
      <w:r>
        <w:rPr>
          <w:rFonts w:hint="eastAsia" w:ascii="宋体" w:hAnsi="宋体"/>
          <w:b/>
          <w:color w:val="auto"/>
          <w:szCs w:val="21"/>
          <w:highlight w:val="none"/>
        </w:rPr>
        <w:t>：</w:t>
      </w:r>
    </w:p>
    <w:p w14:paraId="43665D84">
      <w:pPr>
        <w:spacing w:line="360" w:lineRule="exact"/>
        <w:ind w:firstLine="420" w:firstLineChars="200"/>
        <w:rPr>
          <w:rFonts w:ascii="宋体" w:hAnsi="宋体"/>
          <w:bCs/>
          <w:color w:val="auto"/>
          <w:highlight w:val="none"/>
        </w:rPr>
      </w:pPr>
      <w:r>
        <w:rPr>
          <w:rFonts w:hint="eastAsia" w:ascii="宋体" w:hAnsi="宋体"/>
          <w:bCs/>
          <w:color w:val="auto"/>
          <w:highlight w:val="none"/>
        </w:rPr>
        <w:t>提交投标文件截止时间：</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7</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23</w:t>
      </w:r>
      <w:r>
        <w:rPr>
          <w:rFonts w:hint="eastAsia" w:ascii="宋体" w:hAnsi="宋体"/>
          <w:color w:val="auto"/>
          <w:szCs w:val="21"/>
          <w:highlight w:val="none"/>
          <w:lang w:eastAsia="zh-CN"/>
        </w:rPr>
        <w:t>日</w:t>
      </w:r>
      <w:r>
        <w:rPr>
          <w:rFonts w:hint="eastAsia" w:ascii="宋体" w:hAnsi="宋体"/>
          <w:bCs/>
          <w:color w:val="auto"/>
          <w:highlight w:val="none"/>
        </w:rPr>
        <w:t>上午 9:30（北京时间）</w:t>
      </w:r>
    </w:p>
    <w:p w14:paraId="0435AE99">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投标地点：通过</w:t>
      </w:r>
      <w:r>
        <w:rPr>
          <w:rFonts w:hint="eastAsia" w:ascii="宋体" w:hAnsi="宋体" w:cs="宋体"/>
          <w:color w:val="auto"/>
          <w:highlight w:val="none"/>
        </w:rPr>
        <w:t>广西政府采购云</w:t>
      </w:r>
      <w:r>
        <w:rPr>
          <w:rFonts w:hint="eastAsia" w:ascii="宋体" w:hAnsi="宋体"/>
          <w:bCs/>
          <w:color w:val="auto"/>
          <w:highlight w:val="none"/>
        </w:rPr>
        <w:t>平台在线投标。</w:t>
      </w:r>
    </w:p>
    <w:p w14:paraId="31B7C318">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开标时间：</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7</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23</w:t>
      </w:r>
      <w:r>
        <w:rPr>
          <w:rFonts w:hint="eastAsia" w:ascii="宋体" w:hAnsi="宋体"/>
          <w:color w:val="auto"/>
          <w:szCs w:val="21"/>
          <w:highlight w:val="none"/>
          <w:lang w:eastAsia="zh-CN"/>
        </w:rPr>
        <w:t>日</w:t>
      </w:r>
      <w:r>
        <w:rPr>
          <w:rFonts w:hint="eastAsia" w:ascii="宋体" w:hAnsi="宋体"/>
          <w:bCs/>
          <w:color w:val="auto"/>
          <w:highlight w:val="none"/>
        </w:rPr>
        <w:t>上午 9:30（北京时间）</w:t>
      </w:r>
    </w:p>
    <w:p w14:paraId="0F95D286">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开标地点：通过</w:t>
      </w:r>
      <w:r>
        <w:rPr>
          <w:rFonts w:hint="eastAsia" w:ascii="宋体" w:hAnsi="宋体" w:cs="宋体"/>
          <w:color w:val="auto"/>
          <w:highlight w:val="none"/>
        </w:rPr>
        <w:t>广西政府采购云</w:t>
      </w:r>
      <w:r>
        <w:rPr>
          <w:rFonts w:hint="eastAsia" w:ascii="宋体" w:hAnsi="宋体"/>
          <w:bCs/>
          <w:color w:val="auto"/>
          <w:highlight w:val="none"/>
        </w:rPr>
        <w:t>平台在线解密开启。</w:t>
      </w:r>
    </w:p>
    <w:p w14:paraId="0B51A26A">
      <w:pPr>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五、公告期限</w:t>
      </w:r>
    </w:p>
    <w:p w14:paraId="10F7E3F8">
      <w:pPr>
        <w:spacing w:line="360" w:lineRule="exact"/>
        <w:ind w:firstLine="420" w:firstLineChars="200"/>
        <w:rPr>
          <w:rFonts w:hint="eastAsia" w:ascii="宋体" w:hAnsi="宋体"/>
          <w:bCs/>
          <w:color w:val="auto"/>
          <w:highlight w:val="none"/>
        </w:rPr>
      </w:pPr>
      <w:r>
        <w:rPr>
          <w:rFonts w:ascii="宋体" w:hAnsi="宋体"/>
          <w:bCs/>
          <w:color w:val="auto"/>
          <w:highlight w:val="none"/>
        </w:rPr>
        <w:t>自本公告发布之日起5个工作日。</w:t>
      </w:r>
    </w:p>
    <w:p w14:paraId="764CD7E7">
      <w:pPr>
        <w:spacing w:line="360" w:lineRule="exact"/>
        <w:ind w:firstLine="422" w:firstLineChars="200"/>
        <w:rPr>
          <w:rFonts w:ascii="宋体" w:hAnsi="宋体"/>
          <w:b/>
          <w:color w:val="auto"/>
          <w:szCs w:val="21"/>
          <w:highlight w:val="none"/>
        </w:rPr>
      </w:pPr>
      <w:bookmarkStart w:id="1" w:name="_Toc35393795"/>
      <w:bookmarkStart w:id="2" w:name="_Toc35393626"/>
      <w:bookmarkStart w:id="3" w:name="_Toc44405606"/>
      <w:r>
        <w:rPr>
          <w:rFonts w:hint="eastAsia" w:ascii="宋体" w:hAnsi="宋体"/>
          <w:b/>
          <w:color w:val="auto"/>
          <w:szCs w:val="21"/>
          <w:highlight w:val="none"/>
        </w:rPr>
        <w:t>六、其他补充事宜</w:t>
      </w:r>
      <w:bookmarkEnd w:id="1"/>
      <w:bookmarkEnd w:id="2"/>
      <w:bookmarkEnd w:id="3"/>
    </w:p>
    <w:p w14:paraId="544DA03F">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1.</w:t>
      </w:r>
      <w:r>
        <w:rPr>
          <w:rFonts w:ascii="宋体" w:hAnsi="宋体"/>
          <w:bCs/>
          <w:color w:val="auto"/>
          <w:highlight w:val="none"/>
        </w:rPr>
        <w:t>信息公告发布媒体：中国政府采购网（www.ccgp.gov.cn）、广西壮族自治区政府采购网（</w:t>
      </w:r>
      <w:r>
        <w:rPr>
          <w:rFonts w:ascii="宋体" w:hAnsi="宋体"/>
          <w:color w:val="auto"/>
          <w:highlight w:val="none"/>
        </w:rPr>
        <w:t>zfcg.gxzf.gov.cn</w:t>
      </w:r>
      <w:r>
        <w:rPr>
          <w:rFonts w:hint="eastAsia" w:ascii="宋体" w:hAnsi="宋体"/>
          <w:color w:val="auto"/>
          <w:highlight w:val="none"/>
          <w:lang w:eastAsia="zh-CN"/>
        </w:rPr>
        <w:t>）</w:t>
      </w:r>
      <w:r>
        <w:rPr>
          <w:rFonts w:ascii="宋体" w:hAnsi="宋体"/>
          <w:bCs/>
          <w:color w:val="auto"/>
          <w:highlight w:val="none"/>
        </w:rPr>
        <w:t>、桂林市政府采购网</w:t>
      </w:r>
      <w:r>
        <w:rPr>
          <w:rFonts w:hint="eastAsia" w:ascii="宋体" w:hAnsi="宋体"/>
          <w:bCs/>
          <w:color w:val="auto"/>
          <w:highlight w:val="none"/>
          <w:lang w:eastAsia="zh-CN"/>
        </w:rPr>
        <w:t>（</w:t>
      </w:r>
      <w:r>
        <w:rPr>
          <w:rFonts w:ascii="宋体" w:hAnsi="宋体"/>
          <w:bCs/>
          <w:color w:val="auto"/>
          <w:highlight w:val="none"/>
        </w:rPr>
        <w:t>zfcg.czj.guilin.gov.cn</w:t>
      </w:r>
      <w:r>
        <w:rPr>
          <w:rFonts w:hint="eastAsia" w:ascii="宋体" w:hAnsi="宋体"/>
          <w:bCs/>
          <w:color w:val="auto"/>
          <w:highlight w:val="none"/>
          <w:lang w:eastAsia="zh-CN"/>
        </w:rPr>
        <w:t>）</w:t>
      </w:r>
      <w:r>
        <w:rPr>
          <w:rFonts w:hint="eastAsia" w:ascii="宋体" w:hAnsi="宋体"/>
          <w:bCs/>
          <w:color w:val="auto"/>
          <w:highlight w:val="none"/>
        </w:rPr>
        <w:t>。</w:t>
      </w:r>
    </w:p>
    <w:p w14:paraId="4152F5AA">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2.</w:t>
      </w:r>
      <w:r>
        <w:rPr>
          <w:rFonts w:hint="eastAsia" w:ascii="宋体" w:hAnsi="宋体"/>
          <w:color w:val="auto"/>
          <w:szCs w:val="21"/>
          <w:highlight w:val="none"/>
        </w:rPr>
        <w:t>投标人认为招标文件使自己的合法权益受到损害的，应当在本项目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否则，采购代理机构有权拒收。</w:t>
      </w:r>
    </w:p>
    <w:p w14:paraId="73AB4B2F">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本项目需要落实的政府采购政策</w:t>
      </w:r>
    </w:p>
    <w:p w14:paraId="7BDC96CC">
      <w:pPr>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（1）政府采购促进中小企业发展。</w:t>
      </w:r>
    </w:p>
    <w:p w14:paraId="3DA54D09">
      <w:pPr>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（2）政府采购支持监狱企业发展。</w:t>
      </w:r>
    </w:p>
    <w:p w14:paraId="53C05EDB">
      <w:pPr>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（3）政府采购促进残疾人就业政策。</w:t>
      </w:r>
    </w:p>
    <w:p w14:paraId="154C373C">
      <w:pPr>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（4）优先采购节能产品、环境标志产品。</w:t>
      </w:r>
    </w:p>
    <w:p w14:paraId="5B3D7AED">
      <w:pPr>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（5）政府采购支持采用本国产品的政策。</w:t>
      </w:r>
    </w:p>
    <w:p w14:paraId="2575FC20">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4.本项目非专门面向中小企业采购。</w:t>
      </w:r>
    </w:p>
    <w:p w14:paraId="1D340857">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资格条件特别说明：</w:t>
      </w:r>
    </w:p>
    <w:p w14:paraId="7611DB62">
      <w:pPr>
        <w:spacing w:line="360" w:lineRule="exact"/>
        <w:ind w:firstLine="420" w:firstLineChars="200"/>
        <w:rPr>
          <w:rFonts w:hint="eastAsia"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rPr>
        <w:t>1</w:t>
      </w:r>
      <w:r>
        <w:rPr>
          <w:rFonts w:ascii="宋体" w:hAnsi="宋体" w:cs="宋体"/>
          <w:color w:val="auto"/>
          <w:kern w:val="0"/>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w:t>
      </w:r>
      <w:r>
        <w:rPr>
          <w:rFonts w:hint="eastAsia" w:ascii="宋体" w:hAnsi="宋体" w:cs="宋体"/>
          <w:color w:val="auto"/>
          <w:kern w:val="0"/>
          <w:szCs w:val="21"/>
          <w:highlight w:val="none"/>
        </w:rPr>
        <w:t>该采购项目</w:t>
      </w:r>
      <w:r>
        <w:rPr>
          <w:rFonts w:ascii="宋体" w:hAnsi="宋体" w:cs="宋体"/>
          <w:color w:val="auto"/>
          <w:kern w:val="0"/>
          <w:szCs w:val="21"/>
          <w:highlight w:val="none"/>
        </w:rPr>
        <w:t>的其他采购活动</w:t>
      </w:r>
      <w:r>
        <w:rPr>
          <w:rFonts w:hint="eastAsia" w:ascii="宋体" w:hAnsi="宋体" w:cs="宋体"/>
          <w:color w:val="auto"/>
          <w:kern w:val="0"/>
          <w:szCs w:val="21"/>
          <w:highlight w:val="none"/>
        </w:rPr>
        <w:t>；</w:t>
      </w:r>
    </w:p>
    <w:p w14:paraId="175C016E">
      <w:pPr>
        <w:spacing w:line="360" w:lineRule="exact"/>
        <w:ind w:firstLine="420" w:firstLineChars="200"/>
        <w:rPr>
          <w:rFonts w:hint="eastAsia"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rPr>
        <w:t>2</w:t>
      </w:r>
      <w:r>
        <w:rPr>
          <w:rFonts w:ascii="宋体" w:hAnsi="宋体" w:cs="宋体"/>
          <w:color w:val="auto"/>
          <w:kern w:val="0"/>
          <w:szCs w:val="21"/>
          <w:highlight w:val="none"/>
        </w:rPr>
        <w:t>）对在“信用中国”网站</w:t>
      </w:r>
      <w:r>
        <w:rPr>
          <w:rFonts w:hint="eastAsia" w:ascii="宋体" w:hAnsi="宋体" w:cs="宋体"/>
          <w:color w:val="auto"/>
          <w:kern w:val="0"/>
          <w:szCs w:val="21"/>
          <w:highlight w:val="none"/>
          <w:lang w:eastAsia="zh-CN"/>
        </w:rPr>
        <w:t>（</w:t>
      </w:r>
      <w:r>
        <w:rPr>
          <w:rFonts w:ascii="宋体" w:hAnsi="宋体" w:cs="宋体"/>
          <w:color w:val="auto"/>
          <w:kern w:val="0"/>
          <w:szCs w:val="21"/>
          <w:highlight w:val="none"/>
        </w:rPr>
        <w:t>www.creditchina.gov.cn</w:t>
      </w:r>
      <w:r>
        <w:rPr>
          <w:rFonts w:hint="eastAsia" w:ascii="宋体" w:hAnsi="宋体" w:cs="宋体"/>
          <w:color w:val="auto"/>
          <w:kern w:val="0"/>
          <w:szCs w:val="21"/>
          <w:highlight w:val="none"/>
          <w:lang w:eastAsia="zh-CN"/>
        </w:rPr>
        <w:t>）</w:t>
      </w:r>
      <w:r>
        <w:rPr>
          <w:rFonts w:ascii="宋体" w:hAnsi="宋体" w:cs="宋体"/>
          <w:color w:val="auto"/>
          <w:kern w:val="0"/>
          <w:szCs w:val="21"/>
          <w:highlight w:val="none"/>
        </w:rPr>
        <w:t xml:space="preserve">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2C320C32">
      <w:pPr>
        <w:spacing w:line="360" w:lineRule="exact"/>
        <w:ind w:firstLine="527" w:firstLineChars="250"/>
        <w:rPr>
          <w:rFonts w:hint="eastAsia" w:ascii="宋体" w:hAnsi="宋体"/>
          <w:b/>
          <w:color w:val="auto"/>
          <w:szCs w:val="21"/>
          <w:highlight w:val="none"/>
        </w:rPr>
      </w:pPr>
      <w:r>
        <w:rPr>
          <w:rFonts w:hint="eastAsia" w:ascii="宋体" w:hAnsi="宋体"/>
          <w:b/>
          <w:color w:val="auto"/>
          <w:szCs w:val="21"/>
          <w:highlight w:val="none"/>
        </w:rPr>
        <w:t>6.</w:t>
      </w:r>
      <w:r>
        <w:rPr>
          <w:rFonts w:hint="eastAsia" w:ascii="宋体" w:hAnsi="宋体" w:cs="宋体"/>
          <w:bCs/>
          <w:color w:val="auto"/>
          <w:szCs w:val="21"/>
          <w:highlight w:val="none"/>
        </w:rPr>
        <w:t xml:space="preserve"> </w:t>
      </w:r>
      <w:r>
        <w:rPr>
          <w:rFonts w:hint="eastAsia" w:ascii="宋体" w:hAnsi="宋体"/>
          <w:b/>
          <w:color w:val="auto"/>
          <w:szCs w:val="21"/>
          <w:highlight w:val="none"/>
        </w:rPr>
        <w:t>广西政府采购云平台</w:t>
      </w:r>
      <w:r>
        <w:rPr>
          <w:rFonts w:ascii="宋体" w:hAnsi="宋体"/>
          <w:b/>
          <w:color w:val="auto"/>
          <w:szCs w:val="21"/>
          <w:highlight w:val="none"/>
        </w:rPr>
        <w:t>电子</w:t>
      </w:r>
      <w:r>
        <w:rPr>
          <w:rFonts w:hint="eastAsia" w:ascii="宋体" w:hAnsi="宋体"/>
          <w:b/>
          <w:color w:val="auto"/>
          <w:szCs w:val="21"/>
          <w:highlight w:val="none"/>
        </w:rPr>
        <w:t>投标</w:t>
      </w:r>
      <w:r>
        <w:rPr>
          <w:rFonts w:ascii="宋体" w:hAnsi="宋体"/>
          <w:b/>
          <w:color w:val="auto"/>
          <w:szCs w:val="21"/>
          <w:highlight w:val="none"/>
        </w:rPr>
        <w:t>相关</w:t>
      </w:r>
      <w:r>
        <w:rPr>
          <w:rFonts w:hint="eastAsia" w:ascii="宋体" w:hAnsi="宋体"/>
          <w:b/>
          <w:color w:val="auto"/>
          <w:szCs w:val="21"/>
          <w:highlight w:val="none"/>
        </w:rPr>
        <w:t>事宜说明</w:t>
      </w:r>
      <w:r>
        <w:rPr>
          <w:rFonts w:ascii="宋体" w:hAnsi="宋体"/>
          <w:b/>
          <w:color w:val="auto"/>
          <w:szCs w:val="21"/>
          <w:highlight w:val="none"/>
        </w:rPr>
        <w:t>：</w:t>
      </w:r>
    </w:p>
    <w:p w14:paraId="453DEB85">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（1）本项目为全流程电子化采购项目，通过广西政府采购云平台（www.gcy.zfcg.gxzf.gov.cn</w:t>
      </w:r>
      <w:r>
        <w:rPr>
          <w:rFonts w:hint="eastAsia" w:ascii="宋体" w:hAnsi="宋体"/>
          <w:bCs/>
          <w:color w:val="auto"/>
          <w:highlight w:val="none"/>
          <w:lang w:eastAsia="zh-CN"/>
        </w:rPr>
        <w:t>）</w:t>
      </w:r>
      <w:r>
        <w:rPr>
          <w:rFonts w:hint="eastAsia" w:ascii="宋体" w:hAnsi="宋体"/>
          <w:bCs/>
          <w:color w:val="auto"/>
          <w:highlight w:val="none"/>
        </w:rPr>
        <w:t>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34FB3582">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kern w:val="0"/>
          <w:szCs w:val="21"/>
          <w:highlight w:val="none"/>
        </w:rPr>
        <w:t>或者0771-3381253</w:t>
      </w:r>
      <w:r>
        <w:rPr>
          <w:rFonts w:hint="eastAsia" w:ascii="宋体" w:hAnsi="宋体"/>
          <w:bCs/>
          <w:color w:val="auto"/>
          <w:highlight w:val="none"/>
        </w:rPr>
        <w:t>）。</w:t>
      </w:r>
    </w:p>
    <w:p w14:paraId="72CA2017">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（3）CA证书在线解密：投标人投标时，需凭制作投标文件时用来加密的有效数字证书（CA认证）登录广西政府采购云平台电子开标大厅现场按规定时间对加密的投标文件进行解密，否则后果自负。</w:t>
      </w:r>
    </w:p>
    <w:p w14:paraId="7372A503">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w:t>
      </w:r>
      <w:r>
        <w:rPr>
          <w:rFonts w:hint="eastAsia" w:ascii="宋体" w:hAnsi="宋体"/>
          <w:bCs/>
          <w:color w:val="auto"/>
          <w:highlight w:val="none"/>
          <w:lang w:eastAsia="zh-CN"/>
        </w:rPr>
        <w:t>）</w:t>
      </w:r>
      <w:r>
        <w:rPr>
          <w:rFonts w:hint="eastAsia" w:ascii="宋体" w:hAnsi="宋体"/>
          <w:bCs/>
          <w:color w:val="auto"/>
          <w:highlight w:val="none"/>
        </w:rPr>
        <w:t>—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p w14:paraId="4CAB2892">
      <w:pPr>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七、</w:t>
      </w:r>
      <w:r>
        <w:rPr>
          <w:rFonts w:hint="eastAsia" w:ascii="宋体" w:hAnsi="宋体"/>
          <w:b/>
          <w:color w:val="auto"/>
          <w:highlight w:val="none"/>
        </w:rPr>
        <w:t>本次投标联系事项：</w:t>
      </w:r>
    </w:p>
    <w:p w14:paraId="0B9C1024">
      <w:pPr>
        <w:widowControl/>
        <w:spacing w:line="360" w:lineRule="exact"/>
        <w:jc w:val="left"/>
        <w:rPr>
          <w:rFonts w:ascii="宋体" w:hAnsi="宋体"/>
          <w:color w:val="auto"/>
          <w:highlight w:val="none"/>
        </w:rPr>
      </w:pPr>
      <w:r>
        <w:rPr>
          <w:rFonts w:hint="eastAsia" w:ascii="宋体" w:hAnsi="宋体" w:cs="宋体"/>
          <w:color w:val="auto"/>
          <w:highlight w:val="none"/>
        </w:rPr>
        <w:t>　   1.采购人信息</w:t>
      </w:r>
    </w:p>
    <w:p w14:paraId="42695CE5">
      <w:pPr>
        <w:spacing w:line="360" w:lineRule="exact"/>
        <w:jc w:val="left"/>
        <w:rPr>
          <w:rFonts w:hint="default" w:ascii="宋体" w:hAnsi="宋体" w:eastAsia="宋体"/>
          <w:color w:val="auto"/>
          <w:highlight w:val="none"/>
          <w:lang w:val="en-US" w:eastAsia="zh-CN"/>
        </w:rPr>
      </w:pPr>
      <w:r>
        <w:rPr>
          <w:rFonts w:hint="eastAsia" w:ascii="宋体" w:hAnsi="宋体"/>
          <w:color w:val="auto"/>
          <w:highlight w:val="none"/>
        </w:rPr>
        <w:t xml:space="preserve">     名   称：桂林市中西医结合医院</w:t>
      </w:r>
    </w:p>
    <w:p w14:paraId="2E1DDCE0">
      <w:pPr>
        <w:spacing w:line="360" w:lineRule="exact"/>
        <w:jc w:val="left"/>
        <w:rPr>
          <w:rFonts w:hint="eastAsia" w:ascii="宋体" w:hAnsi="宋体"/>
          <w:color w:val="auto"/>
          <w:highlight w:val="none"/>
        </w:rPr>
      </w:pPr>
      <w:r>
        <w:rPr>
          <w:rFonts w:hint="eastAsia" w:ascii="宋体" w:hAnsi="宋体"/>
          <w:color w:val="auto"/>
          <w:highlight w:val="none"/>
        </w:rPr>
        <w:t xml:space="preserve">     地   址：</w:t>
      </w:r>
      <w:r>
        <w:rPr>
          <w:rFonts w:ascii="宋体" w:hAnsi="宋体"/>
          <w:color w:val="auto"/>
          <w:highlight w:val="none"/>
        </w:rPr>
        <w:t>广西</w:t>
      </w:r>
      <w:r>
        <w:rPr>
          <w:rFonts w:hint="eastAsia" w:ascii="宋体" w:hAnsi="宋体"/>
          <w:color w:val="auto"/>
          <w:highlight w:val="none"/>
        </w:rPr>
        <w:t>桂林市七星区半塘路6号</w:t>
      </w:r>
    </w:p>
    <w:p w14:paraId="39197C3D">
      <w:pPr>
        <w:spacing w:line="360" w:lineRule="exact"/>
        <w:ind w:firstLine="567" w:firstLineChars="270"/>
        <w:rPr>
          <w:rFonts w:hint="default" w:ascii="宋体" w:hAnsi="宋体" w:eastAsia="宋体"/>
          <w:color w:val="auto"/>
          <w:highlight w:val="none"/>
          <w:lang w:val="en-US" w:eastAsia="zh-CN"/>
        </w:rPr>
      </w:pPr>
      <w:r>
        <w:rPr>
          <w:rFonts w:hint="eastAsia" w:hAnsi="宋体"/>
          <w:color w:val="auto"/>
          <w:highlight w:val="none"/>
        </w:rPr>
        <w:t>项目联系人：</w:t>
      </w:r>
      <w:r>
        <w:rPr>
          <w:rFonts w:hint="eastAsia" w:hAnsi="宋体"/>
          <w:color w:val="auto"/>
          <w:highlight w:val="none"/>
          <w:lang w:val="en-US" w:eastAsia="zh-CN"/>
        </w:rPr>
        <w:t>杨德文</w:t>
      </w:r>
    </w:p>
    <w:p w14:paraId="3CE5C2ED">
      <w:pPr>
        <w:spacing w:line="360" w:lineRule="exact"/>
        <w:ind w:firstLine="567" w:firstLineChars="270"/>
        <w:rPr>
          <w:rFonts w:hint="eastAsia" w:ascii="宋体" w:hAnsi="宋体"/>
          <w:color w:val="auto"/>
          <w:highlight w:val="none"/>
        </w:rPr>
      </w:pPr>
      <w:r>
        <w:rPr>
          <w:rFonts w:hint="eastAsia" w:ascii="宋体" w:hAnsi="宋体"/>
          <w:color w:val="auto"/>
          <w:highlight w:val="none"/>
        </w:rPr>
        <w:t>联系方式：</w:t>
      </w:r>
      <w:bookmarkStart w:id="4" w:name="_Toc28359086"/>
      <w:bookmarkStart w:id="5" w:name="_Toc28359009"/>
      <w:r>
        <w:rPr>
          <w:rFonts w:hint="eastAsia" w:ascii="宋体" w:hAnsi="宋体"/>
          <w:color w:val="auto"/>
          <w:highlight w:val="none"/>
        </w:rPr>
        <w:t>17777379199</w:t>
      </w:r>
    </w:p>
    <w:p w14:paraId="0CC92C8A">
      <w:pPr>
        <w:spacing w:line="360" w:lineRule="exact"/>
        <w:ind w:firstLine="567" w:firstLineChars="270"/>
        <w:rPr>
          <w:rFonts w:hint="eastAsia" w:ascii="宋体" w:hAnsi="宋体"/>
          <w:color w:val="auto"/>
          <w:highlight w:val="none"/>
        </w:rPr>
      </w:pPr>
      <w:r>
        <w:rPr>
          <w:rFonts w:hint="eastAsia" w:ascii="宋体" w:hAnsi="宋体"/>
          <w:color w:val="auto"/>
          <w:highlight w:val="none"/>
        </w:rPr>
        <w:t>2.采购代理机构信息</w:t>
      </w:r>
      <w:bookmarkEnd w:id="4"/>
      <w:bookmarkEnd w:id="5"/>
    </w:p>
    <w:p w14:paraId="3C7286BF">
      <w:pPr>
        <w:spacing w:line="360" w:lineRule="exact"/>
        <w:ind w:firstLine="567" w:firstLineChars="270"/>
        <w:rPr>
          <w:rFonts w:ascii="宋体" w:hAnsi="宋体"/>
          <w:color w:val="auto"/>
          <w:highlight w:val="none"/>
        </w:rPr>
      </w:pPr>
      <w:r>
        <w:rPr>
          <w:rFonts w:hint="eastAsia" w:ascii="宋体" w:hAnsi="宋体"/>
          <w:color w:val="auto"/>
          <w:highlight w:val="none"/>
        </w:rPr>
        <w:t>名   称：云之龙咨询集团有限公司</w:t>
      </w:r>
    </w:p>
    <w:p w14:paraId="58A26F88">
      <w:pPr>
        <w:spacing w:line="360" w:lineRule="exact"/>
        <w:ind w:firstLine="567" w:firstLineChars="270"/>
        <w:rPr>
          <w:rFonts w:hint="eastAsia" w:ascii="宋体" w:hAnsi="宋体"/>
          <w:color w:val="auto"/>
          <w:highlight w:val="none"/>
        </w:rPr>
      </w:pPr>
      <w:r>
        <w:rPr>
          <w:rFonts w:hint="eastAsia" w:ascii="宋体" w:hAnsi="宋体"/>
          <w:color w:val="auto"/>
          <w:highlight w:val="none"/>
        </w:rPr>
        <w:t>地　 址：</w:t>
      </w:r>
      <w:bookmarkStart w:id="6" w:name="OLE_LINK11"/>
      <w:bookmarkStart w:id="7" w:name="OLE_LINK1"/>
      <w:r>
        <w:rPr>
          <w:rFonts w:hint="eastAsia" w:ascii="宋体" w:hAnsi="宋体"/>
          <w:color w:val="auto"/>
          <w:highlight w:val="none"/>
        </w:rPr>
        <w:t>广西桂林市临桂区西城北路2号耀辉•美好家园2幢12层1号房</w:t>
      </w:r>
      <w:bookmarkEnd w:id="6"/>
      <w:bookmarkEnd w:id="7"/>
    </w:p>
    <w:p w14:paraId="51710F8B">
      <w:pPr>
        <w:pStyle w:val="27"/>
        <w:spacing w:line="360" w:lineRule="exact"/>
        <w:ind w:firstLine="567" w:firstLineChars="270"/>
        <w:rPr>
          <w:rFonts w:hint="eastAsia" w:hAnsi="宋体" w:eastAsia="宋体"/>
          <w:color w:val="auto"/>
          <w:highlight w:val="none"/>
          <w:u w:val="single"/>
          <w:lang w:eastAsia="zh-CN"/>
        </w:rPr>
      </w:pPr>
      <w:r>
        <w:rPr>
          <w:rFonts w:hint="eastAsia" w:hAnsi="宋体"/>
          <w:color w:val="auto"/>
          <w:highlight w:val="none"/>
        </w:rPr>
        <w:t>项目联系人：</w:t>
      </w:r>
      <w:r>
        <w:rPr>
          <w:rFonts w:hint="eastAsia" w:hAnsi="宋体"/>
          <w:color w:val="auto"/>
          <w:szCs w:val="24"/>
          <w:highlight w:val="none"/>
          <w:lang w:eastAsia="zh-CN"/>
        </w:rPr>
        <w:t>李贞</w:t>
      </w:r>
    </w:p>
    <w:p w14:paraId="6ABAE8AB">
      <w:pPr>
        <w:spacing w:line="360" w:lineRule="exact"/>
        <w:ind w:firstLine="567" w:firstLineChars="270"/>
        <w:rPr>
          <w:rFonts w:ascii="宋体" w:hAnsi="宋体"/>
          <w:color w:val="auto"/>
          <w:highlight w:val="none"/>
        </w:rPr>
      </w:pPr>
      <w:r>
        <w:rPr>
          <w:rFonts w:hint="eastAsia" w:ascii="宋体" w:hAnsi="宋体"/>
          <w:color w:val="auto"/>
          <w:highlight w:val="none"/>
        </w:rPr>
        <w:t>联系方式：</w:t>
      </w:r>
      <w:bookmarkStart w:id="8" w:name="_Toc28359087"/>
      <w:bookmarkStart w:id="9" w:name="_Toc28359010"/>
      <w:r>
        <w:rPr>
          <w:rFonts w:ascii="宋体" w:hAnsi="宋体"/>
          <w:color w:val="auto"/>
          <w:highlight w:val="none"/>
        </w:rPr>
        <w:t>0773-2887388</w:t>
      </w:r>
      <w:r>
        <w:rPr>
          <w:rFonts w:hint="eastAsia" w:ascii="宋体" w:hAnsi="宋体"/>
          <w:color w:val="auto"/>
          <w:highlight w:val="none"/>
        </w:rPr>
        <w:t>、2</w:t>
      </w:r>
      <w:r>
        <w:rPr>
          <w:rFonts w:ascii="宋体" w:hAnsi="宋体"/>
          <w:color w:val="auto"/>
          <w:highlight w:val="none"/>
        </w:rPr>
        <w:t>887399</w:t>
      </w:r>
      <w:bookmarkEnd w:id="0"/>
      <w:r>
        <w:rPr>
          <w:rFonts w:hint="eastAsia" w:ascii="宋体" w:hAnsi="宋体"/>
          <w:color w:val="auto"/>
          <w:highlight w:val="none"/>
        </w:rPr>
        <w:t xml:space="preserve">    </w:t>
      </w:r>
    </w:p>
    <w:bookmarkEnd w:id="8"/>
    <w:bookmarkEnd w:id="9"/>
    <w:p w14:paraId="6B2ECC6F">
      <w:pPr>
        <w:spacing w:line="360" w:lineRule="exact"/>
        <w:ind w:firstLine="630" w:firstLineChars="300"/>
        <w:rPr>
          <w:rFonts w:hint="eastAsia" w:ascii="宋体" w:hAnsi="宋体"/>
          <w:color w:val="auto"/>
          <w:highlight w:val="none"/>
        </w:rPr>
      </w:pPr>
    </w:p>
    <w:p w14:paraId="4B1F8F08">
      <w:pPr>
        <w:spacing w:line="300" w:lineRule="exact"/>
        <w:ind w:firstLine="840" w:firstLineChars="300"/>
        <w:rPr>
          <w:rFonts w:ascii="仿宋" w:hAnsi="仿宋" w:eastAsia="仿宋"/>
          <w:color w:val="auto"/>
          <w:sz w:val="28"/>
          <w:szCs w:val="28"/>
          <w:highlight w:val="none"/>
        </w:rPr>
      </w:pPr>
    </w:p>
    <w:p w14:paraId="7B1EEE5D">
      <w:pPr>
        <w:spacing w:line="440" w:lineRule="exact"/>
        <w:jc w:val="center"/>
        <w:rPr>
          <w:rFonts w:hint="eastAsia"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第二章  投标人须知</w:t>
      </w:r>
    </w:p>
    <w:p w14:paraId="5FBBF896">
      <w:pPr>
        <w:tabs>
          <w:tab w:val="left" w:pos="1065"/>
          <w:tab w:val="center" w:pos="4411"/>
        </w:tabs>
        <w:spacing w:line="440" w:lineRule="exact"/>
        <w:jc w:val="center"/>
        <w:rPr>
          <w:rFonts w:hint="eastAsia" w:ascii="宋体" w:hAnsi="宋体"/>
          <w:b/>
          <w:color w:val="auto"/>
          <w:sz w:val="24"/>
          <w:highlight w:val="none"/>
        </w:rPr>
      </w:pPr>
      <w:r>
        <w:rPr>
          <w:rFonts w:hint="eastAsia" w:ascii="宋体" w:hAnsi="宋体"/>
          <w:b/>
          <w:color w:val="auto"/>
          <w:sz w:val="24"/>
          <w:highlight w:val="none"/>
        </w:rPr>
        <w:t>投标人须知前附表</w:t>
      </w:r>
    </w:p>
    <w:tbl>
      <w:tblPr>
        <w:tblStyle w:val="51"/>
        <w:tblW w:w="10141"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50"/>
        <w:gridCol w:w="1701"/>
        <w:gridCol w:w="6946"/>
      </w:tblGrid>
      <w:tr w14:paraId="2FD7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44" w:type="dxa"/>
            <w:noWrap w:val="0"/>
            <w:vAlign w:val="center"/>
          </w:tcPr>
          <w:p w14:paraId="4BC60128">
            <w:pPr>
              <w:spacing w:line="350" w:lineRule="exact"/>
              <w:jc w:val="center"/>
              <w:rPr>
                <w:rFonts w:hint="eastAsia" w:ascii="宋体" w:hAnsi="宋体"/>
                <w:color w:val="auto"/>
                <w:szCs w:val="21"/>
                <w:highlight w:val="none"/>
              </w:rPr>
            </w:pPr>
            <w:r>
              <w:rPr>
                <w:rFonts w:hint="eastAsia" w:ascii="宋体" w:hAnsi="宋体"/>
                <w:color w:val="auto"/>
                <w:szCs w:val="21"/>
                <w:highlight w:val="none"/>
              </w:rPr>
              <w:t>序号</w:t>
            </w:r>
          </w:p>
        </w:tc>
        <w:tc>
          <w:tcPr>
            <w:tcW w:w="850" w:type="dxa"/>
            <w:noWrap w:val="0"/>
            <w:vAlign w:val="center"/>
          </w:tcPr>
          <w:p w14:paraId="72409F33">
            <w:pPr>
              <w:spacing w:line="350" w:lineRule="exact"/>
              <w:jc w:val="center"/>
              <w:rPr>
                <w:rFonts w:hint="eastAsia" w:ascii="宋体" w:hAnsi="宋体"/>
                <w:color w:val="auto"/>
                <w:szCs w:val="21"/>
                <w:highlight w:val="none"/>
              </w:rPr>
            </w:pPr>
            <w:r>
              <w:rPr>
                <w:rFonts w:hint="eastAsia" w:ascii="宋体" w:hAnsi="宋体"/>
                <w:color w:val="auto"/>
                <w:szCs w:val="21"/>
                <w:highlight w:val="none"/>
              </w:rPr>
              <w:t>条款号</w:t>
            </w:r>
          </w:p>
        </w:tc>
        <w:tc>
          <w:tcPr>
            <w:tcW w:w="1701" w:type="dxa"/>
            <w:noWrap w:val="0"/>
            <w:vAlign w:val="center"/>
          </w:tcPr>
          <w:p w14:paraId="0F88807F">
            <w:pPr>
              <w:spacing w:line="350" w:lineRule="exact"/>
              <w:jc w:val="center"/>
              <w:rPr>
                <w:rFonts w:hint="eastAsia" w:ascii="宋体" w:hAnsi="宋体"/>
                <w:color w:val="auto"/>
                <w:szCs w:val="21"/>
                <w:highlight w:val="none"/>
              </w:rPr>
            </w:pPr>
            <w:r>
              <w:rPr>
                <w:rFonts w:hint="eastAsia" w:ascii="宋体" w:hAnsi="宋体"/>
                <w:color w:val="auto"/>
                <w:szCs w:val="21"/>
                <w:highlight w:val="none"/>
              </w:rPr>
              <w:t>条款名称</w:t>
            </w:r>
          </w:p>
        </w:tc>
        <w:tc>
          <w:tcPr>
            <w:tcW w:w="6946" w:type="dxa"/>
            <w:noWrap w:val="0"/>
            <w:vAlign w:val="center"/>
          </w:tcPr>
          <w:p w14:paraId="5CA27EA8">
            <w:pPr>
              <w:spacing w:line="350" w:lineRule="exact"/>
              <w:jc w:val="center"/>
              <w:rPr>
                <w:rFonts w:hint="eastAsia" w:ascii="宋体" w:hAnsi="宋体"/>
                <w:color w:val="auto"/>
                <w:szCs w:val="21"/>
                <w:highlight w:val="none"/>
              </w:rPr>
            </w:pPr>
            <w:r>
              <w:rPr>
                <w:rFonts w:hint="eastAsia" w:ascii="宋体" w:hAnsi="宋体"/>
                <w:color w:val="auto"/>
                <w:szCs w:val="21"/>
                <w:highlight w:val="none"/>
              </w:rPr>
              <w:t>内容、要求</w:t>
            </w:r>
          </w:p>
        </w:tc>
      </w:tr>
      <w:tr w14:paraId="700A4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44" w:type="dxa"/>
            <w:noWrap w:val="0"/>
            <w:vAlign w:val="center"/>
          </w:tcPr>
          <w:p w14:paraId="0FF977C3">
            <w:pPr>
              <w:spacing w:line="350" w:lineRule="exact"/>
              <w:jc w:val="center"/>
              <w:rPr>
                <w:rFonts w:hint="eastAsia" w:ascii="宋体" w:hAnsi="宋体"/>
                <w:color w:val="auto"/>
                <w:szCs w:val="21"/>
                <w:highlight w:val="none"/>
              </w:rPr>
            </w:pPr>
            <w:r>
              <w:rPr>
                <w:rFonts w:hint="eastAsia" w:ascii="宋体" w:hAnsi="宋体"/>
                <w:color w:val="auto"/>
                <w:szCs w:val="21"/>
                <w:highlight w:val="none"/>
              </w:rPr>
              <w:t>1</w:t>
            </w:r>
          </w:p>
        </w:tc>
        <w:tc>
          <w:tcPr>
            <w:tcW w:w="850" w:type="dxa"/>
            <w:noWrap w:val="0"/>
            <w:vAlign w:val="center"/>
          </w:tcPr>
          <w:p w14:paraId="263212EC">
            <w:pPr>
              <w:spacing w:line="350" w:lineRule="exact"/>
              <w:jc w:val="center"/>
              <w:rPr>
                <w:rFonts w:hint="eastAsia" w:ascii="宋体" w:hAnsi="宋体"/>
                <w:color w:val="auto"/>
                <w:szCs w:val="21"/>
                <w:highlight w:val="none"/>
              </w:rPr>
            </w:pPr>
            <w:r>
              <w:rPr>
                <w:rFonts w:hint="eastAsia" w:ascii="宋体" w:hAnsi="宋体"/>
                <w:color w:val="auto"/>
                <w:szCs w:val="21"/>
                <w:highlight w:val="none"/>
              </w:rPr>
              <w:t>1</w:t>
            </w:r>
          </w:p>
        </w:tc>
        <w:tc>
          <w:tcPr>
            <w:tcW w:w="1701" w:type="dxa"/>
            <w:noWrap w:val="0"/>
            <w:vAlign w:val="center"/>
          </w:tcPr>
          <w:p w14:paraId="55FE26EC">
            <w:pPr>
              <w:spacing w:line="350" w:lineRule="exact"/>
              <w:jc w:val="center"/>
              <w:rPr>
                <w:rFonts w:hint="eastAsia" w:ascii="宋体" w:hAnsi="宋体"/>
                <w:color w:val="auto"/>
                <w:szCs w:val="21"/>
                <w:highlight w:val="none"/>
              </w:rPr>
            </w:pPr>
            <w:r>
              <w:rPr>
                <w:rFonts w:hint="eastAsia" w:ascii="宋体" w:hAnsi="宋体"/>
                <w:color w:val="auto"/>
                <w:szCs w:val="21"/>
                <w:highlight w:val="none"/>
              </w:rPr>
              <w:t>项目名称及项目编号</w:t>
            </w:r>
          </w:p>
        </w:tc>
        <w:tc>
          <w:tcPr>
            <w:tcW w:w="6946" w:type="dxa"/>
            <w:noWrap w:val="0"/>
            <w:vAlign w:val="center"/>
          </w:tcPr>
          <w:p w14:paraId="28BD2D12">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szCs w:val="21"/>
                <w:highlight w:val="none"/>
              </w:rPr>
              <w:t>项目名称：</w:t>
            </w:r>
            <w:r>
              <w:rPr>
                <w:rFonts w:hint="eastAsia" w:ascii="宋体" w:hAnsi="宋体"/>
                <w:bCs/>
                <w:color w:val="auto"/>
                <w:szCs w:val="21"/>
                <w:highlight w:val="none"/>
              </w:rPr>
              <w:t>桂林市中西医结合医院医用中心负压吸引及医用压缩空气系统采购项目</w:t>
            </w:r>
            <w:r>
              <w:rPr>
                <w:rFonts w:hint="eastAsia" w:ascii="宋体" w:hAnsi="宋体"/>
                <w:color w:val="auto"/>
                <w:szCs w:val="21"/>
                <w:highlight w:val="none"/>
              </w:rPr>
              <w:t xml:space="preserve"> </w:t>
            </w:r>
          </w:p>
          <w:p w14:paraId="30091CB9">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eastAsia="宋体"/>
                <w:color w:val="auto"/>
                <w:szCs w:val="21"/>
                <w:highlight w:val="none"/>
                <w:lang w:eastAsia="zh-CN"/>
              </w:rPr>
            </w:pPr>
            <w:r>
              <w:rPr>
                <w:rFonts w:hint="eastAsia" w:ascii="宋体" w:hAnsi="宋体"/>
                <w:color w:val="auto"/>
                <w:highlight w:val="none"/>
              </w:rPr>
              <w:t>项目编号：</w:t>
            </w:r>
            <w:r>
              <w:rPr>
                <w:rFonts w:hint="eastAsia" w:ascii="宋体" w:hAnsi="宋体"/>
                <w:color w:val="auto"/>
                <w:highlight w:val="none"/>
                <w:lang w:eastAsia="zh-CN"/>
              </w:rPr>
              <w:t>GLZC2025-G1-990278-YZLZ</w:t>
            </w:r>
          </w:p>
        </w:tc>
      </w:tr>
      <w:tr w14:paraId="7C14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44" w:type="dxa"/>
            <w:noWrap w:val="0"/>
            <w:vAlign w:val="center"/>
          </w:tcPr>
          <w:p w14:paraId="3724DA39">
            <w:pPr>
              <w:spacing w:line="350" w:lineRule="exact"/>
              <w:jc w:val="center"/>
              <w:rPr>
                <w:rFonts w:hint="eastAsia" w:ascii="宋体" w:hAnsi="宋体"/>
                <w:color w:val="auto"/>
                <w:szCs w:val="21"/>
                <w:highlight w:val="none"/>
              </w:rPr>
            </w:pPr>
            <w:r>
              <w:rPr>
                <w:rFonts w:hint="eastAsia" w:ascii="宋体" w:hAnsi="宋体"/>
                <w:color w:val="auto"/>
                <w:szCs w:val="21"/>
                <w:highlight w:val="none"/>
              </w:rPr>
              <w:t>2</w:t>
            </w:r>
          </w:p>
        </w:tc>
        <w:tc>
          <w:tcPr>
            <w:tcW w:w="850" w:type="dxa"/>
            <w:noWrap w:val="0"/>
            <w:vAlign w:val="center"/>
          </w:tcPr>
          <w:p w14:paraId="44CB922D">
            <w:pPr>
              <w:spacing w:line="350" w:lineRule="exact"/>
              <w:jc w:val="center"/>
              <w:rPr>
                <w:rFonts w:hint="eastAsia" w:ascii="宋体" w:hAnsi="宋体"/>
                <w:color w:val="auto"/>
                <w:szCs w:val="21"/>
                <w:highlight w:val="none"/>
              </w:rPr>
            </w:pPr>
            <w:r>
              <w:rPr>
                <w:rFonts w:hint="eastAsia" w:ascii="宋体" w:hAnsi="宋体"/>
                <w:color w:val="auto"/>
                <w:szCs w:val="21"/>
                <w:highlight w:val="none"/>
              </w:rPr>
              <w:t>5.1</w:t>
            </w:r>
          </w:p>
        </w:tc>
        <w:tc>
          <w:tcPr>
            <w:tcW w:w="1701" w:type="dxa"/>
            <w:noWrap w:val="0"/>
            <w:vAlign w:val="center"/>
          </w:tcPr>
          <w:p w14:paraId="626CCF9E">
            <w:pPr>
              <w:spacing w:line="350" w:lineRule="exact"/>
              <w:jc w:val="center"/>
              <w:rPr>
                <w:rFonts w:hint="eastAsia" w:ascii="宋体" w:hAnsi="宋体"/>
                <w:color w:val="auto"/>
                <w:szCs w:val="21"/>
                <w:highlight w:val="none"/>
              </w:rPr>
            </w:pPr>
            <w:r>
              <w:rPr>
                <w:rFonts w:hint="eastAsia" w:ascii="宋体" w:hAnsi="宋体"/>
                <w:color w:val="auto"/>
                <w:szCs w:val="21"/>
                <w:highlight w:val="none"/>
              </w:rPr>
              <w:t>投标人资格</w:t>
            </w:r>
          </w:p>
        </w:tc>
        <w:tc>
          <w:tcPr>
            <w:tcW w:w="6946" w:type="dxa"/>
            <w:noWrap w:val="0"/>
            <w:vAlign w:val="center"/>
          </w:tcPr>
          <w:p w14:paraId="1952F3EE">
            <w:pPr>
              <w:keepNext w:val="0"/>
              <w:keepLines w:val="0"/>
              <w:pageBreakBefore w:val="0"/>
              <w:widowControl w:val="0"/>
              <w:kinsoku/>
              <w:wordWrap/>
              <w:overflowPunct/>
              <w:topLinePunct w:val="0"/>
              <w:autoSpaceDE/>
              <w:autoSpaceDN/>
              <w:bidi w:val="0"/>
              <w:spacing w:line="340" w:lineRule="exact"/>
              <w:textAlignment w:val="auto"/>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highlight w:val="none"/>
              </w:rPr>
              <w:t>满足《中华人民共和国政府采购法》第二十二条规定；</w:t>
            </w:r>
          </w:p>
          <w:p w14:paraId="3AE35DD4">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szCs w:val="21"/>
                <w:highlight w:val="none"/>
              </w:rPr>
              <w:t>（2）落实政府采购政策需满足的资格要求：无；</w:t>
            </w:r>
          </w:p>
          <w:p w14:paraId="232C00A0">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highlight w:val="none"/>
              </w:rPr>
              <w:t>（3）本项目的特定资格要求：本项目</w:t>
            </w:r>
            <w:r>
              <w:rPr>
                <w:rFonts w:hint="eastAsia" w:ascii="宋体" w:hAnsi="宋体"/>
                <w:color w:val="auto"/>
                <w:highlight w:val="none"/>
                <w:lang w:eastAsia="zh-CN"/>
              </w:rPr>
              <w:t>投标人</w:t>
            </w:r>
            <w:r>
              <w:rPr>
                <w:rFonts w:ascii="宋体" w:hAnsi="宋体"/>
                <w:color w:val="auto"/>
                <w:highlight w:val="none"/>
              </w:rPr>
              <w:t>按《医疗器械监督管理条例》（国务院令第739号）医疗器械分类管理要求具备有效的医疗器械经营备案凭证或者经营许可证，且经营范围必须包含</w:t>
            </w:r>
            <w:r>
              <w:rPr>
                <w:rFonts w:hint="eastAsia" w:ascii="宋体" w:hAnsi="宋体"/>
                <w:color w:val="auto"/>
                <w:highlight w:val="none"/>
              </w:rPr>
              <w:t>所投</w:t>
            </w:r>
            <w:r>
              <w:rPr>
                <w:rFonts w:ascii="宋体" w:hAnsi="宋体"/>
                <w:color w:val="auto"/>
                <w:highlight w:val="none"/>
              </w:rPr>
              <w:t>采购标的[符合《医疗器械监督管理条例》第四十一条第二款规定的除外]；或者</w:t>
            </w:r>
            <w:r>
              <w:rPr>
                <w:rFonts w:hint="eastAsia" w:ascii="宋体" w:hAnsi="宋体"/>
                <w:color w:val="auto"/>
                <w:highlight w:val="none"/>
                <w:lang w:eastAsia="zh-CN"/>
              </w:rPr>
              <w:t>投标人</w:t>
            </w:r>
            <w:r>
              <w:rPr>
                <w:rFonts w:ascii="宋体" w:hAnsi="宋体"/>
                <w:color w:val="auto"/>
                <w:highlight w:val="none"/>
              </w:rPr>
              <w:t>具有《医疗器械监督管理条例》第四十三条规定的注册人凭证</w:t>
            </w:r>
            <w:r>
              <w:rPr>
                <w:rFonts w:hint="eastAsia" w:ascii="宋体" w:hAnsi="宋体"/>
                <w:color w:val="auto"/>
                <w:highlight w:val="none"/>
              </w:rPr>
              <w:t>。</w:t>
            </w:r>
          </w:p>
        </w:tc>
      </w:tr>
      <w:tr w14:paraId="46483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44" w:type="dxa"/>
            <w:noWrap w:val="0"/>
            <w:vAlign w:val="center"/>
          </w:tcPr>
          <w:p w14:paraId="5A57905B">
            <w:pPr>
              <w:spacing w:line="350" w:lineRule="exact"/>
              <w:jc w:val="center"/>
              <w:rPr>
                <w:rFonts w:hint="eastAsia" w:ascii="宋体" w:hAnsi="宋体"/>
                <w:color w:val="auto"/>
                <w:szCs w:val="21"/>
                <w:highlight w:val="none"/>
              </w:rPr>
            </w:pPr>
            <w:r>
              <w:rPr>
                <w:rFonts w:hint="eastAsia" w:ascii="宋体" w:hAnsi="宋体"/>
                <w:color w:val="auto"/>
                <w:szCs w:val="21"/>
                <w:highlight w:val="none"/>
              </w:rPr>
              <w:t>3</w:t>
            </w:r>
          </w:p>
        </w:tc>
        <w:tc>
          <w:tcPr>
            <w:tcW w:w="850" w:type="dxa"/>
            <w:noWrap w:val="0"/>
            <w:vAlign w:val="center"/>
          </w:tcPr>
          <w:p w14:paraId="142D8646">
            <w:pPr>
              <w:spacing w:line="350" w:lineRule="exact"/>
              <w:jc w:val="center"/>
              <w:rPr>
                <w:rFonts w:hint="eastAsia" w:ascii="宋体" w:hAnsi="宋体"/>
                <w:color w:val="auto"/>
                <w:szCs w:val="21"/>
                <w:highlight w:val="none"/>
              </w:rPr>
            </w:pPr>
            <w:r>
              <w:rPr>
                <w:rFonts w:hint="eastAsia" w:ascii="宋体" w:hAnsi="宋体"/>
                <w:color w:val="auto"/>
                <w:szCs w:val="21"/>
                <w:highlight w:val="none"/>
              </w:rPr>
              <w:t>6</w:t>
            </w:r>
          </w:p>
        </w:tc>
        <w:tc>
          <w:tcPr>
            <w:tcW w:w="1701" w:type="dxa"/>
            <w:noWrap w:val="0"/>
            <w:vAlign w:val="center"/>
          </w:tcPr>
          <w:p w14:paraId="7D0EC3AB">
            <w:pPr>
              <w:spacing w:line="350" w:lineRule="exact"/>
              <w:jc w:val="center"/>
              <w:rPr>
                <w:rFonts w:hint="eastAsia" w:ascii="宋体" w:hAnsi="宋体"/>
                <w:color w:val="auto"/>
                <w:position w:val="-2"/>
                <w:szCs w:val="21"/>
                <w:highlight w:val="none"/>
              </w:rPr>
            </w:pPr>
            <w:r>
              <w:rPr>
                <w:rFonts w:hint="eastAsia" w:ascii="宋体" w:hAnsi="宋体"/>
                <w:color w:val="auto"/>
                <w:szCs w:val="21"/>
                <w:highlight w:val="none"/>
              </w:rPr>
              <w:t>广西政府采购云平台电子投标注意事项</w:t>
            </w:r>
          </w:p>
        </w:tc>
        <w:tc>
          <w:tcPr>
            <w:tcW w:w="6946" w:type="dxa"/>
            <w:noWrap w:val="0"/>
            <w:vAlign w:val="center"/>
          </w:tcPr>
          <w:p w14:paraId="3D47FA81">
            <w:pPr>
              <w:keepNext w:val="0"/>
              <w:keepLines w:val="0"/>
              <w:pageBreakBefore w:val="0"/>
              <w:widowControl w:val="0"/>
              <w:kinsoku/>
              <w:wordWrap/>
              <w:overflowPunct/>
              <w:topLinePunct w:val="0"/>
              <w:autoSpaceDE/>
              <w:autoSpaceDN/>
              <w:bidi w:val="0"/>
              <w:spacing w:line="340" w:lineRule="exact"/>
              <w:textAlignment w:val="auto"/>
              <w:rPr>
                <w:rFonts w:ascii="宋体" w:hAnsi="宋体"/>
                <w:color w:val="auto"/>
                <w:highlight w:val="none"/>
              </w:rPr>
            </w:pPr>
            <w:r>
              <w:rPr>
                <w:rFonts w:hint="eastAsia" w:ascii="宋体" w:hAnsi="宋体"/>
                <w:color w:val="auto"/>
                <w:highlight w:val="none"/>
              </w:rPr>
              <w:t>6.1本项目为全流程电子化采购项目，通过广西政府采购云平台（www.gcy.zfcg.gxzf.gov.cn</w:t>
            </w:r>
            <w:r>
              <w:rPr>
                <w:rFonts w:hint="eastAsia" w:ascii="宋体" w:hAnsi="宋体"/>
                <w:color w:val="auto"/>
                <w:highlight w:val="none"/>
                <w:lang w:eastAsia="zh-CN"/>
              </w:rPr>
              <w:t>）</w:t>
            </w:r>
            <w:r>
              <w:rPr>
                <w:rFonts w:hint="eastAsia" w:ascii="宋体" w:hAnsi="宋体"/>
                <w:color w:val="auto"/>
                <w:highlight w:val="none"/>
              </w:rPr>
              <w:t>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7726101E">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highlight w:val="none"/>
              </w:rPr>
            </w:pPr>
            <w:r>
              <w:rPr>
                <w:rFonts w:hint="eastAsia" w:ascii="宋体" w:hAnsi="宋体"/>
                <w:color w:val="auto"/>
                <w:highlight w:val="none"/>
              </w:rPr>
              <w:t>6.2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kern w:val="0"/>
                <w:szCs w:val="21"/>
                <w:highlight w:val="none"/>
              </w:rPr>
              <w:t>或者0771-3381253</w:t>
            </w:r>
            <w:r>
              <w:rPr>
                <w:rFonts w:hint="eastAsia" w:ascii="宋体" w:hAnsi="宋体"/>
                <w:color w:val="auto"/>
                <w:highlight w:val="none"/>
              </w:rPr>
              <w:t>）。</w:t>
            </w:r>
          </w:p>
          <w:p w14:paraId="10935B8A">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highlight w:val="none"/>
              </w:rPr>
            </w:pPr>
            <w:r>
              <w:rPr>
                <w:rFonts w:hint="eastAsia" w:ascii="宋体" w:hAnsi="宋体"/>
                <w:color w:val="auto"/>
                <w:highlight w:val="none"/>
              </w:rPr>
              <w:t>6.3 CA证书在线解密：投标人投标时，需凭制作投标文件时用来加密的有效数字证书（CA认证）登录广西政府采购云平台电子开标大厅现场按规定时间对加密的投标文件进行解密，否则后果自负。</w:t>
            </w:r>
          </w:p>
          <w:p w14:paraId="1A4BB8A4">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highlight w:val="none"/>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w:t>
            </w:r>
            <w:r>
              <w:rPr>
                <w:rFonts w:hint="eastAsia" w:ascii="宋体" w:hAnsi="宋体"/>
                <w:color w:val="auto"/>
                <w:highlight w:val="none"/>
                <w:lang w:eastAsia="zh-CN"/>
              </w:rPr>
              <w:t>）</w:t>
            </w:r>
            <w:r>
              <w:rPr>
                <w:rFonts w:hint="eastAsia" w:ascii="宋体" w:hAnsi="宋体"/>
                <w:color w:val="auto"/>
                <w:highlight w:val="none"/>
              </w:rPr>
              <w:t>—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tc>
      </w:tr>
      <w:tr w14:paraId="1B3BD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noWrap w:val="0"/>
            <w:vAlign w:val="center"/>
          </w:tcPr>
          <w:p w14:paraId="35347441">
            <w:pPr>
              <w:spacing w:line="350" w:lineRule="exact"/>
              <w:jc w:val="center"/>
              <w:rPr>
                <w:rFonts w:hint="eastAsia" w:ascii="宋体" w:hAnsi="宋体"/>
                <w:color w:val="auto"/>
                <w:szCs w:val="21"/>
                <w:highlight w:val="none"/>
              </w:rPr>
            </w:pPr>
            <w:r>
              <w:rPr>
                <w:rFonts w:hint="eastAsia" w:ascii="宋体" w:hAnsi="宋体"/>
                <w:color w:val="auto"/>
                <w:szCs w:val="21"/>
                <w:highlight w:val="none"/>
              </w:rPr>
              <w:t>4</w:t>
            </w:r>
          </w:p>
        </w:tc>
        <w:tc>
          <w:tcPr>
            <w:tcW w:w="850" w:type="dxa"/>
            <w:noWrap w:val="0"/>
            <w:vAlign w:val="center"/>
          </w:tcPr>
          <w:p w14:paraId="4FF57CA0">
            <w:pPr>
              <w:spacing w:line="350" w:lineRule="exact"/>
              <w:jc w:val="center"/>
              <w:rPr>
                <w:rFonts w:hint="eastAsia" w:ascii="宋体" w:hAnsi="宋体"/>
                <w:color w:val="auto"/>
                <w:position w:val="-2"/>
                <w:szCs w:val="21"/>
                <w:highlight w:val="none"/>
              </w:rPr>
            </w:pPr>
            <w:r>
              <w:rPr>
                <w:rFonts w:hint="eastAsia" w:ascii="宋体" w:hAnsi="宋体"/>
                <w:color w:val="auto"/>
                <w:position w:val="-2"/>
                <w:szCs w:val="21"/>
                <w:highlight w:val="none"/>
              </w:rPr>
              <w:t>15</w:t>
            </w:r>
          </w:p>
        </w:tc>
        <w:tc>
          <w:tcPr>
            <w:tcW w:w="1701" w:type="dxa"/>
            <w:noWrap w:val="0"/>
            <w:vAlign w:val="center"/>
          </w:tcPr>
          <w:p w14:paraId="3CA3E25B">
            <w:pPr>
              <w:spacing w:line="350" w:lineRule="exact"/>
              <w:jc w:val="center"/>
              <w:rPr>
                <w:rFonts w:hint="eastAsia" w:ascii="宋体" w:hAnsi="宋体"/>
                <w:color w:val="auto"/>
                <w:szCs w:val="21"/>
                <w:highlight w:val="none"/>
              </w:rPr>
            </w:pPr>
            <w:r>
              <w:rPr>
                <w:rFonts w:hint="eastAsia" w:ascii="宋体" w:hAnsi="宋体"/>
                <w:color w:val="auto"/>
                <w:szCs w:val="21"/>
                <w:highlight w:val="none"/>
              </w:rPr>
              <w:t>投标报价</w:t>
            </w:r>
          </w:p>
        </w:tc>
        <w:tc>
          <w:tcPr>
            <w:tcW w:w="6946" w:type="dxa"/>
            <w:noWrap w:val="0"/>
            <w:vAlign w:val="center"/>
          </w:tcPr>
          <w:p w14:paraId="5A848526">
            <w:pPr>
              <w:keepNext w:val="0"/>
              <w:keepLines w:val="0"/>
              <w:pageBreakBefore w:val="0"/>
              <w:widowControl w:val="0"/>
              <w:tabs>
                <w:tab w:val="left" w:pos="1305"/>
              </w:tabs>
              <w:kinsoku/>
              <w:wordWrap/>
              <w:overflowPunct/>
              <w:topLinePunct w:val="0"/>
              <w:autoSpaceDE/>
              <w:autoSpaceDN/>
              <w:bidi w:val="0"/>
              <w:spacing w:line="340" w:lineRule="exact"/>
              <w:textAlignment w:val="auto"/>
              <w:rPr>
                <w:rFonts w:hint="eastAsia" w:ascii="宋体" w:hAnsi="宋体"/>
                <w:b/>
                <w:color w:val="auto"/>
                <w:szCs w:val="21"/>
                <w:highlight w:val="none"/>
              </w:rPr>
            </w:pPr>
            <w:r>
              <w:rPr>
                <w:rFonts w:hint="eastAsia" w:ascii="宋体" w:hAnsi="宋体"/>
                <w:b/>
                <w:color w:val="auto"/>
                <w:szCs w:val="21"/>
                <w:highlight w:val="none"/>
              </w:rPr>
              <w:t>15.1投标报价必须按招标文件中第六章“投标文件（格式）”填写。</w:t>
            </w:r>
          </w:p>
          <w:p w14:paraId="0B1190AF">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eastAsia="宋体" w:cs="Times New Roman"/>
                <w:b/>
                <w:color w:val="auto"/>
                <w:szCs w:val="21"/>
                <w:highlight w:val="none"/>
              </w:rPr>
            </w:pPr>
            <w:r>
              <w:rPr>
                <w:rFonts w:hint="eastAsia" w:ascii="宋体" w:hAnsi="宋体"/>
                <w:b/>
                <w:color w:val="auto"/>
                <w:szCs w:val="21"/>
                <w:highlight w:val="none"/>
              </w:rPr>
              <w:t>15.2本项目采购预算金额</w:t>
            </w:r>
            <w:r>
              <w:rPr>
                <w:rFonts w:hint="eastAsia" w:ascii="宋体" w:hAnsi="宋体" w:eastAsia="宋体" w:cs="Times New Roman"/>
                <w:b/>
                <w:color w:val="auto"/>
                <w:szCs w:val="21"/>
                <w:highlight w:val="none"/>
                <w:lang w:eastAsia="zh-CN"/>
              </w:rPr>
              <w:t>为</w:t>
            </w:r>
            <w:r>
              <w:rPr>
                <w:rFonts w:hint="eastAsia" w:ascii="宋体" w:hAnsi="宋体" w:eastAsia="宋体" w:cs="Times New Roman"/>
                <w:b/>
                <w:color w:val="auto"/>
                <w:szCs w:val="21"/>
                <w:highlight w:val="none"/>
                <w:lang w:val="en-US" w:eastAsia="zh-CN"/>
              </w:rPr>
              <w:t>陆</w:t>
            </w:r>
            <w:r>
              <w:rPr>
                <w:rFonts w:hint="eastAsia" w:ascii="宋体" w:hAnsi="宋体" w:eastAsia="宋体" w:cs="Times New Roman"/>
                <w:b/>
                <w:color w:val="auto"/>
                <w:szCs w:val="21"/>
                <w:highlight w:val="none"/>
              </w:rPr>
              <w:t>拾</w:t>
            </w:r>
            <w:r>
              <w:rPr>
                <w:rFonts w:hint="eastAsia" w:ascii="宋体" w:hAnsi="宋体" w:eastAsia="宋体" w:cs="Times New Roman"/>
                <w:b/>
                <w:color w:val="auto"/>
                <w:szCs w:val="21"/>
                <w:highlight w:val="none"/>
                <w:lang w:val="en-US" w:eastAsia="zh-CN"/>
              </w:rPr>
              <w:t>万</w:t>
            </w:r>
            <w:r>
              <w:rPr>
                <w:rFonts w:hint="eastAsia" w:ascii="宋体" w:hAnsi="宋体" w:eastAsia="宋体" w:cs="Times New Roman"/>
                <w:b/>
                <w:color w:val="auto"/>
                <w:szCs w:val="21"/>
                <w:highlight w:val="none"/>
              </w:rPr>
              <w:t>元整（¥</w:t>
            </w:r>
            <w:r>
              <w:rPr>
                <w:rFonts w:hint="eastAsia" w:ascii="宋体" w:hAnsi="宋体" w:eastAsia="宋体" w:cs="Times New Roman"/>
                <w:b/>
                <w:color w:val="auto"/>
                <w:szCs w:val="21"/>
                <w:highlight w:val="none"/>
                <w:lang w:val="en-US" w:eastAsia="zh-CN"/>
              </w:rPr>
              <w:t>60</w:t>
            </w:r>
            <w:r>
              <w:rPr>
                <w:rFonts w:hint="eastAsia" w:ascii="宋体" w:hAnsi="宋体" w:eastAsia="宋体" w:cs="Times New Roman"/>
                <w:b/>
                <w:color w:val="auto"/>
                <w:szCs w:val="21"/>
                <w:highlight w:val="none"/>
              </w:rPr>
              <w:t>0000.00）</w:t>
            </w:r>
            <w:r>
              <w:rPr>
                <w:rFonts w:hint="eastAsia" w:ascii="宋体" w:hAnsi="宋体" w:eastAsia="宋体" w:cs="Times New Roman"/>
                <w:b/>
                <w:color w:val="auto"/>
                <w:szCs w:val="21"/>
                <w:highlight w:val="none"/>
                <w:lang w:eastAsia="zh-CN"/>
              </w:rPr>
              <w:t>，</w:t>
            </w:r>
            <w:r>
              <w:rPr>
                <w:rFonts w:hint="eastAsia" w:ascii="宋体" w:hAnsi="宋体" w:eastAsia="宋体" w:cs="Times New Roman"/>
                <w:b/>
                <w:color w:val="auto"/>
                <w:szCs w:val="21"/>
                <w:highlight w:val="none"/>
                <w:lang w:val="en-US" w:eastAsia="zh-CN"/>
              </w:rPr>
              <w:t>最高限价为伍</w:t>
            </w:r>
            <w:r>
              <w:rPr>
                <w:rFonts w:hint="eastAsia" w:ascii="宋体" w:hAnsi="宋体" w:eastAsia="宋体" w:cs="Times New Roman"/>
                <w:b/>
                <w:color w:val="auto"/>
                <w:szCs w:val="21"/>
                <w:highlight w:val="none"/>
              </w:rPr>
              <w:t>拾</w:t>
            </w:r>
            <w:r>
              <w:rPr>
                <w:rFonts w:hint="eastAsia" w:ascii="宋体" w:hAnsi="宋体" w:eastAsia="宋体" w:cs="Times New Roman"/>
                <w:b/>
                <w:color w:val="auto"/>
                <w:szCs w:val="21"/>
                <w:highlight w:val="none"/>
                <w:lang w:val="en-US" w:eastAsia="zh-CN"/>
              </w:rPr>
              <w:t>伍万</w:t>
            </w:r>
            <w:r>
              <w:rPr>
                <w:rFonts w:hint="eastAsia" w:ascii="宋体" w:hAnsi="宋体" w:eastAsia="宋体" w:cs="Times New Roman"/>
                <w:b/>
                <w:color w:val="auto"/>
                <w:szCs w:val="21"/>
                <w:highlight w:val="none"/>
              </w:rPr>
              <w:t>元整（¥</w:t>
            </w:r>
            <w:r>
              <w:rPr>
                <w:rFonts w:hint="eastAsia" w:ascii="宋体" w:hAnsi="宋体" w:eastAsia="宋体" w:cs="Times New Roman"/>
                <w:b/>
                <w:color w:val="auto"/>
                <w:szCs w:val="21"/>
                <w:highlight w:val="none"/>
                <w:lang w:val="en-US" w:eastAsia="zh-CN"/>
              </w:rPr>
              <w:t>55</w:t>
            </w:r>
            <w:r>
              <w:rPr>
                <w:rFonts w:hint="eastAsia" w:ascii="宋体" w:hAnsi="宋体" w:eastAsia="宋体" w:cs="Times New Roman"/>
                <w:b/>
                <w:color w:val="auto"/>
                <w:szCs w:val="21"/>
                <w:highlight w:val="none"/>
              </w:rPr>
              <w:t>0000.00）</w:t>
            </w:r>
            <w:r>
              <w:rPr>
                <w:rFonts w:hint="eastAsia" w:ascii="宋体" w:hAnsi="宋体" w:eastAsia="宋体" w:cs="Times New Roman"/>
                <w:b/>
                <w:color w:val="auto"/>
                <w:szCs w:val="21"/>
                <w:highlight w:val="none"/>
                <w:lang w:eastAsia="zh-CN"/>
              </w:rPr>
              <w:t>，</w:t>
            </w:r>
            <w:r>
              <w:rPr>
                <w:rFonts w:hint="eastAsia" w:ascii="宋体" w:hAnsi="宋体" w:eastAsia="宋体" w:cs="Times New Roman"/>
                <w:b/>
                <w:color w:val="auto"/>
                <w:szCs w:val="21"/>
                <w:highlight w:val="none"/>
              </w:rPr>
              <w:t>投标人投标报价超过</w:t>
            </w:r>
            <w:r>
              <w:rPr>
                <w:rFonts w:hint="eastAsia" w:ascii="宋体" w:hAnsi="宋体" w:eastAsia="宋体" w:cs="Times New Roman"/>
                <w:b/>
                <w:color w:val="auto"/>
                <w:szCs w:val="21"/>
                <w:highlight w:val="none"/>
                <w:lang w:val="en-US" w:eastAsia="zh-CN"/>
              </w:rPr>
              <w:t>最高限价</w:t>
            </w:r>
            <w:r>
              <w:rPr>
                <w:rFonts w:hint="eastAsia" w:ascii="宋体" w:hAnsi="宋体" w:eastAsia="宋体" w:cs="Times New Roman"/>
                <w:b/>
                <w:color w:val="auto"/>
                <w:szCs w:val="21"/>
                <w:highlight w:val="none"/>
              </w:rPr>
              <w:t>的，投标文件作无效处理。</w:t>
            </w:r>
          </w:p>
          <w:p w14:paraId="000E87C9">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b/>
                <w:color w:val="auto"/>
                <w:szCs w:val="21"/>
                <w:highlight w:val="none"/>
              </w:rPr>
            </w:pPr>
            <w:r>
              <w:rPr>
                <w:rFonts w:hint="eastAsia" w:ascii="宋体" w:hAnsi="宋体"/>
                <w:b/>
                <w:color w:val="auto"/>
                <w:szCs w:val="21"/>
                <w:highlight w:val="none"/>
              </w:rPr>
              <w:t>15.3投标人必须就“采购需求”中所有内容作完整唯一报价，否则，其投标将被拒绝；投标文件只允许有一个报价方案，有选择的或有条件的报价将不予接受。</w:t>
            </w:r>
          </w:p>
        </w:tc>
      </w:tr>
      <w:tr w14:paraId="3E7D5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44" w:type="dxa"/>
            <w:noWrap w:val="0"/>
            <w:vAlign w:val="center"/>
          </w:tcPr>
          <w:p w14:paraId="6B79680F">
            <w:pPr>
              <w:spacing w:line="350" w:lineRule="exact"/>
              <w:jc w:val="center"/>
              <w:rPr>
                <w:rFonts w:hint="eastAsia" w:ascii="宋体" w:hAnsi="宋体"/>
                <w:color w:val="auto"/>
                <w:szCs w:val="21"/>
                <w:highlight w:val="none"/>
              </w:rPr>
            </w:pPr>
            <w:r>
              <w:rPr>
                <w:rFonts w:hint="eastAsia" w:ascii="宋体" w:hAnsi="宋体"/>
                <w:color w:val="auto"/>
                <w:szCs w:val="21"/>
                <w:highlight w:val="none"/>
              </w:rPr>
              <w:t>5</w:t>
            </w:r>
          </w:p>
        </w:tc>
        <w:tc>
          <w:tcPr>
            <w:tcW w:w="850" w:type="dxa"/>
            <w:noWrap w:val="0"/>
            <w:vAlign w:val="center"/>
          </w:tcPr>
          <w:p w14:paraId="15B45A1D">
            <w:pPr>
              <w:spacing w:line="350" w:lineRule="exact"/>
              <w:jc w:val="center"/>
              <w:rPr>
                <w:rFonts w:hint="eastAsia" w:ascii="宋体" w:hAnsi="宋体"/>
                <w:color w:val="auto"/>
                <w:szCs w:val="21"/>
                <w:highlight w:val="none"/>
              </w:rPr>
            </w:pPr>
            <w:r>
              <w:rPr>
                <w:rFonts w:hint="eastAsia" w:ascii="宋体" w:hAnsi="宋体"/>
                <w:color w:val="auto"/>
                <w:szCs w:val="21"/>
                <w:highlight w:val="none"/>
              </w:rPr>
              <w:t>16</w:t>
            </w:r>
          </w:p>
        </w:tc>
        <w:tc>
          <w:tcPr>
            <w:tcW w:w="1701" w:type="dxa"/>
            <w:noWrap w:val="0"/>
            <w:vAlign w:val="center"/>
          </w:tcPr>
          <w:p w14:paraId="69C12AA7">
            <w:pPr>
              <w:spacing w:line="350" w:lineRule="exact"/>
              <w:jc w:val="center"/>
              <w:rPr>
                <w:rFonts w:hint="eastAsia" w:ascii="宋体" w:hAnsi="宋体"/>
                <w:color w:val="auto"/>
                <w:szCs w:val="21"/>
                <w:highlight w:val="none"/>
              </w:rPr>
            </w:pPr>
            <w:r>
              <w:rPr>
                <w:rFonts w:hint="eastAsia" w:ascii="宋体" w:hAnsi="宋体"/>
                <w:color w:val="auto"/>
                <w:szCs w:val="21"/>
                <w:highlight w:val="none"/>
              </w:rPr>
              <w:t>投标有效期</w:t>
            </w:r>
          </w:p>
        </w:tc>
        <w:tc>
          <w:tcPr>
            <w:tcW w:w="6946" w:type="dxa"/>
            <w:noWrap w:val="0"/>
            <w:vAlign w:val="center"/>
          </w:tcPr>
          <w:p w14:paraId="01129A0E">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szCs w:val="21"/>
                <w:highlight w:val="none"/>
              </w:rPr>
              <w:t>投标截止时间之日起9</w:t>
            </w:r>
            <w:r>
              <w:rPr>
                <w:rFonts w:ascii="宋体" w:hAnsi="宋体"/>
                <w:color w:val="auto"/>
                <w:szCs w:val="21"/>
                <w:highlight w:val="none"/>
              </w:rPr>
              <w:t>0</w:t>
            </w:r>
            <w:r>
              <w:rPr>
                <w:rFonts w:hint="eastAsia" w:ascii="宋体" w:hAnsi="宋体"/>
                <w:color w:val="auto"/>
                <w:szCs w:val="21"/>
                <w:highlight w:val="none"/>
              </w:rPr>
              <w:t>天</w:t>
            </w:r>
            <w:r>
              <w:rPr>
                <w:rFonts w:ascii="宋体" w:hAnsi="宋体"/>
                <w:color w:val="auto"/>
                <w:szCs w:val="21"/>
                <w:highlight w:val="none"/>
              </w:rPr>
              <w:t>。</w:t>
            </w:r>
          </w:p>
        </w:tc>
      </w:tr>
      <w:tr w14:paraId="46E43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noWrap w:val="0"/>
            <w:vAlign w:val="center"/>
          </w:tcPr>
          <w:p w14:paraId="04E2EE69">
            <w:pPr>
              <w:spacing w:line="350" w:lineRule="exact"/>
              <w:jc w:val="center"/>
              <w:rPr>
                <w:rFonts w:hint="eastAsia" w:ascii="宋体" w:hAnsi="宋体"/>
                <w:color w:val="auto"/>
                <w:szCs w:val="21"/>
                <w:highlight w:val="none"/>
              </w:rPr>
            </w:pPr>
            <w:r>
              <w:rPr>
                <w:rFonts w:hint="eastAsia" w:ascii="宋体" w:hAnsi="宋体"/>
                <w:color w:val="auto"/>
                <w:szCs w:val="21"/>
                <w:highlight w:val="none"/>
              </w:rPr>
              <w:t>6</w:t>
            </w:r>
          </w:p>
        </w:tc>
        <w:tc>
          <w:tcPr>
            <w:tcW w:w="850" w:type="dxa"/>
            <w:noWrap w:val="0"/>
            <w:vAlign w:val="center"/>
          </w:tcPr>
          <w:p w14:paraId="344043BB">
            <w:pPr>
              <w:spacing w:line="350" w:lineRule="exact"/>
              <w:jc w:val="center"/>
              <w:rPr>
                <w:rFonts w:hint="eastAsia"/>
                <w:color w:val="auto"/>
                <w:highlight w:val="none"/>
              </w:rPr>
            </w:pPr>
            <w:r>
              <w:rPr>
                <w:rFonts w:hint="eastAsia" w:ascii="宋体" w:hAnsi="宋体" w:cs="宋体"/>
                <w:color w:val="auto"/>
                <w:kern w:val="0"/>
                <w:szCs w:val="21"/>
                <w:highlight w:val="none"/>
              </w:rPr>
              <w:t>18</w:t>
            </w:r>
          </w:p>
        </w:tc>
        <w:tc>
          <w:tcPr>
            <w:tcW w:w="1701" w:type="dxa"/>
            <w:noWrap w:val="0"/>
            <w:vAlign w:val="center"/>
          </w:tcPr>
          <w:p w14:paraId="1504089B">
            <w:pPr>
              <w:spacing w:line="350" w:lineRule="exact"/>
              <w:jc w:val="center"/>
              <w:rPr>
                <w:rFonts w:hint="eastAsia" w:ascii="宋体" w:hAnsi="宋体"/>
                <w:color w:val="auto"/>
                <w:szCs w:val="21"/>
                <w:highlight w:val="none"/>
              </w:rPr>
            </w:pPr>
            <w:r>
              <w:rPr>
                <w:rFonts w:hint="eastAsia" w:ascii="宋体" w:hAnsi="宋体" w:cs="宋体"/>
                <w:color w:val="auto"/>
                <w:kern w:val="0"/>
                <w:szCs w:val="21"/>
                <w:highlight w:val="none"/>
              </w:rPr>
              <w:t>电子投标文件的制作、加密要求</w:t>
            </w:r>
          </w:p>
        </w:tc>
        <w:tc>
          <w:tcPr>
            <w:tcW w:w="6946" w:type="dxa"/>
            <w:noWrap w:val="0"/>
            <w:vAlign w:val="center"/>
          </w:tcPr>
          <w:p w14:paraId="1D408EF9">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宋体" w:hAnsi="宋体" w:cs="宋体"/>
                <w:bCs/>
                <w:color w:val="auto"/>
                <w:szCs w:val="21"/>
                <w:highlight w:val="none"/>
              </w:rPr>
            </w:pPr>
            <w:r>
              <w:rPr>
                <w:rFonts w:hint="eastAsia" w:ascii="宋体" w:hAnsi="宋体" w:cs="宋体"/>
                <w:color w:val="auto"/>
                <w:highlight w:val="none"/>
              </w:rPr>
              <w:t>18.1投标人制作电子投标文件前，</w:t>
            </w:r>
            <w:r>
              <w:rPr>
                <w:rFonts w:hint="eastAsia" w:ascii="宋体" w:hAnsi="宋体" w:cs="宋体"/>
                <w:bCs/>
                <w:color w:val="auto"/>
                <w:szCs w:val="21"/>
                <w:highlight w:val="none"/>
              </w:rPr>
              <w:t>应登录广西政府采购云平台进行“申请获取采购文件”操作，否则，有可能导致无法在线编制投标文件并参与投标，其不利后果由投标人自行承担。</w:t>
            </w:r>
          </w:p>
          <w:p w14:paraId="7C6F6F3F">
            <w:pPr>
              <w:keepNext w:val="0"/>
              <w:keepLines w:val="0"/>
              <w:pageBreakBefore w:val="0"/>
              <w:widowControl w:val="0"/>
              <w:kinsoku/>
              <w:wordWrap/>
              <w:overflowPunct/>
              <w:topLinePunct w:val="0"/>
              <w:autoSpaceDE/>
              <w:autoSpaceDN/>
              <w:bidi w:val="0"/>
              <w:snapToGrid w:val="0"/>
              <w:spacing w:line="340" w:lineRule="exact"/>
              <w:jc w:val="left"/>
              <w:textAlignment w:val="auto"/>
              <w:rPr>
                <w:rFonts w:hint="eastAsia" w:ascii="宋体" w:hAnsi="宋体" w:cs="宋体"/>
                <w:color w:val="auto"/>
                <w:highlight w:val="none"/>
              </w:rPr>
            </w:pPr>
            <w:r>
              <w:rPr>
                <w:rFonts w:hint="eastAsia" w:ascii="宋体" w:hAnsi="宋体" w:cs="宋体"/>
                <w:color w:val="auto"/>
                <w:highlight w:val="none"/>
              </w:rPr>
              <w:t>18.2投标人下载或获取招标文件后，登录“电子投标客户端”，按照本招标文件规定的投标文件格式、顺序以及广西政府采购云平台的要求，通过“电子投标客户端”编制电子投标文件。</w:t>
            </w:r>
          </w:p>
          <w:p w14:paraId="7DAF4A2F">
            <w:pPr>
              <w:keepNext w:val="0"/>
              <w:keepLines w:val="0"/>
              <w:pageBreakBefore w:val="0"/>
              <w:widowControl w:val="0"/>
              <w:kinsoku/>
              <w:wordWrap/>
              <w:overflowPunct/>
              <w:topLinePunct w:val="0"/>
              <w:autoSpaceDE/>
              <w:autoSpaceDN/>
              <w:bidi w:val="0"/>
              <w:snapToGrid w:val="0"/>
              <w:spacing w:line="340" w:lineRule="exact"/>
              <w:jc w:val="left"/>
              <w:textAlignment w:val="auto"/>
              <w:rPr>
                <w:rFonts w:hint="eastAsia" w:ascii="宋体" w:hAnsi="宋体" w:cs="宋体"/>
                <w:color w:val="auto"/>
                <w:highlight w:val="none"/>
              </w:rPr>
            </w:pPr>
            <w:r>
              <w:rPr>
                <w:rFonts w:hint="eastAsia" w:ascii="宋体" w:hAnsi="宋体" w:cs="宋体"/>
                <w:color w:val="auto"/>
                <w:highlight w:val="none"/>
              </w:rPr>
              <w:t>18.3</w:t>
            </w:r>
            <w:r>
              <w:rPr>
                <w:rFonts w:hint="eastAsia"/>
                <w:color w:val="auto"/>
                <w:highlight w:val="none"/>
              </w:rPr>
              <w:t>投标人应按</w:t>
            </w:r>
            <w:r>
              <w:rPr>
                <w:color w:val="auto"/>
                <w:highlight w:val="none"/>
              </w:rPr>
              <w:t>“</w:t>
            </w:r>
            <w:r>
              <w:rPr>
                <w:rFonts w:hint="eastAsia"/>
                <w:color w:val="auto"/>
                <w:highlight w:val="none"/>
              </w:rPr>
              <w:t>电子投标客户端</w:t>
            </w:r>
            <w:r>
              <w:rPr>
                <w:color w:val="auto"/>
                <w:highlight w:val="none"/>
              </w:rPr>
              <w:t>”</w:t>
            </w:r>
            <w:r>
              <w:rPr>
                <w:rFonts w:hint="eastAsia"/>
                <w:color w:val="auto"/>
                <w:highlight w:val="none"/>
              </w:rPr>
              <w:t>载明的</w:t>
            </w:r>
            <w:r>
              <w:rPr>
                <w:color w:val="auto"/>
                <w:highlight w:val="none"/>
              </w:rPr>
              <w:t>“</w:t>
            </w:r>
            <w:r>
              <w:rPr>
                <w:rFonts w:hint="eastAsia"/>
                <w:color w:val="auto"/>
                <w:highlight w:val="none"/>
              </w:rPr>
              <w:t>标书关联</w:t>
            </w:r>
            <w:r>
              <w:rPr>
                <w:color w:val="auto"/>
                <w:highlight w:val="none"/>
              </w:rPr>
              <w:t>”</w:t>
            </w:r>
            <w:r>
              <w:rPr>
                <w:rFonts w:hint="eastAsia"/>
                <w:color w:val="auto"/>
                <w:highlight w:val="none"/>
              </w:rPr>
              <w:t>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r>
              <w:rPr>
                <w:rFonts w:hint="eastAsia" w:ascii="宋体" w:hAnsi="宋体" w:cs="宋体"/>
                <w:color w:val="auto"/>
                <w:highlight w:val="none"/>
              </w:rPr>
              <w:t>。</w:t>
            </w:r>
          </w:p>
          <w:p w14:paraId="7E16C0C9">
            <w:pPr>
              <w:keepNext w:val="0"/>
              <w:keepLines w:val="0"/>
              <w:pageBreakBefore w:val="0"/>
              <w:widowControl w:val="0"/>
              <w:kinsoku/>
              <w:wordWrap/>
              <w:overflowPunct/>
              <w:topLinePunct w:val="0"/>
              <w:autoSpaceDE/>
              <w:autoSpaceDN/>
              <w:bidi w:val="0"/>
              <w:snapToGrid w:val="0"/>
              <w:spacing w:line="340" w:lineRule="exact"/>
              <w:jc w:val="left"/>
              <w:textAlignment w:val="auto"/>
              <w:rPr>
                <w:rFonts w:hint="eastAsia" w:ascii="宋体" w:hAnsi="宋体" w:cs="宋体"/>
                <w:b/>
                <w:color w:val="auto"/>
                <w:highlight w:val="none"/>
              </w:rPr>
            </w:pPr>
            <w:r>
              <w:rPr>
                <w:rFonts w:hint="eastAsia" w:ascii="宋体" w:hAnsi="宋体" w:cs="宋体"/>
                <w:b/>
                <w:color w:val="auto"/>
                <w:highlight w:val="none"/>
              </w:rPr>
              <w:t>18.4电子投标文件不得涂改，若有修改错漏处，须由法定代表人或授权委托代理人签字（或者电子签名）。电子投标文件按本须知载明的投标文件组成及要求进行编排，因投标文件字迹潦草、表达不清、内容不完整</w:t>
            </w:r>
            <w:r>
              <w:rPr>
                <w:rFonts w:hint="eastAsia" w:ascii="宋体" w:hAnsi="宋体" w:cs="宋体"/>
                <w:b/>
                <w:color w:val="auto"/>
                <w:highlight w:val="none"/>
                <w:lang w:eastAsia="zh-CN"/>
              </w:rPr>
              <w:t>或</w:t>
            </w:r>
            <w:r>
              <w:rPr>
                <w:rFonts w:hint="eastAsia" w:ascii="宋体" w:hAnsi="宋体" w:cs="宋体"/>
                <w:b/>
                <w:color w:val="auto"/>
                <w:highlight w:val="none"/>
              </w:rPr>
              <w:t>投标文件相应内容未按要求编排、编排混乱导致投标文件被误读、漏读</w:t>
            </w:r>
            <w:r>
              <w:rPr>
                <w:rFonts w:hint="eastAsia" w:ascii="宋体" w:hAnsi="宋体" w:cs="宋体"/>
                <w:b/>
                <w:color w:val="auto"/>
                <w:highlight w:val="none"/>
                <w:lang w:eastAsia="zh-CN"/>
              </w:rPr>
              <w:t>，或者</w:t>
            </w:r>
            <w:r>
              <w:rPr>
                <w:rFonts w:hint="eastAsia" w:ascii="宋体" w:hAnsi="宋体" w:cs="宋体"/>
                <w:b/>
                <w:color w:val="auto"/>
                <w:highlight w:val="none"/>
              </w:rPr>
              <w:t>在按招标文件规定的部位查找不到相关内容，导致做出对投标人不利的资格审查或评审结果，其不利后果由投标人自行承担。</w:t>
            </w:r>
          </w:p>
          <w:p w14:paraId="4EE3F128">
            <w:pPr>
              <w:pStyle w:val="27"/>
              <w:keepNext w:val="0"/>
              <w:keepLines w:val="0"/>
              <w:pageBreakBefore w:val="0"/>
              <w:widowControl w:val="0"/>
              <w:kinsoku/>
              <w:wordWrap/>
              <w:overflowPunct/>
              <w:topLinePunct w:val="0"/>
              <w:autoSpaceDE/>
              <w:autoSpaceDN/>
              <w:bidi w:val="0"/>
              <w:snapToGrid w:val="0"/>
              <w:spacing w:line="340" w:lineRule="exact"/>
              <w:textAlignment w:val="auto"/>
              <w:rPr>
                <w:rFonts w:hint="eastAsia" w:hAnsi="宋体"/>
                <w:color w:val="auto"/>
                <w:szCs w:val="21"/>
                <w:highlight w:val="none"/>
              </w:rPr>
            </w:pPr>
            <w:r>
              <w:rPr>
                <w:rFonts w:hint="eastAsia" w:hAnsi="宋体" w:cs="宋体"/>
                <w:color w:val="auto"/>
                <w:highlight w:val="none"/>
              </w:rPr>
              <w:t>18.5投标人编制、生成电子投标文件后应当加密投标文件。投标人未按规定编制并加密的投标文件，</w:t>
            </w:r>
            <w:r>
              <w:rPr>
                <w:rFonts w:hint="eastAsia" w:hAnsi="宋体" w:cs="宋体"/>
                <w:b/>
                <w:color w:val="auto"/>
                <w:highlight w:val="none"/>
              </w:rPr>
              <w:t>广西政府采购云平台将予以拒收</w:t>
            </w:r>
            <w:r>
              <w:rPr>
                <w:rFonts w:hint="eastAsia" w:hAnsi="宋体" w:cs="宋体"/>
                <w:color w:val="auto"/>
                <w:highlight w:val="none"/>
              </w:rPr>
              <w:t>。</w:t>
            </w:r>
          </w:p>
        </w:tc>
      </w:tr>
      <w:tr w14:paraId="77251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noWrap w:val="0"/>
            <w:vAlign w:val="center"/>
          </w:tcPr>
          <w:p w14:paraId="3D69B672">
            <w:pPr>
              <w:spacing w:line="350" w:lineRule="exact"/>
              <w:jc w:val="center"/>
              <w:rPr>
                <w:rFonts w:hint="eastAsia" w:ascii="宋体" w:hAnsi="宋体"/>
                <w:color w:val="auto"/>
                <w:szCs w:val="21"/>
                <w:highlight w:val="none"/>
              </w:rPr>
            </w:pPr>
            <w:r>
              <w:rPr>
                <w:rFonts w:hint="eastAsia" w:ascii="宋体" w:hAnsi="宋体"/>
                <w:color w:val="auto"/>
                <w:szCs w:val="21"/>
                <w:highlight w:val="none"/>
              </w:rPr>
              <w:t>7</w:t>
            </w:r>
          </w:p>
        </w:tc>
        <w:tc>
          <w:tcPr>
            <w:tcW w:w="850" w:type="dxa"/>
            <w:noWrap w:val="0"/>
            <w:vAlign w:val="center"/>
          </w:tcPr>
          <w:p w14:paraId="69E9C697">
            <w:pPr>
              <w:spacing w:line="35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19</w:t>
            </w:r>
          </w:p>
        </w:tc>
        <w:tc>
          <w:tcPr>
            <w:tcW w:w="1701" w:type="dxa"/>
            <w:noWrap w:val="0"/>
            <w:vAlign w:val="center"/>
          </w:tcPr>
          <w:p w14:paraId="7D8251CB">
            <w:pPr>
              <w:spacing w:line="35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投标文件的递交</w:t>
            </w:r>
          </w:p>
        </w:tc>
        <w:tc>
          <w:tcPr>
            <w:tcW w:w="6946" w:type="dxa"/>
            <w:noWrap w:val="0"/>
            <w:vAlign w:val="center"/>
          </w:tcPr>
          <w:p w14:paraId="1ABAC3B5">
            <w:pPr>
              <w:keepNext w:val="0"/>
              <w:keepLines w:val="0"/>
              <w:pageBreakBefore w:val="0"/>
              <w:widowControl w:val="0"/>
              <w:tabs>
                <w:tab w:val="left" w:pos="7200"/>
              </w:tabs>
              <w:kinsoku/>
              <w:wordWrap/>
              <w:overflowPunct/>
              <w:topLinePunct w:val="0"/>
              <w:autoSpaceDE/>
              <w:autoSpaceDN/>
              <w:bidi w:val="0"/>
              <w:spacing w:line="340" w:lineRule="exact"/>
              <w:textAlignment w:val="auto"/>
              <w:rPr>
                <w:rFonts w:ascii="宋体" w:hAnsi="宋体"/>
                <w:color w:val="auto"/>
                <w:szCs w:val="21"/>
                <w:highlight w:val="none"/>
              </w:rPr>
            </w:pPr>
            <w:r>
              <w:rPr>
                <w:rFonts w:hint="eastAsia" w:ascii="宋体" w:hAnsi="宋体"/>
                <w:color w:val="auto"/>
                <w:szCs w:val="21"/>
                <w:highlight w:val="none"/>
              </w:rPr>
              <w:t>19.1投标文件递交要求：</w:t>
            </w:r>
          </w:p>
          <w:p w14:paraId="3959375F">
            <w:pPr>
              <w:keepNext w:val="0"/>
              <w:keepLines w:val="0"/>
              <w:pageBreakBefore w:val="0"/>
              <w:widowControl w:val="0"/>
              <w:tabs>
                <w:tab w:val="left" w:pos="7200"/>
              </w:tabs>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szCs w:val="21"/>
                <w:highlight w:val="none"/>
              </w:rPr>
              <w:t>投标截止时间：</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7</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23</w:t>
            </w:r>
            <w:r>
              <w:rPr>
                <w:rFonts w:hint="eastAsia" w:ascii="宋体" w:hAnsi="宋体"/>
                <w:color w:val="auto"/>
                <w:szCs w:val="21"/>
                <w:highlight w:val="none"/>
                <w:lang w:eastAsia="zh-CN"/>
              </w:rPr>
              <w:t>日</w:t>
            </w:r>
            <w:r>
              <w:rPr>
                <w:rFonts w:hint="eastAsia" w:ascii="宋体" w:hAnsi="宋体"/>
                <w:color w:val="auto"/>
                <w:szCs w:val="21"/>
                <w:highlight w:val="none"/>
              </w:rPr>
              <w:t>上午9时30分（北京时间）。</w:t>
            </w:r>
          </w:p>
          <w:p w14:paraId="4EE9496F">
            <w:pPr>
              <w:keepNext w:val="0"/>
              <w:keepLines w:val="0"/>
              <w:pageBreakBefore w:val="0"/>
              <w:widowControl w:val="0"/>
              <w:tabs>
                <w:tab w:val="left" w:pos="7200"/>
              </w:tabs>
              <w:kinsoku/>
              <w:wordWrap/>
              <w:overflowPunct/>
              <w:topLinePunct w:val="0"/>
              <w:autoSpaceDE/>
              <w:autoSpaceDN/>
              <w:bidi w:val="0"/>
              <w:spacing w:line="340" w:lineRule="exact"/>
              <w:textAlignment w:val="auto"/>
              <w:rPr>
                <w:rFonts w:hint="eastAsia" w:ascii="宋体" w:hAnsi="宋体"/>
                <w:color w:val="auto"/>
                <w:highlight w:val="none"/>
              </w:rPr>
            </w:pPr>
            <w:r>
              <w:rPr>
                <w:rFonts w:hint="eastAsia" w:ascii="宋体" w:hAnsi="宋体"/>
                <w:color w:val="auto"/>
                <w:szCs w:val="21"/>
                <w:highlight w:val="none"/>
              </w:rPr>
              <w:t>投标文件递交地点：</w:t>
            </w:r>
            <w:r>
              <w:rPr>
                <w:rFonts w:hint="eastAsia" w:ascii="宋体" w:hAnsi="宋体" w:cs="宋体"/>
                <w:color w:val="auto"/>
                <w:szCs w:val="21"/>
                <w:highlight w:val="none"/>
              </w:rPr>
              <w:t>通过</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在线提交</w:t>
            </w:r>
            <w:r>
              <w:rPr>
                <w:rFonts w:hint="eastAsia" w:ascii="宋体" w:hAnsi="宋体"/>
                <w:color w:val="auto"/>
                <w:highlight w:val="none"/>
              </w:rPr>
              <w:t>，逾期递交的投标文件将予以拒收。投标文件递交成功后，投标人必须在</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自行下载投标回执。</w:t>
            </w:r>
          </w:p>
          <w:p w14:paraId="1C7BA06D">
            <w:pPr>
              <w:keepNext w:val="0"/>
              <w:keepLines w:val="0"/>
              <w:pageBreakBefore w:val="0"/>
              <w:widowControl w:val="0"/>
              <w:kinsoku/>
              <w:wordWrap/>
              <w:overflowPunct/>
              <w:topLinePunct w:val="0"/>
              <w:autoSpaceDE/>
              <w:autoSpaceDN/>
              <w:bidi w:val="0"/>
              <w:snapToGrid w:val="0"/>
              <w:spacing w:line="340" w:lineRule="exact"/>
              <w:jc w:val="left"/>
              <w:textAlignment w:val="auto"/>
              <w:rPr>
                <w:rFonts w:hint="eastAsia" w:ascii="宋体" w:hAnsi="宋体" w:cs="宋体"/>
                <w:color w:val="auto"/>
                <w:highlight w:val="none"/>
              </w:rPr>
            </w:pPr>
            <w:r>
              <w:rPr>
                <w:rFonts w:hint="eastAsia" w:ascii="宋体" w:hAnsi="宋体"/>
                <w:color w:val="auto"/>
                <w:szCs w:val="21"/>
                <w:highlight w:val="none"/>
              </w:rPr>
              <w:t>19.2除招标文件另有规定外，投标人所递交的投标文件不予退还。</w:t>
            </w:r>
          </w:p>
        </w:tc>
      </w:tr>
      <w:tr w14:paraId="23C10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44" w:type="dxa"/>
            <w:noWrap w:val="0"/>
            <w:vAlign w:val="center"/>
          </w:tcPr>
          <w:p w14:paraId="37F2AAD3">
            <w:pPr>
              <w:spacing w:line="350" w:lineRule="exact"/>
              <w:jc w:val="center"/>
              <w:rPr>
                <w:rFonts w:hint="eastAsia" w:ascii="宋体" w:hAnsi="宋体"/>
                <w:color w:val="auto"/>
                <w:szCs w:val="21"/>
                <w:highlight w:val="none"/>
              </w:rPr>
            </w:pPr>
            <w:r>
              <w:rPr>
                <w:rFonts w:hint="eastAsia" w:ascii="宋体" w:hAnsi="宋体"/>
                <w:color w:val="auto"/>
                <w:szCs w:val="21"/>
                <w:highlight w:val="none"/>
              </w:rPr>
              <w:t>8</w:t>
            </w:r>
          </w:p>
        </w:tc>
        <w:tc>
          <w:tcPr>
            <w:tcW w:w="850" w:type="dxa"/>
            <w:noWrap w:val="0"/>
            <w:vAlign w:val="center"/>
          </w:tcPr>
          <w:p w14:paraId="16A87442">
            <w:pPr>
              <w:spacing w:line="350" w:lineRule="exact"/>
              <w:jc w:val="center"/>
              <w:rPr>
                <w:rFonts w:hint="eastAsia" w:ascii="宋体" w:hAnsi="宋体"/>
                <w:color w:val="auto"/>
                <w:position w:val="10"/>
                <w:szCs w:val="21"/>
                <w:highlight w:val="none"/>
              </w:rPr>
            </w:pPr>
            <w:r>
              <w:rPr>
                <w:rFonts w:hint="eastAsia" w:ascii="宋体" w:hAnsi="宋体" w:cs="宋体"/>
                <w:color w:val="auto"/>
                <w:szCs w:val="21"/>
                <w:highlight w:val="none"/>
              </w:rPr>
              <w:t>20</w:t>
            </w:r>
          </w:p>
        </w:tc>
        <w:tc>
          <w:tcPr>
            <w:tcW w:w="1701" w:type="dxa"/>
            <w:noWrap w:val="0"/>
            <w:vAlign w:val="center"/>
          </w:tcPr>
          <w:p w14:paraId="66FCDCD4">
            <w:pPr>
              <w:spacing w:line="350" w:lineRule="exact"/>
              <w:jc w:val="center"/>
              <w:rPr>
                <w:rFonts w:ascii="宋体" w:hAnsi="宋体" w:cs="宋体"/>
                <w:color w:val="auto"/>
                <w:szCs w:val="21"/>
                <w:highlight w:val="none"/>
              </w:rPr>
            </w:pPr>
            <w:r>
              <w:rPr>
                <w:rFonts w:hint="eastAsia" w:ascii="宋体" w:hAnsi="宋体" w:cs="宋体"/>
                <w:color w:val="auto"/>
                <w:szCs w:val="21"/>
                <w:highlight w:val="none"/>
              </w:rPr>
              <w:t>投标文件的补充、修改和撤回</w:t>
            </w:r>
          </w:p>
        </w:tc>
        <w:tc>
          <w:tcPr>
            <w:tcW w:w="6946" w:type="dxa"/>
            <w:noWrap w:val="0"/>
            <w:vAlign w:val="center"/>
          </w:tcPr>
          <w:p w14:paraId="44F78858">
            <w:pPr>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highlight w:val="none"/>
              </w:rPr>
            </w:pPr>
            <w:r>
              <w:rPr>
                <w:rFonts w:hint="eastAsia" w:ascii="宋体" w:hAnsi="宋体"/>
                <w:color w:val="auto"/>
                <w:highlight w:val="none"/>
              </w:rPr>
              <w:t>投标人在投标截止时间前，可以</w:t>
            </w:r>
            <w:r>
              <w:rPr>
                <w:rFonts w:hint="eastAsia" w:ascii="宋体" w:hAnsi="宋体" w:cs="宋体"/>
                <w:color w:val="auto"/>
                <w:szCs w:val="21"/>
                <w:highlight w:val="none"/>
              </w:rPr>
              <w:t>通过</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在线</w:t>
            </w:r>
            <w:r>
              <w:rPr>
                <w:rFonts w:hint="eastAsia" w:ascii="宋体" w:hAnsi="宋体"/>
                <w:color w:val="auto"/>
                <w:highlight w:val="none"/>
              </w:rPr>
              <w:t>对所递交的投标文件进行补充、修改或者撤回，并书面通知采购代理机构。</w:t>
            </w:r>
            <w:r>
              <w:rPr>
                <w:rFonts w:hint="eastAsia" w:ascii="宋体" w:hAnsi="宋体" w:cs="宋体"/>
                <w:bCs/>
                <w:color w:val="auto"/>
                <w:szCs w:val="21"/>
                <w:highlight w:val="none"/>
              </w:rPr>
              <w:t>补充、修改电子投标文件的，应当先行撤回原文件，补充、修改的内容</w:t>
            </w:r>
            <w:r>
              <w:rPr>
                <w:rFonts w:hint="eastAsia" w:ascii="宋体" w:hAnsi="宋体"/>
                <w:color w:val="auto"/>
                <w:highlight w:val="none"/>
              </w:rPr>
              <w:t>按照招标文件要求签署、盖章后</w:t>
            </w:r>
            <w:r>
              <w:rPr>
                <w:rFonts w:hint="eastAsia" w:ascii="宋体" w:hAnsi="宋体" w:cs="宋体"/>
                <w:bCs/>
                <w:color w:val="auto"/>
                <w:szCs w:val="21"/>
                <w:highlight w:val="none"/>
              </w:rPr>
              <w:t>重新传输提交至广西政府采购云平台</w:t>
            </w:r>
            <w:r>
              <w:rPr>
                <w:rFonts w:hint="eastAsia" w:ascii="宋体" w:hAnsi="宋体"/>
                <w:color w:val="auto"/>
                <w:highlight w:val="none"/>
              </w:rPr>
              <w:t>，作为投标文件的组成部分。</w:t>
            </w:r>
            <w:r>
              <w:rPr>
                <w:rFonts w:hint="eastAsia" w:ascii="宋体" w:hAnsi="宋体" w:cs="宋体"/>
                <w:bCs/>
                <w:color w:val="auto"/>
                <w:szCs w:val="21"/>
                <w:highlight w:val="none"/>
              </w:rPr>
              <w:t>在投标文件递交截止时间后的投标文件有效期内，投标人不得撤回其投标文件。</w:t>
            </w:r>
          </w:p>
        </w:tc>
      </w:tr>
      <w:tr w14:paraId="76EA4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noWrap w:val="0"/>
            <w:vAlign w:val="center"/>
          </w:tcPr>
          <w:p w14:paraId="5BF51890">
            <w:pPr>
              <w:spacing w:line="350" w:lineRule="exact"/>
              <w:jc w:val="center"/>
              <w:rPr>
                <w:rFonts w:hint="eastAsia" w:ascii="宋体" w:hAnsi="宋体"/>
                <w:color w:val="auto"/>
                <w:szCs w:val="21"/>
                <w:highlight w:val="none"/>
              </w:rPr>
            </w:pPr>
            <w:r>
              <w:rPr>
                <w:rFonts w:hint="eastAsia" w:ascii="宋体" w:hAnsi="宋体"/>
                <w:color w:val="auto"/>
                <w:szCs w:val="21"/>
                <w:highlight w:val="none"/>
              </w:rPr>
              <w:t>9</w:t>
            </w:r>
          </w:p>
        </w:tc>
        <w:tc>
          <w:tcPr>
            <w:tcW w:w="850" w:type="dxa"/>
            <w:noWrap w:val="0"/>
            <w:vAlign w:val="center"/>
          </w:tcPr>
          <w:p w14:paraId="09816716">
            <w:pPr>
              <w:spacing w:line="350" w:lineRule="exact"/>
              <w:jc w:val="center"/>
              <w:rPr>
                <w:rFonts w:hint="eastAsia" w:ascii="宋体" w:hAnsi="宋体"/>
                <w:color w:val="auto"/>
                <w:szCs w:val="21"/>
                <w:highlight w:val="none"/>
              </w:rPr>
            </w:pPr>
            <w:r>
              <w:rPr>
                <w:rFonts w:hint="eastAsia" w:ascii="宋体" w:hAnsi="宋体"/>
                <w:color w:val="auto"/>
                <w:szCs w:val="21"/>
                <w:highlight w:val="none"/>
              </w:rPr>
              <w:t xml:space="preserve">21 </w:t>
            </w:r>
          </w:p>
        </w:tc>
        <w:tc>
          <w:tcPr>
            <w:tcW w:w="1701" w:type="dxa"/>
            <w:noWrap w:val="0"/>
            <w:vAlign w:val="center"/>
          </w:tcPr>
          <w:p w14:paraId="44504576">
            <w:pPr>
              <w:spacing w:line="350" w:lineRule="exact"/>
              <w:jc w:val="center"/>
              <w:rPr>
                <w:rFonts w:ascii="宋体" w:hAnsi="宋体"/>
                <w:color w:val="auto"/>
                <w:szCs w:val="21"/>
                <w:highlight w:val="none"/>
              </w:rPr>
            </w:pPr>
            <w:r>
              <w:rPr>
                <w:rFonts w:hint="eastAsia" w:ascii="宋体" w:hAnsi="宋体"/>
                <w:color w:val="auto"/>
                <w:szCs w:val="21"/>
                <w:highlight w:val="none"/>
              </w:rPr>
              <w:t>开标时间及地点</w:t>
            </w:r>
          </w:p>
        </w:tc>
        <w:tc>
          <w:tcPr>
            <w:tcW w:w="6946" w:type="dxa"/>
            <w:noWrap w:val="0"/>
            <w:vAlign w:val="center"/>
          </w:tcPr>
          <w:p w14:paraId="3419D5AD">
            <w:pPr>
              <w:keepNext w:val="0"/>
              <w:keepLines w:val="0"/>
              <w:pageBreakBefore w:val="0"/>
              <w:widowControl w:val="0"/>
              <w:kinsoku/>
              <w:wordWrap/>
              <w:overflowPunct/>
              <w:topLinePunct w:val="0"/>
              <w:autoSpaceDE/>
              <w:autoSpaceDN/>
              <w:bidi w:val="0"/>
              <w:spacing w:line="340" w:lineRule="exact"/>
              <w:textAlignment w:val="auto"/>
              <w:rPr>
                <w:rFonts w:ascii="宋体" w:hAnsi="宋体"/>
                <w:color w:val="auto"/>
                <w:highlight w:val="none"/>
              </w:rPr>
            </w:pPr>
            <w:r>
              <w:rPr>
                <w:rFonts w:hint="eastAsia" w:ascii="宋体" w:hAnsi="宋体"/>
                <w:color w:val="auto"/>
                <w:highlight w:val="none"/>
              </w:rPr>
              <w:t>21.1开标时间及地点：</w:t>
            </w:r>
          </w:p>
          <w:p w14:paraId="0B4D3C68">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highlight w:val="none"/>
              </w:rPr>
            </w:pPr>
            <w:r>
              <w:rPr>
                <w:rFonts w:hint="eastAsia" w:ascii="宋体" w:hAnsi="宋体"/>
                <w:color w:val="auto"/>
                <w:highlight w:val="none"/>
              </w:rPr>
              <w:t>开标时间：</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7</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23</w:t>
            </w:r>
            <w:r>
              <w:rPr>
                <w:rFonts w:hint="eastAsia" w:ascii="宋体" w:hAnsi="宋体"/>
                <w:color w:val="auto"/>
                <w:szCs w:val="21"/>
                <w:highlight w:val="none"/>
                <w:lang w:eastAsia="zh-CN"/>
              </w:rPr>
              <w:t>日</w:t>
            </w:r>
            <w:r>
              <w:rPr>
                <w:rFonts w:hint="eastAsia" w:ascii="宋体" w:hAnsi="宋体"/>
                <w:color w:val="auto"/>
                <w:highlight w:val="none"/>
              </w:rPr>
              <w:t>上午9时30分（北京时间）；</w:t>
            </w:r>
          </w:p>
          <w:p w14:paraId="4233241E">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highlight w:val="none"/>
              </w:rPr>
            </w:pPr>
            <w:r>
              <w:rPr>
                <w:rFonts w:hint="eastAsia" w:ascii="宋体" w:hAnsi="宋体"/>
                <w:color w:val="auto"/>
                <w:highlight w:val="none"/>
              </w:rPr>
              <w:t>开标地点：通过</w:t>
            </w:r>
            <w:r>
              <w:rPr>
                <w:rFonts w:hint="eastAsia" w:ascii="宋体" w:hAnsi="宋体" w:cs="宋体"/>
                <w:bCs/>
                <w:color w:val="auto"/>
                <w:szCs w:val="21"/>
                <w:highlight w:val="none"/>
              </w:rPr>
              <w:t>广西政府采购云平台</w:t>
            </w:r>
            <w:r>
              <w:rPr>
                <w:rFonts w:hint="eastAsia" w:ascii="宋体" w:hAnsi="宋体"/>
                <w:color w:val="auto"/>
                <w:highlight w:val="none"/>
              </w:rPr>
              <w:t>在线解密、开标。</w:t>
            </w:r>
          </w:p>
          <w:p w14:paraId="7B0F8036">
            <w:pPr>
              <w:keepNext w:val="0"/>
              <w:keepLines w:val="0"/>
              <w:pageBreakBefore w:val="0"/>
              <w:widowControl w:val="0"/>
              <w:kinsoku/>
              <w:wordWrap/>
              <w:overflowPunct/>
              <w:topLinePunct w:val="0"/>
              <w:autoSpaceDE/>
              <w:autoSpaceDN/>
              <w:bidi w:val="0"/>
              <w:spacing w:line="340" w:lineRule="exact"/>
              <w:textAlignment w:val="auto"/>
              <w:rPr>
                <w:color w:val="auto"/>
                <w:highlight w:val="none"/>
              </w:rPr>
            </w:pPr>
            <w:r>
              <w:rPr>
                <w:rFonts w:hint="eastAsia" w:ascii="宋体" w:hAnsi="宋体"/>
                <w:color w:val="auto"/>
                <w:highlight w:val="none"/>
              </w:rPr>
              <w:t>21.2投标人不足3家的，不得开标，采购人或者采购代理机构应当重新组织采购。</w:t>
            </w:r>
          </w:p>
        </w:tc>
      </w:tr>
      <w:tr w14:paraId="0B148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noWrap w:val="0"/>
            <w:vAlign w:val="center"/>
          </w:tcPr>
          <w:p w14:paraId="21666326">
            <w:pPr>
              <w:spacing w:line="350" w:lineRule="exact"/>
              <w:jc w:val="center"/>
              <w:rPr>
                <w:rFonts w:hint="eastAsia" w:ascii="宋体" w:hAnsi="宋体"/>
                <w:color w:val="auto"/>
                <w:szCs w:val="21"/>
                <w:highlight w:val="none"/>
              </w:rPr>
            </w:pPr>
            <w:r>
              <w:rPr>
                <w:rFonts w:hint="eastAsia" w:ascii="宋体" w:hAnsi="宋体"/>
                <w:color w:val="auto"/>
                <w:szCs w:val="21"/>
                <w:highlight w:val="none"/>
              </w:rPr>
              <w:t>10</w:t>
            </w:r>
          </w:p>
        </w:tc>
        <w:tc>
          <w:tcPr>
            <w:tcW w:w="850" w:type="dxa"/>
            <w:noWrap w:val="0"/>
            <w:vAlign w:val="center"/>
          </w:tcPr>
          <w:p w14:paraId="3F575ED6">
            <w:pPr>
              <w:spacing w:line="350" w:lineRule="exact"/>
              <w:jc w:val="center"/>
              <w:rPr>
                <w:rFonts w:hint="eastAsia" w:ascii="宋体" w:hAnsi="宋体"/>
                <w:color w:val="auto"/>
                <w:szCs w:val="21"/>
                <w:highlight w:val="none"/>
              </w:rPr>
            </w:pPr>
            <w:r>
              <w:rPr>
                <w:rFonts w:hint="eastAsia" w:ascii="宋体" w:hAnsi="宋体"/>
                <w:color w:val="auto"/>
                <w:szCs w:val="21"/>
                <w:highlight w:val="none"/>
              </w:rPr>
              <w:t>22</w:t>
            </w:r>
          </w:p>
        </w:tc>
        <w:tc>
          <w:tcPr>
            <w:tcW w:w="1701" w:type="dxa"/>
            <w:noWrap w:val="0"/>
            <w:vAlign w:val="center"/>
          </w:tcPr>
          <w:p w14:paraId="6BC703CC">
            <w:pPr>
              <w:spacing w:line="350" w:lineRule="exact"/>
              <w:jc w:val="center"/>
              <w:rPr>
                <w:rFonts w:ascii="宋体" w:hAnsi="宋体"/>
                <w:color w:val="auto"/>
                <w:szCs w:val="21"/>
                <w:highlight w:val="none"/>
              </w:rPr>
            </w:pPr>
            <w:r>
              <w:rPr>
                <w:rFonts w:hint="eastAsia" w:ascii="宋体" w:hAnsi="宋体"/>
                <w:color w:val="auto"/>
                <w:szCs w:val="21"/>
                <w:highlight w:val="none"/>
              </w:rPr>
              <w:t>开标程序</w:t>
            </w:r>
          </w:p>
        </w:tc>
        <w:tc>
          <w:tcPr>
            <w:tcW w:w="6946" w:type="dxa"/>
            <w:noWrap w:val="0"/>
            <w:vAlign w:val="center"/>
          </w:tcPr>
          <w:p w14:paraId="59FE1EF1">
            <w:pPr>
              <w:keepNext w:val="0"/>
              <w:keepLines w:val="0"/>
              <w:pageBreakBefore w:val="0"/>
              <w:widowControl w:val="0"/>
              <w:kinsoku/>
              <w:wordWrap/>
              <w:overflowPunct/>
              <w:topLinePunct w:val="0"/>
              <w:autoSpaceDE/>
              <w:autoSpaceDN/>
              <w:bidi w:val="0"/>
              <w:spacing w:line="340" w:lineRule="exact"/>
              <w:textAlignment w:val="auto"/>
              <w:rPr>
                <w:rFonts w:ascii="宋体" w:hAnsi="宋体"/>
                <w:color w:val="auto"/>
                <w:highlight w:val="none"/>
              </w:rPr>
            </w:pPr>
            <w:r>
              <w:rPr>
                <w:rFonts w:hint="eastAsia" w:ascii="宋体" w:hAnsi="宋体"/>
                <w:color w:val="auto"/>
                <w:highlight w:val="none"/>
              </w:rPr>
              <w:t>22.1采购代理机构将按照招标文件规定的时间通过</w:t>
            </w:r>
            <w:r>
              <w:rPr>
                <w:rFonts w:hint="eastAsia" w:ascii="宋体" w:hAnsi="宋体" w:cs="宋体"/>
                <w:bCs/>
                <w:color w:val="auto"/>
                <w:szCs w:val="21"/>
                <w:highlight w:val="none"/>
              </w:rPr>
              <w:t>广西政府采购云平台</w:t>
            </w:r>
            <w:r>
              <w:rPr>
                <w:rFonts w:hint="eastAsia" w:ascii="宋体" w:hAnsi="宋体"/>
                <w:color w:val="auto"/>
                <w:highlight w:val="none"/>
              </w:rPr>
              <w:t>在线组织开标、解密开启投标文件，投标人的法定代表人或其委托代理人应当保持</w:t>
            </w:r>
            <w:r>
              <w:rPr>
                <w:rFonts w:hint="eastAsia" w:ascii="宋体" w:hAnsi="宋体" w:cs="宋体"/>
                <w:bCs/>
                <w:color w:val="auto"/>
                <w:szCs w:val="21"/>
                <w:highlight w:val="none"/>
              </w:rPr>
              <w:t>广西政府采购云平台</w:t>
            </w:r>
            <w:r>
              <w:rPr>
                <w:rFonts w:hint="eastAsia" w:ascii="宋体" w:hAnsi="宋体"/>
                <w:color w:val="auto"/>
                <w:highlight w:val="none"/>
              </w:rPr>
              <w:t>实时在线，并通过</w:t>
            </w:r>
            <w:r>
              <w:rPr>
                <w:rFonts w:hint="eastAsia" w:ascii="宋体" w:hAnsi="宋体" w:cs="宋体"/>
                <w:bCs/>
                <w:color w:val="auto"/>
                <w:szCs w:val="21"/>
                <w:highlight w:val="none"/>
              </w:rPr>
              <w:t>广西政府采购云平台</w:t>
            </w:r>
            <w:r>
              <w:rPr>
                <w:rFonts w:hint="eastAsia" w:ascii="宋体" w:hAnsi="宋体"/>
                <w:color w:val="auto"/>
                <w:highlight w:val="none"/>
              </w:rPr>
              <w:t>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37F27DCE">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highlight w:val="none"/>
              </w:rPr>
            </w:pPr>
            <w:r>
              <w:rPr>
                <w:rFonts w:hint="eastAsia" w:ascii="宋体" w:hAnsi="宋体"/>
                <w:color w:val="auto"/>
                <w:highlight w:val="none"/>
              </w:rPr>
              <w:t>22.2投标文件解密：投标文件提交截止时间后，采购代理机构开启解密投标文件操作，</w:t>
            </w:r>
            <w:r>
              <w:rPr>
                <w:rFonts w:hint="eastAsia" w:ascii="宋体" w:hAnsi="宋体" w:cs="宋体"/>
                <w:bCs/>
                <w:color w:val="auto"/>
                <w:szCs w:val="21"/>
                <w:highlight w:val="none"/>
              </w:rPr>
              <w:t>广西政府采购云平台</w:t>
            </w:r>
            <w:r>
              <w:rPr>
                <w:rFonts w:hint="eastAsia" w:ascii="宋体" w:hAnsi="宋体"/>
                <w:color w:val="auto"/>
                <w:highlight w:val="none"/>
              </w:rPr>
              <w:t>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向采购代理机构现场提交电子备份投标文件（接收电子备份投标文件的电子邮箱为：guilinyl@vip.sina.com）；投标人未在上述规定的时间、电子邮箱提交的电子备份投标文件，采购代理机构不予接收或承认。采购代理机构收到电子备份投标文件后按操作规范上传至广西政府采购云平台，电子备份投标文件上传成功后，投标人原上传的“电子加密投标文件”自动失效。</w:t>
            </w:r>
            <w:r>
              <w:rPr>
                <w:rFonts w:hint="eastAsia" w:ascii="宋体" w:hAnsi="宋体"/>
                <w:b/>
                <w:color w:val="auto"/>
                <w:highlight w:val="none"/>
              </w:rPr>
              <w:t>若投标人在规定时间内无法解密或解密失败且未在规定的时间内提供电子备份投标文件的（包含提供的电子备份投标文件无效的情况），视为投标人放弃投标。</w:t>
            </w:r>
          </w:p>
          <w:p w14:paraId="076B3E14">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highlight w:val="none"/>
              </w:rPr>
            </w:pPr>
            <w:r>
              <w:rPr>
                <w:rFonts w:hint="eastAsia" w:ascii="宋体" w:hAnsi="宋体"/>
                <w:color w:val="auto"/>
                <w:highlight w:val="none"/>
              </w:rPr>
              <w:t>22.3投标文件解密结束后，开标活动组织人员在线开启投标文件。</w:t>
            </w:r>
          </w:p>
          <w:p w14:paraId="5A233CB4">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highlight w:val="none"/>
              </w:rPr>
            </w:pPr>
            <w:r>
              <w:rPr>
                <w:rFonts w:hint="eastAsia" w:ascii="宋体" w:hAnsi="宋体"/>
                <w:color w:val="auto"/>
                <w:highlight w:val="none"/>
              </w:rPr>
              <w:t>22.4开启投标人报价文件，电子开标大厅记录显示并记录投标人投标报价表的投标报价等。</w:t>
            </w:r>
          </w:p>
          <w:p w14:paraId="1D3ED03E">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highlight w:val="none"/>
              </w:rPr>
            </w:pPr>
            <w:r>
              <w:rPr>
                <w:rFonts w:hint="eastAsia" w:ascii="宋体" w:hAnsi="宋体"/>
                <w:color w:val="auto"/>
                <w:highlight w:val="none"/>
              </w:rPr>
              <w:t>22.5投标人线上确认投标报价。</w:t>
            </w:r>
          </w:p>
          <w:p w14:paraId="568B84C0">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highlight w:val="none"/>
              </w:rPr>
            </w:pPr>
            <w:r>
              <w:rPr>
                <w:rFonts w:hint="eastAsia" w:ascii="宋体" w:hAnsi="宋体"/>
                <w:color w:val="auto"/>
                <w:highlight w:val="none"/>
              </w:rPr>
              <w:t>22.6如发现开标结果与所提交的报价文件不一致的，由评标委员会根据报价文件内容进行修正。</w:t>
            </w:r>
          </w:p>
          <w:p w14:paraId="197640D7">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highlight w:val="none"/>
              </w:rPr>
            </w:pPr>
            <w:r>
              <w:rPr>
                <w:rFonts w:hint="eastAsia" w:ascii="宋体" w:hAnsi="宋体"/>
                <w:color w:val="auto"/>
                <w:highlight w:val="none"/>
              </w:rPr>
              <w:t>22.7投标人代表对开标过程和开标记录有疑义，以及认为采购人、采购代理机构相关工作人员有需要回避的情形的，应当场提出询问或者回避申请。</w:t>
            </w:r>
            <w:r>
              <w:rPr>
                <w:rFonts w:hint="eastAsia" w:ascii="宋体" w:hAnsi="宋体"/>
                <w:color w:val="auto"/>
                <w:spacing w:val="-4"/>
                <w:highlight w:val="none"/>
              </w:rPr>
              <w:t>采购人、采购代理机构对投标人代表提出的询问或者回避申请应当及时处理。</w:t>
            </w:r>
          </w:p>
          <w:p w14:paraId="167D7C2F">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ascii="宋体" w:hAnsi="宋体" w:cs="宋体"/>
                <w:color w:val="auto"/>
                <w:szCs w:val="21"/>
                <w:highlight w:val="none"/>
              </w:rPr>
            </w:pPr>
            <w:r>
              <w:rPr>
                <w:rFonts w:hint="eastAsia" w:ascii="宋体" w:hAnsi="宋体"/>
                <w:color w:val="auto"/>
                <w:highlight w:val="none"/>
              </w:rPr>
              <w:t>22.8特别说明：如遇</w:t>
            </w:r>
            <w:r>
              <w:rPr>
                <w:rFonts w:hint="eastAsia" w:ascii="宋体" w:hAnsi="宋体" w:cs="宋体"/>
                <w:bCs/>
                <w:color w:val="auto"/>
                <w:szCs w:val="21"/>
                <w:highlight w:val="none"/>
              </w:rPr>
              <w:t>广西政府采购云平台</w:t>
            </w:r>
            <w:r>
              <w:rPr>
                <w:rFonts w:hint="eastAsia" w:ascii="宋体" w:hAnsi="宋体"/>
                <w:color w:val="auto"/>
                <w:highlight w:val="none"/>
              </w:rPr>
              <w:t>电子化开标或评审程序调整的，按调整后程序执行。</w:t>
            </w:r>
          </w:p>
        </w:tc>
      </w:tr>
      <w:tr w14:paraId="61E05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44" w:type="dxa"/>
            <w:noWrap w:val="0"/>
            <w:vAlign w:val="center"/>
          </w:tcPr>
          <w:p w14:paraId="187C6E6D">
            <w:pPr>
              <w:spacing w:line="350" w:lineRule="exact"/>
              <w:jc w:val="center"/>
              <w:rPr>
                <w:rFonts w:hint="eastAsia" w:ascii="宋体" w:hAnsi="宋体"/>
                <w:color w:val="auto"/>
                <w:szCs w:val="21"/>
                <w:highlight w:val="none"/>
              </w:rPr>
            </w:pPr>
            <w:r>
              <w:rPr>
                <w:rFonts w:hint="eastAsia" w:ascii="宋体" w:hAnsi="宋体"/>
                <w:color w:val="auto"/>
                <w:szCs w:val="21"/>
                <w:highlight w:val="none"/>
              </w:rPr>
              <w:t>11</w:t>
            </w:r>
          </w:p>
        </w:tc>
        <w:tc>
          <w:tcPr>
            <w:tcW w:w="850" w:type="dxa"/>
            <w:noWrap w:val="0"/>
            <w:vAlign w:val="center"/>
          </w:tcPr>
          <w:p w14:paraId="251D6CDB">
            <w:pPr>
              <w:spacing w:line="350" w:lineRule="exact"/>
              <w:jc w:val="center"/>
              <w:rPr>
                <w:rFonts w:hint="eastAsia" w:ascii="宋体" w:hAnsi="宋体"/>
                <w:color w:val="auto"/>
                <w:szCs w:val="21"/>
                <w:highlight w:val="none"/>
              </w:rPr>
            </w:pPr>
            <w:r>
              <w:rPr>
                <w:rFonts w:hint="eastAsia" w:ascii="宋体" w:hAnsi="宋体"/>
                <w:color w:val="auto"/>
                <w:szCs w:val="21"/>
                <w:highlight w:val="none"/>
              </w:rPr>
              <w:t>24</w:t>
            </w:r>
          </w:p>
        </w:tc>
        <w:tc>
          <w:tcPr>
            <w:tcW w:w="1701" w:type="dxa"/>
            <w:noWrap w:val="0"/>
            <w:vAlign w:val="center"/>
          </w:tcPr>
          <w:p w14:paraId="01DE4FAD">
            <w:pPr>
              <w:spacing w:line="350" w:lineRule="exact"/>
              <w:jc w:val="center"/>
              <w:rPr>
                <w:rFonts w:hint="eastAsia" w:ascii="宋体" w:hAnsi="宋体"/>
                <w:color w:val="auto"/>
                <w:szCs w:val="21"/>
                <w:highlight w:val="none"/>
              </w:rPr>
            </w:pPr>
            <w:r>
              <w:rPr>
                <w:rFonts w:hint="eastAsia" w:ascii="宋体" w:hAnsi="宋体"/>
                <w:color w:val="auto"/>
                <w:szCs w:val="21"/>
                <w:highlight w:val="none"/>
              </w:rPr>
              <w:t>评标委员会组成</w:t>
            </w:r>
          </w:p>
        </w:tc>
        <w:tc>
          <w:tcPr>
            <w:tcW w:w="6946" w:type="dxa"/>
            <w:noWrap w:val="0"/>
            <w:vAlign w:val="center"/>
          </w:tcPr>
          <w:p w14:paraId="5EFA353B">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ascii="宋体" w:hAnsi="宋体"/>
                <w:color w:val="auto"/>
                <w:szCs w:val="21"/>
                <w:highlight w:val="none"/>
              </w:rPr>
              <w:t>评标委员会由采购人代表和评审专家组成，成员人数</w:t>
            </w:r>
            <w:r>
              <w:rPr>
                <w:rFonts w:hint="eastAsia" w:ascii="宋体" w:hAnsi="宋体"/>
                <w:color w:val="auto"/>
                <w:szCs w:val="21"/>
                <w:highlight w:val="none"/>
              </w:rPr>
              <w:t>共5人，其中评审专家不得少于成员总数的2/3</w:t>
            </w:r>
            <w:r>
              <w:rPr>
                <w:rFonts w:ascii="宋体" w:hAnsi="宋体"/>
                <w:color w:val="auto"/>
                <w:szCs w:val="21"/>
                <w:highlight w:val="none"/>
              </w:rPr>
              <w:t>。</w:t>
            </w:r>
          </w:p>
        </w:tc>
      </w:tr>
      <w:tr w14:paraId="14875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44" w:type="dxa"/>
            <w:noWrap w:val="0"/>
            <w:vAlign w:val="center"/>
          </w:tcPr>
          <w:p w14:paraId="533027F9">
            <w:pPr>
              <w:spacing w:line="350" w:lineRule="exact"/>
              <w:jc w:val="center"/>
              <w:rPr>
                <w:rFonts w:hint="eastAsia" w:ascii="宋体" w:hAnsi="宋体"/>
                <w:color w:val="auto"/>
                <w:szCs w:val="21"/>
                <w:highlight w:val="none"/>
              </w:rPr>
            </w:pPr>
            <w:r>
              <w:rPr>
                <w:rFonts w:hint="eastAsia" w:ascii="宋体" w:hAnsi="宋体"/>
                <w:color w:val="auto"/>
                <w:szCs w:val="21"/>
                <w:highlight w:val="none"/>
              </w:rPr>
              <w:t>12</w:t>
            </w:r>
          </w:p>
        </w:tc>
        <w:tc>
          <w:tcPr>
            <w:tcW w:w="850" w:type="dxa"/>
            <w:noWrap w:val="0"/>
            <w:vAlign w:val="center"/>
          </w:tcPr>
          <w:p w14:paraId="7278A059">
            <w:pPr>
              <w:spacing w:line="350" w:lineRule="exact"/>
              <w:jc w:val="center"/>
              <w:rPr>
                <w:rFonts w:hint="eastAsia" w:ascii="宋体" w:hAnsi="宋体"/>
                <w:color w:val="auto"/>
                <w:szCs w:val="21"/>
                <w:highlight w:val="none"/>
              </w:rPr>
            </w:pPr>
            <w:r>
              <w:rPr>
                <w:rFonts w:hint="eastAsia" w:ascii="宋体" w:hAnsi="宋体"/>
                <w:color w:val="auto"/>
                <w:szCs w:val="21"/>
                <w:highlight w:val="none"/>
              </w:rPr>
              <w:t>25.1</w:t>
            </w:r>
          </w:p>
        </w:tc>
        <w:tc>
          <w:tcPr>
            <w:tcW w:w="1701" w:type="dxa"/>
            <w:noWrap w:val="0"/>
            <w:vAlign w:val="center"/>
          </w:tcPr>
          <w:p w14:paraId="4C22B378">
            <w:pPr>
              <w:spacing w:line="350" w:lineRule="exact"/>
              <w:jc w:val="center"/>
              <w:rPr>
                <w:rFonts w:hint="eastAsia" w:ascii="宋体" w:hAnsi="宋体"/>
                <w:color w:val="auto"/>
                <w:szCs w:val="21"/>
                <w:highlight w:val="none"/>
              </w:rPr>
            </w:pPr>
            <w:r>
              <w:rPr>
                <w:rFonts w:hint="eastAsia" w:ascii="宋体" w:hAnsi="宋体"/>
                <w:color w:val="auto"/>
                <w:szCs w:val="21"/>
                <w:highlight w:val="none"/>
              </w:rPr>
              <w:t>评标办法</w:t>
            </w:r>
          </w:p>
        </w:tc>
        <w:tc>
          <w:tcPr>
            <w:tcW w:w="6946" w:type="dxa"/>
            <w:noWrap w:val="0"/>
            <w:vAlign w:val="center"/>
          </w:tcPr>
          <w:p w14:paraId="48CC75BA">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szCs w:val="21"/>
                <w:highlight w:val="none"/>
              </w:rPr>
              <w:t>综合评分法，具体评标内容及标准详见第四章。</w:t>
            </w:r>
          </w:p>
        </w:tc>
      </w:tr>
      <w:tr w14:paraId="3678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noWrap w:val="0"/>
            <w:vAlign w:val="center"/>
          </w:tcPr>
          <w:p w14:paraId="79649586">
            <w:pPr>
              <w:spacing w:line="350" w:lineRule="exact"/>
              <w:jc w:val="center"/>
              <w:rPr>
                <w:rFonts w:hint="eastAsia" w:ascii="宋体" w:hAnsi="宋体"/>
                <w:color w:val="auto"/>
                <w:szCs w:val="21"/>
                <w:highlight w:val="none"/>
              </w:rPr>
            </w:pPr>
            <w:r>
              <w:rPr>
                <w:rFonts w:hint="eastAsia" w:ascii="宋体" w:hAnsi="宋体"/>
                <w:color w:val="auto"/>
                <w:szCs w:val="21"/>
                <w:highlight w:val="none"/>
              </w:rPr>
              <w:t>13</w:t>
            </w:r>
          </w:p>
        </w:tc>
        <w:tc>
          <w:tcPr>
            <w:tcW w:w="850" w:type="dxa"/>
            <w:noWrap w:val="0"/>
            <w:vAlign w:val="center"/>
          </w:tcPr>
          <w:p w14:paraId="077331AC">
            <w:pPr>
              <w:spacing w:line="350" w:lineRule="exact"/>
              <w:jc w:val="center"/>
              <w:rPr>
                <w:rFonts w:hint="eastAsia" w:ascii="宋体" w:hAnsi="宋体"/>
                <w:color w:val="auto"/>
                <w:szCs w:val="21"/>
                <w:highlight w:val="none"/>
              </w:rPr>
            </w:pPr>
            <w:r>
              <w:rPr>
                <w:rFonts w:hint="eastAsia" w:ascii="宋体" w:hAnsi="宋体"/>
                <w:color w:val="auto"/>
                <w:szCs w:val="21"/>
                <w:highlight w:val="none"/>
              </w:rPr>
              <w:t>32</w:t>
            </w:r>
          </w:p>
        </w:tc>
        <w:tc>
          <w:tcPr>
            <w:tcW w:w="1701" w:type="dxa"/>
            <w:noWrap w:val="0"/>
            <w:vAlign w:val="center"/>
          </w:tcPr>
          <w:p w14:paraId="76F97798">
            <w:pPr>
              <w:tabs>
                <w:tab w:val="left" w:pos="1140"/>
              </w:tabs>
              <w:spacing w:line="350" w:lineRule="exact"/>
              <w:jc w:val="center"/>
              <w:rPr>
                <w:rFonts w:hint="eastAsia" w:ascii="宋体" w:hAnsi="宋体"/>
                <w:color w:val="auto"/>
                <w:szCs w:val="21"/>
                <w:highlight w:val="none"/>
              </w:rPr>
            </w:pPr>
            <w:r>
              <w:rPr>
                <w:rFonts w:hint="eastAsia" w:ascii="宋体" w:hAnsi="宋体"/>
                <w:color w:val="auto"/>
                <w:szCs w:val="21"/>
                <w:highlight w:val="none"/>
              </w:rPr>
              <w:t>信用查询</w:t>
            </w:r>
          </w:p>
        </w:tc>
        <w:tc>
          <w:tcPr>
            <w:tcW w:w="6946" w:type="dxa"/>
            <w:noWrap w:val="0"/>
            <w:vAlign w:val="center"/>
          </w:tcPr>
          <w:p w14:paraId="25E07F23">
            <w:pPr>
              <w:keepNext w:val="0"/>
              <w:keepLines w:val="0"/>
              <w:pageBreakBefore w:val="0"/>
              <w:widowControl w:val="0"/>
              <w:kinsoku/>
              <w:wordWrap/>
              <w:overflowPunct/>
              <w:topLinePunct w:val="0"/>
              <w:autoSpaceDE/>
              <w:autoSpaceDN/>
              <w:bidi w:val="0"/>
              <w:spacing w:line="340" w:lineRule="exact"/>
              <w:textAlignment w:val="auto"/>
              <w:rPr>
                <w:rFonts w:ascii="宋体" w:hAnsi="宋体"/>
                <w:color w:val="auto"/>
                <w:szCs w:val="21"/>
                <w:highlight w:val="none"/>
              </w:rPr>
            </w:pPr>
            <w:r>
              <w:rPr>
                <w:rFonts w:hint="eastAsia" w:ascii="宋体" w:hAnsi="宋体"/>
                <w:color w:val="auto"/>
                <w:szCs w:val="21"/>
                <w:highlight w:val="none"/>
              </w:rPr>
              <w:t>根据《关于做好政府采购有关信用主体标识码登记及在政府采购活动中查询使用信用记录有关问题的通知》（桂财采〔2016〕37号</w:t>
            </w:r>
            <w:r>
              <w:rPr>
                <w:rFonts w:hint="eastAsia" w:ascii="宋体" w:hAnsi="宋体"/>
                <w:color w:val="auto"/>
                <w:szCs w:val="21"/>
                <w:highlight w:val="none"/>
                <w:lang w:eastAsia="zh-CN"/>
              </w:rPr>
              <w:t>）</w:t>
            </w:r>
            <w:r>
              <w:rPr>
                <w:rFonts w:hint="eastAsia" w:ascii="宋体" w:hAnsi="宋体"/>
                <w:color w:val="auto"/>
                <w:szCs w:val="21"/>
                <w:highlight w:val="none"/>
              </w:rPr>
              <w:t>的通知，由采购代理机构对第一中标候选人进行信用查询：</w:t>
            </w:r>
          </w:p>
          <w:p w14:paraId="37434CA4">
            <w:pPr>
              <w:keepNext w:val="0"/>
              <w:keepLines w:val="0"/>
              <w:pageBreakBefore w:val="0"/>
              <w:widowControl w:val="0"/>
              <w:kinsoku/>
              <w:wordWrap/>
              <w:overflowPunct/>
              <w:topLinePunct w:val="0"/>
              <w:autoSpaceDE/>
              <w:autoSpaceDN/>
              <w:bidi w:val="0"/>
              <w:spacing w:line="340" w:lineRule="exact"/>
              <w:textAlignment w:val="auto"/>
              <w:rPr>
                <w:rFonts w:ascii="宋体" w:hAnsi="宋体"/>
                <w:color w:val="auto"/>
                <w:szCs w:val="21"/>
                <w:highlight w:val="none"/>
              </w:rPr>
            </w:pPr>
            <w:r>
              <w:rPr>
                <w:rFonts w:hint="eastAsia" w:ascii="宋体" w:hAnsi="宋体"/>
                <w:color w:val="auto"/>
                <w:szCs w:val="21"/>
                <w:highlight w:val="none"/>
              </w:rPr>
              <w:t>⑴查询渠道：“信用中国”网站</w:t>
            </w:r>
            <w:r>
              <w:rPr>
                <w:rFonts w:hint="eastAsia" w:ascii="宋体" w:hAnsi="宋体"/>
                <w:color w:val="auto"/>
                <w:szCs w:val="21"/>
                <w:highlight w:val="none"/>
                <w:lang w:eastAsia="zh-CN"/>
              </w:rPr>
              <w:t>（</w:t>
            </w:r>
            <w:r>
              <w:rPr>
                <w:rFonts w:hint="eastAsia" w:ascii="宋体" w:hAnsi="宋体"/>
                <w:color w:val="auto"/>
                <w:szCs w:val="21"/>
                <w:highlight w:val="none"/>
              </w:rPr>
              <w:t>www.creditchina.gov.cn</w:t>
            </w:r>
            <w:r>
              <w:rPr>
                <w:rFonts w:hint="eastAsia" w:ascii="宋体" w:hAnsi="宋体"/>
                <w:color w:val="auto"/>
                <w:szCs w:val="21"/>
                <w:highlight w:val="none"/>
                <w:lang w:eastAsia="zh-CN"/>
              </w:rPr>
              <w:t>）</w:t>
            </w:r>
            <w:r>
              <w:rPr>
                <w:rFonts w:hint="eastAsia" w:ascii="宋体" w:hAnsi="宋体"/>
                <w:color w:val="auto"/>
                <w:szCs w:val="21"/>
                <w:highlight w:val="none"/>
              </w:rPr>
              <w:t>、中国政府采购网（www.ccgp.gov.cn）等；</w:t>
            </w:r>
          </w:p>
          <w:p w14:paraId="0B23ACB9">
            <w:pPr>
              <w:keepNext w:val="0"/>
              <w:keepLines w:val="0"/>
              <w:pageBreakBefore w:val="0"/>
              <w:widowControl w:val="0"/>
              <w:kinsoku/>
              <w:wordWrap/>
              <w:overflowPunct/>
              <w:topLinePunct w:val="0"/>
              <w:autoSpaceDE/>
              <w:autoSpaceDN/>
              <w:bidi w:val="0"/>
              <w:spacing w:line="340" w:lineRule="exact"/>
              <w:textAlignment w:val="auto"/>
              <w:rPr>
                <w:rFonts w:ascii="宋体" w:hAnsi="宋体"/>
                <w:color w:val="auto"/>
                <w:szCs w:val="21"/>
                <w:highlight w:val="none"/>
              </w:rPr>
            </w:pPr>
            <w:r>
              <w:rPr>
                <w:rFonts w:hint="eastAsia" w:ascii="宋体" w:hAnsi="宋体"/>
                <w:color w:val="auto"/>
                <w:szCs w:val="21"/>
                <w:highlight w:val="none"/>
              </w:rPr>
              <w:t>⑵查询截止时间：中标通知书发出前；</w:t>
            </w:r>
          </w:p>
          <w:p w14:paraId="0FB3E15D">
            <w:pPr>
              <w:keepNext w:val="0"/>
              <w:keepLines w:val="0"/>
              <w:pageBreakBefore w:val="0"/>
              <w:widowControl w:val="0"/>
              <w:kinsoku/>
              <w:wordWrap/>
              <w:overflowPunct/>
              <w:topLinePunct w:val="0"/>
              <w:autoSpaceDE/>
              <w:autoSpaceDN/>
              <w:bidi w:val="0"/>
              <w:spacing w:line="340" w:lineRule="exact"/>
              <w:textAlignment w:val="auto"/>
              <w:rPr>
                <w:rFonts w:ascii="宋体" w:hAnsi="宋体"/>
                <w:color w:val="auto"/>
                <w:szCs w:val="21"/>
                <w:highlight w:val="none"/>
              </w:rPr>
            </w:pPr>
            <w:r>
              <w:rPr>
                <w:rFonts w:hint="eastAsia" w:ascii="宋体" w:hAnsi="宋体"/>
                <w:color w:val="auto"/>
                <w:szCs w:val="21"/>
                <w:highlight w:val="none"/>
              </w:rPr>
              <w:t>⑶信用信息查询记录和证据留存方式：在查询网站中直接打印查询记录，打印材料作为采购活动资料保存；</w:t>
            </w:r>
          </w:p>
          <w:p w14:paraId="7EAB8B2F">
            <w:pPr>
              <w:pStyle w:val="224"/>
              <w:keepNext w:val="0"/>
              <w:keepLines w:val="0"/>
              <w:pageBreakBefore w:val="0"/>
              <w:widowControl w:val="0"/>
              <w:kinsoku/>
              <w:wordWrap/>
              <w:overflowPunct/>
              <w:topLinePunct w:val="0"/>
              <w:autoSpaceDE/>
              <w:autoSpaceDN/>
              <w:bidi w:val="0"/>
              <w:spacing w:line="340" w:lineRule="exact"/>
              <w:textAlignment w:val="auto"/>
              <w:rPr>
                <w:rFonts w:hint="eastAsia" w:hAnsi="宋体"/>
                <w:color w:val="auto"/>
                <w:szCs w:val="21"/>
                <w:highlight w:val="none"/>
              </w:rPr>
            </w:pPr>
            <w:r>
              <w:rPr>
                <w:rFonts w:hint="eastAsia" w:hAnsi="宋体"/>
                <w:color w:val="auto"/>
                <w:szCs w:val="21"/>
                <w:highlight w:val="none"/>
              </w:rPr>
              <w:t>⑷信用信息使用规则：对在“信用中国”网站</w:t>
            </w:r>
            <w:r>
              <w:rPr>
                <w:rFonts w:hint="eastAsia" w:hAnsi="宋体"/>
                <w:color w:val="auto"/>
                <w:szCs w:val="21"/>
                <w:highlight w:val="none"/>
                <w:lang w:eastAsia="zh-CN"/>
              </w:rPr>
              <w:t>（</w:t>
            </w:r>
            <w:r>
              <w:rPr>
                <w:rFonts w:hint="eastAsia" w:hAnsi="宋体"/>
                <w:color w:val="auto"/>
                <w:szCs w:val="21"/>
                <w:highlight w:val="none"/>
              </w:rPr>
              <w:t>www.creditchina.gov.cn</w:t>
            </w:r>
            <w:r>
              <w:rPr>
                <w:rFonts w:hint="eastAsia" w:hAnsi="宋体"/>
                <w:color w:val="auto"/>
                <w:szCs w:val="21"/>
                <w:highlight w:val="none"/>
                <w:lang w:eastAsia="zh-CN"/>
              </w:rPr>
              <w:t>）</w:t>
            </w:r>
            <w:r>
              <w:rPr>
                <w:rFonts w:hint="eastAsia" w:hAnsi="宋体"/>
                <w:color w:val="auto"/>
                <w:szCs w:val="21"/>
                <w:highlight w:val="none"/>
              </w:rPr>
              <w:t>、中国政府采购网（www.ccgp.gov.cn）等渠道列入失信被执行人、</w:t>
            </w:r>
            <w:r>
              <w:rPr>
                <w:rFonts w:hint="eastAsia" w:hAnsi="宋体" w:cs="宋体"/>
                <w:color w:val="auto"/>
                <w:kern w:val="0"/>
                <w:szCs w:val="21"/>
                <w:highlight w:val="none"/>
              </w:rPr>
              <w:t>重大税收违法失信主体</w:t>
            </w:r>
            <w:r>
              <w:rPr>
                <w:rFonts w:hint="eastAsia" w:hAnsi="宋体"/>
                <w:color w:val="auto"/>
                <w:szCs w:val="21"/>
                <w:highlight w:val="none"/>
              </w:rPr>
              <w:t>、政府采购严重违法失信行为记录名单及其他不符合《中华人民共和国政府采购法》第二十二条规定条件的供应商，取消其中标候选人资格。</w:t>
            </w:r>
          </w:p>
        </w:tc>
      </w:tr>
      <w:tr w14:paraId="2983A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noWrap w:val="0"/>
            <w:vAlign w:val="center"/>
          </w:tcPr>
          <w:p w14:paraId="6A66203E">
            <w:pPr>
              <w:spacing w:line="350" w:lineRule="exact"/>
              <w:jc w:val="center"/>
              <w:rPr>
                <w:rFonts w:hint="eastAsia" w:ascii="宋体" w:hAnsi="宋体"/>
                <w:color w:val="auto"/>
                <w:szCs w:val="21"/>
                <w:highlight w:val="none"/>
              </w:rPr>
            </w:pPr>
            <w:r>
              <w:rPr>
                <w:rFonts w:hint="eastAsia" w:ascii="宋体" w:hAnsi="宋体"/>
                <w:color w:val="auto"/>
                <w:szCs w:val="21"/>
                <w:highlight w:val="none"/>
              </w:rPr>
              <w:t>14</w:t>
            </w:r>
          </w:p>
        </w:tc>
        <w:tc>
          <w:tcPr>
            <w:tcW w:w="850" w:type="dxa"/>
            <w:noWrap w:val="0"/>
            <w:vAlign w:val="center"/>
          </w:tcPr>
          <w:p w14:paraId="13821125">
            <w:pPr>
              <w:spacing w:line="350" w:lineRule="exact"/>
              <w:jc w:val="center"/>
              <w:rPr>
                <w:rFonts w:hint="eastAsia" w:ascii="宋体" w:hAnsi="宋体"/>
                <w:color w:val="auto"/>
                <w:szCs w:val="21"/>
                <w:highlight w:val="none"/>
              </w:rPr>
            </w:pPr>
            <w:r>
              <w:rPr>
                <w:rFonts w:hint="eastAsia" w:ascii="宋体" w:hAnsi="宋体"/>
                <w:color w:val="auto"/>
                <w:szCs w:val="21"/>
                <w:highlight w:val="none"/>
              </w:rPr>
              <w:t>33</w:t>
            </w:r>
          </w:p>
        </w:tc>
        <w:tc>
          <w:tcPr>
            <w:tcW w:w="1701" w:type="dxa"/>
            <w:noWrap w:val="0"/>
            <w:vAlign w:val="center"/>
          </w:tcPr>
          <w:p w14:paraId="23BB8FC2">
            <w:pPr>
              <w:spacing w:line="350" w:lineRule="exact"/>
              <w:jc w:val="center"/>
              <w:rPr>
                <w:rFonts w:hint="eastAsia" w:ascii="宋体" w:hAnsi="宋体"/>
                <w:color w:val="auto"/>
                <w:szCs w:val="21"/>
                <w:highlight w:val="none"/>
              </w:rPr>
            </w:pPr>
            <w:r>
              <w:rPr>
                <w:rFonts w:hint="eastAsia" w:ascii="宋体" w:hAnsi="宋体"/>
                <w:color w:val="auto"/>
                <w:szCs w:val="21"/>
                <w:highlight w:val="none"/>
              </w:rPr>
              <w:t>中标公告及中标通知书</w:t>
            </w:r>
          </w:p>
        </w:tc>
        <w:tc>
          <w:tcPr>
            <w:tcW w:w="6946" w:type="dxa"/>
            <w:noWrap w:val="0"/>
            <w:vAlign w:val="center"/>
          </w:tcPr>
          <w:p w14:paraId="0E8401F8">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szCs w:val="21"/>
                <w:highlight w:val="none"/>
              </w:rPr>
              <w:t>33.1采购代理机构于评标结束后两个工作日内将评标报告送交采购人，采购人应当自收到评标报告五个工作日内在评标报告推荐的中标候选人中按顺序确定中标人；</w:t>
            </w:r>
            <w:r>
              <w:rPr>
                <w:rFonts w:ascii="宋体" w:hAnsi="宋体"/>
                <w:color w:val="auto"/>
                <w:szCs w:val="21"/>
                <w:highlight w:val="none"/>
              </w:rPr>
              <w:t>采购人在收到评标报告</w:t>
            </w:r>
            <w:r>
              <w:rPr>
                <w:rFonts w:hint="eastAsia" w:ascii="宋体" w:hAnsi="宋体"/>
                <w:color w:val="auto"/>
                <w:szCs w:val="21"/>
                <w:highlight w:val="none"/>
              </w:rPr>
              <w:t>五</w:t>
            </w:r>
            <w:r>
              <w:rPr>
                <w:rFonts w:ascii="宋体" w:hAnsi="宋体"/>
                <w:color w:val="auto"/>
                <w:szCs w:val="21"/>
                <w:highlight w:val="none"/>
              </w:rPr>
              <w:t>个工作日内未按评标报告推荐的中标候选人顺序确定中标人，又不能说明合法理由的，视同按评标报告推荐的顺序确定排名第一的中标候选人为中标人。</w:t>
            </w:r>
            <w:r>
              <w:rPr>
                <w:rFonts w:hint="eastAsia" w:ascii="宋体" w:hAnsi="宋体"/>
                <w:color w:val="auto"/>
                <w:szCs w:val="21"/>
                <w:highlight w:val="none"/>
              </w:rPr>
              <w:t>采购代理机构在中标人确定之日起两个工作日内在指定媒体上公告中标结果，</w:t>
            </w:r>
            <w:r>
              <w:rPr>
                <w:rFonts w:ascii="宋体" w:hAnsi="宋体"/>
                <w:color w:val="auto"/>
                <w:szCs w:val="21"/>
                <w:highlight w:val="none"/>
              </w:rPr>
              <w:t>中标公告期限为1个工作日</w:t>
            </w:r>
            <w:r>
              <w:rPr>
                <w:rFonts w:hint="eastAsia" w:ascii="宋体" w:hAnsi="宋体"/>
                <w:color w:val="auto"/>
                <w:szCs w:val="21"/>
                <w:highlight w:val="none"/>
              </w:rPr>
              <w:t>。</w:t>
            </w:r>
          </w:p>
          <w:p w14:paraId="1705AA18">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szCs w:val="21"/>
                <w:highlight w:val="none"/>
              </w:rPr>
              <w:t>33.2中小企业在政府采购活动过程中，请根据自己的真实情况出具《中小企业声明函》。依法享受中小企业优惠政策的，采购人或采购代理机构在公告中标结果时，同时公告其《中小企业声明函》，接受社会监督。</w:t>
            </w:r>
          </w:p>
          <w:p w14:paraId="2BA5AD48">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szCs w:val="21"/>
                <w:highlight w:val="none"/>
              </w:rPr>
              <w:t>32.3</w:t>
            </w:r>
            <w:r>
              <w:rPr>
                <w:rFonts w:ascii="宋体" w:hAnsi="宋体"/>
                <w:color w:val="auto"/>
                <w:szCs w:val="21"/>
                <w:highlight w:val="none"/>
              </w:rPr>
              <w:t>中标公告</w:t>
            </w:r>
            <w:r>
              <w:rPr>
                <w:rFonts w:hint="eastAsia" w:ascii="宋体" w:hAnsi="宋体"/>
                <w:color w:val="auto"/>
                <w:szCs w:val="21"/>
                <w:highlight w:val="none"/>
              </w:rPr>
              <w:t>发布同时，采购代理机构通过</w:t>
            </w:r>
            <w:r>
              <w:rPr>
                <w:rFonts w:hint="eastAsia" w:ascii="宋体" w:hAnsi="宋体" w:cs="宋体"/>
                <w:color w:val="auto"/>
                <w:highlight w:val="none"/>
              </w:rPr>
              <w:t>广西政府采购云平台</w:t>
            </w:r>
            <w:r>
              <w:rPr>
                <w:rFonts w:hint="eastAsia" w:ascii="宋体" w:hAnsi="宋体"/>
                <w:color w:val="auto"/>
                <w:szCs w:val="21"/>
                <w:highlight w:val="none"/>
              </w:rPr>
              <w:t>在线向中标人发出中标通知书，中标人应自行关注</w:t>
            </w:r>
            <w:r>
              <w:rPr>
                <w:rFonts w:hint="eastAsia" w:ascii="宋体" w:hAnsi="宋体" w:cs="宋体"/>
                <w:color w:val="auto"/>
                <w:highlight w:val="none"/>
              </w:rPr>
              <w:t>广西政府采购云平台</w:t>
            </w:r>
            <w:r>
              <w:rPr>
                <w:rFonts w:hint="eastAsia" w:ascii="宋体" w:hAnsi="宋体"/>
                <w:color w:val="auto"/>
                <w:szCs w:val="21"/>
                <w:highlight w:val="none"/>
              </w:rPr>
              <w:t>信息，确保及时查收中标通知书。</w:t>
            </w:r>
          </w:p>
        </w:tc>
      </w:tr>
      <w:tr w14:paraId="1011D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644" w:type="dxa"/>
            <w:noWrap w:val="0"/>
            <w:vAlign w:val="center"/>
          </w:tcPr>
          <w:p w14:paraId="7C679FA3">
            <w:pPr>
              <w:spacing w:line="350" w:lineRule="exact"/>
              <w:jc w:val="center"/>
              <w:rPr>
                <w:rFonts w:hint="eastAsia" w:ascii="宋体" w:hAnsi="宋体"/>
                <w:color w:val="auto"/>
                <w:szCs w:val="21"/>
                <w:highlight w:val="none"/>
              </w:rPr>
            </w:pPr>
            <w:r>
              <w:rPr>
                <w:rFonts w:hint="eastAsia" w:ascii="宋体" w:hAnsi="宋体"/>
                <w:color w:val="auto"/>
                <w:szCs w:val="21"/>
                <w:highlight w:val="none"/>
              </w:rPr>
              <w:t>15</w:t>
            </w:r>
          </w:p>
        </w:tc>
        <w:tc>
          <w:tcPr>
            <w:tcW w:w="850" w:type="dxa"/>
            <w:noWrap w:val="0"/>
            <w:vAlign w:val="center"/>
          </w:tcPr>
          <w:p w14:paraId="51F49AAF">
            <w:pPr>
              <w:spacing w:line="350" w:lineRule="exact"/>
              <w:jc w:val="center"/>
              <w:rPr>
                <w:rFonts w:hint="eastAsia" w:ascii="宋体" w:hAnsi="宋体"/>
                <w:color w:val="auto"/>
                <w:szCs w:val="21"/>
                <w:highlight w:val="none"/>
              </w:rPr>
            </w:pPr>
            <w:r>
              <w:rPr>
                <w:rFonts w:hint="eastAsia" w:ascii="宋体" w:hAnsi="宋体"/>
                <w:color w:val="auto"/>
                <w:szCs w:val="21"/>
                <w:highlight w:val="none"/>
              </w:rPr>
              <w:t>34</w:t>
            </w:r>
          </w:p>
        </w:tc>
        <w:tc>
          <w:tcPr>
            <w:tcW w:w="1701" w:type="dxa"/>
            <w:noWrap w:val="0"/>
            <w:vAlign w:val="center"/>
          </w:tcPr>
          <w:p w14:paraId="2A23D4BB">
            <w:pPr>
              <w:spacing w:line="350" w:lineRule="exact"/>
              <w:jc w:val="center"/>
              <w:rPr>
                <w:rFonts w:hint="eastAsia" w:ascii="宋体" w:hAnsi="宋体"/>
                <w:color w:val="auto"/>
                <w:szCs w:val="21"/>
                <w:highlight w:val="none"/>
              </w:rPr>
            </w:pPr>
            <w:r>
              <w:rPr>
                <w:rFonts w:hint="eastAsia" w:ascii="宋体" w:hAnsi="宋体"/>
                <w:color w:val="auto"/>
                <w:szCs w:val="21"/>
                <w:highlight w:val="none"/>
              </w:rPr>
              <w:t>履约保证金</w:t>
            </w:r>
          </w:p>
        </w:tc>
        <w:tc>
          <w:tcPr>
            <w:tcW w:w="6946" w:type="dxa"/>
            <w:noWrap w:val="0"/>
            <w:vAlign w:val="center"/>
          </w:tcPr>
          <w:p w14:paraId="64DA5B46">
            <w:pPr>
              <w:pStyle w:val="27"/>
              <w:keepNext w:val="0"/>
              <w:keepLines w:val="0"/>
              <w:pageBreakBefore w:val="0"/>
              <w:widowControl w:val="0"/>
              <w:kinsoku/>
              <w:wordWrap/>
              <w:overflowPunct/>
              <w:topLinePunct w:val="0"/>
              <w:autoSpaceDE/>
              <w:autoSpaceDN/>
              <w:bidi w:val="0"/>
              <w:spacing w:line="340" w:lineRule="exact"/>
              <w:ind w:left="6" w:leftChars="3"/>
              <w:textAlignment w:val="auto"/>
              <w:rPr>
                <w:rFonts w:hint="eastAsia" w:hAnsi="宋体"/>
                <w:color w:val="auto"/>
                <w:szCs w:val="21"/>
                <w:highlight w:val="none"/>
              </w:rPr>
            </w:pPr>
            <w:r>
              <w:rPr>
                <w:rFonts w:hint="eastAsia" w:hAnsi="宋体"/>
                <w:color w:val="auto"/>
                <w:szCs w:val="21"/>
                <w:highlight w:val="none"/>
              </w:rPr>
              <w:t>本项目不收取履约保证金。</w:t>
            </w:r>
          </w:p>
        </w:tc>
      </w:tr>
      <w:tr w14:paraId="1F93E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44" w:type="dxa"/>
            <w:noWrap w:val="0"/>
            <w:vAlign w:val="center"/>
          </w:tcPr>
          <w:p w14:paraId="5C46D37D">
            <w:pPr>
              <w:spacing w:line="350" w:lineRule="exact"/>
              <w:jc w:val="center"/>
              <w:rPr>
                <w:rFonts w:hint="eastAsia" w:ascii="宋体" w:hAnsi="宋体"/>
                <w:color w:val="auto"/>
                <w:szCs w:val="21"/>
                <w:highlight w:val="none"/>
              </w:rPr>
            </w:pPr>
            <w:r>
              <w:rPr>
                <w:rFonts w:hint="eastAsia" w:ascii="宋体" w:hAnsi="宋体"/>
                <w:color w:val="auto"/>
                <w:szCs w:val="21"/>
                <w:highlight w:val="none"/>
              </w:rPr>
              <w:t>16</w:t>
            </w:r>
          </w:p>
        </w:tc>
        <w:tc>
          <w:tcPr>
            <w:tcW w:w="850" w:type="dxa"/>
            <w:noWrap w:val="0"/>
            <w:vAlign w:val="center"/>
          </w:tcPr>
          <w:p w14:paraId="15E0E32C">
            <w:pPr>
              <w:spacing w:line="350" w:lineRule="exact"/>
              <w:jc w:val="center"/>
              <w:rPr>
                <w:rFonts w:hint="eastAsia" w:ascii="宋体" w:hAnsi="宋体"/>
                <w:color w:val="auto"/>
                <w:szCs w:val="21"/>
                <w:highlight w:val="none"/>
              </w:rPr>
            </w:pPr>
            <w:r>
              <w:rPr>
                <w:rFonts w:hint="eastAsia" w:ascii="宋体" w:hAnsi="宋体"/>
                <w:color w:val="auto"/>
                <w:szCs w:val="21"/>
                <w:highlight w:val="none"/>
              </w:rPr>
              <w:t>35.1</w:t>
            </w:r>
          </w:p>
        </w:tc>
        <w:tc>
          <w:tcPr>
            <w:tcW w:w="1701" w:type="dxa"/>
            <w:noWrap w:val="0"/>
            <w:vAlign w:val="center"/>
          </w:tcPr>
          <w:p w14:paraId="32DA89E8">
            <w:pPr>
              <w:spacing w:line="350" w:lineRule="exact"/>
              <w:jc w:val="center"/>
              <w:rPr>
                <w:rFonts w:hint="eastAsia" w:ascii="宋体" w:hAnsi="宋体"/>
                <w:color w:val="auto"/>
                <w:szCs w:val="21"/>
                <w:highlight w:val="none"/>
              </w:rPr>
            </w:pPr>
            <w:r>
              <w:rPr>
                <w:rFonts w:hint="eastAsia" w:ascii="宋体" w:hAnsi="宋体"/>
                <w:color w:val="auto"/>
                <w:szCs w:val="21"/>
                <w:highlight w:val="none"/>
              </w:rPr>
              <w:t>签订合同时间</w:t>
            </w:r>
          </w:p>
        </w:tc>
        <w:tc>
          <w:tcPr>
            <w:tcW w:w="6946" w:type="dxa"/>
            <w:noWrap w:val="0"/>
            <w:vAlign w:val="center"/>
          </w:tcPr>
          <w:p w14:paraId="6DADB3A9">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hAnsi="宋体"/>
                <w:color w:val="auto"/>
                <w:szCs w:val="21"/>
                <w:highlight w:val="none"/>
              </w:rPr>
              <w:t>中标通知书发出之日起8个工作日内</w:t>
            </w:r>
            <w:r>
              <w:rPr>
                <w:rFonts w:hint="eastAsia" w:ascii="宋体" w:hAnsi="宋体"/>
                <w:color w:val="auto"/>
                <w:szCs w:val="21"/>
                <w:highlight w:val="none"/>
              </w:rPr>
              <w:t>。中标人应按规定与采购人签订合同。</w:t>
            </w:r>
          </w:p>
        </w:tc>
      </w:tr>
      <w:tr w14:paraId="7D9DA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644" w:type="dxa"/>
            <w:noWrap w:val="0"/>
            <w:vAlign w:val="center"/>
          </w:tcPr>
          <w:p w14:paraId="20AAA637">
            <w:pPr>
              <w:spacing w:line="350" w:lineRule="exact"/>
              <w:jc w:val="center"/>
              <w:rPr>
                <w:rFonts w:hint="eastAsia" w:ascii="宋体" w:hAnsi="宋体"/>
                <w:color w:val="auto"/>
                <w:szCs w:val="21"/>
                <w:highlight w:val="none"/>
              </w:rPr>
            </w:pPr>
            <w:r>
              <w:rPr>
                <w:rFonts w:hint="eastAsia" w:ascii="宋体" w:hAnsi="宋体"/>
                <w:color w:val="auto"/>
                <w:szCs w:val="21"/>
                <w:highlight w:val="none"/>
              </w:rPr>
              <w:t>17</w:t>
            </w:r>
          </w:p>
        </w:tc>
        <w:tc>
          <w:tcPr>
            <w:tcW w:w="850" w:type="dxa"/>
            <w:noWrap w:val="0"/>
            <w:vAlign w:val="center"/>
          </w:tcPr>
          <w:p w14:paraId="1BEEC0B0">
            <w:pPr>
              <w:spacing w:line="350" w:lineRule="exact"/>
              <w:jc w:val="center"/>
              <w:rPr>
                <w:rFonts w:hint="eastAsia" w:ascii="宋体" w:hAnsi="宋体"/>
                <w:color w:val="auto"/>
                <w:szCs w:val="21"/>
                <w:highlight w:val="none"/>
              </w:rPr>
            </w:pPr>
            <w:r>
              <w:rPr>
                <w:rFonts w:hint="eastAsia" w:ascii="宋体" w:hAnsi="宋体"/>
                <w:color w:val="auto"/>
                <w:szCs w:val="21"/>
                <w:highlight w:val="none"/>
              </w:rPr>
              <w:t>35.3</w:t>
            </w:r>
          </w:p>
        </w:tc>
        <w:tc>
          <w:tcPr>
            <w:tcW w:w="1701" w:type="dxa"/>
            <w:noWrap w:val="0"/>
            <w:vAlign w:val="center"/>
          </w:tcPr>
          <w:p w14:paraId="45399D8E">
            <w:pPr>
              <w:spacing w:line="350" w:lineRule="exact"/>
              <w:jc w:val="center"/>
              <w:rPr>
                <w:rFonts w:hint="eastAsia" w:ascii="宋体" w:hAnsi="宋体"/>
                <w:color w:val="auto"/>
                <w:szCs w:val="21"/>
                <w:highlight w:val="none"/>
              </w:rPr>
            </w:pPr>
            <w:r>
              <w:rPr>
                <w:rFonts w:hint="eastAsia" w:ascii="宋体" w:hAnsi="宋体"/>
                <w:color w:val="auto"/>
                <w:szCs w:val="21"/>
                <w:highlight w:val="none"/>
              </w:rPr>
              <w:t>合同公告</w:t>
            </w:r>
          </w:p>
        </w:tc>
        <w:tc>
          <w:tcPr>
            <w:tcW w:w="6946" w:type="dxa"/>
            <w:noWrap w:val="0"/>
            <w:vAlign w:val="center"/>
          </w:tcPr>
          <w:p w14:paraId="5830DCE0">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highlight w:val="none"/>
              </w:rPr>
              <w:t>政府采购合同双方自签订之日起2个工作日内在省级以上人民政府财政部门指定媒体上公告。</w:t>
            </w:r>
          </w:p>
        </w:tc>
      </w:tr>
      <w:tr w14:paraId="75A05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44" w:type="dxa"/>
            <w:noWrap w:val="0"/>
            <w:vAlign w:val="center"/>
          </w:tcPr>
          <w:p w14:paraId="77E2B41E">
            <w:pPr>
              <w:spacing w:line="350" w:lineRule="exact"/>
              <w:jc w:val="center"/>
              <w:rPr>
                <w:rFonts w:hint="eastAsia" w:ascii="宋体" w:hAnsi="宋体"/>
                <w:color w:val="auto"/>
                <w:szCs w:val="21"/>
                <w:highlight w:val="none"/>
              </w:rPr>
            </w:pPr>
            <w:r>
              <w:rPr>
                <w:rFonts w:hint="eastAsia" w:ascii="宋体" w:hAnsi="宋体"/>
                <w:color w:val="auto"/>
                <w:szCs w:val="21"/>
                <w:highlight w:val="none"/>
              </w:rPr>
              <w:t>18</w:t>
            </w:r>
          </w:p>
        </w:tc>
        <w:tc>
          <w:tcPr>
            <w:tcW w:w="850" w:type="dxa"/>
            <w:noWrap w:val="0"/>
            <w:vAlign w:val="center"/>
          </w:tcPr>
          <w:p w14:paraId="7D0FB4EB">
            <w:pPr>
              <w:spacing w:line="350" w:lineRule="exact"/>
              <w:jc w:val="center"/>
              <w:rPr>
                <w:rFonts w:hint="eastAsia" w:ascii="宋体" w:hAnsi="宋体"/>
                <w:color w:val="auto"/>
                <w:szCs w:val="21"/>
                <w:highlight w:val="none"/>
              </w:rPr>
            </w:pPr>
            <w:r>
              <w:rPr>
                <w:rFonts w:hint="eastAsia" w:ascii="宋体" w:hAnsi="宋体"/>
                <w:color w:val="auto"/>
                <w:szCs w:val="21"/>
                <w:highlight w:val="none"/>
              </w:rPr>
              <w:t>36</w:t>
            </w:r>
          </w:p>
        </w:tc>
        <w:tc>
          <w:tcPr>
            <w:tcW w:w="1701" w:type="dxa"/>
            <w:noWrap w:val="0"/>
            <w:vAlign w:val="center"/>
          </w:tcPr>
          <w:p w14:paraId="51936CF1">
            <w:pPr>
              <w:spacing w:line="350" w:lineRule="exact"/>
              <w:jc w:val="center"/>
              <w:rPr>
                <w:rFonts w:hint="eastAsia" w:ascii="宋体" w:hAnsi="宋体"/>
                <w:color w:val="auto"/>
                <w:szCs w:val="21"/>
                <w:highlight w:val="none"/>
              </w:rPr>
            </w:pPr>
            <w:r>
              <w:rPr>
                <w:rFonts w:hint="eastAsia" w:ascii="宋体" w:hAnsi="宋体"/>
                <w:color w:val="auto"/>
                <w:szCs w:val="21"/>
                <w:highlight w:val="none"/>
              </w:rPr>
              <w:t>招标代理服务费</w:t>
            </w:r>
          </w:p>
        </w:tc>
        <w:tc>
          <w:tcPr>
            <w:tcW w:w="6946" w:type="dxa"/>
            <w:noWrap w:val="0"/>
            <w:vAlign w:val="center"/>
          </w:tcPr>
          <w:p w14:paraId="7938F05A">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highlight w:val="none"/>
              </w:rPr>
              <w:t>本</w:t>
            </w:r>
            <w:r>
              <w:rPr>
                <w:rFonts w:hint="eastAsia" w:ascii="宋体" w:hAnsi="宋体" w:eastAsia="宋体" w:cs="Times New Roman"/>
                <w:color w:val="auto"/>
                <w:highlight w:val="none"/>
              </w:rPr>
              <w:t>项目招标代理服务费按本须知第36.2条“招标代理服务收费标准”中“货物招标”收费标准下浮</w:t>
            </w:r>
            <w:r>
              <w:rPr>
                <w:rFonts w:hint="eastAsia" w:ascii="宋体" w:hAnsi="宋体" w:eastAsia="宋体" w:cs="Times New Roman"/>
                <w:color w:val="auto"/>
                <w:highlight w:val="none"/>
                <w:lang w:val="en-US" w:eastAsia="zh-CN"/>
              </w:rPr>
              <w:t>5</w:t>
            </w:r>
            <w:r>
              <w:rPr>
                <w:rFonts w:hint="eastAsia" w:ascii="宋体" w:hAnsi="宋体" w:eastAsia="宋体" w:cs="Times New Roman"/>
                <w:color w:val="auto"/>
                <w:highlight w:val="none"/>
              </w:rPr>
              <w:t>0%计算（不足人民币</w:t>
            </w:r>
            <w:r>
              <w:rPr>
                <w:rFonts w:hint="eastAsia" w:ascii="宋体" w:hAnsi="宋体" w:eastAsia="宋体" w:cs="Times New Roman"/>
                <w:color w:val="auto"/>
                <w:highlight w:val="none"/>
                <w:lang w:val="en-US" w:eastAsia="zh-CN"/>
              </w:rPr>
              <w:t>6</w:t>
            </w:r>
            <w:r>
              <w:rPr>
                <w:rFonts w:hint="eastAsia" w:ascii="宋体" w:hAnsi="宋体" w:eastAsia="宋体" w:cs="Times New Roman"/>
                <w:color w:val="auto"/>
                <w:highlight w:val="none"/>
              </w:rPr>
              <w:t>000元的，按</w:t>
            </w:r>
            <w:r>
              <w:rPr>
                <w:rFonts w:hint="eastAsia" w:ascii="宋体" w:hAnsi="宋体" w:eastAsia="宋体" w:cs="Times New Roman"/>
                <w:color w:val="auto"/>
                <w:highlight w:val="none"/>
                <w:lang w:val="en-US" w:eastAsia="zh-CN"/>
              </w:rPr>
              <w:t>6</w:t>
            </w:r>
            <w:r>
              <w:rPr>
                <w:rFonts w:hint="eastAsia" w:ascii="宋体" w:hAnsi="宋体" w:eastAsia="宋体" w:cs="Times New Roman"/>
                <w:color w:val="auto"/>
                <w:highlight w:val="none"/>
              </w:rPr>
              <w:t>000元计），根据本项目采购代理协议该“采购代理服务费”由中标人在</w:t>
            </w:r>
            <w:r>
              <w:rPr>
                <w:rFonts w:hint="eastAsia" w:ascii="宋体" w:hAnsi="宋体" w:eastAsia="宋体" w:cs="Times New Roman"/>
                <w:color w:val="auto"/>
                <w:highlight w:val="none"/>
                <w:lang w:eastAsia="zh-CN"/>
              </w:rPr>
              <w:t>获取中标通知书前</w:t>
            </w:r>
            <w:r>
              <w:rPr>
                <w:rFonts w:hint="eastAsia" w:ascii="宋体" w:hAnsi="宋体" w:eastAsia="宋体" w:cs="Times New Roman"/>
                <w:color w:val="auto"/>
                <w:highlight w:val="none"/>
              </w:rPr>
              <w:t>向采购代理机构一次性付清（否则，该不利后果由中标人承担）。</w:t>
            </w:r>
          </w:p>
        </w:tc>
      </w:tr>
      <w:tr w14:paraId="47C85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44" w:type="dxa"/>
            <w:noWrap w:val="0"/>
            <w:vAlign w:val="center"/>
          </w:tcPr>
          <w:p w14:paraId="65A29833">
            <w:pPr>
              <w:spacing w:line="350" w:lineRule="exact"/>
              <w:jc w:val="center"/>
              <w:rPr>
                <w:rFonts w:hint="eastAsia" w:ascii="宋体" w:hAnsi="宋体"/>
                <w:color w:val="auto"/>
                <w:szCs w:val="21"/>
                <w:highlight w:val="none"/>
              </w:rPr>
            </w:pPr>
            <w:r>
              <w:rPr>
                <w:rFonts w:hint="eastAsia" w:ascii="宋体" w:hAnsi="宋体"/>
                <w:color w:val="auto"/>
                <w:szCs w:val="21"/>
                <w:highlight w:val="none"/>
              </w:rPr>
              <w:t>19</w:t>
            </w:r>
          </w:p>
        </w:tc>
        <w:tc>
          <w:tcPr>
            <w:tcW w:w="850" w:type="dxa"/>
            <w:noWrap w:val="0"/>
            <w:vAlign w:val="center"/>
          </w:tcPr>
          <w:p w14:paraId="7F41D77C">
            <w:pPr>
              <w:spacing w:line="350" w:lineRule="exact"/>
              <w:jc w:val="center"/>
              <w:rPr>
                <w:rFonts w:hint="eastAsia" w:ascii="宋体" w:hAnsi="宋体"/>
                <w:color w:val="auto"/>
                <w:szCs w:val="21"/>
                <w:highlight w:val="none"/>
              </w:rPr>
            </w:pPr>
            <w:r>
              <w:rPr>
                <w:rFonts w:hint="eastAsia" w:ascii="宋体" w:hAnsi="宋体"/>
                <w:color w:val="auto"/>
                <w:szCs w:val="21"/>
                <w:highlight w:val="none"/>
              </w:rPr>
              <w:t>39</w:t>
            </w:r>
          </w:p>
        </w:tc>
        <w:tc>
          <w:tcPr>
            <w:tcW w:w="1701" w:type="dxa"/>
            <w:noWrap w:val="0"/>
            <w:vAlign w:val="center"/>
          </w:tcPr>
          <w:p w14:paraId="2178F96E">
            <w:pPr>
              <w:spacing w:line="350" w:lineRule="exact"/>
              <w:jc w:val="center"/>
              <w:rPr>
                <w:rFonts w:hint="eastAsia" w:ascii="宋体" w:hAnsi="宋体"/>
                <w:color w:val="auto"/>
                <w:szCs w:val="21"/>
                <w:highlight w:val="none"/>
              </w:rPr>
            </w:pPr>
            <w:r>
              <w:rPr>
                <w:rFonts w:hint="eastAsia" w:ascii="宋体" w:hAnsi="宋体"/>
                <w:color w:val="auto"/>
                <w:szCs w:val="21"/>
                <w:highlight w:val="none"/>
              </w:rPr>
              <w:t>解释权</w:t>
            </w:r>
          </w:p>
        </w:tc>
        <w:tc>
          <w:tcPr>
            <w:tcW w:w="6946" w:type="dxa"/>
            <w:noWrap w:val="0"/>
            <w:vAlign w:val="center"/>
          </w:tcPr>
          <w:p w14:paraId="385EEE08">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szCs w:val="21"/>
                <w:highlight w:val="none"/>
              </w:rPr>
              <w:t>本招标文件是根据《中华人民共和国政府采购法》、《中华人民共和国政府采购法实施条例》及</w:t>
            </w:r>
            <w:r>
              <w:rPr>
                <w:rFonts w:ascii="宋体" w:hAnsi="宋体"/>
                <w:bCs/>
                <w:color w:val="auto"/>
                <w:szCs w:val="21"/>
                <w:highlight w:val="none"/>
              </w:rPr>
              <w:t>财政部令第87号</w:t>
            </w:r>
            <w:r>
              <w:rPr>
                <w:rFonts w:ascii="宋体" w:hAnsi="宋体"/>
                <w:color w:val="auto"/>
                <w:szCs w:val="21"/>
                <w:highlight w:val="none"/>
              </w:rPr>
              <w:t>《政府采购货物和服务招标投标管理办法》</w:t>
            </w:r>
            <w:r>
              <w:rPr>
                <w:rFonts w:hint="eastAsia" w:ascii="宋体" w:hAnsi="宋体"/>
                <w:color w:val="auto"/>
                <w:szCs w:val="21"/>
                <w:highlight w:val="none"/>
              </w:rPr>
              <w:t>和政府采购管理有关规定编制，本招标文件的解释权属于采购代理机构。</w:t>
            </w:r>
          </w:p>
        </w:tc>
      </w:tr>
      <w:tr w14:paraId="66DF2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44" w:type="dxa"/>
            <w:noWrap w:val="0"/>
            <w:vAlign w:val="center"/>
          </w:tcPr>
          <w:p w14:paraId="78BD8BC9">
            <w:pPr>
              <w:spacing w:line="350" w:lineRule="exact"/>
              <w:jc w:val="center"/>
              <w:rPr>
                <w:rFonts w:hint="eastAsia" w:ascii="宋体" w:hAnsi="宋体"/>
                <w:color w:val="auto"/>
                <w:szCs w:val="21"/>
                <w:highlight w:val="none"/>
              </w:rPr>
            </w:pPr>
            <w:r>
              <w:rPr>
                <w:rFonts w:hint="eastAsia" w:ascii="宋体" w:hAnsi="宋体"/>
                <w:color w:val="auto"/>
                <w:szCs w:val="21"/>
                <w:highlight w:val="none"/>
              </w:rPr>
              <w:t>20</w:t>
            </w:r>
          </w:p>
        </w:tc>
        <w:tc>
          <w:tcPr>
            <w:tcW w:w="850" w:type="dxa"/>
            <w:noWrap w:val="0"/>
            <w:vAlign w:val="center"/>
          </w:tcPr>
          <w:p w14:paraId="6F9A8766">
            <w:pPr>
              <w:spacing w:line="350" w:lineRule="exact"/>
              <w:jc w:val="center"/>
              <w:rPr>
                <w:rFonts w:hint="eastAsia" w:ascii="宋体" w:hAnsi="宋体"/>
                <w:color w:val="auto"/>
                <w:szCs w:val="21"/>
                <w:highlight w:val="none"/>
              </w:rPr>
            </w:pPr>
            <w:r>
              <w:rPr>
                <w:rFonts w:hint="eastAsia" w:ascii="宋体" w:hAnsi="宋体"/>
                <w:color w:val="auto"/>
                <w:szCs w:val="21"/>
                <w:highlight w:val="none"/>
              </w:rPr>
              <w:t>40</w:t>
            </w:r>
          </w:p>
        </w:tc>
        <w:tc>
          <w:tcPr>
            <w:tcW w:w="1701" w:type="dxa"/>
            <w:noWrap w:val="0"/>
            <w:vAlign w:val="center"/>
          </w:tcPr>
          <w:p w14:paraId="345CB6D8">
            <w:pPr>
              <w:spacing w:line="350" w:lineRule="exact"/>
              <w:jc w:val="center"/>
              <w:rPr>
                <w:rFonts w:ascii="宋体" w:hAnsi="宋体"/>
                <w:color w:val="auto"/>
                <w:position w:val="10"/>
                <w:szCs w:val="21"/>
                <w:highlight w:val="none"/>
              </w:rPr>
            </w:pPr>
            <w:r>
              <w:rPr>
                <w:rFonts w:hint="eastAsia" w:ascii="宋体" w:hAnsi="宋体"/>
                <w:color w:val="auto"/>
                <w:szCs w:val="21"/>
                <w:highlight w:val="none"/>
              </w:rPr>
              <w:t>监督管理机构</w:t>
            </w:r>
          </w:p>
        </w:tc>
        <w:tc>
          <w:tcPr>
            <w:tcW w:w="6946" w:type="dxa"/>
            <w:noWrap w:val="0"/>
            <w:vAlign w:val="center"/>
          </w:tcPr>
          <w:p w14:paraId="3C804C5E">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kern w:val="0"/>
                <w:szCs w:val="21"/>
                <w:highlight w:val="none"/>
              </w:rPr>
              <w:t>桂林市财政局；联系电话：0773-2829504</w:t>
            </w:r>
          </w:p>
        </w:tc>
      </w:tr>
    </w:tbl>
    <w:p w14:paraId="4E00EE25">
      <w:pPr>
        <w:spacing w:line="400" w:lineRule="exact"/>
        <w:jc w:val="center"/>
        <w:rPr>
          <w:rFonts w:hint="eastAsia" w:ascii="宋体" w:hAnsi="宋体"/>
          <w:b/>
          <w:color w:val="auto"/>
          <w:sz w:val="28"/>
          <w:szCs w:val="28"/>
          <w:highlight w:val="none"/>
        </w:rPr>
      </w:pPr>
      <w:r>
        <w:rPr>
          <w:rFonts w:ascii="宋体" w:hAnsi="宋体"/>
          <w:b/>
          <w:color w:val="auto"/>
          <w:sz w:val="28"/>
          <w:szCs w:val="28"/>
          <w:highlight w:val="none"/>
        </w:rPr>
        <w:br w:type="page"/>
      </w:r>
      <w:r>
        <w:rPr>
          <w:rFonts w:hint="eastAsia" w:ascii="宋体" w:hAnsi="宋体"/>
          <w:b/>
          <w:color w:val="auto"/>
          <w:sz w:val="28"/>
          <w:szCs w:val="28"/>
          <w:highlight w:val="none"/>
        </w:rPr>
        <w:t>一、总则</w:t>
      </w:r>
    </w:p>
    <w:p w14:paraId="3B867C91">
      <w:pPr>
        <w:spacing w:line="340" w:lineRule="exact"/>
        <w:ind w:firstLine="413" w:firstLineChars="196"/>
        <w:rPr>
          <w:rFonts w:hint="eastAsia" w:ascii="宋体" w:hAnsi="宋体"/>
          <w:b/>
          <w:color w:val="auto"/>
          <w:szCs w:val="21"/>
          <w:highlight w:val="none"/>
        </w:rPr>
      </w:pPr>
      <w:r>
        <w:rPr>
          <w:rFonts w:hint="eastAsia" w:ascii="宋体" w:hAnsi="宋体"/>
          <w:b/>
          <w:color w:val="auto"/>
          <w:szCs w:val="21"/>
          <w:highlight w:val="none"/>
        </w:rPr>
        <w:t>1. 项目名称及项目编号</w:t>
      </w:r>
    </w:p>
    <w:p w14:paraId="7F009539">
      <w:pPr>
        <w:spacing w:line="340" w:lineRule="exact"/>
        <w:ind w:firstLine="720" w:firstLineChars="343"/>
        <w:rPr>
          <w:rFonts w:hint="eastAsia" w:ascii="宋体" w:hAnsi="宋体"/>
          <w:color w:val="auto"/>
          <w:szCs w:val="21"/>
          <w:highlight w:val="none"/>
        </w:rPr>
      </w:pPr>
      <w:r>
        <w:rPr>
          <w:rFonts w:hint="eastAsia" w:ascii="宋体" w:hAnsi="宋体"/>
          <w:color w:val="auto"/>
          <w:szCs w:val="21"/>
          <w:highlight w:val="none"/>
        </w:rPr>
        <w:t>项目名称：</w:t>
      </w:r>
      <w:r>
        <w:rPr>
          <w:rFonts w:hint="eastAsia" w:ascii="宋体" w:hAnsi="宋体"/>
          <w:bCs/>
          <w:color w:val="auto"/>
          <w:szCs w:val="21"/>
          <w:highlight w:val="none"/>
        </w:rPr>
        <w:t xml:space="preserve">桂林市中西医结合医院医用中心负压吸引及医用压缩空气系统采购项目 </w:t>
      </w:r>
    </w:p>
    <w:p w14:paraId="3C0F0C06">
      <w:pPr>
        <w:spacing w:line="340" w:lineRule="exact"/>
        <w:ind w:firstLine="720" w:firstLineChars="343"/>
        <w:rPr>
          <w:rFonts w:hint="eastAsia" w:ascii="宋体" w:hAnsi="宋体" w:eastAsia="宋体"/>
          <w:bCs/>
          <w:color w:val="auto"/>
          <w:szCs w:val="21"/>
          <w:highlight w:val="none"/>
          <w:lang w:eastAsia="zh-CN"/>
        </w:rPr>
      </w:pPr>
      <w:r>
        <w:rPr>
          <w:rFonts w:hint="eastAsia" w:ascii="宋体" w:hAnsi="宋体"/>
          <w:color w:val="auto"/>
          <w:szCs w:val="21"/>
          <w:highlight w:val="none"/>
        </w:rPr>
        <w:t>项目编号：</w:t>
      </w:r>
      <w:r>
        <w:rPr>
          <w:rFonts w:hint="eastAsia" w:ascii="宋体" w:hAnsi="宋体"/>
          <w:color w:val="auto"/>
          <w:highlight w:val="none"/>
          <w:lang w:eastAsia="zh-CN"/>
        </w:rPr>
        <w:t>GLZC2025-G1-990278-YZLZ</w:t>
      </w:r>
    </w:p>
    <w:p w14:paraId="12EF926D">
      <w:pPr>
        <w:spacing w:line="340" w:lineRule="exact"/>
        <w:ind w:firstLine="413" w:firstLineChars="196"/>
        <w:rPr>
          <w:rFonts w:hint="eastAsia" w:ascii="宋体" w:hAnsi="宋体"/>
          <w:b/>
          <w:color w:val="auto"/>
          <w:szCs w:val="21"/>
          <w:highlight w:val="none"/>
        </w:rPr>
      </w:pPr>
      <w:r>
        <w:rPr>
          <w:rFonts w:hint="eastAsia" w:ascii="宋体" w:hAnsi="宋体"/>
          <w:b/>
          <w:color w:val="auto"/>
          <w:szCs w:val="21"/>
          <w:highlight w:val="none"/>
        </w:rPr>
        <w:t>2. 适应范围</w:t>
      </w:r>
    </w:p>
    <w:p w14:paraId="4BF7BAD1">
      <w:pPr>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本招标文件适用本招标采购项目的招标、投标、评标、合同履约、验收、付款等行为（法律、法规另有规定的，从其规定）。</w:t>
      </w:r>
    </w:p>
    <w:p w14:paraId="6151B54D">
      <w:pPr>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3. 定义</w:t>
      </w:r>
    </w:p>
    <w:p w14:paraId="164014FC">
      <w:pPr>
        <w:spacing w:line="340" w:lineRule="exact"/>
        <w:ind w:firstLine="435"/>
        <w:rPr>
          <w:rFonts w:hint="eastAsia" w:ascii="宋体" w:hAnsi="宋体"/>
          <w:color w:val="auto"/>
          <w:szCs w:val="21"/>
          <w:highlight w:val="none"/>
        </w:rPr>
      </w:pPr>
      <w:r>
        <w:rPr>
          <w:rFonts w:hint="eastAsia" w:ascii="宋体" w:hAnsi="宋体"/>
          <w:color w:val="auto"/>
          <w:szCs w:val="21"/>
          <w:highlight w:val="none"/>
        </w:rPr>
        <w:t>3.1“投标人”</w:t>
      </w:r>
      <w:r>
        <w:rPr>
          <w:rFonts w:ascii="宋体" w:hAnsi="宋体"/>
          <w:color w:val="auto"/>
          <w:szCs w:val="21"/>
          <w:highlight w:val="none"/>
        </w:rPr>
        <w:t>是指响应招标、参加投标竞争的法人、其他组织或者自然人。</w:t>
      </w:r>
    </w:p>
    <w:p w14:paraId="5F18B1E5">
      <w:pPr>
        <w:spacing w:line="340" w:lineRule="exact"/>
        <w:ind w:firstLine="435"/>
        <w:rPr>
          <w:rFonts w:hint="eastAsia" w:ascii="宋体" w:hAnsi="宋体"/>
          <w:color w:val="auto"/>
          <w:szCs w:val="21"/>
          <w:highlight w:val="none"/>
        </w:rPr>
      </w:pPr>
      <w:r>
        <w:rPr>
          <w:rFonts w:hint="eastAsia" w:ascii="宋体" w:hAnsi="宋体"/>
          <w:color w:val="auto"/>
          <w:szCs w:val="21"/>
          <w:highlight w:val="none"/>
        </w:rPr>
        <w:t>3.2“货物”系指按招标文件规定，投标人须向采购人提供的一切设备、保险、税金、备品备件、工具、手册及其他有关技术资料和材料。</w:t>
      </w:r>
    </w:p>
    <w:p w14:paraId="7B53884F">
      <w:pPr>
        <w:spacing w:line="340" w:lineRule="exact"/>
        <w:ind w:firstLine="435"/>
        <w:rPr>
          <w:rFonts w:hint="eastAsia" w:ascii="宋体" w:hAnsi="宋体"/>
          <w:color w:val="auto"/>
          <w:szCs w:val="21"/>
          <w:highlight w:val="none"/>
        </w:rPr>
      </w:pPr>
      <w:r>
        <w:rPr>
          <w:rFonts w:hint="eastAsia" w:ascii="宋体" w:hAnsi="宋体"/>
          <w:color w:val="auto"/>
          <w:szCs w:val="21"/>
          <w:highlight w:val="none"/>
        </w:rPr>
        <w:t>3.3“服务”系指按招标文件规定，投标人须承担的安装、调试、技术协助、校准、培训、技术指导以及其他类似的义务。</w:t>
      </w:r>
    </w:p>
    <w:p w14:paraId="54DE4709">
      <w:pPr>
        <w:spacing w:line="340" w:lineRule="exact"/>
        <w:ind w:firstLine="435"/>
        <w:rPr>
          <w:rFonts w:hint="eastAsia" w:ascii="宋体" w:hAnsi="宋体"/>
          <w:color w:val="auto"/>
          <w:szCs w:val="21"/>
          <w:highlight w:val="none"/>
        </w:rPr>
      </w:pPr>
      <w:r>
        <w:rPr>
          <w:rFonts w:hint="eastAsia" w:ascii="宋体" w:hAnsi="宋体"/>
          <w:color w:val="auto"/>
          <w:szCs w:val="21"/>
          <w:highlight w:val="none"/>
        </w:rPr>
        <w:t>3.4“项目”系指投标人按招标文件规定向采购人提供的货物和服务。</w:t>
      </w:r>
    </w:p>
    <w:p w14:paraId="5C6D04B6">
      <w:pPr>
        <w:spacing w:line="340" w:lineRule="exact"/>
        <w:ind w:firstLine="435"/>
        <w:rPr>
          <w:rFonts w:hint="eastAsia" w:ascii="宋体" w:hAnsi="宋体"/>
          <w:color w:val="auto"/>
          <w:szCs w:val="21"/>
          <w:highlight w:val="none"/>
        </w:rPr>
      </w:pPr>
      <w:r>
        <w:rPr>
          <w:rFonts w:hint="eastAsia" w:ascii="宋体" w:hAnsi="宋体"/>
          <w:color w:val="auto"/>
          <w:szCs w:val="21"/>
          <w:highlight w:val="none"/>
        </w:rPr>
        <w:t>3.5“书面形式”包括信函、传真、电报。</w:t>
      </w:r>
    </w:p>
    <w:p w14:paraId="624BB9C8">
      <w:pPr>
        <w:spacing w:line="360" w:lineRule="exact"/>
        <w:ind w:firstLine="435"/>
        <w:rPr>
          <w:rFonts w:hint="eastAsia" w:ascii="宋体" w:hAnsi="宋体"/>
          <w:color w:val="auto"/>
          <w:szCs w:val="21"/>
          <w:highlight w:val="none"/>
        </w:rPr>
      </w:pPr>
      <w:r>
        <w:rPr>
          <w:rFonts w:hint="eastAsia" w:ascii="宋体" w:hAnsi="宋体"/>
          <w:color w:val="auto"/>
          <w:szCs w:val="21"/>
          <w:highlight w:val="none"/>
        </w:rPr>
        <w:t>3.6法定代表人、负责人、自然人：投标人为其他组织或者自然人时，本招标文件规定的法定代表人指其他组织的负责人或者自然人本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54639AEF">
      <w:pPr>
        <w:spacing w:line="360" w:lineRule="exact"/>
        <w:ind w:firstLine="435"/>
        <w:rPr>
          <w:rFonts w:hint="eastAsia" w:hAnsi="宋体"/>
          <w:bCs/>
          <w:color w:val="auto"/>
          <w:highlight w:val="none"/>
        </w:rPr>
      </w:pPr>
      <w:r>
        <w:rPr>
          <w:rFonts w:hint="eastAsia" w:ascii="宋体" w:hAnsi="宋体"/>
          <w:bCs/>
          <w:color w:val="auto"/>
          <w:szCs w:val="21"/>
          <w:highlight w:val="none"/>
        </w:rPr>
        <w:t>3.7</w:t>
      </w:r>
      <w:r>
        <w:rPr>
          <w:rFonts w:hint="eastAsia" w:ascii="宋体" w:hAnsi="宋体" w:cs="宋体"/>
          <w:bCs/>
          <w:color w:val="auto"/>
          <w:szCs w:val="21"/>
          <w:highlight w:val="none"/>
        </w:rPr>
        <w:t>“正偏离”是指投标文件对招标文件“采购需求”中有关条款作出的响应优于该条款基本要求的情形，包括：①当某技术指标要求为≥或≤某指标时，则该指标为基本要求，投标响应值＞或＜该基本要求的，为正偏离；②除上述第①种情形外，经评委独立评审后认定该技术指标优于招标文件基本要求的其它情形。</w:t>
      </w:r>
    </w:p>
    <w:p w14:paraId="2D4BB79A">
      <w:pPr>
        <w:spacing w:line="360" w:lineRule="exact"/>
        <w:ind w:firstLine="435"/>
        <w:rPr>
          <w:rFonts w:hint="eastAsia" w:ascii="宋体" w:hAnsi="宋体"/>
          <w:bCs/>
          <w:color w:val="auto"/>
          <w:szCs w:val="21"/>
          <w:highlight w:val="none"/>
        </w:rPr>
      </w:pPr>
      <w:r>
        <w:rPr>
          <w:rFonts w:hint="eastAsia" w:ascii="宋体" w:hAnsi="宋体"/>
          <w:bCs/>
          <w:color w:val="auto"/>
          <w:szCs w:val="21"/>
          <w:highlight w:val="none"/>
        </w:rPr>
        <w:t>3.8</w:t>
      </w:r>
      <w:r>
        <w:rPr>
          <w:rFonts w:hint="eastAsia" w:ascii="宋体" w:hAnsi="宋体" w:cs="宋体"/>
          <w:bCs/>
          <w:color w:val="auto"/>
          <w:szCs w:val="21"/>
          <w:highlight w:val="none"/>
        </w:rPr>
        <w:t>“负偏离”是指投标文件对招标文件“采购需求”中有关条款作出的响应不满足条款要求，导致采购人要求不能得到满足的情形。</w:t>
      </w:r>
    </w:p>
    <w:p w14:paraId="7A9DCAEF">
      <w:pPr>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3.9实质性要求是指“采购需求”中标注“▲”符号的条款以及招标文件中要求“必须提供”的条款，投标人对实质性要求若有任意一项不满足，投标文件按无效处理。本项目“采购需求”的“技术要求”中未标注 “▲”号的技术参数要求允许发生负偏离的条款数累计最多为</w:t>
      </w:r>
      <w:r>
        <w:rPr>
          <w:rFonts w:hint="eastAsia" w:ascii="宋体" w:hAnsi="宋体"/>
          <w:b/>
          <w:color w:val="auto"/>
          <w:szCs w:val="21"/>
          <w:highlight w:val="none"/>
          <w:lang w:val="en-US" w:eastAsia="zh-CN"/>
        </w:rPr>
        <w:t>9</w:t>
      </w:r>
      <w:r>
        <w:rPr>
          <w:rFonts w:hint="eastAsia" w:ascii="宋体" w:hAnsi="宋体"/>
          <w:b/>
          <w:color w:val="auto"/>
          <w:szCs w:val="21"/>
          <w:highlight w:val="none"/>
        </w:rPr>
        <w:t>项，未标注 “▲”号的技术参数要求投标响应时存在负偏离数≥</w:t>
      </w:r>
      <w:r>
        <w:rPr>
          <w:rFonts w:hint="eastAsia" w:ascii="宋体" w:hAnsi="宋体"/>
          <w:b/>
          <w:color w:val="auto"/>
          <w:szCs w:val="21"/>
          <w:highlight w:val="none"/>
          <w:lang w:val="en-US" w:eastAsia="zh-CN"/>
        </w:rPr>
        <w:t>10</w:t>
      </w:r>
      <w:r>
        <w:rPr>
          <w:rFonts w:hint="eastAsia" w:ascii="宋体" w:hAnsi="宋体"/>
          <w:b/>
          <w:color w:val="auto"/>
          <w:szCs w:val="21"/>
          <w:highlight w:val="none"/>
        </w:rPr>
        <w:t>项时，投标文件按无效处理。</w:t>
      </w:r>
    </w:p>
    <w:p w14:paraId="5CB09E90">
      <w:pPr>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4. 招标方式、评分办法</w:t>
      </w:r>
    </w:p>
    <w:p w14:paraId="259FAFD4">
      <w:pPr>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公开招标、综合评分法</w:t>
      </w:r>
    </w:p>
    <w:p w14:paraId="7A6FDF1F">
      <w:pPr>
        <w:spacing w:line="340" w:lineRule="exact"/>
        <w:ind w:firstLine="435"/>
        <w:rPr>
          <w:rFonts w:ascii="宋体" w:hAnsi="宋体"/>
          <w:b/>
          <w:color w:val="auto"/>
          <w:szCs w:val="21"/>
          <w:highlight w:val="none"/>
        </w:rPr>
      </w:pPr>
      <w:r>
        <w:rPr>
          <w:rFonts w:hint="eastAsia" w:ascii="宋体" w:hAnsi="宋体"/>
          <w:b/>
          <w:color w:val="auto"/>
          <w:szCs w:val="21"/>
          <w:highlight w:val="none"/>
        </w:rPr>
        <w:t>5. 投标人资格及</w:t>
      </w:r>
      <w:r>
        <w:rPr>
          <w:rFonts w:ascii="宋体" w:hAnsi="宋体"/>
          <w:b/>
          <w:color w:val="auto"/>
          <w:szCs w:val="21"/>
          <w:highlight w:val="none"/>
        </w:rPr>
        <w:t>资格条件特别说明</w:t>
      </w:r>
    </w:p>
    <w:p w14:paraId="7090D8F2">
      <w:pPr>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5.</w:t>
      </w:r>
      <w:r>
        <w:rPr>
          <w:rFonts w:ascii="宋体" w:hAnsi="宋体"/>
          <w:b/>
          <w:color w:val="auto"/>
          <w:szCs w:val="21"/>
          <w:highlight w:val="none"/>
        </w:rPr>
        <w:t>1</w:t>
      </w:r>
      <w:r>
        <w:rPr>
          <w:rFonts w:hint="eastAsia" w:ascii="宋体" w:hAnsi="宋体"/>
          <w:b/>
          <w:color w:val="auto"/>
          <w:szCs w:val="21"/>
          <w:highlight w:val="none"/>
        </w:rPr>
        <w:t>投标人资格</w:t>
      </w:r>
    </w:p>
    <w:p w14:paraId="10031DE4">
      <w:pPr>
        <w:spacing w:line="340" w:lineRule="exact"/>
        <w:ind w:firstLine="435"/>
        <w:rPr>
          <w:rFonts w:hint="eastAsia" w:ascii="宋体" w:hAnsi="宋体" w:cs="宋体"/>
          <w:color w:val="auto"/>
          <w:kern w:val="0"/>
          <w:szCs w:val="21"/>
          <w:highlight w:val="none"/>
        </w:rPr>
      </w:pPr>
      <w:r>
        <w:rPr>
          <w:rFonts w:hint="eastAsia" w:ascii="宋体" w:hAnsi="宋体" w:cs="宋体"/>
          <w:color w:val="auto"/>
          <w:kern w:val="0"/>
          <w:szCs w:val="21"/>
          <w:highlight w:val="none"/>
        </w:rPr>
        <w:t>（1）满足《中华人民共和国政府采购法》第二十二条规定；</w:t>
      </w:r>
    </w:p>
    <w:p w14:paraId="2DDD2AC7">
      <w:pPr>
        <w:spacing w:line="340" w:lineRule="exact"/>
        <w:ind w:firstLine="435"/>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2</w:t>
      </w:r>
      <w:r>
        <w:rPr>
          <w:rFonts w:hint="eastAsia" w:ascii="宋体" w:hAnsi="宋体" w:cs="宋体"/>
          <w:color w:val="auto"/>
          <w:kern w:val="0"/>
          <w:szCs w:val="21"/>
          <w:highlight w:val="none"/>
        </w:rPr>
        <w:t>）落实政府采购政策需满足的资格要求：无；</w:t>
      </w:r>
    </w:p>
    <w:p w14:paraId="40280263">
      <w:pPr>
        <w:spacing w:line="340" w:lineRule="exact"/>
        <w:ind w:firstLine="435"/>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3</w:t>
      </w:r>
      <w:r>
        <w:rPr>
          <w:rFonts w:hint="eastAsia" w:ascii="宋体" w:hAnsi="宋体" w:cs="宋体"/>
          <w:color w:val="auto"/>
          <w:kern w:val="0"/>
          <w:szCs w:val="21"/>
          <w:highlight w:val="none"/>
        </w:rPr>
        <w:t>）本项目的特定资格要求：本项目</w:t>
      </w:r>
      <w:r>
        <w:rPr>
          <w:rFonts w:hint="eastAsia" w:ascii="宋体" w:hAnsi="宋体" w:cs="宋体"/>
          <w:color w:val="auto"/>
          <w:kern w:val="0"/>
          <w:szCs w:val="21"/>
          <w:highlight w:val="none"/>
          <w:lang w:eastAsia="zh-CN"/>
        </w:rPr>
        <w:t>投标人</w:t>
      </w:r>
      <w:r>
        <w:rPr>
          <w:rFonts w:hint="eastAsia" w:ascii="宋体" w:hAnsi="宋体" w:cs="宋体"/>
          <w:color w:val="auto"/>
          <w:kern w:val="0"/>
          <w:szCs w:val="21"/>
          <w:highlight w:val="none"/>
        </w:rPr>
        <w:t>按《医疗器械监督管理条例》（国务院令第739号）医疗器械分类管理要求具备有效的医疗器械经营备案凭证或者经营许可证，且经营范围必须包含采购标的[符合《医疗器械监督管理条例》第四十一条第二款规定的除外]；或者</w:t>
      </w:r>
      <w:r>
        <w:rPr>
          <w:rFonts w:hint="eastAsia" w:ascii="宋体" w:hAnsi="宋体" w:cs="宋体"/>
          <w:color w:val="auto"/>
          <w:kern w:val="0"/>
          <w:szCs w:val="21"/>
          <w:highlight w:val="none"/>
          <w:lang w:eastAsia="zh-CN"/>
        </w:rPr>
        <w:t>投标人</w:t>
      </w:r>
      <w:r>
        <w:rPr>
          <w:rFonts w:hint="eastAsia" w:ascii="宋体" w:hAnsi="宋体" w:cs="宋体"/>
          <w:color w:val="auto"/>
          <w:kern w:val="0"/>
          <w:szCs w:val="21"/>
          <w:highlight w:val="none"/>
        </w:rPr>
        <w:t>具有《医疗器械监督管理条例》第四十三条规定的注册人凭证</w:t>
      </w:r>
      <w:r>
        <w:rPr>
          <w:rFonts w:ascii="宋体" w:hAnsi="宋体" w:cs="宋体"/>
          <w:color w:val="auto"/>
          <w:kern w:val="0"/>
          <w:szCs w:val="21"/>
          <w:highlight w:val="none"/>
        </w:rPr>
        <w:t>。</w:t>
      </w:r>
    </w:p>
    <w:p w14:paraId="4879CC46">
      <w:pPr>
        <w:spacing w:line="340" w:lineRule="exact"/>
        <w:ind w:firstLine="435"/>
        <w:rPr>
          <w:rFonts w:hint="eastAsia" w:ascii="宋体" w:hAnsi="宋体"/>
          <w:b/>
          <w:color w:val="auto"/>
          <w:szCs w:val="21"/>
          <w:highlight w:val="none"/>
        </w:rPr>
      </w:pPr>
      <w:r>
        <w:rPr>
          <w:rFonts w:ascii="宋体" w:hAnsi="宋体"/>
          <w:b/>
          <w:color w:val="auto"/>
          <w:szCs w:val="21"/>
          <w:highlight w:val="none"/>
        </w:rPr>
        <w:t>5</w:t>
      </w:r>
      <w:r>
        <w:rPr>
          <w:rFonts w:hint="eastAsia" w:ascii="宋体" w:hAnsi="宋体"/>
          <w:b/>
          <w:color w:val="auto"/>
          <w:szCs w:val="21"/>
          <w:highlight w:val="none"/>
        </w:rPr>
        <w:t>.</w:t>
      </w:r>
      <w:r>
        <w:rPr>
          <w:rFonts w:ascii="宋体" w:hAnsi="宋体"/>
          <w:b/>
          <w:color w:val="auto"/>
          <w:szCs w:val="21"/>
          <w:highlight w:val="none"/>
        </w:rPr>
        <w:t>2资格条件特别说明：</w:t>
      </w:r>
    </w:p>
    <w:p w14:paraId="6F4DE2E2">
      <w:pPr>
        <w:spacing w:line="340" w:lineRule="exact"/>
        <w:ind w:firstLine="435"/>
        <w:rPr>
          <w:rFonts w:hint="eastAsia"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rPr>
        <w:t>1</w:t>
      </w:r>
      <w:r>
        <w:rPr>
          <w:rFonts w:ascii="宋体" w:hAnsi="宋体" w:cs="宋体"/>
          <w:color w:val="auto"/>
          <w:kern w:val="0"/>
          <w:szCs w:val="21"/>
          <w:highlight w:val="none"/>
        </w:rPr>
        <w:t>）单位负责人为同一人或者存在直接控股、管理关系的不同供应商，不得参加同一合同项下的政府采购活动。为本项目提供过整体设计、规范编制或者项目管理、监理、检测等服务的供应商，</w:t>
      </w:r>
      <w:r>
        <w:rPr>
          <w:rFonts w:hint="eastAsia" w:ascii="宋体" w:hAnsi="宋体" w:cs="宋体"/>
          <w:color w:val="auto"/>
          <w:kern w:val="0"/>
          <w:szCs w:val="21"/>
          <w:highlight w:val="none"/>
        </w:rPr>
        <w:t>不得再参加该采购项目的其他采购活动；</w:t>
      </w:r>
    </w:p>
    <w:p w14:paraId="29828FA5">
      <w:pPr>
        <w:spacing w:line="340" w:lineRule="exact"/>
        <w:ind w:firstLine="420" w:firstLineChars="200"/>
        <w:rPr>
          <w:rFonts w:hint="eastAsia"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rPr>
        <w:t>2</w:t>
      </w:r>
      <w:r>
        <w:rPr>
          <w:rFonts w:ascii="宋体" w:hAnsi="宋体" w:cs="宋体"/>
          <w:color w:val="auto"/>
          <w:kern w:val="0"/>
          <w:szCs w:val="21"/>
          <w:highlight w:val="none"/>
        </w:rPr>
        <w:t>）对在“信用中国”网站</w:t>
      </w:r>
      <w:r>
        <w:rPr>
          <w:rFonts w:hint="eastAsia" w:ascii="宋体" w:hAnsi="宋体" w:cs="宋体"/>
          <w:color w:val="auto"/>
          <w:kern w:val="0"/>
          <w:szCs w:val="21"/>
          <w:highlight w:val="none"/>
          <w:lang w:eastAsia="zh-CN"/>
        </w:rPr>
        <w:t>（</w:t>
      </w:r>
      <w:r>
        <w:rPr>
          <w:rFonts w:ascii="宋体" w:hAnsi="宋体" w:cs="宋体"/>
          <w:color w:val="auto"/>
          <w:kern w:val="0"/>
          <w:szCs w:val="21"/>
          <w:highlight w:val="none"/>
        </w:rPr>
        <w:t>www.creditchina.gov.cn</w:t>
      </w:r>
      <w:r>
        <w:rPr>
          <w:rFonts w:hint="eastAsia" w:ascii="宋体" w:hAnsi="宋体" w:cs="宋体"/>
          <w:color w:val="auto"/>
          <w:kern w:val="0"/>
          <w:szCs w:val="21"/>
          <w:highlight w:val="none"/>
          <w:lang w:eastAsia="zh-CN"/>
        </w:rPr>
        <w:t>）</w:t>
      </w:r>
      <w:r>
        <w:rPr>
          <w:rFonts w:ascii="宋体" w:hAnsi="宋体" w:cs="宋体"/>
          <w:color w:val="auto"/>
          <w:kern w:val="0"/>
          <w:szCs w:val="21"/>
          <w:highlight w:val="none"/>
        </w:rPr>
        <w:t xml:space="preserve"> 、中国政府采购网（www.ccgp.gov.cn）被列入失信被执行人、</w:t>
      </w:r>
      <w:r>
        <w:rPr>
          <w:rFonts w:hint="eastAsia" w:ascii="宋体" w:hAnsi="宋体" w:cs="宋体"/>
          <w:color w:val="auto"/>
          <w:kern w:val="0"/>
          <w:szCs w:val="21"/>
          <w:highlight w:val="none"/>
        </w:rPr>
        <w:t>重大税收违法失信主体</w:t>
      </w:r>
      <w:r>
        <w:rPr>
          <w:rFonts w:ascii="宋体" w:hAnsi="宋体" w:cs="宋体"/>
          <w:color w:val="auto"/>
          <w:kern w:val="0"/>
          <w:szCs w:val="21"/>
          <w:highlight w:val="none"/>
        </w:rPr>
        <w:t>、政府采购严重违法失信行为记录名单及其他不符合《中华人民共和国政府采购法》第二十二条规定条件的供应商，不得参与政府采购活动。</w:t>
      </w:r>
    </w:p>
    <w:p w14:paraId="18E48DFB">
      <w:pPr>
        <w:tabs>
          <w:tab w:val="left" w:pos="1635"/>
        </w:tabs>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6. 广西政府采购云平台电子投标注意事项</w:t>
      </w:r>
    </w:p>
    <w:p w14:paraId="0B542B0B">
      <w:pPr>
        <w:spacing w:line="360" w:lineRule="exact"/>
        <w:ind w:firstLine="420" w:firstLineChars="200"/>
        <w:rPr>
          <w:rFonts w:ascii="宋体" w:hAnsi="宋体"/>
          <w:color w:val="auto"/>
          <w:highlight w:val="none"/>
        </w:rPr>
      </w:pPr>
      <w:r>
        <w:rPr>
          <w:rFonts w:hint="eastAsia" w:ascii="宋体" w:hAnsi="宋体"/>
          <w:color w:val="auto"/>
          <w:highlight w:val="none"/>
        </w:rPr>
        <w:t>6.1本项目为全流程电子化采购项目，通过广西政府采购云平台（www.gcy.zfcg.gxzf.gov.cn</w:t>
      </w:r>
      <w:r>
        <w:rPr>
          <w:rFonts w:hint="eastAsia" w:ascii="宋体" w:hAnsi="宋体"/>
          <w:color w:val="auto"/>
          <w:highlight w:val="none"/>
          <w:lang w:eastAsia="zh-CN"/>
        </w:rPr>
        <w:t>）</w:t>
      </w:r>
      <w:r>
        <w:rPr>
          <w:rFonts w:hint="eastAsia" w:ascii="宋体" w:hAnsi="宋体"/>
          <w:color w:val="auto"/>
          <w:highlight w:val="none"/>
        </w:rPr>
        <w:t>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4CD77064">
      <w:pPr>
        <w:spacing w:line="360" w:lineRule="exact"/>
        <w:ind w:firstLine="420" w:firstLineChars="200"/>
        <w:rPr>
          <w:rFonts w:hint="eastAsia" w:ascii="宋体" w:hAnsi="宋体"/>
          <w:color w:val="auto"/>
          <w:highlight w:val="none"/>
        </w:rPr>
      </w:pPr>
      <w:r>
        <w:rPr>
          <w:rFonts w:hint="eastAsia" w:ascii="宋体" w:hAnsi="宋体"/>
          <w:color w:val="auto"/>
          <w:highlight w:val="none"/>
        </w:rPr>
        <w:t>6.2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kern w:val="0"/>
          <w:szCs w:val="21"/>
          <w:highlight w:val="none"/>
        </w:rPr>
        <w:t>或者0771-3381253</w:t>
      </w:r>
      <w:r>
        <w:rPr>
          <w:rFonts w:hint="eastAsia" w:ascii="宋体" w:hAnsi="宋体"/>
          <w:color w:val="auto"/>
          <w:highlight w:val="none"/>
        </w:rPr>
        <w:t>）。</w:t>
      </w:r>
    </w:p>
    <w:p w14:paraId="58925011">
      <w:pPr>
        <w:spacing w:line="360" w:lineRule="exact"/>
        <w:ind w:firstLine="420" w:firstLineChars="200"/>
        <w:rPr>
          <w:rFonts w:hint="eastAsia" w:ascii="宋体" w:hAnsi="宋体"/>
          <w:color w:val="auto"/>
          <w:highlight w:val="none"/>
        </w:rPr>
      </w:pPr>
      <w:r>
        <w:rPr>
          <w:rFonts w:hint="eastAsia" w:ascii="宋体" w:hAnsi="宋体"/>
          <w:color w:val="auto"/>
          <w:highlight w:val="none"/>
        </w:rPr>
        <w:t>6.3 CA证书在线解密：投标人投标时，需凭制作投标文件时用来加密的有效数字证书（CA认证）登录广西政府采购云平台电子开标大厅现场按规定时间对加密的投标文件进行解密，否则后果自负。</w:t>
      </w:r>
    </w:p>
    <w:p w14:paraId="42AEAB57">
      <w:pPr>
        <w:tabs>
          <w:tab w:val="left" w:pos="1635"/>
        </w:tabs>
        <w:spacing w:line="340" w:lineRule="exact"/>
        <w:ind w:firstLine="435"/>
        <w:rPr>
          <w:rFonts w:hint="eastAsia" w:ascii="宋体" w:hAnsi="宋体" w:cs="宋体"/>
          <w:color w:val="auto"/>
          <w:kern w:val="0"/>
          <w:szCs w:val="21"/>
          <w:highlight w:val="none"/>
        </w:rPr>
      </w:pPr>
      <w:r>
        <w:rPr>
          <w:rFonts w:hint="eastAsia" w:ascii="宋体" w:hAnsi="宋体"/>
          <w:color w:val="auto"/>
          <w:highlight w:val="none"/>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w:t>
      </w:r>
      <w:r>
        <w:rPr>
          <w:rFonts w:hint="eastAsia" w:ascii="宋体" w:hAnsi="宋体"/>
          <w:color w:val="auto"/>
          <w:highlight w:val="none"/>
          <w:lang w:eastAsia="zh-CN"/>
        </w:rPr>
        <w:t>）</w:t>
      </w:r>
      <w:r>
        <w:rPr>
          <w:rFonts w:hint="eastAsia" w:ascii="宋体" w:hAnsi="宋体"/>
          <w:color w:val="auto"/>
          <w:highlight w:val="none"/>
        </w:rPr>
        <w:t>—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p w14:paraId="7A34923D">
      <w:pPr>
        <w:tabs>
          <w:tab w:val="left" w:pos="1635"/>
        </w:tabs>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7. 联合体投标要求</w:t>
      </w:r>
    </w:p>
    <w:p w14:paraId="21B34C14">
      <w:pPr>
        <w:tabs>
          <w:tab w:val="left" w:pos="1635"/>
        </w:tabs>
        <w:spacing w:line="340" w:lineRule="exact"/>
        <w:ind w:firstLine="435"/>
        <w:rPr>
          <w:rFonts w:hint="eastAsia" w:ascii="宋体" w:hAnsi="宋体"/>
          <w:color w:val="auto"/>
          <w:szCs w:val="21"/>
          <w:highlight w:val="none"/>
        </w:rPr>
      </w:pPr>
      <w:r>
        <w:rPr>
          <w:rFonts w:hint="eastAsia" w:ascii="宋体" w:hAnsi="宋体"/>
          <w:color w:val="auto"/>
          <w:szCs w:val="21"/>
          <w:highlight w:val="none"/>
        </w:rPr>
        <w:t>本项目不接受联合体投标。</w:t>
      </w:r>
    </w:p>
    <w:p w14:paraId="6F873C2A">
      <w:pPr>
        <w:tabs>
          <w:tab w:val="left" w:pos="1635"/>
        </w:tabs>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8. 转包与分包</w:t>
      </w:r>
    </w:p>
    <w:p w14:paraId="78DFF3F9">
      <w:pPr>
        <w:tabs>
          <w:tab w:val="left" w:pos="1635"/>
        </w:tabs>
        <w:spacing w:line="340" w:lineRule="exact"/>
        <w:ind w:firstLine="435"/>
        <w:rPr>
          <w:rFonts w:hint="eastAsia" w:ascii="宋体" w:hAnsi="宋体"/>
          <w:color w:val="auto"/>
          <w:szCs w:val="21"/>
          <w:highlight w:val="none"/>
        </w:rPr>
      </w:pPr>
      <w:r>
        <w:rPr>
          <w:rFonts w:hint="eastAsia" w:ascii="宋体" w:hAnsi="宋体"/>
          <w:color w:val="auto"/>
          <w:szCs w:val="21"/>
          <w:highlight w:val="none"/>
        </w:rPr>
        <w:t>8.1本项目不允许转包。</w:t>
      </w:r>
    </w:p>
    <w:p w14:paraId="521E32B2">
      <w:pPr>
        <w:tabs>
          <w:tab w:val="left" w:pos="1635"/>
        </w:tabs>
        <w:spacing w:line="360" w:lineRule="exact"/>
        <w:ind w:firstLine="435"/>
        <w:rPr>
          <w:rFonts w:hint="eastAsia" w:ascii="宋体" w:hAnsi="宋体"/>
          <w:color w:val="auto"/>
          <w:szCs w:val="21"/>
          <w:highlight w:val="none"/>
        </w:rPr>
      </w:pPr>
      <w:r>
        <w:rPr>
          <w:rFonts w:hint="eastAsia" w:ascii="宋体" w:hAnsi="宋体"/>
          <w:color w:val="auto"/>
          <w:szCs w:val="21"/>
          <w:highlight w:val="none"/>
        </w:rPr>
        <w:t>8.2本项目不接受分包。</w:t>
      </w:r>
    </w:p>
    <w:p w14:paraId="49958250">
      <w:pPr>
        <w:tabs>
          <w:tab w:val="left" w:pos="1635"/>
        </w:tabs>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9. 特别说明</w:t>
      </w:r>
    </w:p>
    <w:p w14:paraId="1B0BDAC3">
      <w:pPr>
        <w:tabs>
          <w:tab w:val="left" w:pos="1635"/>
        </w:tabs>
        <w:spacing w:line="340" w:lineRule="exact"/>
        <w:ind w:firstLine="435"/>
        <w:rPr>
          <w:rFonts w:hint="eastAsia" w:ascii="宋体" w:hAnsi="宋体" w:cs="Arial"/>
          <w:color w:val="auto"/>
          <w:szCs w:val="21"/>
          <w:highlight w:val="none"/>
        </w:rPr>
      </w:pPr>
      <w:r>
        <w:rPr>
          <w:rFonts w:hint="eastAsia" w:ascii="宋体" w:hAnsi="宋体"/>
          <w:color w:val="auto"/>
          <w:szCs w:val="21"/>
          <w:highlight w:val="none"/>
        </w:rPr>
        <w:t>9.1</w:t>
      </w:r>
      <w:r>
        <w:rPr>
          <w:rFonts w:ascii="宋体" w:hAnsi="宋体" w:cs="Arial"/>
          <w:color w:val="auto"/>
          <w:szCs w:val="21"/>
          <w:highlight w:val="none"/>
        </w:rPr>
        <w:t>提供相同品牌产品且通过资格审查、符合性审查的不同投标人参加同一合同项下投标的，按一家投标人计算，评审后得分最高的同品牌投标人获得中标人推荐资格；评审得分相同的，</w:t>
      </w:r>
      <w:r>
        <w:rPr>
          <w:rFonts w:hint="eastAsia" w:ascii="宋体" w:hAnsi="宋体" w:cs="Arial"/>
          <w:color w:val="auto"/>
          <w:szCs w:val="21"/>
          <w:highlight w:val="none"/>
        </w:rPr>
        <w:t>评标报价最低的同品牌投标人获得</w:t>
      </w:r>
      <w:r>
        <w:rPr>
          <w:rFonts w:ascii="宋体" w:hAnsi="宋体" w:cs="Arial"/>
          <w:color w:val="auto"/>
          <w:szCs w:val="21"/>
          <w:highlight w:val="none"/>
        </w:rPr>
        <w:t>中标人推荐资格，</w:t>
      </w:r>
      <w:r>
        <w:rPr>
          <w:rFonts w:hint="eastAsia" w:ascii="宋体" w:hAnsi="宋体" w:cs="Arial"/>
          <w:color w:val="auto"/>
          <w:szCs w:val="21"/>
          <w:highlight w:val="none"/>
        </w:rPr>
        <w:t>评标报价也相同的，由评标委员会以抽签</w:t>
      </w:r>
      <w:r>
        <w:rPr>
          <w:rFonts w:ascii="宋体" w:hAnsi="宋体" w:cs="Arial"/>
          <w:color w:val="auto"/>
          <w:szCs w:val="21"/>
          <w:highlight w:val="none"/>
        </w:rPr>
        <w:t>方式确定</w:t>
      </w:r>
      <w:r>
        <w:rPr>
          <w:rFonts w:hint="eastAsia" w:ascii="宋体" w:hAnsi="宋体" w:cs="Arial"/>
          <w:color w:val="auto"/>
          <w:szCs w:val="21"/>
          <w:highlight w:val="none"/>
        </w:rPr>
        <w:t>中标候选人</w:t>
      </w:r>
      <w:r>
        <w:rPr>
          <w:rFonts w:ascii="宋体" w:hAnsi="宋体" w:cs="Arial"/>
          <w:color w:val="auto"/>
          <w:szCs w:val="21"/>
          <w:highlight w:val="none"/>
        </w:rPr>
        <w:t>，其他同品牌投标人不作为中标候选人。</w:t>
      </w:r>
    </w:p>
    <w:p w14:paraId="6427D316">
      <w:pPr>
        <w:tabs>
          <w:tab w:val="left" w:pos="1635"/>
        </w:tabs>
        <w:spacing w:line="340" w:lineRule="exact"/>
        <w:ind w:firstLine="435"/>
        <w:rPr>
          <w:rFonts w:hint="eastAsia" w:ascii="宋体" w:hAnsi="宋体" w:cs="Arial"/>
          <w:color w:val="auto"/>
          <w:szCs w:val="21"/>
          <w:highlight w:val="none"/>
        </w:rPr>
      </w:pPr>
      <w:r>
        <w:rPr>
          <w:rFonts w:hint="eastAsia" w:ascii="宋体" w:hAnsi="宋体" w:cs="Arial"/>
          <w:color w:val="auto"/>
          <w:szCs w:val="21"/>
          <w:highlight w:val="none"/>
        </w:rPr>
        <w:t>非单一产品采购项目，</w:t>
      </w:r>
      <w:r>
        <w:rPr>
          <w:rFonts w:ascii="宋体" w:hAnsi="宋体" w:cs="Arial"/>
          <w:color w:val="auto"/>
          <w:szCs w:val="21"/>
          <w:highlight w:val="none"/>
        </w:rPr>
        <w:t>多家投标人提供的核心产品品牌相同的，按前款规定处理。</w:t>
      </w:r>
    </w:p>
    <w:p w14:paraId="25A8421F">
      <w:pPr>
        <w:tabs>
          <w:tab w:val="left" w:pos="1635"/>
        </w:tabs>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9.2关联供应商不得参加同一合同项下政府采购活动，否则投标文件将被视为无效：</w:t>
      </w:r>
    </w:p>
    <w:p w14:paraId="72E2DFCF">
      <w:pPr>
        <w:tabs>
          <w:tab w:val="left" w:pos="163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（1）单位负责人为同一人或者存在直接控股、管理关系的不同供应商，不得参加同一合同项下的政府采购活动。</w:t>
      </w:r>
    </w:p>
    <w:p w14:paraId="0AD1A9CD">
      <w:pPr>
        <w:tabs>
          <w:tab w:val="left" w:pos="1635"/>
        </w:tabs>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（2）为本采购项目提供整体设计、规范编制或者项目管理、监理、检测等服务的供应商，不得再参加本次采购活动。</w:t>
      </w:r>
    </w:p>
    <w:p w14:paraId="7A3EEB23">
      <w:pPr>
        <w:tabs>
          <w:tab w:val="left" w:pos="1635"/>
        </w:tabs>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（3）生产厂商授权给供应商后自己不得参加同一合同项下的政府采购活动。</w:t>
      </w:r>
    </w:p>
    <w:p w14:paraId="13BC974A">
      <w:pPr>
        <w:tabs>
          <w:tab w:val="left" w:pos="1635"/>
        </w:tabs>
        <w:spacing w:line="340" w:lineRule="exact"/>
        <w:ind w:firstLine="435"/>
        <w:rPr>
          <w:rFonts w:hint="eastAsia" w:ascii="宋体" w:hAnsi="宋体"/>
          <w:color w:val="auto"/>
          <w:szCs w:val="21"/>
          <w:highlight w:val="none"/>
        </w:rPr>
      </w:pPr>
      <w:r>
        <w:rPr>
          <w:rFonts w:hint="eastAsia" w:ascii="宋体" w:hAnsi="宋体"/>
          <w:color w:val="auto"/>
          <w:szCs w:val="21"/>
          <w:highlight w:val="none"/>
        </w:rPr>
        <w:t>9.3投标人必须仔细阅读招标文件的所有内容，按照招标文件的要求提交投标文件，并对所提供的全部资料的真实性承担法律责任。</w:t>
      </w:r>
    </w:p>
    <w:p w14:paraId="607ADE6C">
      <w:pPr>
        <w:tabs>
          <w:tab w:val="left" w:pos="1635"/>
        </w:tabs>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9.4投标人在投标活动中提供任何虚假材料，其投标无效，并报监管部门查处；中标后发现的，中标人须依照《中华人民共和国消费者权益保护法》规定赔偿采购人，且民事赔偿并不免除违法投标人的行政与刑事责任。</w:t>
      </w:r>
    </w:p>
    <w:p w14:paraId="262BDA75">
      <w:pPr>
        <w:tabs>
          <w:tab w:val="left" w:pos="2190"/>
        </w:tabs>
        <w:spacing w:line="340" w:lineRule="exact"/>
        <w:ind w:firstLine="413" w:firstLineChars="196"/>
        <w:rPr>
          <w:rFonts w:hint="eastAsia" w:ascii="宋体" w:hAnsi="宋体"/>
          <w:b/>
          <w:color w:val="auto"/>
          <w:szCs w:val="21"/>
          <w:highlight w:val="none"/>
        </w:rPr>
      </w:pPr>
      <w:r>
        <w:rPr>
          <w:rFonts w:hint="eastAsia" w:ascii="宋体" w:hAnsi="宋体"/>
          <w:b/>
          <w:color w:val="auto"/>
          <w:szCs w:val="21"/>
          <w:highlight w:val="none"/>
        </w:rPr>
        <w:t>10. 质疑和投诉</w:t>
      </w:r>
      <w:r>
        <w:rPr>
          <w:rFonts w:ascii="宋体" w:hAnsi="宋体"/>
          <w:b/>
          <w:color w:val="auto"/>
          <w:szCs w:val="21"/>
          <w:highlight w:val="none"/>
        </w:rPr>
        <w:tab/>
      </w:r>
    </w:p>
    <w:p w14:paraId="4E3161F5">
      <w:pPr>
        <w:tabs>
          <w:tab w:val="left" w:pos="2190"/>
        </w:tabs>
        <w:spacing w:line="340" w:lineRule="exact"/>
        <w:ind w:firstLine="435"/>
        <w:rPr>
          <w:rFonts w:hint="eastAsia" w:ascii="宋体" w:hAnsi="宋体"/>
          <w:color w:val="auto"/>
          <w:szCs w:val="21"/>
          <w:highlight w:val="none"/>
        </w:rPr>
      </w:pPr>
      <w:r>
        <w:rPr>
          <w:rFonts w:hint="eastAsia" w:ascii="宋体" w:hAnsi="宋体"/>
          <w:color w:val="auto"/>
          <w:szCs w:val="21"/>
          <w:highlight w:val="none"/>
        </w:rPr>
        <w:t>10.1投标人认为招标文件使自己的合法权益受到损害的，应当在本项目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w:t>
      </w:r>
      <w:r>
        <w:rPr>
          <w:rFonts w:hint="eastAsia" w:ascii="宋体" w:hAnsi="宋体"/>
          <w:b/>
          <w:color w:val="auto"/>
          <w:szCs w:val="21"/>
          <w:highlight w:val="none"/>
        </w:rPr>
        <w:t>（“质疑函”格式见附表1）</w:t>
      </w:r>
      <w:r>
        <w:rPr>
          <w:rFonts w:hint="eastAsia" w:ascii="宋体" w:hAnsi="宋体"/>
          <w:color w:val="auto"/>
          <w:szCs w:val="21"/>
          <w:highlight w:val="none"/>
        </w:rPr>
        <w:t>。否则，采购代理机构有权拒收。</w:t>
      </w:r>
    </w:p>
    <w:p w14:paraId="2DFCE2BB">
      <w:pPr>
        <w:tabs>
          <w:tab w:val="left" w:pos="2190"/>
        </w:tabs>
        <w:spacing w:line="340" w:lineRule="exact"/>
        <w:ind w:firstLine="435"/>
        <w:rPr>
          <w:rFonts w:ascii="宋体" w:hAnsi="宋体"/>
          <w:color w:val="auto"/>
          <w:szCs w:val="21"/>
          <w:highlight w:val="none"/>
        </w:rPr>
      </w:pPr>
      <w:r>
        <w:rPr>
          <w:rFonts w:hint="eastAsia" w:ascii="宋体" w:hAnsi="宋体"/>
          <w:color w:val="auto"/>
          <w:szCs w:val="21"/>
          <w:highlight w:val="none"/>
        </w:rPr>
        <w:t>采购代理机构应认真做好质疑处理工作，对于</w:t>
      </w:r>
      <w:r>
        <w:rPr>
          <w:rFonts w:ascii="宋体" w:hAnsi="宋体"/>
          <w:color w:val="auto"/>
          <w:szCs w:val="21"/>
          <w:highlight w:val="none"/>
        </w:rPr>
        <w:t>质疑供应商在法定质疑期内</w:t>
      </w:r>
      <w:r>
        <w:rPr>
          <w:rFonts w:hint="eastAsia" w:ascii="宋体" w:hAnsi="宋体"/>
          <w:color w:val="auto"/>
          <w:szCs w:val="21"/>
          <w:highlight w:val="none"/>
        </w:rPr>
        <w:t>提出</w:t>
      </w:r>
      <w:r>
        <w:rPr>
          <w:rFonts w:ascii="宋体" w:hAnsi="宋体"/>
          <w:color w:val="auto"/>
          <w:szCs w:val="21"/>
          <w:highlight w:val="none"/>
        </w:rPr>
        <w:t>的质疑函，应当在收到质疑函后7个工作日内作出答复，并以书面形式通知质疑供应商和其他有关供应商。</w:t>
      </w:r>
    </w:p>
    <w:p w14:paraId="7184D4BA">
      <w:pPr>
        <w:tabs>
          <w:tab w:val="left" w:pos="2190"/>
        </w:tabs>
        <w:spacing w:line="340" w:lineRule="exact"/>
        <w:ind w:firstLine="435"/>
        <w:rPr>
          <w:rFonts w:hint="eastAsia" w:ascii="宋体" w:hAnsi="宋体"/>
          <w:color w:val="auto"/>
          <w:szCs w:val="21"/>
          <w:highlight w:val="none"/>
        </w:rPr>
      </w:pPr>
      <w:r>
        <w:rPr>
          <w:rFonts w:ascii="宋体" w:hAnsi="宋体"/>
          <w:color w:val="auto"/>
          <w:szCs w:val="21"/>
          <w:highlight w:val="none"/>
        </w:rPr>
        <w:t>投标人在法定质疑期内应一次性提出与项目相关的质疑，投标人在提出与项目相关的质疑前应当做好全面且详细的工作，代理机构</w:t>
      </w:r>
      <w:r>
        <w:rPr>
          <w:rFonts w:hint="eastAsia" w:ascii="宋体" w:hAnsi="宋体"/>
          <w:color w:val="auto"/>
          <w:szCs w:val="21"/>
          <w:highlight w:val="none"/>
        </w:rPr>
        <w:t>不再</w:t>
      </w:r>
      <w:r>
        <w:rPr>
          <w:rFonts w:ascii="宋体" w:hAnsi="宋体"/>
          <w:color w:val="auto"/>
          <w:szCs w:val="21"/>
          <w:highlight w:val="none"/>
        </w:rPr>
        <w:t>受理投标人针对同一采购程序环节的再次质疑。</w:t>
      </w:r>
    </w:p>
    <w:p w14:paraId="712FFB78">
      <w:pPr>
        <w:tabs>
          <w:tab w:val="left" w:pos="2190"/>
        </w:tabs>
        <w:spacing w:line="340" w:lineRule="exact"/>
        <w:ind w:firstLine="435"/>
        <w:rPr>
          <w:rFonts w:hint="eastAsia" w:ascii="宋体" w:hAnsi="宋体"/>
          <w:color w:val="auto"/>
          <w:szCs w:val="21"/>
          <w:highlight w:val="none"/>
        </w:rPr>
      </w:pPr>
      <w:r>
        <w:rPr>
          <w:rFonts w:hint="eastAsia" w:ascii="宋体" w:hAnsi="宋体"/>
          <w:color w:val="auto"/>
          <w:szCs w:val="21"/>
          <w:highlight w:val="none"/>
        </w:rPr>
        <w:t>10.2投标人对采购代理机构的答复不满意或者采购代理机构未在规定的时间内作出答复的，可以在答复期满后十五个工作日内向桂林市财政局投诉</w:t>
      </w:r>
      <w:r>
        <w:rPr>
          <w:rFonts w:hint="eastAsia" w:ascii="宋体" w:hAnsi="宋体"/>
          <w:b/>
          <w:color w:val="auto"/>
          <w:szCs w:val="21"/>
          <w:highlight w:val="none"/>
        </w:rPr>
        <w:t>（“投诉书”格式见附表2）</w:t>
      </w:r>
      <w:r>
        <w:rPr>
          <w:rFonts w:hint="eastAsia" w:ascii="宋体" w:hAnsi="宋体"/>
          <w:color w:val="auto"/>
          <w:szCs w:val="21"/>
          <w:highlight w:val="none"/>
        </w:rPr>
        <w:t>。</w:t>
      </w:r>
    </w:p>
    <w:p w14:paraId="53BC771F">
      <w:pPr>
        <w:tabs>
          <w:tab w:val="left" w:pos="2190"/>
        </w:tabs>
        <w:spacing w:line="340" w:lineRule="exact"/>
        <w:ind w:firstLine="435"/>
        <w:rPr>
          <w:rFonts w:hint="eastAsia" w:ascii="宋体" w:hAnsi="宋体"/>
          <w:color w:val="auto"/>
          <w:szCs w:val="21"/>
          <w:highlight w:val="none"/>
        </w:rPr>
      </w:pPr>
      <w:r>
        <w:rPr>
          <w:rFonts w:hint="eastAsia" w:ascii="宋体" w:hAnsi="宋体"/>
          <w:color w:val="auto"/>
          <w:szCs w:val="21"/>
          <w:highlight w:val="none"/>
        </w:rPr>
        <w:t>10.3质疑、投诉应当采用书面形式，质疑书、投诉书实行实名制，均应明确阐述招标文件、招标过程或中标结果中使自己合法权益受到损害的实质性内容，并提供必要的证明材料。</w:t>
      </w:r>
    </w:p>
    <w:p w14:paraId="56CD27A2">
      <w:pPr>
        <w:tabs>
          <w:tab w:val="left" w:pos="2190"/>
        </w:tabs>
        <w:spacing w:line="340" w:lineRule="exact"/>
        <w:ind w:firstLine="435"/>
        <w:rPr>
          <w:rFonts w:ascii="宋体" w:hAnsi="宋体"/>
          <w:color w:val="auto"/>
          <w:szCs w:val="21"/>
          <w:highlight w:val="none"/>
        </w:rPr>
      </w:pPr>
      <w:r>
        <w:rPr>
          <w:rFonts w:hint="eastAsia" w:ascii="宋体" w:hAnsi="宋体"/>
          <w:color w:val="auto"/>
          <w:szCs w:val="21"/>
          <w:highlight w:val="none"/>
        </w:rPr>
        <w:t>投标人</w:t>
      </w:r>
      <w:r>
        <w:rPr>
          <w:rFonts w:ascii="宋体" w:hAnsi="宋体"/>
          <w:color w:val="auto"/>
          <w:szCs w:val="21"/>
          <w:highlight w:val="none"/>
        </w:rPr>
        <w:t>提出质疑应当提交质疑函和必要的证明材料</w:t>
      </w:r>
      <w:r>
        <w:rPr>
          <w:rFonts w:hint="eastAsia" w:ascii="宋体" w:hAnsi="宋体"/>
          <w:color w:val="auto"/>
          <w:szCs w:val="21"/>
          <w:highlight w:val="none"/>
        </w:rPr>
        <w:t>，</w:t>
      </w:r>
      <w:r>
        <w:rPr>
          <w:rFonts w:ascii="宋体" w:hAnsi="宋体"/>
          <w:color w:val="auto"/>
          <w:szCs w:val="21"/>
          <w:highlight w:val="none"/>
        </w:rPr>
        <w:t>针对同一采购程序环节的质疑</w:t>
      </w:r>
      <w:r>
        <w:rPr>
          <w:rFonts w:hint="eastAsia" w:ascii="宋体" w:hAnsi="宋体"/>
          <w:color w:val="auto"/>
          <w:szCs w:val="21"/>
          <w:highlight w:val="none"/>
        </w:rPr>
        <w:t>必须</w:t>
      </w:r>
      <w:r>
        <w:rPr>
          <w:rFonts w:ascii="宋体" w:hAnsi="宋体"/>
          <w:color w:val="auto"/>
          <w:szCs w:val="21"/>
          <w:highlight w:val="none"/>
        </w:rPr>
        <w:t>在法定质疑期内一次性提出。质疑函应当包括下列内容：</w:t>
      </w:r>
    </w:p>
    <w:p w14:paraId="3A2E522C">
      <w:pPr>
        <w:tabs>
          <w:tab w:val="left" w:pos="2190"/>
        </w:tabs>
        <w:spacing w:line="340" w:lineRule="exact"/>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1</w:t>
      </w:r>
      <w:r>
        <w:rPr>
          <w:rFonts w:ascii="宋体" w:hAnsi="宋体"/>
          <w:color w:val="auto"/>
          <w:szCs w:val="21"/>
          <w:highlight w:val="none"/>
        </w:rPr>
        <w:t>）供应商的姓名或者名称、地址、邮编、联系人及联系电话；</w:t>
      </w:r>
    </w:p>
    <w:p w14:paraId="42E30669">
      <w:pPr>
        <w:tabs>
          <w:tab w:val="left" w:pos="2190"/>
        </w:tabs>
        <w:spacing w:line="340" w:lineRule="exact"/>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2</w:t>
      </w:r>
      <w:r>
        <w:rPr>
          <w:rFonts w:ascii="宋体" w:hAnsi="宋体"/>
          <w:color w:val="auto"/>
          <w:szCs w:val="21"/>
          <w:highlight w:val="none"/>
        </w:rPr>
        <w:t>）质疑项目的名称、编号；</w:t>
      </w:r>
    </w:p>
    <w:p w14:paraId="659FA2EF">
      <w:pPr>
        <w:tabs>
          <w:tab w:val="left" w:pos="2190"/>
        </w:tabs>
        <w:spacing w:line="340" w:lineRule="exact"/>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3</w:t>
      </w:r>
      <w:r>
        <w:rPr>
          <w:rFonts w:ascii="宋体" w:hAnsi="宋体"/>
          <w:color w:val="auto"/>
          <w:szCs w:val="21"/>
          <w:highlight w:val="none"/>
        </w:rPr>
        <w:t>）具体、明确的质疑事项和与质疑事项相关的请求；</w:t>
      </w:r>
    </w:p>
    <w:p w14:paraId="5E157B8C">
      <w:pPr>
        <w:tabs>
          <w:tab w:val="left" w:pos="2190"/>
        </w:tabs>
        <w:spacing w:line="340" w:lineRule="exact"/>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4</w:t>
      </w:r>
      <w:r>
        <w:rPr>
          <w:rFonts w:ascii="宋体" w:hAnsi="宋体"/>
          <w:color w:val="auto"/>
          <w:szCs w:val="21"/>
          <w:highlight w:val="none"/>
        </w:rPr>
        <w:t>）事实依据；</w:t>
      </w:r>
    </w:p>
    <w:p w14:paraId="591E8485">
      <w:pPr>
        <w:tabs>
          <w:tab w:val="left" w:pos="2190"/>
        </w:tabs>
        <w:spacing w:line="340" w:lineRule="exact"/>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5</w:t>
      </w:r>
      <w:r>
        <w:rPr>
          <w:rFonts w:ascii="宋体" w:hAnsi="宋体"/>
          <w:color w:val="auto"/>
          <w:szCs w:val="21"/>
          <w:highlight w:val="none"/>
        </w:rPr>
        <w:t>）必要的法律依据；</w:t>
      </w:r>
    </w:p>
    <w:p w14:paraId="52721FBC">
      <w:pPr>
        <w:tabs>
          <w:tab w:val="left" w:pos="2190"/>
        </w:tabs>
        <w:spacing w:line="340" w:lineRule="exact"/>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6</w:t>
      </w:r>
      <w:r>
        <w:rPr>
          <w:rFonts w:ascii="宋体" w:hAnsi="宋体"/>
          <w:color w:val="auto"/>
          <w:szCs w:val="21"/>
          <w:highlight w:val="none"/>
        </w:rPr>
        <w:t>）提出质疑的日期。</w:t>
      </w:r>
    </w:p>
    <w:p w14:paraId="2EE12102">
      <w:pPr>
        <w:tabs>
          <w:tab w:val="left" w:pos="2190"/>
        </w:tabs>
        <w:spacing w:line="340" w:lineRule="exact"/>
        <w:ind w:firstLine="435"/>
        <w:rPr>
          <w:rFonts w:hint="eastAsia" w:ascii="宋体" w:hAnsi="宋体"/>
          <w:color w:val="auto"/>
          <w:szCs w:val="21"/>
          <w:highlight w:val="none"/>
        </w:rPr>
      </w:pPr>
      <w:r>
        <w:rPr>
          <w:rFonts w:ascii="宋体" w:hAnsi="宋体"/>
          <w:color w:val="auto"/>
          <w:szCs w:val="21"/>
          <w:highlight w:val="none"/>
        </w:rPr>
        <w:t>供应商为自然人的，应当由本人签字；供应商为法人或者其他组织的，应当由法定代表人、主要负责人，或者其授权代表签字或者盖章，并加盖公章。</w:t>
      </w:r>
    </w:p>
    <w:p w14:paraId="31CEF624">
      <w:pPr>
        <w:tabs>
          <w:tab w:val="left" w:pos="2190"/>
        </w:tabs>
        <w:spacing w:line="340" w:lineRule="exact"/>
        <w:ind w:firstLine="435"/>
        <w:rPr>
          <w:rFonts w:hint="eastAsia" w:ascii="宋体" w:hAnsi="宋体"/>
          <w:color w:val="auto"/>
          <w:szCs w:val="21"/>
          <w:highlight w:val="none"/>
        </w:rPr>
      </w:pPr>
      <w:r>
        <w:rPr>
          <w:rFonts w:hint="eastAsia" w:ascii="宋体" w:hAnsi="宋体"/>
          <w:color w:val="auto"/>
          <w:szCs w:val="21"/>
          <w:highlight w:val="none"/>
        </w:rPr>
        <w:t>接收质疑函方式：以书面形式</w:t>
      </w:r>
    </w:p>
    <w:p w14:paraId="2B6C4FDD">
      <w:pPr>
        <w:tabs>
          <w:tab w:val="left" w:pos="2190"/>
        </w:tabs>
        <w:spacing w:line="340" w:lineRule="exact"/>
        <w:ind w:firstLine="435"/>
        <w:rPr>
          <w:rFonts w:hint="eastAsia" w:ascii="宋体" w:hAnsi="宋体"/>
          <w:color w:val="auto"/>
          <w:szCs w:val="21"/>
          <w:highlight w:val="none"/>
        </w:rPr>
      </w:pPr>
      <w:r>
        <w:rPr>
          <w:rFonts w:hint="eastAsia" w:ascii="宋体" w:hAnsi="宋体"/>
          <w:color w:val="auto"/>
          <w:szCs w:val="21"/>
          <w:highlight w:val="none"/>
        </w:rPr>
        <w:t>质疑联系部门及联系方式：云之龙咨询集团有限公司桂林分公司，联系人：</w:t>
      </w:r>
      <w:r>
        <w:rPr>
          <w:rFonts w:hint="eastAsia" w:ascii="宋体" w:hAnsi="宋体"/>
          <w:color w:val="auto"/>
          <w:highlight w:val="none"/>
          <w:lang w:eastAsia="zh-CN"/>
        </w:rPr>
        <w:t>李贞</w:t>
      </w:r>
      <w:r>
        <w:rPr>
          <w:rFonts w:hint="eastAsia" w:ascii="宋体" w:hAnsi="宋体"/>
          <w:color w:val="auto"/>
          <w:szCs w:val="21"/>
          <w:highlight w:val="none"/>
        </w:rPr>
        <w:t>，</w:t>
      </w:r>
      <w:r>
        <w:rPr>
          <w:rFonts w:ascii="宋体" w:hAnsi="宋体"/>
          <w:color w:val="auto"/>
          <w:szCs w:val="21"/>
          <w:highlight w:val="none"/>
        </w:rPr>
        <w:t>联系电话</w:t>
      </w:r>
      <w:r>
        <w:rPr>
          <w:rFonts w:hint="eastAsia" w:ascii="宋体" w:hAnsi="宋体"/>
          <w:color w:val="auto"/>
          <w:szCs w:val="21"/>
          <w:highlight w:val="none"/>
        </w:rPr>
        <w:t>：0773-2887388、2887399。</w:t>
      </w:r>
      <w:r>
        <w:rPr>
          <w:rFonts w:ascii="宋体" w:hAnsi="宋体"/>
          <w:color w:val="auto"/>
          <w:szCs w:val="21"/>
          <w:highlight w:val="none"/>
        </w:rPr>
        <w:t>通讯地址</w:t>
      </w:r>
      <w:r>
        <w:rPr>
          <w:rFonts w:hint="eastAsia" w:ascii="宋体" w:hAnsi="宋体"/>
          <w:color w:val="auto"/>
          <w:szCs w:val="21"/>
          <w:highlight w:val="none"/>
        </w:rPr>
        <w:t>：</w:t>
      </w:r>
      <w:r>
        <w:rPr>
          <w:rFonts w:hint="eastAsia" w:ascii="宋体" w:hAnsi="宋体"/>
          <w:color w:val="auto"/>
          <w:highlight w:val="none"/>
        </w:rPr>
        <w:t>广西桂林市临桂区西城北路2号耀辉•美好家园2幢12层1号房</w:t>
      </w:r>
      <w:r>
        <w:rPr>
          <w:rFonts w:hint="eastAsia" w:ascii="宋体" w:hAnsi="宋体"/>
          <w:color w:val="auto"/>
          <w:szCs w:val="21"/>
          <w:highlight w:val="none"/>
        </w:rPr>
        <w:t>。</w:t>
      </w:r>
    </w:p>
    <w:p w14:paraId="5209D3EE">
      <w:pPr>
        <w:tabs>
          <w:tab w:val="left" w:pos="2190"/>
        </w:tabs>
        <w:spacing w:line="340" w:lineRule="exact"/>
        <w:ind w:firstLine="435"/>
        <w:jc w:val="center"/>
        <w:rPr>
          <w:rFonts w:hint="eastAsia" w:ascii="宋体" w:hAnsi="宋体"/>
          <w:b/>
          <w:color w:val="auto"/>
          <w:sz w:val="28"/>
          <w:szCs w:val="28"/>
          <w:highlight w:val="none"/>
        </w:rPr>
      </w:pPr>
    </w:p>
    <w:p w14:paraId="0404F46D">
      <w:pPr>
        <w:tabs>
          <w:tab w:val="left" w:pos="2190"/>
        </w:tabs>
        <w:spacing w:line="340" w:lineRule="exact"/>
        <w:ind w:firstLine="435"/>
        <w:jc w:val="center"/>
        <w:rPr>
          <w:rFonts w:hint="eastAsia" w:ascii="宋体" w:hAnsi="宋体"/>
          <w:b/>
          <w:color w:val="auto"/>
          <w:sz w:val="28"/>
          <w:szCs w:val="28"/>
          <w:highlight w:val="none"/>
        </w:rPr>
      </w:pPr>
      <w:r>
        <w:rPr>
          <w:rFonts w:hint="eastAsia" w:ascii="宋体" w:hAnsi="宋体"/>
          <w:b/>
          <w:color w:val="auto"/>
          <w:sz w:val="28"/>
          <w:szCs w:val="28"/>
          <w:highlight w:val="none"/>
        </w:rPr>
        <w:t>二、招标文件</w:t>
      </w:r>
    </w:p>
    <w:p w14:paraId="0FF66E7F">
      <w:pPr>
        <w:tabs>
          <w:tab w:val="left" w:pos="2190"/>
        </w:tabs>
        <w:spacing w:line="340" w:lineRule="exact"/>
        <w:ind w:firstLine="437"/>
        <w:rPr>
          <w:rFonts w:hint="eastAsia" w:ascii="宋体" w:hAnsi="宋体"/>
          <w:b/>
          <w:color w:val="auto"/>
          <w:szCs w:val="21"/>
          <w:highlight w:val="none"/>
        </w:rPr>
      </w:pPr>
      <w:r>
        <w:rPr>
          <w:rFonts w:hint="eastAsia" w:ascii="宋体" w:hAnsi="宋体"/>
          <w:b/>
          <w:color w:val="auto"/>
          <w:szCs w:val="21"/>
          <w:highlight w:val="none"/>
        </w:rPr>
        <w:t>11. 招标文件的构成</w:t>
      </w:r>
    </w:p>
    <w:p w14:paraId="5EA4EBB9">
      <w:pPr>
        <w:tabs>
          <w:tab w:val="left" w:pos="2190"/>
        </w:tabs>
        <w:spacing w:line="340" w:lineRule="exact"/>
        <w:ind w:firstLine="437"/>
        <w:rPr>
          <w:rFonts w:hint="eastAsia" w:ascii="宋体" w:hAnsi="宋体"/>
          <w:color w:val="auto"/>
          <w:szCs w:val="21"/>
          <w:highlight w:val="none"/>
        </w:rPr>
      </w:pPr>
      <w:r>
        <w:rPr>
          <w:rFonts w:hint="eastAsia" w:ascii="宋体" w:hAnsi="宋体"/>
          <w:color w:val="auto"/>
          <w:szCs w:val="21"/>
          <w:highlight w:val="none"/>
        </w:rPr>
        <w:t>（1）招标公告；</w:t>
      </w:r>
    </w:p>
    <w:p w14:paraId="68BCCB1A">
      <w:pPr>
        <w:tabs>
          <w:tab w:val="left" w:pos="2190"/>
        </w:tabs>
        <w:spacing w:line="340" w:lineRule="exact"/>
        <w:ind w:firstLine="437"/>
        <w:rPr>
          <w:rFonts w:hint="eastAsia" w:ascii="宋体" w:hAnsi="宋体"/>
          <w:color w:val="auto"/>
          <w:szCs w:val="21"/>
          <w:highlight w:val="none"/>
        </w:rPr>
      </w:pPr>
      <w:r>
        <w:rPr>
          <w:rFonts w:hint="eastAsia" w:ascii="宋体" w:hAnsi="宋体"/>
          <w:color w:val="auto"/>
          <w:szCs w:val="21"/>
          <w:highlight w:val="none"/>
        </w:rPr>
        <w:t>（2）投标人须知；</w:t>
      </w:r>
    </w:p>
    <w:p w14:paraId="37701017">
      <w:pPr>
        <w:tabs>
          <w:tab w:val="left" w:pos="2190"/>
        </w:tabs>
        <w:spacing w:line="340" w:lineRule="exact"/>
        <w:ind w:firstLine="437"/>
        <w:rPr>
          <w:rFonts w:hint="eastAsia" w:ascii="宋体" w:hAnsi="宋体"/>
          <w:color w:val="auto"/>
          <w:szCs w:val="21"/>
          <w:highlight w:val="none"/>
        </w:rPr>
      </w:pPr>
      <w:r>
        <w:rPr>
          <w:rFonts w:hint="eastAsia" w:ascii="宋体" w:hAnsi="宋体"/>
          <w:color w:val="auto"/>
          <w:szCs w:val="21"/>
          <w:highlight w:val="none"/>
        </w:rPr>
        <w:t>（3）采购需求；</w:t>
      </w:r>
    </w:p>
    <w:p w14:paraId="2110DFD5">
      <w:pPr>
        <w:tabs>
          <w:tab w:val="left" w:pos="2190"/>
        </w:tabs>
        <w:spacing w:line="340" w:lineRule="exact"/>
        <w:ind w:firstLine="437"/>
        <w:rPr>
          <w:rFonts w:hint="eastAsia" w:ascii="宋体" w:hAnsi="宋体"/>
          <w:color w:val="auto"/>
          <w:szCs w:val="21"/>
          <w:highlight w:val="none"/>
        </w:rPr>
      </w:pPr>
      <w:r>
        <w:rPr>
          <w:rFonts w:hint="eastAsia" w:ascii="宋体" w:hAnsi="宋体"/>
          <w:color w:val="auto"/>
          <w:szCs w:val="21"/>
          <w:highlight w:val="none"/>
        </w:rPr>
        <w:t>（4）评标办法；</w:t>
      </w:r>
    </w:p>
    <w:p w14:paraId="5C82FEF8">
      <w:pPr>
        <w:tabs>
          <w:tab w:val="left" w:pos="2190"/>
        </w:tabs>
        <w:spacing w:line="340" w:lineRule="exact"/>
        <w:ind w:firstLine="437"/>
        <w:rPr>
          <w:rFonts w:hint="eastAsia" w:ascii="宋体" w:hAnsi="宋体"/>
          <w:color w:val="auto"/>
          <w:szCs w:val="21"/>
          <w:highlight w:val="none"/>
        </w:rPr>
      </w:pPr>
      <w:r>
        <w:rPr>
          <w:rFonts w:hint="eastAsia" w:ascii="宋体" w:hAnsi="宋体"/>
          <w:color w:val="auto"/>
          <w:szCs w:val="21"/>
          <w:highlight w:val="none"/>
        </w:rPr>
        <w:t>（5）政府采购合同（合同主要条款及格式）；</w:t>
      </w:r>
    </w:p>
    <w:p w14:paraId="4C0A9E43">
      <w:pPr>
        <w:tabs>
          <w:tab w:val="left" w:pos="2190"/>
        </w:tabs>
        <w:spacing w:line="340" w:lineRule="exact"/>
        <w:ind w:firstLine="437"/>
        <w:rPr>
          <w:rFonts w:hint="eastAsia" w:ascii="宋体" w:hAnsi="宋体"/>
          <w:color w:val="auto"/>
          <w:szCs w:val="21"/>
          <w:highlight w:val="none"/>
        </w:rPr>
      </w:pPr>
      <w:r>
        <w:rPr>
          <w:rFonts w:hint="eastAsia" w:ascii="宋体" w:hAnsi="宋体"/>
          <w:color w:val="auto"/>
          <w:szCs w:val="21"/>
          <w:highlight w:val="none"/>
        </w:rPr>
        <w:t>（6）投标文件（格式）。</w:t>
      </w:r>
    </w:p>
    <w:p w14:paraId="7D5A22C2">
      <w:pPr>
        <w:tabs>
          <w:tab w:val="left" w:pos="2190"/>
        </w:tabs>
        <w:spacing w:line="340" w:lineRule="exact"/>
        <w:ind w:firstLine="437"/>
        <w:rPr>
          <w:rFonts w:hint="eastAsia" w:ascii="宋体" w:hAnsi="宋体"/>
          <w:b/>
          <w:color w:val="auto"/>
          <w:szCs w:val="21"/>
          <w:highlight w:val="none"/>
        </w:rPr>
      </w:pPr>
      <w:r>
        <w:rPr>
          <w:rFonts w:hint="eastAsia" w:ascii="宋体" w:hAnsi="宋体"/>
          <w:b/>
          <w:color w:val="auto"/>
          <w:szCs w:val="21"/>
          <w:highlight w:val="none"/>
        </w:rPr>
        <w:t>12. 招标文件的澄清与修改</w:t>
      </w:r>
    </w:p>
    <w:p w14:paraId="1F6BBC1E">
      <w:pPr>
        <w:tabs>
          <w:tab w:val="left" w:pos="2190"/>
        </w:tabs>
        <w:spacing w:line="340" w:lineRule="exact"/>
        <w:ind w:firstLine="437"/>
        <w:rPr>
          <w:rFonts w:hint="eastAsia" w:ascii="宋体" w:hAnsi="宋体"/>
          <w:color w:val="auto"/>
          <w:szCs w:val="21"/>
          <w:highlight w:val="none"/>
        </w:rPr>
      </w:pPr>
      <w:r>
        <w:rPr>
          <w:rFonts w:hint="eastAsia" w:ascii="宋体" w:hAnsi="宋体"/>
          <w:color w:val="auto"/>
          <w:szCs w:val="21"/>
          <w:highlight w:val="none"/>
        </w:rPr>
        <w:t>12.1投标人必须认真阅读招标文件，发现其中有误或有不合理要求的，投标人必须在本项目公告期限届满之日起七个工作日内以书面形式要求采购代理机构澄清。</w:t>
      </w:r>
    </w:p>
    <w:p w14:paraId="06D5268C">
      <w:pPr>
        <w:tabs>
          <w:tab w:val="left" w:pos="2190"/>
        </w:tabs>
        <w:spacing w:line="340" w:lineRule="exact"/>
        <w:ind w:firstLine="437"/>
        <w:rPr>
          <w:rFonts w:hint="eastAsia" w:ascii="宋体" w:hAnsi="宋体"/>
          <w:color w:val="auto"/>
          <w:szCs w:val="21"/>
          <w:highlight w:val="none"/>
        </w:rPr>
      </w:pPr>
      <w:r>
        <w:rPr>
          <w:rFonts w:hint="eastAsia" w:ascii="宋体" w:hAnsi="宋体"/>
          <w:color w:val="auto"/>
          <w:szCs w:val="21"/>
          <w:highlight w:val="none"/>
        </w:rPr>
        <w:t>12.2</w:t>
      </w:r>
      <w:r>
        <w:rPr>
          <w:rFonts w:ascii="宋体" w:hAnsi="宋体"/>
          <w:color w:val="auto"/>
          <w:szCs w:val="21"/>
          <w:highlight w:val="none"/>
        </w:rPr>
        <w:t>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w:t>
      </w:r>
      <w:r>
        <w:rPr>
          <w:rFonts w:hint="eastAsia" w:ascii="宋体" w:hAnsi="宋体"/>
          <w:color w:val="auto"/>
          <w:szCs w:val="21"/>
          <w:highlight w:val="none"/>
        </w:rPr>
        <w:t>在本招标项目招标公告发布的同一媒体上发布更正公告</w:t>
      </w:r>
      <w:r>
        <w:rPr>
          <w:rFonts w:ascii="宋体" w:hAnsi="宋体"/>
          <w:color w:val="auto"/>
          <w:szCs w:val="21"/>
          <w:highlight w:val="none"/>
        </w:rPr>
        <w:t>；不足15日的，采购代理机构应当顺延提交投标文件的截止时间。</w:t>
      </w:r>
    </w:p>
    <w:p w14:paraId="65CFE388">
      <w:pPr>
        <w:tabs>
          <w:tab w:val="left" w:pos="2190"/>
        </w:tabs>
        <w:spacing w:line="340" w:lineRule="exact"/>
        <w:ind w:firstLine="437"/>
        <w:rPr>
          <w:rFonts w:hint="eastAsia" w:ascii="宋体" w:hAnsi="宋体"/>
          <w:b/>
          <w:color w:val="auto"/>
          <w:szCs w:val="21"/>
          <w:highlight w:val="none"/>
        </w:rPr>
      </w:pPr>
      <w:r>
        <w:rPr>
          <w:rFonts w:hint="eastAsia" w:ascii="宋体" w:hAnsi="宋体"/>
          <w:b/>
          <w:color w:val="auto"/>
          <w:szCs w:val="21"/>
          <w:highlight w:val="none"/>
        </w:rPr>
        <w:t>12.3投标人应实时关注本项目公告相关网站了解澄清、修改等与项目有关的内容，如因投标人未及时登录本项目公告相关网站了解澄清、修改等与项目有关的内容，从而导致投标无效的，由投标人自行承担责任。</w:t>
      </w:r>
    </w:p>
    <w:p w14:paraId="224D4EA3">
      <w:pPr>
        <w:tabs>
          <w:tab w:val="left" w:pos="2190"/>
        </w:tabs>
        <w:spacing w:line="340" w:lineRule="exact"/>
        <w:ind w:firstLine="437"/>
        <w:rPr>
          <w:rFonts w:hint="eastAsia" w:ascii="宋体" w:hAnsi="宋体"/>
          <w:color w:val="auto"/>
          <w:szCs w:val="21"/>
          <w:highlight w:val="none"/>
        </w:rPr>
      </w:pPr>
      <w:r>
        <w:rPr>
          <w:rFonts w:hint="eastAsia" w:ascii="宋体" w:hAnsi="宋体"/>
          <w:color w:val="auto"/>
          <w:szCs w:val="21"/>
          <w:highlight w:val="none"/>
        </w:rPr>
        <w:t>12.4必要的澄清、修改的内容为招标文件的组成部分。当澄清、修改通知就同一内容的表述不一致时，以最后发出的书面文件为准。</w:t>
      </w:r>
    </w:p>
    <w:p w14:paraId="39DD4712">
      <w:pPr>
        <w:tabs>
          <w:tab w:val="left" w:pos="2190"/>
        </w:tabs>
        <w:spacing w:line="340" w:lineRule="exact"/>
        <w:ind w:firstLine="437"/>
        <w:rPr>
          <w:rFonts w:hint="eastAsia" w:ascii="宋体" w:hAnsi="宋体"/>
          <w:color w:val="auto"/>
          <w:szCs w:val="21"/>
          <w:highlight w:val="none"/>
        </w:rPr>
      </w:pPr>
      <w:r>
        <w:rPr>
          <w:rFonts w:hint="eastAsia" w:ascii="宋体" w:hAnsi="宋体"/>
          <w:color w:val="auto"/>
          <w:szCs w:val="21"/>
          <w:highlight w:val="none"/>
        </w:rPr>
        <w:t>12.5招标文件的澄清、修改都应该通过采购代理机构以法定形式发布，采购人非通过本机构，不得擅自澄清、修改招标文件。</w:t>
      </w:r>
    </w:p>
    <w:p w14:paraId="48EDB343">
      <w:pPr>
        <w:tabs>
          <w:tab w:val="left" w:pos="2190"/>
        </w:tabs>
        <w:spacing w:line="340" w:lineRule="exact"/>
        <w:ind w:firstLine="437"/>
        <w:rPr>
          <w:rFonts w:hint="eastAsia" w:ascii="宋体" w:hAnsi="宋体"/>
          <w:color w:val="auto"/>
          <w:szCs w:val="21"/>
          <w:highlight w:val="none"/>
        </w:rPr>
      </w:pPr>
      <w:r>
        <w:rPr>
          <w:rFonts w:hint="eastAsia" w:ascii="宋体" w:hAnsi="宋体"/>
          <w:color w:val="auto"/>
          <w:szCs w:val="21"/>
          <w:highlight w:val="none"/>
        </w:rPr>
        <w:t>12.6采购人或者采购代理机构</w:t>
      </w:r>
      <w:r>
        <w:rPr>
          <w:rFonts w:hint="eastAsia" w:ascii="宋体" w:hAnsi="宋体"/>
          <w:color w:val="auto"/>
          <w:highlight w:val="none"/>
        </w:rPr>
        <w:t>可以视采购具体情况，延长投标截止时间和开标时间，并在</w:t>
      </w:r>
      <w:r>
        <w:rPr>
          <w:rFonts w:hint="eastAsia" w:ascii="宋体" w:hAnsi="宋体"/>
          <w:color w:val="auto"/>
          <w:szCs w:val="21"/>
          <w:highlight w:val="none"/>
        </w:rPr>
        <w:t>本项目招标公告发布的同一媒体上发布变更公告。</w:t>
      </w:r>
    </w:p>
    <w:p w14:paraId="5B60EC48">
      <w:pPr>
        <w:tabs>
          <w:tab w:val="left" w:pos="2190"/>
        </w:tabs>
        <w:spacing w:line="340" w:lineRule="exact"/>
        <w:ind w:firstLine="435"/>
        <w:rPr>
          <w:rFonts w:hint="eastAsia" w:ascii="宋体" w:hAnsi="宋体"/>
          <w:color w:val="auto"/>
          <w:szCs w:val="21"/>
          <w:highlight w:val="none"/>
        </w:rPr>
      </w:pPr>
    </w:p>
    <w:p w14:paraId="2355C57D">
      <w:pPr>
        <w:tabs>
          <w:tab w:val="left" w:pos="2190"/>
        </w:tabs>
        <w:spacing w:line="340" w:lineRule="exact"/>
        <w:ind w:firstLine="435"/>
        <w:jc w:val="center"/>
        <w:rPr>
          <w:rFonts w:hint="eastAsia" w:ascii="宋体" w:hAnsi="宋体"/>
          <w:b/>
          <w:color w:val="auto"/>
          <w:sz w:val="28"/>
          <w:szCs w:val="28"/>
          <w:highlight w:val="none"/>
        </w:rPr>
      </w:pPr>
      <w:r>
        <w:rPr>
          <w:rFonts w:hint="eastAsia" w:ascii="宋体" w:hAnsi="宋体"/>
          <w:b/>
          <w:color w:val="auto"/>
          <w:sz w:val="28"/>
          <w:szCs w:val="28"/>
          <w:highlight w:val="none"/>
        </w:rPr>
        <w:t>三、投标文件的编制</w:t>
      </w:r>
    </w:p>
    <w:p w14:paraId="02FC2104">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13. 投标文件的组成及要求</w:t>
      </w:r>
    </w:p>
    <w:p w14:paraId="130A21FB">
      <w:pPr>
        <w:tabs>
          <w:tab w:val="left" w:pos="2190"/>
        </w:tabs>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13.1投标文件组成【格式见第六章“投标文件（格式）”】</w:t>
      </w:r>
    </w:p>
    <w:p w14:paraId="570CD77B">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13.1.1资格性响应证明材料：</w:t>
      </w:r>
    </w:p>
    <w:p w14:paraId="1846CAB7">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（1）投标人相应的法定代表人身份证正反面复印件（必须提供）；</w:t>
      </w:r>
    </w:p>
    <w:p w14:paraId="15DD8FED">
      <w:pPr>
        <w:tabs>
          <w:tab w:val="left" w:pos="1305"/>
        </w:tabs>
        <w:spacing w:line="340" w:lineRule="exact"/>
        <w:ind w:firstLine="422" w:firstLineChars="200"/>
        <w:rPr>
          <w:rFonts w:hint="eastAsia" w:hAnsi="宋体"/>
          <w:b/>
          <w:color w:val="auto"/>
          <w:highlight w:val="none"/>
        </w:rPr>
      </w:pPr>
      <w:r>
        <w:rPr>
          <w:rFonts w:hint="eastAsia" w:ascii="宋体" w:hAnsi="宋体"/>
          <w:b/>
          <w:color w:val="auto"/>
          <w:szCs w:val="21"/>
          <w:highlight w:val="none"/>
        </w:rPr>
        <w:t>（2）</w:t>
      </w:r>
      <w:r>
        <w:rPr>
          <w:rFonts w:hint="eastAsia" w:hAnsi="宋体"/>
          <w:b/>
          <w:color w:val="auto"/>
          <w:highlight w:val="none"/>
        </w:rPr>
        <w:t>投标人的授权委托书、委托代理人身份证正反面复印件以及由县级以上（含县级）社会保险经办机构出具的投标人为委托代理人交纳的202</w:t>
      </w:r>
      <w:r>
        <w:rPr>
          <w:rFonts w:hint="eastAsia" w:hAnsi="宋体"/>
          <w:b/>
          <w:color w:val="auto"/>
          <w:highlight w:val="none"/>
          <w:lang w:val="en-US" w:eastAsia="zh-CN"/>
        </w:rPr>
        <w:t>5</w:t>
      </w:r>
      <w:r>
        <w:rPr>
          <w:rFonts w:hint="eastAsia" w:hAnsi="宋体"/>
          <w:b/>
          <w:color w:val="auto"/>
          <w:highlight w:val="none"/>
        </w:rPr>
        <w:t>年</w:t>
      </w:r>
      <w:r>
        <w:rPr>
          <w:rFonts w:hint="eastAsia" w:hAnsi="宋体"/>
          <w:b/>
          <w:color w:val="auto"/>
          <w:highlight w:val="none"/>
          <w:lang w:val="en-US" w:eastAsia="zh-CN"/>
        </w:rPr>
        <w:t>1</w:t>
      </w:r>
      <w:r>
        <w:rPr>
          <w:rFonts w:hint="eastAsia" w:hAnsi="宋体"/>
          <w:b/>
          <w:color w:val="auto"/>
          <w:highlight w:val="none"/>
        </w:rPr>
        <w:t>月以来任意一个月社保证明复印件（委托代理时，必须提供）；</w:t>
      </w:r>
    </w:p>
    <w:p w14:paraId="61C619D5">
      <w:pPr>
        <w:autoSpaceDE w:val="0"/>
        <w:autoSpaceDN w:val="0"/>
        <w:snapToGrid w:val="0"/>
        <w:spacing w:line="350" w:lineRule="exact"/>
        <w:ind w:firstLine="413" w:firstLineChars="196"/>
        <w:jc w:val="left"/>
        <w:rPr>
          <w:rFonts w:hint="eastAsia" w:ascii="宋体" w:hAnsi="宋体"/>
          <w:b/>
          <w:color w:val="auto"/>
          <w:szCs w:val="21"/>
          <w:highlight w:val="none"/>
        </w:rPr>
      </w:pPr>
      <w:r>
        <w:rPr>
          <w:rFonts w:hint="eastAsia" w:hAnsi="宋体"/>
          <w:b/>
          <w:color w:val="auto"/>
          <w:highlight w:val="none"/>
        </w:rPr>
        <w:t>注：①投标人为截标时间前60日以内成立的企业，可以提供投标人与委托代理人签订的劳动合同复印件代替社保证明复印件。②委托代理人为免缴纳社保人员，提供免缴纳社保的证明材料复印件及投标人与委托代理人签订的劳动合同复印件代替社保证明复印件。③自然人投标的，应提供由县级以上（含县级）社会保险经办机构出具的自然人本人及委托代理人所交纳的202</w:t>
      </w:r>
      <w:r>
        <w:rPr>
          <w:rFonts w:hint="eastAsia" w:hAnsi="宋体"/>
          <w:b/>
          <w:color w:val="auto"/>
          <w:highlight w:val="none"/>
          <w:lang w:val="en-US" w:eastAsia="zh-CN"/>
        </w:rPr>
        <w:t>5</w:t>
      </w:r>
      <w:r>
        <w:rPr>
          <w:rFonts w:hint="eastAsia" w:hAnsi="宋体"/>
          <w:b/>
          <w:color w:val="auto"/>
          <w:highlight w:val="none"/>
        </w:rPr>
        <w:t>年</w:t>
      </w:r>
      <w:r>
        <w:rPr>
          <w:rFonts w:hint="eastAsia" w:hAnsi="宋体"/>
          <w:b/>
          <w:color w:val="auto"/>
          <w:highlight w:val="none"/>
          <w:lang w:val="en-US" w:eastAsia="zh-CN"/>
        </w:rPr>
        <w:t>1</w:t>
      </w:r>
      <w:r>
        <w:rPr>
          <w:rFonts w:hint="eastAsia" w:hAnsi="宋体"/>
          <w:b/>
          <w:color w:val="auto"/>
          <w:highlight w:val="none"/>
        </w:rPr>
        <w:t>月以来任意一个月社保证明复印件。</w:t>
      </w:r>
    </w:p>
    <w:p w14:paraId="1EEC9262">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（3）投标人的法人或者其他组织营业执照等证明文件复印件（必须提供，自然人除外）；</w:t>
      </w:r>
    </w:p>
    <w:p w14:paraId="68CBA286">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注：①法人包括企业法人、机关法人、事业单位法人和社会团体法人；其他组织主要包括合伙企业、非企业专业服务机构、个体工商户、农村承包经营户。②如</w:t>
      </w:r>
      <w:r>
        <w:rPr>
          <w:rFonts w:hint="eastAsia" w:ascii="宋体" w:hAnsi="宋体"/>
          <w:b/>
          <w:color w:val="auto"/>
          <w:szCs w:val="21"/>
          <w:highlight w:val="none"/>
          <w:lang w:eastAsia="zh-CN"/>
        </w:rPr>
        <w:t>投标人</w:t>
      </w:r>
      <w:r>
        <w:rPr>
          <w:rFonts w:hint="eastAsia" w:ascii="宋体" w:hAnsi="宋体"/>
          <w:b/>
          <w:color w:val="auto"/>
          <w:szCs w:val="21"/>
          <w:highlight w:val="none"/>
        </w:rPr>
        <w:t>为企业（包括合伙企业）或个体工商户的，应提供市场监督管理部门（或行政审批部门）登记注册的有效“营业执照”；</w:t>
      </w:r>
      <w:r>
        <w:rPr>
          <w:rFonts w:hint="eastAsia" w:ascii="宋体" w:hAnsi="宋体"/>
          <w:b/>
          <w:color w:val="auto"/>
          <w:szCs w:val="21"/>
          <w:highlight w:val="none"/>
          <w:lang w:eastAsia="zh-CN"/>
        </w:rPr>
        <w:t>投标人</w:t>
      </w:r>
      <w:r>
        <w:rPr>
          <w:rFonts w:hint="eastAsia" w:ascii="宋体" w:hAnsi="宋体"/>
          <w:b/>
          <w:color w:val="auto"/>
          <w:szCs w:val="21"/>
          <w:highlight w:val="none"/>
        </w:rPr>
        <w:t>为事业单位的，应提供有效的“事业单位法人证书”；</w:t>
      </w:r>
      <w:r>
        <w:rPr>
          <w:rFonts w:hint="eastAsia" w:ascii="宋体" w:hAnsi="宋体"/>
          <w:b/>
          <w:color w:val="auto"/>
          <w:szCs w:val="21"/>
          <w:highlight w:val="none"/>
          <w:lang w:eastAsia="zh-CN"/>
        </w:rPr>
        <w:t>投标人</w:t>
      </w:r>
      <w:r>
        <w:rPr>
          <w:rFonts w:hint="eastAsia" w:ascii="宋体" w:hAnsi="宋体"/>
          <w:b/>
          <w:color w:val="auto"/>
          <w:szCs w:val="21"/>
          <w:highlight w:val="none"/>
        </w:rPr>
        <w:t>为非企业专业服务机构的，应提供执业许可证等证明文件。</w:t>
      </w:r>
    </w:p>
    <w:p w14:paraId="6099D7BB">
      <w:pPr>
        <w:numPr>
          <w:ilvl w:val="0"/>
          <w:numId w:val="5"/>
        </w:numPr>
        <w:autoSpaceDE w:val="0"/>
        <w:autoSpaceDN w:val="0"/>
        <w:snapToGrid w:val="0"/>
        <w:spacing w:line="350" w:lineRule="exact"/>
        <w:ind w:firstLine="413" w:firstLineChars="196"/>
        <w:jc w:val="left"/>
        <w:rPr>
          <w:rFonts w:hint="eastAsia" w:hAnsi="宋体"/>
          <w:b/>
          <w:color w:val="auto"/>
          <w:highlight w:val="none"/>
        </w:rPr>
      </w:pPr>
      <w:r>
        <w:rPr>
          <w:rFonts w:hint="eastAsia" w:hAnsi="宋体"/>
          <w:b/>
          <w:color w:val="auto"/>
          <w:highlight w:val="none"/>
        </w:rPr>
        <w:t>投标人涉及医疗器械管理的相关证明材料复印件（必须提供）；</w:t>
      </w:r>
    </w:p>
    <w:p w14:paraId="194BB0B1">
      <w:pPr>
        <w:autoSpaceDE w:val="0"/>
        <w:autoSpaceDN w:val="0"/>
        <w:snapToGrid w:val="0"/>
        <w:spacing w:line="350" w:lineRule="exact"/>
        <w:ind w:firstLine="422" w:firstLineChars="200"/>
        <w:jc w:val="left"/>
        <w:rPr>
          <w:rFonts w:hint="eastAsia" w:hAnsi="宋体"/>
          <w:b/>
          <w:color w:val="auto"/>
          <w:highlight w:val="none"/>
        </w:rPr>
      </w:pPr>
      <w:r>
        <w:rPr>
          <w:rFonts w:hint="eastAsia" w:hAnsi="宋体"/>
          <w:b/>
          <w:color w:val="auto"/>
          <w:highlight w:val="none"/>
        </w:rPr>
        <w:t>注：①本项目有第二类医疗器械的，应提供有效的医疗器械经营备案凭证（经营范围包含采购的第二类医疗器械），符合《医疗器械监督管理条例》（国务院令第739号）第四十一条第二款规定的除外；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w:t>
      </w:r>
    </w:p>
    <w:p w14:paraId="7D399A9B">
      <w:pPr>
        <w:autoSpaceDE w:val="0"/>
        <w:autoSpaceDN w:val="0"/>
        <w:snapToGrid w:val="0"/>
        <w:spacing w:line="350" w:lineRule="exact"/>
        <w:ind w:firstLine="413" w:firstLineChars="196"/>
        <w:jc w:val="left"/>
        <w:rPr>
          <w:rFonts w:hint="eastAsia" w:hAnsi="宋体"/>
          <w:b/>
          <w:color w:val="auto"/>
          <w:highlight w:val="none"/>
        </w:rPr>
      </w:pPr>
      <w:r>
        <w:rPr>
          <w:rFonts w:hint="eastAsia" w:hAnsi="宋体"/>
          <w:b/>
          <w:color w:val="auto"/>
          <w:highlight w:val="none"/>
        </w:rPr>
        <w:t>②本项目有第三类医疗器械的，应提供有效的医疗器械经营许可证（经营范围包含采购的第三类医疗器械）；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w:t>
      </w:r>
    </w:p>
    <w:p w14:paraId="68C15C61">
      <w:pPr>
        <w:autoSpaceDE w:val="0"/>
        <w:autoSpaceDN w:val="0"/>
        <w:snapToGrid w:val="0"/>
        <w:spacing w:line="350" w:lineRule="exact"/>
        <w:ind w:firstLine="413" w:firstLineChars="196"/>
        <w:jc w:val="left"/>
        <w:rPr>
          <w:rFonts w:hint="eastAsia" w:hAnsi="宋体"/>
          <w:b/>
          <w:color w:val="auto"/>
          <w:highlight w:val="none"/>
        </w:rPr>
      </w:pPr>
      <w:r>
        <w:rPr>
          <w:rFonts w:hint="eastAsia" w:hAnsi="宋体"/>
          <w:b/>
          <w:color w:val="auto"/>
          <w:highlight w:val="none"/>
        </w:rPr>
        <w:t>③本项目有第二类和第三类医疗器械的，应按上述①②要求提供。</w:t>
      </w:r>
    </w:p>
    <w:p w14:paraId="18D7FE58">
      <w:pPr>
        <w:numPr>
          <w:ilvl w:val="0"/>
          <w:numId w:val="6"/>
        </w:numPr>
        <w:autoSpaceDE w:val="0"/>
        <w:autoSpaceDN w:val="0"/>
        <w:snapToGrid w:val="0"/>
        <w:spacing w:line="350" w:lineRule="exact"/>
        <w:ind w:firstLine="413" w:firstLineChars="196"/>
        <w:jc w:val="left"/>
        <w:rPr>
          <w:rFonts w:hint="eastAsia" w:hAnsi="宋体"/>
          <w:b/>
          <w:color w:val="auto"/>
          <w:highlight w:val="none"/>
        </w:rPr>
      </w:pPr>
      <w:r>
        <w:rPr>
          <w:rFonts w:hint="eastAsia" w:hAnsi="宋体"/>
          <w:b/>
          <w:color w:val="auto"/>
          <w:highlight w:val="none"/>
        </w:rPr>
        <w:t>投标人财务状况报告（必须提供）；</w:t>
      </w:r>
    </w:p>
    <w:p w14:paraId="195350EC">
      <w:pPr>
        <w:autoSpaceDE w:val="0"/>
        <w:autoSpaceDN w:val="0"/>
        <w:snapToGrid w:val="0"/>
        <w:spacing w:line="350" w:lineRule="exact"/>
        <w:jc w:val="left"/>
        <w:rPr>
          <w:rFonts w:hint="eastAsia" w:hAnsi="宋体"/>
          <w:b/>
          <w:color w:val="auto"/>
          <w:highlight w:val="none"/>
        </w:rPr>
      </w:pPr>
      <w:r>
        <w:rPr>
          <w:rFonts w:hint="eastAsia" w:hAnsi="宋体"/>
          <w:b/>
          <w:color w:val="auto"/>
          <w:highlight w:val="none"/>
        </w:rPr>
        <w:t>　　注：投标人必须提供2023年度以来任意年度内的财务报表复印件，或者202</w:t>
      </w:r>
      <w:r>
        <w:rPr>
          <w:rFonts w:hint="eastAsia" w:hAnsi="宋体"/>
          <w:b/>
          <w:color w:val="auto"/>
          <w:highlight w:val="none"/>
          <w:lang w:val="en-US" w:eastAsia="zh-CN"/>
        </w:rPr>
        <w:t>5</w:t>
      </w:r>
      <w:r>
        <w:rPr>
          <w:rFonts w:hint="eastAsia" w:hAnsi="宋体"/>
          <w:b/>
          <w:color w:val="auto"/>
          <w:highlight w:val="none"/>
        </w:rPr>
        <w:t>年以来银行出具的资信证明，或者中国人民银行征信中心出具的信用报告（企业参与投标的提供企业信用报告，自然人参与投标的提供个人信用报告，投标人属于成立时间在规定年度之后的法人或其他组织，需提供成立之日起至投标文件递交截止时间前的月报表或银行出具的资信证明或者中国人民银行征信中心出具的企业信用报告；资信证明应在有效期内）。</w:t>
      </w:r>
    </w:p>
    <w:p w14:paraId="0F0329B4">
      <w:pPr>
        <w:numPr>
          <w:ilvl w:val="0"/>
          <w:numId w:val="6"/>
        </w:numPr>
        <w:autoSpaceDE w:val="0"/>
        <w:autoSpaceDN w:val="0"/>
        <w:snapToGrid w:val="0"/>
        <w:spacing w:line="350" w:lineRule="exact"/>
        <w:ind w:firstLine="413" w:firstLineChars="196"/>
        <w:jc w:val="left"/>
        <w:rPr>
          <w:rFonts w:hint="eastAsia" w:hAnsi="宋体"/>
          <w:b/>
          <w:color w:val="auto"/>
          <w:highlight w:val="none"/>
        </w:rPr>
      </w:pPr>
      <w:r>
        <w:rPr>
          <w:rFonts w:hint="eastAsia" w:hAnsi="宋体"/>
          <w:b/>
          <w:color w:val="auto"/>
          <w:highlight w:val="none"/>
        </w:rPr>
        <w:t>投标人依法缴纳税收的相关材料（必须提供）；</w:t>
      </w:r>
    </w:p>
    <w:p w14:paraId="4F06AC70">
      <w:pPr>
        <w:autoSpaceDE w:val="0"/>
        <w:autoSpaceDN w:val="0"/>
        <w:snapToGrid w:val="0"/>
        <w:spacing w:line="350" w:lineRule="exact"/>
        <w:ind w:left="412" w:leftChars="196"/>
        <w:jc w:val="left"/>
        <w:rPr>
          <w:rFonts w:hint="eastAsia" w:hAnsi="宋体"/>
          <w:b/>
          <w:color w:val="auto"/>
          <w:highlight w:val="none"/>
        </w:rPr>
      </w:pPr>
      <w:r>
        <w:rPr>
          <w:rFonts w:hint="eastAsia" w:hAnsi="宋体"/>
          <w:b/>
          <w:color w:val="auto"/>
          <w:highlight w:val="none"/>
        </w:rPr>
        <w:t>注：投标人必须提供202</w:t>
      </w:r>
      <w:r>
        <w:rPr>
          <w:rFonts w:hint="eastAsia" w:hAnsi="宋体"/>
          <w:b/>
          <w:color w:val="auto"/>
          <w:highlight w:val="none"/>
          <w:lang w:val="en-US" w:eastAsia="zh-CN"/>
        </w:rPr>
        <w:t>5</w:t>
      </w:r>
      <w:r>
        <w:rPr>
          <w:rFonts w:hint="eastAsia" w:hAnsi="宋体"/>
          <w:b/>
          <w:color w:val="auto"/>
          <w:highlight w:val="none"/>
        </w:rPr>
        <w:t>年</w:t>
      </w:r>
      <w:r>
        <w:rPr>
          <w:rFonts w:hint="eastAsia" w:hAnsi="宋体"/>
          <w:b/>
          <w:color w:val="auto"/>
          <w:highlight w:val="none"/>
          <w:lang w:val="en-US" w:eastAsia="zh-CN"/>
        </w:rPr>
        <w:t>1</w:t>
      </w:r>
      <w:r>
        <w:rPr>
          <w:rFonts w:hint="eastAsia" w:hAnsi="宋体"/>
          <w:b/>
          <w:color w:val="auto"/>
          <w:highlight w:val="none"/>
        </w:rPr>
        <w:t>月以来任意1个月的依法缴纳税收的证明材料复印件；依法免税的投标</w:t>
      </w:r>
    </w:p>
    <w:p w14:paraId="3665F514">
      <w:pPr>
        <w:autoSpaceDE w:val="0"/>
        <w:autoSpaceDN w:val="0"/>
        <w:snapToGrid w:val="0"/>
        <w:spacing w:line="350" w:lineRule="exact"/>
        <w:jc w:val="left"/>
        <w:rPr>
          <w:rFonts w:hint="eastAsia" w:hAnsi="宋体"/>
          <w:b/>
          <w:color w:val="auto"/>
          <w:highlight w:val="none"/>
        </w:rPr>
      </w:pPr>
      <w:r>
        <w:rPr>
          <w:rFonts w:hint="eastAsia" w:hAnsi="宋体"/>
          <w:b/>
          <w:color w:val="auto"/>
          <w:highlight w:val="none"/>
        </w:rPr>
        <w:t>人，必须提供符合免税条件的证明材料。从成立之日起到投标文件提交截止时间止不足要求月数的，则无需提交。</w:t>
      </w:r>
    </w:p>
    <w:p w14:paraId="3CB3E10A">
      <w:pPr>
        <w:numPr>
          <w:ilvl w:val="0"/>
          <w:numId w:val="6"/>
        </w:numPr>
        <w:autoSpaceDE w:val="0"/>
        <w:autoSpaceDN w:val="0"/>
        <w:snapToGrid w:val="0"/>
        <w:spacing w:line="350" w:lineRule="exact"/>
        <w:ind w:firstLine="413" w:firstLineChars="196"/>
        <w:jc w:val="left"/>
        <w:rPr>
          <w:rFonts w:hint="eastAsia" w:hAnsi="宋体"/>
          <w:b/>
          <w:color w:val="auto"/>
          <w:highlight w:val="none"/>
        </w:rPr>
      </w:pPr>
      <w:r>
        <w:rPr>
          <w:rFonts w:hint="eastAsia" w:hAnsi="宋体"/>
          <w:b/>
          <w:color w:val="auto"/>
          <w:highlight w:val="none"/>
        </w:rPr>
        <w:t>投标人依法缴纳社会保障资金的相关材料（必须提供）；　</w:t>
      </w:r>
    </w:p>
    <w:p w14:paraId="00E76754">
      <w:pPr>
        <w:autoSpaceDE w:val="0"/>
        <w:autoSpaceDN w:val="0"/>
        <w:snapToGrid w:val="0"/>
        <w:spacing w:line="350" w:lineRule="exact"/>
        <w:ind w:left="412" w:leftChars="196"/>
        <w:jc w:val="left"/>
        <w:rPr>
          <w:rFonts w:hint="eastAsia" w:hAnsi="宋体"/>
          <w:b/>
          <w:color w:val="auto"/>
          <w:highlight w:val="none"/>
        </w:rPr>
      </w:pPr>
      <w:r>
        <w:rPr>
          <w:rFonts w:hint="eastAsia" w:hAnsi="宋体"/>
          <w:b/>
          <w:color w:val="auto"/>
          <w:highlight w:val="none"/>
        </w:rPr>
        <w:t>注：投标人必须提供</w:t>
      </w:r>
      <w:r>
        <w:rPr>
          <w:rFonts w:hint="eastAsia" w:hAnsi="宋体"/>
          <w:b/>
          <w:color w:val="auto"/>
          <w:highlight w:val="none"/>
          <w:lang w:eastAsia="zh-CN"/>
        </w:rPr>
        <w:t>2025年1月</w:t>
      </w:r>
      <w:r>
        <w:rPr>
          <w:rFonts w:hint="eastAsia" w:hAnsi="宋体"/>
          <w:b/>
          <w:color w:val="auto"/>
          <w:highlight w:val="none"/>
        </w:rPr>
        <w:t>以来任意1个月的依法缴纳社会保障资金的缴费证明材料（如：专用</w:t>
      </w:r>
    </w:p>
    <w:p w14:paraId="58F5C29B">
      <w:pPr>
        <w:autoSpaceDE w:val="0"/>
        <w:autoSpaceDN w:val="0"/>
        <w:snapToGrid w:val="0"/>
        <w:spacing w:line="350" w:lineRule="exact"/>
        <w:jc w:val="left"/>
        <w:rPr>
          <w:rFonts w:hint="eastAsia" w:hAnsi="宋体"/>
          <w:b/>
          <w:color w:val="auto"/>
          <w:highlight w:val="none"/>
        </w:rPr>
      </w:pPr>
      <w:r>
        <w:rPr>
          <w:rFonts w:hint="eastAsia" w:hAnsi="宋体"/>
          <w:b/>
          <w:color w:val="auto"/>
          <w:highlight w:val="none"/>
        </w:rPr>
        <w:t>收据、社会保险缴纳清单或者社保部门的证明）复印件；依法不需要缴纳社会保障资金的投标人，必须提供相应文件证明不需要缴纳社会保障资金。从成立之日起到投标文件提交截止时间止不足要求月数的，则无需提交。</w:t>
      </w:r>
    </w:p>
    <w:p w14:paraId="57BC257E">
      <w:pPr>
        <w:autoSpaceDE w:val="0"/>
        <w:autoSpaceDN w:val="0"/>
        <w:snapToGrid w:val="0"/>
        <w:spacing w:line="350" w:lineRule="exact"/>
        <w:ind w:firstLine="413" w:firstLineChars="196"/>
        <w:jc w:val="left"/>
        <w:rPr>
          <w:rFonts w:hint="eastAsia" w:hAnsi="宋体"/>
          <w:b/>
          <w:color w:val="auto"/>
          <w:highlight w:val="none"/>
        </w:rPr>
      </w:pPr>
      <w:r>
        <w:rPr>
          <w:rFonts w:hint="eastAsia" w:hAnsi="宋体"/>
          <w:b/>
          <w:color w:val="auto"/>
          <w:highlight w:val="none"/>
        </w:rPr>
        <w:t>（8）投标人参加政府采购活动前3年内在经营活动中没有重大违法记录及有关信用信息的书面声明（必须提供）；</w:t>
      </w:r>
    </w:p>
    <w:p w14:paraId="2A3C33CF">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（9）投标人参加本项目无围标串标行为的承诺函（必须提供）。</w:t>
      </w:r>
    </w:p>
    <w:p w14:paraId="313C7B83">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13.1.2商务、技术性响应证明材料：</w:t>
      </w:r>
    </w:p>
    <w:p w14:paraId="1288CA08">
      <w:pPr>
        <w:tabs>
          <w:tab w:val="left" w:pos="1305"/>
        </w:tabs>
        <w:spacing w:line="360" w:lineRule="exact"/>
        <w:ind w:left="420"/>
        <w:rPr>
          <w:rFonts w:hint="eastAsia" w:ascii="宋体" w:hAnsi="宋体"/>
          <w:b/>
          <w:color w:val="auto"/>
          <w:szCs w:val="21"/>
          <w:highlight w:val="none"/>
        </w:rPr>
      </w:pPr>
      <w:r>
        <w:rPr>
          <w:rFonts w:hint="eastAsia" w:ascii="宋体" w:hAnsi="宋体"/>
          <w:b/>
          <w:color w:val="auto"/>
          <w:szCs w:val="21"/>
          <w:highlight w:val="none"/>
        </w:rPr>
        <w:t>（1）投标函（必须提供）；</w:t>
      </w:r>
    </w:p>
    <w:p w14:paraId="5996B071">
      <w:pPr>
        <w:tabs>
          <w:tab w:val="left" w:pos="1305"/>
        </w:tabs>
        <w:spacing w:line="360" w:lineRule="exact"/>
        <w:ind w:left="420"/>
        <w:rPr>
          <w:rFonts w:hint="eastAsia" w:ascii="宋体" w:hAnsi="宋体"/>
          <w:b/>
          <w:color w:val="auto"/>
          <w:szCs w:val="21"/>
          <w:highlight w:val="none"/>
        </w:rPr>
      </w:pPr>
      <w:r>
        <w:rPr>
          <w:rFonts w:hint="eastAsia" w:ascii="宋体" w:hAnsi="宋体"/>
          <w:b/>
          <w:color w:val="auto"/>
          <w:szCs w:val="21"/>
          <w:highlight w:val="none"/>
        </w:rPr>
        <w:t>（2）投标报价表（必须提供）；</w:t>
      </w:r>
    </w:p>
    <w:p w14:paraId="4EAF0586">
      <w:pPr>
        <w:tabs>
          <w:tab w:val="left" w:pos="1305"/>
        </w:tabs>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（3）技术偏离表（必须提供）；</w:t>
      </w:r>
    </w:p>
    <w:p w14:paraId="43EC5CF7">
      <w:pPr>
        <w:tabs>
          <w:tab w:val="left" w:pos="1305"/>
        </w:tabs>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（4）商务响应表（必须提供）；</w:t>
      </w:r>
    </w:p>
    <w:p w14:paraId="0578B03C">
      <w:pPr>
        <w:tabs>
          <w:tab w:val="left" w:pos="1305"/>
        </w:tabs>
        <w:spacing w:line="360" w:lineRule="exact"/>
        <w:ind w:left="420" w:leftChars="200" w:firstLine="0" w:firstLineChars="0"/>
        <w:rPr>
          <w:rFonts w:hint="eastAsia" w:ascii="宋体" w:hAnsi="宋体"/>
          <w:b/>
          <w:color w:val="auto"/>
          <w:highlight w:val="none"/>
        </w:rPr>
      </w:pPr>
      <w:r>
        <w:rPr>
          <w:rFonts w:hint="eastAsia" w:ascii="宋体" w:hAnsi="宋体"/>
          <w:b/>
          <w:color w:val="auto"/>
          <w:szCs w:val="21"/>
          <w:highlight w:val="none"/>
        </w:rPr>
        <w:t>（5）“采购需求”中要求必须提供的有效证明文件（“采购需求”中要求必须提供的，必须提供）。注：“采购需求”中要求必须提供的有效证明文件包括但不限于：投标人</w:t>
      </w:r>
      <w:r>
        <w:rPr>
          <w:rFonts w:hint="eastAsia" w:ascii="宋体" w:hAnsi="宋体"/>
          <w:b/>
          <w:color w:val="auto"/>
          <w:highlight w:val="none"/>
        </w:rPr>
        <w:t>所投</w:t>
      </w:r>
      <w:r>
        <w:rPr>
          <w:rFonts w:hint="eastAsia" w:ascii="宋体" w:hAnsi="宋体"/>
          <w:b/>
          <w:color w:val="auto"/>
          <w:highlight w:val="none"/>
          <w:lang w:eastAsia="zh-CN"/>
        </w:rPr>
        <w:t>产品</w:t>
      </w:r>
      <w:r>
        <w:rPr>
          <w:rFonts w:hint="eastAsia" w:ascii="宋体" w:hAnsi="宋体"/>
          <w:b/>
          <w:color w:val="auto"/>
          <w:highlight w:val="none"/>
        </w:rPr>
        <w:t>相应有效的《中华人民共和国医疗器械注册证》复印件（必须包括产品相应的许可事项和登记事项，否则，应附注册登记表或认可表资料，要求清晰反映相关内容）。</w:t>
      </w:r>
    </w:p>
    <w:p w14:paraId="6DF1966B">
      <w:pPr>
        <w:tabs>
          <w:tab w:val="left" w:pos="1305"/>
        </w:tabs>
        <w:spacing w:line="360" w:lineRule="exact"/>
        <w:ind w:firstLine="420" w:firstLineChars="200"/>
        <w:rPr>
          <w:rFonts w:hint="eastAsia" w:ascii="宋体" w:hAnsi="宋体" w:eastAsia="宋体"/>
          <w:b/>
          <w:color w:val="auto"/>
          <w:highlight w:val="none"/>
          <w:lang w:eastAsia="zh-CN"/>
        </w:rPr>
      </w:pPr>
      <w:r>
        <w:rPr>
          <w:rFonts w:hint="eastAsia" w:ascii="宋体" w:hAnsi="宋体"/>
          <w:b w:val="0"/>
          <w:bCs/>
          <w:color w:val="auto"/>
          <w:highlight w:val="none"/>
          <w:lang w:eastAsia="zh-CN"/>
        </w:rPr>
        <w:t>（</w:t>
      </w:r>
      <w:r>
        <w:rPr>
          <w:rFonts w:hint="eastAsia" w:ascii="宋体" w:hAnsi="宋体"/>
          <w:b w:val="0"/>
          <w:bCs/>
          <w:color w:val="auto"/>
          <w:highlight w:val="none"/>
          <w:lang w:val="en-US" w:eastAsia="zh-CN"/>
        </w:rPr>
        <w:t>6</w:t>
      </w:r>
      <w:r>
        <w:rPr>
          <w:rFonts w:hint="eastAsia" w:ascii="宋体" w:hAnsi="宋体"/>
          <w:b w:val="0"/>
          <w:bCs/>
          <w:color w:val="auto"/>
          <w:highlight w:val="none"/>
          <w:lang w:eastAsia="zh-CN"/>
        </w:rPr>
        <w:t>）项目实施方案</w:t>
      </w:r>
      <w:r>
        <w:rPr>
          <w:rFonts w:hint="eastAsia" w:hAnsi="宋体"/>
          <w:b/>
          <w:color w:val="auto"/>
          <w:szCs w:val="21"/>
          <w:highlight w:val="none"/>
        </w:rPr>
        <w:t>（如有，请提供）</w:t>
      </w:r>
      <w:r>
        <w:rPr>
          <w:rFonts w:hint="eastAsia" w:hAnsi="宋体"/>
          <w:b/>
          <w:color w:val="auto"/>
          <w:szCs w:val="21"/>
          <w:highlight w:val="none"/>
          <w:lang w:eastAsia="zh-CN"/>
        </w:rPr>
        <w:t>；</w:t>
      </w:r>
    </w:p>
    <w:p w14:paraId="0905D117">
      <w:pPr>
        <w:tabs>
          <w:tab w:val="left" w:pos="1305"/>
        </w:tabs>
        <w:spacing w:line="360" w:lineRule="exact"/>
        <w:ind w:firstLine="420" w:firstLineChars="200"/>
        <w:rPr>
          <w:rFonts w:hint="eastAsia" w:ascii="Times New Roman" w:hAnsi="宋体" w:eastAsia="宋体" w:cs="宋体"/>
          <w:color w:val="auto"/>
          <w:szCs w:val="21"/>
          <w:highlight w:val="none"/>
          <w:lang w:eastAsia="zh-CN"/>
        </w:rPr>
      </w:pPr>
      <w:r>
        <w:rPr>
          <w:rFonts w:hint="eastAsia" w:ascii="Times New Roman" w:hAnsi="宋体" w:eastAsia="宋体" w:cs="宋体"/>
          <w:color w:val="auto"/>
          <w:szCs w:val="21"/>
          <w:highlight w:val="none"/>
          <w:lang w:eastAsia="zh-CN"/>
        </w:rPr>
        <w:t>注：项目实施方案包含但不限于：项目实施方案包含但不限于：①配送计划；②安装方案；③设备调试；④设备试运行等。</w:t>
      </w:r>
    </w:p>
    <w:p w14:paraId="5108A10F">
      <w:pPr>
        <w:tabs>
          <w:tab w:val="left" w:pos="1305"/>
        </w:tabs>
        <w:spacing w:line="360" w:lineRule="exact"/>
        <w:ind w:firstLine="420" w:firstLineChars="200"/>
        <w:rPr>
          <w:rFonts w:hint="eastAsia" w:hAnsi="宋体"/>
          <w:b/>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w:t>
      </w:r>
      <w:r>
        <w:rPr>
          <w:rFonts w:hint="eastAsia" w:ascii="宋体" w:hAnsi="宋体" w:cs="宋体"/>
          <w:bCs/>
          <w:color w:val="auto"/>
          <w:szCs w:val="21"/>
          <w:highlight w:val="none"/>
        </w:rPr>
        <w:t>售后服务实施方案</w:t>
      </w:r>
      <w:r>
        <w:rPr>
          <w:rFonts w:hint="eastAsia" w:hAnsi="宋体"/>
          <w:b/>
          <w:color w:val="auto"/>
          <w:szCs w:val="21"/>
          <w:highlight w:val="none"/>
        </w:rPr>
        <w:t>（如有，请提供）；</w:t>
      </w:r>
    </w:p>
    <w:p w14:paraId="743C7625">
      <w:pPr>
        <w:tabs>
          <w:tab w:val="left" w:pos="1305"/>
        </w:tabs>
        <w:spacing w:line="360" w:lineRule="exact"/>
        <w:ind w:firstLine="420" w:firstLineChars="200"/>
        <w:rPr>
          <w:rFonts w:hint="eastAsia" w:hAnsi="宋体"/>
          <w:color w:val="auto"/>
          <w:spacing w:val="-4"/>
          <w:highlight w:val="none"/>
        </w:rPr>
      </w:pPr>
      <w:r>
        <w:rPr>
          <w:rFonts w:hint="eastAsia" w:ascii="宋体" w:hAnsi="宋体" w:eastAsia="宋体" w:cs="宋体"/>
          <w:bCs/>
          <w:color w:val="auto"/>
          <w:szCs w:val="21"/>
          <w:highlight w:val="none"/>
        </w:rPr>
        <w:t>注：售后服务实施方案包含但不限于：①售后人员配备情况；</w:t>
      </w:r>
      <w:r>
        <w:rPr>
          <w:rFonts w:hint="eastAsia" w:hAnsi="宋体"/>
          <w:color w:val="auto"/>
          <w:spacing w:val="-4"/>
          <w:highlight w:val="none"/>
        </w:rPr>
        <w:t>②</w:t>
      </w:r>
      <w:r>
        <w:rPr>
          <w:rFonts w:hint="eastAsia" w:hAnsi="宋体" w:cs="宋体"/>
          <w:color w:val="auto"/>
          <w:kern w:val="0"/>
          <w:szCs w:val="21"/>
          <w:highlight w:val="none"/>
        </w:rPr>
        <w:t xml:space="preserve">定期维护 </w:t>
      </w:r>
      <w:r>
        <w:rPr>
          <w:rFonts w:hint="eastAsia" w:hAnsi="宋体" w:cs="宋体"/>
          <w:color w:val="auto"/>
          <w:kern w:val="0"/>
          <w:szCs w:val="21"/>
          <w:highlight w:val="none"/>
          <w:lang w:eastAsia="zh-CN"/>
        </w:rPr>
        <w:t>（</w:t>
      </w:r>
      <w:r>
        <w:rPr>
          <w:rFonts w:hint="eastAsia" w:hAnsi="宋体" w:cs="宋体"/>
          <w:color w:val="auto"/>
          <w:kern w:val="0"/>
          <w:szCs w:val="21"/>
          <w:highlight w:val="none"/>
        </w:rPr>
        <w:t>注明时间</w:t>
      </w:r>
      <w:r>
        <w:rPr>
          <w:rFonts w:hint="eastAsia" w:hAnsi="宋体" w:cs="宋体"/>
          <w:color w:val="auto"/>
          <w:kern w:val="0"/>
          <w:szCs w:val="21"/>
          <w:highlight w:val="none"/>
          <w:lang w:eastAsia="zh-CN"/>
        </w:rPr>
        <w:t>）</w:t>
      </w:r>
      <w:r>
        <w:rPr>
          <w:rFonts w:hint="eastAsia" w:hAnsi="宋体" w:cs="宋体"/>
          <w:color w:val="auto"/>
          <w:kern w:val="0"/>
          <w:szCs w:val="21"/>
          <w:highlight w:val="none"/>
        </w:rPr>
        <w:t>方案、</w:t>
      </w:r>
      <w:r>
        <w:rPr>
          <w:rFonts w:hint="eastAsia" w:hAnsi="宋体"/>
          <w:color w:val="auto"/>
          <w:spacing w:val="-4"/>
          <w:highlight w:val="none"/>
        </w:rPr>
        <w:t>保修期外维修方案；③技术培训方案；</w:t>
      </w:r>
    </w:p>
    <w:p w14:paraId="03D93A0B">
      <w:pPr>
        <w:tabs>
          <w:tab w:val="left" w:pos="1305"/>
        </w:tabs>
        <w:spacing w:line="360" w:lineRule="exact"/>
        <w:rPr>
          <w:rFonts w:hint="eastAsia" w:ascii="宋体" w:hAnsi="宋体"/>
          <w:color w:val="auto"/>
          <w:highlight w:val="none"/>
        </w:rPr>
      </w:pPr>
      <w:r>
        <w:rPr>
          <w:rFonts w:hint="eastAsia" w:hAnsi="宋体"/>
          <w:color w:val="auto"/>
          <w:spacing w:val="-4"/>
          <w:highlight w:val="none"/>
        </w:rPr>
        <w:t>④</w:t>
      </w:r>
      <w:r>
        <w:rPr>
          <w:rFonts w:hint="eastAsia" w:hAnsi="宋体" w:cs="宋体"/>
          <w:color w:val="auto"/>
          <w:kern w:val="0"/>
          <w:szCs w:val="21"/>
          <w:highlight w:val="none"/>
        </w:rPr>
        <w:t>其他实质性优惠措施</w:t>
      </w:r>
      <w:r>
        <w:rPr>
          <w:rFonts w:hint="eastAsia" w:hAnsi="宋体"/>
          <w:color w:val="auto"/>
          <w:spacing w:val="-4"/>
          <w:highlight w:val="none"/>
        </w:rPr>
        <w:t>等</w:t>
      </w:r>
      <w:r>
        <w:rPr>
          <w:rFonts w:hint="eastAsia" w:hAnsi="宋体"/>
          <w:color w:val="auto"/>
          <w:spacing w:val="-4"/>
          <w:highlight w:val="none"/>
          <w:lang w:eastAsia="zh-CN"/>
        </w:rPr>
        <w:t>。</w:t>
      </w:r>
    </w:p>
    <w:p w14:paraId="57927811">
      <w:pPr>
        <w:snapToGrid w:val="0"/>
        <w:spacing w:line="360" w:lineRule="exact"/>
        <w:ind w:firstLine="420" w:firstLineChars="200"/>
        <w:outlineLvl w:val="4"/>
        <w:rPr>
          <w:rFonts w:hint="eastAsia" w:ascii="宋体" w:hAnsi="宋体"/>
          <w:b/>
          <w:color w:val="auto"/>
          <w:szCs w:val="21"/>
          <w:highlight w:val="none"/>
        </w:rPr>
      </w:pPr>
      <w:r>
        <w:rPr>
          <w:rFonts w:hint="eastAsia" w:ascii="宋体" w:hAnsi="宋体"/>
          <w:color w:val="auto"/>
          <w:szCs w:val="20"/>
          <w:highlight w:val="none"/>
        </w:rPr>
        <w:t>（</w:t>
      </w:r>
      <w:r>
        <w:rPr>
          <w:rFonts w:hint="eastAsia" w:ascii="宋体" w:hAnsi="宋体"/>
          <w:color w:val="auto"/>
          <w:szCs w:val="20"/>
          <w:highlight w:val="none"/>
          <w:lang w:val="en-US" w:eastAsia="zh-CN"/>
        </w:rPr>
        <w:t>8</w:t>
      </w:r>
      <w:r>
        <w:rPr>
          <w:rFonts w:hint="eastAsia" w:ascii="宋体" w:hAnsi="宋体"/>
          <w:color w:val="auto"/>
          <w:szCs w:val="20"/>
          <w:highlight w:val="none"/>
        </w:rPr>
        <w:t>）“采购需求中”有关</w:t>
      </w:r>
      <w:r>
        <w:rPr>
          <w:rFonts w:hint="eastAsia" w:ascii="宋体" w:hAnsi="宋体"/>
          <w:color w:val="auto"/>
          <w:szCs w:val="21"/>
          <w:highlight w:val="none"/>
        </w:rPr>
        <w:t>履约能力的相关证明材料复印件</w:t>
      </w:r>
      <w:r>
        <w:rPr>
          <w:rFonts w:hint="eastAsia" w:ascii="宋体" w:hAnsi="宋体"/>
          <w:b/>
          <w:color w:val="auto"/>
          <w:szCs w:val="21"/>
          <w:highlight w:val="none"/>
        </w:rPr>
        <w:t>（如有，请提供）；</w:t>
      </w:r>
    </w:p>
    <w:p w14:paraId="7E399945">
      <w:pPr>
        <w:snapToGrid w:val="0"/>
        <w:spacing w:line="360" w:lineRule="exact"/>
        <w:ind w:firstLine="420" w:firstLineChars="200"/>
        <w:outlineLvl w:val="4"/>
        <w:rPr>
          <w:rFonts w:hint="eastAsia" w:ascii="宋体" w:hAnsi="宋体"/>
          <w:b/>
          <w:color w:val="auto"/>
          <w:szCs w:val="21"/>
          <w:highlight w:val="none"/>
        </w:rPr>
      </w:pPr>
      <w:r>
        <w:rPr>
          <w:rFonts w:hint="eastAsia" w:ascii="宋体" w:hAnsi="宋体"/>
          <w:color w:val="auto"/>
          <w:szCs w:val="20"/>
          <w:highlight w:val="none"/>
        </w:rPr>
        <w:t>（</w:t>
      </w:r>
      <w:r>
        <w:rPr>
          <w:rFonts w:hint="eastAsia" w:ascii="宋体" w:hAnsi="宋体"/>
          <w:color w:val="auto"/>
          <w:szCs w:val="20"/>
          <w:highlight w:val="none"/>
          <w:lang w:val="en-US" w:eastAsia="zh-CN"/>
        </w:rPr>
        <w:t>9</w:t>
      </w:r>
      <w:r>
        <w:rPr>
          <w:rFonts w:hint="eastAsia" w:ascii="宋体" w:hAnsi="宋体"/>
          <w:color w:val="auto"/>
          <w:szCs w:val="20"/>
          <w:highlight w:val="none"/>
        </w:rPr>
        <w:t>）</w:t>
      </w:r>
      <w:r>
        <w:rPr>
          <w:rFonts w:hint="eastAsia" w:ascii="宋体" w:hAnsi="宋体"/>
          <w:color w:val="auto"/>
          <w:szCs w:val="21"/>
          <w:highlight w:val="none"/>
        </w:rPr>
        <w:t>政策性加分证明材料复印件</w:t>
      </w:r>
      <w:r>
        <w:rPr>
          <w:rFonts w:hint="eastAsia" w:ascii="宋体" w:hAnsi="宋体"/>
          <w:b/>
          <w:color w:val="auto"/>
          <w:szCs w:val="21"/>
          <w:highlight w:val="none"/>
        </w:rPr>
        <w:t>（如有，请提供）：</w:t>
      </w:r>
    </w:p>
    <w:p w14:paraId="16A3EFDD">
      <w:pPr>
        <w:snapToGrid w:val="0"/>
        <w:spacing w:line="360" w:lineRule="exact"/>
        <w:ind w:firstLine="420" w:firstLineChars="200"/>
        <w:outlineLvl w:val="4"/>
        <w:rPr>
          <w:rFonts w:hint="eastAsia" w:ascii="宋体" w:hAnsi="宋体"/>
          <w:color w:val="auto"/>
          <w:szCs w:val="20"/>
          <w:highlight w:val="none"/>
        </w:rPr>
      </w:pPr>
      <w:r>
        <w:rPr>
          <w:rFonts w:hint="eastAsia" w:ascii="宋体" w:hAnsi="宋体"/>
          <w:color w:val="auto"/>
          <w:szCs w:val="20"/>
          <w:highlight w:val="none"/>
        </w:rPr>
        <w:t>注：①节能产品加分：属于财政部《节能产品政府采购品目清单》内优先采购（清单内未标注“★”的品目）的产品</w:t>
      </w:r>
      <w:r>
        <w:rPr>
          <w:rFonts w:hint="eastAsia" w:ascii="宋体" w:hAnsi="宋体"/>
          <w:color w:val="auto"/>
          <w:szCs w:val="20"/>
          <w:highlight w:val="none"/>
          <w:lang w:eastAsia="zh-CN"/>
        </w:rPr>
        <w:t>（</w:t>
      </w:r>
      <w:r>
        <w:rPr>
          <w:rFonts w:hint="eastAsia" w:ascii="宋体" w:hAnsi="宋体"/>
          <w:color w:val="auto"/>
          <w:szCs w:val="20"/>
          <w:highlight w:val="none"/>
        </w:rPr>
        <w:t>投标文件中提供有效的认证证书复印件，并加盖投标人电子签章</w:t>
      </w:r>
      <w:r>
        <w:rPr>
          <w:rFonts w:hint="eastAsia" w:ascii="宋体" w:hAnsi="宋体"/>
          <w:color w:val="auto"/>
          <w:szCs w:val="20"/>
          <w:highlight w:val="none"/>
          <w:lang w:eastAsia="zh-CN"/>
        </w:rPr>
        <w:t>）</w:t>
      </w:r>
      <w:r>
        <w:rPr>
          <w:rFonts w:hint="eastAsia" w:ascii="宋体" w:hAnsi="宋体"/>
          <w:color w:val="auto"/>
          <w:szCs w:val="20"/>
          <w:highlight w:val="none"/>
        </w:rPr>
        <w:t>。</w:t>
      </w:r>
    </w:p>
    <w:p w14:paraId="3ADADE32">
      <w:pPr>
        <w:snapToGrid w:val="0"/>
        <w:spacing w:line="360" w:lineRule="exact"/>
        <w:ind w:firstLine="420" w:firstLineChars="200"/>
        <w:outlineLvl w:val="4"/>
        <w:rPr>
          <w:rFonts w:hint="eastAsia" w:ascii="宋体" w:hAnsi="宋体"/>
          <w:color w:val="auto"/>
          <w:szCs w:val="20"/>
          <w:highlight w:val="none"/>
        </w:rPr>
      </w:pPr>
      <w:r>
        <w:rPr>
          <w:rFonts w:hint="eastAsia" w:ascii="宋体" w:hAnsi="宋体"/>
          <w:color w:val="auto"/>
          <w:szCs w:val="20"/>
          <w:highlight w:val="none"/>
        </w:rPr>
        <w:t>②环境标志产品加分：属于财政部《环境标志产品政府采购品目清单》内的产品</w:t>
      </w:r>
      <w:r>
        <w:rPr>
          <w:rFonts w:hint="eastAsia" w:ascii="宋体" w:hAnsi="宋体"/>
          <w:color w:val="auto"/>
          <w:szCs w:val="20"/>
          <w:highlight w:val="none"/>
          <w:lang w:eastAsia="zh-CN"/>
        </w:rPr>
        <w:t>（</w:t>
      </w:r>
      <w:r>
        <w:rPr>
          <w:rFonts w:hint="eastAsia" w:ascii="宋体" w:hAnsi="宋体"/>
          <w:color w:val="auto"/>
          <w:szCs w:val="20"/>
          <w:highlight w:val="none"/>
        </w:rPr>
        <w:t>投标文件中提供有效的认证证书复印件，并加盖投标人电子签章</w:t>
      </w:r>
      <w:r>
        <w:rPr>
          <w:rFonts w:hint="eastAsia" w:ascii="宋体" w:hAnsi="宋体"/>
          <w:color w:val="auto"/>
          <w:szCs w:val="20"/>
          <w:highlight w:val="none"/>
          <w:lang w:eastAsia="zh-CN"/>
        </w:rPr>
        <w:t>）</w:t>
      </w:r>
      <w:r>
        <w:rPr>
          <w:rFonts w:hint="eastAsia" w:ascii="宋体" w:hAnsi="宋体"/>
          <w:color w:val="auto"/>
          <w:szCs w:val="20"/>
          <w:highlight w:val="none"/>
        </w:rPr>
        <w:t>。</w:t>
      </w:r>
    </w:p>
    <w:p w14:paraId="18DFC249">
      <w:pPr>
        <w:spacing w:line="360" w:lineRule="exact"/>
        <w:ind w:firstLine="420" w:firstLineChars="200"/>
        <w:rPr>
          <w:rFonts w:hint="eastAsia" w:ascii="宋体" w:hAnsi="宋体"/>
          <w:b/>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10</w:t>
      </w:r>
      <w:r>
        <w:rPr>
          <w:rFonts w:hint="eastAsia" w:ascii="宋体" w:hAnsi="宋体"/>
          <w:color w:val="auto"/>
          <w:highlight w:val="none"/>
        </w:rPr>
        <w:t>）</w:t>
      </w:r>
      <w:r>
        <w:rPr>
          <w:rFonts w:hint="eastAsia" w:hAnsi="宋体"/>
          <w:bCs/>
          <w:color w:val="auto"/>
          <w:szCs w:val="21"/>
          <w:highlight w:val="none"/>
        </w:rPr>
        <w:t>投标人提供的货物全部由符合政策要求中小企业制造</w:t>
      </w:r>
      <w:r>
        <w:rPr>
          <w:rFonts w:hint="eastAsia" w:ascii="宋体" w:hAnsi="宋体"/>
          <w:bCs/>
          <w:color w:val="auto"/>
          <w:szCs w:val="21"/>
          <w:highlight w:val="none"/>
        </w:rPr>
        <w:t>，投标文件中提供《中小企业声明函》</w:t>
      </w:r>
      <w:r>
        <w:rPr>
          <w:rFonts w:hint="eastAsia" w:ascii="宋体" w:hAnsi="宋体"/>
          <w:color w:val="auto"/>
          <w:highlight w:val="none"/>
        </w:rPr>
        <w:t>；属于监狱企业的，提供由省级以上监狱管理局、戒毒管理局</w:t>
      </w:r>
      <w:r>
        <w:rPr>
          <w:rFonts w:hint="eastAsia" w:ascii="宋体" w:hAnsi="宋体"/>
          <w:color w:val="auto"/>
          <w:highlight w:val="none"/>
          <w:lang w:eastAsia="zh-CN"/>
        </w:rPr>
        <w:t>（</w:t>
      </w:r>
      <w:r>
        <w:rPr>
          <w:rFonts w:hint="eastAsia" w:ascii="宋体" w:hAnsi="宋体"/>
          <w:color w:val="auto"/>
          <w:highlight w:val="none"/>
        </w:rPr>
        <w:t>含新疆生产建设兵团</w:t>
      </w:r>
      <w:r>
        <w:rPr>
          <w:rFonts w:hint="eastAsia" w:ascii="宋体" w:hAnsi="宋体"/>
          <w:color w:val="auto"/>
          <w:highlight w:val="none"/>
          <w:lang w:eastAsia="zh-CN"/>
        </w:rPr>
        <w:t>）</w:t>
      </w:r>
      <w:r>
        <w:rPr>
          <w:rFonts w:hint="eastAsia" w:ascii="宋体" w:hAnsi="宋体"/>
          <w:color w:val="auto"/>
          <w:highlight w:val="none"/>
        </w:rPr>
        <w:t>出具的属于监狱企业的证明文件</w:t>
      </w:r>
      <w:r>
        <w:rPr>
          <w:rFonts w:hint="eastAsia" w:ascii="宋体" w:hAnsi="宋体"/>
          <w:b/>
          <w:color w:val="auto"/>
          <w:highlight w:val="none"/>
        </w:rPr>
        <w:t>（如有，请提供）；</w:t>
      </w:r>
    </w:p>
    <w:p w14:paraId="03BC5C5B">
      <w:pPr>
        <w:tabs>
          <w:tab w:val="left" w:pos="1305"/>
        </w:tabs>
        <w:spacing w:line="36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11</w:t>
      </w:r>
      <w:r>
        <w:rPr>
          <w:rFonts w:hint="eastAsia" w:ascii="宋体" w:hAnsi="宋体"/>
          <w:color w:val="auto"/>
          <w:highlight w:val="none"/>
        </w:rPr>
        <w:t>）符合条件的残疾人福利性单位在参加政府采购活动时，提供《残疾人福利性单位声明函》，并对声明的真实性负责</w:t>
      </w:r>
      <w:r>
        <w:rPr>
          <w:rFonts w:hint="eastAsia" w:ascii="宋体" w:hAnsi="宋体"/>
          <w:b/>
          <w:color w:val="auto"/>
          <w:highlight w:val="none"/>
        </w:rPr>
        <w:t>（如有，请提供）；</w:t>
      </w:r>
    </w:p>
    <w:p w14:paraId="5A595624">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color w:val="auto"/>
          <w:highlight w:val="none"/>
        </w:rPr>
        <w:t>（</w:t>
      </w:r>
      <w:r>
        <w:rPr>
          <w:rFonts w:hint="eastAsia" w:ascii="宋体" w:hAnsi="宋体"/>
          <w:color w:val="auto"/>
          <w:highlight w:val="none"/>
          <w:lang w:val="en-US" w:eastAsia="zh-CN"/>
        </w:rPr>
        <w:t>12</w:t>
      </w:r>
      <w:r>
        <w:rPr>
          <w:rFonts w:hint="eastAsia" w:ascii="宋体" w:hAnsi="宋体"/>
          <w:color w:val="auto"/>
          <w:highlight w:val="none"/>
        </w:rPr>
        <w:t>）</w:t>
      </w:r>
      <w:r>
        <w:rPr>
          <w:rFonts w:hint="eastAsia" w:ascii="宋体" w:hAnsi="宋体"/>
          <w:color w:val="auto"/>
          <w:szCs w:val="21"/>
          <w:highlight w:val="none"/>
        </w:rPr>
        <w:t>投标人可结合本项目的评标办法视自身情况自行提交相关证明材料</w:t>
      </w:r>
      <w:r>
        <w:rPr>
          <w:rFonts w:hint="eastAsia" w:ascii="宋体" w:hAnsi="宋体"/>
          <w:b/>
          <w:color w:val="auto"/>
          <w:highlight w:val="none"/>
        </w:rPr>
        <w:t>（如有，请提供）</w:t>
      </w:r>
      <w:r>
        <w:rPr>
          <w:rFonts w:hint="eastAsia" w:ascii="宋体" w:hAnsi="宋体"/>
          <w:color w:val="auto"/>
          <w:szCs w:val="21"/>
          <w:highlight w:val="none"/>
        </w:rPr>
        <w:t>。</w:t>
      </w:r>
    </w:p>
    <w:p w14:paraId="1874773B">
      <w:pPr>
        <w:pStyle w:val="27"/>
        <w:spacing w:line="360" w:lineRule="exact"/>
        <w:ind w:firstLine="422" w:firstLineChars="200"/>
        <w:rPr>
          <w:rFonts w:hAnsi="宋体"/>
          <w:b/>
          <w:color w:val="auto"/>
          <w:szCs w:val="21"/>
          <w:highlight w:val="none"/>
        </w:rPr>
      </w:pPr>
      <w:r>
        <w:rPr>
          <w:rFonts w:hint="eastAsia" w:hAnsi="宋体"/>
          <w:b/>
          <w:color w:val="auto"/>
          <w:szCs w:val="21"/>
          <w:highlight w:val="none"/>
        </w:rPr>
        <w:t>注：投标人提供的以上“资格性响应证明材料”、“商务、技术性响应证明材料”等相关证明材料必须真实有效，属于“必须提供”的文件应加盖投标人电子签章，否则投标无效；其中“必须提供”的文件在“第六章 投标文件（格式）”中有要求法定代表人或相应的授权委托代理人在规定位置签字</w:t>
      </w:r>
      <w:r>
        <w:rPr>
          <w:rFonts w:hint="eastAsia" w:hAnsi="宋体" w:cs="Courier New"/>
          <w:b/>
          <w:color w:val="auto"/>
          <w:szCs w:val="21"/>
          <w:highlight w:val="none"/>
        </w:rPr>
        <w:t>（</w:t>
      </w:r>
      <w:r>
        <w:rPr>
          <w:rFonts w:hint="eastAsia" w:hAnsi="宋体"/>
          <w:b/>
          <w:bCs/>
          <w:color w:val="auto"/>
          <w:szCs w:val="21"/>
          <w:highlight w:val="none"/>
        </w:rPr>
        <w:t>或者电子签名</w:t>
      </w:r>
      <w:r>
        <w:rPr>
          <w:rFonts w:hint="eastAsia" w:hAnsi="宋体" w:cs="Courier New"/>
          <w:b/>
          <w:color w:val="auto"/>
          <w:szCs w:val="21"/>
          <w:highlight w:val="none"/>
        </w:rPr>
        <w:t>）</w:t>
      </w:r>
      <w:r>
        <w:rPr>
          <w:rFonts w:hint="eastAsia" w:hAnsi="宋体"/>
          <w:b/>
          <w:color w:val="auto"/>
          <w:szCs w:val="21"/>
          <w:highlight w:val="none"/>
        </w:rPr>
        <w:t>的，</w:t>
      </w:r>
      <w:r>
        <w:rPr>
          <w:rFonts w:hint="eastAsia" w:hAnsi="宋体" w:cs="Courier New"/>
          <w:b/>
          <w:color w:val="auto"/>
          <w:szCs w:val="21"/>
          <w:highlight w:val="none"/>
        </w:rPr>
        <w:t>必须由法定代表人或委托代理人签字</w:t>
      </w:r>
      <w:r>
        <w:rPr>
          <w:rFonts w:hint="eastAsia" w:hAnsi="宋体"/>
          <w:b/>
          <w:bCs/>
          <w:color w:val="auto"/>
          <w:szCs w:val="21"/>
          <w:highlight w:val="none"/>
        </w:rPr>
        <w:t>（或者电子签名）</w:t>
      </w:r>
      <w:r>
        <w:rPr>
          <w:rFonts w:hint="eastAsia" w:hAnsi="宋体"/>
          <w:b/>
          <w:color w:val="auto"/>
          <w:szCs w:val="21"/>
          <w:highlight w:val="none"/>
        </w:rPr>
        <w:t>，否则，投标文件按无效处理。</w:t>
      </w:r>
    </w:p>
    <w:p w14:paraId="5BA57832">
      <w:pPr>
        <w:pStyle w:val="27"/>
        <w:spacing w:line="340" w:lineRule="exact"/>
        <w:ind w:firstLine="420"/>
        <w:rPr>
          <w:rFonts w:hint="eastAsia" w:hAnsi="宋体"/>
          <w:color w:val="auto"/>
          <w:highlight w:val="none"/>
        </w:rPr>
      </w:pPr>
      <w:r>
        <w:rPr>
          <w:rFonts w:hint="eastAsia" w:hAnsi="宋体"/>
          <w:color w:val="auto"/>
          <w:szCs w:val="21"/>
          <w:highlight w:val="none"/>
        </w:rPr>
        <w:t>13.2</w:t>
      </w:r>
      <w:r>
        <w:rPr>
          <w:rFonts w:hint="eastAsia" w:hAnsi="宋体"/>
          <w:color w:val="auto"/>
          <w:highlight w:val="none"/>
        </w:rPr>
        <w:t>投标人必须按招标文件第六章“投标文件（格式）”编制投标文件。</w:t>
      </w:r>
    </w:p>
    <w:p w14:paraId="6EA41A1A">
      <w:pPr>
        <w:pStyle w:val="27"/>
        <w:spacing w:line="340" w:lineRule="exact"/>
        <w:ind w:firstLine="420"/>
        <w:rPr>
          <w:rFonts w:hint="eastAsia" w:hAnsi="宋体"/>
          <w:color w:val="auto"/>
          <w:highlight w:val="none"/>
        </w:rPr>
      </w:pPr>
      <w:r>
        <w:rPr>
          <w:rFonts w:hint="eastAsia" w:hAnsi="宋体"/>
          <w:color w:val="auto"/>
          <w:highlight w:val="none"/>
        </w:rPr>
        <w:t>13.3</w:t>
      </w:r>
      <w:r>
        <w:rPr>
          <w:rFonts w:hAnsi="宋体"/>
          <w:color w:val="auto"/>
          <w:highlight w:val="none"/>
        </w:rPr>
        <w:t>投标文件</w:t>
      </w:r>
      <w:r>
        <w:rPr>
          <w:rFonts w:hint="eastAsia" w:hAnsi="宋体"/>
          <w:color w:val="auto"/>
          <w:highlight w:val="none"/>
        </w:rPr>
        <w:t>必须</w:t>
      </w:r>
      <w:r>
        <w:rPr>
          <w:rFonts w:hAnsi="宋体"/>
          <w:color w:val="auto"/>
          <w:highlight w:val="none"/>
        </w:rPr>
        <w:t>对招标文件提出的要求和条件作出明确响应。</w:t>
      </w:r>
    </w:p>
    <w:p w14:paraId="0AAC035F">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14. 投标文件的语言及计量</w:t>
      </w:r>
    </w:p>
    <w:p w14:paraId="5978B951">
      <w:pPr>
        <w:tabs>
          <w:tab w:val="left" w:pos="1305"/>
        </w:tabs>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14.1投标文件以及投标人与采购人或者采购代理机构就有关投标事宜的所有来往函电，均必须以中文汉语书写。投标人提交的支持文件和印刷的文献可以使用别的语言，但其相应内容必须附有中文翻译文本，在解释投标文件时以中文翻译文本为主。</w:t>
      </w:r>
    </w:p>
    <w:p w14:paraId="3B63B9E8">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14.2投标计量单位，招标文件已有明确规定的，使用招标文件规定的计量单位；招标文件没有规定的，必须采用中华人民共和国法定计量单位（货币单位：元人民币），否则视同未响应。</w:t>
      </w:r>
    </w:p>
    <w:p w14:paraId="28665081">
      <w:pPr>
        <w:tabs>
          <w:tab w:val="left" w:pos="1305"/>
        </w:tabs>
        <w:spacing w:line="340" w:lineRule="exact"/>
        <w:ind w:firstLine="422" w:firstLineChars="200"/>
        <w:rPr>
          <w:rFonts w:ascii="宋体" w:hAnsi="宋体"/>
          <w:b/>
          <w:color w:val="auto"/>
          <w:szCs w:val="21"/>
          <w:highlight w:val="none"/>
        </w:rPr>
      </w:pPr>
      <w:r>
        <w:rPr>
          <w:rFonts w:hint="eastAsia" w:ascii="宋体" w:hAnsi="宋体"/>
          <w:b/>
          <w:color w:val="auto"/>
          <w:szCs w:val="21"/>
          <w:highlight w:val="none"/>
        </w:rPr>
        <w:t>15.投标报价</w:t>
      </w:r>
    </w:p>
    <w:p w14:paraId="7F9372FC">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15.1投标报价必须按招标文件中第六章“投标文件（格式）”填写。</w:t>
      </w:r>
    </w:p>
    <w:p w14:paraId="29A3E06F">
      <w:pPr>
        <w:spacing w:line="360" w:lineRule="exact"/>
        <w:ind w:firstLine="422" w:firstLineChars="200"/>
        <w:rPr>
          <w:rFonts w:hint="eastAsia" w:ascii="宋体" w:hAnsi="宋体" w:eastAsia="宋体" w:cs="Times New Roman"/>
          <w:b/>
          <w:color w:val="auto"/>
          <w:szCs w:val="21"/>
          <w:highlight w:val="none"/>
        </w:rPr>
      </w:pPr>
      <w:r>
        <w:rPr>
          <w:rFonts w:hint="eastAsia" w:ascii="宋体" w:hAnsi="宋体"/>
          <w:b/>
          <w:color w:val="auto"/>
          <w:szCs w:val="21"/>
          <w:highlight w:val="none"/>
        </w:rPr>
        <w:t>15.2本项目采购预算金额</w:t>
      </w:r>
      <w:r>
        <w:rPr>
          <w:rFonts w:hint="eastAsia" w:ascii="宋体" w:hAnsi="宋体" w:eastAsia="宋体" w:cs="Times New Roman"/>
          <w:b/>
          <w:color w:val="auto"/>
          <w:szCs w:val="21"/>
          <w:highlight w:val="none"/>
          <w:lang w:eastAsia="zh-CN"/>
        </w:rPr>
        <w:t>为</w:t>
      </w:r>
      <w:r>
        <w:rPr>
          <w:rFonts w:hint="eastAsia" w:ascii="宋体" w:hAnsi="宋体" w:eastAsia="宋体" w:cs="Times New Roman"/>
          <w:b/>
          <w:color w:val="auto"/>
          <w:szCs w:val="21"/>
          <w:highlight w:val="none"/>
          <w:lang w:val="en-US" w:eastAsia="zh-CN"/>
        </w:rPr>
        <w:t>陆</w:t>
      </w:r>
      <w:r>
        <w:rPr>
          <w:rFonts w:hint="eastAsia" w:ascii="宋体" w:hAnsi="宋体" w:eastAsia="宋体" w:cs="Times New Roman"/>
          <w:b/>
          <w:color w:val="auto"/>
          <w:szCs w:val="21"/>
          <w:highlight w:val="none"/>
        </w:rPr>
        <w:t>拾</w:t>
      </w:r>
      <w:r>
        <w:rPr>
          <w:rFonts w:hint="eastAsia" w:ascii="宋体" w:hAnsi="宋体" w:eastAsia="宋体" w:cs="Times New Roman"/>
          <w:b/>
          <w:color w:val="auto"/>
          <w:szCs w:val="21"/>
          <w:highlight w:val="none"/>
          <w:lang w:val="en-US" w:eastAsia="zh-CN"/>
        </w:rPr>
        <w:t>万</w:t>
      </w:r>
      <w:r>
        <w:rPr>
          <w:rFonts w:hint="eastAsia" w:ascii="宋体" w:hAnsi="宋体" w:eastAsia="宋体" w:cs="Times New Roman"/>
          <w:b/>
          <w:color w:val="auto"/>
          <w:szCs w:val="21"/>
          <w:highlight w:val="none"/>
        </w:rPr>
        <w:t>元整（¥</w:t>
      </w:r>
      <w:r>
        <w:rPr>
          <w:rFonts w:hint="eastAsia" w:ascii="宋体" w:hAnsi="宋体" w:eastAsia="宋体" w:cs="Times New Roman"/>
          <w:b/>
          <w:color w:val="auto"/>
          <w:szCs w:val="21"/>
          <w:highlight w:val="none"/>
          <w:lang w:val="en-US" w:eastAsia="zh-CN"/>
        </w:rPr>
        <w:t>60</w:t>
      </w:r>
      <w:r>
        <w:rPr>
          <w:rFonts w:hint="eastAsia" w:ascii="宋体" w:hAnsi="宋体" w:eastAsia="宋体" w:cs="Times New Roman"/>
          <w:b/>
          <w:color w:val="auto"/>
          <w:szCs w:val="21"/>
          <w:highlight w:val="none"/>
        </w:rPr>
        <w:t>0000.00）</w:t>
      </w:r>
      <w:r>
        <w:rPr>
          <w:rFonts w:hint="eastAsia" w:ascii="宋体" w:hAnsi="宋体" w:eastAsia="宋体" w:cs="Times New Roman"/>
          <w:b/>
          <w:color w:val="auto"/>
          <w:szCs w:val="21"/>
          <w:highlight w:val="none"/>
          <w:lang w:eastAsia="zh-CN"/>
        </w:rPr>
        <w:t>，</w:t>
      </w:r>
      <w:r>
        <w:rPr>
          <w:rFonts w:hint="eastAsia" w:ascii="宋体" w:hAnsi="宋体" w:eastAsia="宋体" w:cs="Times New Roman"/>
          <w:b/>
          <w:color w:val="auto"/>
          <w:szCs w:val="21"/>
          <w:highlight w:val="none"/>
          <w:lang w:val="en-US" w:eastAsia="zh-CN"/>
        </w:rPr>
        <w:t>最高限价为伍</w:t>
      </w:r>
      <w:r>
        <w:rPr>
          <w:rFonts w:hint="eastAsia" w:ascii="宋体" w:hAnsi="宋体" w:eastAsia="宋体" w:cs="Times New Roman"/>
          <w:b/>
          <w:color w:val="auto"/>
          <w:szCs w:val="21"/>
          <w:highlight w:val="none"/>
        </w:rPr>
        <w:t>拾</w:t>
      </w:r>
      <w:r>
        <w:rPr>
          <w:rFonts w:hint="eastAsia" w:ascii="宋体" w:hAnsi="宋体" w:eastAsia="宋体" w:cs="Times New Roman"/>
          <w:b/>
          <w:color w:val="auto"/>
          <w:szCs w:val="21"/>
          <w:highlight w:val="none"/>
          <w:lang w:val="en-US" w:eastAsia="zh-CN"/>
        </w:rPr>
        <w:t>伍万</w:t>
      </w:r>
      <w:r>
        <w:rPr>
          <w:rFonts w:hint="eastAsia" w:ascii="宋体" w:hAnsi="宋体" w:eastAsia="宋体" w:cs="Times New Roman"/>
          <w:b/>
          <w:color w:val="auto"/>
          <w:szCs w:val="21"/>
          <w:highlight w:val="none"/>
        </w:rPr>
        <w:t>元整（¥</w:t>
      </w:r>
      <w:r>
        <w:rPr>
          <w:rFonts w:hint="eastAsia" w:ascii="宋体" w:hAnsi="宋体" w:eastAsia="宋体" w:cs="Times New Roman"/>
          <w:b/>
          <w:color w:val="auto"/>
          <w:szCs w:val="21"/>
          <w:highlight w:val="none"/>
          <w:lang w:val="en-US" w:eastAsia="zh-CN"/>
        </w:rPr>
        <w:t>55</w:t>
      </w:r>
      <w:r>
        <w:rPr>
          <w:rFonts w:hint="eastAsia" w:ascii="宋体" w:hAnsi="宋体" w:eastAsia="宋体" w:cs="Times New Roman"/>
          <w:b/>
          <w:color w:val="auto"/>
          <w:szCs w:val="21"/>
          <w:highlight w:val="none"/>
        </w:rPr>
        <w:t>0000.00）</w:t>
      </w:r>
      <w:r>
        <w:rPr>
          <w:rFonts w:hint="eastAsia" w:ascii="宋体" w:hAnsi="宋体" w:eastAsia="宋体" w:cs="Times New Roman"/>
          <w:b/>
          <w:color w:val="auto"/>
          <w:szCs w:val="21"/>
          <w:highlight w:val="none"/>
          <w:lang w:eastAsia="zh-CN"/>
        </w:rPr>
        <w:t>，</w:t>
      </w:r>
      <w:r>
        <w:rPr>
          <w:rFonts w:hint="eastAsia" w:ascii="宋体" w:hAnsi="宋体" w:eastAsia="宋体" w:cs="Times New Roman"/>
          <w:b/>
          <w:color w:val="auto"/>
          <w:szCs w:val="21"/>
          <w:highlight w:val="none"/>
        </w:rPr>
        <w:t>投标人投标报价超过</w:t>
      </w:r>
      <w:r>
        <w:rPr>
          <w:rFonts w:hint="eastAsia" w:ascii="宋体" w:hAnsi="宋体" w:eastAsia="宋体" w:cs="Times New Roman"/>
          <w:b/>
          <w:color w:val="auto"/>
          <w:szCs w:val="21"/>
          <w:highlight w:val="none"/>
          <w:lang w:val="en-US" w:eastAsia="zh-CN"/>
        </w:rPr>
        <w:t>最高限价</w:t>
      </w:r>
      <w:r>
        <w:rPr>
          <w:rFonts w:hint="eastAsia" w:ascii="宋体" w:hAnsi="宋体" w:eastAsia="宋体" w:cs="Times New Roman"/>
          <w:b/>
          <w:color w:val="auto"/>
          <w:szCs w:val="21"/>
          <w:highlight w:val="none"/>
        </w:rPr>
        <w:t>的，投标文件作无效处理。</w:t>
      </w:r>
    </w:p>
    <w:p w14:paraId="6C57567E">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15.3投标人必须就“采购需求”中所有内容作完整唯一报价，否则，其投标将被拒绝；投标文件只允许有一个报价方案，有选择的或有条件的报价将不予接受。</w:t>
      </w:r>
    </w:p>
    <w:p w14:paraId="1345F0F0">
      <w:pPr>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15.4投标报价：投标报价包括招标范围内货物货款、货物标准附件、备品备件、专用工具、包装、运输、装卸、保险、税金、货到就位以及安装、调试、培训、保修等一切费用。</w:t>
      </w:r>
    </w:p>
    <w:p w14:paraId="1B250ABA">
      <w:pPr>
        <w:spacing w:line="340" w:lineRule="exact"/>
        <w:ind w:firstLine="422" w:firstLineChars="200"/>
        <w:rPr>
          <w:rFonts w:ascii="宋体" w:hAnsi="宋体"/>
          <w:b/>
          <w:color w:val="auto"/>
          <w:szCs w:val="21"/>
          <w:highlight w:val="none"/>
        </w:rPr>
      </w:pPr>
      <w:r>
        <w:rPr>
          <w:rFonts w:hint="eastAsia" w:ascii="宋体" w:hAnsi="宋体"/>
          <w:b/>
          <w:color w:val="auto"/>
          <w:szCs w:val="21"/>
          <w:highlight w:val="none"/>
        </w:rPr>
        <w:t>16. 投标有效期：投标截止时间之日起9</w:t>
      </w:r>
      <w:r>
        <w:rPr>
          <w:rFonts w:ascii="宋体" w:hAnsi="宋体"/>
          <w:b/>
          <w:color w:val="auto"/>
          <w:szCs w:val="21"/>
          <w:highlight w:val="none"/>
        </w:rPr>
        <w:t>0</w:t>
      </w:r>
      <w:r>
        <w:rPr>
          <w:rFonts w:hint="eastAsia" w:ascii="宋体" w:hAnsi="宋体"/>
          <w:b/>
          <w:color w:val="auto"/>
          <w:szCs w:val="21"/>
          <w:highlight w:val="none"/>
        </w:rPr>
        <w:t>天</w:t>
      </w:r>
      <w:r>
        <w:rPr>
          <w:rFonts w:ascii="宋体" w:hAnsi="宋体"/>
          <w:b/>
          <w:color w:val="auto"/>
          <w:szCs w:val="21"/>
          <w:highlight w:val="none"/>
        </w:rPr>
        <w:t>。</w:t>
      </w:r>
    </w:p>
    <w:p w14:paraId="11E2DAF2">
      <w:pPr>
        <w:spacing w:line="400" w:lineRule="exact"/>
        <w:ind w:firstLine="413" w:firstLineChars="196"/>
        <w:outlineLvl w:val="2"/>
        <w:rPr>
          <w:rFonts w:ascii="宋体" w:hAnsi="宋体" w:cs="宋体"/>
          <w:b/>
          <w:color w:val="auto"/>
          <w:szCs w:val="21"/>
          <w:highlight w:val="none"/>
        </w:rPr>
      </w:pPr>
      <w:r>
        <w:rPr>
          <w:rFonts w:hint="eastAsia" w:ascii="宋体" w:hAnsi="宋体"/>
          <w:b/>
          <w:color w:val="auto"/>
          <w:szCs w:val="21"/>
          <w:highlight w:val="none"/>
        </w:rPr>
        <w:t>17.</w:t>
      </w:r>
      <w:r>
        <w:rPr>
          <w:rFonts w:hint="eastAsia" w:ascii="宋体" w:hAnsi="宋体" w:cs="宋体"/>
          <w:b/>
          <w:color w:val="auto"/>
          <w:szCs w:val="21"/>
          <w:highlight w:val="none"/>
        </w:rPr>
        <w:t xml:space="preserve"> 投标保证金</w:t>
      </w:r>
    </w:p>
    <w:p w14:paraId="753E0944">
      <w:pPr>
        <w:tabs>
          <w:tab w:val="left" w:pos="1305"/>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本项目无需缴纳投标保证金。</w:t>
      </w:r>
    </w:p>
    <w:p w14:paraId="6C737041">
      <w:pPr>
        <w:tabs>
          <w:tab w:val="left" w:pos="1305"/>
        </w:tabs>
        <w:spacing w:line="380" w:lineRule="exact"/>
        <w:ind w:firstLine="422" w:firstLineChars="200"/>
        <w:rPr>
          <w:rFonts w:ascii="宋体" w:hAnsi="宋体" w:cs="宋体"/>
          <w:b/>
          <w:color w:val="auto"/>
          <w:kern w:val="0"/>
          <w:szCs w:val="21"/>
          <w:highlight w:val="none"/>
        </w:rPr>
      </w:pPr>
      <w:r>
        <w:rPr>
          <w:rFonts w:hint="eastAsia" w:ascii="宋体" w:hAnsi="宋体" w:cs="宋体"/>
          <w:b/>
          <w:color w:val="auto"/>
          <w:kern w:val="0"/>
          <w:szCs w:val="21"/>
          <w:highlight w:val="none"/>
        </w:rPr>
        <w:t>18.电子投标文件的制作、加密要求</w:t>
      </w:r>
    </w:p>
    <w:p w14:paraId="4ED83A3C">
      <w:pPr>
        <w:snapToGrid w:val="0"/>
        <w:spacing w:line="380" w:lineRule="exact"/>
        <w:ind w:firstLine="420" w:firstLineChars="200"/>
        <w:jc w:val="left"/>
        <w:rPr>
          <w:rFonts w:hint="eastAsia" w:ascii="宋体" w:hAnsi="宋体" w:cs="宋体"/>
          <w:bCs/>
          <w:color w:val="auto"/>
          <w:szCs w:val="21"/>
          <w:highlight w:val="none"/>
        </w:rPr>
      </w:pPr>
      <w:r>
        <w:rPr>
          <w:rFonts w:hint="eastAsia" w:ascii="宋体" w:hAnsi="宋体" w:cs="宋体"/>
          <w:color w:val="auto"/>
          <w:highlight w:val="none"/>
        </w:rPr>
        <w:t>18.1投标人制作电子投标文件前，</w:t>
      </w:r>
      <w:r>
        <w:rPr>
          <w:rFonts w:hint="eastAsia" w:ascii="宋体" w:hAnsi="宋体" w:cs="宋体"/>
          <w:bCs/>
          <w:color w:val="auto"/>
          <w:szCs w:val="21"/>
          <w:highlight w:val="none"/>
        </w:rPr>
        <w:t>应登录广西政府采购云平台进行“申请获取采购文件”操作，否则，有可能导致无法在线编制投标文件并参与投标，其不利后果由投标人自行承担。</w:t>
      </w:r>
    </w:p>
    <w:p w14:paraId="3D371440">
      <w:pPr>
        <w:snapToGrid w:val="0"/>
        <w:spacing w:line="380" w:lineRule="exact"/>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18.2投标人下载或获取招标文件后，登录“电子投标客户端”，按照本招标文件规定的投标文件格式、顺序以及广西政府采购云平台的要求，通过“电子投标客户端”编制电子投标文件。</w:t>
      </w:r>
    </w:p>
    <w:p w14:paraId="1913005C">
      <w:pPr>
        <w:snapToGrid w:val="0"/>
        <w:spacing w:line="380" w:lineRule="exact"/>
        <w:ind w:firstLine="420" w:firstLineChars="200"/>
        <w:jc w:val="left"/>
        <w:rPr>
          <w:rFonts w:hint="eastAsia" w:ascii="宋体" w:hAnsi="宋体" w:cs="宋体"/>
          <w:color w:val="auto"/>
          <w:highlight w:val="none"/>
        </w:rPr>
      </w:pPr>
      <w:r>
        <w:rPr>
          <w:rFonts w:hint="eastAsia" w:ascii="宋体" w:hAnsi="宋体" w:cs="宋体"/>
          <w:bCs/>
          <w:color w:val="auto"/>
          <w:szCs w:val="21"/>
          <w:highlight w:val="none"/>
        </w:rPr>
        <w:t>18.3投标人应按</w:t>
      </w:r>
      <w:r>
        <w:rPr>
          <w:rFonts w:ascii="宋体" w:hAnsi="宋体" w:cs="宋体"/>
          <w:bCs/>
          <w:color w:val="auto"/>
          <w:szCs w:val="21"/>
          <w:highlight w:val="none"/>
        </w:rPr>
        <w:t>“</w:t>
      </w:r>
      <w:r>
        <w:rPr>
          <w:rFonts w:hint="eastAsia" w:ascii="宋体" w:hAnsi="宋体" w:cs="宋体"/>
          <w:bCs/>
          <w:color w:val="auto"/>
          <w:szCs w:val="21"/>
          <w:highlight w:val="none"/>
        </w:rPr>
        <w:t>电子投标客户端</w:t>
      </w:r>
      <w:r>
        <w:rPr>
          <w:rFonts w:ascii="宋体" w:hAnsi="宋体" w:cs="宋体"/>
          <w:bCs/>
          <w:color w:val="auto"/>
          <w:szCs w:val="21"/>
          <w:highlight w:val="none"/>
        </w:rPr>
        <w:t>”</w:t>
      </w:r>
      <w:r>
        <w:rPr>
          <w:rFonts w:hint="eastAsia"/>
          <w:color w:val="auto"/>
          <w:highlight w:val="none"/>
        </w:rPr>
        <w:t>载明的</w:t>
      </w:r>
      <w:r>
        <w:rPr>
          <w:color w:val="auto"/>
          <w:highlight w:val="none"/>
        </w:rPr>
        <w:t>“</w:t>
      </w:r>
      <w:r>
        <w:rPr>
          <w:rFonts w:hint="eastAsia"/>
          <w:color w:val="auto"/>
          <w:highlight w:val="none"/>
        </w:rPr>
        <w:t>标书关联</w:t>
      </w:r>
      <w:r>
        <w:rPr>
          <w:color w:val="auto"/>
          <w:highlight w:val="none"/>
        </w:rPr>
        <w:t>”</w:t>
      </w:r>
      <w:r>
        <w:rPr>
          <w:rFonts w:hint="eastAsia"/>
          <w:color w:val="auto"/>
          <w:highlight w:val="none"/>
        </w:rPr>
        <w:t>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r>
        <w:rPr>
          <w:rFonts w:hint="eastAsia" w:ascii="宋体" w:hAnsi="宋体" w:cs="宋体"/>
          <w:color w:val="auto"/>
          <w:highlight w:val="none"/>
        </w:rPr>
        <w:t>。</w:t>
      </w:r>
    </w:p>
    <w:p w14:paraId="16A092C3">
      <w:pPr>
        <w:snapToGrid w:val="0"/>
        <w:spacing w:line="360" w:lineRule="exact"/>
        <w:ind w:firstLine="422" w:firstLineChars="200"/>
        <w:jc w:val="left"/>
        <w:rPr>
          <w:rFonts w:hint="eastAsia" w:ascii="宋体" w:hAnsi="宋体" w:cs="宋体"/>
          <w:b/>
          <w:color w:val="auto"/>
          <w:highlight w:val="none"/>
        </w:rPr>
      </w:pPr>
      <w:r>
        <w:rPr>
          <w:rFonts w:hint="eastAsia" w:ascii="宋体" w:hAnsi="宋体" w:cs="宋体"/>
          <w:b/>
          <w:color w:val="auto"/>
          <w:highlight w:val="none"/>
        </w:rPr>
        <w:t>18.4电子投标文件不得涂改，若有修改错漏处，须由法定代表人或授权委托代理人签字（或者电子签名）。电子投标文件按本须知载明的投标文件组成及要求进行编排，因投标文件字迹潦草、表达不清、内容不完整</w:t>
      </w:r>
      <w:r>
        <w:rPr>
          <w:rFonts w:hint="eastAsia" w:ascii="宋体" w:hAnsi="宋体" w:cs="宋体"/>
          <w:b/>
          <w:color w:val="auto"/>
          <w:highlight w:val="none"/>
          <w:lang w:eastAsia="zh-CN"/>
        </w:rPr>
        <w:t>或</w:t>
      </w:r>
      <w:r>
        <w:rPr>
          <w:rFonts w:hint="eastAsia" w:ascii="宋体" w:hAnsi="宋体" w:cs="宋体"/>
          <w:b/>
          <w:color w:val="auto"/>
          <w:highlight w:val="none"/>
        </w:rPr>
        <w:t>投标文件相应内容未按要求编排、编排混乱导致投标文件被误读、漏读</w:t>
      </w:r>
      <w:r>
        <w:rPr>
          <w:rFonts w:hint="eastAsia" w:ascii="宋体" w:hAnsi="宋体" w:cs="宋体"/>
          <w:b/>
          <w:color w:val="auto"/>
          <w:highlight w:val="none"/>
          <w:lang w:eastAsia="zh-CN"/>
        </w:rPr>
        <w:t>，或者</w:t>
      </w:r>
      <w:r>
        <w:rPr>
          <w:rFonts w:hint="eastAsia" w:ascii="宋体" w:hAnsi="宋体" w:cs="宋体"/>
          <w:b/>
          <w:color w:val="auto"/>
          <w:highlight w:val="none"/>
        </w:rPr>
        <w:t>在按招标文件规定的部位查找不到相关内容，导致做出对投标人不利的资格审查或评审结果，其不利后果由投标人自行承担。</w:t>
      </w:r>
    </w:p>
    <w:p w14:paraId="6B43C3FC">
      <w:pPr>
        <w:snapToGrid w:val="0"/>
        <w:spacing w:line="38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rPr>
        <w:t>18.5投标人编制、生成电子投标文件后应当加密投标文件。投标人未按规定编制并加密的投标文件，</w:t>
      </w:r>
      <w:r>
        <w:rPr>
          <w:rFonts w:hint="eastAsia" w:ascii="宋体" w:hAnsi="宋体" w:cs="宋体"/>
          <w:b/>
          <w:color w:val="auto"/>
          <w:highlight w:val="none"/>
        </w:rPr>
        <w:t>广西政府采购云平台将予以拒收</w:t>
      </w:r>
      <w:r>
        <w:rPr>
          <w:rFonts w:hint="eastAsia" w:ascii="宋体" w:hAnsi="宋体" w:cs="宋体"/>
          <w:color w:val="auto"/>
          <w:highlight w:val="none"/>
        </w:rPr>
        <w:t>。</w:t>
      </w:r>
    </w:p>
    <w:p w14:paraId="44D40C66">
      <w:pPr>
        <w:snapToGrid w:val="0"/>
        <w:spacing w:line="380" w:lineRule="exact"/>
        <w:ind w:firstLine="422" w:firstLineChars="200"/>
        <w:jc w:val="left"/>
        <w:rPr>
          <w:rFonts w:hint="eastAsia" w:ascii="宋体" w:hAnsi="宋体" w:cs="宋体"/>
          <w:b/>
          <w:color w:val="auto"/>
          <w:highlight w:val="none"/>
        </w:rPr>
      </w:pPr>
      <w:r>
        <w:rPr>
          <w:rFonts w:hint="eastAsia" w:ascii="宋体" w:hAnsi="宋体" w:cs="宋体"/>
          <w:b/>
          <w:color w:val="auto"/>
          <w:highlight w:val="none"/>
        </w:rPr>
        <w:t>18.6</w:t>
      </w:r>
      <w:r>
        <w:rPr>
          <w:rFonts w:hint="eastAsia" w:ascii="宋体" w:hAnsi="宋体" w:cs="宋体"/>
          <w:b/>
          <w:color w:val="auto"/>
          <w:highlight w:val="none"/>
          <w:lang w:eastAsia="zh-CN"/>
        </w:rPr>
        <w:t>投标人</w:t>
      </w:r>
      <w:r>
        <w:rPr>
          <w:rFonts w:hint="eastAsia" w:ascii="宋体" w:hAnsi="宋体" w:cs="宋体"/>
          <w:b/>
          <w:color w:val="auto"/>
          <w:highlight w:val="none"/>
        </w:rPr>
        <w:t>公章、签字、电子签章、电子签名</w:t>
      </w:r>
    </w:p>
    <w:p w14:paraId="53E7D6EF">
      <w:pPr>
        <w:snapToGrid w:val="0"/>
        <w:spacing w:line="38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rPr>
        <w:t>18.6.1本招标文件中描述投标人的“公章”是指根据我国对公章的管理规定，用投标人法定主体行为名称制作的印章，除本招标文件有特殊规定外，投标人的其他形式印章均不能代替公章。</w:t>
      </w:r>
    </w:p>
    <w:p w14:paraId="6C77736E">
      <w:pPr>
        <w:snapToGrid w:val="0"/>
        <w:spacing w:line="38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rPr>
        <w:t>18.6.2本招标文件中描述投标人的“签字”是指投标人的法定代表人或者委托代理人亲自在文件规定签字处亲笔写上个人的名字的行为，私章、签字章、印鉴、影印等其他形式均不能代替亲笔签字。</w:t>
      </w:r>
    </w:p>
    <w:p w14:paraId="133EC7B0">
      <w:pPr>
        <w:snapToGrid w:val="0"/>
        <w:spacing w:line="38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rPr>
        <w:t>18.6.3本招标文件所称的“电子签章”、“电子签名”，是指经</w:t>
      </w:r>
      <w:r>
        <w:rPr>
          <w:rFonts w:hint="eastAsia" w:ascii="宋体" w:hAnsi="宋体" w:cs="宋体"/>
          <w:bCs/>
          <w:color w:val="auto"/>
          <w:szCs w:val="21"/>
          <w:highlight w:val="none"/>
        </w:rPr>
        <w:t>广西政府采购云平台</w:t>
      </w:r>
      <w:r>
        <w:rPr>
          <w:rFonts w:hint="eastAsia" w:ascii="宋体" w:hAnsi="宋体" w:cs="宋体"/>
          <w:color w:val="auto"/>
          <w:highlight w:val="none"/>
        </w:rPr>
        <w:t>认可的CA认证的电子签名数据为表现形式的印章，可用于签署电子投标文件，电子签章、电子签名与实物印章、手写签名具有同等法律效力，不因其采用电子化表现形式而否定其法律效力。</w:t>
      </w:r>
    </w:p>
    <w:p w14:paraId="207E6BB2">
      <w:pPr>
        <w:snapToGrid w:val="0"/>
        <w:spacing w:line="380" w:lineRule="exact"/>
        <w:ind w:firstLine="422" w:firstLineChars="200"/>
        <w:jc w:val="left"/>
        <w:rPr>
          <w:rFonts w:ascii="宋体" w:hAnsi="宋体" w:cs="宋体"/>
          <w:b/>
          <w:color w:val="auto"/>
          <w:highlight w:val="none"/>
        </w:rPr>
      </w:pPr>
      <w:r>
        <w:rPr>
          <w:rFonts w:hint="eastAsia" w:ascii="宋体" w:hAnsi="宋体" w:cs="宋体"/>
          <w:b/>
          <w:color w:val="auto"/>
          <w:highlight w:val="none"/>
        </w:rPr>
        <w:t>19. 投标文件的递交</w:t>
      </w:r>
    </w:p>
    <w:p w14:paraId="446B1DFE">
      <w:pPr>
        <w:tabs>
          <w:tab w:val="left" w:pos="7200"/>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19.1投标文件递交要求：</w:t>
      </w:r>
    </w:p>
    <w:p w14:paraId="62A36929">
      <w:pPr>
        <w:tabs>
          <w:tab w:val="left" w:pos="7200"/>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投标截止时间：</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7</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23</w:t>
      </w:r>
      <w:r>
        <w:rPr>
          <w:rFonts w:hint="eastAsia" w:ascii="宋体" w:hAnsi="宋体"/>
          <w:color w:val="auto"/>
          <w:szCs w:val="21"/>
          <w:highlight w:val="none"/>
          <w:lang w:eastAsia="zh-CN"/>
        </w:rPr>
        <w:t>日</w:t>
      </w:r>
      <w:r>
        <w:rPr>
          <w:rFonts w:hint="eastAsia" w:ascii="宋体" w:hAnsi="宋体"/>
          <w:color w:val="auto"/>
          <w:szCs w:val="21"/>
          <w:highlight w:val="none"/>
        </w:rPr>
        <w:t>上午9时30分（北京时间）。</w:t>
      </w:r>
    </w:p>
    <w:p w14:paraId="2A03E0F2">
      <w:pPr>
        <w:tabs>
          <w:tab w:val="left" w:pos="7200"/>
        </w:tabs>
        <w:spacing w:line="360" w:lineRule="exact"/>
        <w:ind w:firstLine="420" w:firstLineChars="200"/>
        <w:rPr>
          <w:rFonts w:hint="eastAsia" w:ascii="宋体" w:hAnsi="宋体"/>
          <w:color w:val="auto"/>
          <w:highlight w:val="none"/>
        </w:rPr>
      </w:pPr>
      <w:r>
        <w:rPr>
          <w:rFonts w:hint="eastAsia" w:ascii="宋体" w:hAnsi="宋体"/>
          <w:color w:val="auto"/>
          <w:szCs w:val="21"/>
          <w:highlight w:val="none"/>
        </w:rPr>
        <w:t>投标文件递交地点：</w:t>
      </w:r>
      <w:r>
        <w:rPr>
          <w:rFonts w:hint="eastAsia" w:ascii="宋体" w:hAnsi="宋体" w:cs="宋体"/>
          <w:color w:val="auto"/>
          <w:szCs w:val="21"/>
          <w:highlight w:val="none"/>
        </w:rPr>
        <w:t>通过</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在线提交</w:t>
      </w:r>
      <w:r>
        <w:rPr>
          <w:rFonts w:hint="eastAsia" w:ascii="宋体" w:hAnsi="宋体"/>
          <w:color w:val="auto"/>
          <w:highlight w:val="none"/>
        </w:rPr>
        <w:t>，逾期递交的投标文件将予以拒收。投标文件递交成功后，投标人必须在</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自行下载投标回执。</w:t>
      </w:r>
    </w:p>
    <w:p w14:paraId="427FB551">
      <w:pPr>
        <w:spacing w:line="360" w:lineRule="exact"/>
        <w:ind w:firstLine="435"/>
        <w:rPr>
          <w:rFonts w:hint="eastAsia" w:ascii="宋体" w:hAnsi="宋体"/>
          <w:color w:val="auto"/>
          <w:szCs w:val="21"/>
          <w:highlight w:val="none"/>
        </w:rPr>
      </w:pPr>
      <w:r>
        <w:rPr>
          <w:rFonts w:hint="eastAsia" w:ascii="宋体" w:hAnsi="宋体"/>
          <w:color w:val="auto"/>
          <w:szCs w:val="21"/>
          <w:highlight w:val="none"/>
        </w:rPr>
        <w:t>19.2除招标文件另有规定外，投标人所递交的投标文件不予退还。</w:t>
      </w:r>
    </w:p>
    <w:p w14:paraId="061FCAD9">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20. 投标文件的补充、修改和撤回</w:t>
      </w:r>
    </w:p>
    <w:p w14:paraId="1994F7C5">
      <w:pPr>
        <w:tabs>
          <w:tab w:val="left" w:pos="1305"/>
        </w:tabs>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投标人在投标截止时间前，可以通过</w:t>
      </w:r>
      <w:r>
        <w:rPr>
          <w:rFonts w:hint="eastAsia" w:ascii="宋体" w:hAnsi="宋体" w:cs="宋体"/>
          <w:bCs/>
          <w:color w:val="auto"/>
          <w:szCs w:val="21"/>
          <w:highlight w:val="none"/>
        </w:rPr>
        <w:t>广西政府采购云平台</w:t>
      </w:r>
      <w:r>
        <w:rPr>
          <w:rFonts w:hint="eastAsia" w:ascii="宋体" w:hAnsi="宋体"/>
          <w:color w:val="auto"/>
          <w:szCs w:val="21"/>
          <w:highlight w:val="none"/>
        </w:rPr>
        <w:t>在线对所递交的投标文件进行补充、修改或者撤回，并书面通知采购代理机构。补充、修改电子投标文件的，应当先行撤回原文件，补充、修改的内容按照招标文件要求签署、盖章后重新传输提交至</w:t>
      </w:r>
      <w:r>
        <w:rPr>
          <w:rFonts w:hint="eastAsia" w:ascii="宋体" w:hAnsi="宋体" w:cs="宋体"/>
          <w:bCs/>
          <w:color w:val="auto"/>
          <w:szCs w:val="21"/>
          <w:highlight w:val="none"/>
        </w:rPr>
        <w:t>广西政府采购云平台</w:t>
      </w:r>
      <w:r>
        <w:rPr>
          <w:rFonts w:hint="eastAsia" w:ascii="宋体" w:hAnsi="宋体"/>
          <w:color w:val="auto"/>
          <w:szCs w:val="21"/>
          <w:highlight w:val="none"/>
        </w:rPr>
        <w:t>，作为投标文件的组成部分。在投标文件递交截止时间后的投标文件有效期内，投标人不得撤回其投标文件。</w:t>
      </w:r>
    </w:p>
    <w:p w14:paraId="02A6AA9F">
      <w:pPr>
        <w:pStyle w:val="32"/>
        <w:rPr>
          <w:rFonts w:hint="eastAsia"/>
          <w:color w:val="auto"/>
          <w:highlight w:val="none"/>
        </w:rPr>
      </w:pPr>
    </w:p>
    <w:p w14:paraId="32607C11">
      <w:pPr>
        <w:spacing w:line="340" w:lineRule="exact"/>
        <w:ind w:firstLine="435"/>
        <w:jc w:val="center"/>
        <w:rPr>
          <w:rFonts w:hint="eastAsia" w:ascii="宋体" w:hAnsi="宋体"/>
          <w:b/>
          <w:color w:val="auto"/>
          <w:sz w:val="28"/>
          <w:szCs w:val="28"/>
          <w:highlight w:val="none"/>
        </w:rPr>
      </w:pPr>
    </w:p>
    <w:p w14:paraId="013279AC">
      <w:pPr>
        <w:spacing w:line="340" w:lineRule="exact"/>
        <w:ind w:firstLine="435"/>
        <w:jc w:val="center"/>
        <w:rPr>
          <w:rFonts w:hint="eastAsia" w:ascii="宋体" w:hAnsi="宋体"/>
          <w:b/>
          <w:color w:val="auto"/>
          <w:sz w:val="28"/>
          <w:szCs w:val="28"/>
          <w:highlight w:val="none"/>
        </w:rPr>
      </w:pPr>
      <w:r>
        <w:rPr>
          <w:rFonts w:hint="eastAsia" w:ascii="宋体" w:hAnsi="宋体"/>
          <w:b/>
          <w:color w:val="auto"/>
          <w:sz w:val="28"/>
          <w:szCs w:val="28"/>
          <w:highlight w:val="none"/>
        </w:rPr>
        <w:t>四、开标</w:t>
      </w:r>
    </w:p>
    <w:p w14:paraId="798F2105">
      <w:pPr>
        <w:spacing w:line="360" w:lineRule="exact"/>
        <w:ind w:firstLine="435"/>
        <w:rPr>
          <w:rFonts w:ascii="宋体" w:hAnsi="宋体"/>
          <w:b/>
          <w:color w:val="auto"/>
          <w:highlight w:val="none"/>
        </w:rPr>
      </w:pPr>
      <w:r>
        <w:rPr>
          <w:rFonts w:hint="eastAsia" w:ascii="宋体" w:hAnsi="宋体"/>
          <w:b/>
          <w:color w:val="auto"/>
          <w:highlight w:val="none"/>
        </w:rPr>
        <w:t>21. 开标时间及地点</w:t>
      </w:r>
    </w:p>
    <w:p w14:paraId="7527C9A0">
      <w:pPr>
        <w:spacing w:line="360" w:lineRule="exact"/>
        <w:ind w:firstLine="435"/>
        <w:rPr>
          <w:rFonts w:hint="eastAsia" w:ascii="宋体" w:hAnsi="宋体"/>
          <w:color w:val="auto"/>
          <w:highlight w:val="none"/>
        </w:rPr>
      </w:pPr>
      <w:r>
        <w:rPr>
          <w:rFonts w:hint="eastAsia" w:ascii="宋体" w:hAnsi="宋体"/>
          <w:color w:val="auto"/>
          <w:highlight w:val="none"/>
        </w:rPr>
        <w:t>21.1开标时间及地点：</w:t>
      </w:r>
    </w:p>
    <w:p w14:paraId="455B8BF1">
      <w:pPr>
        <w:spacing w:line="360" w:lineRule="exact"/>
        <w:ind w:firstLine="435"/>
        <w:rPr>
          <w:rFonts w:hint="eastAsia" w:ascii="宋体" w:hAnsi="宋体"/>
          <w:color w:val="auto"/>
          <w:highlight w:val="none"/>
        </w:rPr>
      </w:pPr>
      <w:r>
        <w:rPr>
          <w:rFonts w:hint="eastAsia" w:ascii="宋体" w:hAnsi="宋体"/>
          <w:color w:val="auto"/>
          <w:highlight w:val="none"/>
        </w:rPr>
        <w:t>开标时间：</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7</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23</w:t>
      </w:r>
      <w:r>
        <w:rPr>
          <w:rFonts w:hint="eastAsia" w:ascii="宋体" w:hAnsi="宋体"/>
          <w:color w:val="auto"/>
          <w:szCs w:val="21"/>
          <w:highlight w:val="none"/>
          <w:lang w:eastAsia="zh-CN"/>
        </w:rPr>
        <w:t>日</w:t>
      </w:r>
      <w:r>
        <w:rPr>
          <w:rFonts w:hint="eastAsia" w:ascii="宋体" w:hAnsi="宋体"/>
          <w:color w:val="auto"/>
          <w:highlight w:val="none"/>
        </w:rPr>
        <w:t>上午9时30分</w:t>
      </w:r>
      <w:r>
        <w:rPr>
          <w:rFonts w:hint="eastAsia" w:ascii="宋体" w:hAnsi="宋体"/>
          <w:color w:val="auto"/>
          <w:szCs w:val="21"/>
          <w:highlight w:val="none"/>
        </w:rPr>
        <w:t>（北京时间）</w:t>
      </w:r>
      <w:r>
        <w:rPr>
          <w:rFonts w:hint="eastAsia" w:ascii="宋体" w:hAnsi="宋体"/>
          <w:color w:val="auto"/>
          <w:highlight w:val="none"/>
        </w:rPr>
        <w:t>；</w:t>
      </w:r>
    </w:p>
    <w:p w14:paraId="51C5F728">
      <w:pPr>
        <w:spacing w:line="360" w:lineRule="exact"/>
        <w:ind w:firstLine="435"/>
        <w:rPr>
          <w:rFonts w:hint="eastAsia" w:ascii="宋体" w:hAnsi="宋体"/>
          <w:color w:val="auto"/>
          <w:highlight w:val="none"/>
        </w:rPr>
      </w:pPr>
      <w:r>
        <w:rPr>
          <w:rFonts w:hint="eastAsia" w:ascii="宋体" w:hAnsi="宋体"/>
          <w:color w:val="auto"/>
          <w:highlight w:val="none"/>
        </w:rPr>
        <w:t>开标地点：通过</w:t>
      </w:r>
      <w:r>
        <w:rPr>
          <w:rFonts w:hint="eastAsia" w:ascii="宋体" w:hAnsi="宋体" w:cs="宋体"/>
          <w:bCs/>
          <w:color w:val="auto"/>
          <w:szCs w:val="21"/>
          <w:highlight w:val="none"/>
        </w:rPr>
        <w:t>广西政府采购云平台</w:t>
      </w:r>
      <w:r>
        <w:rPr>
          <w:rFonts w:hint="eastAsia" w:ascii="宋体" w:hAnsi="宋体"/>
          <w:color w:val="auto"/>
          <w:highlight w:val="none"/>
        </w:rPr>
        <w:t>在线解密、开标。</w:t>
      </w:r>
    </w:p>
    <w:p w14:paraId="50ED62F1">
      <w:pPr>
        <w:spacing w:line="360" w:lineRule="exact"/>
        <w:ind w:firstLine="435"/>
        <w:rPr>
          <w:rFonts w:hint="eastAsia" w:ascii="宋体" w:hAnsi="宋体"/>
          <w:color w:val="auto"/>
          <w:highlight w:val="none"/>
        </w:rPr>
      </w:pPr>
      <w:r>
        <w:rPr>
          <w:rFonts w:hint="eastAsia" w:ascii="宋体" w:hAnsi="宋体"/>
          <w:color w:val="auto"/>
          <w:highlight w:val="none"/>
        </w:rPr>
        <w:t>21.2投标人不足3家的，不得开标，采购人或者采购代理机构应当重新组织采购。</w:t>
      </w:r>
    </w:p>
    <w:p w14:paraId="6ED10F7F">
      <w:pPr>
        <w:spacing w:line="360" w:lineRule="exact"/>
        <w:ind w:firstLine="435"/>
        <w:rPr>
          <w:rFonts w:hint="eastAsia" w:ascii="宋体" w:hAnsi="宋体"/>
          <w:b/>
          <w:color w:val="auto"/>
          <w:highlight w:val="none"/>
        </w:rPr>
      </w:pPr>
      <w:r>
        <w:rPr>
          <w:rFonts w:hint="eastAsia" w:ascii="宋体" w:hAnsi="宋体"/>
          <w:b/>
          <w:color w:val="auto"/>
          <w:highlight w:val="none"/>
        </w:rPr>
        <w:t>22. 开标程序</w:t>
      </w:r>
    </w:p>
    <w:p w14:paraId="6CD8A795">
      <w:pPr>
        <w:spacing w:line="360" w:lineRule="exact"/>
        <w:ind w:firstLine="435"/>
        <w:rPr>
          <w:rFonts w:hint="eastAsia" w:ascii="宋体" w:hAnsi="宋体"/>
          <w:color w:val="auto"/>
          <w:highlight w:val="none"/>
        </w:rPr>
      </w:pPr>
      <w:r>
        <w:rPr>
          <w:rFonts w:hint="eastAsia" w:ascii="宋体" w:hAnsi="宋体"/>
          <w:color w:val="auto"/>
          <w:highlight w:val="none"/>
        </w:rPr>
        <w:t>22.1采购代理机构将按照招标文件规定的时间通过</w:t>
      </w:r>
      <w:r>
        <w:rPr>
          <w:rFonts w:hint="eastAsia" w:ascii="宋体" w:hAnsi="宋体" w:cs="宋体"/>
          <w:bCs/>
          <w:color w:val="auto"/>
          <w:szCs w:val="21"/>
          <w:highlight w:val="none"/>
        </w:rPr>
        <w:t>广西政府采购云平台</w:t>
      </w:r>
      <w:r>
        <w:rPr>
          <w:rFonts w:hint="eastAsia" w:ascii="宋体" w:hAnsi="宋体"/>
          <w:color w:val="auto"/>
          <w:highlight w:val="none"/>
        </w:rPr>
        <w:t>在线组织开标、解密开启投标文件，投标人的法定代表人或其委托代理人应当保持</w:t>
      </w:r>
      <w:r>
        <w:rPr>
          <w:rFonts w:hint="eastAsia" w:ascii="宋体" w:hAnsi="宋体" w:cs="宋体"/>
          <w:bCs/>
          <w:color w:val="auto"/>
          <w:szCs w:val="21"/>
          <w:highlight w:val="none"/>
        </w:rPr>
        <w:t>广西政府采购云平台</w:t>
      </w:r>
      <w:r>
        <w:rPr>
          <w:rFonts w:hint="eastAsia" w:ascii="宋体" w:hAnsi="宋体"/>
          <w:color w:val="auto"/>
          <w:highlight w:val="none"/>
        </w:rPr>
        <w:t>实时在线，并通过</w:t>
      </w:r>
      <w:r>
        <w:rPr>
          <w:rFonts w:hint="eastAsia" w:ascii="宋体" w:hAnsi="宋体" w:cs="宋体"/>
          <w:bCs/>
          <w:color w:val="auto"/>
          <w:szCs w:val="21"/>
          <w:highlight w:val="none"/>
        </w:rPr>
        <w:t>广西政府采购云平台</w:t>
      </w:r>
      <w:r>
        <w:rPr>
          <w:rFonts w:hint="eastAsia" w:ascii="宋体" w:hAnsi="宋体"/>
          <w:color w:val="auto"/>
          <w:highlight w:val="none"/>
        </w:rPr>
        <w:t>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6FF5E9D6">
      <w:pPr>
        <w:spacing w:line="360" w:lineRule="exact"/>
        <w:ind w:firstLine="435"/>
        <w:rPr>
          <w:rFonts w:hint="eastAsia" w:ascii="宋体" w:hAnsi="宋体"/>
          <w:color w:val="auto"/>
          <w:highlight w:val="none"/>
        </w:rPr>
      </w:pPr>
      <w:r>
        <w:rPr>
          <w:rFonts w:hint="eastAsia" w:ascii="宋体" w:hAnsi="宋体"/>
          <w:color w:val="auto"/>
          <w:highlight w:val="none"/>
        </w:rPr>
        <w:t>22.2投标文件解密：投标文件提交截止时间后，采购代理机构开启解密投标文件操作，</w:t>
      </w:r>
      <w:r>
        <w:rPr>
          <w:rFonts w:hint="eastAsia" w:ascii="宋体" w:hAnsi="宋体" w:cs="宋体"/>
          <w:bCs/>
          <w:color w:val="auto"/>
          <w:szCs w:val="21"/>
          <w:highlight w:val="none"/>
        </w:rPr>
        <w:t>广西政府采购云平台</w:t>
      </w:r>
      <w:r>
        <w:rPr>
          <w:rFonts w:hint="eastAsia" w:ascii="宋体" w:hAnsi="宋体"/>
          <w:color w:val="auto"/>
          <w:highlight w:val="none"/>
        </w:rPr>
        <w:t>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向采购代理机构现场提交电子备份投标文件（接收电子备份投标文件的电子邮箱为：guilinyl@vip.sina.com）；投标人未在上述规定的时间、电子邮箱提交的电子备份投标文件，采购代理机构不予接收或承认。采购代理机构收到电子备份投标文件后按操作规范上传至广西政府采购云平台，电子备份投标文件上传成功后，投标人原上传的“电子加密投标文件”自动失效。</w:t>
      </w:r>
      <w:r>
        <w:rPr>
          <w:rFonts w:hint="eastAsia" w:ascii="宋体" w:hAnsi="宋体"/>
          <w:b/>
          <w:color w:val="auto"/>
          <w:highlight w:val="none"/>
        </w:rPr>
        <w:t>若投标人在规定时间内无法解密或解密失败且未在规定的时间内提供电子备份投标文件的（包含提供的电子备份投标文件无效的情况），视为投标人放弃投标</w:t>
      </w:r>
      <w:r>
        <w:rPr>
          <w:rFonts w:hint="eastAsia" w:ascii="宋体" w:hAnsi="宋体"/>
          <w:color w:val="auto"/>
          <w:highlight w:val="none"/>
        </w:rPr>
        <w:t>。</w:t>
      </w:r>
    </w:p>
    <w:p w14:paraId="0651B176">
      <w:pPr>
        <w:spacing w:line="360" w:lineRule="exact"/>
        <w:ind w:firstLine="435"/>
        <w:rPr>
          <w:rFonts w:hint="eastAsia" w:ascii="宋体" w:hAnsi="宋体"/>
          <w:color w:val="auto"/>
          <w:highlight w:val="none"/>
        </w:rPr>
      </w:pPr>
      <w:r>
        <w:rPr>
          <w:rFonts w:hint="eastAsia" w:ascii="宋体" w:hAnsi="宋体"/>
          <w:color w:val="auto"/>
          <w:highlight w:val="none"/>
        </w:rPr>
        <w:t>22.3投标文件解密结束后，开标活动组织人员在线开启投标文件。</w:t>
      </w:r>
    </w:p>
    <w:p w14:paraId="1198421E">
      <w:pPr>
        <w:spacing w:line="360" w:lineRule="exact"/>
        <w:ind w:firstLine="435"/>
        <w:rPr>
          <w:rFonts w:hint="eastAsia" w:ascii="宋体" w:hAnsi="宋体"/>
          <w:color w:val="auto"/>
          <w:highlight w:val="none"/>
        </w:rPr>
      </w:pPr>
      <w:r>
        <w:rPr>
          <w:rFonts w:hint="eastAsia" w:ascii="宋体" w:hAnsi="宋体"/>
          <w:color w:val="auto"/>
          <w:highlight w:val="none"/>
        </w:rPr>
        <w:t>22.4开启投标人报价文件，电子开标大厅记录显示并记录投标人投标报价表的投标报价等。</w:t>
      </w:r>
    </w:p>
    <w:p w14:paraId="345B4174">
      <w:pPr>
        <w:spacing w:line="360" w:lineRule="exact"/>
        <w:ind w:firstLine="435"/>
        <w:rPr>
          <w:rFonts w:hint="eastAsia" w:ascii="宋体" w:hAnsi="宋体"/>
          <w:color w:val="auto"/>
          <w:highlight w:val="none"/>
        </w:rPr>
      </w:pPr>
      <w:r>
        <w:rPr>
          <w:rFonts w:hint="eastAsia" w:ascii="宋体" w:hAnsi="宋体"/>
          <w:color w:val="auto"/>
          <w:highlight w:val="none"/>
        </w:rPr>
        <w:t>22.5投标人线上确认投标报价。</w:t>
      </w:r>
    </w:p>
    <w:p w14:paraId="549D92D8">
      <w:pPr>
        <w:spacing w:line="360" w:lineRule="exact"/>
        <w:ind w:firstLine="435"/>
        <w:rPr>
          <w:rFonts w:hint="eastAsia" w:ascii="宋体" w:hAnsi="宋体"/>
          <w:color w:val="auto"/>
          <w:highlight w:val="none"/>
        </w:rPr>
      </w:pPr>
      <w:r>
        <w:rPr>
          <w:rFonts w:hint="eastAsia" w:ascii="宋体" w:hAnsi="宋体"/>
          <w:color w:val="auto"/>
          <w:highlight w:val="none"/>
        </w:rPr>
        <w:t>22.6如发现开标结果与所提交的报价文件不一致的，由评标委员会根据报价文件内容进行修正。</w:t>
      </w:r>
    </w:p>
    <w:p w14:paraId="1B110593">
      <w:pPr>
        <w:spacing w:line="360" w:lineRule="exact"/>
        <w:ind w:firstLine="435"/>
        <w:rPr>
          <w:rFonts w:hint="eastAsia" w:ascii="宋体" w:hAnsi="宋体"/>
          <w:color w:val="auto"/>
          <w:highlight w:val="none"/>
        </w:rPr>
      </w:pPr>
      <w:r>
        <w:rPr>
          <w:rFonts w:hint="eastAsia" w:ascii="宋体" w:hAnsi="宋体"/>
          <w:color w:val="auto"/>
          <w:highlight w:val="none"/>
        </w:rPr>
        <w:t>22.7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627425B4">
      <w:pPr>
        <w:spacing w:line="360" w:lineRule="exact"/>
        <w:ind w:firstLine="435"/>
        <w:rPr>
          <w:rFonts w:hint="eastAsia" w:ascii="宋体" w:hAnsi="宋体"/>
          <w:color w:val="auto"/>
          <w:highlight w:val="none"/>
        </w:rPr>
      </w:pPr>
      <w:r>
        <w:rPr>
          <w:rFonts w:hint="eastAsia" w:ascii="宋体" w:hAnsi="宋体"/>
          <w:color w:val="auto"/>
          <w:highlight w:val="none"/>
        </w:rPr>
        <w:t>22.8特别说明：如遇</w:t>
      </w:r>
      <w:r>
        <w:rPr>
          <w:rFonts w:hint="eastAsia" w:ascii="宋体" w:hAnsi="宋体" w:cs="宋体"/>
          <w:bCs/>
          <w:color w:val="auto"/>
          <w:szCs w:val="21"/>
          <w:highlight w:val="none"/>
        </w:rPr>
        <w:t>广西政府采购云平台</w:t>
      </w:r>
      <w:r>
        <w:rPr>
          <w:rFonts w:hint="eastAsia" w:ascii="宋体" w:hAnsi="宋体"/>
          <w:color w:val="auto"/>
          <w:highlight w:val="none"/>
        </w:rPr>
        <w:t>电子化开标或评审程序调整的，按调整后程序执行。</w:t>
      </w:r>
    </w:p>
    <w:p w14:paraId="0FDC8172">
      <w:pPr>
        <w:tabs>
          <w:tab w:val="left" w:pos="1305"/>
        </w:tabs>
        <w:spacing w:line="340" w:lineRule="exact"/>
        <w:ind w:firstLine="562" w:firstLineChars="200"/>
        <w:jc w:val="center"/>
        <w:rPr>
          <w:rFonts w:hint="eastAsia" w:ascii="宋体" w:hAnsi="宋体"/>
          <w:b/>
          <w:color w:val="auto"/>
          <w:sz w:val="28"/>
          <w:szCs w:val="28"/>
          <w:highlight w:val="none"/>
        </w:rPr>
      </w:pPr>
    </w:p>
    <w:p w14:paraId="306AB71D">
      <w:pPr>
        <w:tabs>
          <w:tab w:val="left" w:pos="1305"/>
        </w:tabs>
        <w:spacing w:line="340" w:lineRule="exact"/>
        <w:ind w:firstLine="562" w:firstLineChars="200"/>
        <w:jc w:val="center"/>
        <w:rPr>
          <w:rFonts w:hint="eastAsia" w:ascii="宋体" w:hAnsi="宋体"/>
          <w:b/>
          <w:color w:val="auto"/>
          <w:sz w:val="28"/>
          <w:szCs w:val="28"/>
          <w:highlight w:val="none"/>
        </w:rPr>
      </w:pPr>
      <w:r>
        <w:rPr>
          <w:rFonts w:hint="eastAsia" w:ascii="宋体" w:hAnsi="宋体"/>
          <w:b/>
          <w:color w:val="auto"/>
          <w:sz w:val="28"/>
          <w:szCs w:val="28"/>
          <w:highlight w:val="none"/>
        </w:rPr>
        <w:t>五、资格性审查</w:t>
      </w:r>
    </w:p>
    <w:p w14:paraId="7FAEE1F4">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23. 资格性审查</w:t>
      </w:r>
    </w:p>
    <w:p w14:paraId="1B0A0C27">
      <w:pPr>
        <w:tabs>
          <w:tab w:val="left" w:pos="1305"/>
        </w:tabs>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23.1</w:t>
      </w:r>
      <w:r>
        <w:rPr>
          <w:rFonts w:ascii="宋体" w:hAnsi="宋体"/>
          <w:color w:val="auto"/>
          <w:szCs w:val="21"/>
          <w:highlight w:val="none"/>
        </w:rPr>
        <w:t>公开招标采购项目开标结束后，采购人或者采购代理机构应当依法对投标人的资格进行审查。</w:t>
      </w:r>
    </w:p>
    <w:p w14:paraId="6AABCE3D">
      <w:pPr>
        <w:tabs>
          <w:tab w:val="left" w:pos="1305"/>
        </w:tabs>
        <w:spacing w:line="340" w:lineRule="exact"/>
        <w:rPr>
          <w:rFonts w:hint="eastAsia" w:ascii="宋体" w:hAnsi="宋体"/>
          <w:color w:val="auto"/>
          <w:szCs w:val="21"/>
          <w:highlight w:val="none"/>
        </w:rPr>
      </w:pPr>
      <w:r>
        <w:rPr>
          <w:rFonts w:ascii="宋体" w:hAnsi="宋体"/>
          <w:color w:val="auto"/>
          <w:szCs w:val="21"/>
          <w:highlight w:val="none"/>
        </w:rPr>
        <w:t>合格投标人不足3家的，不得评标。</w:t>
      </w:r>
    </w:p>
    <w:p w14:paraId="497CA760">
      <w:pPr>
        <w:spacing w:line="340" w:lineRule="exact"/>
        <w:ind w:firstLine="422" w:firstLineChars="200"/>
        <w:rPr>
          <w:rFonts w:ascii="宋体" w:hAnsi="宋体"/>
          <w:b/>
          <w:color w:val="auto"/>
          <w:szCs w:val="21"/>
          <w:highlight w:val="none"/>
        </w:rPr>
      </w:pPr>
      <w:r>
        <w:rPr>
          <w:rFonts w:hint="eastAsia" w:ascii="宋体" w:hAnsi="宋体"/>
          <w:b/>
          <w:color w:val="auto"/>
          <w:szCs w:val="21"/>
          <w:highlight w:val="none"/>
        </w:rPr>
        <w:t>23.2</w:t>
      </w:r>
      <w:r>
        <w:rPr>
          <w:rFonts w:ascii="宋体" w:hAnsi="宋体"/>
          <w:b/>
          <w:color w:val="auto"/>
          <w:sz w:val="24"/>
          <w:highlight w:val="none"/>
        </w:rPr>
        <w:t>采购人或者采购代理机构</w:t>
      </w:r>
      <w:r>
        <w:rPr>
          <w:rFonts w:hint="eastAsia" w:ascii="宋体" w:hAnsi="宋体"/>
          <w:b/>
          <w:color w:val="auto"/>
          <w:sz w:val="24"/>
          <w:highlight w:val="none"/>
        </w:rPr>
        <w:t>在对投标人进行资格性审查时，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资格审查不通过处理。</w:t>
      </w:r>
    </w:p>
    <w:p w14:paraId="1B5F31D5">
      <w:pPr>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查询渠道：《国家企业信用信息公示系统》（网址：</w:t>
      </w:r>
      <w:r>
        <w:rPr>
          <w:rFonts w:ascii="宋体" w:hAnsi="宋体"/>
          <w:color w:val="auto"/>
          <w:szCs w:val="21"/>
          <w:highlight w:val="none"/>
        </w:rPr>
        <w:t xml:space="preserve"> www.gsxt.gov.cn/index.html</w:t>
      </w:r>
      <w:r>
        <w:rPr>
          <w:rFonts w:hint="eastAsia" w:ascii="宋体" w:hAnsi="宋体"/>
          <w:color w:val="auto"/>
          <w:szCs w:val="21"/>
          <w:highlight w:val="none"/>
        </w:rPr>
        <w:t>）</w:t>
      </w:r>
    </w:p>
    <w:p w14:paraId="3991D56E">
      <w:pPr>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审查流程：</w:t>
      </w:r>
    </w:p>
    <w:p w14:paraId="65F7EDA1">
      <w:pPr>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（1）进入《国家企业信用信息公示系统》（网址：</w:t>
      </w:r>
      <w:r>
        <w:rPr>
          <w:rFonts w:ascii="宋体" w:hAnsi="宋体"/>
          <w:color w:val="auto"/>
          <w:szCs w:val="21"/>
          <w:highlight w:val="none"/>
        </w:rPr>
        <w:t xml:space="preserve"> www.gsxt.gov.cn/index.html</w:t>
      </w:r>
      <w:r>
        <w:rPr>
          <w:rFonts w:hint="eastAsia" w:ascii="宋体" w:hAnsi="宋体"/>
          <w:color w:val="auto"/>
          <w:szCs w:val="21"/>
          <w:highlight w:val="none"/>
        </w:rPr>
        <w:t>），输入企业名称，进入企业信息主页面；</w:t>
      </w:r>
    </w:p>
    <w:p w14:paraId="2F3E3DF3">
      <w:pPr>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（2）查看主页“股东及出资信息”栏，或年报中的“股东及出资信息”栏信息；</w:t>
      </w:r>
    </w:p>
    <w:p w14:paraId="22CF7196">
      <w:pPr>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（3）将各投标人的股东及出资信息进行比对，得出审查结论；</w:t>
      </w:r>
    </w:p>
    <w:p w14:paraId="62D9CFDF">
      <w:pPr>
        <w:snapToGrid w:val="0"/>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（4）将相关资料作为评审资料打印存档。</w:t>
      </w:r>
    </w:p>
    <w:p w14:paraId="24C01F04">
      <w:pPr>
        <w:tabs>
          <w:tab w:val="left" w:pos="1305"/>
        </w:tabs>
        <w:spacing w:line="340" w:lineRule="exact"/>
        <w:rPr>
          <w:rFonts w:hint="eastAsia" w:ascii="宋体" w:hAnsi="宋体"/>
          <w:b/>
          <w:color w:val="auto"/>
          <w:sz w:val="24"/>
          <w:highlight w:val="none"/>
        </w:rPr>
      </w:pPr>
      <w:r>
        <w:rPr>
          <w:rFonts w:hint="eastAsia" w:ascii="宋体" w:hAnsi="宋体"/>
          <w:b/>
          <w:color w:val="auto"/>
          <w:sz w:val="24"/>
          <w:highlight w:val="none"/>
        </w:rPr>
        <w:t xml:space="preserve">    注：以上审查过程中，如出现查询企业网页主页面无法显示股东及出资信息的或仅以主页面信息内容无法认定投标人之间存在单位负责人为同一人或者存在直接控股、管理关系的，当时审查程序可继续进行，待评审结束后将对以上投标人作进一步核实确认，如确认投标人之间存在有上述关联供应商情形的，关联供应商均按投标无效处理。</w:t>
      </w:r>
    </w:p>
    <w:p w14:paraId="0929BED2">
      <w:pPr>
        <w:tabs>
          <w:tab w:val="center" w:pos="4411"/>
          <w:tab w:val="left" w:pos="5475"/>
        </w:tabs>
        <w:spacing w:line="340" w:lineRule="exact"/>
        <w:jc w:val="center"/>
        <w:rPr>
          <w:rFonts w:hint="eastAsia" w:ascii="宋体" w:hAnsi="宋体"/>
          <w:b/>
          <w:color w:val="auto"/>
          <w:sz w:val="28"/>
          <w:szCs w:val="28"/>
          <w:highlight w:val="none"/>
        </w:rPr>
      </w:pPr>
    </w:p>
    <w:p w14:paraId="3F449E56">
      <w:pPr>
        <w:tabs>
          <w:tab w:val="center" w:pos="4411"/>
          <w:tab w:val="left" w:pos="5475"/>
        </w:tabs>
        <w:spacing w:line="340" w:lineRule="exact"/>
        <w:jc w:val="center"/>
        <w:rPr>
          <w:rFonts w:hint="eastAsia" w:ascii="宋体" w:hAnsi="宋体"/>
          <w:b/>
          <w:color w:val="auto"/>
          <w:sz w:val="28"/>
          <w:szCs w:val="28"/>
          <w:highlight w:val="none"/>
        </w:rPr>
      </w:pPr>
      <w:r>
        <w:rPr>
          <w:rFonts w:hint="eastAsia" w:ascii="宋体" w:hAnsi="宋体"/>
          <w:b/>
          <w:color w:val="auto"/>
          <w:sz w:val="28"/>
          <w:szCs w:val="28"/>
          <w:highlight w:val="none"/>
        </w:rPr>
        <w:t>六、评标</w:t>
      </w:r>
    </w:p>
    <w:p w14:paraId="1181D39B">
      <w:pPr>
        <w:tabs>
          <w:tab w:val="center" w:pos="4411"/>
          <w:tab w:val="left" w:pos="5475"/>
        </w:tabs>
        <w:spacing w:line="34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24. 评标委员会组成</w:t>
      </w:r>
    </w:p>
    <w:p w14:paraId="0096F14D">
      <w:pPr>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评标委员会由采购人代表和评审专家组成，成员人数</w:t>
      </w:r>
      <w:r>
        <w:rPr>
          <w:rFonts w:hint="eastAsia" w:ascii="宋体" w:hAnsi="宋体"/>
          <w:color w:val="auto"/>
          <w:szCs w:val="21"/>
          <w:highlight w:val="none"/>
        </w:rPr>
        <w:t>共5</w:t>
      </w:r>
      <w:r>
        <w:rPr>
          <w:rFonts w:ascii="宋体" w:hAnsi="宋体"/>
          <w:color w:val="auto"/>
          <w:szCs w:val="21"/>
          <w:highlight w:val="none"/>
        </w:rPr>
        <w:t>人</w:t>
      </w:r>
      <w:r>
        <w:rPr>
          <w:rFonts w:hint="eastAsia" w:ascii="宋体" w:hAnsi="宋体"/>
          <w:color w:val="auto"/>
          <w:szCs w:val="21"/>
          <w:highlight w:val="none"/>
        </w:rPr>
        <w:t>，其中评审专家不得少于成员总数的2/3</w:t>
      </w:r>
      <w:r>
        <w:rPr>
          <w:rFonts w:ascii="宋体" w:hAnsi="宋体"/>
          <w:color w:val="auto"/>
          <w:szCs w:val="21"/>
          <w:highlight w:val="none"/>
        </w:rPr>
        <w:t>。</w:t>
      </w:r>
    </w:p>
    <w:p w14:paraId="6568E39D">
      <w:pPr>
        <w:spacing w:line="340" w:lineRule="exact"/>
        <w:ind w:firstLine="422" w:firstLineChars="200"/>
        <w:rPr>
          <w:rFonts w:ascii="宋体" w:hAnsi="宋体"/>
          <w:color w:val="auto"/>
          <w:szCs w:val="21"/>
          <w:highlight w:val="none"/>
        </w:rPr>
      </w:pPr>
      <w:r>
        <w:rPr>
          <w:rFonts w:hint="eastAsia" w:ascii="宋体" w:hAnsi="宋体"/>
          <w:b/>
          <w:color w:val="auto"/>
          <w:szCs w:val="21"/>
          <w:highlight w:val="none"/>
        </w:rPr>
        <w:t>25. 评标办法</w:t>
      </w:r>
    </w:p>
    <w:p w14:paraId="06FF66FD">
      <w:pPr>
        <w:tabs>
          <w:tab w:val="left" w:pos="1140"/>
        </w:tabs>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25.1评标办法：综合评分法，具体评标内容及标准详见第四章。</w:t>
      </w:r>
    </w:p>
    <w:p w14:paraId="30C5B337">
      <w:pPr>
        <w:tabs>
          <w:tab w:val="left" w:pos="1140"/>
        </w:tabs>
        <w:spacing w:line="340" w:lineRule="exact"/>
        <w:ind w:firstLine="420" w:firstLineChars="200"/>
        <w:rPr>
          <w:rFonts w:hint="eastAsia" w:ascii="宋体" w:hAnsi="宋体"/>
          <w:color w:val="auto"/>
          <w:highlight w:val="none"/>
        </w:rPr>
      </w:pPr>
      <w:r>
        <w:rPr>
          <w:rFonts w:hint="eastAsia" w:ascii="宋体" w:hAnsi="宋体"/>
          <w:color w:val="auto"/>
          <w:szCs w:val="21"/>
          <w:highlight w:val="none"/>
        </w:rPr>
        <w:t>25.2评标委员会应按招标文件进行评标，不得擅自更改评标办法。</w:t>
      </w:r>
      <w:r>
        <w:rPr>
          <w:rFonts w:hint="eastAsia" w:ascii="宋体" w:hAnsi="宋体"/>
          <w:color w:val="auto"/>
          <w:highlight w:val="none"/>
        </w:rPr>
        <w:t>　　　　　　　　　　　　　　　　　　　　　　　　　　　　　　　　　　　　　　　　　　　　　　　　　　　　　　　　　　</w:t>
      </w:r>
    </w:p>
    <w:p w14:paraId="6A7DEC2F">
      <w:pPr>
        <w:tabs>
          <w:tab w:val="left" w:pos="1140"/>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26. 评标</w:t>
      </w:r>
    </w:p>
    <w:p w14:paraId="059F4030">
      <w:pPr>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26.1采购代理机构负责组织评标工作，宣布评标工作纪律，</w:t>
      </w:r>
      <w:r>
        <w:rPr>
          <w:rFonts w:ascii="宋体" w:hAnsi="宋体"/>
          <w:color w:val="auto"/>
          <w:szCs w:val="21"/>
          <w:highlight w:val="none"/>
        </w:rPr>
        <w:t>公布投标人名单，告知评审专家应当回避的情形</w:t>
      </w:r>
      <w:r>
        <w:rPr>
          <w:rFonts w:hint="eastAsia" w:ascii="宋体" w:hAnsi="宋体"/>
          <w:color w:val="auto"/>
          <w:szCs w:val="21"/>
          <w:highlight w:val="none"/>
        </w:rPr>
        <w:t>，</w:t>
      </w:r>
      <w:r>
        <w:rPr>
          <w:rFonts w:ascii="宋体" w:hAnsi="宋体"/>
          <w:color w:val="auto"/>
          <w:szCs w:val="21"/>
          <w:highlight w:val="none"/>
        </w:rPr>
        <w:t>组织评标委员会推选评标组长，采购人代表不得担任组长</w:t>
      </w:r>
      <w:r>
        <w:rPr>
          <w:rFonts w:hint="eastAsia" w:ascii="宋体" w:hAnsi="宋体"/>
          <w:color w:val="auto"/>
          <w:szCs w:val="21"/>
          <w:highlight w:val="none"/>
        </w:rPr>
        <w:t>。</w:t>
      </w:r>
      <w:r>
        <w:rPr>
          <w:rFonts w:ascii="宋体" w:hAnsi="宋体"/>
          <w:color w:val="auto"/>
          <w:szCs w:val="21"/>
          <w:highlight w:val="none"/>
        </w:rPr>
        <w:t>在评标期间</w:t>
      </w:r>
      <w:r>
        <w:rPr>
          <w:rFonts w:hint="eastAsia" w:ascii="宋体" w:hAnsi="宋体"/>
          <w:color w:val="auto"/>
          <w:szCs w:val="21"/>
          <w:highlight w:val="none"/>
        </w:rPr>
        <w:t>由桂林市公共资源交易中心</w:t>
      </w:r>
      <w:r>
        <w:rPr>
          <w:rFonts w:ascii="宋体" w:hAnsi="宋体"/>
          <w:color w:val="auto"/>
          <w:szCs w:val="21"/>
          <w:highlight w:val="none"/>
        </w:rPr>
        <w:t>采取必要的通讯管理措施</w:t>
      </w:r>
      <w:r>
        <w:rPr>
          <w:rFonts w:hint="eastAsia" w:ascii="宋体" w:hAnsi="宋体"/>
          <w:color w:val="auto"/>
          <w:szCs w:val="21"/>
          <w:highlight w:val="none"/>
        </w:rPr>
        <w:t>并</w:t>
      </w:r>
      <w:r>
        <w:rPr>
          <w:rFonts w:ascii="宋体" w:hAnsi="宋体"/>
          <w:color w:val="auto"/>
          <w:szCs w:val="21"/>
          <w:highlight w:val="none"/>
        </w:rPr>
        <w:t>保证评标活动不受外界干扰</w:t>
      </w:r>
      <w:r>
        <w:rPr>
          <w:rFonts w:hint="eastAsia" w:ascii="宋体" w:hAnsi="宋体"/>
          <w:color w:val="auto"/>
          <w:szCs w:val="21"/>
          <w:highlight w:val="none"/>
        </w:rPr>
        <w:t>。采购代理机构</w:t>
      </w:r>
      <w:r>
        <w:rPr>
          <w:rFonts w:ascii="宋体" w:hAnsi="宋体"/>
          <w:color w:val="auto"/>
          <w:szCs w:val="21"/>
          <w:highlight w:val="none"/>
        </w:rPr>
        <w:t>根据评标委员会的要求介绍政府采购相关政策法规、招标文件；维护评标秩序，监督评标委员会依照招标文件规定的评标程序、方法和标准进行独立评审，及时制止和纠正采购人代表、评审专家的倾向性言论或者违法违规行为；核对评标结果，有</w:t>
      </w:r>
      <w:r>
        <w:rPr>
          <w:rFonts w:hint="eastAsia" w:ascii="宋体" w:hAnsi="宋体"/>
          <w:color w:val="auto"/>
          <w:szCs w:val="21"/>
          <w:highlight w:val="none"/>
        </w:rPr>
        <w:t>投标无效</w:t>
      </w:r>
      <w:r>
        <w:rPr>
          <w:rFonts w:ascii="宋体" w:hAnsi="宋体"/>
          <w:color w:val="auto"/>
          <w:szCs w:val="21"/>
          <w:highlight w:val="none"/>
        </w:rPr>
        <w:t>情形的，要求评标委员会复核或者书面说明理由，评标委员会拒绝的，应予记录并向本级财政部门报告；评审工作完成后，按照规定向评审专家支付劳务报酬和异地评审差旅费，不得向评审专家以外的其他人员支付评审劳务报酬</w:t>
      </w:r>
      <w:r>
        <w:rPr>
          <w:rFonts w:hint="eastAsia" w:ascii="宋体" w:hAnsi="宋体"/>
          <w:color w:val="auto"/>
          <w:szCs w:val="21"/>
          <w:highlight w:val="none"/>
        </w:rPr>
        <w:t>。</w:t>
      </w:r>
    </w:p>
    <w:p w14:paraId="5AF47682">
      <w:pPr>
        <w:pStyle w:val="45"/>
        <w:shd w:val="clear" w:color="auto" w:fill="FFFFFF"/>
        <w:spacing w:before="0" w:beforeAutospacing="0" w:after="0" w:afterAutospacing="0" w:line="340" w:lineRule="exact"/>
        <w:ind w:firstLine="420" w:firstLineChars="200"/>
        <w:rPr>
          <w:rFonts w:hint="eastAsia" w:cs="Times New Roman"/>
          <w:color w:val="auto"/>
          <w:kern w:val="2"/>
          <w:sz w:val="21"/>
          <w:szCs w:val="21"/>
          <w:highlight w:val="none"/>
        </w:rPr>
      </w:pPr>
      <w:r>
        <w:rPr>
          <w:rFonts w:hint="eastAsia" w:cs="Times New Roman"/>
          <w:color w:val="auto"/>
          <w:kern w:val="2"/>
          <w:sz w:val="21"/>
          <w:szCs w:val="21"/>
          <w:highlight w:val="none"/>
        </w:rPr>
        <w:t>26.2评标委员会负责具体评标事务；</w:t>
      </w:r>
      <w:r>
        <w:rPr>
          <w:rFonts w:cs="Times New Roman"/>
          <w:color w:val="auto"/>
          <w:kern w:val="2"/>
          <w:sz w:val="21"/>
          <w:szCs w:val="21"/>
          <w:highlight w:val="none"/>
        </w:rPr>
        <w:t>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14:paraId="135758DF">
      <w:pPr>
        <w:pStyle w:val="45"/>
        <w:shd w:val="clear" w:color="auto" w:fill="FFFFFF"/>
        <w:spacing w:before="0" w:beforeAutospacing="0" w:after="0" w:afterAutospacing="0" w:line="340" w:lineRule="exact"/>
        <w:ind w:firstLine="420" w:firstLineChars="200"/>
        <w:rPr>
          <w:rFonts w:cs="Times New Roman"/>
          <w:color w:val="auto"/>
          <w:kern w:val="2"/>
          <w:sz w:val="21"/>
          <w:szCs w:val="21"/>
          <w:highlight w:val="none"/>
        </w:rPr>
      </w:pPr>
      <w:r>
        <w:rPr>
          <w:rFonts w:hint="eastAsia" w:cs="Times New Roman"/>
          <w:color w:val="auto"/>
          <w:kern w:val="2"/>
          <w:sz w:val="21"/>
          <w:szCs w:val="21"/>
          <w:highlight w:val="none"/>
        </w:rPr>
        <w:t>26.3在评标过程中，评标委员会任何人不得对某个投标人发表任何倾向性意见，不得向其他专家评委明示或者暗示自己的评审意见。</w:t>
      </w:r>
    </w:p>
    <w:p w14:paraId="695EB2AC">
      <w:pPr>
        <w:tabs>
          <w:tab w:val="left" w:pos="1140"/>
        </w:tabs>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26.4</w:t>
      </w:r>
      <w:r>
        <w:rPr>
          <w:rFonts w:ascii="宋体" w:hAnsi="宋体"/>
          <w:color w:val="auto"/>
          <w:szCs w:val="21"/>
          <w:highlight w:val="none"/>
        </w:rPr>
        <w:t>评标委员会应当对符合资格的投标人的投标文件进行符合性审查，以确定其是否满足招标文件的实质性要求。</w:t>
      </w:r>
    </w:p>
    <w:p w14:paraId="7562BA2D">
      <w:pPr>
        <w:tabs>
          <w:tab w:val="left" w:pos="1140"/>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26.5对于投标文件中含义不明确、同类问题表述不一致或者有明显文字和计算错误的内容，评标委员会应当以书面形式要求投标人作出必要的澄清、说明或者补正。</w:t>
      </w:r>
    </w:p>
    <w:p w14:paraId="557CC0A1">
      <w:pPr>
        <w:tabs>
          <w:tab w:val="left" w:pos="1140"/>
        </w:tabs>
        <w:spacing w:line="340" w:lineRule="exact"/>
        <w:ind w:firstLine="420" w:firstLineChars="200"/>
        <w:rPr>
          <w:rFonts w:hint="eastAsia" w:ascii="宋体" w:hAnsi="宋体"/>
          <w:color w:val="auto"/>
          <w:szCs w:val="21"/>
          <w:highlight w:val="none"/>
        </w:rPr>
      </w:pPr>
      <w:r>
        <w:rPr>
          <w:rFonts w:hint="eastAsia" w:ascii="宋体" w:hAnsi="宋体" w:cs="宋体"/>
          <w:bCs/>
          <w:color w:val="auto"/>
          <w:szCs w:val="21"/>
          <w:highlight w:val="none"/>
        </w:rPr>
        <w:t>投标人的澄清、说明或者补正应当通过广西政府采购云平台采用在线书面形式，澄清、说明或者补正应当签字或者电子签名【法定代表人或相应的授权委托代理人签字（或者电子签名）均可】或加盖投标人电子签章。</w:t>
      </w:r>
      <w:r>
        <w:rPr>
          <w:rFonts w:hint="eastAsia" w:ascii="宋体" w:hAnsi="宋体" w:cs="宋体"/>
          <w:color w:val="auto"/>
          <w:szCs w:val="21"/>
          <w:highlight w:val="none"/>
        </w:rPr>
        <w:t>投标人的澄清、说明或者补正不得超出投标文件的范围或者改变投标文件的实质性内容。</w:t>
      </w:r>
    </w:p>
    <w:p w14:paraId="460226C1">
      <w:pPr>
        <w:pStyle w:val="27"/>
        <w:spacing w:line="340" w:lineRule="exact"/>
        <w:ind w:firstLine="411" w:firstLineChars="196"/>
        <w:rPr>
          <w:rFonts w:hint="eastAsia" w:hAnsi="宋体"/>
          <w:color w:val="auto"/>
          <w:szCs w:val="21"/>
          <w:highlight w:val="none"/>
        </w:rPr>
      </w:pPr>
      <w:r>
        <w:rPr>
          <w:rFonts w:hint="eastAsia" w:hAnsi="宋体"/>
          <w:color w:val="auto"/>
          <w:szCs w:val="21"/>
          <w:highlight w:val="none"/>
        </w:rPr>
        <w:t>26.6</w:t>
      </w:r>
      <w:r>
        <w:rPr>
          <w:rFonts w:hAnsi="宋体"/>
          <w:color w:val="auto"/>
          <w:szCs w:val="21"/>
          <w:highlight w:val="none"/>
        </w:rPr>
        <w:t>评标委员会应当按照招标文件中规定的评标方法和标准，对符合性审查合格的投标文件进行商务和技术评估，综合比较与评价。</w:t>
      </w:r>
    </w:p>
    <w:p w14:paraId="31E5D1C6">
      <w:pPr>
        <w:pStyle w:val="27"/>
        <w:snapToGrid w:val="0"/>
        <w:spacing w:line="340" w:lineRule="exact"/>
        <w:ind w:firstLine="420" w:firstLineChars="200"/>
        <w:rPr>
          <w:rFonts w:hint="eastAsia" w:hAnsi="宋体"/>
          <w:color w:val="auto"/>
          <w:highlight w:val="none"/>
        </w:rPr>
      </w:pPr>
      <w:r>
        <w:rPr>
          <w:rFonts w:hint="eastAsia" w:hAnsi="宋体"/>
          <w:color w:val="auto"/>
          <w:highlight w:val="none"/>
        </w:rPr>
        <w:t>26.7评标委员会成员应当独立对每个投标人的投标文件进行评价，最终汇总每个投标人的得分。各投标人的得分为所有评委的有效评分的算术平均数。</w:t>
      </w:r>
    </w:p>
    <w:p w14:paraId="14FCC930">
      <w:pPr>
        <w:spacing w:line="340" w:lineRule="exact"/>
        <w:ind w:firstLine="422" w:firstLineChars="200"/>
        <w:rPr>
          <w:rFonts w:ascii="宋体" w:hAnsi="宋体"/>
          <w:b/>
          <w:color w:val="auto"/>
          <w:szCs w:val="21"/>
          <w:highlight w:val="none"/>
        </w:rPr>
      </w:pPr>
      <w:r>
        <w:rPr>
          <w:rFonts w:hint="eastAsia" w:ascii="宋体" w:hAnsi="宋体"/>
          <w:b/>
          <w:color w:val="auto"/>
          <w:szCs w:val="21"/>
          <w:highlight w:val="none"/>
        </w:rPr>
        <w:t>26.8</w:t>
      </w:r>
      <w:r>
        <w:rPr>
          <w:rFonts w:ascii="宋体" w:hAnsi="宋体"/>
          <w:b/>
          <w:color w:val="auto"/>
          <w:szCs w:val="21"/>
          <w:highlight w:val="none"/>
        </w:rPr>
        <w:t>投标文件报价出现前后不一致的，除招标文件另有规定外，按照下列规定修正：</w:t>
      </w:r>
    </w:p>
    <w:p w14:paraId="1BDE60AA">
      <w:pPr>
        <w:spacing w:line="340" w:lineRule="exact"/>
        <w:ind w:firstLine="310" w:firstLineChars="147"/>
        <w:rPr>
          <w:rFonts w:ascii="宋体" w:hAnsi="宋体"/>
          <w:b/>
          <w:color w:val="auto"/>
          <w:szCs w:val="21"/>
          <w:highlight w:val="none"/>
        </w:rPr>
      </w:pPr>
      <w:r>
        <w:rPr>
          <w:rFonts w:ascii="宋体" w:hAnsi="宋体"/>
          <w:b/>
          <w:color w:val="auto"/>
          <w:szCs w:val="21"/>
          <w:highlight w:val="none"/>
        </w:rPr>
        <w:t>（</w:t>
      </w:r>
      <w:r>
        <w:rPr>
          <w:rFonts w:hint="eastAsia" w:ascii="宋体" w:hAnsi="宋体"/>
          <w:b/>
          <w:color w:val="auto"/>
          <w:szCs w:val="21"/>
          <w:highlight w:val="none"/>
        </w:rPr>
        <w:t>1</w:t>
      </w:r>
      <w:r>
        <w:rPr>
          <w:rFonts w:ascii="宋体" w:hAnsi="宋体"/>
          <w:b/>
          <w:color w:val="auto"/>
          <w:szCs w:val="21"/>
          <w:highlight w:val="none"/>
        </w:rPr>
        <w:t>）投标文件中</w:t>
      </w:r>
      <w:r>
        <w:rPr>
          <w:rFonts w:hint="eastAsia" w:ascii="宋体" w:hAnsi="宋体"/>
          <w:b/>
          <w:color w:val="auto"/>
          <w:szCs w:val="21"/>
          <w:highlight w:val="none"/>
        </w:rPr>
        <w:t>投标报价表</w:t>
      </w:r>
      <w:r>
        <w:rPr>
          <w:rFonts w:ascii="宋体" w:hAnsi="宋体"/>
          <w:b/>
          <w:color w:val="auto"/>
          <w:szCs w:val="21"/>
          <w:highlight w:val="none"/>
        </w:rPr>
        <w:t>内容与投标文件中相应内容不一致的，以</w:t>
      </w:r>
      <w:r>
        <w:rPr>
          <w:rFonts w:hint="eastAsia" w:ascii="宋体" w:hAnsi="宋体"/>
          <w:b/>
          <w:color w:val="auto"/>
          <w:szCs w:val="21"/>
          <w:highlight w:val="none"/>
        </w:rPr>
        <w:t>投标报价表</w:t>
      </w:r>
      <w:r>
        <w:rPr>
          <w:rFonts w:ascii="宋体" w:hAnsi="宋体"/>
          <w:b/>
          <w:color w:val="auto"/>
          <w:szCs w:val="21"/>
          <w:highlight w:val="none"/>
        </w:rPr>
        <w:t>为准；</w:t>
      </w:r>
    </w:p>
    <w:p w14:paraId="5155375A">
      <w:pPr>
        <w:spacing w:line="340" w:lineRule="exact"/>
        <w:ind w:firstLine="310" w:firstLineChars="147"/>
        <w:rPr>
          <w:rFonts w:ascii="宋体" w:hAnsi="宋体"/>
          <w:b/>
          <w:color w:val="auto"/>
          <w:szCs w:val="21"/>
          <w:highlight w:val="none"/>
        </w:rPr>
      </w:pPr>
      <w:r>
        <w:rPr>
          <w:rFonts w:ascii="宋体" w:hAnsi="宋体"/>
          <w:b/>
          <w:color w:val="auto"/>
          <w:szCs w:val="21"/>
          <w:highlight w:val="none"/>
        </w:rPr>
        <w:t>（</w:t>
      </w:r>
      <w:r>
        <w:rPr>
          <w:rFonts w:hint="eastAsia" w:ascii="宋体" w:hAnsi="宋体"/>
          <w:b/>
          <w:color w:val="auto"/>
          <w:szCs w:val="21"/>
          <w:highlight w:val="none"/>
        </w:rPr>
        <w:t>2</w:t>
      </w:r>
      <w:r>
        <w:rPr>
          <w:rFonts w:ascii="宋体" w:hAnsi="宋体"/>
          <w:b/>
          <w:color w:val="auto"/>
          <w:szCs w:val="21"/>
          <w:highlight w:val="none"/>
        </w:rPr>
        <w:t>）大写金额和小写金额不一致的，以大写金额为准；</w:t>
      </w:r>
    </w:p>
    <w:p w14:paraId="1F743C49">
      <w:pPr>
        <w:spacing w:line="340" w:lineRule="exact"/>
        <w:ind w:firstLine="310" w:firstLineChars="147"/>
        <w:rPr>
          <w:rFonts w:ascii="宋体" w:hAnsi="宋体"/>
          <w:b/>
          <w:color w:val="auto"/>
          <w:szCs w:val="21"/>
          <w:highlight w:val="none"/>
        </w:rPr>
      </w:pPr>
      <w:r>
        <w:rPr>
          <w:rFonts w:ascii="宋体" w:hAnsi="宋体"/>
          <w:b/>
          <w:color w:val="auto"/>
          <w:szCs w:val="21"/>
          <w:highlight w:val="none"/>
        </w:rPr>
        <w:t>（</w:t>
      </w:r>
      <w:r>
        <w:rPr>
          <w:rFonts w:hint="eastAsia" w:ascii="宋体" w:hAnsi="宋体"/>
          <w:b/>
          <w:color w:val="auto"/>
          <w:szCs w:val="21"/>
          <w:highlight w:val="none"/>
        </w:rPr>
        <w:t>3</w:t>
      </w:r>
      <w:r>
        <w:rPr>
          <w:rFonts w:ascii="宋体" w:hAnsi="宋体"/>
          <w:b/>
          <w:color w:val="auto"/>
          <w:szCs w:val="21"/>
          <w:highlight w:val="none"/>
        </w:rPr>
        <w:t>）单价金额小数点或者百分比有明显错位的，以</w:t>
      </w:r>
      <w:r>
        <w:rPr>
          <w:rFonts w:hint="eastAsia" w:ascii="宋体" w:hAnsi="宋体"/>
          <w:b/>
          <w:color w:val="auto"/>
          <w:szCs w:val="21"/>
          <w:highlight w:val="none"/>
        </w:rPr>
        <w:t>投标报价</w:t>
      </w:r>
      <w:r>
        <w:rPr>
          <w:rFonts w:ascii="宋体" w:hAnsi="宋体"/>
          <w:b/>
          <w:color w:val="auto"/>
          <w:szCs w:val="21"/>
          <w:highlight w:val="none"/>
        </w:rPr>
        <w:t>表的总价为准，并修改单价；</w:t>
      </w:r>
    </w:p>
    <w:p w14:paraId="50C8843F">
      <w:pPr>
        <w:spacing w:line="340" w:lineRule="exact"/>
        <w:ind w:firstLine="310" w:firstLineChars="147"/>
        <w:rPr>
          <w:rFonts w:ascii="宋体" w:hAnsi="宋体"/>
          <w:b/>
          <w:color w:val="auto"/>
          <w:szCs w:val="21"/>
          <w:highlight w:val="none"/>
        </w:rPr>
      </w:pPr>
      <w:r>
        <w:rPr>
          <w:rFonts w:ascii="宋体" w:hAnsi="宋体"/>
          <w:b/>
          <w:color w:val="auto"/>
          <w:szCs w:val="21"/>
          <w:highlight w:val="none"/>
        </w:rPr>
        <w:t>（</w:t>
      </w:r>
      <w:r>
        <w:rPr>
          <w:rFonts w:hint="eastAsia" w:ascii="宋体" w:hAnsi="宋体"/>
          <w:b/>
          <w:color w:val="auto"/>
          <w:szCs w:val="21"/>
          <w:highlight w:val="none"/>
        </w:rPr>
        <w:t>4</w:t>
      </w:r>
      <w:r>
        <w:rPr>
          <w:rFonts w:ascii="宋体" w:hAnsi="宋体"/>
          <w:b/>
          <w:color w:val="auto"/>
          <w:szCs w:val="21"/>
          <w:highlight w:val="none"/>
        </w:rPr>
        <w:t>）总价金额与按单价汇总金额不一致的，以单价金额计算结果为准。</w:t>
      </w:r>
    </w:p>
    <w:p w14:paraId="6E7B5DC4">
      <w:pPr>
        <w:spacing w:line="340" w:lineRule="exact"/>
        <w:ind w:firstLine="422" w:firstLineChars="200"/>
        <w:rPr>
          <w:rFonts w:ascii="宋体" w:hAnsi="宋体"/>
          <w:b/>
          <w:color w:val="auto"/>
          <w:szCs w:val="21"/>
          <w:highlight w:val="none"/>
        </w:rPr>
      </w:pPr>
      <w:r>
        <w:rPr>
          <w:rFonts w:ascii="宋体" w:hAnsi="宋体"/>
          <w:b/>
          <w:color w:val="auto"/>
          <w:szCs w:val="21"/>
          <w:highlight w:val="none"/>
        </w:rPr>
        <w:t>同时出现两种以上不一致的，按照前款规定的顺序修正。修正后的报价</w:t>
      </w:r>
      <w:r>
        <w:rPr>
          <w:rFonts w:hint="eastAsia" w:ascii="宋体" w:hAnsi="宋体"/>
          <w:b/>
          <w:color w:val="auto"/>
          <w:szCs w:val="21"/>
          <w:highlight w:val="none"/>
        </w:rPr>
        <w:t>（</w:t>
      </w:r>
      <w:r>
        <w:rPr>
          <w:rFonts w:ascii="宋体" w:hAnsi="宋体"/>
          <w:b/>
          <w:color w:val="auto"/>
          <w:szCs w:val="21"/>
          <w:highlight w:val="none"/>
        </w:rPr>
        <w:t>不得超出投标文件的范围或者改变投标文件的实质性内容</w:t>
      </w:r>
      <w:r>
        <w:rPr>
          <w:rFonts w:hint="eastAsia" w:ascii="宋体" w:hAnsi="宋体"/>
          <w:b/>
          <w:color w:val="auto"/>
          <w:szCs w:val="21"/>
          <w:highlight w:val="none"/>
        </w:rPr>
        <w:t>）</w:t>
      </w:r>
      <w:r>
        <w:rPr>
          <w:rFonts w:ascii="宋体" w:hAnsi="宋体"/>
          <w:b/>
          <w:color w:val="auto"/>
          <w:szCs w:val="21"/>
          <w:highlight w:val="none"/>
        </w:rPr>
        <w:t>经投标人确认后产生约束力，投标人不确认的，其投标无效。</w:t>
      </w:r>
    </w:p>
    <w:p w14:paraId="52F1CC02">
      <w:pPr>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26.9</w:t>
      </w:r>
      <w:r>
        <w:rPr>
          <w:rFonts w:ascii="宋体" w:hAnsi="宋体"/>
          <w:b/>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D7D6869">
      <w:pPr>
        <w:pStyle w:val="27"/>
        <w:spacing w:line="340" w:lineRule="exact"/>
        <w:ind w:firstLine="411" w:firstLineChars="196"/>
        <w:rPr>
          <w:rFonts w:hint="eastAsia" w:hAnsi="宋体"/>
          <w:color w:val="auto"/>
          <w:szCs w:val="21"/>
          <w:highlight w:val="none"/>
        </w:rPr>
      </w:pPr>
      <w:r>
        <w:rPr>
          <w:rFonts w:hint="eastAsia" w:hAnsi="宋体"/>
          <w:color w:val="auto"/>
          <w:szCs w:val="21"/>
          <w:highlight w:val="none"/>
        </w:rPr>
        <w:t>26.10</w:t>
      </w:r>
      <w:r>
        <w:rPr>
          <w:rFonts w:hAnsi="宋体"/>
          <w:color w:val="auto"/>
          <w:szCs w:val="21"/>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1AB4166E">
      <w:pPr>
        <w:snapToGrid w:val="0"/>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26.11</w:t>
      </w:r>
      <w:r>
        <w:rPr>
          <w:rFonts w:ascii="宋体" w:hAnsi="宋体"/>
          <w:color w:val="auto"/>
          <w:szCs w:val="21"/>
          <w:highlight w:val="none"/>
        </w:rPr>
        <w:t>评标结果汇总完成后，除下列情形外，任何人不得修改评标结果：</w:t>
      </w:r>
    </w:p>
    <w:p w14:paraId="0028B39C">
      <w:pPr>
        <w:snapToGrid w:val="0"/>
        <w:spacing w:line="340" w:lineRule="exact"/>
        <w:ind w:firstLine="420" w:firstLineChars="200"/>
        <w:rPr>
          <w:rFonts w:ascii="宋体" w:hAnsi="宋体"/>
          <w:color w:val="auto"/>
          <w:szCs w:val="21"/>
          <w:highlight w:val="none"/>
        </w:rPr>
      </w:pPr>
      <w:r>
        <w:rPr>
          <w:rFonts w:ascii="宋体" w:hAnsi="宋体"/>
          <w:color w:val="auto"/>
          <w:szCs w:val="21"/>
          <w:highlight w:val="none"/>
        </w:rPr>
        <w:t>　　（一）分值汇总计算错误的；</w:t>
      </w:r>
    </w:p>
    <w:p w14:paraId="4CFD21AF">
      <w:pPr>
        <w:snapToGrid w:val="0"/>
        <w:spacing w:line="340" w:lineRule="exact"/>
        <w:ind w:firstLine="420" w:firstLineChars="200"/>
        <w:rPr>
          <w:rFonts w:ascii="宋体" w:hAnsi="宋体"/>
          <w:color w:val="auto"/>
          <w:szCs w:val="21"/>
          <w:highlight w:val="none"/>
        </w:rPr>
      </w:pPr>
      <w:r>
        <w:rPr>
          <w:rFonts w:ascii="宋体" w:hAnsi="宋体"/>
          <w:color w:val="auto"/>
          <w:szCs w:val="21"/>
          <w:highlight w:val="none"/>
        </w:rPr>
        <w:t>　　（二）分项评分超出评分标准范围的；</w:t>
      </w:r>
    </w:p>
    <w:p w14:paraId="760BD23F">
      <w:pPr>
        <w:snapToGrid w:val="0"/>
        <w:spacing w:line="340" w:lineRule="exact"/>
        <w:ind w:firstLine="420" w:firstLineChars="200"/>
        <w:rPr>
          <w:rFonts w:ascii="宋体" w:hAnsi="宋体"/>
          <w:color w:val="auto"/>
          <w:szCs w:val="21"/>
          <w:highlight w:val="none"/>
        </w:rPr>
      </w:pPr>
      <w:r>
        <w:rPr>
          <w:rFonts w:ascii="宋体" w:hAnsi="宋体"/>
          <w:color w:val="auto"/>
          <w:szCs w:val="21"/>
          <w:highlight w:val="none"/>
        </w:rPr>
        <w:t>　　（三）评标委员会成员对客观评审因素评分不一致的；</w:t>
      </w:r>
    </w:p>
    <w:p w14:paraId="2F8413BC">
      <w:pPr>
        <w:snapToGrid w:val="0"/>
        <w:spacing w:line="340" w:lineRule="exact"/>
        <w:ind w:firstLine="420" w:firstLineChars="200"/>
        <w:rPr>
          <w:rFonts w:ascii="宋体" w:hAnsi="宋体"/>
          <w:color w:val="auto"/>
          <w:szCs w:val="21"/>
          <w:highlight w:val="none"/>
        </w:rPr>
      </w:pPr>
      <w:r>
        <w:rPr>
          <w:rFonts w:ascii="宋体" w:hAnsi="宋体"/>
          <w:color w:val="auto"/>
          <w:szCs w:val="21"/>
          <w:highlight w:val="none"/>
        </w:rPr>
        <w:t>　　（四）经评标委员会认定评分畸高、畸低的。</w:t>
      </w:r>
    </w:p>
    <w:p w14:paraId="7416D55C">
      <w:pPr>
        <w:snapToGrid w:val="0"/>
        <w:spacing w:line="340" w:lineRule="exact"/>
        <w:ind w:firstLine="420" w:firstLineChars="200"/>
        <w:rPr>
          <w:rFonts w:hint="eastAsia" w:ascii="宋体" w:hAnsi="宋体"/>
          <w:color w:val="auto"/>
          <w:szCs w:val="21"/>
          <w:highlight w:val="none"/>
        </w:rPr>
      </w:pPr>
      <w:r>
        <w:rPr>
          <w:rFonts w:ascii="宋体" w:hAnsi="宋体"/>
          <w:color w:val="auto"/>
          <w:szCs w:val="21"/>
          <w:highlight w:val="none"/>
        </w:rPr>
        <w:t>评标报告签署前，经复核发现存在以上情形之一的，评标委员会应当当场修改评标结果，并在评标</w:t>
      </w:r>
    </w:p>
    <w:p w14:paraId="2219B46B">
      <w:pPr>
        <w:snapToGrid w:val="0"/>
        <w:spacing w:line="340" w:lineRule="exact"/>
        <w:rPr>
          <w:rFonts w:ascii="宋体" w:hAnsi="宋体"/>
          <w:color w:val="auto"/>
          <w:szCs w:val="21"/>
          <w:highlight w:val="none"/>
        </w:rPr>
      </w:pPr>
      <w:r>
        <w:rPr>
          <w:rFonts w:ascii="宋体" w:hAnsi="宋体"/>
          <w:color w:val="auto"/>
          <w:szCs w:val="21"/>
          <w:highlight w:val="none"/>
        </w:rPr>
        <w:t>报告中记载；评标报告签署后，采购人或者采购代理机构发现存在以上情形之一的，应当组织原评标委员会进行重新评审，重新评审改变评标结果的，书面报告本级财政部门。</w:t>
      </w:r>
    </w:p>
    <w:p w14:paraId="566E7D5D">
      <w:pPr>
        <w:snapToGrid w:val="0"/>
        <w:spacing w:line="340" w:lineRule="exact"/>
        <w:ind w:firstLine="420" w:firstLineChars="200"/>
        <w:rPr>
          <w:rFonts w:ascii="宋体" w:hAnsi="宋体"/>
          <w:color w:val="auto"/>
          <w:szCs w:val="21"/>
          <w:highlight w:val="none"/>
        </w:rPr>
      </w:pPr>
      <w:r>
        <w:rPr>
          <w:rFonts w:ascii="宋体" w:hAnsi="宋体"/>
          <w:color w:val="auto"/>
          <w:szCs w:val="21"/>
          <w:highlight w:val="none"/>
        </w:rPr>
        <w:t>投标人对本条第一款情形提出质疑的，采购人或者采购代理机构可以组织原评标委员会进行重新评审，重新评审改变评标结果的，应当书面报告本级财政部门。</w:t>
      </w:r>
    </w:p>
    <w:p w14:paraId="533DB4F8">
      <w:pPr>
        <w:pStyle w:val="27"/>
        <w:spacing w:line="340" w:lineRule="exact"/>
        <w:ind w:firstLine="411" w:firstLineChars="196"/>
        <w:rPr>
          <w:rFonts w:hint="eastAsia" w:hAnsi="宋体"/>
          <w:color w:val="auto"/>
          <w:szCs w:val="21"/>
          <w:highlight w:val="none"/>
        </w:rPr>
      </w:pPr>
      <w:r>
        <w:rPr>
          <w:rFonts w:hint="eastAsia" w:hAnsi="宋体"/>
          <w:color w:val="auto"/>
          <w:szCs w:val="21"/>
          <w:highlight w:val="none"/>
        </w:rPr>
        <w:t>26.12采购代理机构发现评标委员会有明显的违规倾向或歧视现象，或不按评标办法进行，或其他不正常行为的，应当及时制止。如制止无效，应及时向桂林市财政局报告。</w:t>
      </w:r>
    </w:p>
    <w:p w14:paraId="44F9823F">
      <w:pPr>
        <w:pStyle w:val="27"/>
        <w:tabs>
          <w:tab w:val="left" w:pos="4214"/>
        </w:tabs>
        <w:spacing w:line="340" w:lineRule="exact"/>
        <w:ind w:firstLine="422" w:firstLineChars="200"/>
        <w:rPr>
          <w:rFonts w:hint="eastAsia" w:hAnsi="宋体"/>
          <w:b/>
          <w:color w:val="auto"/>
          <w:highlight w:val="none"/>
        </w:rPr>
      </w:pPr>
      <w:r>
        <w:rPr>
          <w:rFonts w:hint="eastAsia" w:hAnsi="宋体"/>
          <w:b/>
          <w:color w:val="auto"/>
          <w:highlight w:val="none"/>
        </w:rPr>
        <w:t>27</w:t>
      </w:r>
      <w:r>
        <w:rPr>
          <w:rFonts w:hint="eastAsia" w:hAnsi="宋体"/>
          <w:color w:val="auto"/>
          <w:highlight w:val="none"/>
        </w:rPr>
        <w:t>.</w:t>
      </w:r>
      <w:r>
        <w:rPr>
          <w:rFonts w:hint="eastAsia" w:hAnsi="宋体"/>
          <w:b/>
          <w:color w:val="auto"/>
          <w:highlight w:val="none"/>
        </w:rPr>
        <w:t>推荐及确定中标候选人原则</w:t>
      </w:r>
    </w:p>
    <w:p w14:paraId="35565F96">
      <w:pPr>
        <w:pStyle w:val="27"/>
        <w:tabs>
          <w:tab w:val="left" w:pos="4214"/>
        </w:tabs>
        <w:spacing w:line="340" w:lineRule="exact"/>
        <w:ind w:firstLine="420" w:firstLineChars="200"/>
        <w:rPr>
          <w:rFonts w:hint="eastAsia"/>
          <w:color w:val="auto"/>
          <w:highlight w:val="none"/>
        </w:rPr>
      </w:pPr>
      <w:r>
        <w:rPr>
          <w:rFonts w:hint="eastAsia"/>
          <w:color w:val="auto"/>
          <w:highlight w:val="none"/>
        </w:rPr>
        <w:t>（1）评标委员会将根据评标结果按评审后得分由高到低顺序排列。得分相同的，按投标报价由低到高顺序排列；得分相同且投标报价相同的并列。投标文件满足招标文件全部实质性要求，且按照评审因素的量化指标评审得分最高的投标人为排名第一的中标候选人。</w:t>
      </w:r>
    </w:p>
    <w:p w14:paraId="2F2278EA">
      <w:pPr>
        <w:pStyle w:val="27"/>
        <w:tabs>
          <w:tab w:val="left" w:pos="4214"/>
        </w:tabs>
        <w:spacing w:line="340" w:lineRule="exact"/>
        <w:ind w:firstLine="420" w:firstLineChars="200"/>
        <w:rPr>
          <w:rFonts w:hint="eastAsia"/>
          <w:color w:val="auto"/>
          <w:highlight w:val="none"/>
        </w:rPr>
      </w:pPr>
      <w:r>
        <w:rPr>
          <w:rFonts w:hint="eastAsia"/>
          <w:color w:val="auto"/>
          <w:highlight w:val="none"/>
        </w:rPr>
        <w:t>（2）采购人应当自收到评标报告之日起5个工作日内，在评标报告确定的中标候选人名单中按顺序确定中标人。中标候选人并列的，采购人依次按技术分高的优先</w:t>
      </w:r>
      <w:r>
        <w:rPr>
          <w:rFonts w:hint="eastAsia" w:ascii="宋体" w:hAnsi="Courier New" w:eastAsia="宋体" w:cs="Times New Roman"/>
          <w:color w:val="auto"/>
          <w:highlight w:val="none"/>
        </w:rPr>
        <w:t>、</w:t>
      </w:r>
      <w:r>
        <w:rPr>
          <w:rFonts w:hint="eastAsia" w:ascii="宋体" w:hAnsi="Courier New" w:eastAsia="宋体" w:cs="Times New Roman"/>
          <w:color w:val="auto"/>
          <w:highlight w:val="none"/>
          <w:lang w:eastAsia="zh-CN"/>
        </w:rPr>
        <w:t>项目实施方案</w:t>
      </w:r>
      <w:r>
        <w:rPr>
          <w:rFonts w:hint="eastAsia" w:ascii="宋体" w:hAnsi="Courier New" w:eastAsia="宋体" w:cs="Times New Roman"/>
          <w:color w:val="auto"/>
          <w:highlight w:val="none"/>
        </w:rPr>
        <w:t>分高的优先</w:t>
      </w:r>
      <w:r>
        <w:rPr>
          <w:rFonts w:hint="eastAsia" w:ascii="宋体" w:hAnsi="Courier New" w:eastAsia="宋体" w:cs="Times New Roman"/>
          <w:color w:val="auto"/>
          <w:highlight w:val="none"/>
          <w:lang w:eastAsia="zh-CN"/>
        </w:rPr>
        <w:t>、</w:t>
      </w:r>
      <w:r>
        <w:rPr>
          <w:rFonts w:hint="eastAsia" w:ascii="宋体" w:hAnsi="Courier New" w:eastAsia="宋体" w:cs="Times New Roman"/>
          <w:color w:val="auto"/>
          <w:highlight w:val="none"/>
        </w:rPr>
        <w:t>售后</w:t>
      </w:r>
      <w:r>
        <w:rPr>
          <w:rFonts w:hint="eastAsia"/>
          <w:color w:val="auto"/>
          <w:highlight w:val="none"/>
        </w:rPr>
        <w:t>服务实施方案分高的优先、履约能力分高的优先、政策功能分（节能、环保）高的优先、保修期长的优先、交付时间短的优先顺序确定中标人。</w:t>
      </w:r>
    </w:p>
    <w:p w14:paraId="1E297092">
      <w:pPr>
        <w:pStyle w:val="27"/>
        <w:tabs>
          <w:tab w:val="left" w:pos="4214"/>
        </w:tabs>
        <w:spacing w:line="340" w:lineRule="exact"/>
        <w:ind w:firstLine="420" w:firstLineChars="200"/>
        <w:rPr>
          <w:rFonts w:hint="eastAsia"/>
          <w:color w:val="auto"/>
          <w:highlight w:val="none"/>
        </w:rPr>
      </w:pPr>
      <w:r>
        <w:rPr>
          <w:rFonts w:hint="eastAsia"/>
          <w:color w:val="auto"/>
          <w:highlight w:val="none"/>
        </w:rPr>
        <w:t>（3）中标人放弃中标、拒绝与采购人签订合同、因不可抗力提出不能履行合同，或信用信息记录不符合相关规定的，或者招标文件规定应当提交履约保证金而在规定的期限内未能提交的，采购人可以按照评审报告推荐的中标候选人名单排序，确定下一候选人中标，也可以重新开展政府采购活动。</w:t>
      </w:r>
    </w:p>
    <w:p w14:paraId="2C72450A">
      <w:pPr>
        <w:snapToGrid w:val="0"/>
        <w:spacing w:line="340" w:lineRule="exact"/>
        <w:ind w:firstLine="422" w:firstLineChars="200"/>
        <w:outlineLvl w:val="4"/>
        <w:rPr>
          <w:rFonts w:hint="eastAsia" w:ascii="宋体" w:hAnsi="宋体"/>
          <w:b/>
          <w:color w:val="auto"/>
          <w:szCs w:val="21"/>
          <w:highlight w:val="none"/>
        </w:rPr>
      </w:pPr>
      <w:r>
        <w:rPr>
          <w:rFonts w:hint="eastAsia" w:ascii="宋体" w:hAnsi="宋体"/>
          <w:b/>
          <w:bCs/>
          <w:color w:val="auto"/>
          <w:szCs w:val="21"/>
          <w:highlight w:val="none"/>
        </w:rPr>
        <w:t>28</w:t>
      </w:r>
      <w:r>
        <w:rPr>
          <w:rFonts w:hint="eastAsia" w:ascii="宋体" w:hAnsi="宋体"/>
          <w:b/>
          <w:color w:val="auto"/>
          <w:szCs w:val="21"/>
          <w:highlight w:val="none"/>
        </w:rPr>
        <w:t>.属于下列情况之一者，投标无效：</w:t>
      </w:r>
    </w:p>
    <w:p w14:paraId="588E060E">
      <w:pPr>
        <w:snapToGrid w:val="0"/>
        <w:spacing w:line="36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（1）未按照招标文件规定要求签字、盖章的；</w:t>
      </w:r>
    </w:p>
    <w:p w14:paraId="498D064E">
      <w:pPr>
        <w:snapToGrid w:val="0"/>
        <w:spacing w:line="360" w:lineRule="exact"/>
        <w:ind w:firstLine="422" w:firstLineChars="200"/>
        <w:outlineLvl w:val="4"/>
        <w:rPr>
          <w:rFonts w:hint="eastAsia" w:ascii="宋体" w:hAnsi="宋体"/>
          <w:b/>
          <w:color w:val="auto"/>
          <w:szCs w:val="21"/>
          <w:highlight w:val="none"/>
        </w:rPr>
      </w:pPr>
      <w:r>
        <w:rPr>
          <w:rFonts w:hint="eastAsia" w:ascii="宋体" w:hAnsi="宋体"/>
          <w:b/>
          <w:color w:val="auto"/>
          <w:szCs w:val="21"/>
          <w:highlight w:val="none"/>
        </w:rPr>
        <w:t>（2）</w:t>
      </w:r>
      <w:r>
        <w:rPr>
          <w:rFonts w:ascii="宋体" w:hAnsi="宋体"/>
          <w:b/>
          <w:color w:val="auto"/>
          <w:szCs w:val="21"/>
          <w:highlight w:val="none"/>
        </w:rPr>
        <w:t>报价超过招标文件中规定的</w:t>
      </w:r>
      <w:r>
        <w:rPr>
          <w:rFonts w:hint="eastAsia" w:ascii="宋体" w:hAnsi="宋体"/>
          <w:b/>
          <w:color w:val="auto"/>
          <w:szCs w:val="21"/>
          <w:highlight w:val="none"/>
        </w:rPr>
        <w:t>最高限价的</w:t>
      </w:r>
      <w:r>
        <w:rPr>
          <w:rFonts w:ascii="宋体" w:hAnsi="宋体"/>
          <w:b/>
          <w:color w:val="auto"/>
          <w:szCs w:val="21"/>
          <w:highlight w:val="none"/>
        </w:rPr>
        <w:t>；</w:t>
      </w:r>
    </w:p>
    <w:p w14:paraId="5992648A">
      <w:pPr>
        <w:snapToGrid w:val="0"/>
        <w:spacing w:line="360" w:lineRule="exact"/>
        <w:ind w:firstLine="422" w:firstLineChars="200"/>
        <w:outlineLvl w:val="4"/>
        <w:rPr>
          <w:rFonts w:hint="eastAsia" w:ascii="宋体" w:hAnsi="宋体"/>
          <w:b/>
          <w:color w:val="auto"/>
          <w:szCs w:val="21"/>
          <w:highlight w:val="none"/>
        </w:rPr>
      </w:pPr>
      <w:r>
        <w:rPr>
          <w:rFonts w:hint="eastAsia" w:ascii="宋体" w:hAnsi="宋体"/>
          <w:b/>
          <w:color w:val="auto"/>
          <w:szCs w:val="21"/>
          <w:highlight w:val="none"/>
        </w:rPr>
        <w:t>（3）未通过资格审查的；</w:t>
      </w:r>
    </w:p>
    <w:p w14:paraId="6FC2953F">
      <w:pPr>
        <w:snapToGrid w:val="0"/>
        <w:spacing w:line="36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（4）未按本招标文件规定提供符合性响应证明材料中的任意一项材料的；或提供的符合性响应证明材料中的任意一项材料无效的；</w:t>
      </w:r>
    </w:p>
    <w:p w14:paraId="0FA72898">
      <w:pPr>
        <w:snapToGrid w:val="0"/>
        <w:spacing w:line="36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（5）</w:t>
      </w:r>
      <w:r>
        <w:rPr>
          <w:rFonts w:ascii="宋体" w:hAnsi="宋体"/>
          <w:b/>
          <w:color w:val="auto"/>
          <w:szCs w:val="21"/>
          <w:highlight w:val="none"/>
        </w:rPr>
        <w:t>投标文件含有采购人不能接受的附加条件的</w:t>
      </w:r>
      <w:r>
        <w:rPr>
          <w:rFonts w:hint="eastAsia" w:ascii="宋体" w:hAnsi="宋体"/>
          <w:b/>
          <w:color w:val="auto"/>
          <w:szCs w:val="21"/>
          <w:highlight w:val="none"/>
        </w:rPr>
        <w:t>；</w:t>
      </w:r>
    </w:p>
    <w:p w14:paraId="6E9542BB">
      <w:pPr>
        <w:snapToGrid w:val="0"/>
        <w:spacing w:line="36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（6）投标文件未按招标文件的内容和要求编制，或提供虚假材料的；</w:t>
      </w:r>
    </w:p>
    <w:p w14:paraId="6A8719CD">
      <w:pPr>
        <w:snapToGrid w:val="0"/>
        <w:spacing w:line="360" w:lineRule="exact"/>
        <w:ind w:firstLine="413" w:firstLineChars="196"/>
        <w:outlineLvl w:val="4"/>
        <w:rPr>
          <w:rFonts w:hint="eastAsia" w:ascii="宋体" w:hAnsi="宋体"/>
          <w:color w:val="auto"/>
          <w:szCs w:val="21"/>
          <w:highlight w:val="none"/>
        </w:rPr>
      </w:pPr>
      <w:r>
        <w:rPr>
          <w:rFonts w:hint="eastAsia" w:ascii="宋体" w:hAnsi="宋体"/>
          <w:b/>
          <w:color w:val="auto"/>
          <w:szCs w:val="21"/>
          <w:highlight w:val="none"/>
        </w:rPr>
        <w:t>（7）投标人未就“采购需求”中所有标的作完整唯一报价的或有缺漏项报价的；</w:t>
      </w:r>
    </w:p>
    <w:p w14:paraId="52D83FF9">
      <w:pPr>
        <w:snapToGrid w:val="0"/>
        <w:spacing w:line="36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（8）未完全响应招标文件实质性要求的；</w:t>
      </w:r>
    </w:p>
    <w:p w14:paraId="356D946D">
      <w:pPr>
        <w:snapToGrid w:val="0"/>
        <w:spacing w:line="36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（9）投标人为联合体投标的；</w:t>
      </w:r>
    </w:p>
    <w:p w14:paraId="77BE0DA3">
      <w:pPr>
        <w:snapToGrid w:val="0"/>
        <w:spacing w:line="36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（10）</w:t>
      </w:r>
      <w:r>
        <w:rPr>
          <w:rFonts w:ascii="宋体" w:hAnsi="宋体"/>
          <w:b/>
          <w:color w:val="auto"/>
          <w:szCs w:val="21"/>
          <w:highlight w:val="none"/>
        </w:rPr>
        <w:t>法律、法规和招标文件规定的其他无效情形。</w:t>
      </w:r>
    </w:p>
    <w:p w14:paraId="420BA260">
      <w:pPr>
        <w:snapToGrid w:val="0"/>
        <w:spacing w:line="34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29.投标人有下列情形之一的，视为串通投标，投标文件将被视为无效：</w:t>
      </w:r>
    </w:p>
    <w:p w14:paraId="248B0EC2">
      <w:pPr>
        <w:snapToGrid w:val="0"/>
        <w:spacing w:line="34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（1）不同投标人的投标文件由同一单位或者个人编制；</w:t>
      </w:r>
    </w:p>
    <w:p w14:paraId="6A1E1CAB">
      <w:pPr>
        <w:snapToGrid w:val="0"/>
        <w:spacing w:line="34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（2）不同投标人委托同一单位或者个人办理投标事宜的；</w:t>
      </w:r>
    </w:p>
    <w:p w14:paraId="7681B95B">
      <w:pPr>
        <w:snapToGrid w:val="0"/>
        <w:spacing w:line="34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（3）不同的投标人的投标文件载明的项目管理员为同一个人的；</w:t>
      </w:r>
    </w:p>
    <w:p w14:paraId="7BF343EF">
      <w:pPr>
        <w:snapToGrid w:val="0"/>
        <w:spacing w:line="34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 xml:space="preserve">（4）不同投标人的投标文件异常一致或投标报价呈规律性差异的； </w:t>
      </w:r>
    </w:p>
    <w:p w14:paraId="2AF1022E">
      <w:pPr>
        <w:snapToGrid w:val="0"/>
        <w:spacing w:line="34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（5）不同投标人的投标文件相互混装的；</w:t>
      </w:r>
    </w:p>
    <w:p w14:paraId="447F3D2E">
      <w:pPr>
        <w:snapToGrid w:val="0"/>
        <w:spacing w:line="34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30. 属于下列情形之一的，应予废标：</w:t>
      </w:r>
    </w:p>
    <w:p w14:paraId="7927E976">
      <w:pPr>
        <w:snapToGrid w:val="0"/>
        <w:spacing w:line="34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（1）符合专业条件的供应商或者对招标文件作实质响应的供应商不足3家的；</w:t>
      </w:r>
    </w:p>
    <w:p w14:paraId="3CB82A0D">
      <w:pPr>
        <w:snapToGrid w:val="0"/>
        <w:spacing w:line="32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（2）出现影响采购公正的违法、违规行为的；</w:t>
      </w:r>
    </w:p>
    <w:p w14:paraId="2D9D4546">
      <w:pPr>
        <w:snapToGrid w:val="0"/>
        <w:spacing w:line="32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（3）采购文件内容违反国家有关强制性规定的；</w:t>
      </w:r>
    </w:p>
    <w:p w14:paraId="5CCB4DA0">
      <w:pPr>
        <w:snapToGrid w:val="0"/>
        <w:spacing w:line="32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（4）因重大变故，采购任务取消的。</w:t>
      </w:r>
    </w:p>
    <w:p w14:paraId="171CFFBE">
      <w:pPr>
        <w:pStyle w:val="27"/>
        <w:spacing w:line="320" w:lineRule="exact"/>
        <w:ind w:firstLine="413" w:firstLineChars="196"/>
        <w:rPr>
          <w:rFonts w:hint="eastAsia" w:hAnsi="宋体"/>
          <w:b/>
          <w:color w:val="auto"/>
          <w:highlight w:val="none"/>
        </w:rPr>
      </w:pPr>
      <w:r>
        <w:rPr>
          <w:rFonts w:hint="eastAsia" w:hAnsi="宋体"/>
          <w:b/>
          <w:color w:val="auto"/>
          <w:highlight w:val="none"/>
        </w:rPr>
        <w:t>31.开标、评标过程的监控</w:t>
      </w:r>
    </w:p>
    <w:p w14:paraId="5FE80CF4">
      <w:pPr>
        <w:pStyle w:val="27"/>
        <w:spacing w:line="320" w:lineRule="exact"/>
        <w:ind w:firstLine="411" w:firstLineChars="196"/>
        <w:rPr>
          <w:rFonts w:hint="eastAsia" w:hAnsi="宋体"/>
          <w:color w:val="auto"/>
          <w:highlight w:val="none"/>
        </w:rPr>
      </w:pPr>
      <w:r>
        <w:rPr>
          <w:rFonts w:hint="eastAsia" w:hAnsi="宋体"/>
          <w:color w:val="auto"/>
          <w:highlight w:val="none"/>
        </w:rPr>
        <w:t>本项目开标、评标过程实行全程录音、录像监控，投标人在评标过程中所进行的试图影响评标结果的不公正活动，可能导致其投标被拒绝。</w:t>
      </w:r>
    </w:p>
    <w:p w14:paraId="0A3834B5">
      <w:pPr>
        <w:pStyle w:val="27"/>
        <w:spacing w:line="320" w:lineRule="exact"/>
        <w:ind w:firstLine="413" w:firstLineChars="196"/>
        <w:rPr>
          <w:rFonts w:hint="eastAsia" w:hAnsi="宋体"/>
          <w:b/>
          <w:color w:val="auto"/>
          <w:highlight w:val="none"/>
        </w:rPr>
      </w:pPr>
      <w:r>
        <w:rPr>
          <w:rFonts w:hint="eastAsia" w:hAnsi="宋体"/>
          <w:b/>
          <w:color w:val="auto"/>
          <w:highlight w:val="none"/>
        </w:rPr>
        <w:t>32.信用查询</w:t>
      </w:r>
    </w:p>
    <w:p w14:paraId="39C977A9">
      <w:pPr>
        <w:pStyle w:val="27"/>
        <w:spacing w:line="320" w:lineRule="exact"/>
        <w:ind w:firstLine="411" w:firstLineChars="196"/>
        <w:rPr>
          <w:rFonts w:hAnsi="宋体"/>
          <w:color w:val="auto"/>
          <w:highlight w:val="none"/>
        </w:rPr>
      </w:pPr>
      <w:r>
        <w:rPr>
          <w:rFonts w:hint="eastAsia" w:hAnsi="宋体"/>
          <w:color w:val="auto"/>
          <w:highlight w:val="none"/>
        </w:rPr>
        <w:t>根据《关于做好政府采购有关信用主体标识码登记及在政府采购活动中查询使用信用记录有关问题的</w:t>
      </w:r>
      <w:r>
        <w:rPr>
          <w:rFonts w:hint="eastAsia" w:hAnsi="宋体"/>
          <w:color w:val="auto"/>
          <w:spacing w:val="-4"/>
          <w:highlight w:val="none"/>
        </w:rPr>
        <w:t>通知》</w:t>
      </w:r>
      <w:r>
        <w:rPr>
          <w:rFonts w:hint="eastAsia" w:hAnsi="宋体"/>
          <w:color w:val="auto"/>
          <w:spacing w:val="-4"/>
          <w:highlight w:val="none"/>
          <w:lang w:eastAsia="zh-CN"/>
        </w:rPr>
        <w:t>（</w:t>
      </w:r>
      <w:r>
        <w:rPr>
          <w:rFonts w:hint="eastAsia" w:hAnsi="宋体"/>
          <w:color w:val="auto"/>
          <w:spacing w:val="-4"/>
          <w:highlight w:val="none"/>
        </w:rPr>
        <w:t>桂财采〔2016〕37号</w:t>
      </w:r>
      <w:r>
        <w:rPr>
          <w:rFonts w:hint="eastAsia" w:hAnsi="宋体"/>
          <w:color w:val="auto"/>
          <w:spacing w:val="-4"/>
          <w:highlight w:val="none"/>
          <w:lang w:eastAsia="zh-CN"/>
        </w:rPr>
        <w:t>）</w:t>
      </w:r>
      <w:r>
        <w:rPr>
          <w:rFonts w:hint="eastAsia" w:hAnsi="宋体"/>
          <w:color w:val="auto"/>
          <w:spacing w:val="-4"/>
          <w:highlight w:val="none"/>
        </w:rPr>
        <w:t>的通知，中标通知书发出前，由采购代理机构对第一中标候选人进行信用查询：</w:t>
      </w:r>
    </w:p>
    <w:p w14:paraId="10EBEDA9">
      <w:pPr>
        <w:pStyle w:val="27"/>
        <w:spacing w:line="360" w:lineRule="exact"/>
        <w:ind w:firstLine="411" w:firstLineChars="196"/>
        <w:rPr>
          <w:rFonts w:hAnsi="宋体"/>
          <w:color w:val="auto"/>
          <w:spacing w:val="-4"/>
          <w:highlight w:val="none"/>
        </w:rPr>
      </w:pPr>
      <w:r>
        <w:rPr>
          <w:rFonts w:hint="eastAsia" w:hAnsi="宋体"/>
          <w:color w:val="auto"/>
          <w:highlight w:val="none"/>
        </w:rPr>
        <w:t>⑴</w:t>
      </w:r>
      <w:r>
        <w:rPr>
          <w:rFonts w:hint="eastAsia" w:hAnsi="宋体"/>
          <w:color w:val="auto"/>
          <w:spacing w:val="-4"/>
          <w:highlight w:val="none"/>
        </w:rPr>
        <w:t>查询渠道：“信用中国”网站</w:t>
      </w:r>
      <w:r>
        <w:rPr>
          <w:rFonts w:hint="eastAsia" w:hAnsi="宋体"/>
          <w:color w:val="auto"/>
          <w:spacing w:val="-4"/>
          <w:highlight w:val="none"/>
          <w:lang w:eastAsia="zh-CN"/>
        </w:rPr>
        <w:t>（</w:t>
      </w:r>
      <w:r>
        <w:rPr>
          <w:rFonts w:hint="eastAsia" w:hAnsi="宋体"/>
          <w:color w:val="auto"/>
          <w:spacing w:val="-4"/>
          <w:highlight w:val="none"/>
        </w:rPr>
        <w:t>www.creditchina.gov.cn</w:t>
      </w:r>
      <w:r>
        <w:rPr>
          <w:rFonts w:hint="eastAsia" w:hAnsi="宋体"/>
          <w:color w:val="auto"/>
          <w:spacing w:val="-4"/>
          <w:highlight w:val="none"/>
          <w:lang w:eastAsia="zh-CN"/>
        </w:rPr>
        <w:t>）</w:t>
      </w:r>
      <w:r>
        <w:rPr>
          <w:rFonts w:hint="eastAsia" w:hAnsi="宋体"/>
          <w:color w:val="auto"/>
          <w:spacing w:val="-4"/>
          <w:highlight w:val="none"/>
        </w:rPr>
        <w:t>、中国政府采购网（www.ccgp.gov.cn）等；</w:t>
      </w:r>
    </w:p>
    <w:p w14:paraId="1C2013BE">
      <w:pPr>
        <w:pStyle w:val="27"/>
        <w:spacing w:line="360" w:lineRule="exact"/>
        <w:ind w:firstLine="411" w:firstLineChars="196"/>
        <w:rPr>
          <w:rFonts w:hAnsi="宋体"/>
          <w:color w:val="auto"/>
          <w:highlight w:val="none"/>
        </w:rPr>
      </w:pPr>
      <w:r>
        <w:rPr>
          <w:rFonts w:hint="eastAsia" w:hAnsi="宋体"/>
          <w:color w:val="auto"/>
          <w:highlight w:val="none"/>
        </w:rPr>
        <w:t>⑵查询截止时间：中标通知书发出前；</w:t>
      </w:r>
    </w:p>
    <w:p w14:paraId="5B8200EE">
      <w:pPr>
        <w:pStyle w:val="27"/>
        <w:spacing w:line="360" w:lineRule="exact"/>
        <w:ind w:firstLine="411" w:firstLineChars="196"/>
        <w:rPr>
          <w:rFonts w:hAnsi="宋体"/>
          <w:color w:val="auto"/>
          <w:highlight w:val="none"/>
        </w:rPr>
      </w:pPr>
      <w:r>
        <w:rPr>
          <w:rFonts w:hint="eastAsia" w:hAnsi="宋体"/>
          <w:color w:val="auto"/>
          <w:highlight w:val="none"/>
        </w:rPr>
        <w:t>⑶信用信息查询记录和证据留存方式：在查询网站中直接打印查询记录，打印材料作为采购活动资料保存；</w:t>
      </w:r>
    </w:p>
    <w:p w14:paraId="7C9AF329">
      <w:pPr>
        <w:pStyle w:val="27"/>
        <w:spacing w:line="360" w:lineRule="exact"/>
        <w:ind w:firstLine="411" w:firstLineChars="196"/>
        <w:rPr>
          <w:rFonts w:hint="eastAsia" w:hAnsi="宋体"/>
          <w:color w:val="auto"/>
          <w:highlight w:val="none"/>
        </w:rPr>
      </w:pPr>
      <w:r>
        <w:rPr>
          <w:rFonts w:hint="eastAsia" w:hAnsi="宋体"/>
          <w:color w:val="auto"/>
          <w:highlight w:val="none"/>
        </w:rPr>
        <w:t>⑷信用信息使用规则：对在“信用中国”网站</w:t>
      </w:r>
      <w:r>
        <w:rPr>
          <w:rFonts w:hint="eastAsia" w:hAnsi="宋体"/>
          <w:color w:val="auto"/>
          <w:highlight w:val="none"/>
          <w:lang w:eastAsia="zh-CN"/>
        </w:rPr>
        <w:t>（</w:t>
      </w:r>
      <w:r>
        <w:rPr>
          <w:rFonts w:hint="eastAsia" w:hAnsi="宋体"/>
          <w:color w:val="auto"/>
          <w:highlight w:val="none"/>
        </w:rPr>
        <w:t>www.creditchina.gov.cn</w:t>
      </w:r>
      <w:r>
        <w:rPr>
          <w:rFonts w:hint="eastAsia" w:hAnsi="宋体"/>
          <w:color w:val="auto"/>
          <w:highlight w:val="none"/>
          <w:lang w:eastAsia="zh-CN"/>
        </w:rPr>
        <w:t>）</w:t>
      </w:r>
      <w:r>
        <w:rPr>
          <w:rFonts w:hint="eastAsia" w:hAnsi="宋体"/>
          <w:color w:val="auto"/>
          <w:highlight w:val="none"/>
        </w:rPr>
        <w:t>、中国政府采购网（www.ccgp.gov.cn）等渠道列入失信被执行人、重大税收违法失信主体、政府采购严重违法失信行为记</w:t>
      </w:r>
      <w:r>
        <w:rPr>
          <w:rFonts w:hint="eastAsia" w:hAnsi="宋体"/>
          <w:color w:val="auto"/>
          <w:spacing w:val="-4"/>
          <w:highlight w:val="none"/>
        </w:rPr>
        <w:t>录名单及其他不符合《中华人民共和国政府采购法》第二十二条规定条件的供应商，取消其中标候选人资格。</w:t>
      </w:r>
    </w:p>
    <w:p w14:paraId="4D628CF1">
      <w:pPr>
        <w:pStyle w:val="27"/>
        <w:spacing w:line="360" w:lineRule="exact"/>
        <w:ind w:firstLine="413" w:firstLineChars="196"/>
        <w:rPr>
          <w:rFonts w:hAnsi="宋体"/>
          <w:b/>
          <w:color w:val="auto"/>
          <w:highlight w:val="none"/>
        </w:rPr>
      </w:pPr>
      <w:r>
        <w:rPr>
          <w:rFonts w:hint="eastAsia" w:hAnsi="宋体"/>
          <w:b/>
          <w:color w:val="auto"/>
          <w:highlight w:val="none"/>
        </w:rPr>
        <w:t>33. 中标公告及中标通知书</w:t>
      </w:r>
    </w:p>
    <w:p w14:paraId="20D98F27">
      <w:pPr>
        <w:pStyle w:val="27"/>
        <w:tabs>
          <w:tab w:val="left" w:pos="455"/>
        </w:tabs>
        <w:spacing w:line="360" w:lineRule="exact"/>
        <w:ind w:firstLine="420" w:firstLineChars="200"/>
        <w:rPr>
          <w:rFonts w:hint="eastAsia" w:hAnsi="宋体"/>
          <w:color w:val="auto"/>
          <w:szCs w:val="21"/>
          <w:highlight w:val="none"/>
        </w:rPr>
      </w:pPr>
      <w:r>
        <w:rPr>
          <w:rFonts w:hint="eastAsia" w:hAnsi="宋体"/>
          <w:color w:val="auto"/>
          <w:szCs w:val="21"/>
          <w:highlight w:val="none"/>
        </w:rPr>
        <w:t>33.1采购代理机构于评标结束后两个工作日内将评标报告送交采购人，采购人应当自收到评标报告五个工作日内在评标报告推荐的中标候选人中按顺序确定中标人；</w:t>
      </w:r>
      <w:r>
        <w:rPr>
          <w:rFonts w:hAnsi="宋体"/>
          <w:color w:val="auto"/>
          <w:szCs w:val="21"/>
          <w:highlight w:val="none"/>
        </w:rPr>
        <w:t>采购人在收到评标报告</w:t>
      </w:r>
      <w:r>
        <w:rPr>
          <w:rFonts w:hint="eastAsia" w:hAnsi="宋体"/>
          <w:color w:val="auto"/>
          <w:szCs w:val="21"/>
          <w:highlight w:val="none"/>
        </w:rPr>
        <w:t>五</w:t>
      </w:r>
      <w:r>
        <w:rPr>
          <w:rFonts w:hAnsi="宋体"/>
          <w:color w:val="auto"/>
          <w:szCs w:val="21"/>
          <w:highlight w:val="none"/>
        </w:rPr>
        <w:t>个工作日内未按评标报告推荐的中标候选人顺序确定中标人，又不能说明合法理由的，视同按评标报告推荐的顺序确定排名第一的中标候选人为中标人。</w:t>
      </w:r>
      <w:r>
        <w:rPr>
          <w:rFonts w:hint="eastAsia" w:hAnsi="宋体"/>
          <w:color w:val="auto"/>
          <w:szCs w:val="21"/>
          <w:highlight w:val="none"/>
        </w:rPr>
        <w:t>采购代理机构在中标人确定之日起两个工作日内在指定媒体上公告中标结果，</w:t>
      </w:r>
      <w:r>
        <w:rPr>
          <w:rFonts w:hAnsi="宋体"/>
          <w:color w:val="auto"/>
          <w:szCs w:val="21"/>
          <w:highlight w:val="none"/>
        </w:rPr>
        <w:t>中标公告期限为1个工作日</w:t>
      </w:r>
      <w:r>
        <w:rPr>
          <w:rFonts w:hint="eastAsia" w:hAnsi="宋体"/>
          <w:color w:val="auto"/>
          <w:szCs w:val="21"/>
          <w:highlight w:val="none"/>
        </w:rPr>
        <w:t>。</w:t>
      </w:r>
    </w:p>
    <w:p w14:paraId="52604F80">
      <w:pPr>
        <w:pStyle w:val="27"/>
        <w:tabs>
          <w:tab w:val="left" w:pos="455"/>
        </w:tabs>
        <w:spacing w:line="360" w:lineRule="exact"/>
        <w:ind w:firstLine="422" w:firstLineChars="200"/>
        <w:rPr>
          <w:rFonts w:hint="eastAsia" w:hAnsi="宋体"/>
          <w:color w:val="auto"/>
          <w:highlight w:val="none"/>
        </w:rPr>
      </w:pPr>
      <w:r>
        <w:rPr>
          <w:rFonts w:hint="eastAsia" w:hAnsi="宋体"/>
          <w:b/>
          <w:color w:val="auto"/>
          <w:szCs w:val="21"/>
          <w:highlight w:val="none"/>
        </w:rPr>
        <w:t>33.2</w:t>
      </w:r>
      <w:r>
        <w:rPr>
          <w:rFonts w:hint="eastAsia" w:hAnsi="宋体"/>
          <w:b/>
          <w:bCs/>
          <w:color w:val="auto"/>
          <w:szCs w:val="21"/>
          <w:highlight w:val="none"/>
        </w:rPr>
        <w:t>中小企业在政府采购活动过程中，请根据自己的真实情况出具《中小企业声明函》。依法享受中小企业优惠政策的，采购人或采购代理机构在公告中标结果时，同时公告其《中小企业声明函》，接受社会监督。</w:t>
      </w:r>
    </w:p>
    <w:p w14:paraId="3CC8085F">
      <w:pPr>
        <w:pStyle w:val="27"/>
        <w:spacing w:line="360" w:lineRule="exact"/>
        <w:ind w:firstLine="420" w:firstLineChars="200"/>
        <w:rPr>
          <w:rFonts w:hint="eastAsia" w:hAnsi="宋体"/>
          <w:color w:val="auto"/>
          <w:highlight w:val="none"/>
        </w:rPr>
      </w:pPr>
      <w:r>
        <w:rPr>
          <w:rFonts w:hint="eastAsia" w:hAnsi="宋体"/>
          <w:color w:val="auto"/>
          <w:szCs w:val="21"/>
          <w:highlight w:val="none"/>
        </w:rPr>
        <w:t>33.3</w:t>
      </w:r>
      <w:r>
        <w:rPr>
          <w:rFonts w:hAnsi="宋体"/>
          <w:color w:val="auto"/>
          <w:szCs w:val="21"/>
          <w:highlight w:val="none"/>
        </w:rPr>
        <w:t>中标公告</w:t>
      </w:r>
      <w:r>
        <w:rPr>
          <w:rFonts w:hint="eastAsia" w:hAnsi="宋体"/>
          <w:color w:val="auto"/>
          <w:szCs w:val="21"/>
          <w:highlight w:val="none"/>
        </w:rPr>
        <w:t>发布同时，采购代理机构通过</w:t>
      </w:r>
      <w:r>
        <w:rPr>
          <w:rFonts w:hint="eastAsia" w:hAnsi="宋体"/>
          <w:color w:val="auto"/>
          <w:highlight w:val="none"/>
        </w:rPr>
        <w:t>广西政府采购云平台</w:t>
      </w:r>
      <w:r>
        <w:rPr>
          <w:rFonts w:hint="eastAsia" w:hAnsi="宋体"/>
          <w:color w:val="auto"/>
          <w:szCs w:val="21"/>
          <w:highlight w:val="none"/>
        </w:rPr>
        <w:t>在线向中标人发出中标通知书，中标人应自行关注</w:t>
      </w:r>
      <w:r>
        <w:rPr>
          <w:rFonts w:hint="eastAsia" w:hAnsi="宋体"/>
          <w:color w:val="auto"/>
          <w:highlight w:val="none"/>
        </w:rPr>
        <w:t>广西政府采购云平台</w:t>
      </w:r>
      <w:r>
        <w:rPr>
          <w:rFonts w:hint="eastAsia" w:hAnsi="宋体"/>
          <w:color w:val="auto"/>
          <w:szCs w:val="21"/>
          <w:highlight w:val="none"/>
        </w:rPr>
        <w:t>信息，确保及时查收中标通知书。</w:t>
      </w:r>
    </w:p>
    <w:p w14:paraId="7497FC26">
      <w:pPr>
        <w:tabs>
          <w:tab w:val="left" w:pos="1140"/>
        </w:tabs>
        <w:spacing w:line="360" w:lineRule="exact"/>
        <w:ind w:left="420" w:leftChars="200"/>
        <w:rPr>
          <w:rFonts w:hint="eastAsia" w:ascii="宋体" w:hAnsi="宋体"/>
          <w:b/>
          <w:color w:val="auto"/>
          <w:sz w:val="28"/>
          <w:szCs w:val="28"/>
          <w:highlight w:val="none"/>
        </w:rPr>
      </w:pPr>
    </w:p>
    <w:p w14:paraId="2DAFEB5C">
      <w:pPr>
        <w:tabs>
          <w:tab w:val="left" w:pos="1140"/>
        </w:tabs>
        <w:spacing w:line="340" w:lineRule="exact"/>
        <w:ind w:left="420" w:leftChars="200"/>
        <w:jc w:val="center"/>
        <w:rPr>
          <w:rFonts w:hint="eastAsia" w:ascii="宋体" w:hAnsi="宋体"/>
          <w:b/>
          <w:color w:val="auto"/>
          <w:sz w:val="28"/>
          <w:szCs w:val="28"/>
          <w:highlight w:val="none"/>
        </w:rPr>
      </w:pPr>
      <w:r>
        <w:rPr>
          <w:rFonts w:hint="eastAsia" w:ascii="宋体" w:hAnsi="宋体"/>
          <w:b/>
          <w:color w:val="auto"/>
          <w:sz w:val="28"/>
          <w:szCs w:val="28"/>
          <w:highlight w:val="none"/>
        </w:rPr>
        <w:t>七、履约保证金及签订合同</w:t>
      </w:r>
    </w:p>
    <w:p w14:paraId="595EB36A">
      <w:pPr>
        <w:tabs>
          <w:tab w:val="left" w:pos="1305"/>
        </w:tabs>
        <w:spacing w:line="360" w:lineRule="exact"/>
        <w:ind w:firstLine="316" w:firstLineChars="150"/>
        <w:rPr>
          <w:rFonts w:ascii="宋体" w:hAnsi="宋体"/>
          <w:color w:val="auto"/>
          <w:szCs w:val="21"/>
          <w:highlight w:val="none"/>
        </w:rPr>
      </w:pPr>
      <w:r>
        <w:rPr>
          <w:rFonts w:hint="eastAsia" w:ascii="宋体" w:hAnsi="宋体"/>
          <w:b/>
          <w:color w:val="auto"/>
          <w:highlight w:val="none"/>
        </w:rPr>
        <w:t xml:space="preserve"> 34</w:t>
      </w:r>
      <w:r>
        <w:rPr>
          <w:rFonts w:hint="eastAsia" w:ascii="宋体" w:hAnsi="宋体"/>
          <w:b/>
          <w:color w:val="auto"/>
          <w:szCs w:val="21"/>
          <w:highlight w:val="none"/>
        </w:rPr>
        <w:t>. 履约保证金</w:t>
      </w:r>
    </w:p>
    <w:p w14:paraId="64562BF7">
      <w:pPr>
        <w:pStyle w:val="27"/>
        <w:spacing w:line="360" w:lineRule="exact"/>
        <w:ind w:left="2" w:leftChars="1" w:firstLine="420" w:firstLineChars="200"/>
        <w:rPr>
          <w:rFonts w:hint="eastAsia" w:hAnsi="宋体"/>
          <w:color w:val="auto"/>
          <w:highlight w:val="none"/>
        </w:rPr>
      </w:pPr>
      <w:r>
        <w:rPr>
          <w:rFonts w:hint="eastAsia" w:hAnsi="宋体"/>
          <w:color w:val="auto"/>
          <w:szCs w:val="21"/>
          <w:highlight w:val="none"/>
        </w:rPr>
        <w:t>本项目不收取履约保证金</w:t>
      </w:r>
      <w:r>
        <w:rPr>
          <w:rFonts w:hint="eastAsia" w:hAnsi="宋体"/>
          <w:color w:val="auto"/>
          <w:highlight w:val="none"/>
        </w:rPr>
        <w:t>。</w:t>
      </w:r>
    </w:p>
    <w:p w14:paraId="770AFF80">
      <w:pPr>
        <w:tabs>
          <w:tab w:val="left" w:pos="1140"/>
        </w:tabs>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35. 签订合同</w:t>
      </w:r>
    </w:p>
    <w:p w14:paraId="0F765D7A">
      <w:pPr>
        <w:pStyle w:val="27"/>
        <w:spacing w:line="360" w:lineRule="exact"/>
        <w:ind w:left="2" w:leftChars="1" w:firstLine="420" w:firstLineChars="200"/>
        <w:rPr>
          <w:rFonts w:hint="eastAsia" w:hAnsi="宋体"/>
          <w:color w:val="auto"/>
          <w:szCs w:val="21"/>
          <w:highlight w:val="none"/>
        </w:rPr>
      </w:pPr>
      <w:r>
        <w:rPr>
          <w:rFonts w:hint="eastAsia" w:hAnsi="宋体"/>
          <w:color w:val="auto"/>
          <w:szCs w:val="21"/>
          <w:highlight w:val="none"/>
        </w:rPr>
        <w:t>35.1签订合同时间：中标通知书发出之日起8个工作日内。中标人应按规定与采购人签订合同。</w:t>
      </w:r>
    </w:p>
    <w:p w14:paraId="482FBC92">
      <w:pPr>
        <w:pStyle w:val="27"/>
        <w:spacing w:line="360" w:lineRule="exact"/>
        <w:ind w:left="2" w:leftChars="1" w:firstLine="420" w:firstLineChars="200"/>
        <w:rPr>
          <w:rFonts w:hAnsi="宋体"/>
          <w:color w:val="auto"/>
          <w:szCs w:val="21"/>
          <w:highlight w:val="none"/>
        </w:rPr>
      </w:pPr>
      <w:r>
        <w:rPr>
          <w:rFonts w:hint="eastAsia" w:hAnsi="宋体"/>
          <w:color w:val="auto"/>
          <w:szCs w:val="21"/>
          <w:highlight w:val="none"/>
        </w:rPr>
        <w:t>35.2如中标人有下列情形之一，情节严重的，由财政部门将其列入不良行为记录名单，在一至三年内禁止参加政府采购活动，并予以通报。采购人或者采购代理机构可从评标委员会推荐的中标候选人中按顺序重新确定中标人或重新组织招标。</w:t>
      </w:r>
    </w:p>
    <w:p w14:paraId="20D00FF9">
      <w:pPr>
        <w:pStyle w:val="27"/>
        <w:spacing w:line="360" w:lineRule="exact"/>
        <w:ind w:firstLine="315" w:firstLineChars="150"/>
        <w:rPr>
          <w:rFonts w:hAnsi="宋体"/>
          <w:color w:val="auto"/>
          <w:szCs w:val="21"/>
          <w:highlight w:val="none"/>
        </w:rPr>
      </w:pPr>
      <w:r>
        <w:rPr>
          <w:rFonts w:hint="eastAsia" w:hAnsi="宋体"/>
          <w:color w:val="auto"/>
          <w:szCs w:val="21"/>
          <w:highlight w:val="none"/>
        </w:rPr>
        <w:t xml:space="preserve"> （1）中标后不与采购人签订合同的（不可抗力除外）；</w:t>
      </w:r>
    </w:p>
    <w:p w14:paraId="6F0511B4">
      <w:pPr>
        <w:pStyle w:val="27"/>
        <w:spacing w:line="360" w:lineRule="exact"/>
        <w:ind w:left="2" w:leftChars="1" w:firstLine="315" w:firstLineChars="150"/>
        <w:rPr>
          <w:rFonts w:hAnsi="宋体"/>
          <w:color w:val="auto"/>
          <w:szCs w:val="21"/>
          <w:highlight w:val="none"/>
        </w:rPr>
      </w:pPr>
      <w:r>
        <w:rPr>
          <w:rFonts w:hint="eastAsia" w:hAnsi="宋体"/>
          <w:color w:val="auto"/>
          <w:szCs w:val="21"/>
          <w:highlight w:val="none"/>
        </w:rPr>
        <w:t xml:space="preserve"> （2）将中标项目转让给他人，或者在投标文件中未说明，且未经采购人同意，将中标项目分包给他人的；</w:t>
      </w:r>
    </w:p>
    <w:p w14:paraId="11E16EB1">
      <w:pPr>
        <w:pStyle w:val="27"/>
        <w:spacing w:line="360" w:lineRule="exact"/>
        <w:ind w:left="2" w:leftChars="1" w:firstLine="420" w:firstLineChars="200"/>
        <w:rPr>
          <w:rFonts w:hint="eastAsia" w:hAnsi="宋体"/>
          <w:color w:val="auto"/>
          <w:highlight w:val="none"/>
        </w:rPr>
      </w:pPr>
      <w:r>
        <w:rPr>
          <w:rFonts w:hint="eastAsia" w:hAnsi="宋体"/>
          <w:color w:val="auto"/>
          <w:szCs w:val="21"/>
          <w:highlight w:val="none"/>
        </w:rPr>
        <w:t>（3）拒绝履行合同义</w:t>
      </w:r>
      <w:r>
        <w:rPr>
          <w:rFonts w:hint="eastAsia" w:hAnsi="宋体"/>
          <w:color w:val="auto"/>
          <w:highlight w:val="none"/>
        </w:rPr>
        <w:t>务的。</w:t>
      </w:r>
    </w:p>
    <w:p w14:paraId="29F25673">
      <w:pPr>
        <w:pStyle w:val="27"/>
        <w:spacing w:line="360" w:lineRule="exact"/>
        <w:ind w:left="2" w:leftChars="1" w:firstLine="420" w:firstLineChars="200"/>
        <w:rPr>
          <w:rFonts w:hint="eastAsia" w:hAnsi="宋体"/>
          <w:color w:val="auto"/>
          <w:szCs w:val="21"/>
          <w:highlight w:val="none"/>
        </w:rPr>
      </w:pPr>
      <w:r>
        <w:rPr>
          <w:rFonts w:hint="eastAsia" w:hAnsi="宋体"/>
          <w:color w:val="auto"/>
          <w:highlight w:val="none"/>
        </w:rPr>
        <w:t>35.3合同公告：政府采购合同双方自签订之日起2个工作日内在省级以上人民政府财政部门指定媒体上公告</w:t>
      </w:r>
      <w:r>
        <w:rPr>
          <w:rFonts w:hint="eastAsia" w:hAnsi="宋体"/>
          <w:color w:val="auto"/>
          <w:szCs w:val="21"/>
          <w:highlight w:val="none"/>
        </w:rPr>
        <w:t>。</w:t>
      </w:r>
    </w:p>
    <w:p w14:paraId="595A2D06">
      <w:pPr>
        <w:pStyle w:val="27"/>
        <w:spacing w:line="360" w:lineRule="exact"/>
        <w:ind w:left="3"/>
        <w:jc w:val="center"/>
        <w:rPr>
          <w:rFonts w:hint="eastAsia" w:hAnsi="宋体"/>
          <w:b/>
          <w:color w:val="auto"/>
          <w:sz w:val="28"/>
          <w:szCs w:val="28"/>
          <w:highlight w:val="none"/>
        </w:rPr>
      </w:pPr>
    </w:p>
    <w:p w14:paraId="5BE82419">
      <w:pPr>
        <w:pStyle w:val="27"/>
        <w:spacing w:line="360" w:lineRule="exact"/>
        <w:ind w:left="3"/>
        <w:jc w:val="center"/>
        <w:rPr>
          <w:rFonts w:hint="eastAsia" w:hAnsi="宋体"/>
          <w:b/>
          <w:color w:val="auto"/>
          <w:sz w:val="28"/>
          <w:szCs w:val="28"/>
          <w:highlight w:val="none"/>
        </w:rPr>
      </w:pPr>
      <w:r>
        <w:rPr>
          <w:rFonts w:hint="eastAsia" w:hAnsi="宋体"/>
          <w:b/>
          <w:color w:val="auto"/>
          <w:sz w:val="28"/>
          <w:szCs w:val="28"/>
          <w:highlight w:val="none"/>
        </w:rPr>
        <w:t>八、其他事项</w:t>
      </w:r>
    </w:p>
    <w:p w14:paraId="3E306A46">
      <w:pPr>
        <w:pStyle w:val="27"/>
        <w:spacing w:line="360" w:lineRule="exact"/>
        <w:ind w:firstLine="422" w:firstLineChars="200"/>
        <w:rPr>
          <w:rFonts w:hAnsi="宋体"/>
          <w:b/>
          <w:color w:val="auto"/>
          <w:highlight w:val="none"/>
        </w:rPr>
      </w:pPr>
      <w:r>
        <w:rPr>
          <w:rFonts w:hint="eastAsia" w:hAnsi="宋体"/>
          <w:b/>
          <w:color w:val="auto"/>
          <w:highlight w:val="none"/>
        </w:rPr>
        <w:t>36.招标代理服务费</w:t>
      </w:r>
    </w:p>
    <w:p w14:paraId="08D9511C">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36.1招标代理服务费：</w:t>
      </w:r>
      <w:r>
        <w:rPr>
          <w:rFonts w:hint="eastAsia" w:ascii="宋体" w:hAnsi="宋体"/>
          <w:color w:val="auto"/>
          <w:highlight w:val="none"/>
        </w:rPr>
        <w:t>本</w:t>
      </w:r>
      <w:r>
        <w:rPr>
          <w:rFonts w:hint="eastAsia" w:ascii="宋体" w:hAnsi="宋体" w:eastAsia="宋体" w:cs="Times New Roman"/>
          <w:color w:val="auto"/>
          <w:highlight w:val="none"/>
        </w:rPr>
        <w:t>项目招标代理服务费按本须知第36.2条“招标代理服务收费标准”中“货物招标”收费标准下浮</w:t>
      </w:r>
      <w:r>
        <w:rPr>
          <w:rFonts w:hint="eastAsia" w:ascii="宋体" w:hAnsi="宋体" w:eastAsia="宋体" w:cs="Times New Roman"/>
          <w:color w:val="auto"/>
          <w:highlight w:val="none"/>
          <w:lang w:val="en-US" w:eastAsia="zh-CN"/>
        </w:rPr>
        <w:t>5</w:t>
      </w:r>
      <w:r>
        <w:rPr>
          <w:rFonts w:hint="eastAsia" w:ascii="宋体" w:hAnsi="宋体" w:eastAsia="宋体" w:cs="Times New Roman"/>
          <w:color w:val="auto"/>
          <w:highlight w:val="none"/>
        </w:rPr>
        <w:t>0%计算（不足人民币</w:t>
      </w:r>
      <w:r>
        <w:rPr>
          <w:rFonts w:hint="eastAsia" w:ascii="宋体" w:hAnsi="宋体" w:eastAsia="宋体" w:cs="Times New Roman"/>
          <w:color w:val="auto"/>
          <w:highlight w:val="none"/>
          <w:lang w:val="en-US" w:eastAsia="zh-CN"/>
        </w:rPr>
        <w:t>6</w:t>
      </w:r>
      <w:r>
        <w:rPr>
          <w:rFonts w:hint="eastAsia" w:ascii="宋体" w:hAnsi="宋体" w:eastAsia="宋体" w:cs="Times New Roman"/>
          <w:color w:val="auto"/>
          <w:highlight w:val="none"/>
        </w:rPr>
        <w:t>000元的，按</w:t>
      </w:r>
      <w:r>
        <w:rPr>
          <w:rFonts w:hint="eastAsia" w:ascii="宋体" w:hAnsi="宋体" w:eastAsia="宋体" w:cs="Times New Roman"/>
          <w:color w:val="auto"/>
          <w:highlight w:val="none"/>
          <w:lang w:val="en-US" w:eastAsia="zh-CN"/>
        </w:rPr>
        <w:t>6</w:t>
      </w:r>
      <w:r>
        <w:rPr>
          <w:rFonts w:hint="eastAsia" w:ascii="宋体" w:hAnsi="宋体" w:eastAsia="宋体" w:cs="Times New Roman"/>
          <w:color w:val="auto"/>
          <w:highlight w:val="none"/>
        </w:rPr>
        <w:t>000元计），根据本项目采购代理协议该“采购代理服务费”由中标人在</w:t>
      </w:r>
      <w:r>
        <w:rPr>
          <w:rFonts w:hint="eastAsia" w:ascii="宋体" w:hAnsi="宋体" w:eastAsia="宋体" w:cs="Times New Roman"/>
          <w:color w:val="auto"/>
          <w:highlight w:val="none"/>
          <w:lang w:eastAsia="zh-CN"/>
        </w:rPr>
        <w:t>获取中标通知书前</w:t>
      </w:r>
      <w:r>
        <w:rPr>
          <w:rFonts w:hint="eastAsia" w:ascii="宋体" w:hAnsi="宋体" w:eastAsia="宋体" w:cs="Times New Roman"/>
          <w:color w:val="auto"/>
          <w:highlight w:val="none"/>
        </w:rPr>
        <w:t>向采购代理机构一次性付清（否则，该不利后果由中标人承担）。</w:t>
      </w:r>
    </w:p>
    <w:p w14:paraId="66791033">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36.2招标代理服务收费标准：</w:t>
      </w:r>
    </w:p>
    <w:tbl>
      <w:tblPr>
        <w:tblStyle w:val="51"/>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453C1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noWrap w:val="0"/>
            <w:vAlign w:val="top"/>
          </w:tcPr>
          <w:p w14:paraId="2314EFFD">
            <w:pPr>
              <w:pStyle w:val="27"/>
              <w:spacing w:line="360" w:lineRule="exact"/>
              <w:ind w:left="25"/>
              <w:rPr>
                <w:rFonts w:hint="eastAsia" w:hAnsi="宋体"/>
                <w:color w:val="auto"/>
                <w:highlight w:val="none"/>
              </w:rPr>
            </w:pPr>
            <w:r>
              <w:rPr>
                <w:rFonts w:hAnsi="宋体"/>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296545</wp:posOffset>
                      </wp:positionH>
                      <wp:positionV relativeFrom="paragraph">
                        <wp:posOffset>10795</wp:posOffset>
                      </wp:positionV>
                      <wp:extent cx="1463675" cy="653415"/>
                      <wp:effectExtent l="1905" t="4445" r="20320" b="8890"/>
                      <wp:wrapNone/>
                      <wp:docPr id="1" name="直线 3"/>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23.35pt;margin-top:0.85pt;height:51.45pt;width:115.25pt;z-index:251659264;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gFT&#10;NNYAAAAIAQAADwAAAAAAAAABACAAAAAiAAAAZHJzL2Rvd25yZXYueG1sUEsBAhQAFAAAAAgAh07i&#10;QATzxIbrAQAA4AMAAA4AAAAAAAAAAQAgAAAAJQEAAGRycy9lMm9Eb2MueG1sUEsFBgAAAAAGAAYA&#10;WQEAAIIFAAAAAA==&#10;">
                      <v:fill on="f" focussize="0,0"/>
                      <v:stroke color="#000000" joinstyle="round"/>
                      <v:imagedata o:title=""/>
                      <o:lock v:ext="edit" aspectratio="f"/>
                    </v:line>
                  </w:pict>
                </mc:Fallback>
              </mc:AlternateContent>
            </w:r>
            <w:r>
              <w:rPr>
                <w:rFonts w:hint="eastAsia" w:hAnsi="宋体"/>
                <w:color w:val="auto"/>
                <w:highlight w:val="none"/>
              </w:rPr>
              <w:t>费率           服务类型</w:t>
            </w:r>
          </w:p>
          <w:p w14:paraId="78681BFF">
            <w:pPr>
              <w:pStyle w:val="27"/>
              <w:spacing w:line="360" w:lineRule="exact"/>
              <w:ind w:left="25"/>
              <w:rPr>
                <w:rFonts w:hint="eastAsia" w:hAnsi="宋体"/>
                <w:color w:val="auto"/>
                <w:highlight w:val="none"/>
              </w:rPr>
            </w:pPr>
            <w:r>
              <w:rPr>
                <w:rFonts w:hAnsi="宋体"/>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2" name="直线 4"/>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 o:spid="_x0000_s1026" o:spt="20" style="position:absolute;left:0pt;margin-left:-5.4pt;margin-top:3.1pt;height:31.2pt;width:144pt;z-index:251660288;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A6vRNYAAAAIAQAADwAAAAAAAAABACAAAAAiAAAAZHJzL2Rvd25yZXYueG1sUEsBAhQAFAAAAAgA&#10;h07iQAUjTC3uAQAA4AMAAA4AAAAAAAAAAQAgAAAAJQEAAGRycy9lMm9Eb2MueG1sUEsFBgAAAAAG&#10;AAYAWQEAAIUFAAAAAA==&#10;">
                      <v:fill on="f" focussize="0,0"/>
                      <v:stroke color="#000000" joinstyle="round"/>
                      <v:imagedata o:title=""/>
                      <o:lock v:ext="edit" aspectratio="f"/>
                    </v:line>
                  </w:pict>
                </mc:Fallback>
              </mc:AlternateContent>
            </w:r>
          </w:p>
          <w:p w14:paraId="5602E031">
            <w:pPr>
              <w:pStyle w:val="27"/>
              <w:spacing w:line="360" w:lineRule="exact"/>
              <w:ind w:left="25"/>
              <w:rPr>
                <w:rFonts w:hint="eastAsia" w:hAnsi="宋体"/>
                <w:color w:val="auto"/>
                <w:highlight w:val="none"/>
              </w:rPr>
            </w:pPr>
            <w:r>
              <w:rPr>
                <w:rFonts w:hint="eastAsia" w:hAnsi="宋体"/>
                <w:color w:val="auto"/>
                <w:highlight w:val="none"/>
              </w:rPr>
              <w:t>中标金额</w:t>
            </w:r>
          </w:p>
        </w:tc>
        <w:tc>
          <w:tcPr>
            <w:tcW w:w="1841" w:type="dxa"/>
            <w:noWrap w:val="0"/>
            <w:vAlign w:val="center"/>
          </w:tcPr>
          <w:p w14:paraId="7221DC92">
            <w:pPr>
              <w:pStyle w:val="27"/>
              <w:spacing w:line="360" w:lineRule="exact"/>
              <w:ind w:left="25"/>
              <w:jc w:val="center"/>
              <w:rPr>
                <w:rFonts w:hint="eastAsia" w:hAnsi="宋体"/>
                <w:color w:val="auto"/>
                <w:highlight w:val="none"/>
              </w:rPr>
            </w:pPr>
            <w:r>
              <w:rPr>
                <w:rFonts w:hint="eastAsia" w:hAnsi="宋体"/>
                <w:color w:val="auto"/>
                <w:highlight w:val="none"/>
              </w:rPr>
              <w:t>货物招标</w:t>
            </w:r>
          </w:p>
        </w:tc>
        <w:tc>
          <w:tcPr>
            <w:tcW w:w="1992" w:type="dxa"/>
            <w:noWrap w:val="0"/>
            <w:vAlign w:val="center"/>
          </w:tcPr>
          <w:p w14:paraId="308396E2">
            <w:pPr>
              <w:pStyle w:val="27"/>
              <w:spacing w:line="360" w:lineRule="exact"/>
              <w:ind w:left="25"/>
              <w:jc w:val="center"/>
              <w:rPr>
                <w:rFonts w:hint="eastAsia" w:hAnsi="宋体"/>
                <w:color w:val="auto"/>
                <w:highlight w:val="none"/>
              </w:rPr>
            </w:pPr>
            <w:r>
              <w:rPr>
                <w:rFonts w:hint="eastAsia" w:hAnsi="宋体"/>
                <w:color w:val="auto"/>
                <w:highlight w:val="none"/>
              </w:rPr>
              <w:t>服务招标</w:t>
            </w:r>
          </w:p>
        </w:tc>
        <w:tc>
          <w:tcPr>
            <w:tcW w:w="2293" w:type="dxa"/>
            <w:noWrap w:val="0"/>
            <w:vAlign w:val="center"/>
          </w:tcPr>
          <w:p w14:paraId="7A45EDED">
            <w:pPr>
              <w:pStyle w:val="27"/>
              <w:spacing w:line="360" w:lineRule="exact"/>
              <w:ind w:left="25"/>
              <w:jc w:val="center"/>
              <w:rPr>
                <w:rFonts w:hint="eastAsia" w:hAnsi="宋体"/>
                <w:color w:val="auto"/>
                <w:highlight w:val="none"/>
              </w:rPr>
            </w:pPr>
            <w:r>
              <w:rPr>
                <w:rFonts w:hint="eastAsia" w:hAnsi="宋体"/>
                <w:color w:val="auto"/>
                <w:highlight w:val="none"/>
              </w:rPr>
              <w:t>工程招标</w:t>
            </w:r>
          </w:p>
        </w:tc>
      </w:tr>
      <w:tr w14:paraId="1A615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noWrap w:val="0"/>
            <w:vAlign w:val="top"/>
          </w:tcPr>
          <w:p w14:paraId="0F7E79F4">
            <w:pPr>
              <w:pStyle w:val="27"/>
              <w:spacing w:line="360" w:lineRule="exact"/>
              <w:ind w:left="25"/>
              <w:rPr>
                <w:rFonts w:hint="eastAsia" w:hAnsi="宋体"/>
                <w:color w:val="auto"/>
                <w:highlight w:val="none"/>
              </w:rPr>
            </w:pPr>
            <w:r>
              <w:rPr>
                <w:rFonts w:hint="eastAsia" w:hAnsi="宋体"/>
                <w:color w:val="auto"/>
                <w:highlight w:val="none"/>
              </w:rPr>
              <w:t>100万元以下</w:t>
            </w:r>
          </w:p>
        </w:tc>
        <w:tc>
          <w:tcPr>
            <w:tcW w:w="1841" w:type="dxa"/>
            <w:noWrap w:val="0"/>
            <w:vAlign w:val="top"/>
          </w:tcPr>
          <w:p w14:paraId="2DD806C2">
            <w:pPr>
              <w:pStyle w:val="155"/>
              <w:spacing w:line="360" w:lineRule="exact"/>
              <w:ind w:left="25"/>
              <w:jc w:val="center"/>
              <w:rPr>
                <w:rFonts w:hint="eastAsia" w:ascii="宋体" w:hAnsi="宋体"/>
                <w:color w:val="auto"/>
                <w:highlight w:val="none"/>
              </w:rPr>
            </w:pPr>
            <w:r>
              <w:rPr>
                <w:rFonts w:hint="eastAsia" w:ascii="宋体" w:hAnsi="宋体"/>
                <w:color w:val="auto"/>
                <w:highlight w:val="none"/>
              </w:rPr>
              <w:t>1.5%</w:t>
            </w:r>
          </w:p>
        </w:tc>
        <w:tc>
          <w:tcPr>
            <w:tcW w:w="1992" w:type="dxa"/>
            <w:noWrap w:val="0"/>
            <w:vAlign w:val="top"/>
          </w:tcPr>
          <w:p w14:paraId="761835E1">
            <w:pPr>
              <w:pStyle w:val="155"/>
              <w:spacing w:line="360" w:lineRule="exact"/>
              <w:ind w:left="25"/>
              <w:jc w:val="center"/>
              <w:rPr>
                <w:rFonts w:hint="eastAsia" w:ascii="宋体" w:hAnsi="宋体"/>
                <w:color w:val="auto"/>
                <w:highlight w:val="none"/>
              </w:rPr>
            </w:pPr>
            <w:r>
              <w:rPr>
                <w:rFonts w:hint="eastAsia" w:ascii="宋体" w:hAnsi="宋体"/>
                <w:color w:val="auto"/>
                <w:highlight w:val="none"/>
              </w:rPr>
              <w:t>1.5%</w:t>
            </w:r>
          </w:p>
        </w:tc>
        <w:tc>
          <w:tcPr>
            <w:tcW w:w="2293" w:type="dxa"/>
            <w:noWrap w:val="0"/>
            <w:vAlign w:val="top"/>
          </w:tcPr>
          <w:p w14:paraId="7154048D">
            <w:pPr>
              <w:pStyle w:val="155"/>
              <w:spacing w:line="360" w:lineRule="exact"/>
              <w:ind w:left="25"/>
              <w:jc w:val="center"/>
              <w:rPr>
                <w:rFonts w:hint="eastAsia" w:ascii="宋体" w:hAnsi="宋体"/>
                <w:color w:val="auto"/>
                <w:highlight w:val="none"/>
              </w:rPr>
            </w:pPr>
            <w:r>
              <w:rPr>
                <w:rFonts w:hint="eastAsia" w:ascii="宋体" w:hAnsi="宋体"/>
                <w:color w:val="auto"/>
                <w:highlight w:val="none"/>
              </w:rPr>
              <w:t>1.0%</w:t>
            </w:r>
          </w:p>
        </w:tc>
      </w:tr>
      <w:tr w14:paraId="68299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noWrap w:val="0"/>
            <w:vAlign w:val="top"/>
          </w:tcPr>
          <w:p w14:paraId="2FCD53F3">
            <w:pPr>
              <w:pStyle w:val="27"/>
              <w:spacing w:line="360" w:lineRule="exact"/>
              <w:ind w:left="25"/>
              <w:rPr>
                <w:rFonts w:hint="eastAsia" w:hAnsi="宋体"/>
                <w:color w:val="auto"/>
                <w:highlight w:val="none"/>
              </w:rPr>
            </w:pPr>
            <w:r>
              <w:rPr>
                <w:rFonts w:hint="eastAsia" w:hAnsi="宋体"/>
                <w:color w:val="auto"/>
                <w:highlight w:val="none"/>
              </w:rPr>
              <w:t>100～500万元</w:t>
            </w:r>
          </w:p>
        </w:tc>
        <w:tc>
          <w:tcPr>
            <w:tcW w:w="1841" w:type="dxa"/>
            <w:noWrap w:val="0"/>
            <w:vAlign w:val="top"/>
          </w:tcPr>
          <w:p w14:paraId="14C75125">
            <w:pPr>
              <w:pStyle w:val="155"/>
              <w:spacing w:line="360" w:lineRule="exact"/>
              <w:ind w:left="25"/>
              <w:jc w:val="center"/>
              <w:rPr>
                <w:rFonts w:hint="eastAsia" w:ascii="宋体" w:hAnsi="宋体"/>
                <w:color w:val="auto"/>
                <w:highlight w:val="none"/>
              </w:rPr>
            </w:pPr>
            <w:r>
              <w:rPr>
                <w:rFonts w:hint="eastAsia" w:ascii="宋体" w:hAnsi="宋体"/>
                <w:color w:val="auto"/>
                <w:highlight w:val="none"/>
              </w:rPr>
              <w:t>1.1%</w:t>
            </w:r>
          </w:p>
        </w:tc>
        <w:tc>
          <w:tcPr>
            <w:tcW w:w="1992" w:type="dxa"/>
            <w:noWrap w:val="0"/>
            <w:vAlign w:val="top"/>
          </w:tcPr>
          <w:p w14:paraId="3B7807DB">
            <w:pPr>
              <w:pStyle w:val="155"/>
              <w:spacing w:line="360" w:lineRule="exact"/>
              <w:ind w:left="25"/>
              <w:jc w:val="center"/>
              <w:rPr>
                <w:rFonts w:hint="eastAsia" w:ascii="宋体" w:hAnsi="宋体"/>
                <w:color w:val="auto"/>
                <w:highlight w:val="none"/>
              </w:rPr>
            </w:pPr>
            <w:r>
              <w:rPr>
                <w:rFonts w:hint="eastAsia" w:ascii="宋体" w:hAnsi="宋体"/>
                <w:color w:val="auto"/>
                <w:highlight w:val="none"/>
              </w:rPr>
              <w:t>0.8%</w:t>
            </w:r>
          </w:p>
        </w:tc>
        <w:tc>
          <w:tcPr>
            <w:tcW w:w="2293" w:type="dxa"/>
            <w:noWrap w:val="0"/>
            <w:vAlign w:val="top"/>
          </w:tcPr>
          <w:p w14:paraId="688BD4AB">
            <w:pPr>
              <w:pStyle w:val="155"/>
              <w:spacing w:line="360" w:lineRule="exact"/>
              <w:ind w:left="25"/>
              <w:jc w:val="center"/>
              <w:rPr>
                <w:rFonts w:hint="eastAsia" w:ascii="宋体" w:hAnsi="宋体"/>
                <w:color w:val="auto"/>
                <w:highlight w:val="none"/>
              </w:rPr>
            </w:pPr>
            <w:r>
              <w:rPr>
                <w:rFonts w:hint="eastAsia" w:ascii="宋体" w:hAnsi="宋体"/>
                <w:color w:val="auto"/>
                <w:highlight w:val="none"/>
              </w:rPr>
              <w:t>0.7%</w:t>
            </w:r>
          </w:p>
        </w:tc>
      </w:tr>
      <w:tr w14:paraId="1F25A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03BF6968">
            <w:pPr>
              <w:pStyle w:val="27"/>
              <w:spacing w:line="360" w:lineRule="exact"/>
              <w:ind w:left="25"/>
              <w:rPr>
                <w:rFonts w:hint="eastAsia" w:hAnsi="宋体"/>
                <w:color w:val="auto"/>
                <w:highlight w:val="none"/>
              </w:rPr>
            </w:pPr>
            <w:r>
              <w:rPr>
                <w:rFonts w:hint="eastAsia" w:hAnsi="宋体"/>
                <w:color w:val="auto"/>
                <w:highlight w:val="none"/>
              </w:rPr>
              <w:t>500～1000万元</w:t>
            </w:r>
          </w:p>
        </w:tc>
        <w:tc>
          <w:tcPr>
            <w:tcW w:w="1841" w:type="dxa"/>
            <w:noWrap w:val="0"/>
            <w:vAlign w:val="top"/>
          </w:tcPr>
          <w:p w14:paraId="4523FCD0">
            <w:pPr>
              <w:pStyle w:val="27"/>
              <w:spacing w:line="360" w:lineRule="exact"/>
              <w:ind w:left="25"/>
              <w:jc w:val="center"/>
              <w:rPr>
                <w:rFonts w:hint="eastAsia" w:hAnsi="宋体"/>
                <w:color w:val="auto"/>
                <w:highlight w:val="none"/>
              </w:rPr>
            </w:pPr>
            <w:r>
              <w:rPr>
                <w:rFonts w:hint="eastAsia" w:hAnsi="宋体"/>
                <w:color w:val="auto"/>
                <w:highlight w:val="none"/>
              </w:rPr>
              <w:t>0.8%</w:t>
            </w:r>
          </w:p>
        </w:tc>
        <w:tc>
          <w:tcPr>
            <w:tcW w:w="1992" w:type="dxa"/>
            <w:noWrap w:val="0"/>
            <w:vAlign w:val="top"/>
          </w:tcPr>
          <w:p w14:paraId="2861AA7B">
            <w:pPr>
              <w:pStyle w:val="27"/>
              <w:spacing w:line="360" w:lineRule="exact"/>
              <w:ind w:left="25"/>
              <w:jc w:val="center"/>
              <w:rPr>
                <w:rFonts w:hint="eastAsia" w:hAnsi="宋体"/>
                <w:color w:val="auto"/>
                <w:highlight w:val="none"/>
              </w:rPr>
            </w:pPr>
            <w:r>
              <w:rPr>
                <w:rFonts w:hint="eastAsia" w:hAnsi="宋体"/>
                <w:color w:val="auto"/>
                <w:highlight w:val="none"/>
              </w:rPr>
              <w:t>0.45%</w:t>
            </w:r>
          </w:p>
        </w:tc>
        <w:tc>
          <w:tcPr>
            <w:tcW w:w="2293" w:type="dxa"/>
            <w:noWrap w:val="0"/>
            <w:vAlign w:val="top"/>
          </w:tcPr>
          <w:p w14:paraId="3B7AB7B3">
            <w:pPr>
              <w:pStyle w:val="27"/>
              <w:spacing w:line="360" w:lineRule="exact"/>
              <w:ind w:left="25"/>
              <w:jc w:val="center"/>
              <w:rPr>
                <w:rFonts w:hint="eastAsia" w:hAnsi="宋体"/>
                <w:color w:val="auto"/>
                <w:highlight w:val="none"/>
              </w:rPr>
            </w:pPr>
            <w:r>
              <w:rPr>
                <w:rFonts w:hint="eastAsia" w:hAnsi="宋体"/>
                <w:color w:val="auto"/>
                <w:highlight w:val="none"/>
              </w:rPr>
              <w:t>0.55%</w:t>
            </w:r>
          </w:p>
        </w:tc>
      </w:tr>
      <w:tr w14:paraId="519BA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39E12B6B">
            <w:pPr>
              <w:pStyle w:val="27"/>
              <w:spacing w:line="360" w:lineRule="exact"/>
              <w:ind w:left="25"/>
              <w:rPr>
                <w:rFonts w:hint="eastAsia" w:hAnsi="宋体"/>
                <w:color w:val="auto"/>
                <w:highlight w:val="none"/>
              </w:rPr>
            </w:pPr>
            <w:r>
              <w:rPr>
                <w:rFonts w:hint="eastAsia" w:hAnsi="宋体"/>
                <w:color w:val="auto"/>
                <w:highlight w:val="none"/>
              </w:rPr>
              <w:t>1000～5000万元</w:t>
            </w:r>
          </w:p>
        </w:tc>
        <w:tc>
          <w:tcPr>
            <w:tcW w:w="1841" w:type="dxa"/>
            <w:noWrap w:val="0"/>
            <w:vAlign w:val="top"/>
          </w:tcPr>
          <w:p w14:paraId="56C6E4DE">
            <w:pPr>
              <w:pStyle w:val="27"/>
              <w:spacing w:line="360" w:lineRule="exact"/>
              <w:ind w:left="25"/>
              <w:jc w:val="center"/>
              <w:rPr>
                <w:rFonts w:hint="eastAsia" w:hAnsi="宋体"/>
                <w:color w:val="auto"/>
                <w:highlight w:val="none"/>
              </w:rPr>
            </w:pPr>
            <w:r>
              <w:rPr>
                <w:rFonts w:hint="eastAsia" w:hAnsi="宋体"/>
                <w:color w:val="auto"/>
                <w:highlight w:val="none"/>
              </w:rPr>
              <w:t>0.5%</w:t>
            </w:r>
          </w:p>
        </w:tc>
        <w:tc>
          <w:tcPr>
            <w:tcW w:w="1992" w:type="dxa"/>
            <w:noWrap w:val="0"/>
            <w:vAlign w:val="top"/>
          </w:tcPr>
          <w:p w14:paraId="11F3C0E8">
            <w:pPr>
              <w:pStyle w:val="27"/>
              <w:spacing w:line="360" w:lineRule="exact"/>
              <w:ind w:left="25"/>
              <w:jc w:val="center"/>
              <w:rPr>
                <w:rFonts w:hint="eastAsia" w:hAnsi="宋体"/>
                <w:color w:val="auto"/>
                <w:highlight w:val="none"/>
              </w:rPr>
            </w:pPr>
            <w:r>
              <w:rPr>
                <w:rFonts w:hint="eastAsia" w:hAnsi="宋体"/>
                <w:color w:val="auto"/>
                <w:highlight w:val="none"/>
              </w:rPr>
              <w:t>0.25%</w:t>
            </w:r>
          </w:p>
        </w:tc>
        <w:tc>
          <w:tcPr>
            <w:tcW w:w="2293" w:type="dxa"/>
            <w:noWrap w:val="0"/>
            <w:vAlign w:val="top"/>
          </w:tcPr>
          <w:p w14:paraId="265BDDD7">
            <w:pPr>
              <w:pStyle w:val="27"/>
              <w:spacing w:line="360" w:lineRule="exact"/>
              <w:ind w:left="25"/>
              <w:jc w:val="center"/>
              <w:rPr>
                <w:rFonts w:hint="eastAsia" w:hAnsi="宋体"/>
                <w:color w:val="auto"/>
                <w:highlight w:val="none"/>
              </w:rPr>
            </w:pPr>
            <w:r>
              <w:rPr>
                <w:rFonts w:hint="eastAsia" w:hAnsi="宋体"/>
                <w:color w:val="auto"/>
                <w:highlight w:val="none"/>
              </w:rPr>
              <w:t>0.35%</w:t>
            </w:r>
          </w:p>
        </w:tc>
      </w:tr>
      <w:tr w14:paraId="31DD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5EA51472">
            <w:pPr>
              <w:pStyle w:val="27"/>
              <w:spacing w:line="360" w:lineRule="exact"/>
              <w:ind w:left="25"/>
              <w:rPr>
                <w:rFonts w:hint="eastAsia" w:hAnsi="宋体"/>
                <w:color w:val="auto"/>
                <w:highlight w:val="none"/>
              </w:rPr>
            </w:pPr>
            <w:r>
              <w:rPr>
                <w:rFonts w:hint="eastAsia" w:hAnsi="宋体"/>
                <w:color w:val="auto"/>
                <w:highlight w:val="none"/>
              </w:rPr>
              <w:t>5000万元～1亿元</w:t>
            </w:r>
          </w:p>
        </w:tc>
        <w:tc>
          <w:tcPr>
            <w:tcW w:w="1841" w:type="dxa"/>
            <w:noWrap w:val="0"/>
            <w:vAlign w:val="top"/>
          </w:tcPr>
          <w:p w14:paraId="0669DF3B">
            <w:pPr>
              <w:pStyle w:val="27"/>
              <w:spacing w:line="360" w:lineRule="exact"/>
              <w:ind w:left="25"/>
              <w:jc w:val="center"/>
              <w:rPr>
                <w:rFonts w:hint="eastAsia" w:hAnsi="宋体"/>
                <w:color w:val="auto"/>
                <w:highlight w:val="none"/>
              </w:rPr>
            </w:pPr>
            <w:r>
              <w:rPr>
                <w:rFonts w:hint="eastAsia" w:hAnsi="宋体"/>
                <w:color w:val="auto"/>
                <w:highlight w:val="none"/>
              </w:rPr>
              <w:t>0.25%</w:t>
            </w:r>
          </w:p>
        </w:tc>
        <w:tc>
          <w:tcPr>
            <w:tcW w:w="1992" w:type="dxa"/>
            <w:noWrap w:val="0"/>
            <w:vAlign w:val="top"/>
          </w:tcPr>
          <w:p w14:paraId="103D41B3">
            <w:pPr>
              <w:pStyle w:val="27"/>
              <w:spacing w:line="360" w:lineRule="exact"/>
              <w:ind w:left="25"/>
              <w:jc w:val="center"/>
              <w:rPr>
                <w:rFonts w:hint="eastAsia" w:hAnsi="宋体"/>
                <w:color w:val="auto"/>
                <w:highlight w:val="none"/>
              </w:rPr>
            </w:pPr>
            <w:r>
              <w:rPr>
                <w:rFonts w:hint="eastAsia" w:hAnsi="宋体"/>
                <w:color w:val="auto"/>
                <w:highlight w:val="none"/>
              </w:rPr>
              <w:t>0.1%</w:t>
            </w:r>
          </w:p>
        </w:tc>
        <w:tc>
          <w:tcPr>
            <w:tcW w:w="2293" w:type="dxa"/>
            <w:noWrap w:val="0"/>
            <w:vAlign w:val="top"/>
          </w:tcPr>
          <w:p w14:paraId="35EB5660">
            <w:pPr>
              <w:pStyle w:val="27"/>
              <w:spacing w:line="360" w:lineRule="exact"/>
              <w:ind w:left="25"/>
              <w:jc w:val="center"/>
              <w:rPr>
                <w:rFonts w:hint="eastAsia" w:hAnsi="宋体"/>
                <w:color w:val="auto"/>
                <w:highlight w:val="none"/>
              </w:rPr>
            </w:pPr>
            <w:r>
              <w:rPr>
                <w:rFonts w:hint="eastAsia" w:hAnsi="宋体"/>
                <w:color w:val="auto"/>
                <w:highlight w:val="none"/>
              </w:rPr>
              <w:t>0.2%</w:t>
            </w:r>
          </w:p>
        </w:tc>
      </w:tr>
      <w:tr w14:paraId="0D575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11C570DC">
            <w:pPr>
              <w:pStyle w:val="27"/>
              <w:spacing w:line="360" w:lineRule="exact"/>
              <w:ind w:left="25"/>
              <w:rPr>
                <w:rFonts w:hint="eastAsia" w:hAnsi="宋体"/>
                <w:color w:val="auto"/>
                <w:highlight w:val="none"/>
              </w:rPr>
            </w:pPr>
            <w:r>
              <w:rPr>
                <w:rFonts w:hint="eastAsia" w:hAnsi="宋体"/>
                <w:color w:val="auto"/>
                <w:highlight w:val="none"/>
              </w:rPr>
              <w:t>1～5亿元</w:t>
            </w:r>
          </w:p>
        </w:tc>
        <w:tc>
          <w:tcPr>
            <w:tcW w:w="1841" w:type="dxa"/>
            <w:noWrap w:val="0"/>
            <w:vAlign w:val="top"/>
          </w:tcPr>
          <w:p w14:paraId="024AB418">
            <w:pPr>
              <w:pStyle w:val="27"/>
              <w:spacing w:line="360" w:lineRule="exact"/>
              <w:ind w:left="25"/>
              <w:jc w:val="center"/>
              <w:rPr>
                <w:rFonts w:hint="eastAsia" w:hAnsi="宋体"/>
                <w:color w:val="auto"/>
                <w:highlight w:val="none"/>
              </w:rPr>
            </w:pPr>
            <w:r>
              <w:rPr>
                <w:rFonts w:hint="eastAsia" w:hAnsi="宋体"/>
                <w:color w:val="auto"/>
                <w:highlight w:val="none"/>
              </w:rPr>
              <w:t>0.05%</w:t>
            </w:r>
          </w:p>
        </w:tc>
        <w:tc>
          <w:tcPr>
            <w:tcW w:w="1992" w:type="dxa"/>
            <w:noWrap w:val="0"/>
            <w:vAlign w:val="top"/>
          </w:tcPr>
          <w:p w14:paraId="6E94B8D0">
            <w:pPr>
              <w:pStyle w:val="27"/>
              <w:spacing w:line="360" w:lineRule="exact"/>
              <w:ind w:left="25"/>
              <w:jc w:val="center"/>
              <w:rPr>
                <w:rFonts w:hint="eastAsia" w:hAnsi="宋体"/>
                <w:color w:val="auto"/>
                <w:highlight w:val="none"/>
              </w:rPr>
            </w:pPr>
            <w:r>
              <w:rPr>
                <w:rFonts w:hint="eastAsia" w:hAnsi="宋体"/>
                <w:color w:val="auto"/>
                <w:highlight w:val="none"/>
              </w:rPr>
              <w:t>0.05%</w:t>
            </w:r>
          </w:p>
        </w:tc>
        <w:tc>
          <w:tcPr>
            <w:tcW w:w="2293" w:type="dxa"/>
            <w:noWrap w:val="0"/>
            <w:vAlign w:val="top"/>
          </w:tcPr>
          <w:p w14:paraId="0DDFFD12">
            <w:pPr>
              <w:pStyle w:val="27"/>
              <w:spacing w:line="360" w:lineRule="exact"/>
              <w:ind w:left="25"/>
              <w:jc w:val="center"/>
              <w:rPr>
                <w:rFonts w:hint="eastAsia" w:hAnsi="宋体"/>
                <w:color w:val="auto"/>
                <w:highlight w:val="none"/>
              </w:rPr>
            </w:pPr>
            <w:r>
              <w:rPr>
                <w:rFonts w:hint="eastAsia" w:hAnsi="宋体"/>
                <w:color w:val="auto"/>
                <w:highlight w:val="none"/>
              </w:rPr>
              <w:t>0.05%</w:t>
            </w:r>
          </w:p>
        </w:tc>
      </w:tr>
      <w:tr w14:paraId="01300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013582B8">
            <w:pPr>
              <w:pStyle w:val="27"/>
              <w:spacing w:line="360" w:lineRule="exact"/>
              <w:ind w:left="25"/>
              <w:rPr>
                <w:rFonts w:hint="eastAsia" w:hAnsi="宋体"/>
                <w:color w:val="auto"/>
                <w:highlight w:val="none"/>
              </w:rPr>
            </w:pPr>
            <w:r>
              <w:rPr>
                <w:rFonts w:hint="eastAsia" w:hAnsi="宋体"/>
                <w:color w:val="auto"/>
                <w:highlight w:val="none"/>
              </w:rPr>
              <w:t>5～10亿元</w:t>
            </w:r>
          </w:p>
        </w:tc>
        <w:tc>
          <w:tcPr>
            <w:tcW w:w="1841" w:type="dxa"/>
            <w:noWrap w:val="0"/>
            <w:vAlign w:val="top"/>
          </w:tcPr>
          <w:p w14:paraId="369EB9D4">
            <w:pPr>
              <w:pStyle w:val="27"/>
              <w:spacing w:line="360" w:lineRule="exact"/>
              <w:ind w:left="25"/>
              <w:jc w:val="center"/>
              <w:rPr>
                <w:rFonts w:hint="eastAsia" w:hAnsi="宋体"/>
                <w:color w:val="auto"/>
                <w:highlight w:val="none"/>
              </w:rPr>
            </w:pPr>
            <w:r>
              <w:rPr>
                <w:rFonts w:hint="eastAsia" w:hAnsi="宋体"/>
                <w:color w:val="auto"/>
                <w:highlight w:val="none"/>
              </w:rPr>
              <w:t>0.035%</w:t>
            </w:r>
          </w:p>
        </w:tc>
        <w:tc>
          <w:tcPr>
            <w:tcW w:w="1992" w:type="dxa"/>
            <w:noWrap w:val="0"/>
            <w:vAlign w:val="top"/>
          </w:tcPr>
          <w:p w14:paraId="06C4A85B">
            <w:pPr>
              <w:pStyle w:val="27"/>
              <w:spacing w:line="360" w:lineRule="exact"/>
              <w:ind w:left="25"/>
              <w:jc w:val="center"/>
              <w:rPr>
                <w:rFonts w:hint="eastAsia" w:hAnsi="宋体"/>
                <w:color w:val="auto"/>
                <w:highlight w:val="none"/>
              </w:rPr>
            </w:pPr>
            <w:r>
              <w:rPr>
                <w:rFonts w:hint="eastAsia" w:hAnsi="宋体"/>
                <w:color w:val="auto"/>
                <w:highlight w:val="none"/>
              </w:rPr>
              <w:t>0.035%</w:t>
            </w:r>
          </w:p>
        </w:tc>
        <w:tc>
          <w:tcPr>
            <w:tcW w:w="2293" w:type="dxa"/>
            <w:noWrap w:val="0"/>
            <w:vAlign w:val="top"/>
          </w:tcPr>
          <w:p w14:paraId="0835A9A7">
            <w:pPr>
              <w:pStyle w:val="27"/>
              <w:spacing w:line="360" w:lineRule="exact"/>
              <w:ind w:left="25"/>
              <w:jc w:val="center"/>
              <w:rPr>
                <w:rFonts w:hAnsi="宋体"/>
                <w:color w:val="auto"/>
                <w:highlight w:val="none"/>
              </w:rPr>
            </w:pPr>
            <w:r>
              <w:rPr>
                <w:rFonts w:hint="eastAsia" w:hAnsi="宋体"/>
                <w:color w:val="auto"/>
                <w:highlight w:val="none"/>
              </w:rPr>
              <w:t>0.035%</w:t>
            </w:r>
          </w:p>
        </w:tc>
      </w:tr>
      <w:tr w14:paraId="47E1F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2AB1B9A2">
            <w:pPr>
              <w:pStyle w:val="27"/>
              <w:spacing w:line="360" w:lineRule="exact"/>
              <w:ind w:left="25"/>
              <w:rPr>
                <w:rFonts w:hint="eastAsia" w:hAnsi="宋体"/>
                <w:color w:val="auto"/>
                <w:highlight w:val="none"/>
              </w:rPr>
            </w:pPr>
            <w:r>
              <w:rPr>
                <w:rFonts w:hint="eastAsia" w:hAnsi="宋体"/>
                <w:color w:val="auto"/>
                <w:highlight w:val="none"/>
              </w:rPr>
              <w:t>10～50亿元</w:t>
            </w:r>
          </w:p>
        </w:tc>
        <w:tc>
          <w:tcPr>
            <w:tcW w:w="1841" w:type="dxa"/>
            <w:noWrap w:val="0"/>
            <w:vAlign w:val="top"/>
          </w:tcPr>
          <w:p w14:paraId="6AC32039">
            <w:pPr>
              <w:pStyle w:val="27"/>
              <w:spacing w:line="360" w:lineRule="exact"/>
              <w:ind w:left="25"/>
              <w:jc w:val="center"/>
              <w:rPr>
                <w:rFonts w:hint="eastAsia" w:hAnsi="宋体"/>
                <w:color w:val="auto"/>
                <w:highlight w:val="none"/>
              </w:rPr>
            </w:pPr>
            <w:r>
              <w:rPr>
                <w:rFonts w:hint="eastAsia" w:hAnsi="宋体"/>
                <w:color w:val="auto"/>
                <w:highlight w:val="none"/>
              </w:rPr>
              <w:t>0.008%</w:t>
            </w:r>
          </w:p>
        </w:tc>
        <w:tc>
          <w:tcPr>
            <w:tcW w:w="1992" w:type="dxa"/>
            <w:noWrap w:val="0"/>
            <w:vAlign w:val="top"/>
          </w:tcPr>
          <w:p w14:paraId="2849E2E2">
            <w:pPr>
              <w:pStyle w:val="27"/>
              <w:spacing w:line="360" w:lineRule="exact"/>
              <w:ind w:left="25"/>
              <w:jc w:val="center"/>
              <w:rPr>
                <w:rFonts w:hAnsi="宋体"/>
                <w:color w:val="auto"/>
                <w:highlight w:val="none"/>
              </w:rPr>
            </w:pPr>
            <w:r>
              <w:rPr>
                <w:rFonts w:hint="eastAsia" w:hAnsi="宋体"/>
                <w:color w:val="auto"/>
                <w:highlight w:val="none"/>
              </w:rPr>
              <w:t>0.008%</w:t>
            </w:r>
          </w:p>
        </w:tc>
        <w:tc>
          <w:tcPr>
            <w:tcW w:w="2293" w:type="dxa"/>
            <w:noWrap w:val="0"/>
            <w:vAlign w:val="top"/>
          </w:tcPr>
          <w:p w14:paraId="6C83A2D9">
            <w:pPr>
              <w:pStyle w:val="27"/>
              <w:spacing w:line="360" w:lineRule="exact"/>
              <w:ind w:left="25"/>
              <w:jc w:val="center"/>
              <w:rPr>
                <w:rFonts w:hAnsi="宋体"/>
                <w:color w:val="auto"/>
                <w:highlight w:val="none"/>
              </w:rPr>
            </w:pPr>
            <w:r>
              <w:rPr>
                <w:rFonts w:hint="eastAsia" w:hAnsi="宋体"/>
                <w:color w:val="auto"/>
                <w:highlight w:val="none"/>
              </w:rPr>
              <w:t>0.008%</w:t>
            </w:r>
          </w:p>
        </w:tc>
      </w:tr>
      <w:tr w14:paraId="5F577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02FF3F05">
            <w:pPr>
              <w:pStyle w:val="27"/>
              <w:spacing w:line="360" w:lineRule="exact"/>
              <w:ind w:left="25"/>
              <w:rPr>
                <w:rFonts w:hint="eastAsia" w:hAnsi="宋体"/>
                <w:color w:val="auto"/>
                <w:highlight w:val="none"/>
              </w:rPr>
            </w:pPr>
            <w:r>
              <w:rPr>
                <w:rFonts w:hint="eastAsia" w:hAnsi="宋体"/>
                <w:color w:val="auto"/>
                <w:highlight w:val="none"/>
              </w:rPr>
              <w:t>50～100亿元</w:t>
            </w:r>
          </w:p>
        </w:tc>
        <w:tc>
          <w:tcPr>
            <w:tcW w:w="1841" w:type="dxa"/>
            <w:noWrap w:val="0"/>
            <w:vAlign w:val="top"/>
          </w:tcPr>
          <w:p w14:paraId="72152B77">
            <w:pPr>
              <w:pStyle w:val="27"/>
              <w:spacing w:line="360" w:lineRule="exact"/>
              <w:ind w:left="25"/>
              <w:jc w:val="center"/>
              <w:rPr>
                <w:rFonts w:hint="eastAsia" w:hAnsi="宋体"/>
                <w:color w:val="auto"/>
                <w:highlight w:val="none"/>
              </w:rPr>
            </w:pPr>
            <w:r>
              <w:rPr>
                <w:rFonts w:hint="eastAsia" w:hAnsi="宋体"/>
                <w:color w:val="auto"/>
                <w:highlight w:val="none"/>
              </w:rPr>
              <w:t>0.006%</w:t>
            </w:r>
          </w:p>
        </w:tc>
        <w:tc>
          <w:tcPr>
            <w:tcW w:w="1992" w:type="dxa"/>
            <w:noWrap w:val="0"/>
            <w:vAlign w:val="top"/>
          </w:tcPr>
          <w:p w14:paraId="04E38055">
            <w:pPr>
              <w:pStyle w:val="27"/>
              <w:spacing w:line="360" w:lineRule="exact"/>
              <w:ind w:left="25"/>
              <w:jc w:val="center"/>
              <w:rPr>
                <w:rFonts w:hAnsi="宋体"/>
                <w:color w:val="auto"/>
                <w:highlight w:val="none"/>
              </w:rPr>
            </w:pPr>
            <w:r>
              <w:rPr>
                <w:rFonts w:hint="eastAsia" w:hAnsi="宋体"/>
                <w:color w:val="auto"/>
                <w:highlight w:val="none"/>
              </w:rPr>
              <w:t>0.006%</w:t>
            </w:r>
          </w:p>
        </w:tc>
        <w:tc>
          <w:tcPr>
            <w:tcW w:w="2293" w:type="dxa"/>
            <w:noWrap w:val="0"/>
            <w:vAlign w:val="top"/>
          </w:tcPr>
          <w:p w14:paraId="6713451D">
            <w:pPr>
              <w:pStyle w:val="27"/>
              <w:spacing w:line="360" w:lineRule="exact"/>
              <w:ind w:left="25"/>
              <w:jc w:val="center"/>
              <w:rPr>
                <w:rFonts w:hAnsi="宋体"/>
                <w:color w:val="auto"/>
                <w:highlight w:val="none"/>
              </w:rPr>
            </w:pPr>
            <w:r>
              <w:rPr>
                <w:rFonts w:hint="eastAsia" w:hAnsi="宋体"/>
                <w:color w:val="auto"/>
                <w:highlight w:val="none"/>
              </w:rPr>
              <w:t>0.006%</w:t>
            </w:r>
          </w:p>
        </w:tc>
      </w:tr>
      <w:tr w14:paraId="18ED3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5ADC07DF">
            <w:pPr>
              <w:pStyle w:val="27"/>
              <w:spacing w:line="360" w:lineRule="exact"/>
              <w:ind w:left="25"/>
              <w:rPr>
                <w:rFonts w:hint="eastAsia" w:hAnsi="宋体"/>
                <w:color w:val="auto"/>
                <w:highlight w:val="none"/>
              </w:rPr>
            </w:pPr>
            <w:r>
              <w:rPr>
                <w:rFonts w:hint="eastAsia" w:hAnsi="宋体"/>
                <w:color w:val="auto"/>
                <w:highlight w:val="none"/>
              </w:rPr>
              <w:t>100亿以上</w:t>
            </w:r>
          </w:p>
        </w:tc>
        <w:tc>
          <w:tcPr>
            <w:tcW w:w="1841" w:type="dxa"/>
            <w:noWrap w:val="0"/>
            <w:vAlign w:val="top"/>
          </w:tcPr>
          <w:p w14:paraId="3A3E2262">
            <w:pPr>
              <w:pStyle w:val="27"/>
              <w:spacing w:line="360" w:lineRule="exact"/>
              <w:ind w:left="25"/>
              <w:jc w:val="center"/>
              <w:rPr>
                <w:rFonts w:hint="eastAsia" w:hAnsi="宋体"/>
                <w:color w:val="auto"/>
                <w:highlight w:val="none"/>
              </w:rPr>
            </w:pPr>
            <w:r>
              <w:rPr>
                <w:rFonts w:hint="eastAsia" w:hAnsi="宋体"/>
                <w:color w:val="auto"/>
                <w:highlight w:val="none"/>
              </w:rPr>
              <w:t>0.004%</w:t>
            </w:r>
          </w:p>
        </w:tc>
        <w:tc>
          <w:tcPr>
            <w:tcW w:w="1992" w:type="dxa"/>
            <w:noWrap w:val="0"/>
            <w:vAlign w:val="top"/>
          </w:tcPr>
          <w:p w14:paraId="7D65D717">
            <w:pPr>
              <w:pStyle w:val="27"/>
              <w:spacing w:line="360" w:lineRule="exact"/>
              <w:ind w:left="25"/>
              <w:jc w:val="center"/>
              <w:rPr>
                <w:rFonts w:hAnsi="宋体"/>
                <w:color w:val="auto"/>
                <w:highlight w:val="none"/>
              </w:rPr>
            </w:pPr>
            <w:r>
              <w:rPr>
                <w:rFonts w:hint="eastAsia" w:hAnsi="宋体"/>
                <w:color w:val="auto"/>
                <w:highlight w:val="none"/>
              </w:rPr>
              <w:t>0.004%</w:t>
            </w:r>
          </w:p>
        </w:tc>
        <w:tc>
          <w:tcPr>
            <w:tcW w:w="2293" w:type="dxa"/>
            <w:noWrap w:val="0"/>
            <w:vAlign w:val="top"/>
          </w:tcPr>
          <w:p w14:paraId="59462FDA">
            <w:pPr>
              <w:pStyle w:val="27"/>
              <w:spacing w:line="360" w:lineRule="exact"/>
              <w:ind w:left="25"/>
              <w:jc w:val="center"/>
              <w:rPr>
                <w:rFonts w:hAnsi="宋体"/>
                <w:color w:val="auto"/>
                <w:highlight w:val="none"/>
              </w:rPr>
            </w:pPr>
            <w:r>
              <w:rPr>
                <w:rFonts w:hint="eastAsia" w:hAnsi="宋体"/>
                <w:color w:val="auto"/>
                <w:highlight w:val="none"/>
              </w:rPr>
              <w:t>0.004%</w:t>
            </w:r>
          </w:p>
        </w:tc>
      </w:tr>
    </w:tbl>
    <w:p w14:paraId="18A2192A">
      <w:pPr>
        <w:pStyle w:val="27"/>
        <w:spacing w:line="400" w:lineRule="exact"/>
        <w:ind w:left="25"/>
        <w:rPr>
          <w:rFonts w:hint="eastAsia" w:hAnsi="宋体"/>
          <w:color w:val="auto"/>
          <w:highlight w:val="none"/>
        </w:rPr>
      </w:pPr>
      <w:r>
        <w:rPr>
          <w:rFonts w:hint="eastAsia" w:hAnsi="宋体"/>
          <w:color w:val="auto"/>
          <w:highlight w:val="none"/>
        </w:rPr>
        <w:t>注：招标代理服务收费按差额定率累进法计算。</w:t>
      </w:r>
    </w:p>
    <w:p w14:paraId="39348977">
      <w:pPr>
        <w:spacing w:line="360" w:lineRule="exact"/>
        <w:ind w:firstLine="422" w:firstLineChars="200"/>
        <w:rPr>
          <w:rFonts w:hint="eastAsia" w:ascii="宋体" w:hAnsi="宋体"/>
          <w:b/>
          <w:color w:val="auto"/>
          <w:highlight w:val="none"/>
        </w:rPr>
      </w:pPr>
      <w:r>
        <w:rPr>
          <w:rFonts w:hint="eastAsia" w:ascii="宋体" w:hAnsi="宋体"/>
          <w:b/>
          <w:color w:val="auto"/>
          <w:highlight w:val="none"/>
        </w:rPr>
        <w:t>37.采购代理机构银行账户（用于交纳招标代理服务费）：</w:t>
      </w:r>
    </w:p>
    <w:p w14:paraId="2EFD100D">
      <w:pPr>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开户名称：云之龙咨询集团有限公司桂林分公司  </w:t>
      </w:r>
    </w:p>
    <w:p w14:paraId="6BE54DCB">
      <w:pPr>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开户银行：中信银行股份有限公司南宁东葛支行   </w:t>
      </w:r>
    </w:p>
    <w:p w14:paraId="3FB3B900">
      <w:pPr>
        <w:pStyle w:val="27"/>
        <w:snapToGrid w:val="0"/>
        <w:spacing w:line="360" w:lineRule="exact"/>
        <w:ind w:left="420" w:leftChars="200"/>
        <w:rPr>
          <w:rFonts w:hint="eastAsia" w:hAnsi="宋体"/>
          <w:color w:val="auto"/>
          <w:highlight w:val="none"/>
        </w:rPr>
      </w:pPr>
      <w:r>
        <w:rPr>
          <w:rFonts w:hint="eastAsia" w:hAnsi="宋体"/>
          <w:color w:val="auto"/>
          <w:szCs w:val="21"/>
          <w:highlight w:val="none"/>
        </w:rPr>
        <w:t>银行账号：8113001014300158041</w:t>
      </w:r>
      <w:r>
        <w:rPr>
          <w:rFonts w:hAnsi="宋体"/>
          <w:color w:val="auto"/>
          <w:highlight w:val="none"/>
        </w:rPr>
        <w:t xml:space="preserve">  </w:t>
      </w:r>
    </w:p>
    <w:p w14:paraId="7253FCEB">
      <w:pPr>
        <w:spacing w:line="340" w:lineRule="exact"/>
        <w:ind w:firstLine="422"/>
        <w:rPr>
          <w:rFonts w:ascii="宋体" w:hAnsi="宋体" w:cs="宋体"/>
          <w:b/>
          <w:color w:val="auto"/>
          <w:kern w:val="0"/>
          <w:highlight w:val="none"/>
        </w:rPr>
      </w:pPr>
      <w:r>
        <w:rPr>
          <w:rFonts w:hint="eastAsia" w:hAnsi="宋体"/>
          <w:b/>
          <w:color w:val="auto"/>
          <w:highlight w:val="none"/>
        </w:rPr>
        <w:t>38.</w:t>
      </w:r>
      <w:r>
        <w:rPr>
          <w:rFonts w:hint="eastAsia" w:ascii="宋体" w:hAnsi="宋体" w:cs="宋体"/>
          <w:b/>
          <w:color w:val="auto"/>
          <w:kern w:val="0"/>
          <w:highlight w:val="none"/>
        </w:rPr>
        <w:t>广西线上“政采贷”政策详见附表4.</w:t>
      </w:r>
    </w:p>
    <w:p w14:paraId="2423FB46">
      <w:pPr>
        <w:pStyle w:val="27"/>
        <w:snapToGrid w:val="0"/>
        <w:spacing w:line="360" w:lineRule="exact"/>
        <w:ind w:firstLine="422" w:firstLineChars="200"/>
        <w:rPr>
          <w:rFonts w:hint="eastAsia" w:hAnsi="宋体"/>
          <w:color w:val="auto"/>
          <w:szCs w:val="21"/>
          <w:highlight w:val="none"/>
        </w:rPr>
      </w:pPr>
      <w:r>
        <w:rPr>
          <w:rFonts w:hint="eastAsia" w:hAnsi="宋体"/>
          <w:b/>
          <w:color w:val="auto"/>
          <w:highlight w:val="none"/>
        </w:rPr>
        <w:t>39.解释权：</w:t>
      </w:r>
      <w:r>
        <w:rPr>
          <w:rFonts w:hint="eastAsia" w:hAnsi="宋体"/>
          <w:color w:val="auto"/>
          <w:szCs w:val="21"/>
          <w:highlight w:val="none"/>
        </w:rPr>
        <w:t>本招标文件是根据《中华人民共和国政府采购法》、《中华人民共和国政府采购法实施条例》及</w:t>
      </w:r>
      <w:r>
        <w:rPr>
          <w:bCs/>
          <w:color w:val="auto"/>
          <w:highlight w:val="none"/>
        </w:rPr>
        <w:t>财政部令第87号</w:t>
      </w:r>
      <w:r>
        <w:rPr>
          <w:rFonts w:hAnsi="宋体"/>
          <w:color w:val="auto"/>
          <w:szCs w:val="21"/>
          <w:highlight w:val="none"/>
        </w:rPr>
        <w:t>《政府采购货物和服务招标投标管理办法》</w:t>
      </w:r>
      <w:r>
        <w:rPr>
          <w:rFonts w:hint="eastAsia" w:hAnsi="宋体"/>
          <w:color w:val="auto"/>
          <w:szCs w:val="21"/>
          <w:highlight w:val="none"/>
        </w:rPr>
        <w:t>和政府采购管理有关规定编制，本招标文件的解释权属于采购代理机构。</w:t>
      </w:r>
    </w:p>
    <w:p w14:paraId="405D54B9">
      <w:pPr>
        <w:snapToGrid w:val="0"/>
        <w:spacing w:line="400" w:lineRule="exact"/>
        <w:ind w:firstLine="422" w:firstLineChars="200"/>
        <w:rPr>
          <w:rFonts w:hint="eastAsia" w:ascii="宋体" w:hAnsi="宋体"/>
          <w:b/>
          <w:color w:val="auto"/>
          <w:sz w:val="32"/>
          <w:szCs w:val="32"/>
          <w:highlight w:val="none"/>
        </w:rPr>
      </w:pPr>
      <w:r>
        <w:rPr>
          <w:rFonts w:hint="eastAsia" w:ascii="宋体" w:hAnsi="宋体"/>
          <w:b/>
          <w:color w:val="auto"/>
          <w:highlight w:val="none"/>
        </w:rPr>
        <w:t>40.</w:t>
      </w:r>
      <w:r>
        <w:rPr>
          <w:rFonts w:hint="eastAsia" w:ascii="宋体" w:hAnsi="宋体"/>
          <w:b/>
          <w:color w:val="auto"/>
          <w:szCs w:val="21"/>
          <w:highlight w:val="none"/>
        </w:rPr>
        <w:t>监督管理机构：</w:t>
      </w:r>
      <w:r>
        <w:rPr>
          <w:rFonts w:hint="eastAsia" w:ascii="宋体" w:hAnsi="宋体"/>
          <w:color w:val="auto"/>
          <w:kern w:val="0"/>
          <w:szCs w:val="21"/>
          <w:highlight w:val="none"/>
        </w:rPr>
        <w:t>桂林市财政局；联系电话：0773-2829504</w:t>
      </w:r>
    </w:p>
    <w:p w14:paraId="2ED41E5A">
      <w:pPr>
        <w:pStyle w:val="27"/>
        <w:snapToGrid w:val="0"/>
        <w:spacing w:line="360" w:lineRule="exact"/>
        <w:ind w:firstLine="422" w:firstLineChars="200"/>
        <w:rPr>
          <w:rFonts w:hint="eastAsia" w:hAnsi="宋体"/>
          <w:b/>
          <w:bCs/>
          <w:color w:val="auto"/>
          <w:szCs w:val="21"/>
          <w:highlight w:val="none"/>
        </w:rPr>
      </w:pPr>
      <w:r>
        <w:rPr>
          <w:rFonts w:hint="eastAsia" w:hAnsi="宋体"/>
          <w:b/>
          <w:bCs/>
          <w:color w:val="auto"/>
          <w:szCs w:val="21"/>
          <w:highlight w:val="none"/>
        </w:rPr>
        <w:t>41.采购过程中出现以下情形，导致电子交易平台无法正常运行，或者无法保证电子交易的公平、公正和安全时，采购代理机构可以中止电子交易活动：</w:t>
      </w:r>
    </w:p>
    <w:p w14:paraId="5F8C95D6">
      <w:pPr>
        <w:pStyle w:val="27"/>
        <w:snapToGrid w:val="0"/>
        <w:spacing w:line="360" w:lineRule="exact"/>
        <w:ind w:firstLine="420" w:firstLineChars="200"/>
        <w:rPr>
          <w:rFonts w:hint="eastAsia" w:hAnsi="宋体"/>
          <w:color w:val="auto"/>
          <w:szCs w:val="21"/>
          <w:highlight w:val="none"/>
        </w:rPr>
      </w:pPr>
      <w:r>
        <w:rPr>
          <w:rFonts w:hint="eastAsia" w:hAnsi="宋体"/>
          <w:color w:val="auto"/>
          <w:szCs w:val="21"/>
          <w:highlight w:val="none"/>
        </w:rPr>
        <w:t xml:space="preserve">（1）电子交易平台发生故障而无法登录访问的； </w:t>
      </w:r>
    </w:p>
    <w:p w14:paraId="7A496969">
      <w:pPr>
        <w:pStyle w:val="27"/>
        <w:snapToGrid w:val="0"/>
        <w:spacing w:line="360" w:lineRule="exact"/>
        <w:ind w:firstLine="420" w:firstLineChars="200"/>
        <w:rPr>
          <w:rFonts w:hint="eastAsia" w:hAnsi="宋体"/>
          <w:color w:val="auto"/>
          <w:szCs w:val="21"/>
          <w:highlight w:val="none"/>
        </w:rPr>
      </w:pPr>
      <w:r>
        <w:rPr>
          <w:rFonts w:hint="eastAsia" w:hAnsi="宋体"/>
          <w:color w:val="auto"/>
          <w:szCs w:val="21"/>
          <w:highlight w:val="none"/>
        </w:rPr>
        <w:t>（2）电子交易平台应用或数据库出现错误，不能进行正常操作的；</w:t>
      </w:r>
    </w:p>
    <w:p w14:paraId="2B5C2C38">
      <w:pPr>
        <w:pStyle w:val="27"/>
        <w:snapToGrid w:val="0"/>
        <w:spacing w:line="360" w:lineRule="exact"/>
        <w:ind w:firstLine="420" w:firstLineChars="200"/>
        <w:rPr>
          <w:rFonts w:hint="eastAsia" w:hAnsi="宋体"/>
          <w:color w:val="auto"/>
          <w:szCs w:val="21"/>
          <w:highlight w:val="none"/>
        </w:rPr>
      </w:pPr>
      <w:r>
        <w:rPr>
          <w:rFonts w:hint="eastAsia" w:hAnsi="宋体"/>
          <w:color w:val="auto"/>
          <w:szCs w:val="21"/>
          <w:highlight w:val="none"/>
        </w:rPr>
        <w:t>（3）电子交易平台发现严重安全漏洞，有潜在泄密危险的；</w:t>
      </w:r>
    </w:p>
    <w:p w14:paraId="600CA5A6">
      <w:pPr>
        <w:pStyle w:val="27"/>
        <w:snapToGrid w:val="0"/>
        <w:spacing w:line="360" w:lineRule="exact"/>
        <w:ind w:firstLine="420" w:firstLineChars="200"/>
        <w:rPr>
          <w:rFonts w:hint="eastAsia" w:hAnsi="宋体"/>
          <w:color w:val="auto"/>
          <w:szCs w:val="21"/>
          <w:highlight w:val="none"/>
        </w:rPr>
      </w:pPr>
      <w:r>
        <w:rPr>
          <w:rFonts w:hint="eastAsia" w:hAnsi="宋体"/>
          <w:color w:val="auto"/>
          <w:szCs w:val="21"/>
          <w:highlight w:val="none"/>
        </w:rPr>
        <w:t xml:space="preserve">（4）病毒发作导致不能进行正常操作的； </w:t>
      </w:r>
    </w:p>
    <w:p w14:paraId="162AC213">
      <w:pPr>
        <w:pStyle w:val="27"/>
        <w:snapToGrid w:val="0"/>
        <w:spacing w:line="360" w:lineRule="exact"/>
        <w:ind w:firstLine="420" w:firstLineChars="200"/>
        <w:rPr>
          <w:rFonts w:hint="eastAsia" w:hAnsi="宋体"/>
          <w:color w:val="auto"/>
          <w:szCs w:val="21"/>
          <w:highlight w:val="none"/>
        </w:rPr>
      </w:pPr>
      <w:r>
        <w:rPr>
          <w:rFonts w:hint="eastAsia" w:hAnsi="宋体"/>
          <w:color w:val="auto"/>
          <w:szCs w:val="21"/>
          <w:highlight w:val="none"/>
        </w:rPr>
        <w:t>（5）其他无法保证电子交易的公平、公正和安全的情况。</w:t>
      </w:r>
    </w:p>
    <w:p w14:paraId="1666D8AF">
      <w:pPr>
        <w:pStyle w:val="27"/>
        <w:snapToGrid w:val="0"/>
        <w:spacing w:line="360" w:lineRule="exact"/>
        <w:rPr>
          <w:rFonts w:hint="eastAsia" w:hAnsi="宋体"/>
          <w:b/>
          <w:color w:val="auto"/>
          <w:sz w:val="24"/>
          <w:szCs w:val="24"/>
          <w:highlight w:val="none"/>
        </w:rPr>
      </w:pPr>
      <w:r>
        <w:rPr>
          <w:rFonts w:hint="eastAsia" w:hAnsi="宋体"/>
          <w:color w:val="auto"/>
          <w:szCs w:val="21"/>
          <w:highlight w:val="none"/>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r>
        <w:rPr>
          <w:b/>
          <w:color w:val="auto"/>
          <w:sz w:val="24"/>
          <w:szCs w:val="24"/>
          <w:highlight w:val="none"/>
        </w:rPr>
        <w:br w:type="page"/>
      </w:r>
      <w:r>
        <w:rPr>
          <w:rFonts w:hint="eastAsia"/>
          <w:b/>
          <w:color w:val="auto"/>
          <w:sz w:val="24"/>
          <w:szCs w:val="24"/>
          <w:highlight w:val="none"/>
        </w:rPr>
        <w:t>附表1：</w:t>
      </w:r>
    </w:p>
    <w:p w14:paraId="7C0F9F96">
      <w:pPr>
        <w:spacing w:line="460" w:lineRule="exact"/>
        <w:jc w:val="center"/>
        <w:rPr>
          <w:rFonts w:hint="eastAsia" w:eastAsia="隶书"/>
          <w:color w:val="auto"/>
          <w:sz w:val="44"/>
          <w:highlight w:val="none"/>
        </w:rPr>
      </w:pPr>
      <w:r>
        <w:rPr>
          <w:rFonts w:hint="eastAsia" w:eastAsia="隶书"/>
          <w:color w:val="auto"/>
          <w:sz w:val="44"/>
          <w:highlight w:val="none"/>
        </w:rPr>
        <w:t>质疑函（格式）</w:t>
      </w:r>
    </w:p>
    <w:p w14:paraId="796C7684">
      <w:pPr>
        <w:pStyle w:val="27"/>
        <w:snapToGrid w:val="0"/>
        <w:spacing w:line="360" w:lineRule="exact"/>
        <w:ind w:firstLine="422" w:firstLineChars="200"/>
        <w:rPr>
          <w:rFonts w:hAnsi="宋体"/>
          <w:b/>
          <w:bCs/>
          <w:color w:val="auto"/>
          <w:highlight w:val="none"/>
        </w:rPr>
      </w:pPr>
      <w:r>
        <w:rPr>
          <w:rFonts w:hint="eastAsia" w:hAnsi="宋体"/>
          <w:b/>
          <w:bCs/>
          <w:color w:val="auto"/>
          <w:highlight w:val="none"/>
        </w:rPr>
        <w:t>一、质疑供应商基本信息：</w:t>
      </w:r>
    </w:p>
    <w:p w14:paraId="47804D07">
      <w:pPr>
        <w:pStyle w:val="27"/>
        <w:snapToGrid w:val="0"/>
        <w:spacing w:line="360" w:lineRule="exact"/>
        <w:ind w:firstLine="420" w:firstLineChars="200"/>
        <w:rPr>
          <w:rFonts w:hint="eastAsia" w:hAnsi="宋体"/>
          <w:bCs/>
          <w:color w:val="auto"/>
          <w:highlight w:val="none"/>
          <w:u w:val="single"/>
        </w:rPr>
      </w:pPr>
      <w:r>
        <w:rPr>
          <w:rFonts w:hint="eastAsia" w:hAnsi="宋体"/>
          <w:bCs/>
          <w:color w:val="auto"/>
          <w:highlight w:val="none"/>
        </w:rPr>
        <w:t>质疑供应商：</w:t>
      </w:r>
      <w:r>
        <w:rPr>
          <w:rFonts w:hint="eastAsia" w:hAnsi="宋体"/>
          <w:bCs/>
          <w:color w:val="auto"/>
          <w:highlight w:val="none"/>
          <w:u w:val="single"/>
        </w:rPr>
        <w:t xml:space="preserve">                                       </w:t>
      </w:r>
      <w:r>
        <w:rPr>
          <w:rFonts w:hint="eastAsia" w:hAnsi="宋体"/>
          <w:bCs/>
          <w:color w:val="auto"/>
          <w:highlight w:val="none"/>
        </w:rPr>
        <w:t xml:space="preserve">                 </w:t>
      </w:r>
    </w:p>
    <w:p w14:paraId="25ED0FBD">
      <w:pPr>
        <w:pStyle w:val="27"/>
        <w:snapToGrid w:val="0"/>
        <w:spacing w:line="360" w:lineRule="exact"/>
        <w:ind w:firstLine="420" w:firstLineChars="200"/>
        <w:rPr>
          <w:rFonts w:hint="eastAsia" w:hAnsi="宋体"/>
          <w:bCs/>
          <w:color w:val="auto"/>
          <w:highlight w:val="non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009E27F9">
      <w:pPr>
        <w:pStyle w:val="27"/>
        <w:snapToGrid w:val="0"/>
        <w:spacing w:line="360" w:lineRule="exact"/>
        <w:ind w:firstLine="420" w:firstLineChars="200"/>
        <w:rPr>
          <w:rFonts w:hint="eastAsia" w:hAnsi="宋体"/>
          <w:bCs/>
          <w:color w:val="auto"/>
          <w:highlight w:val="none"/>
        </w:rPr>
      </w:pPr>
      <w:r>
        <w:rPr>
          <w:rFonts w:hAnsi="宋体"/>
          <w:bCs/>
          <w:color w:val="auto"/>
          <w:highlight w:val="none"/>
        </w:rPr>
        <w:t>联系人</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联系电话</w:t>
      </w:r>
      <w:r>
        <w:rPr>
          <w:rFonts w:hint="eastAsia" w:hAnsi="宋体"/>
          <w:bCs/>
          <w:color w:val="auto"/>
          <w:highlight w:val="none"/>
        </w:rPr>
        <w:t>：</w:t>
      </w:r>
      <w:r>
        <w:rPr>
          <w:rFonts w:hint="eastAsia" w:hAnsi="宋体"/>
          <w:bCs/>
          <w:color w:val="auto"/>
          <w:highlight w:val="none"/>
          <w:u w:val="single"/>
        </w:rPr>
        <w:t xml:space="preserve">                 </w:t>
      </w:r>
    </w:p>
    <w:p w14:paraId="3FEF3032">
      <w:pPr>
        <w:pStyle w:val="27"/>
        <w:snapToGrid w:val="0"/>
        <w:spacing w:line="360" w:lineRule="exact"/>
        <w:ind w:firstLine="420" w:firstLineChars="200"/>
        <w:rPr>
          <w:rFonts w:hint="eastAsia" w:hAnsi="宋体"/>
          <w:bCs/>
          <w:color w:val="auto"/>
          <w:highlight w:val="none"/>
        </w:rPr>
      </w:pPr>
      <w:r>
        <w:rPr>
          <w:rFonts w:hint="eastAsia" w:hAnsi="宋体"/>
          <w:bCs/>
          <w:color w:val="auto"/>
          <w:highlight w:val="none"/>
        </w:rPr>
        <w:t>授权代表：</w:t>
      </w:r>
      <w:r>
        <w:rPr>
          <w:rFonts w:hint="eastAsia" w:hAnsi="宋体"/>
          <w:bCs/>
          <w:color w:val="auto"/>
          <w:highlight w:val="none"/>
          <w:u w:val="single"/>
        </w:rPr>
        <w:t xml:space="preserve">                      </w:t>
      </w:r>
    </w:p>
    <w:p w14:paraId="578CD220">
      <w:pPr>
        <w:pStyle w:val="27"/>
        <w:snapToGrid w:val="0"/>
        <w:spacing w:line="360" w:lineRule="exact"/>
        <w:ind w:firstLine="420" w:firstLineChars="200"/>
        <w:rPr>
          <w:rFonts w:hint="eastAsia" w:hAnsi="宋体"/>
          <w:bCs/>
          <w:color w:val="auto"/>
          <w:highlight w:val="none"/>
          <w:u w:val="single"/>
        </w:rPr>
      </w:pPr>
      <w:r>
        <w:rPr>
          <w:rFonts w:hAnsi="宋体"/>
          <w:bCs/>
          <w:color w:val="auto"/>
          <w:highlight w:val="none"/>
        </w:rPr>
        <w:t>联系</w:t>
      </w:r>
      <w:r>
        <w:rPr>
          <w:rFonts w:hint="eastAsia" w:hAnsi="宋体"/>
          <w:bCs/>
          <w:color w:val="auto"/>
          <w:highlight w:val="none"/>
        </w:rPr>
        <w:t>电话：</w:t>
      </w:r>
      <w:r>
        <w:rPr>
          <w:rFonts w:hint="eastAsia" w:hAnsi="宋体"/>
          <w:bCs/>
          <w:color w:val="auto"/>
          <w:highlight w:val="none"/>
          <w:u w:val="single"/>
        </w:rPr>
        <w:t xml:space="preserve">                      </w:t>
      </w:r>
    </w:p>
    <w:p w14:paraId="08A678D6">
      <w:pPr>
        <w:pStyle w:val="27"/>
        <w:snapToGrid w:val="0"/>
        <w:spacing w:line="360" w:lineRule="exact"/>
        <w:ind w:firstLine="420" w:firstLineChars="200"/>
        <w:rPr>
          <w:rFonts w:hint="eastAsia" w:hAnsi="宋体"/>
          <w:bCs/>
          <w:color w:val="auto"/>
          <w:highlight w:val="non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24100348">
      <w:pPr>
        <w:pStyle w:val="27"/>
        <w:snapToGrid w:val="0"/>
        <w:spacing w:line="360" w:lineRule="exact"/>
        <w:ind w:firstLine="422" w:firstLineChars="200"/>
        <w:rPr>
          <w:rFonts w:hint="eastAsia" w:hAnsi="宋体"/>
          <w:b/>
          <w:bCs/>
          <w:color w:val="auto"/>
          <w:highlight w:val="none"/>
        </w:rPr>
      </w:pPr>
      <w:r>
        <w:rPr>
          <w:rFonts w:hint="eastAsia" w:hAnsi="宋体"/>
          <w:b/>
          <w:bCs/>
          <w:color w:val="auto"/>
          <w:highlight w:val="none"/>
        </w:rPr>
        <w:t>二、质疑项目基本情况：</w:t>
      </w:r>
    </w:p>
    <w:p w14:paraId="63EAE2E5">
      <w:pPr>
        <w:pStyle w:val="27"/>
        <w:spacing w:line="360" w:lineRule="exact"/>
        <w:ind w:left="25" w:leftChars="12" w:firstLine="413" w:firstLineChars="197"/>
        <w:rPr>
          <w:rFonts w:hint="eastAsia" w:hAnsi="宋体"/>
          <w:color w:val="auto"/>
          <w:szCs w:val="21"/>
          <w:highlight w:val="none"/>
        </w:rPr>
      </w:pPr>
      <w:r>
        <w:rPr>
          <w:rFonts w:hint="eastAsia" w:hAnsi="宋体"/>
          <w:bCs/>
          <w:color w:val="auto"/>
          <w:highlight w:val="none"/>
        </w:rPr>
        <w:t>质疑</w:t>
      </w:r>
      <w:r>
        <w:rPr>
          <w:rFonts w:hint="eastAsia" w:hAnsi="宋体"/>
          <w:color w:val="auto"/>
          <w:szCs w:val="21"/>
          <w:highlight w:val="none"/>
        </w:rPr>
        <w:t>项目的名称：</w:t>
      </w:r>
      <w:r>
        <w:rPr>
          <w:rFonts w:hint="eastAsia" w:hAnsi="宋体"/>
          <w:bCs/>
          <w:color w:val="auto"/>
          <w:highlight w:val="none"/>
          <w:u w:val="single"/>
        </w:rPr>
        <w:t xml:space="preserve">                                     </w:t>
      </w:r>
    </w:p>
    <w:p w14:paraId="534035F0">
      <w:pPr>
        <w:pStyle w:val="27"/>
        <w:spacing w:line="360" w:lineRule="exact"/>
        <w:ind w:left="25" w:leftChars="12" w:firstLine="413" w:firstLineChars="197"/>
        <w:rPr>
          <w:rFonts w:hint="eastAsia" w:hAnsi="宋体"/>
          <w:color w:val="auto"/>
          <w:szCs w:val="21"/>
          <w:highlight w:val="none"/>
        </w:rPr>
      </w:pPr>
      <w:r>
        <w:rPr>
          <w:rFonts w:hint="eastAsia" w:hAnsi="宋体"/>
          <w:bCs/>
          <w:color w:val="auto"/>
          <w:highlight w:val="none"/>
        </w:rPr>
        <w:t>质疑</w:t>
      </w:r>
      <w:r>
        <w:rPr>
          <w:rFonts w:hint="eastAsia" w:hAnsi="宋体"/>
          <w:color w:val="auto"/>
          <w:szCs w:val="21"/>
          <w:highlight w:val="none"/>
        </w:rPr>
        <w:t>项目的编号：</w:t>
      </w:r>
      <w:r>
        <w:rPr>
          <w:rFonts w:hint="eastAsia" w:hAnsi="宋体"/>
          <w:bCs/>
          <w:color w:val="auto"/>
          <w:highlight w:val="none"/>
          <w:u w:val="single"/>
        </w:rPr>
        <w:t xml:space="preserve">                                    </w:t>
      </w:r>
    </w:p>
    <w:p w14:paraId="7675A5AA">
      <w:pPr>
        <w:pStyle w:val="27"/>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采购人名称：</w:t>
      </w:r>
      <w:r>
        <w:rPr>
          <w:rFonts w:hint="eastAsia" w:hAnsi="宋体"/>
          <w:bCs/>
          <w:color w:val="auto"/>
          <w:highlight w:val="none"/>
          <w:u w:val="single"/>
        </w:rPr>
        <w:t xml:space="preserve">                                         </w:t>
      </w:r>
    </w:p>
    <w:p w14:paraId="40FF5D37">
      <w:pPr>
        <w:pStyle w:val="27"/>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质疑事项：</w:t>
      </w:r>
    </w:p>
    <w:p w14:paraId="1259E503">
      <w:pPr>
        <w:pStyle w:val="27"/>
        <w:spacing w:line="360" w:lineRule="exact"/>
        <w:ind w:left="25" w:leftChars="12" w:firstLine="441" w:firstLineChars="147"/>
        <w:rPr>
          <w:rFonts w:hint="eastAsia" w:hAnsi="宋体"/>
          <w:color w:val="auto"/>
          <w:szCs w:val="21"/>
          <w:highlight w:val="none"/>
        </w:rPr>
      </w:pPr>
      <w:r>
        <w:rPr>
          <w:rFonts w:hint="eastAsia" w:ascii="仿宋_GB2312" w:eastAsia="仿宋_GB2312"/>
          <w:color w:val="auto"/>
          <w:sz w:val="30"/>
          <w:szCs w:val="30"/>
          <w:highlight w:val="none"/>
        </w:rPr>
        <w:t>□</w:t>
      </w:r>
      <w:r>
        <w:rPr>
          <w:rFonts w:hint="eastAsia" w:hAnsi="宋体"/>
          <w:color w:val="auto"/>
          <w:szCs w:val="21"/>
          <w:highlight w:val="none"/>
        </w:rPr>
        <w:t>采购文件   采购文件获取日期：</w:t>
      </w:r>
      <w:r>
        <w:rPr>
          <w:rFonts w:hint="eastAsia" w:hAnsi="宋体"/>
          <w:bCs/>
          <w:color w:val="auto"/>
          <w:highlight w:val="none"/>
          <w:u w:val="single"/>
        </w:rPr>
        <w:t xml:space="preserve">                                   </w:t>
      </w:r>
    </w:p>
    <w:p w14:paraId="5741B6E8">
      <w:pPr>
        <w:pStyle w:val="27"/>
        <w:spacing w:line="360" w:lineRule="exact"/>
        <w:ind w:left="25" w:leftChars="12" w:firstLine="441" w:firstLineChars="147"/>
        <w:rPr>
          <w:rFonts w:hint="eastAsia" w:hAnsi="宋体"/>
          <w:color w:val="auto"/>
          <w:szCs w:val="21"/>
          <w:highlight w:val="none"/>
        </w:rPr>
      </w:pPr>
      <w:r>
        <w:rPr>
          <w:rFonts w:hint="eastAsia" w:ascii="仿宋_GB2312" w:eastAsia="仿宋_GB2312"/>
          <w:color w:val="auto"/>
          <w:sz w:val="30"/>
          <w:szCs w:val="30"/>
          <w:highlight w:val="none"/>
        </w:rPr>
        <w:t>□</w:t>
      </w:r>
      <w:r>
        <w:rPr>
          <w:rFonts w:hint="eastAsia" w:hAnsi="宋体"/>
          <w:color w:val="auto"/>
          <w:szCs w:val="21"/>
          <w:highlight w:val="none"/>
        </w:rPr>
        <w:t xml:space="preserve">采购过程   </w:t>
      </w:r>
    </w:p>
    <w:p w14:paraId="2BB6EEA1">
      <w:pPr>
        <w:pStyle w:val="27"/>
        <w:spacing w:line="360" w:lineRule="exact"/>
        <w:ind w:left="25" w:leftChars="12" w:firstLine="441" w:firstLineChars="147"/>
        <w:rPr>
          <w:rFonts w:hint="eastAsia" w:hAnsi="宋体"/>
          <w:bCs/>
          <w:color w:val="auto"/>
          <w:highlight w:val="none"/>
          <w:u w:val="single"/>
        </w:rPr>
      </w:pPr>
      <w:r>
        <w:rPr>
          <w:rFonts w:hint="eastAsia" w:ascii="仿宋_GB2312" w:eastAsia="仿宋_GB2312"/>
          <w:color w:val="auto"/>
          <w:sz w:val="30"/>
          <w:szCs w:val="30"/>
          <w:highlight w:val="none"/>
        </w:rPr>
        <w:t>□</w:t>
      </w:r>
      <w:r>
        <w:rPr>
          <w:rFonts w:hint="eastAsia" w:hAnsi="宋体"/>
          <w:color w:val="auto"/>
          <w:szCs w:val="21"/>
          <w:highlight w:val="none"/>
        </w:rPr>
        <w:t xml:space="preserve">中标结果   </w:t>
      </w:r>
    </w:p>
    <w:p w14:paraId="28550B5A">
      <w:pPr>
        <w:pStyle w:val="27"/>
        <w:spacing w:line="360" w:lineRule="exact"/>
        <w:ind w:left="25" w:leftChars="12" w:firstLine="413" w:firstLineChars="196"/>
        <w:rPr>
          <w:rFonts w:hint="eastAsia" w:hAnsi="宋体"/>
          <w:b/>
          <w:color w:val="auto"/>
          <w:szCs w:val="21"/>
          <w:highlight w:val="none"/>
        </w:rPr>
      </w:pPr>
      <w:r>
        <w:rPr>
          <w:rFonts w:hint="eastAsia" w:hAnsi="宋体"/>
          <w:b/>
          <w:color w:val="auto"/>
          <w:szCs w:val="21"/>
          <w:highlight w:val="none"/>
        </w:rPr>
        <w:t>三、质疑事项具体内容</w:t>
      </w:r>
    </w:p>
    <w:p w14:paraId="6A60D15A">
      <w:pPr>
        <w:pStyle w:val="27"/>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质疑事项1：</w:t>
      </w:r>
      <w:r>
        <w:rPr>
          <w:rFonts w:hint="eastAsia" w:hAnsi="宋体"/>
          <w:bCs/>
          <w:color w:val="auto"/>
          <w:highlight w:val="none"/>
          <w:u w:val="single"/>
        </w:rPr>
        <w:t xml:space="preserve">                                                                    </w:t>
      </w:r>
    </w:p>
    <w:p w14:paraId="7A8513EF">
      <w:pPr>
        <w:pStyle w:val="27"/>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事实依据：</w:t>
      </w:r>
      <w:r>
        <w:rPr>
          <w:rFonts w:hint="eastAsia" w:hAnsi="宋体"/>
          <w:bCs/>
          <w:color w:val="auto"/>
          <w:highlight w:val="none"/>
          <w:u w:val="single"/>
        </w:rPr>
        <w:t xml:space="preserve">                                                                      </w:t>
      </w:r>
    </w:p>
    <w:p w14:paraId="4FA168D4">
      <w:pPr>
        <w:pStyle w:val="27"/>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法律依据：</w:t>
      </w:r>
      <w:r>
        <w:rPr>
          <w:rFonts w:hint="eastAsia" w:hAnsi="宋体"/>
          <w:color w:val="auto"/>
          <w:szCs w:val="21"/>
          <w:highlight w:val="none"/>
          <w:u w:val="single"/>
        </w:rPr>
        <w:t xml:space="preserve">                                                        </w:t>
      </w:r>
      <w:r>
        <w:rPr>
          <w:rFonts w:hint="eastAsia" w:hAnsi="宋体"/>
          <w:bCs/>
          <w:color w:val="auto"/>
          <w:highlight w:val="none"/>
          <w:u w:val="single"/>
        </w:rPr>
        <w:t xml:space="preserve">               </w:t>
      </w:r>
    </w:p>
    <w:p w14:paraId="4A8A77B4">
      <w:pPr>
        <w:pStyle w:val="27"/>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质疑事项2</w:t>
      </w:r>
    </w:p>
    <w:p w14:paraId="1D6262D5">
      <w:pPr>
        <w:pStyle w:val="27"/>
        <w:spacing w:line="360" w:lineRule="exact"/>
        <w:ind w:left="25" w:leftChars="12" w:firstLine="413" w:firstLineChars="197"/>
        <w:rPr>
          <w:rFonts w:hint="eastAsia" w:hAnsi="宋体"/>
          <w:color w:val="auto"/>
          <w:szCs w:val="21"/>
          <w:highlight w:val="none"/>
        </w:rPr>
      </w:pPr>
      <w:r>
        <w:rPr>
          <w:rFonts w:hAnsi="宋体"/>
          <w:color w:val="auto"/>
          <w:szCs w:val="21"/>
          <w:highlight w:val="none"/>
        </w:rPr>
        <w:t>……</w:t>
      </w:r>
    </w:p>
    <w:p w14:paraId="6C2FCC05">
      <w:pPr>
        <w:pStyle w:val="27"/>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四、与质疑事项相关的质疑请求：</w:t>
      </w:r>
    </w:p>
    <w:p w14:paraId="0DAE7CE3">
      <w:pPr>
        <w:pStyle w:val="27"/>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请求：</w:t>
      </w:r>
      <w:r>
        <w:rPr>
          <w:rFonts w:hint="eastAsia" w:hAnsi="宋体"/>
          <w:bCs/>
          <w:color w:val="auto"/>
          <w:highlight w:val="none"/>
          <w:u w:val="single"/>
        </w:rPr>
        <w:t xml:space="preserve">                                                                </w:t>
      </w:r>
    </w:p>
    <w:p w14:paraId="6D3AC383">
      <w:pPr>
        <w:pStyle w:val="27"/>
        <w:spacing w:line="360" w:lineRule="exact"/>
        <w:ind w:left="25" w:leftChars="12" w:firstLine="308" w:firstLineChars="147"/>
        <w:rPr>
          <w:rFonts w:hint="eastAsia" w:hAnsi="宋体"/>
          <w:color w:val="auto"/>
          <w:szCs w:val="21"/>
          <w:highlight w:val="none"/>
        </w:rPr>
      </w:pPr>
    </w:p>
    <w:p w14:paraId="42AFB14D">
      <w:pPr>
        <w:pStyle w:val="27"/>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签字（签章）：                                       公章：</w:t>
      </w:r>
    </w:p>
    <w:p w14:paraId="5F45FC25">
      <w:pPr>
        <w:pStyle w:val="27"/>
        <w:spacing w:line="360" w:lineRule="exact"/>
        <w:ind w:left="25" w:leftChars="12" w:firstLine="308" w:firstLineChars="147"/>
        <w:rPr>
          <w:rFonts w:hint="eastAsia" w:hAnsi="宋体"/>
          <w:color w:val="auto"/>
          <w:szCs w:val="21"/>
          <w:highlight w:val="none"/>
        </w:rPr>
      </w:pPr>
    </w:p>
    <w:p w14:paraId="5ACD37F4">
      <w:pPr>
        <w:pStyle w:val="27"/>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日期：</w:t>
      </w:r>
    </w:p>
    <w:p w14:paraId="152C0667">
      <w:pPr>
        <w:pStyle w:val="27"/>
        <w:snapToGrid w:val="0"/>
        <w:spacing w:line="340" w:lineRule="exact"/>
        <w:rPr>
          <w:rFonts w:hint="eastAsia" w:hAnsi="宋体"/>
          <w:b/>
          <w:color w:val="auto"/>
          <w:szCs w:val="21"/>
          <w:highlight w:val="none"/>
        </w:rPr>
      </w:pPr>
    </w:p>
    <w:p w14:paraId="1CC1109B">
      <w:pPr>
        <w:pStyle w:val="27"/>
        <w:snapToGrid w:val="0"/>
        <w:spacing w:line="340" w:lineRule="exact"/>
        <w:rPr>
          <w:rFonts w:hint="eastAsia" w:hAnsi="宋体"/>
          <w:b/>
          <w:color w:val="auto"/>
          <w:szCs w:val="21"/>
          <w:highlight w:val="none"/>
        </w:rPr>
      </w:pPr>
      <w:r>
        <w:rPr>
          <w:rFonts w:hint="eastAsia" w:hAnsi="宋体"/>
          <w:b/>
          <w:color w:val="auto"/>
          <w:szCs w:val="21"/>
          <w:highlight w:val="none"/>
        </w:rPr>
        <w:t>说明：</w:t>
      </w:r>
    </w:p>
    <w:p w14:paraId="652D6305">
      <w:pPr>
        <w:pStyle w:val="27"/>
        <w:spacing w:line="340" w:lineRule="exact"/>
        <w:ind w:left="25" w:leftChars="12" w:firstLine="310" w:firstLineChars="147"/>
        <w:rPr>
          <w:rFonts w:hint="eastAsia" w:hAnsi="宋体"/>
          <w:b/>
          <w:bCs/>
          <w:color w:val="auto"/>
          <w:highlight w:val="none"/>
        </w:rPr>
      </w:pPr>
      <w:r>
        <w:rPr>
          <w:rFonts w:hint="eastAsia" w:hAnsi="宋体"/>
          <w:b/>
          <w:color w:val="auto"/>
          <w:szCs w:val="21"/>
          <w:highlight w:val="none"/>
        </w:rPr>
        <w:t>1.供应商提出质疑时，应提交质疑函和必要的证明材料</w:t>
      </w:r>
      <w:r>
        <w:rPr>
          <w:rFonts w:hint="eastAsia" w:hAnsi="宋体"/>
          <w:b/>
          <w:bCs/>
          <w:color w:val="auto"/>
          <w:highlight w:val="none"/>
        </w:rPr>
        <w:t>。</w:t>
      </w:r>
    </w:p>
    <w:p w14:paraId="2A03E763">
      <w:pPr>
        <w:pStyle w:val="27"/>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41FCD58">
      <w:pPr>
        <w:pStyle w:val="27"/>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3.质疑函的质疑事项应具体、明确，并有必要的事实依据和法律依据。</w:t>
      </w:r>
    </w:p>
    <w:p w14:paraId="13AB55C6">
      <w:pPr>
        <w:pStyle w:val="27"/>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4.质疑函的质疑请求应与质疑事项相关。</w:t>
      </w:r>
    </w:p>
    <w:p w14:paraId="2ABA58BE">
      <w:pPr>
        <w:pStyle w:val="27"/>
        <w:spacing w:line="340" w:lineRule="exact"/>
        <w:ind w:left="25" w:leftChars="12" w:firstLine="310" w:firstLineChars="147"/>
        <w:rPr>
          <w:rFonts w:hAnsi="宋体"/>
          <w:b/>
          <w:color w:val="auto"/>
          <w:szCs w:val="21"/>
          <w:highlight w:val="none"/>
        </w:rPr>
      </w:pPr>
      <w:r>
        <w:rPr>
          <w:rFonts w:hint="eastAsia" w:hAnsi="宋体"/>
          <w:b/>
          <w:color w:val="auto"/>
          <w:szCs w:val="21"/>
          <w:highlight w:val="none"/>
        </w:rPr>
        <w:t>5.质疑供应商为自然人的，质疑函应由本人签字；质疑供应商为法人或者其他组织的，质疑函应由法定代表人、主要负责人，或者其授权代表签字或者盖章，并加盖公章。</w:t>
      </w:r>
    </w:p>
    <w:p w14:paraId="30E68351">
      <w:pPr>
        <w:pStyle w:val="27"/>
        <w:jc w:val="center"/>
        <w:rPr>
          <w:rFonts w:hint="eastAsia" w:hAnsi="宋体"/>
          <w:b/>
          <w:color w:val="auto"/>
          <w:sz w:val="32"/>
          <w:highlight w:val="none"/>
        </w:rPr>
      </w:pPr>
      <w:r>
        <w:rPr>
          <w:color w:val="auto"/>
          <w:highlight w:val="none"/>
        </w:rPr>
        <w:br w:type="page"/>
      </w:r>
      <w:r>
        <w:rPr>
          <w:rFonts w:hint="eastAsia" w:hAnsi="宋体"/>
          <w:b/>
          <w:color w:val="auto"/>
          <w:sz w:val="32"/>
          <w:highlight w:val="none"/>
        </w:rPr>
        <w:t>质疑授权委托书（格式）</w:t>
      </w:r>
    </w:p>
    <w:p w14:paraId="6951B7A9">
      <w:pPr>
        <w:snapToGrid w:val="0"/>
        <w:spacing w:line="400" w:lineRule="exact"/>
        <w:outlineLvl w:val="4"/>
        <w:rPr>
          <w:rFonts w:ascii="宋体" w:hAnsi="宋体"/>
          <w:color w:val="auto"/>
          <w:highlight w:val="none"/>
        </w:rPr>
      </w:pPr>
      <w:r>
        <w:rPr>
          <w:rFonts w:hint="eastAsia" w:ascii="宋体" w:hAnsi="宋体"/>
          <w:b/>
          <w:color w:val="auto"/>
          <w:szCs w:val="21"/>
          <w:highlight w:val="none"/>
        </w:rPr>
        <w:t>致</w:t>
      </w:r>
      <w:r>
        <w:rPr>
          <w:rFonts w:hint="eastAsia" w:ascii="宋体" w:hAnsi="宋体"/>
          <w:color w:val="auto"/>
          <w:szCs w:val="21"/>
          <w:highlight w:val="none"/>
        </w:rPr>
        <w:t>：</w:t>
      </w:r>
      <w:r>
        <w:rPr>
          <w:rFonts w:hint="eastAsia" w:ascii="宋体" w:hAnsi="宋体"/>
          <w:color w:val="auto"/>
          <w:highlight w:val="none"/>
          <w:u w:val="single"/>
        </w:rPr>
        <w:t xml:space="preserve">                  </w:t>
      </w:r>
    </w:p>
    <w:p w14:paraId="75056124">
      <w:pPr>
        <w:snapToGrid w:val="0"/>
        <w:spacing w:line="400" w:lineRule="exact"/>
        <w:outlineLvl w:val="4"/>
        <w:rPr>
          <w:rFonts w:hint="eastAsia" w:ascii="宋体" w:hAnsi="宋体"/>
          <w:color w:val="auto"/>
          <w:szCs w:val="21"/>
          <w:highlight w:val="none"/>
          <w:u w:val="single"/>
        </w:rPr>
      </w:pPr>
    </w:p>
    <w:p w14:paraId="397DDABC">
      <w:pPr>
        <w:spacing w:line="400" w:lineRule="exact"/>
        <w:ind w:firstLine="525" w:firstLineChars="250"/>
        <w:rPr>
          <w:rFonts w:hint="eastAsia" w:ascii="宋体" w:hAnsi="宋体"/>
          <w:color w:val="auto"/>
          <w:szCs w:val="20"/>
          <w:highlight w:val="none"/>
        </w:rPr>
      </w:pPr>
      <w:r>
        <w:rPr>
          <w:rFonts w:hint="eastAsia" w:ascii="宋体" w:hAnsi="宋体"/>
          <w:color w:val="auto"/>
          <w:kern w:val="0"/>
          <w:szCs w:val="20"/>
          <w:highlight w:val="none"/>
        </w:rPr>
        <w:t>我</w:t>
      </w:r>
      <w:r>
        <w:rPr>
          <w:rFonts w:hint="eastAsia" w:ascii="宋体" w:hAnsi="宋体"/>
          <w:color w:val="auto"/>
          <w:kern w:val="0"/>
          <w:szCs w:val="20"/>
          <w:highlight w:val="none"/>
          <w:u w:val="single"/>
        </w:rPr>
        <w:t xml:space="preserve">              </w:t>
      </w:r>
      <w:r>
        <w:rPr>
          <w:rFonts w:hint="eastAsia" w:ascii="宋体" w:hAnsi="宋体"/>
          <w:color w:val="auto"/>
          <w:kern w:val="0"/>
          <w:szCs w:val="20"/>
          <w:highlight w:val="none"/>
        </w:rPr>
        <w:t>（姓名）系</w:t>
      </w:r>
      <w:r>
        <w:rPr>
          <w:rFonts w:hint="eastAsia" w:ascii="宋体" w:hAnsi="宋体"/>
          <w:color w:val="auto"/>
          <w:kern w:val="0"/>
          <w:szCs w:val="20"/>
          <w:highlight w:val="none"/>
          <w:u w:val="single"/>
        </w:rPr>
        <w:t xml:space="preserve">                              </w:t>
      </w:r>
      <w:r>
        <w:rPr>
          <w:rFonts w:hint="eastAsia" w:ascii="宋体" w:hAnsi="宋体"/>
          <w:color w:val="auto"/>
          <w:kern w:val="0"/>
          <w:szCs w:val="20"/>
          <w:highlight w:val="none"/>
        </w:rPr>
        <w:t>（投标人名称）的法定代表人，现授权委托本单位在职职工</w:t>
      </w:r>
      <w:r>
        <w:rPr>
          <w:rFonts w:hint="eastAsia" w:ascii="宋体" w:hAnsi="宋体"/>
          <w:color w:val="auto"/>
          <w:kern w:val="0"/>
          <w:szCs w:val="20"/>
          <w:highlight w:val="none"/>
          <w:u w:val="single"/>
        </w:rPr>
        <w:t xml:space="preserve">            </w:t>
      </w:r>
      <w:r>
        <w:rPr>
          <w:rFonts w:hint="eastAsia" w:ascii="宋体" w:hAnsi="宋体"/>
          <w:color w:val="auto"/>
          <w:kern w:val="0"/>
          <w:szCs w:val="20"/>
          <w:highlight w:val="none"/>
        </w:rPr>
        <w:t>（姓名）以我公司名义办理</w:t>
      </w:r>
      <w:r>
        <w:rPr>
          <w:rFonts w:hint="eastAsia" w:ascii="宋体" w:hAnsi="宋体"/>
          <w:color w:val="auto"/>
          <w:kern w:val="0"/>
          <w:szCs w:val="20"/>
          <w:highlight w:val="none"/>
          <w:u w:val="single"/>
        </w:rPr>
        <w:t xml:space="preserve">      </w:t>
      </w:r>
      <w:r>
        <w:rPr>
          <w:rFonts w:hint="eastAsia" w:ascii="宋体" w:hAnsi="宋体"/>
          <w:color w:val="auto"/>
          <w:szCs w:val="20"/>
          <w:highlight w:val="none"/>
          <w:u w:val="single"/>
        </w:rPr>
        <w:t xml:space="preserve">（项目名称及项目编号）        </w:t>
      </w:r>
      <w:r>
        <w:rPr>
          <w:rFonts w:hint="eastAsia" w:ascii="宋体" w:hAnsi="宋体"/>
          <w:color w:val="auto"/>
          <w:szCs w:val="20"/>
          <w:highlight w:val="none"/>
        </w:rPr>
        <w:t>项目的质疑事项，代表我方全权办理针对上述项目的质疑具体事务和签署相关文件。</w:t>
      </w:r>
    </w:p>
    <w:p w14:paraId="00BD2F5E">
      <w:pPr>
        <w:spacing w:line="400" w:lineRule="exact"/>
        <w:ind w:firstLine="420" w:firstLineChars="200"/>
        <w:rPr>
          <w:rFonts w:hint="eastAsia" w:ascii="宋体" w:hAnsi="宋体"/>
          <w:color w:val="auto"/>
          <w:szCs w:val="20"/>
          <w:highlight w:val="none"/>
        </w:rPr>
      </w:pPr>
      <w:r>
        <w:rPr>
          <w:rFonts w:hint="eastAsia" w:ascii="宋体" w:hAnsi="宋体"/>
          <w:color w:val="auto"/>
          <w:szCs w:val="20"/>
          <w:highlight w:val="none"/>
        </w:rPr>
        <w:t>我方对被授权人的签字事项负全部责任。</w:t>
      </w:r>
    </w:p>
    <w:p w14:paraId="2DC93AC9">
      <w:pPr>
        <w:spacing w:line="400" w:lineRule="exact"/>
        <w:ind w:firstLine="420" w:firstLineChars="200"/>
        <w:rPr>
          <w:rFonts w:hint="eastAsia" w:ascii="宋体" w:hAnsi="宋体"/>
          <w:color w:val="auto"/>
          <w:szCs w:val="20"/>
          <w:highlight w:val="none"/>
          <w:u w:val="single"/>
        </w:rPr>
      </w:pPr>
      <w:r>
        <w:rPr>
          <w:rFonts w:hint="eastAsia" w:ascii="宋体" w:hAnsi="宋体"/>
          <w:color w:val="auto"/>
          <w:szCs w:val="20"/>
          <w:highlight w:val="none"/>
        </w:rPr>
        <w:t xml:space="preserve">授权委托代理期限：自即日起至该项目政府采购活动结束。                                                                                         </w:t>
      </w:r>
    </w:p>
    <w:p w14:paraId="0DAFC9F8">
      <w:pPr>
        <w:spacing w:line="400" w:lineRule="exact"/>
        <w:ind w:firstLine="420" w:firstLineChars="200"/>
        <w:rPr>
          <w:rFonts w:hint="eastAsia" w:ascii="宋体" w:hAnsi="宋体"/>
          <w:color w:val="auto"/>
          <w:kern w:val="0"/>
          <w:highlight w:val="none"/>
        </w:rPr>
      </w:pPr>
      <w:r>
        <w:rPr>
          <w:rFonts w:hint="eastAsia" w:ascii="宋体" w:hAnsi="宋体"/>
          <w:color w:val="auto"/>
          <w:kern w:val="0"/>
          <w:highlight w:val="none"/>
        </w:rPr>
        <w:t>代理人无转委托权，特此委托。</w:t>
      </w:r>
      <w:r>
        <w:rPr>
          <w:rFonts w:ascii="宋体" w:hAnsi="宋体"/>
          <w:color w:val="auto"/>
          <w:kern w:val="0"/>
          <w:highlight w:val="none"/>
        </w:rPr>
        <w:t xml:space="preserve"> </w:t>
      </w:r>
    </w:p>
    <w:p w14:paraId="4E3CE5AA">
      <w:pPr>
        <w:snapToGrid w:val="0"/>
        <w:spacing w:line="400" w:lineRule="exact"/>
        <w:ind w:firstLine="420"/>
        <w:outlineLvl w:val="4"/>
        <w:rPr>
          <w:rFonts w:hint="eastAsia" w:ascii="宋体" w:hAnsi="宋体"/>
          <w:color w:val="auto"/>
          <w:szCs w:val="21"/>
          <w:highlight w:val="none"/>
        </w:rPr>
      </w:pPr>
      <w:r>
        <w:rPr>
          <w:rFonts w:hint="eastAsia" w:ascii="宋体" w:hAnsi="宋体"/>
          <w:color w:val="auto"/>
          <w:szCs w:val="21"/>
          <w:highlight w:val="none"/>
        </w:rPr>
        <w:t>我已在下面签字，以资证明。</w:t>
      </w:r>
    </w:p>
    <w:p w14:paraId="6E58C2D7">
      <w:pPr>
        <w:snapToGrid w:val="0"/>
        <w:spacing w:line="400" w:lineRule="exact"/>
        <w:ind w:firstLine="420"/>
        <w:outlineLvl w:val="4"/>
        <w:rPr>
          <w:rFonts w:hint="eastAsia" w:ascii="宋体" w:hAnsi="宋体"/>
          <w:color w:val="auto"/>
          <w:szCs w:val="21"/>
          <w:highlight w:val="none"/>
        </w:rPr>
      </w:pPr>
      <w:r>
        <w:rPr>
          <w:rFonts w:hint="eastAsia" w:ascii="宋体" w:hAnsi="宋体"/>
          <w:color w:val="auto"/>
          <w:szCs w:val="21"/>
          <w:highlight w:val="none"/>
        </w:rPr>
        <w:t>委托代理人身份证号：</w:t>
      </w:r>
      <w:r>
        <w:rPr>
          <w:rFonts w:hint="eastAsia" w:ascii="宋体" w:hAnsi="宋体"/>
          <w:color w:val="auto"/>
          <w:szCs w:val="21"/>
          <w:highlight w:val="none"/>
          <w:u w:val="single"/>
        </w:rPr>
        <w:t xml:space="preserve">                                   </w:t>
      </w:r>
    </w:p>
    <w:p w14:paraId="143BA9C4">
      <w:pPr>
        <w:snapToGrid w:val="0"/>
        <w:spacing w:line="400" w:lineRule="exact"/>
        <w:ind w:firstLine="420"/>
        <w:outlineLvl w:val="4"/>
        <w:rPr>
          <w:rFonts w:hint="eastAsia"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（公章）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78578140">
      <w:pPr>
        <w:snapToGrid w:val="0"/>
        <w:spacing w:line="400" w:lineRule="exact"/>
        <w:ind w:firstLine="420"/>
        <w:outlineLvl w:val="4"/>
        <w:rPr>
          <w:rFonts w:hint="eastAsia" w:ascii="宋体" w:hAnsi="宋体"/>
          <w:color w:val="auto"/>
          <w:szCs w:val="21"/>
          <w:highlight w:val="none"/>
        </w:rPr>
      </w:pPr>
    </w:p>
    <w:p w14:paraId="4FD7E98A">
      <w:pPr>
        <w:snapToGrid w:val="0"/>
        <w:spacing w:line="400" w:lineRule="exact"/>
        <w:ind w:firstLine="420"/>
        <w:outlineLvl w:val="4"/>
        <w:rPr>
          <w:rFonts w:hint="eastAsia" w:ascii="宋体" w:hAnsi="宋体"/>
          <w:color w:val="auto"/>
          <w:szCs w:val="21"/>
          <w:highlight w:val="none"/>
        </w:rPr>
      </w:pPr>
      <w:r>
        <w:rPr>
          <w:rFonts w:hint="eastAsia" w:ascii="宋体" w:hAnsi="宋体"/>
          <w:color w:val="auto"/>
          <w:szCs w:val="21"/>
          <w:highlight w:val="none"/>
        </w:rPr>
        <w:t>法定代表人签字：</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65545565">
      <w:pPr>
        <w:snapToGrid w:val="0"/>
        <w:spacing w:line="400" w:lineRule="exact"/>
        <w:ind w:firstLine="420"/>
        <w:outlineLvl w:val="4"/>
        <w:rPr>
          <w:rFonts w:hint="eastAsia" w:ascii="宋体" w:hAnsi="宋体"/>
          <w:color w:val="auto"/>
          <w:szCs w:val="21"/>
          <w:highlight w:val="none"/>
        </w:rPr>
      </w:pPr>
    </w:p>
    <w:p w14:paraId="69481671">
      <w:pPr>
        <w:snapToGrid w:val="0"/>
        <w:spacing w:line="400" w:lineRule="exact"/>
        <w:ind w:firstLine="420"/>
        <w:outlineLvl w:val="4"/>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3EAA29CB">
      <w:pPr>
        <w:snapToGrid w:val="0"/>
        <w:spacing w:line="400" w:lineRule="exact"/>
        <w:ind w:firstLine="420"/>
        <w:outlineLvl w:val="4"/>
        <w:rPr>
          <w:rFonts w:hint="eastAsia" w:ascii="宋体" w:hAnsi="宋体"/>
          <w:color w:val="auto"/>
          <w:szCs w:val="21"/>
          <w:highlight w:val="none"/>
        </w:rPr>
      </w:pPr>
    </w:p>
    <w:p w14:paraId="634DA3E4">
      <w:pPr>
        <w:tabs>
          <w:tab w:val="left" w:pos="1305"/>
        </w:tabs>
        <w:spacing w:line="520" w:lineRule="exact"/>
        <w:rPr>
          <w:rFonts w:hint="eastAsia" w:hAnsi="宋体"/>
          <w:b/>
          <w:color w:val="auto"/>
          <w:sz w:val="24"/>
          <w:highlight w:val="none"/>
        </w:rPr>
      </w:pPr>
      <w:r>
        <w:rPr>
          <w:rFonts w:hint="eastAsia" w:hAnsi="宋体"/>
          <w:b/>
          <w:color w:val="auto"/>
          <w:sz w:val="24"/>
          <w:highlight w:val="none"/>
        </w:rPr>
        <w:t>附：委托代理人身份证正反面复印件。</w:t>
      </w:r>
    </w:p>
    <w:p w14:paraId="7BFC32B2">
      <w:pPr>
        <w:pStyle w:val="13"/>
        <w:ind w:firstLine="420"/>
        <w:rPr>
          <w:rFonts w:hint="eastAsia"/>
          <w:color w:val="auto"/>
          <w:highlight w:val="none"/>
        </w:rPr>
      </w:pPr>
    </w:p>
    <w:p w14:paraId="6CB474D1">
      <w:pPr>
        <w:pStyle w:val="27"/>
        <w:snapToGrid w:val="0"/>
        <w:rPr>
          <w:rFonts w:hint="eastAsia"/>
          <w:b/>
          <w:color w:val="auto"/>
          <w:sz w:val="24"/>
          <w:szCs w:val="24"/>
          <w:highlight w:val="none"/>
        </w:rPr>
      </w:pPr>
    </w:p>
    <w:p w14:paraId="16E7ADE5">
      <w:pPr>
        <w:pStyle w:val="27"/>
        <w:snapToGrid w:val="0"/>
        <w:rPr>
          <w:rFonts w:hint="eastAsia" w:hAnsi="宋体"/>
          <w:b/>
          <w:color w:val="auto"/>
          <w:sz w:val="24"/>
          <w:szCs w:val="24"/>
          <w:highlight w:val="none"/>
        </w:rPr>
      </w:pPr>
      <w:r>
        <w:rPr>
          <w:b/>
          <w:color w:val="auto"/>
          <w:sz w:val="24"/>
          <w:szCs w:val="24"/>
          <w:highlight w:val="none"/>
        </w:rPr>
        <w:br w:type="page"/>
      </w:r>
      <w:r>
        <w:rPr>
          <w:rFonts w:hint="eastAsia"/>
          <w:b/>
          <w:color w:val="auto"/>
          <w:sz w:val="24"/>
          <w:szCs w:val="24"/>
          <w:highlight w:val="none"/>
        </w:rPr>
        <w:t>附表2：</w:t>
      </w:r>
    </w:p>
    <w:p w14:paraId="2D43640E">
      <w:pPr>
        <w:spacing w:line="460" w:lineRule="exact"/>
        <w:jc w:val="center"/>
        <w:rPr>
          <w:rFonts w:hint="eastAsia" w:eastAsia="隶书"/>
          <w:color w:val="auto"/>
          <w:sz w:val="44"/>
          <w:highlight w:val="none"/>
        </w:rPr>
      </w:pPr>
    </w:p>
    <w:p w14:paraId="6A37BC96">
      <w:pPr>
        <w:spacing w:line="460" w:lineRule="exact"/>
        <w:jc w:val="center"/>
        <w:rPr>
          <w:rFonts w:hint="eastAsia" w:eastAsia="隶书"/>
          <w:color w:val="auto"/>
          <w:sz w:val="44"/>
          <w:highlight w:val="none"/>
        </w:rPr>
      </w:pPr>
      <w:r>
        <w:rPr>
          <w:rFonts w:hint="eastAsia" w:eastAsia="隶书"/>
          <w:color w:val="auto"/>
          <w:sz w:val="44"/>
          <w:highlight w:val="none"/>
        </w:rPr>
        <w:t>投诉书（格式）</w:t>
      </w:r>
    </w:p>
    <w:p w14:paraId="3067FC7C">
      <w:pPr>
        <w:pStyle w:val="27"/>
        <w:snapToGrid w:val="0"/>
        <w:spacing w:line="400" w:lineRule="exact"/>
        <w:ind w:firstLine="422" w:firstLineChars="200"/>
        <w:rPr>
          <w:rFonts w:hAnsi="宋体"/>
          <w:b/>
          <w:bCs/>
          <w:color w:val="auto"/>
          <w:highlight w:val="none"/>
        </w:rPr>
      </w:pPr>
      <w:r>
        <w:rPr>
          <w:rFonts w:hint="eastAsia" w:hAnsi="宋体"/>
          <w:b/>
          <w:bCs/>
          <w:color w:val="auto"/>
          <w:highlight w:val="none"/>
        </w:rPr>
        <w:t>一、投诉相关主体基本情况：</w:t>
      </w:r>
    </w:p>
    <w:p w14:paraId="1EA67DAF">
      <w:pPr>
        <w:pStyle w:val="27"/>
        <w:snapToGrid w:val="0"/>
        <w:spacing w:line="400" w:lineRule="exact"/>
        <w:ind w:firstLine="420" w:firstLineChars="200"/>
        <w:rPr>
          <w:rFonts w:hint="eastAsia" w:hAnsi="宋体"/>
          <w:bCs/>
          <w:color w:val="auto"/>
          <w:highlight w:val="none"/>
          <w:u w:val="single"/>
        </w:rPr>
      </w:pPr>
      <w:r>
        <w:rPr>
          <w:rFonts w:hint="eastAsia" w:hAnsi="宋体"/>
          <w:bCs/>
          <w:color w:val="auto"/>
          <w:highlight w:val="none"/>
        </w:rPr>
        <w:t>投标人：</w:t>
      </w:r>
      <w:r>
        <w:rPr>
          <w:rFonts w:hint="eastAsia" w:hAnsi="宋体"/>
          <w:bCs/>
          <w:color w:val="auto"/>
          <w:highlight w:val="none"/>
          <w:u w:val="single"/>
        </w:rPr>
        <w:t xml:space="preserve">                                                                        </w:t>
      </w:r>
      <w:r>
        <w:rPr>
          <w:rFonts w:hint="eastAsia" w:hAnsi="宋体"/>
          <w:bCs/>
          <w:color w:val="auto"/>
          <w:highlight w:val="none"/>
        </w:rPr>
        <w:t xml:space="preserve">                 </w:t>
      </w:r>
    </w:p>
    <w:p w14:paraId="697FE9A9">
      <w:pPr>
        <w:pStyle w:val="27"/>
        <w:snapToGrid w:val="0"/>
        <w:spacing w:line="400" w:lineRule="exact"/>
        <w:ind w:firstLine="420" w:firstLineChars="200"/>
        <w:rPr>
          <w:rFonts w:hint="eastAsia" w:hAnsi="宋体"/>
          <w:bCs/>
          <w:color w:val="auto"/>
          <w:highlight w:val="non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6272E7C3">
      <w:pPr>
        <w:pStyle w:val="27"/>
        <w:snapToGrid w:val="0"/>
        <w:spacing w:line="400" w:lineRule="exact"/>
        <w:ind w:firstLine="420" w:firstLineChars="200"/>
        <w:rPr>
          <w:rFonts w:hint="eastAsia" w:hAnsi="宋体"/>
          <w:bCs/>
          <w:color w:val="auto"/>
          <w:highlight w:val="none"/>
          <w:u w:val="single"/>
        </w:rPr>
      </w:pPr>
      <w:r>
        <w:rPr>
          <w:rFonts w:hint="eastAsia" w:hAnsi="宋体"/>
          <w:bCs/>
          <w:color w:val="auto"/>
          <w:highlight w:val="none"/>
        </w:rPr>
        <w:t>法定代表人/主要负责人：</w:t>
      </w:r>
      <w:r>
        <w:rPr>
          <w:rFonts w:hint="eastAsia" w:hAnsi="宋体"/>
          <w:bCs/>
          <w:color w:val="auto"/>
          <w:highlight w:val="none"/>
          <w:u w:val="single"/>
        </w:rPr>
        <w:t xml:space="preserve">                                                         </w:t>
      </w:r>
    </w:p>
    <w:p w14:paraId="0DCFCE48">
      <w:pPr>
        <w:pStyle w:val="27"/>
        <w:snapToGrid w:val="0"/>
        <w:spacing w:line="400" w:lineRule="exact"/>
        <w:ind w:firstLine="420" w:firstLineChars="200"/>
        <w:rPr>
          <w:rFonts w:hint="eastAsia" w:hAnsi="宋体"/>
          <w:bCs/>
          <w:color w:val="auto"/>
          <w:highlight w:val="none"/>
        </w:rPr>
      </w:pPr>
      <w:r>
        <w:rPr>
          <w:rFonts w:hAnsi="宋体"/>
          <w:bCs/>
          <w:color w:val="auto"/>
          <w:highlight w:val="none"/>
        </w:rPr>
        <w:t>联系电话</w:t>
      </w:r>
      <w:r>
        <w:rPr>
          <w:rFonts w:hint="eastAsia" w:hAnsi="宋体"/>
          <w:bCs/>
          <w:color w:val="auto"/>
          <w:highlight w:val="none"/>
        </w:rPr>
        <w:t>：</w:t>
      </w:r>
      <w:r>
        <w:rPr>
          <w:rFonts w:hint="eastAsia" w:hAnsi="宋体"/>
          <w:bCs/>
          <w:color w:val="auto"/>
          <w:highlight w:val="none"/>
          <w:u w:val="single"/>
        </w:rPr>
        <w:t xml:space="preserve">                                         </w:t>
      </w:r>
    </w:p>
    <w:p w14:paraId="32F78E75">
      <w:pPr>
        <w:pStyle w:val="27"/>
        <w:snapToGrid w:val="0"/>
        <w:spacing w:line="400" w:lineRule="exact"/>
        <w:ind w:firstLine="420" w:firstLineChars="200"/>
        <w:rPr>
          <w:rFonts w:hint="eastAsia" w:hAnsi="宋体"/>
          <w:bCs/>
          <w:color w:val="auto"/>
          <w:highlight w:val="none"/>
          <w:u w:val="single"/>
        </w:rPr>
      </w:pPr>
      <w:r>
        <w:rPr>
          <w:rFonts w:hint="eastAsia" w:hAnsi="宋体"/>
          <w:bCs/>
          <w:color w:val="auto"/>
          <w:highlight w:val="none"/>
        </w:rPr>
        <w:t>授权代表：</w:t>
      </w:r>
      <w:r>
        <w:rPr>
          <w:rFonts w:hint="eastAsia" w:hAnsi="宋体"/>
          <w:bCs/>
          <w:color w:val="auto"/>
          <w:highlight w:val="none"/>
          <w:u w:val="single"/>
        </w:rPr>
        <w:t xml:space="preserve">                                         </w:t>
      </w:r>
      <w:r>
        <w:rPr>
          <w:rFonts w:hAnsi="宋体"/>
          <w:bCs/>
          <w:color w:val="auto"/>
          <w:highlight w:val="none"/>
        </w:rPr>
        <w:t>联系</w:t>
      </w:r>
      <w:r>
        <w:rPr>
          <w:rFonts w:hint="eastAsia" w:hAnsi="宋体"/>
          <w:bCs/>
          <w:color w:val="auto"/>
          <w:highlight w:val="none"/>
        </w:rPr>
        <w:t>电话：</w:t>
      </w:r>
      <w:r>
        <w:rPr>
          <w:rFonts w:hint="eastAsia" w:hAnsi="宋体"/>
          <w:bCs/>
          <w:color w:val="auto"/>
          <w:highlight w:val="none"/>
          <w:u w:val="single"/>
        </w:rPr>
        <w:t xml:space="preserve">                   </w:t>
      </w:r>
    </w:p>
    <w:p w14:paraId="651A4FC7">
      <w:pPr>
        <w:pStyle w:val="27"/>
        <w:snapToGrid w:val="0"/>
        <w:spacing w:line="400" w:lineRule="exact"/>
        <w:ind w:firstLine="420" w:firstLineChars="200"/>
        <w:rPr>
          <w:rFonts w:hint="eastAsia" w:hAnsi="宋体"/>
          <w:bCs/>
          <w:color w:val="auto"/>
          <w:highlight w:val="non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08FAD43D">
      <w:pPr>
        <w:pStyle w:val="27"/>
        <w:snapToGrid w:val="0"/>
        <w:spacing w:line="400" w:lineRule="exact"/>
        <w:ind w:firstLine="420" w:firstLineChars="200"/>
        <w:rPr>
          <w:rFonts w:hint="eastAsia" w:hAnsi="宋体"/>
          <w:bCs/>
          <w:color w:val="auto"/>
          <w:highlight w:val="none"/>
        </w:rPr>
      </w:pPr>
      <w:r>
        <w:rPr>
          <w:rFonts w:hint="eastAsia" w:hAnsi="宋体"/>
          <w:bCs/>
          <w:color w:val="auto"/>
          <w:highlight w:val="none"/>
        </w:rPr>
        <w:t>被投诉人1：</w:t>
      </w:r>
    </w:p>
    <w:p w14:paraId="681916A4">
      <w:pPr>
        <w:pStyle w:val="27"/>
        <w:snapToGrid w:val="0"/>
        <w:spacing w:line="400" w:lineRule="exact"/>
        <w:ind w:firstLine="420" w:firstLineChars="200"/>
        <w:rPr>
          <w:rFonts w:hint="eastAsia" w:hAnsi="宋体"/>
          <w:bCs/>
          <w:color w:val="auto"/>
          <w:highlight w:val="none"/>
        </w:rPr>
      </w:pPr>
      <w:r>
        <w:rPr>
          <w:rFonts w:hint="eastAsia" w:hAnsi="宋体"/>
          <w:bCs/>
          <w:color w:val="auto"/>
          <w:highlight w:val="none"/>
        </w:rPr>
        <w:t>地址：</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4F2E5BF4">
      <w:pPr>
        <w:pStyle w:val="27"/>
        <w:snapToGrid w:val="0"/>
        <w:spacing w:line="400" w:lineRule="exact"/>
        <w:ind w:firstLine="420" w:firstLineChars="200"/>
        <w:rPr>
          <w:rFonts w:hint="eastAsia" w:hAnsi="宋体"/>
          <w:bCs/>
          <w:color w:val="auto"/>
          <w:highlight w:val="none"/>
          <w:u w:val="single"/>
        </w:rPr>
      </w:pPr>
      <w:r>
        <w:rPr>
          <w:rFonts w:hint="eastAsia" w:hAnsi="宋体"/>
          <w:bCs/>
          <w:color w:val="auto"/>
          <w:highlight w:val="none"/>
        </w:rPr>
        <w:t>联系人：</w:t>
      </w:r>
      <w:r>
        <w:rPr>
          <w:rFonts w:hint="eastAsia" w:hAnsi="宋体"/>
          <w:bCs/>
          <w:color w:val="auto"/>
          <w:highlight w:val="none"/>
          <w:u w:val="single"/>
        </w:rPr>
        <w:t xml:space="preserve">                                                </w:t>
      </w:r>
      <w:r>
        <w:rPr>
          <w:rFonts w:hAnsi="宋体"/>
          <w:bCs/>
          <w:color w:val="auto"/>
          <w:highlight w:val="none"/>
        </w:rPr>
        <w:t>联系</w:t>
      </w:r>
      <w:r>
        <w:rPr>
          <w:rFonts w:hint="eastAsia" w:hAnsi="宋体"/>
          <w:bCs/>
          <w:color w:val="auto"/>
          <w:highlight w:val="none"/>
        </w:rPr>
        <w:t>电话：</w:t>
      </w:r>
      <w:r>
        <w:rPr>
          <w:rFonts w:hint="eastAsia" w:hAnsi="宋体"/>
          <w:bCs/>
          <w:color w:val="auto"/>
          <w:highlight w:val="none"/>
          <w:u w:val="single"/>
        </w:rPr>
        <w:t xml:space="preserve">                </w:t>
      </w:r>
    </w:p>
    <w:p w14:paraId="0553C1C0">
      <w:pPr>
        <w:pStyle w:val="27"/>
        <w:snapToGrid w:val="0"/>
        <w:spacing w:line="400" w:lineRule="exact"/>
        <w:ind w:firstLine="420" w:firstLineChars="200"/>
        <w:rPr>
          <w:rFonts w:hint="eastAsia" w:hAnsi="宋体"/>
          <w:bCs/>
          <w:color w:val="auto"/>
          <w:highlight w:val="none"/>
        </w:rPr>
      </w:pPr>
      <w:r>
        <w:rPr>
          <w:rFonts w:hint="eastAsia" w:hAnsi="宋体"/>
          <w:bCs/>
          <w:color w:val="auto"/>
          <w:highlight w:val="none"/>
        </w:rPr>
        <w:t>被投诉人2：</w:t>
      </w:r>
    </w:p>
    <w:p w14:paraId="14AF34C9">
      <w:pPr>
        <w:pStyle w:val="27"/>
        <w:snapToGrid w:val="0"/>
        <w:spacing w:line="400" w:lineRule="exact"/>
        <w:ind w:firstLine="420" w:firstLineChars="200"/>
        <w:rPr>
          <w:rFonts w:hint="eastAsia" w:hAnsi="宋体"/>
          <w:bCs/>
          <w:color w:val="auto"/>
          <w:highlight w:val="none"/>
        </w:rPr>
      </w:pPr>
      <w:r>
        <w:rPr>
          <w:rFonts w:hAnsi="宋体"/>
          <w:bCs/>
          <w:color w:val="auto"/>
          <w:highlight w:val="none"/>
        </w:rPr>
        <w:t>……</w:t>
      </w:r>
    </w:p>
    <w:p w14:paraId="2B2AA4CF">
      <w:pPr>
        <w:pStyle w:val="27"/>
        <w:snapToGrid w:val="0"/>
        <w:spacing w:line="400" w:lineRule="exact"/>
        <w:ind w:firstLine="420" w:firstLineChars="200"/>
        <w:rPr>
          <w:rFonts w:hint="eastAsia" w:hAnsi="宋体"/>
          <w:bCs/>
          <w:color w:val="auto"/>
          <w:highlight w:val="none"/>
          <w:u w:val="single"/>
        </w:rPr>
      </w:pPr>
      <w:r>
        <w:rPr>
          <w:rFonts w:hint="eastAsia" w:hAnsi="宋体"/>
          <w:bCs/>
          <w:color w:val="auto"/>
          <w:highlight w:val="none"/>
        </w:rPr>
        <w:t>相关供应商：</w:t>
      </w:r>
      <w:r>
        <w:rPr>
          <w:rFonts w:hint="eastAsia" w:hAnsi="宋体"/>
          <w:bCs/>
          <w:color w:val="auto"/>
          <w:highlight w:val="none"/>
          <w:u w:val="single"/>
        </w:rPr>
        <w:t xml:space="preserve">                                                                       </w:t>
      </w:r>
    </w:p>
    <w:p w14:paraId="22629BB0">
      <w:pPr>
        <w:pStyle w:val="27"/>
        <w:snapToGrid w:val="0"/>
        <w:spacing w:line="400" w:lineRule="exact"/>
        <w:ind w:firstLine="420" w:firstLineChars="200"/>
        <w:rPr>
          <w:rFonts w:hint="eastAsia" w:hAnsi="宋体"/>
          <w:bCs/>
          <w:color w:val="auto"/>
          <w:highlight w:val="none"/>
          <w:u w:val="singl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p>
    <w:p w14:paraId="7F30BCD5">
      <w:pPr>
        <w:pStyle w:val="27"/>
        <w:snapToGrid w:val="0"/>
        <w:spacing w:line="400" w:lineRule="exact"/>
        <w:ind w:firstLine="420" w:firstLineChars="200"/>
        <w:rPr>
          <w:rFonts w:hint="eastAsia" w:hAnsi="宋体"/>
          <w:bCs/>
          <w:color w:val="auto"/>
          <w:highlight w:val="none"/>
        </w:rPr>
      </w:pPr>
      <w:r>
        <w:rPr>
          <w:rFonts w:hint="eastAsia" w:hAnsi="宋体"/>
          <w:bCs/>
          <w:color w:val="auto"/>
          <w:highlight w:val="none"/>
        </w:rPr>
        <w:t>联系人：</w:t>
      </w:r>
      <w:r>
        <w:rPr>
          <w:rFonts w:hint="eastAsia" w:hAnsi="宋体"/>
          <w:bCs/>
          <w:color w:val="auto"/>
          <w:highlight w:val="none"/>
          <w:u w:val="single"/>
        </w:rPr>
        <w:t xml:space="preserve">                                            </w:t>
      </w:r>
      <w:r>
        <w:rPr>
          <w:rFonts w:hAnsi="宋体"/>
          <w:bCs/>
          <w:color w:val="auto"/>
          <w:highlight w:val="none"/>
        </w:rPr>
        <w:t>联系</w:t>
      </w:r>
      <w:r>
        <w:rPr>
          <w:rFonts w:hint="eastAsia" w:hAnsi="宋体"/>
          <w:bCs/>
          <w:color w:val="auto"/>
          <w:highlight w:val="none"/>
        </w:rPr>
        <w:t>电话：</w:t>
      </w:r>
      <w:r>
        <w:rPr>
          <w:rFonts w:hint="eastAsia" w:hAnsi="宋体"/>
          <w:bCs/>
          <w:color w:val="auto"/>
          <w:highlight w:val="none"/>
          <w:u w:val="single"/>
        </w:rPr>
        <w:t xml:space="preserve">                     </w:t>
      </w:r>
      <w:r>
        <w:rPr>
          <w:rFonts w:hint="eastAsia" w:hAnsi="宋体"/>
          <w:bCs/>
          <w:color w:val="auto"/>
          <w:highlight w:val="none"/>
        </w:rPr>
        <w:t xml:space="preserve">                </w:t>
      </w:r>
    </w:p>
    <w:p w14:paraId="37DB225D">
      <w:pPr>
        <w:pStyle w:val="27"/>
        <w:snapToGrid w:val="0"/>
        <w:spacing w:line="400" w:lineRule="exact"/>
        <w:ind w:firstLine="422" w:firstLineChars="200"/>
        <w:rPr>
          <w:rFonts w:hint="eastAsia" w:hAnsi="宋体"/>
          <w:b/>
          <w:bCs/>
          <w:color w:val="auto"/>
          <w:highlight w:val="none"/>
        </w:rPr>
      </w:pPr>
      <w:r>
        <w:rPr>
          <w:rFonts w:hint="eastAsia" w:hAnsi="宋体"/>
          <w:b/>
          <w:bCs/>
          <w:color w:val="auto"/>
          <w:highlight w:val="none"/>
        </w:rPr>
        <w:t>二、投诉项目基本情况：</w:t>
      </w:r>
    </w:p>
    <w:p w14:paraId="624135FE">
      <w:pPr>
        <w:pStyle w:val="27"/>
        <w:spacing w:line="400" w:lineRule="exact"/>
        <w:ind w:left="25" w:leftChars="12" w:firstLine="413" w:firstLineChars="197"/>
        <w:rPr>
          <w:rFonts w:hint="eastAsia" w:hAnsi="宋体"/>
          <w:color w:val="auto"/>
          <w:szCs w:val="21"/>
          <w:highlight w:val="none"/>
        </w:rPr>
      </w:pPr>
      <w:r>
        <w:rPr>
          <w:rFonts w:hint="eastAsia" w:hAnsi="宋体"/>
          <w:bCs/>
          <w:color w:val="auto"/>
          <w:highlight w:val="none"/>
        </w:rPr>
        <w:t>采购</w:t>
      </w:r>
      <w:r>
        <w:rPr>
          <w:rFonts w:hint="eastAsia" w:hAnsi="宋体"/>
          <w:color w:val="auto"/>
          <w:szCs w:val="21"/>
          <w:highlight w:val="none"/>
        </w:rPr>
        <w:t>项目的名称：</w:t>
      </w:r>
      <w:r>
        <w:rPr>
          <w:rFonts w:hint="eastAsia" w:hAnsi="宋体"/>
          <w:bCs/>
          <w:color w:val="auto"/>
          <w:highlight w:val="none"/>
          <w:u w:val="single"/>
        </w:rPr>
        <w:t xml:space="preserve">                                                                   </w:t>
      </w:r>
    </w:p>
    <w:p w14:paraId="10D6BDFD">
      <w:pPr>
        <w:pStyle w:val="27"/>
        <w:spacing w:line="400" w:lineRule="exact"/>
        <w:ind w:left="25" w:leftChars="12" w:firstLine="413" w:firstLineChars="197"/>
        <w:rPr>
          <w:rFonts w:hint="eastAsia" w:hAnsi="宋体"/>
          <w:color w:val="auto"/>
          <w:szCs w:val="21"/>
          <w:highlight w:val="none"/>
        </w:rPr>
      </w:pPr>
      <w:r>
        <w:rPr>
          <w:rFonts w:hint="eastAsia" w:hAnsi="宋体"/>
          <w:bCs/>
          <w:color w:val="auto"/>
          <w:highlight w:val="none"/>
        </w:rPr>
        <w:t>采购</w:t>
      </w:r>
      <w:r>
        <w:rPr>
          <w:rFonts w:hint="eastAsia" w:hAnsi="宋体"/>
          <w:color w:val="auto"/>
          <w:szCs w:val="21"/>
          <w:highlight w:val="none"/>
        </w:rPr>
        <w:t>项目的编号：</w:t>
      </w:r>
      <w:r>
        <w:rPr>
          <w:rFonts w:hint="eastAsia" w:hAnsi="宋体"/>
          <w:bCs/>
          <w:color w:val="auto"/>
          <w:highlight w:val="none"/>
          <w:u w:val="single"/>
        </w:rPr>
        <w:t xml:space="preserve">                                                                    </w:t>
      </w:r>
      <w:r>
        <w:rPr>
          <w:rFonts w:hint="eastAsia" w:hAnsi="宋体"/>
          <w:color w:val="auto"/>
          <w:szCs w:val="21"/>
          <w:highlight w:val="none"/>
        </w:rPr>
        <w:t xml:space="preserve">  </w:t>
      </w:r>
    </w:p>
    <w:p w14:paraId="5EF46ABC">
      <w:pPr>
        <w:pStyle w:val="27"/>
        <w:spacing w:line="400" w:lineRule="exact"/>
        <w:ind w:left="25" w:leftChars="12" w:firstLine="413" w:firstLineChars="197"/>
        <w:rPr>
          <w:rFonts w:hint="eastAsia" w:hAnsi="宋体"/>
          <w:bCs/>
          <w:color w:val="auto"/>
          <w:highlight w:val="none"/>
          <w:u w:val="single"/>
        </w:rPr>
      </w:pPr>
      <w:r>
        <w:rPr>
          <w:rFonts w:hint="eastAsia" w:hAnsi="宋体"/>
          <w:color w:val="auto"/>
          <w:szCs w:val="21"/>
          <w:highlight w:val="none"/>
        </w:rPr>
        <w:t>采购人名称：</w:t>
      </w:r>
      <w:r>
        <w:rPr>
          <w:rFonts w:hint="eastAsia" w:hAnsi="宋体"/>
          <w:bCs/>
          <w:color w:val="auto"/>
          <w:highlight w:val="none"/>
          <w:u w:val="single"/>
        </w:rPr>
        <w:t xml:space="preserve">                                                                        </w:t>
      </w:r>
    </w:p>
    <w:p w14:paraId="2657575E">
      <w:pPr>
        <w:pStyle w:val="27"/>
        <w:spacing w:line="400" w:lineRule="exact"/>
        <w:ind w:left="25" w:leftChars="12" w:firstLine="413" w:firstLineChars="197"/>
        <w:rPr>
          <w:rFonts w:hint="eastAsia" w:hAnsi="宋体"/>
          <w:bCs/>
          <w:color w:val="auto"/>
          <w:highlight w:val="none"/>
          <w:u w:val="single"/>
        </w:rPr>
      </w:pPr>
      <w:r>
        <w:rPr>
          <w:rFonts w:hint="eastAsia" w:hAnsi="宋体"/>
          <w:color w:val="auto"/>
          <w:szCs w:val="21"/>
          <w:highlight w:val="none"/>
        </w:rPr>
        <w:t>代理机构名称：</w:t>
      </w:r>
      <w:r>
        <w:rPr>
          <w:rFonts w:hint="eastAsia" w:hAnsi="宋体"/>
          <w:bCs/>
          <w:color w:val="auto"/>
          <w:highlight w:val="none"/>
          <w:u w:val="single"/>
        </w:rPr>
        <w:t xml:space="preserve">                                                                      </w:t>
      </w:r>
    </w:p>
    <w:p w14:paraId="6926AE88">
      <w:pPr>
        <w:pStyle w:val="27"/>
        <w:spacing w:line="400" w:lineRule="exact"/>
        <w:ind w:left="25" w:leftChars="12" w:firstLine="413" w:firstLineChars="197"/>
        <w:rPr>
          <w:rFonts w:hint="eastAsia" w:hAnsi="宋体"/>
          <w:bCs/>
          <w:color w:val="auto"/>
          <w:highlight w:val="none"/>
          <w:u w:val="single"/>
        </w:rPr>
      </w:pPr>
      <w:r>
        <w:rPr>
          <w:rFonts w:hint="eastAsia" w:hAnsi="宋体"/>
          <w:bCs/>
          <w:color w:val="auto"/>
          <w:highlight w:val="none"/>
        </w:rPr>
        <w:t>采购文件公告：</w:t>
      </w:r>
      <w:r>
        <w:rPr>
          <w:rFonts w:hint="eastAsia" w:hAnsi="宋体"/>
          <w:bCs/>
          <w:color w:val="auto"/>
          <w:highlight w:val="none"/>
          <w:u w:val="single"/>
        </w:rPr>
        <w:t>是/否</w:t>
      </w:r>
      <w:r>
        <w:rPr>
          <w:rFonts w:hint="eastAsia" w:hAnsi="宋体"/>
          <w:bCs/>
          <w:color w:val="auto"/>
          <w:highlight w:val="none"/>
        </w:rPr>
        <w:t>公告期限：</w:t>
      </w:r>
      <w:r>
        <w:rPr>
          <w:rFonts w:hint="eastAsia" w:hAnsi="宋体"/>
          <w:bCs/>
          <w:color w:val="auto"/>
          <w:highlight w:val="none"/>
          <w:u w:val="single"/>
        </w:rPr>
        <w:t xml:space="preserve">                                                       </w:t>
      </w:r>
    </w:p>
    <w:p w14:paraId="5128200D">
      <w:pPr>
        <w:pStyle w:val="27"/>
        <w:spacing w:line="400" w:lineRule="exact"/>
        <w:ind w:left="25" w:leftChars="12" w:firstLine="413" w:firstLineChars="197"/>
        <w:rPr>
          <w:rFonts w:hint="eastAsia" w:hAnsi="宋体"/>
          <w:b/>
          <w:color w:val="auto"/>
          <w:szCs w:val="21"/>
          <w:highlight w:val="none"/>
        </w:rPr>
      </w:pPr>
      <w:r>
        <w:rPr>
          <w:rFonts w:hint="eastAsia" w:hAnsi="宋体"/>
          <w:bCs/>
          <w:color w:val="auto"/>
          <w:highlight w:val="none"/>
        </w:rPr>
        <w:t>采购结果公告：</w:t>
      </w:r>
      <w:r>
        <w:rPr>
          <w:rFonts w:hint="eastAsia" w:hAnsi="宋体"/>
          <w:bCs/>
          <w:color w:val="auto"/>
          <w:highlight w:val="none"/>
          <w:u w:val="single"/>
        </w:rPr>
        <w:t>是/否</w:t>
      </w:r>
      <w:r>
        <w:rPr>
          <w:rFonts w:hint="eastAsia" w:hAnsi="宋体"/>
          <w:bCs/>
          <w:color w:val="auto"/>
          <w:highlight w:val="none"/>
        </w:rPr>
        <w:t>公告期限：</w:t>
      </w:r>
      <w:r>
        <w:rPr>
          <w:rFonts w:hint="eastAsia" w:hAnsi="宋体"/>
          <w:bCs/>
          <w:color w:val="auto"/>
          <w:highlight w:val="none"/>
          <w:u w:val="single"/>
        </w:rPr>
        <w:t xml:space="preserve">                                                       </w:t>
      </w:r>
    </w:p>
    <w:p w14:paraId="010F2631">
      <w:pPr>
        <w:pStyle w:val="27"/>
        <w:spacing w:line="400" w:lineRule="exact"/>
        <w:ind w:left="25" w:leftChars="12" w:firstLine="413" w:firstLineChars="196"/>
        <w:rPr>
          <w:rFonts w:hint="eastAsia" w:hAnsi="宋体"/>
          <w:b/>
          <w:color w:val="auto"/>
          <w:szCs w:val="21"/>
          <w:highlight w:val="none"/>
        </w:rPr>
      </w:pPr>
      <w:r>
        <w:rPr>
          <w:rFonts w:hint="eastAsia" w:hAnsi="宋体"/>
          <w:b/>
          <w:color w:val="auto"/>
          <w:szCs w:val="21"/>
          <w:highlight w:val="none"/>
        </w:rPr>
        <w:t>三、质疑基本情况</w:t>
      </w:r>
    </w:p>
    <w:p w14:paraId="589F2277">
      <w:pPr>
        <w:pStyle w:val="27"/>
        <w:spacing w:line="400" w:lineRule="exact"/>
        <w:ind w:left="25" w:leftChars="12" w:firstLine="833" w:firstLineChars="397"/>
        <w:rPr>
          <w:rFonts w:hint="eastAsia" w:hAnsi="宋体"/>
          <w:color w:val="auto"/>
          <w:szCs w:val="21"/>
          <w:highlight w:val="none"/>
        </w:rPr>
      </w:pPr>
      <w:r>
        <w:rPr>
          <w:rFonts w:hint="eastAsia" w:hAnsi="宋体"/>
          <w:color w:val="auto"/>
          <w:szCs w:val="21"/>
          <w:highlight w:val="none"/>
        </w:rPr>
        <w:t>投诉人于</w:t>
      </w:r>
      <w:r>
        <w:rPr>
          <w:rFonts w:hint="eastAsia" w:hAnsi="宋体"/>
          <w:color w:val="auto"/>
          <w:szCs w:val="21"/>
          <w:highlight w:val="none"/>
          <w:u w:val="single"/>
        </w:rPr>
        <w:t xml:space="preserve">      </w:t>
      </w:r>
      <w:r>
        <w:rPr>
          <w:rFonts w:hint="eastAsia" w:hAnsi="宋体"/>
          <w:color w:val="auto"/>
          <w:szCs w:val="21"/>
          <w:highlight w:val="none"/>
        </w:rPr>
        <w:t>年</w:t>
      </w:r>
      <w:r>
        <w:rPr>
          <w:rFonts w:hint="eastAsia" w:hAnsi="宋体"/>
          <w:color w:val="auto"/>
          <w:szCs w:val="21"/>
          <w:highlight w:val="none"/>
          <w:u w:val="single"/>
        </w:rPr>
        <w:t xml:space="preserve">   </w:t>
      </w:r>
      <w:r>
        <w:rPr>
          <w:rFonts w:hint="eastAsia" w:hAnsi="宋体"/>
          <w:color w:val="auto"/>
          <w:szCs w:val="21"/>
          <w:highlight w:val="none"/>
        </w:rPr>
        <w:t>月</w:t>
      </w:r>
      <w:r>
        <w:rPr>
          <w:rFonts w:hint="eastAsia" w:hAnsi="宋体"/>
          <w:color w:val="auto"/>
          <w:szCs w:val="21"/>
          <w:highlight w:val="none"/>
          <w:u w:val="single"/>
        </w:rPr>
        <w:t xml:space="preserve">   </w:t>
      </w:r>
      <w:r>
        <w:rPr>
          <w:rFonts w:hint="eastAsia" w:hAnsi="宋体"/>
          <w:color w:val="auto"/>
          <w:szCs w:val="21"/>
          <w:highlight w:val="none"/>
        </w:rPr>
        <w:t>日，向</w:t>
      </w:r>
      <w:r>
        <w:rPr>
          <w:rFonts w:hint="eastAsia" w:hAnsi="宋体"/>
          <w:color w:val="auto"/>
          <w:szCs w:val="21"/>
          <w:highlight w:val="none"/>
          <w:u w:val="single"/>
        </w:rPr>
        <w:t xml:space="preserve">                                </w:t>
      </w:r>
      <w:r>
        <w:rPr>
          <w:rFonts w:hint="eastAsia" w:hAnsi="宋体"/>
          <w:color w:val="auto"/>
          <w:szCs w:val="21"/>
          <w:highlight w:val="none"/>
        </w:rPr>
        <w:t>提出质疑，质疑事项为：</w:t>
      </w:r>
    </w:p>
    <w:p w14:paraId="2F163AAE">
      <w:pPr>
        <w:pStyle w:val="27"/>
        <w:spacing w:line="400" w:lineRule="exact"/>
        <w:rPr>
          <w:rFonts w:hint="eastAsia" w:hAnsi="宋体"/>
          <w:bCs/>
          <w:color w:val="auto"/>
          <w:highlight w:val="none"/>
          <w:u w:val="single"/>
        </w:rPr>
      </w:pPr>
      <w:r>
        <w:rPr>
          <w:rFonts w:hint="eastAsia" w:hAnsi="宋体"/>
          <w:color w:val="auto"/>
          <w:szCs w:val="21"/>
          <w:highlight w:val="none"/>
        </w:rPr>
        <w:t xml:space="preserve">    </w:t>
      </w:r>
      <w:r>
        <w:rPr>
          <w:rFonts w:hint="eastAsia" w:hAnsi="宋体"/>
          <w:bCs/>
          <w:color w:val="auto"/>
          <w:highlight w:val="none"/>
          <w:u w:val="single"/>
        </w:rPr>
        <w:t xml:space="preserve">                                                                                      </w:t>
      </w:r>
    </w:p>
    <w:p w14:paraId="61FFC38A">
      <w:pPr>
        <w:pStyle w:val="27"/>
        <w:spacing w:line="400" w:lineRule="exact"/>
        <w:rPr>
          <w:rFonts w:hint="eastAsia" w:hAnsi="宋体"/>
          <w:bCs/>
          <w:color w:val="auto"/>
          <w:highlight w:val="none"/>
          <w:u w:val="single"/>
        </w:rPr>
      </w:pPr>
      <w:r>
        <w:rPr>
          <w:rFonts w:hint="eastAsia" w:hAnsi="宋体"/>
          <w:bCs/>
          <w:color w:val="auto"/>
          <w:highlight w:val="none"/>
        </w:rPr>
        <w:t xml:space="preserve">    </w:t>
      </w:r>
      <w:r>
        <w:rPr>
          <w:rFonts w:hint="eastAsia" w:hAnsi="宋体"/>
          <w:bCs/>
          <w:color w:val="auto"/>
          <w:highlight w:val="none"/>
          <w:u w:val="single"/>
        </w:rPr>
        <w:t xml:space="preserve">                                                                                      </w:t>
      </w:r>
    </w:p>
    <w:p w14:paraId="6A1BC9B4">
      <w:pPr>
        <w:pStyle w:val="27"/>
        <w:spacing w:line="400" w:lineRule="exact"/>
        <w:rPr>
          <w:rFonts w:hint="eastAsia" w:hAnsi="宋体"/>
          <w:color w:val="auto"/>
          <w:szCs w:val="21"/>
          <w:highlight w:val="none"/>
        </w:rPr>
      </w:pPr>
      <w:r>
        <w:rPr>
          <w:rFonts w:hint="eastAsia" w:hAnsi="宋体"/>
          <w:bCs/>
          <w:color w:val="auto"/>
          <w:highlight w:val="none"/>
        </w:rPr>
        <w:t xml:space="preserve">        </w:t>
      </w:r>
      <w:r>
        <w:rPr>
          <w:rFonts w:hint="eastAsia" w:hAnsi="宋体"/>
          <w:bCs/>
          <w:color w:val="auto"/>
          <w:highlight w:val="none"/>
          <w:u w:val="single"/>
        </w:rPr>
        <w:t>采购人/代理机构</w:t>
      </w:r>
      <w:r>
        <w:rPr>
          <w:rFonts w:hint="eastAsia" w:hAnsi="宋体"/>
          <w:bCs/>
          <w:color w:val="auto"/>
          <w:highlight w:val="none"/>
        </w:rPr>
        <w:t>于</w:t>
      </w:r>
      <w:r>
        <w:rPr>
          <w:rFonts w:hint="eastAsia" w:hAnsi="宋体"/>
          <w:color w:val="auto"/>
          <w:szCs w:val="21"/>
          <w:highlight w:val="none"/>
          <w:u w:val="single"/>
        </w:rPr>
        <w:t xml:space="preserve">      </w:t>
      </w:r>
      <w:r>
        <w:rPr>
          <w:rFonts w:hint="eastAsia" w:hAnsi="宋体"/>
          <w:color w:val="auto"/>
          <w:szCs w:val="21"/>
          <w:highlight w:val="none"/>
        </w:rPr>
        <w:t>年</w:t>
      </w:r>
      <w:r>
        <w:rPr>
          <w:rFonts w:hint="eastAsia" w:hAnsi="宋体"/>
          <w:color w:val="auto"/>
          <w:szCs w:val="21"/>
          <w:highlight w:val="none"/>
          <w:u w:val="single"/>
        </w:rPr>
        <w:t xml:space="preserve">   </w:t>
      </w:r>
      <w:r>
        <w:rPr>
          <w:rFonts w:hint="eastAsia" w:hAnsi="宋体"/>
          <w:color w:val="auto"/>
          <w:szCs w:val="21"/>
          <w:highlight w:val="none"/>
        </w:rPr>
        <w:t>月</w:t>
      </w:r>
      <w:r>
        <w:rPr>
          <w:rFonts w:hint="eastAsia" w:hAnsi="宋体"/>
          <w:color w:val="auto"/>
          <w:szCs w:val="21"/>
          <w:highlight w:val="none"/>
          <w:u w:val="single"/>
        </w:rPr>
        <w:t xml:space="preserve">   </w:t>
      </w:r>
      <w:r>
        <w:rPr>
          <w:rFonts w:hint="eastAsia" w:hAnsi="宋体"/>
          <w:color w:val="auto"/>
          <w:szCs w:val="21"/>
          <w:highlight w:val="none"/>
        </w:rPr>
        <w:t>日，</w:t>
      </w:r>
      <w:r>
        <w:rPr>
          <w:rFonts w:hint="eastAsia" w:hAnsi="宋体"/>
          <w:bCs/>
          <w:color w:val="auto"/>
          <w:highlight w:val="none"/>
        </w:rPr>
        <w:t xml:space="preserve">就质疑事项作出了答复/没有在法定期限内作出答复。                                                                                             </w:t>
      </w:r>
    </w:p>
    <w:p w14:paraId="6A18EDF6">
      <w:pPr>
        <w:pStyle w:val="27"/>
        <w:spacing w:line="400" w:lineRule="exact"/>
        <w:ind w:left="25" w:leftChars="12" w:firstLine="413" w:firstLineChars="196"/>
        <w:rPr>
          <w:rFonts w:hint="eastAsia" w:hAnsi="宋体"/>
          <w:b/>
          <w:color w:val="auto"/>
          <w:szCs w:val="21"/>
          <w:highlight w:val="none"/>
        </w:rPr>
      </w:pPr>
      <w:r>
        <w:rPr>
          <w:rFonts w:hint="eastAsia" w:hAnsi="宋体"/>
          <w:b/>
          <w:color w:val="auto"/>
          <w:szCs w:val="21"/>
          <w:highlight w:val="none"/>
        </w:rPr>
        <w:t>四、投诉事项具体内容</w:t>
      </w:r>
    </w:p>
    <w:p w14:paraId="15929BDA">
      <w:pPr>
        <w:pStyle w:val="27"/>
        <w:spacing w:line="400" w:lineRule="exact"/>
        <w:ind w:left="25" w:leftChars="12" w:firstLine="413" w:firstLineChars="197"/>
        <w:rPr>
          <w:rFonts w:hint="eastAsia" w:hAnsi="宋体"/>
          <w:bCs/>
          <w:color w:val="auto"/>
          <w:highlight w:val="none"/>
          <w:u w:val="single"/>
        </w:rPr>
      </w:pPr>
      <w:r>
        <w:rPr>
          <w:rFonts w:hint="eastAsia" w:hAnsi="宋体"/>
          <w:color w:val="auto"/>
          <w:szCs w:val="21"/>
          <w:highlight w:val="none"/>
        </w:rPr>
        <w:t>投诉事项1：</w:t>
      </w:r>
      <w:r>
        <w:rPr>
          <w:rFonts w:hint="eastAsia" w:hAnsi="宋体"/>
          <w:bCs/>
          <w:color w:val="auto"/>
          <w:highlight w:val="none"/>
          <w:u w:val="single"/>
        </w:rPr>
        <w:t xml:space="preserve">                                                                           </w:t>
      </w:r>
    </w:p>
    <w:p w14:paraId="12E38C3E">
      <w:pPr>
        <w:pStyle w:val="27"/>
        <w:spacing w:line="400" w:lineRule="exact"/>
        <w:ind w:firstLine="420" w:firstLineChars="200"/>
        <w:rPr>
          <w:rFonts w:hint="eastAsia" w:hAnsi="宋体"/>
          <w:bCs/>
          <w:color w:val="auto"/>
          <w:highlight w:val="none"/>
          <w:u w:val="single"/>
        </w:rPr>
      </w:pPr>
      <w:r>
        <w:rPr>
          <w:rFonts w:hint="eastAsia" w:hAnsi="宋体"/>
          <w:bCs/>
          <w:color w:val="auto"/>
          <w:highlight w:val="none"/>
        </w:rPr>
        <w:t>事实依据：</w:t>
      </w:r>
      <w:r>
        <w:rPr>
          <w:rFonts w:hint="eastAsia" w:hAnsi="宋体"/>
          <w:color w:val="auto"/>
          <w:szCs w:val="21"/>
          <w:highlight w:val="none"/>
        </w:rPr>
        <w:t xml:space="preserve"> </w:t>
      </w:r>
      <w:r>
        <w:rPr>
          <w:rFonts w:hint="eastAsia" w:hAnsi="宋体"/>
          <w:bCs/>
          <w:color w:val="auto"/>
          <w:highlight w:val="none"/>
          <w:u w:val="single"/>
        </w:rPr>
        <w:t xml:space="preserve">                                                                                      </w:t>
      </w:r>
    </w:p>
    <w:p w14:paraId="045FE1FF">
      <w:pPr>
        <w:pStyle w:val="27"/>
        <w:spacing w:line="400" w:lineRule="exact"/>
        <w:ind w:left="25" w:leftChars="12" w:firstLine="413" w:firstLineChars="197"/>
        <w:rPr>
          <w:rFonts w:hint="eastAsia" w:hAnsi="宋体"/>
          <w:color w:val="auto"/>
          <w:szCs w:val="21"/>
          <w:highlight w:val="none"/>
        </w:rPr>
      </w:pPr>
      <w:r>
        <w:rPr>
          <w:rFonts w:hint="eastAsia" w:hAnsi="宋体"/>
          <w:bCs/>
          <w:color w:val="auto"/>
          <w:highlight w:val="none"/>
          <w:u w:val="single"/>
        </w:rPr>
        <w:t xml:space="preserve">                                                                                        </w:t>
      </w:r>
    </w:p>
    <w:p w14:paraId="5063B75D">
      <w:pPr>
        <w:pStyle w:val="27"/>
        <w:spacing w:line="400" w:lineRule="exact"/>
        <w:ind w:firstLine="420" w:firstLineChars="200"/>
        <w:rPr>
          <w:rFonts w:hint="eastAsia" w:hAnsi="宋体"/>
          <w:bCs/>
          <w:color w:val="auto"/>
          <w:highlight w:val="none"/>
          <w:u w:val="single"/>
        </w:rPr>
      </w:pPr>
      <w:r>
        <w:rPr>
          <w:rFonts w:hint="eastAsia" w:hAnsi="宋体"/>
          <w:bCs/>
          <w:color w:val="auto"/>
          <w:highlight w:val="none"/>
        </w:rPr>
        <w:t>法律依据：</w:t>
      </w:r>
      <w:r>
        <w:rPr>
          <w:rFonts w:hint="eastAsia" w:hAnsi="宋体"/>
          <w:color w:val="auto"/>
          <w:szCs w:val="21"/>
          <w:highlight w:val="none"/>
        </w:rPr>
        <w:t xml:space="preserve"> </w:t>
      </w:r>
      <w:r>
        <w:rPr>
          <w:rFonts w:hint="eastAsia" w:hAnsi="宋体"/>
          <w:bCs/>
          <w:color w:val="auto"/>
          <w:highlight w:val="none"/>
          <w:u w:val="single"/>
        </w:rPr>
        <w:t xml:space="preserve">                                                                                      </w:t>
      </w:r>
    </w:p>
    <w:p w14:paraId="2F1F7199">
      <w:pPr>
        <w:pStyle w:val="27"/>
        <w:spacing w:line="400" w:lineRule="exact"/>
        <w:ind w:left="25" w:leftChars="12" w:firstLine="308" w:firstLineChars="147"/>
        <w:rPr>
          <w:rFonts w:hint="eastAsia" w:hAnsi="宋体"/>
          <w:bCs/>
          <w:color w:val="auto"/>
          <w:highlight w:val="none"/>
          <w:u w:val="single"/>
        </w:rPr>
      </w:pPr>
      <w:r>
        <w:rPr>
          <w:rFonts w:hint="eastAsia" w:hAnsi="宋体"/>
          <w:bCs/>
          <w:color w:val="auto"/>
          <w:highlight w:val="none"/>
        </w:rPr>
        <w:t xml:space="preserve"> </w:t>
      </w:r>
      <w:r>
        <w:rPr>
          <w:rFonts w:hint="eastAsia" w:hAnsi="宋体"/>
          <w:bCs/>
          <w:color w:val="auto"/>
          <w:highlight w:val="none"/>
          <w:u w:val="single"/>
        </w:rPr>
        <w:t xml:space="preserve">                                                                                        </w:t>
      </w:r>
    </w:p>
    <w:p w14:paraId="0F4657E8">
      <w:pPr>
        <w:pStyle w:val="27"/>
        <w:spacing w:line="400" w:lineRule="exact"/>
        <w:ind w:left="25" w:leftChars="12" w:firstLine="413" w:firstLineChars="197"/>
        <w:rPr>
          <w:rFonts w:hint="eastAsia" w:hAnsi="宋体"/>
          <w:bCs/>
          <w:color w:val="auto"/>
          <w:highlight w:val="none"/>
        </w:rPr>
      </w:pPr>
      <w:r>
        <w:rPr>
          <w:rFonts w:hint="eastAsia" w:hAnsi="宋体"/>
          <w:color w:val="auto"/>
          <w:szCs w:val="21"/>
          <w:highlight w:val="none"/>
        </w:rPr>
        <w:t xml:space="preserve">投诉事项2  </w:t>
      </w:r>
      <w:r>
        <w:rPr>
          <w:rFonts w:hint="eastAsia" w:hAnsi="宋体"/>
          <w:bCs/>
          <w:color w:val="auto"/>
          <w:highlight w:val="none"/>
        </w:rPr>
        <w:t xml:space="preserve">   </w:t>
      </w:r>
    </w:p>
    <w:p w14:paraId="73CC927E">
      <w:pPr>
        <w:pStyle w:val="27"/>
        <w:spacing w:line="400" w:lineRule="exact"/>
        <w:ind w:left="25" w:leftChars="12" w:firstLine="413" w:firstLineChars="197"/>
        <w:rPr>
          <w:rFonts w:hint="eastAsia" w:hAnsi="宋体"/>
          <w:bCs/>
          <w:color w:val="auto"/>
          <w:highlight w:val="none"/>
        </w:rPr>
      </w:pPr>
      <w:r>
        <w:rPr>
          <w:rFonts w:hAnsi="宋体"/>
          <w:bCs/>
          <w:color w:val="auto"/>
          <w:highlight w:val="none"/>
        </w:rPr>
        <w:t>……</w:t>
      </w:r>
    </w:p>
    <w:p w14:paraId="3C73A52E">
      <w:pPr>
        <w:pStyle w:val="27"/>
        <w:spacing w:line="400" w:lineRule="exact"/>
        <w:ind w:left="25" w:leftChars="12" w:firstLine="413" w:firstLineChars="196"/>
        <w:rPr>
          <w:rFonts w:hint="eastAsia" w:hAnsi="宋体"/>
          <w:b/>
          <w:color w:val="auto"/>
          <w:szCs w:val="21"/>
          <w:highlight w:val="none"/>
        </w:rPr>
      </w:pPr>
      <w:r>
        <w:rPr>
          <w:rFonts w:hint="eastAsia" w:hAnsi="宋体"/>
          <w:b/>
          <w:color w:val="auto"/>
          <w:szCs w:val="21"/>
          <w:highlight w:val="none"/>
        </w:rPr>
        <w:t>五、与投诉事项相关的投诉请求：</w:t>
      </w:r>
    </w:p>
    <w:p w14:paraId="0BA6D48F">
      <w:pPr>
        <w:pStyle w:val="27"/>
        <w:spacing w:line="400" w:lineRule="exact"/>
        <w:ind w:left="25" w:leftChars="12" w:firstLine="413" w:firstLineChars="197"/>
        <w:rPr>
          <w:rFonts w:hint="eastAsia" w:hAnsi="宋体"/>
          <w:color w:val="auto"/>
          <w:szCs w:val="21"/>
          <w:highlight w:val="none"/>
        </w:rPr>
      </w:pPr>
      <w:r>
        <w:rPr>
          <w:rFonts w:hint="eastAsia" w:hAnsi="宋体"/>
          <w:color w:val="auto"/>
          <w:szCs w:val="21"/>
          <w:highlight w:val="none"/>
        </w:rPr>
        <w:t>请求：</w:t>
      </w:r>
      <w:r>
        <w:rPr>
          <w:rFonts w:hint="eastAsia" w:hAnsi="宋体"/>
          <w:bCs/>
          <w:color w:val="auto"/>
          <w:highlight w:val="none"/>
          <w:u w:val="single"/>
        </w:rPr>
        <w:t xml:space="preserve">                                                                                 </w:t>
      </w:r>
    </w:p>
    <w:p w14:paraId="35D8CC83">
      <w:pPr>
        <w:pStyle w:val="27"/>
        <w:spacing w:line="400" w:lineRule="exact"/>
        <w:ind w:left="25" w:leftChars="12" w:firstLine="308" w:firstLineChars="147"/>
        <w:rPr>
          <w:rFonts w:hint="eastAsia" w:hAnsi="宋体"/>
          <w:color w:val="auto"/>
          <w:szCs w:val="21"/>
          <w:highlight w:val="none"/>
        </w:rPr>
      </w:pPr>
    </w:p>
    <w:p w14:paraId="3B1A73E9">
      <w:pPr>
        <w:pStyle w:val="27"/>
        <w:spacing w:line="400" w:lineRule="exact"/>
        <w:ind w:left="25" w:leftChars="12" w:firstLine="413" w:firstLineChars="197"/>
        <w:rPr>
          <w:rFonts w:hint="eastAsia" w:hAnsi="宋体"/>
          <w:color w:val="auto"/>
          <w:szCs w:val="21"/>
          <w:highlight w:val="none"/>
        </w:rPr>
      </w:pPr>
      <w:r>
        <w:rPr>
          <w:rFonts w:hint="eastAsia" w:hAnsi="宋体"/>
          <w:color w:val="auto"/>
          <w:szCs w:val="21"/>
          <w:highlight w:val="none"/>
        </w:rPr>
        <w:t>签字（签章）：                                       公章：</w:t>
      </w:r>
    </w:p>
    <w:p w14:paraId="63ED7910">
      <w:pPr>
        <w:pStyle w:val="27"/>
        <w:spacing w:line="400" w:lineRule="exact"/>
        <w:ind w:left="25" w:leftChars="12" w:firstLine="308" w:firstLineChars="147"/>
        <w:rPr>
          <w:rFonts w:hint="eastAsia" w:hAnsi="宋体"/>
          <w:color w:val="auto"/>
          <w:szCs w:val="21"/>
          <w:highlight w:val="none"/>
        </w:rPr>
      </w:pPr>
    </w:p>
    <w:p w14:paraId="0BC4E0F1">
      <w:pPr>
        <w:pStyle w:val="27"/>
        <w:spacing w:line="400" w:lineRule="exact"/>
        <w:ind w:left="25" w:leftChars="12" w:firstLine="413" w:firstLineChars="197"/>
        <w:rPr>
          <w:rFonts w:hint="eastAsia" w:hAnsi="宋体"/>
          <w:color w:val="auto"/>
          <w:szCs w:val="21"/>
          <w:highlight w:val="none"/>
        </w:rPr>
      </w:pPr>
      <w:r>
        <w:rPr>
          <w:rFonts w:hint="eastAsia" w:hAnsi="宋体"/>
          <w:color w:val="auto"/>
          <w:szCs w:val="21"/>
          <w:highlight w:val="none"/>
        </w:rPr>
        <w:t>日期：</w:t>
      </w:r>
    </w:p>
    <w:p w14:paraId="1813D589">
      <w:pPr>
        <w:pStyle w:val="27"/>
        <w:spacing w:line="360" w:lineRule="exact"/>
        <w:ind w:left="25" w:leftChars="12" w:firstLine="413" w:firstLineChars="197"/>
        <w:rPr>
          <w:rFonts w:hint="eastAsia" w:hAnsi="宋体"/>
          <w:color w:val="auto"/>
          <w:szCs w:val="21"/>
          <w:highlight w:val="none"/>
        </w:rPr>
      </w:pPr>
      <w:r>
        <w:rPr>
          <w:rFonts w:hint="eastAsia" w:hAnsi="宋体"/>
          <w:bCs/>
          <w:color w:val="auto"/>
          <w:highlight w:val="none"/>
        </w:rPr>
        <w:t xml:space="preserve">                                                                                 </w:t>
      </w:r>
    </w:p>
    <w:p w14:paraId="55B1FE3F">
      <w:pPr>
        <w:pStyle w:val="27"/>
        <w:snapToGrid w:val="0"/>
        <w:spacing w:line="340" w:lineRule="exact"/>
        <w:rPr>
          <w:rFonts w:hint="eastAsia" w:hAnsi="宋体"/>
          <w:b/>
          <w:color w:val="auto"/>
          <w:szCs w:val="21"/>
          <w:highlight w:val="none"/>
        </w:rPr>
      </w:pPr>
    </w:p>
    <w:p w14:paraId="5799CAC0">
      <w:pPr>
        <w:pStyle w:val="27"/>
        <w:snapToGrid w:val="0"/>
        <w:spacing w:line="340" w:lineRule="exact"/>
        <w:rPr>
          <w:rFonts w:hint="eastAsia" w:hAnsi="宋体"/>
          <w:b/>
          <w:color w:val="auto"/>
          <w:szCs w:val="21"/>
          <w:highlight w:val="none"/>
        </w:rPr>
      </w:pPr>
      <w:r>
        <w:rPr>
          <w:rFonts w:hint="eastAsia" w:hAnsi="宋体"/>
          <w:b/>
          <w:color w:val="auto"/>
          <w:szCs w:val="21"/>
          <w:highlight w:val="none"/>
        </w:rPr>
        <w:t>说明：</w:t>
      </w:r>
    </w:p>
    <w:p w14:paraId="5897DCE4">
      <w:pPr>
        <w:pStyle w:val="27"/>
        <w:spacing w:line="340" w:lineRule="exact"/>
        <w:ind w:left="25" w:leftChars="12" w:firstLine="310" w:firstLineChars="147"/>
        <w:rPr>
          <w:rFonts w:hint="eastAsia" w:hAnsi="宋体"/>
          <w:b/>
          <w:bCs/>
          <w:color w:val="auto"/>
          <w:highlight w:val="none"/>
        </w:rPr>
      </w:pPr>
      <w:r>
        <w:rPr>
          <w:rFonts w:hint="eastAsia" w:hAnsi="宋体"/>
          <w:b/>
          <w:color w:val="auto"/>
          <w:szCs w:val="21"/>
          <w:highlight w:val="none"/>
        </w:rPr>
        <w:t>1.投诉人提起投诉时，应当提交投诉书和必要的证明材料，并按照被投诉人和与投诉事项有关的供应商数量提供投诉书副本</w:t>
      </w:r>
      <w:r>
        <w:rPr>
          <w:rFonts w:hint="eastAsia" w:hAnsi="宋体"/>
          <w:b/>
          <w:bCs/>
          <w:color w:val="auto"/>
          <w:highlight w:val="none"/>
        </w:rPr>
        <w:t>。</w:t>
      </w:r>
    </w:p>
    <w:p w14:paraId="7D5D694F">
      <w:pPr>
        <w:pStyle w:val="27"/>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79E1AF91">
      <w:pPr>
        <w:pStyle w:val="27"/>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3.投诉书应简要列明质疑事项，质疑函、质疑答复等作为附件材料提供。</w:t>
      </w:r>
    </w:p>
    <w:p w14:paraId="549AE3E5">
      <w:pPr>
        <w:pStyle w:val="27"/>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4.投诉书的投诉事项应具体、明确，并有必要的事实依据和法律依据。</w:t>
      </w:r>
    </w:p>
    <w:p w14:paraId="6C2C4FA2">
      <w:pPr>
        <w:pStyle w:val="27"/>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5.投诉书的投诉请求应与投诉事项相关。</w:t>
      </w:r>
    </w:p>
    <w:p w14:paraId="7CED95F6">
      <w:pPr>
        <w:pStyle w:val="27"/>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6.投诉人为自然人的，投诉书应由本人签字；投诉人为法人或者其他组织的，投诉书应由法定代表人、主要负责人，或者其授权代表签字或者盖章，并加盖公章。</w:t>
      </w:r>
    </w:p>
    <w:p w14:paraId="5B12494D">
      <w:pPr>
        <w:pStyle w:val="27"/>
        <w:spacing w:line="340" w:lineRule="exact"/>
        <w:ind w:left="25" w:leftChars="12" w:firstLine="310" w:firstLineChars="147"/>
        <w:rPr>
          <w:rFonts w:hint="eastAsia" w:hAnsi="宋体"/>
          <w:b/>
          <w:color w:val="auto"/>
          <w:szCs w:val="21"/>
          <w:highlight w:val="none"/>
        </w:rPr>
      </w:pPr>
    </w:p>
    <w:p w14:paraId="7373571A">
      <w:pPr>
        <w:spacing w:line="380" w:lineRule="exact"/>
        <w:jc w:val="center"/>
        <w:rPr>
          <w:rFonts w:hint="eastAsia" w:ascii="宋体" w:hAnsi="宋体"/>
          <w:b/>
          <w:color w:val="auto"/>
          <w:sz w:val="32"/>
          <w:szCs w:val="32"/>
          <w:highlight w:val="none"/>
        </w:rPr>
      </w:pPr>
    </w:p>
    <w:p w14:paraId="2CB5F5D7">
      <w:pPr>
        <w:spacing w:line="380" w:lineRule="exact"/>
        <w:jc w:val="center"/>
        <w:rPr>
          <w:rFonts w:hint="eastAsia" w:ascii="宋体" w:hAnsi="宋体"/>
          <w:b/>
          <w:color w:val="auto"/>
          <w:sz w:val="32"/>
          <w:szCs w:val="32"/>
          <w:highlight w:val="none"/>
        </w:rPr>
      </w:pPr>
    </w:p>
    <w:p w14:paraId="563F1866">
      <w:pPr>
        <w:spacing w:line="380" w:lineRule="exact"/>
        <w:jc w:val="center"/>
        <w:rPr>
          <w:rFonts w:hint="eastAsia" w:ascii="宋体" w:hAnsi="宋体"/>
          <w:b/>
          <w:color w:val="auto"/>
          <w:sz w:val="32"/>
          <w:szCs w:val="32"/>
          <w:highlight w:val="none"/>
        </w:rPr>
      </w:pPr>
    </w:p>
    <w:p w14:paraId="4128AA8B">
      <w:pPr>
        <w:spacing w:line="380" w:lineRule="exact"/>
        <w:jc w:val="center"/>
        <w:rPr>
          <w:rFonts w:hint="eastAsia" w:ascii="宋体" w:hAnsi="宋体"/>
          <w:b/>
          <w:color w:val="auto"/>
          <w:sz w:val="32"/>
          <w:szCs w:val="32"/>
          <w:highlight w:val="none"/>
        </w:rPr>
      </w:pPr>
    </w:p>
    <w:p w14:paraId="186DBA9D">
      <w:pPr>
        <w:spacing w:line="380" w:lineRule="exact"/>
        <w:jc w:val="center"/>
        <w:rPr>
          <w:rFonts w:hint="eastAsia" w:ascii="宋体" w:hAnsi="宋体"/>
          <w:b/>
          <w:color w:val="auto"/>
          <w:sz w:val="32"/>
          <w:szCs w:val="32"/>
          <w:highlight w:val="none"/>
        </w:rPr>
      </w:pPr>
    </w:p>
    <w:p w14:paraId="4EDE252F">
      <w:pPr>
        <w:spacing w:line="380" w:lineRule="exact"/>
        <w:jc w:val="center"/>
        <w:rPr>
          <w:rFonts w:hint="eastAsia" w:ascii="宋体" w:hAnsi="宋体"/>
          <w:b/>
          <w:color w:val="auto"/>
          <w:sz w:val="32"/>
          <w:szCs w:val="32"/>
          <w:highlight w:val="none"/>
        </w:rPr>
      </w:pPr>
    </w:p>
    <w:p w14:paraId="24FABFEA">
      <w:pPr>
        <w:spacing w:line="380" w:lineRule="exact"/>
        <w:jc w:val="center"/>
        <w:rPr>
          <w:rFonts w:hint="eastAsia" w:ascii="宋体" w:hAnsi="宋体"/>
          <w:b/>
          <w:color w:val="auto"/>
          <w:sz w:val="32"/>
          <w:szCs w:val="32"/>
          <w:highlight w:val="none"/>
        </w:rPr>
      </w:pPr>
    </w:p>
    <w:p w14:paraId="412D58EF">
      <w:pPr>
        <w:spacing w:line="380" w:lineRule="exact"/>
        <w:jc w:val="center"/>
        <w:rPr>
          <w:rFonts w:hint="eastAsia" w:ascii="宋体" w:hAnsi="宋体"/>
          <w:b/>
          <w:color w:val="auto"/>
          <w:sz w:val="32"/>
          <w:szCs w:val="32"/>
          <w:highlight w:val="none"/>
        </w:rPr>
      </w:pPr>
    </w:p>
    <w:p w14:paraId="5F2BB849">
      <w:pPr>
        <w:spacing w:line="380" w:lineRule="exact"/>
        <w:jc w:val="center"/>
        <w:rPr>
          <w:rFonts w:hint="eastAsia" w:ascii="宋体" w:hAnsi="宋体"/>
          <w:b/>
          <w:color w:val="auto"/>
          <w:sz w:val="32"/>
          <w:szCs w:val="32"/>
          <w:highlight w:val="none"/>
        </w:rPr>
      </w:pPr>
    </w:p>
    <w:p w14:paraId="7311E6D1">
      <w:pPr>
        <w:spacing w:line="380" w:lineRule="exact"/>
        <w:jc w:val="center"/>
        <w:rPr>
          <w:rFonts w:hint="eastAsia" w:ascii="宋体" w:hAnsi="宋体"/>
          <w:b/>
          <w:color w:val="auto"/>
          <w:sz w:val="32"/>
          <w:szCs w:val="32"/>
          <w:highlight w:val="none"/>
        </w:rPr>
      </w:pPr>
    </w:p>
    <w:p w14:paraId="40D8B7E9">
      <w:pPr>
        <w:spacing w:line="380" w:lineRule="exact"/>
        <w:jc w:val="center"/>
        <w:rPr>
          <w:rFonts w:hint="eastAsia" w:ascii="宋体" w:hAnsi="宋体"/>
          <w:b/>
          <w:color w:val="auto"/>
          <w:sz w:val="32"/>
          <w:szCs w:val="32"/>
          <w:highlight w:val="none"/>
        </w:rPr>
      </w:pPr>
    </w:p>
    <w:p w14:paraId="3CB05B38">
      <w:pPr>
        <w:spacing w:line="380" w:lineRule="exact"/>
        <w:jc w:val="center"/>
        <w:rPr>
          <w:rFonts w:hint="eastAsia" w:ascii="宋体" w:hAnsi="宋体"/>
          <w:b/>
          <w:color w:val="auto"/>
          <w:sz w:val="32"/>
          <w:szCs w:val="32"/>
          <w:highlight w:val="none"/>
        </w:rPr>
      </w:pPr>
    </w:p>
    <w:p w14:paraId="7A54A7F9">
      <w:pPr>
        <w:spacing w:line="380" w:lineRule="exact"/>
        <w:jc w:val="center"/>
        <w:rPr>
          <w:rFonts w:hint="eastAsia" w:ascii="宋体" w:hAnsi="宋体"/>
          <w:b/>
          <w:color w:val="auto"/>
          <w:sz w:val="32"/>
          <w:szCs w:val="32"/>
          <w:highlight w:val="none"/>
        </w:rPr>
      </w:pPr>
    </w:p>
    <w:p w14:paraId="15180BAC">
      <w:pPr>
        <w:spacing w:line="380" w:lineRule="exact"/>
        <w:jc w:val="left"/>
        <w:rPr>
          <w:rFonts w:hAnsi="宋体" w:cs="宋体"/>
          <w:b/>
          <w:color w:val="auto"/>
          <w:sz w:val="24"/>
          <w:szCs w:val="24"/>
          <w:highlight w:val="none"/>
        </w:rPr>
      </w:pPr>
      <w:r>
        <w:rPr>
          <w:rFonts w:ascii="宋体" w:hAnsi="宋体"/>
          <w:b/>
          <w:color w:val="auto"/>
          <w:sz w:val="32"/>
          <w:szCs w:val="32"/>
          <w:highlight w:val="none"/>
        </w:rPr>
        <w:br w:type="page"/>
      </w:r>
      <w:r>
        <w:rPr>
          <w:rFonts w:hint="eastAsia" w:hAnsi="宋体" w:cs="宋体"/>
          <w:b/>
          <w:color w:val="auto"/>
          <w:sz w:val="24"/>
          <w:szCs w:val="24"/>
          <w:highlight w:val="none"/>
        </w:rPr>
        <w:t>附表3：</w:t>
      </w:r>
    </w:p>
    <w:p w14:paraId="1EF87892">
      <w:pPr>
        <w:spacing w:line="460" w:lineRule="exact"/>
        <w:jc w:val="center"/>
        <w:rPr>
          <w:rFonts w:hint="eastAsia" w:ascii="宋体" w:hAnsi="宋体" w:cs="宋体"/>
          <w:color w:val="auto"/>
          <w:sz w:val="44"/>
          <w:highlight w:val="none"/>
        </w:rPr>
      </w:pPr>
    </w:p>
    <w:p w14:paraId="442F39CF">
      <w:pPr>
        <w:spacing w:line="460" w:lineRule="exact"/>
        <w:jc w:val="center"/>
        <w:rPr>
          <w:rFonts w:hint="eastAsia" w:ascii="宋体" w:hAnsi="宋体" w:cs="宋体"/>
          <w:color w:val="auto"/>
          <w:sz w:val="44"/>
          <w:highlight w:val="none"/>
        </w:rPr>
      </w:pPr>
      <w:r>
        <w:rPr>
          <w:rFonts w:hint="eastAsia" w:ascii="宋体" w:hAnsi="宋体" w:cs="宋体"/>
          <w:color w:val="auto"/>
          <w:sz w:val="44"/>
          <w:highlight w:val="none"/>
        </w:rPr>
        <w:t>桂林市政府采购项目合同验收书（格式）</w:t>
      </w:r>
    </w:p>
    <w:p w14:paraId="4B4F5847">
      <w:pPr>
        <w:widowControl/>
        <w:spacing w:line="600" w:lineRule="atLeast"/>
        <w:jc w:val="center"/>
        <w:rPr>
          <w:rFonts w:hint="eastAsia" w:ascii="Arial Unicode MS" w:hAnsi="仿宋" w:eastAsia="Arial Unicode MS"/>
          <w:color w:val="auto"/>
          <w:kern w:val="0"/>
          <w:sz w:val="36"/>
          <w:szCs w:val="36"/>
          <w:highlight w:val="none"/>
        </w:rPr>
      </w:pPr>
    </w:p>
    <w:p w14:paraId="22AC739E">
      <w:pPr>
        <w:widowControl/>
        <w:spacing w:line="460" w:lineRule="exact"/>
        <w:ind w:firstLine="482"/>
        <w:jc w:val="left"/>
        <w:rPr>
          <w:rFonts w:ascii="宋体" w:hAnsi="宋体"/>
          <w:color w:val="auto"/>
          <w:kern w:val="0"/>
          <w:sz w:val="30"/>
          <w:szCs w:val="30"/>
          <w:highlight w:val="none"/>
        </w:rPr>
      </w:pPr>
      <w:r>
        <w:rPr>
          <w:rFonts w:hint="eastAsia" w:ascii="宋体" w:hAnsi="宋体" w:cs="仿宋"/>
          <w:color w:val="auto"/>
          <w:kern w:val="0"/>
          <w:sz w:val="24"/>
          <w:highlight w:val="none"/>
        </w:rPr>
        <w:t>根据政府采购项目（</w:t>
      </w:r>
      <w:r>
        <w:rPr>
          <w:rFonts w:hint="eastAsia" w:ascii="宋体" w:hAnsi="宋体" w:cs="仿宋"/>
          <w:color w:val="auto"/>
          <w:kern w:val="0"/>
          <w:sz w:val="24"/>
          <w:highlight w:val="none"/>
          <w:u w:val="single"/>
        </w:rPr>
        <w:t>采购合同编号：</w:t>
      </w:r>
      <w:r>
        <w:rPr>
          <w:rFonts w:hint="eastAsia" w:ascii="宋体" w:hAnsi="宋体"/>
          <w:color w:val="auto"/>
          <w:kern w:val="0"/>
          <w:sz w:val="24"/>
          <w:highlight w:val="none"/>
          <w:u w:val="single"/>
        </w:rPr>
        <w:softHyphen/>
      </w:r>
      <w:r>
        <w:rPr>
          <w:rFonts w:hint="eastAsia" w:ascii="宋体" w:hAnsi="宋体"/>
          <w:color w:val="auto"/>
          <w:kern w:val="0"/>
          <w:sz w:val="24"/>
          <w:highlight w:val="none"/>
          <w:u w:val="single"/>
        </w:rPr>
        <w:t>   </w:t>
      </w:r>
      <w:r>
        <w:rPr>
          <w:rFonts w:hint="eastAsia" w:ascii="宋体" w:hAnsi="宋体" w:cs="仿宋"/>
          <w:color w:val="auto"/>
          <w:kern w:val="0"/>
          <w:sz w:val="24"/>
          <w:highlight w:val="none"/>
        </w:rPr>
        <w:t>）的约定，我单位对（</w:t>
      </w:r>
      <w:r>
        <w:rPr>
          <w:rFonts w:hint="eastAsia" w:ascii="宋体" w:hAnsi="宋体"/>
          <w:color w:val="auto"/>
          <w:kern w:val="0"/>
          <w:sz w:val="24"/>
          <w:highlight w:val="none"/>
          <w:u w:val="single"/>
        </w:rPr>
        <w:t> </w:t>
      </w:r>
      <w:r>
        <w:rPr>
          <w:rFonts w:hint="eastAsia" w:ascii="宋体" w:hAnsi="宋体" w:cs="仿宋"/>
          <w:color w:val="auto"/>
          <w:kern w:val="0"/>
          <w:sz w:val="24"/>
          <w:highlight w:val="none"/>
          <w:u w:val="single"/>
        </w:rPr>
        <w:t>项目名称</w:t>
      </w:r>
      <w:r>
        <w:rPr>
          <w:rFonts w:hint="eastAsia" w:ascii="宋体" w:hAnsi="宋体"/>
          <w:color w:val="auto"/>
          <w:kern w:val="0"/>
          <w:sz w:val="24"/>
          <w:highlight w:val="none"/>
          <w:u w:val="single"/>
        </w:rPr>
        <w:t>   </w:t>
      </w:r>
      <w:r>
        <w:rPr>
          <w:rFonts w:hint="eastAsia" w:ascii="宋体" w:hAnsi="宋体" w:cs="仿宋"/>
          <w:color w:val="auto"/>
          <w:kern w:val="0"/>
          <w:sz w:val="24"/>
          <w:highlight w:val="none"/>
        </w:rPr>
        <w:t>）政府采购项目中标（或成交）供应商（</w:t>
      </w:r>
      <w:r>
        <w:rPr>
          <w:rFonts w:hint="eastAsia" w:ascii="宋体" w:hAnsi="宋体"/>
          <w:color w:val="auto"/>
          <w:kern w:val="0"/>
          <w:sz w:val="24"/>
          <w:highlight w:val="none"/>
          <w:u w:val="single"/>
        </w:rPr>
        <w:t>      </w:t>
      </w:r>
      <w:r>
        <w:rPr>
          <w:rFonts w:hint="eastAsia" w:ascii="宋体" w:hAnsi="宋体" w:cs="仿宋"/>
          <w:color w:val="auto"/>
          <w:kern w:val="0"/>
          <w:sz w:val="24"/>
          <w:highlight w:val="none"/>
          <w:u w:val="single"/>
        </w:rPr>
        <w:t>公司名称</w:t>
      </w:r>
      <w:r>
        <w:rPr>
          <w:rFonts w:hint="eastAsia" w:ascii="宋体" w:hAnsi="宋体"/>
          <w:color w:val="auto"/>
          <w:kern w:val="0"/>
          <w:sz w:val="24"/>
          <w:highlight w:val="none"/>
          <w:u w:val="single"/>
        </w:rPr>
        <w:t>         </w:t>
      </w:r>
      <w:r>
        <w:rPr>
          <w:rFonts w:hint="eastAsia" w:ascii="宋体" w:hAnsi="宋体" w:cs="仿宋"/>
          <w:color w:val="auto"/>
          <w:kern w:val="0"/>
          <w:sz w:val="24"/>
          <w:highlight w:val="none"/>
        </w:rPr>
        <w:t>）</w:t>
      </w:r>
      <w:r>
        <w:rPr>
          <w:rFonts w:hint="eastAsia" w:ascii="宋体" w:hAnsi="宋体"/>
          <w:color w:val="auto"/>
          <w:kern w:val="0"/>
          <w:sz w:val="24"/>
          <w:highlight w:val="none"/>
        </w:rPr>
        <w:t> </w:t>
      </w:r>
      <w:r>
        <w:rPr>
          <w:rFonts w:hint="eastAsia" w:ascii="宋体" w:hAnsi="宋体" w:cs="仿宋"/>
          <w:color w:val="auto"/>
          <w:kern w:val="0"/>
          <w:sz w:val="24"/>
          <w:highlight w:val="none"/>
        </w:rPr>
        <w:t>提供的货物（或工程、服务）进行了验收，验收情况如下：</w:t>
      </w:r>
    </w:p>
    <w:tbl>
      <w:tblPr>
        <w:tblStyle w:val="51"/>
        <w:tblW w:w="9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27"/>
        <w:gridCol w:w="2294"/>
        <w:gridCol w:w="946"/>
        <w:gridCol w:w="2495"/>
        <w:gridCol w:w="205"/>
        <w:gridCol w:w="793"/>
        <w:gridCol w:w="1367"/>
      </w:tblGrid>
      <w:tr w14:paraId="50BED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tcBorders>
              <w:top w:val="single" w:color="auto" w:sz="4" w:space="0"/>
              <w:left w:val="single" w:color="auto" w:sz="4" w:space="0"/>
              <w:bottom w:val="single" w:color="auto" w:sz="4" w:space="0"/>
              <w:right w:val="single" w:color="auto" w:sz="4" w:space="0"/>
            </w:tcBorders>
            <w:noWrap w:val="0"/>
            <w:vAlign w:val="center"/>
          </w:tcPr>
          <w:p w14:paraId="22D88970">
            <w:pPr>
              <w:widowControl/>
              <w:spacing w:line="320" w:lineRule="atLeast"/>
              <w:ind w:firstLine="5"/>
              <w:jc w:val="center"/>
              <w:rPr>
                <w:rFonts w:ascii="宋体"/>
                <w:color w:val="auto"/>
                <w:kern w:val="0"/>
                <w:szCs w:val="21"/>
                <w:highlight w:val="none"/>
              </w:rPr>
            </w:pPr>
            <w:r>
              <w:rPr>
                <w:rFonts w:hint="eastAsia" w:ascii="宋体" w:hAnsi="宋体" w:cs="宋体"/>
                <w:color w:val="auto"/>
                <w:kern w:val="0"/>
                <w:highlight w:val="none"/>
              </w:rPr>
              <w:t>验收方式：</w:t>
            </w:r>
          </w:p>
        </w:tc>
        <w:tc>
          <w:tcPr>
            <w:tcW w:w="5806" w:type="dxa"/>
            <w:gridSpan w:val="5"/>
            <w:tcBorders>
              <w:top w:val="single" w:color="auto" w:sz="4" w:space="0"/>
              <w:left w:val="single" w:color="auto" w:sz="4" w:space="0"/>
              <w:bottom w:val="single" w:color="auto" w:sz="4" w:space="0"/>
              <w:right w:val="single" w:color="auto" w:sz="4" w:space="0"/>
            </w:tcBorders>
            <w:noWrap w:val="0"/>
            <w:vAlign w:val="center"/>
          </w:tcPr>
          <w:p w14:paraId="320D164D">
            <w:pPr>
              <w:widowControl/>
              <w:spacing w:line="320" w:lineRule="atLeast"/>
              <w:ind w:firstLine="480"/>
              <w:jc w:val="center"/>
              <w:rPr>
                <w:rFonts w:ascii="宋体"/>
                <w:color w:val="auto"/>
                <w:kern w:val="0"/>
                <w:szCs w:val="21"/>
                <w:highlight w:val="none"/>
              </w:rPr>
            </w:pPr>
            <w:r>
              <w:rPr>
                <w:rFonts w:hint="eastAsia" w:ascii="宋体" w:cs="宋体"/>
                <w:color w:val="auto"/>
                <w:kern w:val="0"/>
                <w:highlight w:val="none"/>
              </w:rPr>
              <w:t>□</w:t>
            </w:r>
            <w:r>
              <w:rPr>
                <w:rFonts w:hint="eastAsia" w:ascii="宋体" w:hAnsi="宋体" w:cs="宋体"/>
                <w:color w:val="auto"/>
                <w:kern w:val="0"/>
                <w:highlight w:val="none"/>
              </w:rPr>
              <w:t>自行验收</w:t>
            </w:r>
            <w:r>
              <w:rPr>
                <w:rFonts w:ascii="宋体"/>
                <w:color w:val="auto"/>
                <w:kern w:val="0"/>
                <w:highlight w:val="none"/>
              </w:rPr>
              <w:t>        </w:t>
            </w:r>
            <w:r>
              <w:rPr>
                <w:rFonts w:hint="eastAsia" w:ascii="宋体" w:cs="宋体"/>
                <w:color w:val="auto"/>
                <w:kern w:val="0"/>
                <w:highlight w:val="none"/>
              </w:rPr>
              <w:t>□</w:t>
            </w:r>
            <w:r>
              <w:rPr>
                <w:rFonts w:hint="eastAsia" w:ascii="宋体" w:hAnsi="宋体" w:cs="宋体"/>
                <w:color w:val="auto"/>
                <w:kern w:val="0"/>
                <w:highlight w:val="none"/>
              </w:rPr>
              <w:t>委托验收</w:t>
            </w:r>
          </w:p>
        </w:tc>
      </w:tr>
      <w:tr w14:paraId="55C1F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7ABC3CFC">
            <w:pPr>
              <w:widowControl/>
              <w:spacing w:line="320" w:lineRule="atLeast"/>
              <w:ind w:firstLine="2"/>
              <w:jc w:val="center"/>
              <w:rPr>
                <w:rFonts w:ascii="宋体"/>
                <w:color w:val="auto"/>
                <w:kern w:val="0"/>
                <w:szCs w:val="21"/>
                <w:highlight w:val="none"/>
              </w:rPr>
            </w:pPr>
            <w:r>
              <w:rPr>
                <w:rFonts w:hint="eastAsia" w:ascii="宋体" w:hAnsi="宋体" w:cs="宋体"/>
                <w:color w:val="auto"/>
                <w:kern w:val="0"/>
                <w:highlight w:val="none"/>
              </w:rPr>
              <w:t>序号</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408FF2D7">
            <w:pPr>
              <w:widowControl/>
              <w:spacing w:line="320" w:lineRule="atLeast"/>
              <w:ind w:firstLine="2"/>
              <w:jc w:val="center"/>
              <w:rPr>
                <w:rFonts w:ascii="宋体"/>
                <w:color w:val="auto"/>
                <w:kern w:val="0"/>
                <w:szCs w:val="21"/>
                <w:highlight w:val="none"/>
              </w:rPr>
            </w:pPr>
            <w:r>
              <w:rPr>
                <w:rFonts w:hint="eastAsia" w:ascii="宋体" w:hAnsi="宋体" w:cs="宋体"/>
                <w:color w:val="auto"/>
                <w:kern w:val="0"/>
                <w:highlight w:val="none"/>
              </w:rPr>
              <w:t>名</w:t>
            </w:r>
            <w:r>
              <w:rPr>
                <w:rFonts w:ascii="宋体"/>
                <w:color w:val="auto"/>
                <w:kern w:val="0"/>
                <w:highlight w:val="none"/>
              </w:rPr>
              <w:t> </w:t>
            </w:r>
            <w:r>
              <w:rPr>
                <w:rFonts w:hint="eastAsia" w:ascii="宋体" w:hAnsi="宋体" w:cs="宋体"/>
                <w:color w:val="auto"/>
                <w:kern w:val="0"/>
                <w:highlight w:val="none"/>
              </w:rPr>
              <w:t>称</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02A23A63">
            <w:pPr>
              <w:widowControl/>
              <w:spacing w:line="320" w:lineRule="atLeast"/>
              <w:ind w:firstLine="2"/>
              <w:jc w:val="center"/>
              <w:rPr>
                <w:rFonts w:ascii="宋体" w:hAnsi="宋体" w:cs="宋体"/>
                <w:color w:val="auto"/>
                <w:kern w:val="0"/>
                <w:szCs w:val="21"/>
                <w:highlight w:val="none"/>
              </w:rPr>
            </w:pPr>
            <w:r>
              <w:rPr>
                <w:rFonts w:hint="eastAsia" w:ascii="宋体" w:hAnsi="宋体" w:cs="宋体"/>
                <w:color w:val="auto"/>
                <w:kern w:val="0"/>
                <w:highlight w:val="none"/>
              </w:rPr>
              <w:t>货物型号规格、标准及配置等</w:t>
            </w:r>
          </w:p>
          <w:p w14:paraId="5C708544">
            <w:pPr>
              <w:widowControl/>
              <w:spacing w:line="320" w:lineRule="atLeast"/>
              <w:ind w:firstLine="2"/>
              <w:jc w:val="center"/>
              <w:rPr>
                <w:rFonts w:ascii="宋体"/>
                <w:color w:val="auto"/>
                <w:kern w:val="0"/>
                <w:szCs w:val="21"/>
                <w:highlight w:val="none"/>
              </w:rPr>
            </w:pPr>
            <w:r>
              <w:rPr>
                <w:rFonts w:hint="eastAsia" w:ascii="宋体" w:hAnsi="宋体" w:cs="宋体"/>
                <w:color w:val="auto"/>
                <w:kern w:val="0"/>
                <w:highlight w:val="none"/>
              </w:rPr>
              <w:t>（或服务内容、标准）</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131B869C">
            <w:pPr>
              <w:widowControl/>
              <w:spacing w:line="320" w:lineRule="atLeast"/>
              <w:jc w:val="center"/>
              <w:rPr>
                <w:rFonts w:ascii="宋体"/>
                <w:color w:val="auto"/>
                <w:kern w:val="0"/>
                <w:szCs w:val="21"/>
                <w:highlight w:val="none"/>
              </w:rPr>
            </w:pPr>
            <w:r>
              <w:rPr>
                <w:rFonts w:hint="eastAsia" w:ascii="宋体" w:hAnsi="宋体" w:cs="宋体"/>
                <w:color w:val="auto"/>
                <w:kern w:val="0"/>
                <w:highlight w:val="none"/>
              </w:rPr>
              <w:t>数量</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2B3AEA85">
            <w:pPr>
              <w:widowControl/>
              <w:spacing w:line="320" w:lineRule="atLeast"/>
              <w:ind w:firstLine="2"/>
              <w:jc w:val="center"/>
              <w:rPr>
                <w:rFonts w:ascii="宋体"/>
                <w:color w:val="auto"/>
                <w:kern w:val="0"/>
                <w:szCs w:val="21"/>
                <w:highlight w:val="none"/>
              </w:rPr>
            </w:pPr>
            <w:r>
              <w:rPr>
                <w:rFonts w:hint="eastAsia" w:ascii="宋体" w:hAnsi="宋体" w:cs="宋体"/>
                <w:color w:val="auto"/>
                <w:kern w:val="0"/>
                <w:highlight w:val="none"/>
              </w:rPr>
              <w:t>金</w:t>
            </w:r>
            <w:r>
              <w:rPr>
                <w:rFonts w:ascii="宋体"/>
                <w:color w:val="auto"/>
                <w:kern w:val="0"/>
                <w:highlight w:val="none"/>
              </w:rPr>
              <w:t> </w:t>
            </w:r>
            <w:r>
              <w:rPr>
                <w:rFonts w:hint="eastAsia" w:ascii="宋体" w:hAnsi="宋体" w:cs="宋体"/>
                <w:color w:val="auto"/>
                <w:kern w:val="0"/>
                <w:highlight w:val="none"/>
              </w:rPr>
              <w:t>额</w:t>
            </w:r>
          </w:p>
        </w:tc>
      </w:tr>
      <w:tr w14:paraId="67CB6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6266A38E">
            <w:pPr>
              <w:widowControl/>
              <w:spacing w:line="320" w:lineRule="atLeast"/>
              <w:ind w:firstLine="5"/>
              <w:jc w:val="left"/>
              <w:rPr>
                <w:rFonts w:ascii="宋体"/>
                <w:color w:val="auto"/>
                <w:kern w:val="0"/>
                <w:szCs w:val="21"/>
                <w:highlight w:val="none"/>
              </w:rPr>
            </w:pPr>
            <w:r>
              <w:rPr>
                <w:rFonts w:ascii="宋体"/>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5249E390">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42DE8B6A">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74A0C290">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35099A8B">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012A2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55DC9C28">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24149715">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08FB837C">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078215DF">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039D834B">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6485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117515CA">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614CBE9E">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0B4C3D59">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2A674932">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62E9C7A9">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1F773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tcBorders>
              <w:top w:val="single" w:color="auto" w:sz="4" w:space="0"/>
              <w:left w:val="single" w:color="auto" w:sz="4" w:space="0"/>
              <w:bottom w:val="single" w:color="auto" w:sz="4" w:space="0"/>
              <w:right w:val="single" w:color="auto" w:sz="4" w:space="0"/>
            </w:tcBorders>
            <w:noWrap w:val="0"/>
            <w:vAlign w:val="center"/>
          </w:tcPr>
          <w:p w14:paraId="7B8C95F8">
            <w:pPr>
              <w:widowControl/>
              <w:spacing w:line="320" w:lineRule="atLeast"/>
              <w:ind w:firstLine="5"/>
              <w:jc w:val="center"/>
              <w:rPr>
                <w:rFonts w:ascii="宋体"/>
                <w:color w:val="auto"/>
                <w:kern w:val="0"/>
                <w:szCs w:val="21"/>
                <w:highlight w:val="none"/>
              </w:rPr>
            </w:pPr>
            <w:r>
              <w:rPr>
                <w:rFonts w:hint="eastAsia" w:ascii="宋体" w:hAnsi="宋体" w:cs="宋体"/>
                <w:color w:val="auto"/>
                <w:kern w:val="0"/>
                <w:highlight w:val="none"/>
              </w:rPr>
              <w:t>合</w:t>
            </w:r>
            <w:r>
              <w:rPr>
                <w:rFonts w:ascii="宋体"/>
                <w:color w:val="auto"/>
                <w:kern w:val="0"/>
                <w:highlight w:val="none"/>
              </w:rPr>
              <w:t>       </w:t>
            </w:r>
            <w:r>
              <w:rPr>
                <w:rFonts w:hint="eastAsia" w:ascii="宋体" w:hAnsi="宋体" w:cs="宋体"/>
                <w:color w:val="auto"/>
                <w:kern w:val="0"/>
                <w:highlight w:val="none"/>
              </w:rPr>
              <w:t>计</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76A41C51">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565595BA">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0A7D2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tcBorders>
              <w:top w:val="single" w:color="auto" w:sz="4" w:space="0"/>
              <w:left w:val="single" w:color="auto" w:sz="4" w:space="0"/>
              <w:bottom w:val="single" w:color="auto" w:sz="4" w:space="0"/>
              <w:right w:val="single" w:color="auto" w:sz="4" w:space="0"/>
            </w:tcBorders>
            <w:noWrap w:val="0"/>
            <w:vAlign w:val="center"/>
          </w:tcPr>
          <w:p w14:paraId="1BDE752F">
            <w:pPr>
              <w:widowControl/>
              <w:spacing w:line="320" w:lineRule="atLeast"/>
              <w:ind w:firstLine="2"/>
              <w:jc w:val="left"/>
              <w:rPr>
                <w:rFonts w:ascii="宋体"/>
                <w:color w:val="auto"/>
                <w:kern w:val="0"/>
                <w:szCs w:val="21"/>
                <w:highlight w:val="none"/>
              </w:rPr>
            </w:pPr>
            <w:r>
              <w:rPr>
                <w:rFonts w:hint="eastAsia" w:ascii="宋体" w:hAnsi="宋体" w:cs="宋体"/>
                <w:color w:val="auto"/>
                <w:kern w:val="0"/>
                <w:highlight w:val="none"/>
              </w:rPr>
              <w:t>合计大写金额：</w:t>
            </w:r>
            <w:r>
              <w:rPr>
                <w:rFonts w:ascii="宋体"/>
                <w:color w:val="auto"/>
                <w:kern w:val="0"/>
                <w:highlight w:val="none"/>
              </w:rPr>
              <w:t>  </w:t>
            </w:r>
            <w:r>
              <w:rPr>
                <w:rFonts w:hint="eastAsia" w:ascii="宋体" w:hAnsi="宋体" w:cs="宋体"/>
                <w:color w:val="auto"/>
                <w:kern w:val="0"/>
                <w:highlight w:val="none"/>
              </w:rPr>
              <w:t>仟</w:t>
            </w:r>
            <w:r>
              <w:rPr>
                <w:rFonts w:ascii="宋体"/>
                <w:color w:val="auto"/>
                <w:kern w:val="0"/>
                <w:highlight w:val="none"/>
              </w:rPr>
              <w:t>   </w:t>
            </w:r>
            <w:r>
              <w:rPr>
                <w:rFonts w:hint="eastAsia" w:ascii="宋体" w:hAnsi="宋体" w:cs="宋体"/>
                <w:color w:val="auto"/>
                <w:kern w:val="0"/>
                <w:highlight w:val="none"/>
              </w:rPr>
              <w:t>佰</w:t>
            </w:r>
            <w:r>
              <w:rPr>
                <w:rFonts w:ascii="宋体"/>
                <w:color w:val="auto"/>
                <w:kern w:val="0"/>
                <w:highlight w:val="none"/>
              </w:rPr>
              <w:t>   </w:t>
            </w:r>
            <w:r>
              <w:rPr>
                <w:rFonts w:hint="eastAsia" w:ascii="宋体" w:hAnsi="宋体" w:cs="宋体"/>
                <w:color w:val="auto"/>
                <w:kern w:val="0"/>
                <w:highlight w:val="none"/>
              </w:rPr>
              <w:t>拾</w:t>
            </w:r>
            <w:r>
              <w:rPr>
                <w:rFonts w:ascii="宋体"/>
                <w:color w:val="auto"/>
                <w:kern w:val="0"/>
                <w:highlight w:val="none"/>
              </w:rPr>
              <w:t>   </w:t>
            </w:r>
            <w:r>
              <w:rPr>
                <w:rFonts w:hint="eastAsia" w:ascii="宋体" w:hAnsi="宋体" w:cs="宋体"/>
                <w:color w:val="auto"/>
                <w:kern w:val="0"/>
                <w:highlight w:val="none"/>
              </w:rPr>
              <w:t>万</w:t>
            </w:r>
            <w:r>
              <w:rPr>
                <w:rFonts w:ascii="宋体"/>
                <w:color w:val="auto"/>
                <w:kern w:val="0"/>
                <w:highlight w:val="none"/>
              </w:rPr>
              <w:t>   </w:t>
            </w:r>
            <w:r>
              <w:rPr>
                <w:rFonts w:hint="eastAsia" w:ascii="宋体" w:hAnsi="宋体" w:cs="宋体"/>
                <w:color w:val="auto"/>
                <w:kern w:val="0"/>
                <w:highlight w:val="none"/>
              </w:rPr>
              <w:t>仟</w:t>
            </w:r>
            <w:r>
              <w:rPr>
                <w:rFonts w:ascii="宋体"/>
                <w:color w:val="auto"/>
                <w:kern w:val="0"/>
                <w:highlight w:val="none"/>
              </w:rPr>
              <w:t>   </w:t>
            </w:r>
            <w:r>
              <w:rPr>
                <w:rFonts w:hint="eastAsia" w:ascii="宋体" w:hAnsi="宋体" w:cs="宋体"/>
                <w:color w:val="auto"/>
                <w:kern w:val="0"/>
                <w:highlight w:val="none"/>
              </w:rPr>
              <w:t>佰</w:t>
            </w:r>
            <w:r>
              <w:rPr>
                <w:rFonts w:ascii="宋体"/>
                <w:color w:val="auto"/>
                <w:kern w:val="0"/>
                <w:highlight w:val="none"/>
              </w:rPr>
              <w:t>   </w:t>
            </w:r>
            <w:r>
              <w:rPr>
                <w:rFonts w:hint="eastAsia" w:ascii="宋体" w:hAnsi="宋体" w:cs="宋体"/>
                <w:color w:val="auto"/>
                <w:kern w:val="0"/>
                <w:highlight w:val="none"/>
              </w:rPr>
              <w:t>拾</w:t>
            </w:r>
            <w:r>
              <w:rPr>
                <w:rFonts w:ascii="宋体"/>
                <w:color w:val="auto"/>
                <w:kern w:val="0"/>
                <w:highlight w:val="none"/>
              </w:rPr>
              <w:t>   </w:t>
            </w:r>
            <w:r>
              <w:rPr>
                <w:rFonts w:hint="eastAsia" w:ascii="宋体" w:hAnsi="宋体" w:cs="宋体"/>
                <w:color w:val="auto"/>
                <w:kern w:val="0"/>
                <w:highlight w:val="none"/>
              </w:rPr>
              <w:t>元</w:t>
            </w:r>
          </w:p>
        </w:tc>
      </w:tr>
      <w:tr w14:paraId="31E0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3295D157">
            <w:pPr>
              <w:widowControl/>
              <w:spacing w:line="320" w:lineRule="atLeast"/>
              <w:ind w:firstLine="2"/>
              <w:jc w:val="left"/>
              <w:rPr>
                <w:rFonts w:ascii="宋体"/>
                <w:color w:val="auto"/>
                <w:kern w:val="0"/>
                <w:szCs w:val="21"/>
                <w:highlight w:val="none"/>
              </w:rPr>
            </w:pPr>
            <w:r>
              <w:rPr>
                <w:rFonts w:hint="eastAsia" w:ascii="宋体" w:hAnsi="宋体" w:cs="宋体"/>
                <w:color w:val="auto"/>
                <w:kern w:val="0"/>
                <w:highlight w:val="none"/>
              </w:rPr>
              <w:t>实际供货日期</w:t>
            </w:r>
          </w:p>
        </w:tc>
        <w:tc>
          <w:tcPr>
            <w:tcW w:w="3240" w:type="dxa"/>
            <w:gridSpan w:val="2"/>
            <w:tcBorders>
              <w:top w:val="single" w:color="auto" w:sz="4" w:space="0"/>
              <w:left w:val="single" w:color="auto" w:sz="4" w:space="0"/>
              <w:bottom w:val="single" w:color="auto" w:sz="4" w:space="0"/>
              <w:right w:val="single" w:color="auto" w:sz="4" w:space="0"/>
            </w:tcBorders>
            <w:noWrap w:val="0"/>
            <w:vAlign w:val="center"/>
          </w:tcPr>
          <w:p w14:paraId="05BFE770">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2700" w:type="dxa"/>
            <w:gridSpan w:val="2"/>
            <w:tcBorders>
              <w:top w:val="single" w:color="auto" w:sz="4" w:space="0"/>
              <w:left w:val="single" w:color="auto" w:sz="4" w:space="0"/>
              <w:bottom w:val="single" w:color="auto" w:sz="4" w:space="0"/>
              <w:right w:val="single" w:color="auto" w:sz="4" w:space="0"/>
            </w:tcBorders>
            <w:noWrap w:val="0"/>
            <w:vAlign w:val="center"/>
          </w:tcPr>
          <w:p w14:paraId="67DF48D5">
            <w:pPr>
              <w:widowControl/>
              <w:spacing w:line="320" w:lineRule="atLeast"/>
              <w:ind w:firstLine="46"/>
              <w:jc w:val="center"/>
              <w:rPr>
                <w:rFonts w:ascii="宋体"/>
                <w:color w:val="auto"/>
                <w:kern w:val="0"/>
                <w:szCs w:val="21"/>
                <w:highlight w:val="none"/>
              </w:rPr>
            </w:pPr>
            <w:r>
              <w:rPr>
                <w:rFonts w:hint="eastAsia" w:ascii="宋体" w:hAnsi="宋体" w:cs="宋体"/>
                <w:color w:val="auto"/>
                <w:kern w:val="0"/>
                <w:highlight w:val="none"/>
              </w:rPr>
              <w:t>合同交货验收日期</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14:paraId="597DFF23">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4D563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544B9CBA">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3240" w:type="dxa"/>
            <w:gridSpan w:val="2"/>
            <w:tcBorders>
              <w:top w:val="single" w:color="auto" w:sz="4" w:space="0"/>
              <w:left w:val="single" w:color="auto" w:sz="4" w:space="0"/>
              <w:bottom w:val="single" w:color="auto" w:sz="4" w:space="0"/>
              <w:right w:val="single" w:color="auto" w:sz="4" w:space="0"/>
            </w:tcBorders>
            <w:noWrap w:val="0"/>
            <w:vAlign w:val="center"/>
          </w:tcPr>
          <w:p w14:paraId="360BBA68">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2700" w:type="dxa"/>
            <w:gridSpan w:val="2"/>
            <w:tcBorders>
              <w:top w:val="single" w:color="auto" w:sz="4" w:space="0"/>
              <w:left w:val="single" w:color="auto" w:sz="4" w:space="0"/>
              <w:bottom w:val="single" w:color="auto" w:sz="4" w:space="0"/>
              <w:right w:val="single" w:color="auto" w:sz="4" w:space="0"/>
            </w:tcBorders>
            <w:noWrap w:val="0"/>
            <w:vAlign w:val="center"/>
          </w:tcPr>
          <w:p w14:paraId="060A9BAD">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14:paraId="38F115D7">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23601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666662F">
            <w:pPr>
              <w:widowControl/>
              <w:spacing w:line="320" w:lineRule="atLeast"/>
              <w:jc w:val="left"/>
              <w:rPr>
                <w:rFonts w:ascii="宋体"/>
                <w:color w:val="auto"/>
                <w:kern w:val="0"/>
                <w:szCs w:val="21"/>
                <w:highlight w:val="none"/>
              </w:rPr>
            </w:pPr>
            <w:r>
              <w:rPr>
                <w:rFonts w:hint="eastAsia" w:ascii="宋体" w:hAnsi="宋体" w:cs="宋体"/>
                <w:color w:val="auto"/>
                <w:kern w:val="0"/>
                <w:highlight w:val="none"/>
              </w:rPr>
              <w:t>验收具体内容</w:t>
            </w:r>
          </w:p>
        </w:tc>
        <w:tc>
          <w:tcPr>
            <w:tcW w:w="8100" w:type="dxa"/>
            <w:gridSpan w:val="6"/>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A515784">
            <w:pPr>
              <w:widowControl/>
              <w:spacing w:line="320" w:lineRule="atLeast"/>
              <w:jc w:val="left"/>
              <w:rPr>
                <w:rFonts w:ascii="宋体" w:hAnsi="宋体" w:cs="宋体"/>
                <w:color w:val="auto"/>
                <w:kern w:val="0"/>
                <w:szCs w:val="21"/>
                <w:highlight w:val="none"/>
              </w:rPr>
            </w:pPr>
            <w:r>
              <w:rPr>
                <w:rFonts w:hint="eastAsia" w:ascii="宋体" w:hAnsi="宋体" w:cs="宋体"/>
                <w:color w:val="auto"/>
                <w:kern w:val="0"/>
                <w:highlight w:val="none"/>
              </w:rPr>
              <w:t>（应按采购合同、招标文件、投标响应文件及验收方案等进行验收；并核对中标或者成交供应商在安装调试等方面是否违反合同约定或服务规范要求、提供的质量保证证明材料是否齐全、应有的配件及附件是否达到合同约定等。可附件</w:t>
            </w:r>
            <w:r>
              <w:rPr>
                <w:rFonts w:hint="eastAsia" w:ascii="宋体" w:hAnsi="宋体" w:cs="宋体"/>
                <w:color w:val="auto"/>
                <w:kern w:val="0"/>
                <w:highlight w:val="none"/>
                <w:lang w:eastAsia="zh-CN"/>
              </w:rPr>
              <w:t>）</w:t>
            </w:r>
          </w:p>
        </w:tc>
      </w:tr>
      <w:tr w14:paraId="63CF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46B3534">
            <w:pPr>
              <w:widowControl/>
              <w:spacing w:line="320" w:lineRule="atLeast"/>
              <w:jc w:val="left"/>
              <w:rPr>
                <w:rFonts w:ascii="宋体"/>
                <w:color w:val="auto"/>
                <w:kern w:val="0"/>
                <w:szCs w:val="21"/>
                <w:highlight w:val="none"/>
              </w:rPr>
            </w:pPr>
            <w:r>
              <w:rPr>
                <w:rFonts w:hint="eastAsia" w:ascii="宋体" w:hAnsi="宋体" w:cs="宋体"/>
                <w:color w:val="auto"/>
                <w:kern w:val="0"/>
                <w:highlight w:val="none"/>
              </w:rPr>
              <w:t>验收小组意见</w:t>
            </w:r>
          </w:p>
        </w:tc>
        <w:tc>
          <w:tcPr>
            <w:tcW w:w="8100" w:type="dxa"/>
            <w:gridSpan w:val="6"/>
            <w:tcBorders>
              <w:top w:val="single" w:color="auto" w:sz="4" w:space="0"/>
              <w:left w:val="single" w:color="auto" w:sz="4" w:space="0"/>
              <w:bottom w:val="single" w:color="auto" w:sz="4" w:space="0"/>
              <w:right w:val="single" w:color="auto" w:sz="4" w:space="0"/>
            </w:tcBorders>
            <w:noWrap w:val="0"/>
            <w:vAlign w:val="center"/>
          </w:tcPr>
          <w:p w14:paraId="7038D3D9">
            <w:pPr>
              <w:widowControl/>
              <w:spacing w:line="320" w:lineRule="atLeast"/>
              <w:jc w:val="left"/>
              <w:rPr>
                <w:rFonts w:ascii="宋体" w:hAnsi="Calibri"/>
                <w:color w:val="auto"/>
                <w:kern w:val="0"/>
                <w:szCs w:val="21"/>
                <w:highlight w:val="none"/>
              </w:rPr>
            </w:pPr>
            <w:r>
              <w:rPr>
                <w:rFonts w:ascii="宋体"/>
                <w:color w:val="auto"/>
                <w:kern w:val="0"/>
                <w:highlight w:val="none"/>
              </w:rPr>
              <w:t> </w:t>
            </w:r>
            <w:r>
              <w:rPr>
                <w:rFonts w:hint="eastAsia" w:ascii="宋体" w:hAnsi="宋体" w:cs="宋体"/>
                <w:color w:val="auto"/>
                <w:kern w:val="0"/>
                <w:highlight w:val="none"/>
              </w:rPr>
              <w:t>验收结论性意见：</w:t>
            </w:r>
          </w:p>
          <w:p w14:paraId="5FA98E4D">
            <w:pPr>
              <w:widowControl/>
              <w:spacing w:line="320" w:lineRule="atLeast"/>
              <w:jc w:val="left"/>
              <w:rPr>
                <w:rFonts w:ascii="宋体"/>
                <w:color w:val="auto"/>
                <w:kern w:val="0"/>
                <w:szCs w:val="21"/>
                <w:highlight w:val="none"/>
              </w:rPr>
            </w:pPr>
            <w:r>
              <w:rPr>
                <w:rFonts w:ascii="宋体"/>
                <w:color w:val="auto"/>
                <w:kern w:val="0"/>
                <w:highlight w:val="none"/>
              </w:rPr>
              <w:t> </w:t>
            </w:r>
          </w:p>
        </w:tc>
      </w:tr>
      <w:tr w14:paraId="2597B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27D921FF">
            <w:pPr>
              <w:widowControl/>
              <w:jc w:val="left"/>
              <w:rPr>
                <w:rFonts w:ascii="宋体"/>
                <w:color w:val="auto"/>
                <w:kern w:val="0"/>
                <w:szCs w:val="21"/>
                <w:highlight w:val="none"/>
              </w:rPr>
            </w:pPr>
          </w:p>
        </w:tc>
        <w:tc>
          <w:tcPr>
            <w:tcW w:w="8100" w:type="dxa"/>
            <w:gridSpan w:val="6"/>
            <w:tcBorders>
              <w:top w:val="single" w:color="auto" w:sz="4" w:space="0"/>
              <w:left w:val="single" w:color="auto" w:sz="4" w:space="0"/>
              <w:bottom w:val="single" w:color="auto" w:sz="4" w:space="0"/>
              <w:right w:val="single" w:color="auto" w:sz="4" w:space="0"/>
            </w:tcBorders>
            <w:noWrap w:val="0"/>
            <w:vAlign w:val="center"/>
          </w:tcPr>
          <w:p w14:paraId="5655143B">
            <w:pPr>
              <w:widowControl/>
              <w:spacing w:line="320" w:lineRule="atLeast"/>
              <w:ind w:firstLine="96"/>
              <w:jc w:val="left"/>
              <w:rPr>
                <w:rFonts w:ascii="宋体" w:hAnsi="Calibri"/>
                <w:color w:val="auto"/>
                <w:kern w:val="0"/>
                <w:szCs w:val="21"/>
                <w:highlight w:val="none"/>
              </w:rPr>
            </w:pPr>
            <w:r>
              <w:rPr>
                <w:rFonts w:hint="eastAsia" w:ascii="宋体" w:hAnsi="宋体" w:cs="宋体"/>
                <w:color w:val="auto"/>
                <w:kern w:val="0"/>
                <w:highlight w:val="none"/>
              </w:rPr>
              <w:t>有异议的意见和说明理由：</w:t>
            </w:r>
          </w:p>
          <w:p w14:paraId="141D4A53">
            <w:pPr>
              <w:widowControl/>
              <w:spacing w:line="320" w:lineRule="atLeast"/>
              <w:jc w:val="left"/>
              <w:rPr>
                <w:rFonts w:ascii="宋体"/>
                <w:color w:val="auto"/>
                <w:kern w:val="0"/>
                <w:szCs w:val="21"/>
                <w:highlight w:val="none"/>
              </w:rPr>
            </w:pPr>
            <w:r>
              <w:rPr>
                <w:rFonts w:ascii="宋体"/>
                <w:color w:val="auto"/>
                <w:kern w:val="0"/>
                <w:highlight w:val="none"/>
              </w:rPr>
              <w:t>        </w:t>
            </w:r>
            <w:r>
              <w:rPr>
                <w:rFonts w:hint="eastAsia" w:ascii="宋体" w:hAnsi="宋体" w:cs="宋体"/>
                <w:color w:val="auto"/>
                <w:kern w:val="0"/>
                <w:highlight w:val="none"/>
              </w:rPr>
              <w:t xml:space="preserve">                              签字：</w:t>
            </w:r>
          </w:p>
        </w:tc>
      </w:tr>
      <w:tr w14:paraId="6F669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B5BB6A0">
            <w:pPr>
              <w:widowControl/>
              <w:spacing w:line="320" w:lineRule="atLeast"/>
              <w:jc w:val="left"/>
              <w:rPr>
                <w:rFonts w:ascii="宋体"/>
                <w:color w:val="auto"/>
                <w:kern w:val="0"/>
                <w:szCs w:val="21"/>
                <w:highlight w:val="none"/>
              </w:rPr>
            </w:pPr>
            <w:r>
              <w:rPr>
                <w:rFonts w:hint="eastAsia" w:ascii="宋体" w:hAnsi="宋体" w:cs="宋体"/>
                <w:color w:val="auto"/>
                <w:kern w:val="0"/>
                <w:highlight w:val="none"/>
              </w:rPr>
              <w:t>验收小组成员签字：</w:t>
            </w:r>
          </w:p>
        </w:tc>
      </w:tr>
      <w:tr w14:paraId="6C343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BE69E30">
            <w:pPr>
              <w:widowControl/>
              <w:spacing w:line="320" w:lineRule="atLeast"/>
              <w:jc w:val="left"/>
              <w:rPr>
                <w:rFonts w:ascii="宋体" w:hAnsi="Calibri"/>
                <w:color w:val="auto"/>
                <w:kern w:val="0"/>
                <w:szCs w:val="21"/>
                <w:highlight w:val="none"/>
              </w:rPr>
            </w:pPr>
            <w:r>
              <w:rPr>
                <w:rFonts w:hint="eastAsia" w:ascii="宋体" w:hAnsi="宋体" w:cs="宋体"/>
                <w:color w:val="auto"/>
                <w:kern w:val="0"/>
                <w:highlight w:val="none"/>
              </w:rPr>
              <w:t>监督人员或其他相关人员签字：</w:t>
            </w:r>
          </w:p>
          <w:p w14:paraId="7DE86FFD">
            <w:pPr>
              <w:widowControl/>
              <w:spacing w:line="320" w:lineRule="atLeast"/>
              <w:ind w:firstLine="74"/>
              <w:jc w:val="left"/>
              <w:rPr>
                <w:rFonts w:ascii="宋体"/>
                <w:color w:val="auto"/>
                <w:kern w:val="0"/>
                <w:szCs w:val="21"/>
                <w:highlight w:val="none"/>
              </w:rPr>
            </w:pPr>
            <w:r>
              <w:rPr>
                <w:rFonts w:hint="eastAsia" w:ascii="宋体" w:hAnsi="宋体" w:cs="宋体"/>
                <w:color w:val="auto"/>
                <w:kern w:val="0"/>
                <w:highlight w:val="none"/>
              </w:rPr>
              <w:t>或受邀机构的意见（盖章）：</w:t>
            </w:r>
          </w:p>
        </w:tc>
      </w:tr>
      <w:tr w14:paraId="0953E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E69DC01">
            <w:pPr>
              <w:widowControl/>
              <w:spacing w:line="320" w:lineRule="atLeast"/>
              <w:ind w:firstLine="74"/>
              <w:jc w:val="left"/>
              <w:rPr>
                <w:rFonts w:ascii="宋体" w:hAnsi="Calibri"/>
                <w:color w:val="auto"/>
                <w:kern w:val="0"/>
                <w:szCs w:val="21"/>
                <w:highlight w:val="none"/>
              </w:rPr>
            </w:pPr>
            <w:r>
              <w:rPr>
                <w:rFonts w:hint="eastAsia" w:ascii="宋体" w:hAnsi="宋体" w:cs="宋体"/>
                <w:color w:val="auto"/>
                <w:kern w:val="0"/>
                <w:highlight w:val="none"/>
              </w:rPr>
              <w:t>中标或者成交供应商负责人签字或盖章：</w:t>
            </w:r>
          </w:p>
          <w:p w14:paraId="37B53910">
            <w:pPr>
              <w:widowControl/>
              <w:spacing w:line="320" w:lineRule="atLeast"/>
              <w:jc w:val="left"/>
              <w:rPr>
                <w:rFonts w:ascii="宋体"/>
                <w:color w:val="auto"/>
                <w:kern w:val="0"/>
                <w:szCs w:val="21"/>
                <w:highlight w:val="none"/>
              </w:rPr>
            </w:pPr>
            <w:r>
              <w:rPr>
                <w:rFonts w:hint="eastAsia" w:ascii="宋体" w:hAnsi="宋体" w:cs="宋体"/>
                <w:color w:val="auto"/>
                <w:kern w:val="0"/>
                <w:highlight w:val="none"/>
              </w:rPr>
              <w:t>联系电话：</w:t>
            </w:r>
            <w:r>
              <w:rPr>
                <w:rFonts w:ascii="宋体"/>
                <w:color w:val="auto"/>
                <w:kern w:val="0"/>
                <w:highlight w:val="none"/>
              </w:rPr>
              <w:t>        </w:t>
            </w:r>
            <w:r>
              <w:rPr>
                <w:rFonts w:hint="eastAsia" w:ascii="宋体" w:hAnsi="宋体" w:cs="宋体"/>
                <w:color w:val="auto"/>
                <w:kern w:val="0"/>
                <w:highlight w:val="none"/>
              </w:rPr>
              <w:t xml:space="preserve">年  </w:t>
            </w:r>
            <w:r>
              <w:rPr>
                <w:rFonts w:ascii="宋体"/>
                <w:color w:val="auto"/>
                <w:kern w:val="0"/>
                <w:highlight w:val="none"/>
              </w:rPr>
              <w:t> </w:t>
            </w:r>
            <w:r>
              <w:rPr>
                <w:rFonts w:hint="eastAsia" w:ascii="宋体" w:hAnsi="宋体" w:cs="宋体"/>
                <w:color w:val="auto"/>
                <w:kern w:val="0"/>
                <w:highlight w:val="none"/>
              </w:rPr>
              <w:t xml:space="preserve">月  </w:t>
            </w:r>
            <w:r>
              <w:rPr>
                <w:rFonts w:ascii="宋体"/>
                <w:color w:val="auto"/>
                <w:kern w:val="0"/>
                <w:highlight w:val="none"/>
              </w:rPr>
              <w:t> </w:t>
            </w:r>
            <w:r>
              <w:rPr>
                <w:rFonts w:hint="eastAsia" w:ascii="宋体" w:hAnsi="宋体" w:cs="宋体"/>
                <w:color w:val="auto"/>
                <w:kern w:val="0"/>
                <w:highlight w:val="none"/>
              </w:rPr>
              <w:t>日</w:t>
            </w:r>
          </w:p>
        </w:tc>
        <w:tc>
          <w:tcPr>
            <w:tcW w:w="4860" w:type="dxa"/>
            <w:gridSpan w:val="4"/>
            <w:tcBorders>
              <w:top w:val="single" w:color="auto" w:sz="4" w:space="0"/>
              <w:left w:val="single" w:color="auto" w:sz="4" w:space="0"/>
              <w:bottom w:val="single" w:color="auto" w:sz="4" w:space="0"/>
              <w:right w:val="single" w:color="auto" w:sz="4" w:space="0"/>
            </w:tcBorders>
            <w:noWrap w:val="0"/>
            <w:vAlign w:val="center"/>
          </w:tcPr>
          <w:p w14:paraId="211CDD6E">
            <w:pPr>
              <w:widowControl/>
              <w:spacing w:line="320" w:lineRule="atLeast"/>
              <w:jc w:val="left"/>
              <w:rPr>
                <w:rFonts w:ascii="宋体" w:hAnsi="Calibri"/>
                <w:color w:val="auto"/>
                <w:kern w:val="0"/>
                <w:szCs w:val="21"/>
                <w:highlight w:val="none"/>
              </w:rPr>
            </w:pPr>
            <w:r>
              <w:rPr>
                <w:rFonts w:ascii="宋体"/>
                <w:color w:val="auto"/>
                <w:kern w:val="0"/>
                <w:highlight w:val="none"/>
              </w:rPr>
              <w:t> </w:t>
            </w:r>
            <w:r>
              <w:rPr>
                <w:rFonts w:hint="eastAsia" w:ascii="宋体" w:hAnsi="宋体" w:cs="宋体"/>
                <w:color w:val="auto"/>
                <w:kern w:val="0"/>
                <w:highlight w:val="none"/>
              </w:rPr>
              <w:t>采购人或受托机构的意见（盖章）：</w:t>
            </w:r>
          </w:p>
          <w:p w14:paraId="56B2A2E6">
            <w:pPr>
              <w:widowControl/>
              <w:spacing w:line="320" w:lineRule="atLeast"/>
              <w:jc w:val="left"/>
              <w:rPr>
                <w:rFonts w:ascii="宋体"/>
                <w:color w:val="auto"/>
                <w:kern w:val="0"/>
                <w:szCs w:val="21"/>
                <w:highlight w:val="none"/>
              </w:rPr>
            </w:pPr>
            <w:r>
              <w:rPr>
                <w:rFonts w:hint="eastAsia" w:ascii="宋体" w:hAnsi="宋体" w:cs="宋体"/>
                <w:color w:val="auto"/>
                <w:kern w:val="0"/>
                <w:highlight w:val="none"/>
              </w:rPr>
              <w:t>联系电话：</w:t>
            </w:r>
            <w:r>
              <w:rPr>
                <w:rFonts w:ascii="宋体"/>
                <w:color w:val="auto"/>
                <w:kern w:val="0"/>
                <w:highlight w:val="none"/>
              </w:rPr>
              <w:t>                 </w:t>
            </w:r>
            <w:r>
              <w:rPr>
                <w:rFonts w:hint="eastAsia" w:ascii="宋体" w:hAnsi="宋体" w:cs="宋体"/>
                <w:color w:val="auto"/>
                <w:kern w:val="0"/>
                <w:highlight w:val="none"/>
              </w:rPr>
              <w:t>年</w:t>
            </w:r>
            <w:r>
              <w:rPr>
                <w:rFonts w:ascii="宋体"/>
                <w:color w:val="auto"/>
                <w:kern w:val="0"/>
                <w:highlight w:val="none"/>
              </w:rPr>
              <w:t>  </w:t>
            </w:r>
            <w:r>
              <w:rPr>
                <w:rFonts w:hint="eastAsia" w:ascii="宋体"/>
                <w:color w:val="auto"/>
                <w:kern w:val="0"/>
                <w:highlight w:val="none"/>
              </w:rPr>
              <w:t xml:space="preserve"> </w:t>
            </w:r>
            <w:r>
              <w:rPr>
                <w:rFonts w:ascii="宋体"/>
                <w:color w:val="auto"/>
                <w:kern w:val="0"/>
                <w:highlight w:val="none"/>
              </w:rPr>
              <w:t> </w:t>
            </w:r>
            <w:r>
              <w:rPr>
                <w:rFonts w:hint="eastAsia" w:ascii="宋体" w:hAnsi="宋体" w:cs="宋体"/>
                <w:color w:val="auto"/>
                <w:kern w:val="0"/>
                <w:highlight w:val="none"/>
              </w:rPr>
              <w:t>月</w:t>
            </w:r>
            <w:r>
              <w:rPr>
                <w:rFonts w:ascii="宋体"/>
                <w:color w:val="auto"/>
                <w:kern w:val="0"/>
                <w:highlight w:val="none"/>
              </w:rPr>
              <w:t>   </w:t>
            </w:r>
            <w:r>
              <w:rPr>
                <w:rFonts w:hint="eastAsia" w:ascii="宋体"/>
                <w:color w:val="auto"/>
                <w:kern w:val="0"/>
                <w:highlight w:val="none"/>
              </w:rPr>
              <w:t xml:space="preserve"> </w:t>
            </w:r>
            <w:r>
              <w:rPr>
                <w:rFonts w:hint="eastAsia" w:ascii="宋体" w:hAnsi="宋体" w:cs="宋体"/>
                <w:color w:val="auto"/>
                <w:kern w:val="0"/>
                <w:highlight w:val="none"/>
              </w:rPr>
              <w:t>日</w:t>
            </w:r>
          </w:p>
        </w:tc>
      </w:tr>
    </w:tbl>
    <w:p w14:paraId="3E2F2A95">
      <w:pPr>
        <w:snapToGrid w:val="0"/>
        <w:spacing w:line="340" w:lineRule="exact"/>
        <w:rPr>
          <w:rFonts w:hint="eastAsia" w:ascii="宋体" w:hAnsi="宋体" w:cs="宋体"/>
          <w:b/>
          <w:color w:val="auto"/>
          <w:highlight w:val="none"/>
        </w:rPr>
      </w:pPr>
    </w:p>
    <w:p w14:paraId="1F567402">
      <w:pPr>
        <w:snapToGrid w:val="0"/>
        <w:spacing w:line="340" w:lineRule="exact"/>
        <w:rPr>
          <w:rFonts w:hint="eastAsia" w:ascii="宋体" w:hAnsi="宋体" w:cs="宋体"/>
          <w:b/>
          <w:color w:val="auto"/>
          <w:highlight w:val="none"/>
        </w:rPr>
      </w:pPr>
    </w:p>
    <w:p w14:paraId="5EFE8E08">
      <w:pPr>
        <w:pStyle w:val="27"/>
        <w:snapToGrid w:val="0"/>
        <w:spacing w:line="340" w:lineRule="exact"/>
        <w:rPr>
          <w:rFonts w:hint="eastAsia" w:hAnsi="宋体" w:cs="宋体"/>
          <w:b/>
          <w:color w:val="auto"/>
          <w:sz w:val="24"/>
          <w:szCs w:val="24"/>
          <w:highlight w:val="none"/>
        </w:rPr>
      </w:pPr>
    </w:p>
    <w:p w14:paraId="3D84E5BD">
      <w:pPr>
        <w:pStyle w:val="27"/>
        <w:snapToGrid w:val="0"/>
        <w:spacing w:line="340" w:lineRule="exact"/>
        <w:rPr>
          <w:rFonts w:hint="eastAsia" w:hAnsi="宋体" w:cs="宋体"/>
          <w:b/>
          <w:color w:val="auto"/>
          <w:sz w:val="24"/>
          <w:szCs w:val="24"/>
          <w:highlight w:val="none"/>
        </w:rPr>
      </w:pPr>
      <w:r>
        <w:rPr>
          <w:rFonts w:hint="eastAsia" w:hAnsi="宋体" w:cs="宋体"/>
          <w:b/>
          <w:color w:val="auto"/>
          <w:sz w:val="24"/>
          <w:szCs w:val="24"/>
          <w:highlight w:val="none"/>
        </w:rPr>
        <w:t>附表4：</w:t>
      </w:r>
    </w:p>
    <w:p w14:paraId="35489B19">
      <w:pPr>
        <w:widowControl/>
        <w:jc w:val="left"/>
        <w:rPr>
          <w:rFonts w:ascii="宋体" w:hAnsi="宋体" w:cs="宋体"/>
          <w:color w:val="auto"/>
          <w:kern w:val="0"/>
          <w:sz w:val="24"/>
          <w:highlight w:val="none"/>
        </w:rPr>
      </w:pPr>
      <w:r>
        <w:rPr>
          <w:rFonts w:ascii="宋体" w:hAnsi="宋体" w:cs="宋体"/>
          <w:color w:val="auto"/>
          <w:kern w:val="0"/>
          <w:sz w:val="24"/>
          <w:highlight w:val="none"/>
        </w:rPr>
        <w:drawing>
          <wp:inline distT="0" distB="0" distL="114300" distR="114300">
            <wp:extent cx="5928360" cy="5829300"/>
            <wp:effectExtent l="0" t="0" r="1524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928360" cy="5829300"/>
                    </a:xfrm>
                    <a:prstGeom prst="rect">
                      <a:avLst/>
                    </a:prstGeom>
                    <a:noFill/>
                    <a:ln>
                      <a:noFill/>
                    </a:ln>
                  </pic:spPr>
                </pic:pic>
              </a:graphicData>
            </a:graphic>
          </wp:inline>
        </w:drawing>
      </w:r>
    </w:p>
    <w:p w14:paraId="51636F08">
      <w:pPr>
        <w:spacing w:line="360" w:lineRule="exact"/>
        <w:ind w:firstLine="480"/>
        <w:jc w:val="center"/>
        <w:rPr>
          <w:rFonts w:hint="eastAsia" w:ascii="宋体" w:hAnsi="宋体"/>
          <w:b/>
          <w:color w:val="auto"/>
          <w:sz w:val="32"/>
          <w:szCs w:val="32"/>
          <w:highlight w:val="none"/>
        </w:rPr>
      </w:pPr>
    </w:p>
    <w:p w14:paraId="18311F6B">
      <w:pPr>
        <w:spacing w:line="360" w:lineRule="exact"/>
        <w:ind w:firstLine="643"/>
        <w:jc w:val="center"/>
        <w:rPr>
          <w:rFonts w:hint="eastAsia" w:ascii="宋体" w:hAnsi="宋体"/>
          <w:b/>
          <w:color w:val="auto"/>
          <w:sz w:val="32"/>
          <w:szCs w:val="32"/>
          <w:highlight w:val="none"/>
        </w:rPr>
      </w:pPr>
    </w:p>
    <w:p w14:paraId="0262FB23">
      <w:pPr>
        <w:spacing w:line="360" w:lineRule="exact"/>
        <w:ind w:firstLine="643"/>
        <w:jc w:val="center"/>
        <w:rPr>
          <w:rFonts w:hint="eastAsia" w:ascii="宋体" w:hAnsi="宋体"/>
          <w:b/>
          <w:color w:val="auto"/>
          <w:sz w:val="32"/>
          <w:szCs w:val="32"/>
          <w:highlight w:val="none"/>
        </w:rPr>
      </w:pPr>
    </w:p>
    <w:p w14:paraId="6030C20F">
      <w:pPr>
        <w:spacing w:line="360" w:lineRule="exact"/>
        <w:ind w:firstLine="643"/>
        <w:jc w:val="center"/>
        <w:rPr>
          <w:rFonts w:hint="eastAsia" w:ascii="宋体" w:hAnsi="宋体"/>
          <w:b/>
          <w:color w:val="auto"/>
          <w:sz w:val="32"/>
          <w:szCs w:val="32"/>
          <w:highlight w:val="none"/>
        </w:rPr>
      </w:pPr>
    </w:p>
    <w:p w14:paraId="0AD32C23">
      <w:pPr>
        <w:spacing w:line="360" w:lineRule="exact"/>
        <w:ind w:firstLine="643"/>
        <w:jc w:val="center"/>
        <w:rPr>
          <w:rFonts w:hint="eastAsia" w:ascii="宋体" w:hAnsi="宋体"/>
          <w:b/>
          <w:color w:val="auto"/>
          <w:sz w:val="32"/>
          <w:szCs w:val="32"/>
          <w:highlight w:val="none"/>
        </w:rPr>
      </w:pPr>
    </w:p>
    <w:p w14:paraId="1E71DB45">
      <w:pPr>
        <w:spacing w:line="360" w:lineRule="exact"/>
        <w:ind w:firstLine="643"/>
        <w:jc w:val="center"/>
        <w:rPr>
          <w:rFonts w:hint="eastAsia" w:ascii="宋体" w:hAnsi="宋体"/>
          <w:b/>
          <w:color w:val="auto"/>
          <w:sz w:val="32"/>
          <w:szCs w:val="32"/>
          <w:highlight w:val="none"/>
        </w:rPr>
      </w:pPr>
    </w:p>
    <w:p w14:paraId="0D87C7A8">
      <w:pPr>
        <w:spacing w:line="360" w:lineRule="exact"/>
        <w:ind w:firstLine="643"/>
        <w:jc w:val="center"/>
        <w:rPr>
          <w:rFonts w:hint="eastAsia" w:ascii="宋体" w:hAnsi="宋体"/>
          <w:b/>
          <w:color w:val="auto"/>
          <w:sz w:val="32"/>
          <w:szCs w:val="32"/>
          <w:highlight w:val="none"/>
        </w:rPr>
      </w:pPr>
    </w:p>
    <w:p w14:paraId="64FDFD5F">
      <w:pPr>
        <w:spacing w:line="360" w:lineRule="exact"/>
        <w:ind w:firstLine="643"/>
        <w:jc w:val="center"/>
        <w:rPr>
          <w:rFonts w:hint="eastAsia" w:ascii="宋体" w:hAnsi="宋体"/>
          <w:b/>
          <w:color w:val="auto"/>
          <w:sz w:val="32"/>
          <w:szCs w:val="32"/>
          <w:highlight w:val="none"/>
        </w:rPr>
      </w:pPr>
    </w:p>
    <w:p w14:paraId="1134ABC9">
      <w:pPr>
        <w:spacing w:line="360" w:lineRule="exact"/>
        <w:ind w:firstLine="643"/>
        <w:jc w:val="center"/>
        <w:rPr>
          <w:rFonts w:hint="eastAsia" w:ascii="宋体" w:hAnsi="宋体"/>
          <w:b/>
          <w:color w:val="auto"/>
          <w:sz w:val="32"/>
          <w:szCs w:val="32"/>
          <w:highlight w:val="none"/>
        </w:rPr>
      </w:pPr>
    </w:p>
    <w:p w14:paraId="0B8EFE0C">
      <w:pPr>
        <w:spacing w:line="360" w:lineRule="exact"/>
        <w:ind w:firstLine="643"/>
        <w:jc w:val="center"/>
        <w:rPr>
          <w:rFonts w:hint="eastAsia" w:ascii="宋体" w:hAnsi="宋体"/>
          <w:b/>
          <w:color w:val="auto"/>
          <w:sz w:val="32"/>
          <w:szCs w:val="32"/>
          <w:highlight w:val="none"/>
        </w:rPr>
      </w:pPr>
    </w:p>
    <w:p w14:paraId="58C74657">
      <w:pPr>
        <w:spacing w:line="360" w:lineRule="exact"/>
        <w:ind w:firstLine="643"/>
        <w:jc w:val="center"/>
        <w:rPr>
          <w:rFonts w:hint="eastAsia" w:ascii="宋体" w:hAnsi="宋体"/>
          <w:b/>
          <w:color w:val="auto"/>
          <w:sz w:val="32"/>
          <w:szCs w:val="32"/>
          <w:highlight w:val="none"/>
        </w:rPr>
      </w:pPr>
    </w:p>
    <w:p w14:paraId="708C8233">
      <w:pPr>
        <w:spacing w:line="360" w:lineRule="exact"/>
        <w:ind w:firstLine="643"/>
        <w:jc w:val="center"/>
        <w:rPr>
          <w:rFonts w:hint="eastAsia" w:ascii="宋体" w:hAnsi="宋体"/>
          <w:b/>
          <w:color w:val="auto"/>
          <w:sz w:val="32"/>
          <w:szCs w:val="32"/>
          <w:highlight w:val="none"/>
        </w:rPr>
      </w:pPr>
    </w:p>
    <w:p w14:paraId="763EBA4D">
      <w:pPr>
        <w:spacing w:line="36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第三章　采购需求</w:t>
      </w:r>
    </w:p>
    <w:p w14:paraId="2FEAB73C">
      <w:pPr>
        <w:adjustRightInd w:val="0"/>
        <w:spacing w:line="300" w:lineRule="exact"/>
        <w:ind w:firstLine="431"/>
        <w:rPr>
          <w:rFonts w:hint="eastAsia" w:ascii="宋体" w:hAnsi="宋体"/>
          <w:b/>
          <w:bCs/>
          <w:color w:val="auto"/>
          <w:highlight w:val="none"/>
        </w:rPr>
      </w:pPr>
    </w:p>
    <w:p w14:paraId="03EAA1DF">
      <w:pPr>
        <w:adjustRightInd w:val="0"/>
        <w:spacing w:line="500" w:lineRule="exact"/>
        <w:rPr>
          <w:rFonts w:hint="eastAsia" w:ascii="宋体" w:hAnsi="宋体"/>
          <w:b/>
          <w:bCs/>
          <w:color w:val="auto"/>
          <w:sz w:val="24"/>
          <w:highlight w:val="none"/>
        </w:rPr>
      </w:pPr>
      <w:r>
        <w:rPr>
          <w:rFonts w:hint="eastAsia" w:ascii="宋体" w:hAnsi="宋体"/>
          <w:b/>
          <w:bCs/>
          <w:color w:val="auto"/>
          <w:sz w:val="24"/>
          <w:highlight w:val="none"/>
        </w:rPr>
        <w:t>Ⅰ</w:t>
      </w:r>
      <w:r>
        <w:rPr>
          <w:rFonts w:hint="eastAsia" w:ascii="宋体" w:hAnsi="宋体"/>
          <w:b/>
          <w:bCs/>
          <w:color w:val="auto"/>
          <w:sz w:val="24"/>
          <w:highlight w:val="none"/>
          <w:lang w:eastAsia="zh-CN"/>
        </w:rPr>
        <w:t>、</w:t>
      </w:r>
      <w:r>
        <w:rPr>
          <w:rFonts w:hint="eastAsia" w:ascii="宋体" w:hAnsi="宋体"/>
          <w:b/>
          <w:bCs/>
          <w:color w:val="auto"/>
          <w:sz w:val="24"/>
          <w:highlight w:val="none"/>
        </w:rPr>
        <w:t>说明：</w:t>
      </w:r>
    </w:p>
    <w:p w14:paraId="0CCB1BD9">
      <w:pPr>
        <w:adjustRightInd w:val="0"/>
        <w:spacing w:line="360" w:lineRule="exact"/>
        <w:ind w:firstLine="422" w:firstLineChars="200"/>
        <w:rPr>
          <w:rFonts w:hint="eastAsia" w:ascii="宋体" w:hAnsi="宋体"/>
          <w:b/>
          <w:bCs/>
          <w:color w:val="auto"/>
          <w:highlight w:val="none"/>
        </w:rPr>
      </w:pPr>
      <w:r>
        <w:rPr>
          <w:rFonts w:hint="eastAsia" w:ascii="宋体" w:hAnsi="宋体"/>
          <w:b/>
          <w:bCs/>
          <w:color w:val="auto"/>
          <w:highlight w:val="none"/>
        </w:rPr>
        <w:t>一、本项目所要执行的政府采购政策：</w:t>
      </w:r>
    </w:p>
    <w:p w14:paraId="327013BB">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（一）</w:t>
      </w:r>
      <w:r>
        <w:rPr>
          <w:rFonts w:ascii="宋体" w:hAnsi="宋体"/>
          <w:color w:val="auto"/>
          <w:szCs w:val="21"/>
          <w:highlight w:val="none"/>
        </w:rPr>
        <w:t>根据《政府采购促进中小企业发展管理办法》（财库</w:t>
      </w:r>
      <w:r>
        <w:rPr>
          <w:rFonts w:hint="eastAsia" w:ascii="宋体" w:hAnsi="宋体"/>
          <w:color w:val="auto"/>
          <w:szCs w:val="21"/>
          <w:highlight w:val="none"/>
        </w:rPr>
        <w:t>[</w:t>
      </w:r>
      <w:r>
        <w:rPr>
          <w:rFonts w:ascii="宋体" w:hAnsi="宋体"/>
          <w:color w:val="auto"/>
          <w:szCs w:val="21"/>
          <w:highlight w:val="none"/>
        </w:rPr>
        <w:t>2020</w:t>
      </w:r>
      <w:r>
        <w:rPr>
          <w:rFonts w:hint="eastAsia" w:ascii="宋体" w:hAnsi="宋体"/>
          <w:color w:val="auto"/>
          <w:szCs w:val="21"/>
          <w:highlight w:val="none"/>
        </w:rPr>
        <w:t>]</w:t>
      </w:r>
      <w:r>
        <w:rPr>
          <w:rFonts w:ascii="宋体" w:hAnsi="宋体"/>
          <w:color w:val="auto"/>
          <w:szCs w:val="21"/>
          <w:highlight w:val="none"/>
        </w:rPr>
        <w:t>46号）</w:t>
      </w:r>
      <w:r>
        <w:rPr>
          <w:rFonts w:hint="eastAsia" w:ascii="宋体" w:hAnsi="宋体"/>
          <w:color w:val="auto"/>
          <w:szCs w:val="21"/>
          <w:highlight w:val="none"/>
        </w:rPr>
        <w:t>、《广西壮族自治区财政厅关于持续优化政府采购营商环境推动高质量发展的通知》（桂财采〔2024〕55号）</w:t>
      </w:r>
      <w:r>
        <w:rPr>
          <w:color w:val="auto"/>
          <w:highlight w:val="none"/>
        </w:rPr>
        <w:t>的规定</w:t>
      </w:r>
      <w:r>
        <w:rPr>
          <w:rFonts w:ascii="宋体" w:hAnsi="宋体"/>
          <w:color w:val="auto"/>
          <w:szCs w:val="21"/>
          <w:highlight w:val="none"/>
        </w:rPr>
        <w:t>，</w:t>
      </w:r>
      <w:r>
        <w:rPr>
          <w:rFonts w:hint="eastAsia" w:ascii="宋体" w:hAnsi="宋体"/>
          <w:color w:val="auto"/>
          <w:szCs w:val="21"/>
          <w:highlight w:val="none"/>
        </w:rPr>
        <w:t>投标人提供的货物全部由符合政策要求的小型、微型企业制造，投标文件中提供《中小企业声明函》的</w:t>
      </w:r>
      <w:r>
        <w:rPr>
          <w:rFonts w:ascii="宋体" w:hAnsi="宋体"/>
          <w:color w:val="auto"/>
          <w:szCs w:val="21"/>
          <w:highlight w:val="none"/>
        </w:rPr>
        <w:t>，投标人的投标报价给予</w:t>
      </w:r>
      <w:r>
        <w:rPr>
          <w:rFonts w:hint="eastAsia" w:ascii="宋体" w:hAnsi="宋体"/>
          <w:color w:val="auto"/>
          <w:szCs w:val="21"/>
          <w:highlight w:val="none"/>
        </w:rPr>
        <w:t>20</w:t>
      </w:r>
      <w:r>
        <w:rPr>
          <w:rFonts w:ascii="宋体" w:hAnsi="宋体"/>
          <w:color w:val="auto"/>
          <w:szCs w:val="21"/>
          <w:highlight w:val="none"/>
        </w:rPr>
        <w:t>%的扣除。本项目非专门面向中小企业采购。</w:t>
      </w:r>
    </w:p>
    <w:p w14:paraId="41B38480">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（二）根据财政部、司法部关于政府采购支持监狱企业发展有关问题的通知（财库[2014]68号），监狱企业视同小型、微型企业，</w:t>
      </w:r>
      <w:r>
        <w:rPr>
          <w:rFonts w:hint="eastAsia" w:hAnsi="宋体"/>
          <w:bCs/>
          <w:color w:val="auto"/>
          <w:highlight w:val="none"/>
        </w:rPr>
        <w:t>享受预留份额、评审中价格扣除等政府采购政策。</w:t>
      </w:r>
      <w:r>
        <w:rPr>
          <w:rFonts w:hint="eastAsia" w:ascii="宋体" w:hAnsi="宋体"/>
          <w:color w:val="auto"/>
          <w:szCs w:val="21"/>
          <w:highlight w:val="none"/>
        </w:rPr>
        <w:t>监狱企业</w:t>
      </w:r>
      <w:r>
        <w:rPr>
          <w:rFonts w:hint="eastAsia" w:ascii="宋体" w:hAnsi="宋体"/>
          <w:bCs/>
          <w:color w:val="auto"/>
          <w:highlight w:val="none"/>
        </w:rPr>
        <w:t>属于小型、微型企业的，不重复享受政策。</w:t>
      </w:r>
    </w:p>
    <w:p w14:paraId="6FB40DCF">
      <w:pPr>
        <w:spacing w:line="360" w:lineRule="exact"/>
        <w:ind w:firstLine="420" w:firstLineChars="200"/>
        <w:rPr>
          <w:rFonts w:hint="eastAsia" w:hAnsi="宋体"/>
          <w:bCs/>
          <w:color w:val="auto"/>
          <w:highlight w:val="none"/>
        </w:rPr>
      </w:pPr>
      <w:r>
        <w:rPr>
          <w:rFonts w:hint="eastAsia" w:ascii="宋体" w:hAnsi="宋体"/>
          <w:color w:val="auto"/>
          <w:highlight w:val="none"/>
        </w:rPr>
        <w:t>（三）按照</w:t>
      </w:r>
      <w:r>
        <w:rPr>
          <w:rFonts w:hint="eastAsia" w:ascii="宋体" w:hAnsi="宋体"/>
          <w:bCs/>
          <w:color w:val="auto"/>
          <w:highlight w:val="none"/>
        </w:rPr>
        <w:t>《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14:paraId="10C7D3BB">
      <w:pPr>
        <w:pStyle w:val="17"/>
        <w:spacing w:line="360" w:lineRule="exact"/>
        <w:rPr>
          <w:rFonts w:ascii="宋体" w:hAnsi="宋体" w:cs="宋体"/>
          <w:b/>
          <w:color w:val="auto"/>
          <w:kern w:val="0"/>
          <w:sz w:val="24"/>
          <w:highlight w:val="none"/>
        </w:rPr>
      </w:pPr>
      <w:r>
        <w:rPr>
          <w:rFonts w:hint="eastAsia" w:ascii="宋体" w:hAnsi="宋体"/>
          <w:b/>
          <w:bCs/>
          <w:color w:val="auto"/>
          <w:highlight w:val="none"/>
        </w:rPr>
        <w:t xml:space="preserve">    （四）根据财库〔2019〕9号及财库〔2019〕19号文件规定，台式计算机，便携式计算机、平板式微型计算机，液晶显示器，制冷压缩机（冷水机组、溴化锂吸收式冷水机组），空调机组[多联式空调（热泵）机组（制冷量＞14000W），单元式空气调节机]，专用制冷、空调设备（机房空调），镇流器（管型荧光灯镇流器），空调机[房间空气调节器、多联式空调（热泵）机组（制冷量≤14000W）、单元式空气调节机（制冷量≤14000W）]，电热水器，普通照明用双端荧光灯，电视设备[普通电视设备（电视机）]，视频设备[视频监控设备</w:t>
      </w:r>
      <w:r>
        <w:rPr>
          <w:rFonts w:hint="eastAsia" w:ascii="宋体" w:hAnsi="宋体"/>
          <w:b/>
          <w:bCs/>
          <w:color w:val="auto"/>
          <w:highlight w:val="none"/>
          <w:lang w:eastAsia="zh-CN"/>
        </w:rPr>
        <w:t>（</w:t>
      </w:r>
      <w:r>
        <w:rPr>
          <w:rFonts w:hint="eastAsia" w:ascii="宋体" w:hAnsi="宋体"/>
          <w:b/>
          <w:bCs/>
          <w:color w:val="auto"/>
          <w:highlight w:val="none"/>
        </w:rPr>
        <w:t>监视器）]，便器（坐便器、蹲便器、小便器），水嘴均为节能产品政府采购品目清单内标注“</w:t>
      </w:r>
      <w:r>
        <w:rPr>
          <w:rFonts w:hint="eastAsia" w:ascii="宋体" w:hAnsi="宋体"/>
          <w:color w:val="auto"/>
          <w:szCs w:val="21"/>
          <w:highlight w:val="none"/>
        </w:rPr>
        <w:t>★</w:t>
      </w:r>
      <w:r>
        <w:rPr>
          <w:rFonts w:hint="eastAsia" w:ascii="宋体" w:hAnsi="宋体"/>
          <w:b/>
          <w:bCs/>
          <w:color w:val="auto"/>
          <w:highlight w:val="none"/>
        </w:rPr>
        <w:t>”的品目，属于政府强制采购节能产品。本项目不涉及政府强制采购节能产品。</w:t>
      </w:r>
    </w:p>
    <w:p w14:paraId="691C3CEE">
      <w:pPr>
        <w:adjustRightInd w:val="0"/>
        <w:spacing w:line="360" w:lineRule="exact"/>
        <w:ind w:firstLine="431"/>
        <w:rPr>
          <w:rFonts w:hint="eastAsia" w:ascii="宋体" w:hAnsi="宋体"/>
          <w:color w:val="auto"/>
          <w:szCs w:val="21"/>
          <w:highlight w:val="none"/>
        </w:rPr>
      </w:pPr>
      <w:r>
        <w:rPr>
          <w:rFonts w:hint="eastAsia" w:ascii="宋体" w:hAnsi="宋体"/>
          <w:color w:val="auto"/>
          <w:szCs w:val="21"/>
          <w:highlight w:val="none"/>
        </w:rPr>
        <w:t>（五）优先采购环境标志产品、节能产品。</w:t>
      </w:r>
    </w:p>
    <w:p w14:paraId="669A19A9">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二、采购需求中出现的品牌、型号或者生产厂家仅起参考作用，不属于指定品牌、型号或者生产厂家的情形。投标人可参照或者选用其他相当的品牌、型号或者生产厂家替代，但选用的投标产品参数性能必须满足实质性要求。</w:t>
      </w:r>
    </w:p>
    <w:p w14:paraId="78FDC146">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三、投标人必须自行为其投标产品侵犯他人的知识产权或者专利成果或其他合法权益的行为承担相应法律责任。</w:t>
      </w:r>
    </w:p>
    <w:p w14:paraId="7658F86C">
      <w:pPr>
        <w:spacing w:line="400" w:lineRule="exact"/>
        <w:ind w:firstLine="420" w:firstLineChars="200"/>
        <w:rPr>
          <w:rFonts w:hint="eastAsia" w:ascii="宋体" w:hAnsi="宋体"/>
          <w:b/>
          <w:color w:val="auto"/>
          <w:szCs w:val="21"/>
          <w:highlight w:val="none"/>
        </w:rPr>
      </w:pPr>
      <w:r>
        <w:rPr>
          <w:rFonts w:hint="eastAsia" w:ascii="宋体" w:hAnsi="宋体"/>
          <w:bCs/>
          <w:color w:val="auto"/>
          <w:highlight w:val="none"/>
        </w:rPr>
        <w:t>四、</w:t>
      </w:r>
      <w:r>
        <w:rPr>
          <w:rFonts w:hint="eastAsia" w:ascii="宋体" w:hAnsi="宋体"/>
          <w:b/>
          <w:color w:val="auto"/>
          <w:szCs w:val="21"/>
          <w:highlight w:val="none"/>
        </w:rPr>
        <w:t>实质性要求是指“采购需求”中标注“▲”符号的条款以及招标文件中要求“必须提供”的条款，投标人对实质性要求若有任意一项不满足，投标文件按无效处理。本项目“采购需求”的“技术要求”中未标注 “▲”号的技术参数要求允许发生负偏离的条款数累计最多为</w:t>
      </w:r>
      <w:r>
        <w:rPr>
          <w:rFonts w:hint="eastAsia" w:ascii="宋体" w:hAnsi="宋体"/>
          <w:b/>
          <w:color w:val="auto"/>
          <w:szCs w:val="21"/>
          <w:highlight w:val="none"/>
          <w:lang w:val="en-US" w:eastAsia="zh-CN"/>
        </w:rPr>
        <w:t>9</w:t>
      </w:r>
      <w:r>
        <w:rPr>
          <w:rFonts w:hint="eastAsia" w:ascii="宋体" w:hAnsi="宋体"/>
          <w:b/>
          <w:color w:val="auto"/>
          <w:szCs w:val="21"/>
          <w:highlight w:val="none"/>
        </w:rPr>
        <w:t>项，未标注 “▲”号的技术参数要求投标响应时存在负偏离数≥</w:t>
      </w:r>
      <w:r>
        <w:rPr>
          <w:rFonts w:hint="eastAsia" w:ascii="宋体" w:hAnsi="宋体"/>
          <w:b/>
          <w:color w:val="auto"/>
          <w:szCs w:val="21"/>
          <w:highlight w:val="none"/>
          <w:lang w:val="en-US" w:eastAsia="zh-CN"/>
        </w:rPr>
        <w:t>10</w:t>
      </w:r>
      <w:r>
        <w:rPr>
          <w:rFonts w:hint="eastAsia" w:ascii="宋体" w:hAnsi="宋体"/>
          <w:b/>
          <w:color w:val="auto"/>
          <w:szCs w:val="21"/>
          <w:highlight w:val="none"/>
        </w:rPr>
        <w:t>项时，投标文件按无效处理。</w:t>
      </w:r>
    </w:p>
    <w:p w14:paraId="53E01D57">
      <w:pPr>
        <w:spacing w:line="360" w:lineRule="exact"/>
        <w:ind w:firstLine="420" w:firstLineChars="200"/>
        <w:rPr>
          <w:rFonts w:hint="eastAsia" w:ascii="宋体" w:hAnsi="宋体"/>
          <w:bCs/>
          <w:color w:val="auto"/>
          <w:highlight w:val="none"/>
        </w:rPr>
      </w:pPr>
    </w:p>
    <w:p w14:paraId="0E8D3D43">
      <w:pPr>
        <w:adjustRightInd w:val="0"/>
        <w:spacing w:line="360" w:lineRule="exact"/>
        <w:rPr>
          <w:rFonts w:hint="eastAsia" w:ascii="宋体" w:hAnsi="宋体"/>
          <w:b/>
          <w:color w:val="auto"/>
          <w:sz w:val="24"/>
          <w:highlight w:val="none"/>
        </w:rPr>
      </w:pPr>
      <w:r>
        <w:rPr>
          <w:rFonts w:hint="eastAsia" w:ascii="宋体" w:hAnsi="宋体"/>
          <w:b/>
          <w:color w:val="auto"/>
          <w:sz w:val="24"/>
          <w:highlight w:val="none"/>
        </w:rPr>
        <w:t>Ⅱ</w:t>
      </w:r>
      <w:r>
        <w:rPr>
          <w:rFonts w:hint="eastAsia" w:ascii="宋体" w:hAnsi="宋体"/>
          <w:b/>
          <w:color w:val="auto"/>
          <w:sz w:val="24"/>
          <w:highlight w:val="none"/>
          <w:lang w:eastAsia="zh-CN"/>
        </w:rPr>
        <w:t>、</w:t>
      </w:r>
      <w:r>
        <w:rPr>
          <w:rFonts w:hint="eastAsia" w:ascii="宋体" w:hAnsi="宋体"/>
          <w:b/>
          <w:color w:val="auto"/>
          <w:sz w:val="24"/>
          <w:highlight w:val="none"/>
        </w:rPr>
        <w:t>采购需求一览表</w:t>
      </w:r>
    </w:p>
    <w:tbl>
      <w:tblPr>
        <w:tblStyle w:val="51"/>
        <w:tblW w:w="9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488"/>
        <w:gridCol w:w="934"/>
        <w:gridCol w:w="4045"/>
        <w:gridCol w:w="709"/>
        <w:gridCol w:w="753"/>
        <w:gridCol w:w="1319"/>
      </w:tblGrid>
      <w:tr w14:paraId="03459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905" w:type="dxa"/>
            <w:gridSpan w:val="7"/>
            <w:tcBorders>
              <w:top w:val="single" w:color="auto" w:sz="4" w:space="0"/>
              <w:left w:val="single" w:color="auto" w:sz="4" w:space="0"/>
              <w:bottom w:val="single" w:color="auto" w:sz="4" w:space="0"/>
              <w:right w:val="single" w:color="auto" w:sz="4" w:space="0"/>
            </w:tcBorders>
            <w:noWrap w:val="0"/>
            <w:vAlign w:val="center"/>
          </w:tcPr>
          <w:p w14:paraId="57EC1D66">
            <w:pPr>
              <w:keepNext w:val="0"/>
              <w:keepLines w:val="0"/>
              <w:pageBreakBefore w:val="0"/>
              <w:kinsoku/>
              <w:wordWrap w:val="0"/>
              <w:overflowPunct/>
              <w:topLinePunct w:val="0"/>
              <w:autoSpaceDE/>
              <w:autoSpaceDN/>
              <w:bidi w:val="0"/>
              <w:rPr>
                <w:rFonts w:ascii="宋体" w:hAnsi="宋体" w:cs="宋体"/>
                <w:b/>
                <w:color w:val="auto"/>
                <w:szCs w:val="21"/>
                <w:highlight w:val="none"/>
              </w:rPr>
            </w:pPr>
            <w:r>
              <w:rPr>
                <w:rFonts w:hint="eastAsia" w:ascii="宋体" w:hAnsi="宋体" w:cs="宋体"/>
                <w:b/>
                <w:color w:val="auto"/>
                <w:szCs w:val="21"/>
                <w:highlight w:val="none"/>
              </w:rPr>
              <w:t>一、采购内容及技术要求</w:t>
            </w:r>
          </w:p>
        </w:tc>
      </w:tr>
      <w:tr w14:paraId="1E85E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657" w:type="dxa"/>
            <w:tcBorders>
              <w:top w:val="single" w:color="auto" w:sz="4" w:space="0"/>
              <w:left w:val="single" w:color="auto" w:sz="4" w:space="0"/>
              <w:bottom w:val="single" w:color="auto" w:sz="4" w:space="0"/>
              <w:right w:val="single" w:color="auto" w:sz="4" w:space="0"/>
            </w:tcBorders>
            <w:noWrap w:val="0"/>
            <w:vAlign w:val="center"/>
          </w:tcPr>
          <w:p w14:paraId="6CB49501">
            <w:pPr>
              <w:keepNext w:val="0"/>
              <w:keepLines w:val="0"/>
              <w:pageBreakBefore w:val="0"/>
              <w:kinsoku/>
              <w:wordWrap w:val="0"/>
              <w:overflowPunct/>
              <w:topLinePunct w:val="0"/>
              <w:autoSpaceDE/>
              <w:autoSpaceDN/>
              <w:bidi w:val="0"/>
              <w:adjustRightInd w:val="0"/>
              <w:snapToGrid w:val="0"/>
              <w:jc w:val="center"/>
              <w:rPr>
                <w:rFonts w:ascii="宋体" w:hAnsi="宋体" w:cs="宋体"/>
                <w:b/>
                <w:bCs/>
                <w:color w:val="auto"/>
                <w:szCs w:val="21"/>
                <w:highlight w:val="none"/>
              </w:rPr>
            </w:pPr>
            <w:r>
              <w:rPr>
                <w:rFonts w:hint="eastAsia" w:ascii="宋体" w:hAnsi="宋体" w:cs="宋体"/>
                <w:b/>
                <w:color w:val="auto"/>
                <w:szCs w:val="21"/>
                <w:highlight w:val="none"/>
              </w:rPr>
              <w:t>项号</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6AF8825B">
            <w:pPr>
              <w:keepNext w:val="0"/>
              <w:keepLines w:val="0"/>
              <w:pageBreakBefore w:val="0"/>
              <w:kinsoku/>
              <w:wordWrap w:val="0"/>
              <w:overflowPunct/>
              <w:topLinePunct w:val="0"/>
              <w:autoSpaceDE/>
              <w:autoSpaceDN/>
              <w:bidi w:val="0"/>
              <w:adjustRightInd w:val="0"/>
              <w:snapToGrid w:val="0"/>
              <w:jc w:val="center"/>
              <w:rPr>
                <w:rFonts w:ascii="宋体" w:hAnsi="宋体" w:cs="宋体"/>
                <w:b/>
                <w:color w:val="auto"/>
                <w:szCs w:val="21"/>
                <w:highlight w:val="none"/>
              </w:rPr>
            </w:pPr>
            <w:r>
              <w:rPr>
                <w:rFonts w:hint="eastAsia" w:ascii="宋体" w:hAnsi="宋体" w:cs="宋体"/>
                <w:b/>
                <w:color w:val="auto"/>
                <w:szCs w:val="21"/>
                <w:highlight w:val="none"/>
              </w:rPr>
              <w:t>标的的名称</w:t>
            </w:r>
          </w:p>
        </w:tc>
        <w:tc>
          <w:tcPr>
            <w:tcW w:w="934" w:type="dxa"/>
            <w:tcBorders>
              <w:top w:val="single" w:color="auto" w:sz="4" w:space="0"/>
              <w:left w:val="single" w:color="auto" w:sz="4" w:space="0"/>
              <w:bottom w:val="single" w:color="auto" w:sz="4" w:space="0"/>
              <w:right w:val="single" w:color="auto" w:sz="4" w:space="0"/>
            </w:tcBorders>
            <w:noWrap w:val="0"/>
            <w:vAlign w:val="center"/>
          </w:tcPr>
          <w:p w14:paraId="7039E11B">
            <w:pPr>
              <w:keepNext w:val="0"/>
              <w:keepLines w:val="0"/>
              <w:pageBreakBefore w:val="0"/>
              <w:widowControl/>
              <w:kinsoku/>
              <w:wordWrap w:val="0"/>
              <w:overflowPunct/>
              <w:topLinePunct w:val="0"/>
              <w:autoSpaceDE/>
              <w:autoSpaceDN/>
              <w:bidi w:val="0"/>
              <w:jc w:val="center"/>
              <w:rPr>
                <w:rFonts w:ascii="宋体" w:hAnsi="宋体" w:cs="宋体"/>
                <w:b/>
                <w:color w:val="auto"/>
                <w:szCs w:val="21"/>
                <w:highlight w:val="none"/>
              </w:rPr>
            </w:pPr>
            <w:r>
              <w:rPr>
                <w:rFonts w:hint="eastAsia" w:ascii="宋体" w:hAnsi="宋体" w:cs="宋体"/>
                <w:b/>
                <w:color w:val="auto"/>
                <w:szCs w:val="21"/>
                <w:highlight w:val="none"/>
              </w:rPr>
              <w:t>标的所属行业</w:t>
            </w:r>
          </w:p>
        </w:tc>
        <w:tc>
          <w:tcPr>
            <w:tcW w:w="4045" w:type="dxa"/>
            <w:tcBorders>
              <w:top w:val="single" w:color="auto" w:sz="4" w:space="0"/>
              <w:left w:val="single" w:color="auto" w:sz="4" w:space="0"/>
              <w:bottom w:val="single" w:color="auto" w:sz="4" w:space="0"/>
              <w:right w:val="single" w:color="auto" w:sz="4" w:space="0"/>
            </w:tcBorders>
            <w:noWrap w:val="0"/>
            <w:vAlign w:val="center"/>
          </w:tcPr>
          <w:p w14:paraId="57D36580">
            <w:pPr>
              <w:keepNext w:val="0"/>
              <w:keepLines w:val="0"/>
              <w:pageBreakBefore w:val="0"/>
              <w:kinsoku/>
              <w:wordWrap w:val="0"/>
              <w:overflowPunct/>
              <w:topLinePunct w:val="0"/>
              <w:autoSpaceDE/>
              <w:autoSpaceDN/>
              <w:bidi w:val="0"/>
              <w:jc w:val="center"/>
              <w:rPr>
                <w:rFonts w:ascii="宋体" w:hAnsi="宋体" w:cs="宋体"/>
                <w:b/>
                <w:color w:val="auto"/>
                <w:szCs w:val="21"/>
                <w:highlight w:val="none"/>
              </w:rPr>
            </w:pPr>
            <w:r>
              <w:rPr>
                <w:rFonts w:hint="eastAsia" w:ascii="宋体" w:hAnsi="宋体" w:cs="宋体"/>
                <w:b/>
                <w:color w:val="auto"/>
                <w:szCs w:val="21"/>
                <w:highlight w:val="none"/>
              </w:rPr>
              <w:t>技术要求</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145E227">
            <w:pPr>
              <w:keepNext w:val="0"/>
              <w:keepLines w:val="0"/>
              <w:pageBreakBefore w:val="0"/>
              <w:kinsoku/>
              <w:wordWrap w:val="0"/>
              <w:overflowPunct/>
              <w:topLinePunct w:val="0"/>
              <w:autoSpaceDE/>
              <w:autoSpaceDN/>
              <w:bidi w:val="0"/>
              <w:adjustRightInd w:val="0"/>
              <w:snapToGrid w:val="0"/>
              <w:jc w:val="center"/>
              <w:rPr>
                <w:rFonts w:ascii="宋体" w:hAnsi="宋体" w:cs="宋体"/>
                <w:b/>
                <w:color w:val="auto"/>
                <w:szCs w:val="21"/>
                <w:highlight w:val="none"/>
              </w:rPr>
            </w:pPr>
            <w:r>
              <w:rPr>
                <w:rFonts w:hint="eastAsia" w:ascii="宋体" w:hAnsi="宋体" w:cs="宋体"/>
                <w:b/>
                <w:color w:val="auto"/>
                <w:szCs w:val="21"/>
                <w:highlight w:val="none"/>
              </w:rPr>
              <w:t>数量</w:t>
            </w:r>
          </w:p>
        </w:tc>
        <w:tc>
          <w:tcPr>
            <w:tcW w:w="753" w:type="dxa"/>
            <w:tcBorders>
              <w:top w:val="single" w:color="auto" w:sz="4" w:space="0"/>
              <w:left w:val="single" w:color="auto" w:sz="4" w:space="0"/>
              <w:bottom w:val="single" w:color="auto" w:sz="4" w:space="0"/>
              <w:right w:val="single" w:color="auto" w:sz="4" w:space="0"/>
            </w:tcBorders>
            <w:noWrap w:val="0"/>
            <w:vAlign w:val="center"/>
          </w:tcPr>
          <w:p w14:paraId="0C5C3D4B">
            <w:pPr>
              <w:keepNext w:val="0"/>
              <w:keepLines w:val="0"/>
              <w:pageBreakBefore w:val="0"/>
              <w:kinsoku/>
              <w:wordWrap w:val="0"/>
              <w:overflowPunct/>
              <w:topLinePunct w:val="0"/>
              <w:autoSpaceDE/>
              <w:autoSpaceDN/>
              <w:bidi w:val="0"/>
              <w:adjustRightInd w:val="0"/>
              <w:snapToGrid w:val="0"/>
              <w:jc w:val="center"/>
              <w:rPr>
                <w:rFonts w:ascii="宋体" w:hAnsi="宋体" w:cs="宋体"/>
                <w:b/>
                <w:color w:val="auto"/>
                <w:szCs w:val="21"/>
                <w:highlight w:val="none"/>
              </w:rPr>
            </w:pPr>
            <w:r>
              <w:rPr>
                <w:rFonts w:hint="eastAsia" w:ascii="宋体" w:hAnsi="宋体" w:cs="宋体"/>
                <w:b/>
                <w:color w:val="auto"/>
                <w:szCs w:val="21"/>
                <w:highlight w:val="none"/>
              </w:rPr>
              <w:t>单位</w:t>
            </w:r>
          </w:p>
        </w:tc>
        <w:tc>
          <w:tcPr>
            <w:tcW w:w="1319" w:type="dxa"/>
            <w:tcBorders>
              <w:top w:val="single" w:color="auto" w:sz="4" w:space="0"/>
              <w:left w:val="single" w:color="auto" w:sz="4" w:space="0"/>
              <w:bottom w:val="single" w:color="auto" w:sz="4" w:space="0"/>
              <w:right w:val="single" w:color="auto" w:sz="4" w:space="0"/>
            </w:tcBorders>
            <w:noWrap w:val="0"/>
            <w:vAlign w:val="center"/>
          </w:tcPr>
          <w:p w14:paraId="5DC1B279">
            <w:pPr>
              <w:keepNext w:val="0"/>
              <w:keepLines w:val="0"/>
              <w:pageBreakBefore w:val="0"/>
              <w:kinsoku/>
              <w:wordWrap w:val="0"/>
              <w:overflowPunct/>
              <w:topLinePunct w:val="0"/>
              <w:autoSpaceDE/>
              <w:autoSpaceDN/>
              <w:bidi w:val="0"/>
              <w:adjustRightInd w:val="0"/>
              <w:snapToGrid w:val="0"/>
              <w:jc w:val="center"/>
              <w:rPr>
                <w:rFonts w:ascii="宋体" w:hAnsi="宋体" w:cs="宋体"/>
                <w:b/>
                <w:color w:val="auto"/>
                <w:szCs w:val="21"/>
                <w:highlight w:val="none"/>
              </w:rPr>
            </w:pPr>
            <w:r>
              <w:rPr>
                <w:rFonts w:hint="eastAsia" w:ascii="宋体" w:hAnsi="宋体" w:cs="宋体"/>
                <w:b/>
                <w:color w:val="auto"/>
                <w:szCs w:val="21"/>
                <w:highlight w:val="none"/>
              </w:rPr>
              <w:t>参考单价（元）</w:t>
            </w:r>
          </w:p>
        </w:tc>
      </w:tr>
      <w:tr w14:paraId="55F72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57" w:type="dxa"/>
            <w:tcBorders>
              <w:top w:val="single" w:color="auto" w:sz="4" w:space="0"/>
              <w:left w:val="single" w:color="auto" w:sz="4" w:space="0"/>
              <w:bottom w:val="single" w:color="auto" w:sz="4" w:space="0"/>
              <w:right w:val="single" w:color="auto" w:sz="4" w:space="0"/>
            </w:tcBorders>
            <w:noWrap w:val="0"/>
            <w:vAlign w:val="center"/>
          </w:tcPr>
          <w:p w14:paraId="1BEED14D">
            <w:pPr>
              <w:keepNext w:val="0"/>
              <w:keepLines w:val="0"/>
              <w:pageBreakBefore w:val="0"/>
              <w:widowControl/>
              <w:kinsoku/>
              <w:wordWrap w:val="0"/>
              <w:overflowPunct/>
              <w:topLinePunct w:val="0"/>
              <w:autoSpaceDE/>
              <w:autoSpaceDN/>
              <w:bidi w:val="0"/>
              <w:jc w:val="center"/>
              <w:outlineLvl w:val="0"/>
              <w:rPr>
                <w:rFonts w:ascii="宋体" w:hAnsi="宋体" w:cs="宋体"/>
                <w:color w:val="auto"/>
                <w:szCs w:val="21"/>
                <w:highlight w:val="none"/>
              </w:rPr>
            </w:pPr>
            <w:r>
              <w:rPr>
                <w:rFonts w:hint="eastAsia" w:ascii="宋体" w:hAnsi="宋体" w:cs="宋体"/>
                <w:color w:val="auto"/>
                <w:kern w:val="0"/>
                <w:sz w:val="22"/>
                <w:szCs w:val="22"/>
                <w:highlight w:val="none"/>
              </w:rPr>
              <w:t>1</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38DA09A1">
            <w:pPr>
              <w:keepNext w:val="0"/>
              <w:keepLines w:val="0"/>
              <w:pageBreakBefore w:val="0"/>
              <w:widowControl/>
              <w:kinsoku/>
              <w:wordWrap w:val="0"/>
              <w:overflowPunct/>
              <w:topLinePunct w:val="0"/>
              <w:autoSpaceDE/>
              <w:autoSpaceDN/>
              <w:bidi w:val="0"/>
              <w:jc w:val="center"/>
              <w:outlineLvl w:val="0"/>
              <w:rPr>
                <w:rFonts w:ascii="宋体" w:hAnsi="宋体" w:cs="宋体"/>
                <w:color w:val="auto"/>
                <w:szCs w:val="21"/>
                <w:highlight w:val="none"/>
              </w:rPr>
            </w:pPr>
            <w:r>
              <w:rPr>
                <w:rFonts w:hint="eastAsia" w:ascii="宋体" w:hAnsi="宋体" w:cs="宋体"/>
                <w:b w:val="0"/>
                <w:bCs w:val="0"/>
                <w:color w:val="auto"/>
                <w:kern w:val="0"/>
                <w:sz w:val="22"/>
                <w:szCs w:val="22"/>
                <w:highlight w:val="none"/>
              </w:rPr>
              <w:t>医用中心吸引系统</w:t>
            </w:r>
          </w:p>
        </w:tc>
        <w:tc>
          <w:tcPr>
            <w:tcW w:w="934" w:type="dxa"/>
            <w:tcBorders>
              <w:top w:val="single" w:color="auto" w:sz="4" w:space="0"/>
              <w:left w:val="single" w:color="auto" w:sz="4" w:space="0"/>
              <w:right w:val="single" w:color="auto" w:sz="4" w:space="0"/>
            </w:tcBorders>
            <w:noWrap w:val="0"/>
            <w:vAlign w:val="center"/>
          </w:tcPr>
          <w:p w14:paraId="2F8BB8F7">
            <w:pPr>
              <w:keepNext w:val="0"/>
              <w:keepLines w:val="0"/>
              <w:pageBreakBefore w:val="0"/>
              <w:widowControl/>
              <w:kinsoku/>
              <w:wordWrap w:val="0"/>
              <w:overflowPunct/>
              <w:topLinePunct w:val="0"/>
              <w:autoSpaceDE/>
              <w:autoSpaceDN/>
              <w:bidi w:val="0"/>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工业</w:t>
            </w:r>
          </w:p>
        </w:tc>
        <w:tc>
          <w:tcPr>
            <w:tcW w:w="4045" w:type="dxa"/>
            <w:tcBorders>
              <w:top w:val="single" w:color="auto" w:sz="4" w:space="0"/>
              <w:left w:val="single" w:color="auto" w:sz="4" w:space="0"/>
              <w:bottom w:val="single" w:color="auto" w:sz="4" w:space="0"/>
              <w:right w:val="single" w:color="auto" w:sz="4" w:space="0"/>
            </w:tcBorders>
            <w:noWrap w:val="0"/>
            <w:vAlign w:val="center"/>
          </w:tcPr>
          <w:p w14:paraId="63EB693D">
            <w:pPr>
              <w:keepNext w:val="0"/>
              <w:keepLines w:val="0"/>
              <w:pageBreakBefore w:val="0"/>
              <w:widowControl/>
              <w:kinsoku/>
              <w:wordWrap w:val="0"/>
              <w:overflowPunct/>
              <w:topLinePunct w:val="0"/>
              <w:autoSpaceDE/>
              <w:autoSpaceDN/>
              <w:bidi w:val="0"/>
              <w:jc w:val="left"/>
              <w:outlineLvl w:val="0"/>
              <w:rPr>
                <w:rFonts w:hint="eastAsia" w:ascii="宋体" w:hAnsi="宋体" w:eastAsia="宋体" w:cs="宋体"/>
                <w:b/>
                <w:bCs/>
                <w:color w:val="auto"/>
                <w:kern w:val="0"/>
                <w:sz w:val="22"/>
                <w:szCs w:val="22"/>
                <w:highlight w:val="none"/>
                <w:lang w:eastAsia="zh-CN"/>
              </w:rPr>
            </w:pPr>
            <w:r>
              <w:rPr>
                <w:rFonts w:hint="eastAsia" w:ascii="宋体" w:hAnsi="宋体" w:cs="宋体"/>
                <w:color w:val="auto"/>
                <w:kern w:val="0"/>
                <w:sz w:val="22"/>
                <w:szCs w:val="22"/>
                <w:highlight w:val="none"/>
                <w:lang w:eastAsia="zh-CN"/>
              </w:rPr>
              <w:t>一、</w:t>
            </w:r>
            <w:r>
              <w:rPr>
                <w:rFonts w:hint="eastAsia" w:ascii="宋体" w:hAnsi="宋体" w:cs="宋体"/>
                <w:color w:val="auto"/>
                <w:kern w:val="0"/>
                <w:sz w:val="22"/>
                <w:szCs w:val="22"/>
                <w:highlight w:val="none"/>
              </w:rPr>
              <w:t>油润旋片真空泵（吸引中心站）</w:t>
            </w:r>
            <w:r>
              <w:rPr>
                <w:rFonts w:hint="eastAsia" w:ascii="宋体" w:hAnsi="宋体" w:cs="宋体"/>
                <w:color w:val="auto"/>
                <w:kern w:val="0"/>
                <w:sz w:val="22"/>
                <w:szCs w:val="22"/>
                <w:highlight w:val="none"/>
                <w:lang w:val="en-US" w:eastAsia="zh-CN"/>
              </w:rPr>
              <w:t>：</w:t>
            </w:r>
            <w:r>
              <w:rPr>
                <w:rFonts w:hint="eastAsia" w:ascii="宋体" w:hAnsi="宋体" w:cs="宋体"/>
                <w:color w:val="auto"/>
                <w:kern w:val="0"/>
                <w:sz w:val="22"/>
                <w:szCs w:val="22"/>
                <w:highlight w:val="none"/>
              </w:rPr>
              <w:t>▲</w:t>
            </w:r>
            <w:r>
              <w:rPr>
                <w:rFonts w:hint="eastAsia" w:ascii="宋体" w:hAnsi="宋体" w:cs="宋体"/>
                <w:b/>
                <w:bCs/>
                <w:color w:val="auto"/>
                <w:kern w:val="0"/>
                <w:sz w:val="22"/>
                <w:szCs w:val="22"/>
                <w:highlight w:val="none"/>
                <w:lang w:val="en-US" w:eastAsia="zh-CN"/>
              </w:rPr>
              <w:t>1.</w:t>
            </w:r>
            <w:r>
              <w:rPr>
                <w:rFonts w:hint="eastAsia" w:ascii="宋体" w:hAnsi="宋体" w:cs="宋体"/>
                <w:b/>
                <w:bCs/>
                <w:color w:val="auto"/>
                <w:kern w:val="0"/>
                <w:sz w:val="22"/>
                <w:szCs w:val="22"/>
                <w:highlight w:val="none"/>
                <w:lang w:eastAsia="zh-CN"/>
              </w:rPr>
              <w:t>数量：</w:t>
            </w:r>
            <w:r>
              <w:rPr>
                <w:rFonts w:hint="eastAsia" w:ascii="宋体" w:hAnsi="宋体" w:cs="宋体"/>
                <w:b/>
                <w:bCs/>
                <w:color w:val="auto"/>
                <w:kern w:val="0"/>
                <w:sz w:val="22"/>
                <w:szCs w:val="22"/>
                <w:highlight w:val="none"/>
              </w:rPr>
              <w:t>1 套</w:t>
            </w:r>
            <w:r>
              <w:rPr>
                <w:rFonts w:hint="eastAsia" w:ascii="宋体" w:hAnsi="宋体" w:cs="宋体"/>
                <w:b/>
                <w:bCs/>
                <w:color w:val="auto"/>
                <w:kern w:val="0"/>
                <w:sz w:val="22"/>
                <w:szCs w:val="22"/>
                <w:highlight w:val="none"/>
                <w:lang w:eastAsia="zh-CN"/>
              </w:rPr>
              <w:t>；</w:t>
            </w:r>
          </w:p>
          <w:p w14:paraId="36505E57">
            <w:pPr>
              <w:keepNext w:val="0"/>
              <w:keepLines w:val="0"/>
              <w:pageBreakBefore w:val="0"/>
              <w:widowControl/>
              <w:kinsoku/>
              <w:wordWrap w:val="0"/>
              <w:overflowPunct/>
              <w:topLinePunct w:val="0"/>
              <w:autoSpaceDE/>
              <w:autoSpaceDN/>
              <w:bidi w:val="0"/>
              <w:jc w:val="left"/>
              <w:outlineLvl w:val="0"/>
              <w:rPr>
                <w:rFonts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rPr>
              <w:t>2</w:t>
            </w:r>
            <w:r>
              <w:rPr>
                <w:rFonts w:hint="eastAsia" w:ascii="宋体" w:hAnsi="宋体" w:cs="宋体"/>
                <w:color w:val="auto"/>
                <w:kern w:val="0"/>
                <w:sz w:val="22"/>
                <w:szCs w:val="22"/>
                <w:highlight w:val="none"/>
              </w:rPr>
              <w:t>.一体式撬装组装方式；</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rPr>
              <w:t>▲</w:t>
            </w:r>
            <w:r>
              <w:rPr>
                <w:rFonts w:hint="eastAsia" w:ascii="宋体" w:hAnsi="宋体" w:cs="宋体"/>
                <w:b/>
                <w:bCs/>
                <w:color w:val="auto"/>
                <w:kern w:val="0"/>
                <w:sz w:val="22"/>
                <w:szCs w:val="22"/>
                <w:highlight w:val="none"/>
                <w:lang w:val="en-US" w:eastAsia="zh-CN"/>
              </w:rPr>
              <w:t>3</w:t>
            </w:r>
            <w:r>
              <w:rPr>
                <w:rFonts w:hint="eastAsia" w:ascii="宋体" w:hAnsi="宋体" w:cs="宋体"/>
                <w:b/>
                <w:bCs/>
                <w:color w:val="auto"/>
                <w:kern w:val="0"/>
                <w:sz w:val="22"/>
                <w:szCs w:val="22"/>
                <w:highlight w:val="none"/>
              </w:rPr>
              <w:t>.真空负压机组包含不少于四台油润滑旋片式真空泵，机组总抽气量≥1200m³/h，真空泵总功率≤30kW（单台抽气≥300m³/h，单台真空泵功率≤7.5kW），配备≥2支处理量且≥900m³/h的细菌过滤器，配备自动控制运行系统及管路连接系统；</w:t>
            </w:r>
            <w:r>
              <w:rPr>
                <w:rFonts w:hint="eastAsia" w:ascii="宋体" w:hAnsi="宋体" w:cs="宋体"/>
                <w:b/>
                <w:bCs/>
                <w:color w:val="auto"/>
                <w:kern w:val="0"/>
                <w:sz w:val="22"/>
                <w:szCs w:val="22"/>
                <w:highlight w:val="none"/>
              </w:rPr>
              <w:br w:type="textWrapping"/>
            </w:r>
            <w:r>
              <w:rPr>
                <w:rFonts w:hint="eastAsia" w:ascii="宋体" w:hAnsi="宋体" w:cs="宋体"/>
                <w:color w:val="auto"/>
                <w:kern w:val="0"/>
                <w:sz w:val="22"/>
                <w:szCs w:val="22"/>
                <w:highlight w:val="none"/>
                <w:lang w:val="en-US" w:eastAsia="zh-CN"/>
              </w:rPr>
              <w:t>4</w:t>
            </w:r>
            <w:r>
              <w:rPr>
                <w:rFonts w:hint="eastAsia" w:ascii="宋体" w:hAnsi="宋体" w:cs="宋体"/>
                <w:color w:val="auto"/>
                <w:kern w:val="0"/>
                <w:sz w:val="22"/>
                <w:szCs w:val="22"/>
                <w:highlight w:val="none"/>
              </w:rPr>
              <w:t>.除菌过滤器过滤精度：0.01um～0.2um；效率≥99.995%，</w:t>
            </w:r>
            <w:r>
              <w:rPr>
                <w:rFonts w:hint="eastAsia" w:ascii="宋体" w:hAnsi="宋体" w:cs="宋体"/>
                <w:color w:val="auto"/>
                <w:kern w:val="0"/>
                <w:szCs w:val="21"/>
                <w:highlight w:val="none"/>
              </w:rPr>
              <w:t>除菌过滤器处采取滤芯性能监视措施</w:t>
            </w:r>
            <w:r>
              <w:rPr>
                <w:rFonts w:hint="eastAsia" w:ascii="宋体" w:hAnsi="宋体" w:cs="宋体"/>
                <w:b/>
                <w:bCs/>
                <w:color w:val="auto"/>
                <w:kern w:val="0"/>
                <w:sz w:val="22"/>
                <w:szCs w:val="22"/>
                <w:highlight w:val="none"/>
              </w:rPr>
              <w:t>【投标人于投标文件中提供所投产品由国家认可的第三方检测（检验）机构出具的满足本项技术参数的检测（检验）报告复印件证明，加盖投标人电子签章】</w:t>
            </w:r>
            <w:r>
              <w:rPr>
                <w:rFonts w:hint="eastAsia" w:ascii="宋体" w:hAnsi="宋体" w:cs="宋体"/>
                <w:color w:val="auto"/>
                <w:kern w:val="0"/>
                <w:szCs w:val="21"/>
                <w:highlight w:val="none"/>
              </w:rPr>
              <w:t>；</w:t>
            </w:r>
          </w:p>
          <w:p w14:paraId="521355BF">
            <w:pPr>
              <w:keepNext w:val="0"/>
              <w:keepLines w:val="0"/>
              <w:pageBreakBefore w:val="0"/>
              <w:widowControl/>
              <w:kinsoku/>
              <w:wordWrap w:val="0"/>
              <w:overflowPunct/>
              <w:topLinePunct w:val="0"/>
              <w:autoSpaceDE/>
              <w:autoSpaceDN/>
              <w:bidi w:val="0"/>
              <w:jc w:val="left"/>
              <w:outlineLvl w:val="0"/>
              <w:rPr>
                <w:rFonts w:hint="eastAsia" w:ascii="宋体" w:hAnsi="宋体" w:cs="宋体"/>
                <w:color w:val="auto"/>
                <w:kern w:val="0"/>
                <w:sz w:val="22"/>
                <w:szCs w:val="22"/>
                <w:highlight w:val="none"/>
              </w:rPr>
            </w:pP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color w:val="auto"/>
                <w:szCs w:val="21"/>
                <w:highlight w:val="none"/>
              </w:rPr>
              <w:t>真空负压机具有</w:t>
            </w:r>
            <w:r>
              <w:rPr>
                <w:rFonts w:hint="eastAsia" w:ascii="宋体" w:hAnsi="宋体"/>
                <w:color w:val="auto"/>
                <w:szCs w:val="21"/>
                <w:highlight w:val="none"/>
              </w:rPr>
              <w:t>排气管隔离措施，多合负压泵合用排气管时，每台负压泵排气采取隔离措施</w:t>
            </w:r>
            <w:r>
              <w:rPr>
                <w:rFonts w:hint="eastAsia" w:ascii="宋体" w:hAnsi="宋体" w:cs="宋体"/>
                <w:b/>
                <w:bCs/>
                <w:color w:val="auto"/>
                <w:kern w:val="0"/>
                <w:sz w:val="22"/>
                <w:szCs w:val="22"/>
                <w:highlight w:val="none"/>
              </w:rPr>
              <w:t>【投标人于投标文件中提供所投产品由国家认可的第三方检测（检验）机构出具的满足本项技术参数的检测（检验）报告复印件证明，加盖投标人电子签章】</w:t>
            </w:r>
            <w:r>
              <w:rPr>
                <w:rFonts w:hint="eastAsia" w:ascii="宋体" w:hAnsi="宋体"/>
                <w:color w:val="auto"/>
                <w:szCs w:val="21"/>
                <w:highlight w:val="none"/>
              </w:rPr>
              <w:t>；</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lang w:val="en-US" w:eastAsia="zh-CN"/>
              </w:rPr>
              <w:t>6</w:t>
            </w:r>
            <w:r>
              <w:rPr>
                <w:rFonts w:hint="eastAsia" w:ascii="宋体" w:hAnsi="宋体" w:cs="宋体"/>
                <w:color w:val="auto"/>
                <w:kern w:val="0"/>
                <w:sz w:val="22"/>
                <w:szCs w:val="22"/>
                <w:highlight w:val="none"/>
              </w:rPr>
              <w:t>.运行控制方式：PLC全自动控制+手动控制；</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lang w:val="en-US" w:eastAsia="zh-CN"/>
              </w:rPr>
              <w:t>7</w:t>
            </w:r>
            <w:r>
              <w:rPr>
                <w:rFonts w:hint="eastAsia" w:ascii="宋体" w:hAnsi="宋体" w:cs="宋体"/>
                <w:color w:val="auto"/>
                <w:kern w:val="0"/>
                <w:sz w:val="22"/>
                <w:szCs w:val="22"/>
                <w:highlight w:val="none"/>
              </w:rPr>
              <w:t>.报警方式：自动声光报警；</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lang w:val="en-US" w:eastAsia="zh-CN"/>
              </w:rPr>
              <w:t>8</w:t>
            </w:r>
            <w:r>
              <w:rPr>
                <w:rFonts w:hint="eastAsia" w:ascii="宋体" w:hAnsi="宋体" w:cs="宋体"/>
                <w:color w:val="auto"/>
                <w:kern w:val="0"/>
                <w:sz w:val="22"/>
                <w:szCs w:val="22"/>
                <w:highlight w:val="none"/>
              </w:rPr>
              <w:t>.工作压力：-0.08-0Mpa可调；</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lang w:val="en-US" w:eastAsia="zh-CN"/>
              </w:rPr>
              <w:t>9</w:t>
            </w:r>
            <w:r>
              <w:rPr>
                <w:rFonts w:hint="eastAsia" w:ascii="宋体" w:hAnsi="宋体" w:cs="宋体"/>
                <w:color w:val="auto"/>
                <w:kern w:val="0"/>
                <w:sz w:val="22"/>
                <w:szCs w:val="22"/>
                <w:highlight w:val="none"/>
              </w:rPr>
              <w:t>.工作方式：可单台工作、交替工作。</w:t>
            </w:r>
          </w:p>
          <w:p w14:paraId="4809F68A">
            <w:pPr>
              <w:keepNext w:val="0"/>
              <w:keepLines w:val="0"/>
              <w:pageBreakBefore w:val="0"/>
              <w:widowControl/>
              <w:kinsoku/>
              <w:wordWrap w:val="0"/>
              <w:overflowPunct/>
              <w:topLinePunct w:val="0"/>
              <w:autoSpaceDE/>
              <w:autoSpaceDN/>
              <w:bidi w:val="0"/>
              <w:jc w:val="left"/>
              <w:outlineLvl w:val="0"/>
              <w:rPr>
                <w:color w:val="auto"/>
                <w:highlight w:val="none"/>
              </w:rPr>
            </w:pPr>
            <w:r>
              <w:rPr>
                <w:rFonts w:hint="eastAsia" w:ascii="宋体" w:hAnsi="宋体" w:cs="宋体"/>
                <w:color w:val="auto"/>
                <w:kern w:val="0"/>
                <w:sz w:val="22"/>
                <w:szCs w:val="22"/>
                <w:highlight w:val="none"/>
                <w:lang w:eastAsia="zh-CN"/>
              </w:rPr>
              <w:t>二、</w:t>
            </w:r>
            <w:r>
              <w:rPr>
                <w:rFonts w:hint="eastAsia" w:ascii="宋体" w:hAnsi="宋体" w:cs="宋体"/>
                <w:color w:val="auto"/>
                <w:kern w:val="0"/>
                <w:sz w:val="22"/>
                <w:szCs w:val="22"/>
                <w:highlight w:val="none"/>
              </w:rPr>
              <w:t>真空罐</w:t>
            </w:r>
          </w:p>
          <w:p w14:paraId="708F12C7">
            <w:pPr>
              <w:keepNext w:val="0"/>
              <w:keepLines w:val="0"/>
              <w:pageBreakBefore w:val="0"/>
              <w:widowControl/>
              <w:kinsoku/>
              <w:wordWrap w:val="0"/>
              <w:overflowPunct/>
              <w:topLinePunct w:val="0"/>
              <w:autoSpaceDE/>
              <w:autoSpaceDN/>
              <w:bidi w:val="0"/>
              <w:jc w:val="left"/>
              <w:outlineLvl w:val="0"/>
              <w:rPr>
                <w:rFonts w:hint="eastAsia" w:ascii="宋体" w:hAnsi="宋体" w:eastAsia="宋体" w:cs="宋体"/>
                <w:b/>
                <w:bCs/>
                <w:color w:val="auto"/>
                <w:kern w:val="0"/>
                <w:sz w:val="22"/>
                <w:szCs w:val="22"/>
                <w:highlight w:val="none"/>
                <w:lang w:eastAsia="zh-CN"/>
              </w:rPr>
            </w:pPr>
            <w:r>
              <w:rPr>
                <w:rFonts w:hint="eastAsia" w:ascii="宋体" w:hAnsi="宋体" w:cs="宋体"/>
                <w:b/>
                <w:bCs/>
                <w:color w:val="auto"/>
                <w:kern w:val="0"/>
                <w:sz w:val="22"/>
                <w:szCs w:val="22"/>
                <w:highlight w:val="none"/>
              </w:rPr>
              <w:t>▲</w:t>
            </w:r>
            <w:r>
              <w:rPr>
                <w:rFonts w:hint="eastAsia" w:ascii="宋体" w:hAnsi="宋体" w:cs="宋体"/>
                <w:b/>
                <w:bCs/>
                <w:color w:val="auto"/>
                <w:kern w:val="0"/>
                <w:sz w:val="22"/>
                <w:szCs w:val="22"/>
                <w:highlight w:val="none"/>
                <w:lang w:val="en-US" w:eastAsia="zh-CN"/>
              </w:rPr>
              <w:t>1.</w:t>
            </w:r>
            <w:r>
              <w:rPr>
                <w:rFonts w:hint="eastAsia" w:ascii="宋体" w:hAnsi="宋体" w:cs="宋体"/>
                <w:b/>
                <w:bCs/>
                <w:color w:val="auto"/>
                <w:kern w:val="0"/>
                <w:sz w:val="22"/>
                <w:szCs w:val="22"/>
                <w:highlight w:val="none"/>
                <w:lang w:eastAsia="zh-CN"/>
              </w:rPr>
              <w:t>数</w:t>
            </w:r>
            <w:r>
              <w:rPr>
                <w:rFonts w:hint="eastAsia" w:ascii="宋体" w:hAnsi="宋体" w:eastAsia="宋体" w:cs="宋体"/>
                <w:b/>
                <w:bCs/>
                <w:color w:val="auto"/>
                <w:kern w:val="0"/>
                <w:sz w:val="22"/>
                <w:szCs w:val="22"/>
                <w:highlight w:val="none"/>
                <w:lang w:eastAsia="zh-CN"/>
              </w:rPr>
              <w:t>量：2台；</w:t>
            </w:r>
          </w:p>
          <w:p w14:paraId="5C2AC56B">
            <w:pPr>
              <w:keepNext w:val="0"/>
              <w:keepLines w:val="0"/>
              <w:pageBreakBefore w:val="0"/>
              <w:widowControl/>
              <w:kinsoku/>
              <w:wordWrap w:val="0"/>
              <w:overflowPunct/>
              <w:topLinePunct w:val="0"/>
              <w:autoSpaceDE/>
              <w:autoSpaceDN/>
              <w:bidi w:val="0"/>
              <w:jc w:val="left"/>
              <w:outlineLvl w:val="0"/>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rPr>
              <w:t>2</w:t>
            </w:r>
            <w:r>
              <w:rPr>
                <w:rFonts w:hint="eastAsia" w:ascii="宋体" w:hAnsi="宋体" w:cs="宋体"/>
                <w:color w:val="auto"/>
                <w:kern w:val="0"/>
                <w:sz w:val="22"/>
                <w:szCs w:val="22"/>
                <w:highlight w:val="none"/>
              </w:rPr>
              <w:t>.材质：碳钢；</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lang w:val="en-US" w:eastAsia="zh-CN"/>
              </w:rPr>
              <w:t>3</w:t>
            </w:r>
            <w:r>
              <w:rPr>
                <w:rFonts w:hint="eastAsia" w:ascii="宋体" w:hAnsi="宋体" w:cs="宋体"/>
                <w:color w:val="auto"/>
                <w:kern w:val="0"/>
                <w:sz w:val="22"/>
                <w:szCs w:val="22"/>
                <w:highlight w:val="none"/>
              </w:rPr>
              <w:t>.容积：≥3.0m³。</w:t>
            </w:r>
          </w:p>
          <w:p w14:paraId="3D293107">
            <w:pPr>
              <w:keepNext w:val="0"/>
              <w:keepLines w:val="0"/>
              <w:pageBreakBefore w:val="0"/>
              <w:widowControl/>
              <w:kinsoku/>
              <w:wordWrap w:val="0"/>
              <w:overflowPunct/>
              <w:topLinePunct w:val="0"/>
              <w:autoSpaceDE/>
              <w:autoSpaceDN/>
              <w:bidi w:val="0"/>
              <w:jc w:val="left"/>
              <w:outlineLvl w:val="0"/>
              <w:rPr>
                <w:rFonts w:hint="eastAsia" w:ascii="宋体" w:hAnsi="宋体" w:eastAsia="宋体" w:cs="宋体"/>
                <w:color w:val="auto"/>
                <w:kern w:val="0"/>
                <w:sz w:val="22"/>
                <w:szCs w:val="22"/>
                <w:highlight w:val="none"/>
                <w:lang w:eastAsia="zh-CN"/>
              </w:rPr>
            </w:pPr>
            <w:r>
              <w:rPr>
                <w:rFonts w:hint="eastAsia" w:ascii="宋体" w:hAnsi="宋体" w:cs="宋体"/>
                <w:color w:val="auto"/>
                <w:kern w:val="0"/>
                <w:sz w:val="22"/>
                <w:szCs w:val="22"/>
                <w:highlight w:val="none"/>
                <w:lang w:eastAsia="zh-CN"/>
              </w:rPr>
              <w:t>三、</w:t>
            </w:r>
            <w:r>
              <w:rPr>
                <w:rFonts w:hint="eastAsia" w:ascii="宋体" w:hAnsi="宋体" w:cs="宋体"/>
                <w:color w:val="auto"/>
                <w:kern w:val="0"/>
                <w:sz w:val="22"/>
                <w:szCs w:val="22"/>
                <w:highlight w:val="none"/>
              </w:rPr>
              <w:t xml:space="preserve">集污罐 </w:t>
            </w:r>
          </w:p>
          <w:p w14:paraId="0AC626DA">
            <w:pPr>
              <w:keepNext w:val="0"/>
              <w:keepLines w:val="0"/>
              <w:pageBreakBefore w:val="0"/>
              <w:widowControl/>
              <w:kinsoku/>
              <w:wordWrap w:val="0"/>
              <w:overflowPunct/>
              <w:topLinePunct w:val="0"/>
              <w:autoSpaceDE/>
              <w:autoSpaceDN/>
              <w:bidi w:val="0"/>
              <w:jc w:val="left"/>
              <w:outlineLvl w:val="0"/>
              <w:rPr>
                <w:rFonts w:hint="eastAsia" w:ascii="宋体" w:hAnsi="宋体" w:eastAsia="宋体" w:cs="宋体"/>
                <w:b/>
                <w:bCs/>
                <w:color w:val="auto"/>
                <w:kern w:val="0"/>
                <w:sz w:val="22"/>
                <w:szCs w:val="22"/>
                <w:highlight w:val="none"/>
                <w:lang w:eastAsia="zh-CN"/>
              </w:rPr>
            </w:pPr>
            <w:r>
              <w:rPr>
                <w:rFonts w:hint="eastAsia" w:ascii="宋体" w:hAnsi="宋体" w:cs="宋体"/>
                <w:b/>
                <w:bCs/>
                <w:color w:val="auto"/>
                <w:kern w:val="0"/>
                <w:sz w:val="22"/>
                <w:szCs w:val="22"/>
                <w:highlight w:val="none"/>
              </w:rPr>
              <w:t>▲</w:t>
            </w:r>
            <w:r>
              <w:rPr>
                <w:rFonts w:hint="eastAsia" w:ascii="宋体" w:hAnsi="宋体" w:cs="宋体"/>
                <w:b/>
                <w:bCs/>
                <w:color w:val="auto"/>
                <w:kern w:val="0"/>
                <w:sz w:val="22"/>
                <w:szCs w:val="22"/>
                <w:highlight w:val="none"/>
                <w:lang w:val="en-US" w:eastAsia="zh-CN"/>
              </w:rPr>
              <w:t>1.</w:t>
            </w:r>
            <w:r>
              <w:rPr>
                <w:rFonts w:hint="eastAsia" w:ascii="宋体" w:hAnsi="宋体" w:cs="宋体"/>
                <w:b/>
                <w:bCs/>
                <w:color w:val="auto"/>
                <w:kern w:val="0"/>
                <w:sz w:val="22"/>
                <w:szCs w:val="22"/>
                <w:highlight w:val="none"/>
                <w:lang w:eastAsia="zh-CN"/>
              </w:rPr>
              <w:t>数量：</w:t>
            </w:r>
            <w:r>
              <w:rPr>
                <w:rFonts w:hint="eastAsia" w:ascii="宋体" w:hAnsi="宋体" w:cs="宋体"/>
                <w:b/>
                <w:bCs/>
                <w:color w:val="auto"/>
                <w:kern w:val="0"/>
                <w:sz w:val="22"/>
                <w:szCs w:val="22"/>
                <w:highlight w:val="none"/>
              </w:rPr>
              <w:t>1 台</w:t>
            </w:r>
            <w:r>
              <w:rPr>
                <w:rFonts w:hint="eastAsia" w:ascii="宋体" w:hAnsi="宋体" w:cs="宋体"/>
                <w:b/>
                <w:bCs/>
                <w:color w:val="auto"/>
                <w:kern w:val="0"/>
                <w:sz w:val="22"/>
                <w:szCs w:val="22"/>
                <w:highlight w:val="none"/>
                <w:lang w:eastAsia="zh-CN"/>
              </w:rPr>
              <w:t>。</w:t>
            </w:r>
          </w:p>
          <w:p w14:paraId="67B78F14">
            <w:pPr>
              <w:keepNext w:val="0"/>
              <w:keepLines w:val="0"/>
              <w:pageBreakBefore w:val="0"/>
              <w:widowControl/>
              <w:kinsoku/>
              <w:wordWrap w:val="0"/>
              <w:overflowPunct/>
              <w:topLinePunct w:val="0"/>
              <w:autoSpaceDE/>
              <w:autoSpaceDN/>
              <w:bidi w:val="0"/>
              <w:jc w:val="left"/>
              <w:outlineLvl w:val="0"/>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rPr>
              <w:t>2</w:t>
            </w:r>
            <w:r>
              <w:rPr>
                <w:rFonts w:hint="eastAsia" w:ascii="宋体" w:hAnsi="宋体" w:cs="宋体"/>
                <w:color w:val="auto"/>
                <w:kern w:val="0"/>
                <w:sz w:val="22"/>
                <w:szCs w:val="22"/>
                <w:highlight w:val="none"/>
              </w:rPr>
              <w:t>.材质：碳钢；</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lang w:val="en-US" w:eastAsia="zh-CN"/>
              </w:rPr>
              <w:t>3</w:t>
            </w:r>
            <w:r>
              <w:rPr>
                <w:rFonts w:hint="eastAsia" w:ascii="宋体" w:hAnsi="宋体" w:cs="宋体"/>
                <w:color w:val="auto"/>
                <w:kern w:val="0"/>
                <w:sz w:val="22"/>
                <w:szCs w:val="22"/>
                <w:highlight w:val="none"/>
              </w:rPr>
              <w:t>.容积：≥0.5m³；</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lang w:val="en-US" w:eastAsia="zh-CN"/>
              </w:rPr>
              <w:t>4</w:t>
            </w:r>
            <w:r>
              <w:rPr>
                <w:rFonts w:hint="eastAsia" w:ascii="宋体" w:hAnsi="宋体" w:cs="宋体"/>
                <w:color w:val="auto"/>
                <w:kern w:val="0"/>
                <w:sz w:val="22"/>
                <w:szCs w:val="22"/>
                <w:highlight w:val="none"/>
              </w:rPr>
              <w:t>.连接方式：法兰连接。</w:t>
            </w:r>
          </w:p>
          <w:p w14:paraId="5EE9AF4F">
            <w:pPr>
              <w:keepNext w:val="0"/>
              <w:keepLines w:val="0"/>
              <w:pageBreakBefore w:val="0"/>
              <w:widowControl/>
              <w:kinsoku/>
              <w:wordWrap w:val="0"/>
              <w:overflowPunct/>
              <w:topLinePunct w:val="0"/>
              <w:autoSpaceDE/>
              <w:autoSpaceDN/>
              <w:bidi w:val="0"/>
              <w:jc w:val="left"/>
              <w:outlineLvl w:val="0"/>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lang w:eastAsia="zh-CN"/>
              </w:rPr>
              <w:t>四、</w:t>
            </w:r>
            <w:r>
              <w:rPr>
                <w:rFonts w:hint="eastAsia" w:ascii="宋体" w:hAnsi="宋体" w:cs="宋体"/>
                <w:color w:val="auto"/>
                <w:kern w:val="0"/>
                <w:sz w:val="22"/>
                <w:szCs w:val="22"/>
                <w:highlight w:val="none"/>
              </w:rPr>
              <w:t>消毒灭菌装置</w:t>
            </w:r>
          </w:p>
          <w:p w14:paraId="5593C6E3">
            <w:pPr>
              <w:keepNext w:val="0"/>
              <w:keepLines w:val="0"/>
              <w:pageBreakBefore w:val="0"/>
              <w:widowControl/>
              <w:kinsoku/>
              <w:wordWrap w:val="0"/>
              <w:overflowPunct/>
              <w:topLinePunct w:val="0"/>
              <w:autoSpaceDE/>
              <w:autoSpaceDN/>
              <w:bidi w:val="0"/>
              <w:jc w:val="left"/>
              <w:outlineLvl w:val="0"/>
              <w:rPr>
                <w:rFonts w:hint="eastAsia" w:ascii="宋体" w:hAnsi="宋体" w:eastAsia="宋体" w:cs="宋体"/>
                <w:b/>
                <w:bCs/>
                <w:color w:val="auto"/>
                <w:kern w:val="0"/>
                <w:sz w:val="22"/>
                <w:szCs w:val="22"/>
                <w:highlight w:val="none"/>
                <w:lang w:eastAsia="zh-CN"/>
              </w:rPr>
            </w:pPr>
            <w:r>
              <w:rPr>
                <w:rFonts w:hint="eastAsia" w:ascii="宋体" w:hAnsi="宋体" w:cs="宋体"/>
                <w:b/>
                <w:bCs/>
                <w:color w:val="auto"/>
                <w:kern w:val="0"/>
                <w:sz w:val="22"/>
                <w:szCs w:val="22"/>
                <w:highlight w:val="none"/>
              </w:rPr>
              <w:t>▲</w:t>
            </w:r>
            <w:r>
              <w:rPr>
                <w:rFonts w:hint="eastAsia" w:ascii="宋体" w:hAnsi="宋体" w:cs="宋体"/>
                <w:b/>
                <w:bCs/>
                <w:color w:val="auto"/>
                <w:kern w:val="0"/>
                <w:sz w:val="22"/>
                <w:szCs w:val="22"/>
                <w:highlight w:val="none"/>
                <w:lang w:val="en-US" w:eastAsia="zh-CN"/>
              </w:rPr>
              <w:t>1.</w:t>
            </w:r>
            <w:r>
              <w:rPr>
                <w:rFonts w:hint="eastAsia" w:ascii="宋体" w:hAnsi="宋体" w:cs="宋体"/>
                <w:b/>
                <w:bCs/>
                <w:color w:val="auto"/>
                <w:kern w:val="0"/>
                <w:sz w:val="22"/>
                <w:szCs w:val="22"/>
                <w:highlight w:val="none"/>
                <w:lang w:eastAsia="zh-CN"/>
              </w:rPr>
              <w:t>数量：</w:t>
            </w:r>
            <w:r>
              <w:rPr>
                <w:rFonts w:hint="eastAsia" w:ascii="宋体" w:hAnsi="宋体" w:cs="宋体"/>
                <w:b/>
                <w:bCs/>
                <w:color w:val="auto"/>
                <w:kern w:val="0"/>
                <w:sz w:val="22"/>
                <w:szCs w:val="22"/>
                <w:highlight w:val="none"/>
              </w:rPr>
              <w:t>1套</w:t>
            </w:r>
            <w:r>
              <w:rPr>
                <w:rFonts w:hint="eastAsia" w:ascii="宋体" w:hAnsi="宋体" w:cs="宋体"/>
                <w:b/>
                <w:bCs/>
                <w:color w:val="auto"/>
                <w:kern w:val="0"/>
                <w:sz w:val="22"/>
                <w:szCs w:val="22"/>
                <w:highlight w:val="none"/>
                <w:lang w:eastAsia="zh-CN"/>
              </w:rPr>
              <w:t>；</w:t>
            </w:r>
          </w:p>
          <w:p w14:paraId="78EA60B8">
            <w:pPr>
              <w:keepNext w:val="0"/>
              <w:keepLines w:val="0"/>
              <w:pageBreakBefore w:val="0"/>
              <w:widowControl/>
              <w:kinsoku/>
              <w:wordWrap w:val="0"/>
              <w:overflowPunct/>
              <w:topLinePunct w:val="0"/>
              <w:autoSpaceDE/>
              <w:autoSpaceDN/>
              <w:bidi w:val="0"/>
              <w:jc w:val="left"/>
              <w:outlineLvl w:val="0"/>
              <w:rPr>
                <w:rFonts w:ascii="宋体" w:hAnsi="宋体" w:cs="宋体"/>
                <w:b/>
                <w:bCs/>
                <w:color w:val="auto"/>
                <w:kern w:val="0"/>
                <w:sz w:val="22"/>
                <w:szCs w:val="22"/>
                <w:highlight w:val="none"/>
              </w:rPr>
            </w:pPr>
            <w:r>
              <w:rPr>
                <w:rFonts w:hint="eastAsia" w:ascii="宋体" w:hAnsi="宋体" w:cs="宋体"/>
                <w:color w:val="auto"/>
                <w:kern w:val="0"/>
                <w:sz w:val="22"/>
                <w:szCs w:val="22"/>
                <w:highlight w:val="none"/>
                <w:lang w:val="en-US" w:eastAsia="zh-CN"/>
              </w:rPr>
              <w:t>2</w:t>
            </w:r>
            <w:r>
              <w:rPr>
                <w:rFonts w:hint="eastAsia" w:ascii="宋体" w:hAnsi="宋体" w:cs="宋体"/>
                <w:color w:val="auto"/>
                <w:kern w:val="0"/>
                <w:sz w:val="22"/>
                <w:szCs w:val="22"/>
                <w:highlight w:val="none"/>
              </w:rPr>
              <w:t>.尺寸：约786×400×504mm；</w:t>
            </w:r>
            <w:r>
              <w:rPr>
                <w:rFonts w:hint="eastAsia" w:ascii="宋体" w:hAnsi="宋体" w:cs="宋体"/>
                <w:color w:val="auto"/>
                <w:kern w:val="0"/>
                <w:sz w:val="22"/>
                <w:szCs w:val="22"/>
                <w:highlight w:val="none"/>
              </w:rPr>
              <w:br w:type="textWrapping"/>
            </w:r>
            <w:r>
              <w:rPr>
                <w:rFonts w:hint="eastAsia" w:ascii="宋体" w:hAnsi="宋体" w:cs="宋体"/>
                <w:b/>
                <w:bCs/>
                <w:color w:val="auto"/>
                <w:kern w:val="0"/>
                <w:sz w:val="22"/>
                <w:szCs w:val="22"/>
                <w:highlight w:val="none"/>
              </w:rPr>
              <w:t>▲</w:t>
            </w:r>
            <w:r>
              <w:rPr>
                <w:rFonts w:hint="eastAsia" w:ascii="宋体" w:hAnsi="宋体" w:cs="宋体"/>
                <w:b/>
                <w:bCs/>
                <w:color w:val="auto"/>
                <w:kern w:val="0"/>
                <w:sz w:val="22"/>
                <w:szCs w:val="22"/>
                <w:highlight w:val="none"/>
                <w:lang w:val="en-US" w:eastAsia="zh-CN"/>
              </w:rPr>
              <w:t>3</w:t>
            </w:r>
            <w:r>
              <w:rPr>
                <w:rFonts w:hint="eastAsia" w:ascii="宋体" w:hAnsi="宋体" w:cs="宋体"/>
                <w:b/>
                <w:bCs/>
                <w:color w:val="auto"/>
                <w:kern w:val="0"/>
                <w:sz w:val="22"/>
                <w:szCs w:val="22"/>
                <w:highlight w:val="none"/>
              </w:rPr>
              <w:t>.消毒</w:t>
            </w:r>
            <w:r>
              <w:rPr>
                <w:rFonts w:hint="eastAsia" w:ascii="宋体" w:hAnsi="宋体" w:cs="宋体"/>
                <w:b/>
                <w:bCs/>
                <w:color w:val="auto"/>
                <w:kern w:val="0"/>
                <w:sz w:val="22"/>
                <w:szCs w:val="22"/>
                <w:highlight w:val="none"/>
              </w:rPr>
              <w:t>方式：具有热力高温、臭氧、光氢离子三种综合功能灭杀；消毒温度最高可达200℃~300</w:t>
            </w:r>
            <w:r>
              <w:rPr>
                <w:rFonts w:hint="eastAsia" w:ascii="宋体" w:hAnsi="宋体" w:cs="宋体"/>
                <w:b/>
                <w:bCs/>
                <w:color w:val="auto"/>
                <w:kern w:val="0"/>
                <w:sz w:val="22"/>
                <w:szCs w:val="22"/>
                <w:highlight w:val="none"/>
              </w:rPr>
              <w:t>℃；</w:t>
            </w:r>
            <w:r>
              <w:rPr>
                <w:rFonts w:hint="eastAsia" w:ascii="宋体" w:hAnsi="宋体" w:cs="宋体"/>
                <w:b/>
                <w:bCs/>
                <w:color w:val="auto"/>
                <w:kern w:val="0"/>
                <w:sz w:val="22"/>
                <w:szCs w:val="22"/>
                <w:highlight w:val="none"/>
              </w:rPr>
              <w:br w:type="textWrapping"/>
            </w:r>
            <w:r>
              <w:rPr>
                <w:rFonts w:hint="eastAsia" w:ascii="宋体" w:hAnsi="宋体" w:cs="宋体"/>
                <w:b/>
                <w:bCs/>
                <w:color w:val="auto"/>
                <w:kern w:val="0"/>
                <w:sz w:val="22"/>
                <w:szCs w:val="22"/>
                <w:highlight w:val="none"/>
              </w:rPr>
              <w:t>▲</w:t>
            </w:r>
            <w:r>
              <w:rPr>
                <w:rFonts w:hint="eastAsia" w:ascii="宋体" w:hAnsi="宋体" w:cs="宋体"/>
                <w:b/>
                <w:bCs/>
                <w:color w:val="auto"/>
                <w:kern w:val="0"/>
                <w:sz w:val="22"/>
                <w:szCs w:val="22"/>
                <w:highlight w:val="none"/>
                <w:lang w:val="en-US" w:eastAsia="zh-CN"/>
              </w:rPr>
              <w:t>4</w:t>
            </w:r>
            <w:r>
              <w:rPr>
                <w:rFonts w:hint="eastAsia" w:ascii="宋体" w:hAnsi="宋体" w:cs="宋体"/>
                <w:b/>
                <w:bCs/>
                <w:color w:val="auto"/>
                <w:kern w:val="0"/>
                <w:sz w:val="22"/>
                <w:szCs w:val="22"/>
                <w:highlight w:val="none"/>
              </w:rPr>
              <w:t>.处理量：≥1200m³/h；功率≤3.2KW；</w:t>
            </w:r>
            <w:r>
              <w:rPr>
                <w:rFonts w:hint="eastAsia" w:ascii="宋体" w:hAnsi="宋体" w:cs="宋体"/>
                <w:b/>
                <w:bCs/>
                <w:color w:val="auto"/>
                <w:kern w:val="0"/>
                <w:sz w:val="22"/>
                <w:szCs w:val="22"/>
                <w:highlight w:val="none"/>
              </w:rPr>
              <w:br w:type="textWrapping"/>
            </w:r>
            <w:r>
              <w:rPr>
                <w:rFonts w:hint="eastAsia" w:ascii="宋体" w:hAnsi="宋体" w:cs="宋体"/>
                <w:color w:val="auto"/>
                <w:kern w:val="0"/>
                <w:sz w:val="22"/>
                <w:szCs w:val="22"/>
                <w:highlight w:val="none"/>
                <w:lang w:val="en-US" w:eastAsia="zh-CN"/>
              </w:rPr>
              <w:t>5</w:t>
            </w:r>
            <w:r>
              <w:rPr>
                <w:rFonts w:hint="eastAsia" w:ascii="宋体" w:hAnsi="宋体" w:cs="宋体"/>
                <w:color w:val="auto"/>
                <w:kern w:val="0"/>
                <w:sz w:val="22"/>
                <w:szCs w:val="22"/>
                <w:highlight w:val="none"/>
              </w:rPr>
              <w:t>.电压：220V；</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lang w:val="en-US" w:eastAsia="zh-CN"/>
              </w:rPr>
              <w:t>6</w:t>
            </w:r>
            <w:r>
              <w:rPr>
                <w:rFonts w:hint="eastAsia" w:ascii="宋体" w:hAnsi="宋体" w:cs="宋体"/>
                <w:color w:val="auto"/>
                <w:kern w:val="0"/>
                <w:sz w:val="22"/>
                <w:szCs w:val="22"/>
                <w:highlight w:val="none"/>
              </w:rPr>
              <w:t>.设计压损＜3kpa；</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lang w:val="en-US" w:eastAsia="zh-CN"/>
              </w:rPr>
              <w:t>7</w:t>
            </w:r>
            <w:r>
              <w:rPr>
                <w:rFonts w:hint="eastAsia" w:ascii="宋体" w:hAnsi="宋体" w:cs="宋体"/>
                <w:color w:val="auto"/>
                <w:kern w:val="0"/>
                <w:sz w:val="22"/>
                <w:szCs w:val="22"/>
                <w:highlight w:val="none"/>
              </w:rPr>
              <w:t>.自动化控制，实时监测内部温度，可与负压机组联动运行：可无线开关，无需连接负压机组，即可实现与负压机组联动运行；</w:t>
            </w:r>
            <w:r>
              <w:rPr>
                <w:rFonts w:hint="eastAsia" w:ascii="宋体" w:hAnsi="宋体" w:cs="宋体"/>
                <w:color w:val="auto"/>
                <w:kern w:val="0"/>
                <w:sz w:val="22"/>
                <w:szCs w:val="22"/>
                <w:highlight w:val="none"/>
              </w:rPr>
              <w:br w:type="textWrapping"/>
            </w:r>
            <w:r>
              <w:rPr>
                <w:rFonts w:hint="eastAsia" w:ascii="宋体" w:hAnsi="宋体" w:cs="宋体"/>
                <w:b w:val="0"/>
                <w:bCs w:val="0"/>
                <w:color w:val="auto"/>
                <w:kern w:val="0"/>
                <w:sz w:val="22"/>
                <w:szCs w:val="22"/>
                <w:highlight w:val="none"/>
                <w:lang w:val="en-US" w:eastAsia="zh-CN"/>
              </w:rPr>
              <w:t>8</w:t>
            </w:r>
            <w:r>
              <w:rPr>
                <w:rFonts w:hint="eastAsia" w:ascii="宋体" w:hAnsi="宋体" w:cs="宋体"/>
                <w:b w:val="0"/>
                <w:bCs w:val="0"/>
                <w:color w:val="auto"/>
                <w:kern w:val="0"/>
                <w:sz w:val="22"/>
                <w:szCs w:val="22"/>
                <w:highlight w:val="none"/>
              </w:rPr>
              <w:t>.消毒灭菌</w:t>
            </w:r>
            <w:r>
              <w:rPr>
                <w:rFonts w:hint="eastAsia" w:ascii="宋体" w:hAnsi="宋体" w:cs="宋体"/>
                <w:b w:val="0"/>
                <w:bCs w:val="0"/>
                <w:color w:val="auto"/>
                <w:kern w:val="0"/>
                <w:sz w:val="22"/>
                <w:szCs w:val="22"/>
                <w:highlight w:val="none"/>
                <w:lang w:eastAsia="zh-CN"/>
              </w:rPr>
              <w:t>要求</w:t>
            </w:r>
            <w:r>
              <w:rPr>
                <w:rFonts w:hint="eastAsia" w:ascii="宋体" w:hAnsi="宋体" w:cs="宋体"/>
                <w:b w:val="0"/>
                <w:bCs w:val="0"/>
                <w:color w:val="auto"/>
                <w:kern w:val="0"/>
                <w:sz w:val="22"/>
                <w:szCs w:val="22"/>
                <w:highlight w:val="none"/>
                <w:lang w:eastAsia="zh-CN"/>
              </w:rPr>
              <w:t>满足</w:t>
            </w:r>
            <w:r>
              <w:rPr>
                <w:rFonts w:hint="eastAsia" w:ascii="宋体" w:hAnsi="宋体" w:cs="宋体"/>
                <w:b w:val="0"/>
                <w:bCs w:val="0"/>
                <w:color w:val="auto"/>
                <w:kern w:val="0"/>
                <w:sz w:val="22"/>
                <w:szCs w:val="22"/>
                <w:highlight w:val="none"/>
              </w:rPr>
              <w:t>装</w:t>
            </w:r>
            <w:r>
              <w:rPr>
                <w:rFonts w:hint="eastAsia" w:ascii="宋体" w:hAnsi="宋体" w:cs="宋体"/>
                <w:b w:val="0"/>
                <w:bCs w:val="0"/>
                <w:color w:val="auto"/>
                <w:kern w:val="0"/>
                <w:sz w:val="22"/>
                <w:szCs w:val="22"/>
                <w:highlight w:val="none"/>
              </w:rPr>
              <w:t>置白葡萄球菌的杀灭率≥99.99%，对空气自然菌的消亡率≥95%</w:t>
            </w:r>
            <w:r>
              <w:rPr>
                <w:rFonts w:hint="eastAsia" w:ascii="宋体" w:hAnsi="宋体" w:cs="宋体"/>
                <w:b/>
                <w:bCs/>
                <w:color w:val="auto"/>
                <w:kern w:val="0"/>
                <w:sz w:val="22"/>
                <w:szCs w:val="22"/>
                <w:highlight w:val="none"/>
              </w:rPr>
              <w:t>【投标人于投标文件中提供所投产品由国家认可的第三方检测（检验）机构出具的满足本项技术参数的检测（检验）报告复印件证明，加盖投标人电子签章】</w:t>
            </w:r>
            <w:r>
              <w:rPr>
                <w:rFonts w:hint="eastAsia" w:ascii="宋体" w:hAnsi="宋体" w:cs="宋体"/>
                <w:b/>
                <w:bCs/>
                <w:color w:val="auto"/>
                <w:kern w:val="0"/>
                <w:sz w:val="22"/>
                <w:szCs w:val="22"/>
                <w:highlight w:val="none"/>
              </w:rPr>
              <w:t>；</w:t>
            </w:r>
          </w:p>
          <w:p w14:paraId="1A6002A8">
            <w:pPr>
              <w:keepNext w:val="0"/>
              <w:keepLines w:val="0"/>
              <w:pageBreakBefore w:val="0"/>
              <w:widowControl/>
              <w:kinsoku/>
              <w:wordWrap w:val="0"/>
              <w:overflowPunct/>
              <w:topLinePunct w:val="0"/>
              <w:autoSpaceDE/>
              <w:autoSpaceDN/>
              <w:bidi w:val="0"/>
              <w:jc w:val="left"/>
              <w:outlineLvl w:val="0"/>
              <w:rPr>
                <w:rFonts w:ascii="宋体" w:hAnsi="宋体" w:cs="宋体"/>
                <w:b/>
                <w:bCs/>
                <w:color w:val="auto"/>
                <w:kern w:val="0"/>
                <w:sz w:val="22"/>
                <w:szCs w:val="22"/>
                <w:highlight w:val="none"/>
              </w:rPr>
            </w:pPr>
            <w:r>
              <w:rPr>
                <w:rFonts w:hint="eastAsia" w:ascii="宋体" w:hAnsi="宋体" w:cs="宋体"/>
                <w:color w:val="auto"/>
                <w:kern w:val="0"/>
                <w:sz w:val="22"/>
                <w:szCs w:val="22"/>
                <w:highlight w:val="none"/>
                <w:lang w:val="en-US" w:eastAsia="zh-CN"/>
              </w:rPr>
              <w:t>9</w:t>
            </w:r>
            <w:r>
              <w:rPr>
                <w:rFonts w:hint="eastAsia" w:ascii="宋体" w:hAnsi="宋体" w:cs="宋体"/>
                <w:color w:val="auto"/>
                <w:kern w:val="0"/>
                <w:sz w:val="22"/>
                <w:szCs w:val="22"/>
                <w:highlight w:val="none"/>
              </w:rPr>
              <w:t>.消毒灭菌装置符合金黄色葡萄球菌、大肠杆菌、枯草杆菌黑色变种芽孢、蜡样芽孢杆菌、生孢梭菌、肺炎链球菌、黑曲霉、肠炎沙门氏菌、乙型溶血性链球菌、痢疾志贺氏菌杀灭率≥99.999%</w:t>
            </w:r>
            <w:r>
              <w:rPr>
                <w:rFonts w:hint="eastAsia" w:ascii="宋体" w:hAnsi="宋体" w:cs="宋体"/>
                <w:b/>
                <w:bCs/>
                <w:color w:val="auto"/>
                <w:kern w:val="0"/>
                <w:sz w:val="22"/>
                <w:szCs w:val="22"/>
                <w:highlight w:val="none"/>
              </w:rPr>
              <w:t>【投标人于投标文件中提供所投产品由国家认可的第三方检测（检验）机构出具的满足本项技术参数的检测（检验）报告复印件证明，加盖投标人电子签章】；</w:t>
            </w:r>
          </w:p>
          <w:p w14:paraId="4885C7BD">
            <w:pPr>
              <w:keepNext w:val="0"/>
              <w:keepLines w:val="0"/>
              <w:pageBreakBefore w:val="0"/>
              <w:widowControl/>
              <w:kinsoku/>
              <w:wordWrap w:val="0"/>
              <w:overflowPunct/>
              <w:topLinePunct w:val="0"/>
              <w:autoSpaceDE/>
              <w:autoSpaceDN/>
              <w:bidi w:val="0"/>
              <w:jc w:val="left"/>
              <w:outlineLvl w:val="0"/>
              <w:rPr>
                <w:rFonts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rPr>
              <w:t>10</w:t>
            </w:r>
            <w:r>
              <w:rPr>
                <w:rFonts w:hint="eastAsia" w:ascii="宋体" w:hAnsi="宋体" w:cs="宋体"/>
                <w:color w:val="auto"/>
                <w:kern w:val="0"/>
                <w:sz w:val="22"/>
                <w:szCs w:val="22"/>
                <w:highlight w:val="none"/>
              </w:rPr>
              <w:t>.消毒灭菌装置符合甲型流感病毒H1N1、冠状病毒灭杀率≥99.999%</w:t>
            </w:r>
            <w:r>
              <w:rPr>
                <w:rFonts w:hint="eastAsia" w:ascii="宋体" w:hAnsi="宋体" w:cs="宋体"/>
                <w:b/>
                <w:bCs/>
                <w:color w:val="auto"/>
                <w:kern w:val="0"/>
                <w:sz w:val="22"/>
                <w:szCs w:val="22"/>
                <w:highlight w:val="none"/>
              </w:rPr>
              <w:t>【投标人于投标文件中提供所投产品由国家认可的第三方检测（检验）机构出具的满足本项技术参数的检测（检验）报告复印件证明，加盖投标人电子签章】</w:t>
            </w:r>
            <w:r>
              <w:rPr>
                <w:rFonts w:hint="eastAsia" w:ascii="宋体" w:hAnsi="宋体" w:cs="宋体"/>
                <w:color w:val="auto"/>
                <w:kern w:val="0"/>
                <w:sz w:val="22"/>
                <w:szCs w:val="22"/>
                <w:highlight w:val="none"/>
              </w:rPr>
              <w:t>；</w:t>
            </w:r>
          </w:p>
          <w:p w14:paraId="62C0FEC8">
            <w:pPr>
              <w:keepNext w:val="0"/>
              <w:keepLines w:val="0"/>
              <w:pageBreakBefore w:val="0"/>
              <w:widowControl/>
              <w:kinsoku/>
              <w:wordWrap w:val="0"/>
              <w:overflowPunct/>
              <w:topLinePunct w:val="0"/>
              <w:autoSpaceDE/>
              <w:autoSpaceDN/>
              <w:bidi w:val="0"/>
              <w:adjustRightInd/>
              <w:snapToGrid/>
              <w:jc w:val="left"/>
              <w:textAlignment w:val="auto"/>
              <w:outlineLvl w:val="0"/>
              <w:rPr>
                <w:rFonts w:ascii="宋体" w:hAnsi="宋体" w:cs="宋体"/>
                <w:color w:val="auto"/>
                <w:kern w:val="0"/>
                <w:sz w:val="22"/>
                <w:szCs w:val="22"/>
                <w:highlight w:val="none"/>
              </w:rPr>
            </w:pPr>
            <w:r>
              <w:rPr>
                <w:rFonts w:hint="eastAsia" w:ascii="宋体" w:hAnsi="宋体" w:cs="宋体"/>
                <w:color w:val="auto"/>
                <w:kern w:val="0"/>
                <w:sz w:val="22"/>
                <w:szCs w:val="22"/>
                <w:highlight w:val="none"/>
              </w:rPr>
              <w:t>1</w:t>
            </w:r>
            <w:r>
              <w:rPr>
                <w:rFonts w:hint="eastAsia" w:ascii="宋体" w:hAnsi="宋体" w:cs="宋体"/>
                <w:color w:val="auto"/>
                <w:kern w:val="0"/>
                <w:sz w:val="22"/>
                <w:szCs w:val="22"/>
                <w:highlight w:val="none"/>
                <w:lang w:val="en-US" w:eastAsia="zh-CN"/>
              </w:rPr>
              <w:t>1</w:t>
            </w:r>
            <w:r>
              <w:rPr>
                <w:rFonts w:hint="eastAsia" w:ascii="宋体" w:hAnsi="宋体" w:cs="宋体"/>
                <w:color w:val="auto"/>
                <w:kern w:val="0"/>
                <w:sz w:val="22"/>
                <w:szCs w:val="22"/>
                <w:highlight w:val="none"/>
              </w:rPr>
              <w:t>.排气孔浮游菌数量符合GB/T 16293-2010</w:t>
            </w:r>
            <w:r>
              <w:rPr>
                <w:rFonts w:hint="eastAsia" w:ascii="宋体" w:hAnsi="宋体" w:eastAsia="宋体" w:cs="宋体"/>
                <w:color w:val="auto"/>
                <w:kern w:val="0"/>
                <w:sz w:val="22"/>
                <w:szCs w:val="22"/>
                <w:highlight w:val="none"/>
                <w:lang w:eastAsia="zh-CN"/>
              </w:rPr>
              <w:t>《</w:t>
            </w:r>
            <w:r>
              <w:rPr>
                <w:rFonts w:hint="eastAsia" w:ascii="宋体" w:hAnsi="宋体" w:eastAsia="宋体" w:cs="宋体"/>
                <w:color w:val="auto"/>
                <w:kern w:val="0"/>
                <w:sz w:val="22"/>
                <w:szCs w:val="22"/>
                <w:highlight w:val="none"/>
              </w:rPr>
              <w:t>医药工业洁净室</w:t>
            </w:r>
            <w:r>
              <w:rPr>
                <w:rFonts w:hint="eastAsia" w:ascii="宋体" w:hAnsi="宋体" w:eastAsia="宋体" w:cs="宋体"/>
                <w:color w:val="auto"/>
                <w:kern w:val="0"/>
                <w:sz w:val="22"/>
                <w:szCs w:val="22"/>
                <w:highlight w:val="none"/>
                <w:lang w:eastAsia="zh-CN"/>
              </w:rPr>
              <w:t>（</w:t>
            </w:r>
            <w:r>
              <w:rPr>
                <w:rFonts w:hint="eastAsia" w:ascii="宋体" w:hAnsi="宋体" w:eastAsia="宋体" w:cs="宋体"/>
                <w:color w:val="auto"/>
                <w:kern w:val="0"/>
                <w:sz w:val="22"/>
                <w:szCs w:val="22"/>
                <w:highlight w:val="none"/>
              </w:rPr>
              <w:t>区</w:t>
            </w:r>
            <w:r>
              <w:rPr>
                <w:rFonts w:hint="eastAsia" w:ascii="宋体" w:hAnsi="宋体" w:eastAsia="宋体" w:cs="宋体"/>
                <w:color w:val="auto"/>
                <w:kern w:val="0"/>
                <w:sz w:val="22"/>
                <w:szCs w:val="22"/>
                <w:highlight w:val="none"/>
                <w:lang w:eastAsia="zh-CN"/>
              </w:rPr>
              <w:t>）</w:t>
            </w:r>
            <w:r>
              <w:rPr>
                <w:rFonts w:hint="eastAsia" w:ascii="宋体" w:hAnsi="宋体" w:eastAsia="宋体" w:cs="宋体"/>
                <w:color w:val="auto"/>
                <w:kern w:val="0"/>
                <w:sz w:val="22"/>
                <w:szCs w:val="22"/>
                <w:highlight w:val="none"/>
              </w:rPr>
              <w:t>浮游菌的测试方法</w:t>
            </w:r>
            <w:r>
              <w:rPr>
                <w:rFonts w:hint="eastAsia" w:ascii="宋体" w:hAnsi="宋体" w:eastAsia="宋体" w:cs="宋体"/>
                <w:color w:val="auto"/>
                <w:kern w:val="0"/>
                <w:sz w:val="22"/>
                <w:szCs w:val="22"/>
                <w:highlight w:val="none"/>
                <w:lang w:eastAsia="zh-CN"/>
              </w:rPr>
              <w:t>》</w:t>
            </w:r>
            <w:r>
              <w:rPr>
                <w:rFonts w:hint="eastAsia" w:ascii="宋体" w:hAnsi="宋体" w:cs="宋体"/>
                <w:color w:val="auto"/>
                <w:kern w:val="0"/>
                <w:sz w:val="22"/>
                <w:szCs w:val="22"/>
                <w:highlight w:val="none"/>
              </w:rPr>
              <w:t>检测标准，浮游菌数量≤350cfu/m³</w:t>
            </w:r>
            <w:r>
              <w:rPr>
                <w:rFonts w:hint="eastAsia" w:ascii="宋体" w:hAnsi="宋体" w:cs="宋体"/>
                <w:b/>
                <w:bCs/>
                <w:color w:val="auto"/>
                <w:kern w:val="0"/>
                <w:sz w:val="22"/>
                <w:szCs w:val="22"/>
                <w:highlight w:val="none"/>
              </w:rPr>
              <w:t>【投标人于投标文件中提供所投产品由国家认可的第三方检测（检验）机构出具的满足本项技术参数的检测（检验）报告复印件证明，加盖投标人电子签章】</w:t>
            </w:r>
            <w:r>
              <w:rPr>
                <w:rFonts w:hint="eastAsia" w:ascii="宋体" w:hAnsi="宋体" w:cs="宋体"/>
                <w:color w:val="auto"/>
                <w:kern w:val="0"/>
                <w:sz w:val="22"/>
                <w:szCs w:val="22"/>
                <w:highlight w:val="none"/>
              </w:rPr>
              <w:t>；</w:t>
            </w:r>
          </w:p>
          <w:p w14:paraId="72F8EFC1">
            <w:pPr>
              <w:keepNext w:val="0"/>
              <w:keepLines w:val="0"/>
              <w:pageBreakBefore w:val="0"/>
              <w:widowControl/>
              <w:kinsoku/>
              <w:wordWrap w:val="0"/>
              <w:overflowPunct/>
              <w:topLinePunct w:val="0"/>
              <w:autoSpaceDE/>
              <w:autoSpaceDN/>
              <w:bidi w:val="0"/>
              <w:jc w:val="left"/>
              <w:outlineLvl w:val="0"/>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w:t>
            </w:r>
            <w:r>
              <w:rPr>
                <w:rFonts w:hint="eastAsia" w:ascii="宋体" w:hAnsi="宋体" w:cs="宋体"/>
                <w:color w:val="auto"/>
                <w:kern w:val="0"/>
                <w:sz w:val="22"/>
                <w:szCs w:val="22"/>
                <w:highlight w:val="none"/>
                <w:lang w:val="en-US" w:eastAsia="zh-CN"/>
              </w:rPr>
              <w:t>2</w:t>
            </w:r>
            <w:r>
              <w:rPr>
                <w:rFonts w:hint="eastAsia" w:ascii="宋体" w:hAnsi="宋体" w:cs="宋体"/>
                <w:color w:val="auto"/>
                <w:kern w:val="0"/>
                <w:sz w:val="22"/>
                <w:szCs w:val="22"/>
                <w:highlight w:val="none"/>
              </w:rPr>
              <w:t>.消毒灭菌装置符合WS 10013-2023</w:t>
            </w:r>
            <w:r>
              <w:rPr>
                <w:rFonts w:hint="eastAsia" w:ascii="宋体" w:hAnsi="宋体" w:eastAsia="宋体" w:cs="宋体"/>
                <w:color w:val="auto"/>
                <w:kern w:val="0"/>
                <w:sz w:val="22"/>
                <w:szCs w:val="22"/>
                <w:highlight w:val="none"/>
                <w:lang w:eastAsia="zh-CN"/>
              </w:rPr>
              <w:t>《</w:t>
            </w:r>
            <w:r>
              <w:rPr>
                <w:rFonts w:hint="default" w:ascii="宋体" w:hAnsi="宋体" w:eastAsia="宋体" w:cs="宋体"/>
                <w:color w:val="auto"/>
                <w:kern w:val="0"/>
                <w:sz w:val="22"/>
                <w:szCs w:val="22"/>
                <w:highlight w:val="none"/>
              </w:rPr>
              <w:t>公共场所集中空调通风系统卫生规范</w:t>
            </w:r>
            <w:r>
              <w:rPr>
                <w:rFonts w:hint="eastAsia" w:ascii="宋体" w:hAnsi="宋体" w:eastAsia="宋体" w:cs="宋体"/>
                <w:color w:val="auto"/>
                <w:kern w:val="0"/>
                <w:sz w:val="22"/>
                <w:szCs w:val="22"/>
                <w:highlight w:val="none"/>
                <w:lang w:eastAsia="zh-CN"/>
              </w:rPr>
              <w:t>》</w:t>
            </w:r>
            <w:r>
              <w:rPr>
                <w:rFonts w:hint="eastAsia" w:ascii="宋体" w:hAnsi="宋体" w:cs="宋体"/>
                <w:color w:val="auto"/>
                <w:kern w:val="0"/>
                <w:sz w:val="22"/>
                <w:szCs w:val="22"/>
                <w:highlight w:val="none"/>
              </w:rPr>
              <w:t>检测依据，排气口细菌≤</w:t>
            </w:r>
            <w:r>
              <w:rPr>
                <w:rFonts w:ascii="宋体" w:hAnsi="宋体" w:cs="宋体"/>
                <w:color w:val="auto"/>
                <w:kern w:val="0"/>
                <w:sz w:val="22"/>
                <w:szCs w:val="22"/>
                <w:highlight w:val="none"/>
              </w:rPr>
              <w:t>1</w:t>
            </w:r>
            <w:r>
              <w:rPr>
                <w:rFonts w:hint="eastAsia" w:ascii="宋体" w:hAnsi="宋体" w:cs="宋体"/>
                <w:color w:val="auto"/>
                <w:kern w:val="0"/>
                <w:sz w:val="22"/>
                <w:szCs w:val="22"/>
                <w:highlight w:val="none"/>
              </w:rPr>
              <w:t>CFU/m³、真菌数量≤</w:t>
            </w:r>
            <w:r>
              <w:rPr>
                <w:rFonts w:ascii="宋体" w:hAnsi="宋体" w:cs="宋体"/>
                <w:color w:val="auto"/>
                <w:kern w:val="0"/>
                <w:sz w:val="22"/>
                <w:szCs w:val="22"/>
                <w:highlight w:val="none"/>
              </w:rPr>
              <w:t>1</w:t>
            </w:r>
            <w:r>
              <w:rPr>
                <w:rFonts w:hint="eastAsia" w:ascii="宋体" w:hAnsi="宋体" w:cs="宋体"/>
                <w:color w:val="auto"/>
                <w:kern w:val="0"/>
                <w:sz w:val="22"/>
                <w:szCs w:val="22"/>
                <w:highlight w:val="none"/>
              </w:rPr>
              <w:t>CFU/m³</w:t>
            </w:r>
            <w:r>
              <w:rPr>
                <w:rFonts w:hint="eastAsia" w:ascii="宋体" w:hAnsi="宋体" w:cs="宋体"/>
                <w:b/>
                <w:bCs/>
                <w:color w:val="auto"/>
                <w:kern w:val="0"/>
                <w:sz w:val="22"/>
                <w:szCs w:val="22"/>
                <w:highlight w:val="none"/>
              </w:rPr>
              <w:t>【投标人于投标文件中提供所投产品由国家认可的第三方检测（检验）机构出具的满足本项技术参数的检测（检验）报告复印件证明，加盖投标人电子签章】</w:t>
            </w:r>
            <w:r>
              <w:rPr>
                <w:rFonts w:hint="eastAsia" w:ascii="宋体" w:hAnsi="宋体" w:cs="宋体"/>
                <w:color w:val="auto"/>
                <w:kern w:val="0"/>
                <w:sz w:val="22"/>
                <w:szCs w:val="22"/>
                <w:highlight w:val="none"/>
              </w:rPr>
              <w:t>；</w:t>
            </w:r>
            <w:r>
              <w:rPr>
                <w:rFonts w:hint="eastAsia" w:ascii="宋体" w:hAnsi="宋体" w:cs="宋体"/>
                <w:color w:val="auto"/>
                <w:kern w:val="0"/>
                <w:sz w:val="22"/>
                <w:szCs w:val="22"/>
                <w:highlight w:val="none"/>
              </w:rPr>
              <w:br w:type="textWrapping"/>
            </w:r>
            <w:r>
              <w:rPr>
                <w:rFonts w:ascii="宋体" w:hAnsi="宋体" w:cs="宋体"/>
                <w:color w:val="auto"/>
                <w:kern w:val="0"/>
                <w:sz w:val="22"/>
                <w:szCs w:val="22"/>
                <w:highlight w:val="none"/>
              </w:rPr>
              <w:t>1</w:t>
            </w:r>
            <w:r>
              <w:rPr>
                <w:rFonts w:hint="eastAsia" w:ascii="宋体" w:hAnsi="宋体" w:cs="宋体"/>
                <w:color w:val="auto"/>
                <w:kern w:val="0"/>
                <w:sz w:val="22"/>
                <w:szCs w:val="22"/>
                <w:highlight w:val="none"/>
                <w:lang w:val="en-US" w:eastAsia="zh-CN"/>
              </w:rPr>
              <w:t>3</w:t>
            </w:r>
            <w:r>
              <w:rPr>
                <w:rFonts w:hint="eastAsia" w:ascii="宋体" w:hAnsi="宋体" w:cs="宋体"/>
                <w:color w:val="auto"/>
                <w:kern w:val="0"/>
                <w:sz w:val="22"/>
                <w:szCs w:val="22"/>
                <w:highlight w:val="none"/>
              </w:rPr>
              <w:t>.提供远程通讯协议接口</w:t>
            </w:r>
            <w:r>
              <w:rPr>
                <w:rFonts w:hint="eastAsia" w:ascii="宋体" w:hAnsi="宋体" w:cs="宋体"/>
                <w:color w:val="auto"/>
                <w:kern w:val="0"/>
                <w:sz w:val="22"/>
                <w:szCs w:val="22"/>
                <w:highlight w:val="none"/>
              </w:rPr>
              <w:t>，可将运行状态传输到远程监控系统等；</w:t>
            </w:r>
            <w:r>
              <w:rPr>
                <w:rFonts w:hint="eastAsia" w:ascii="宋体" w:hAnsi="宋体" w:cs="宋体"/>
                <w:color w:val="auto"/>
                <w:kern w:val="0"/>
                <w:sz w:val="22"/>
                <w:szCs w:val="22"/>
                <w:highlight w:val="none"/>
              </w:rPr>
              <w:br w:type="textWrapping"/>
            </w:r>
            <w:r>
              <w:rPr>
                <w:rFonts w:ascii="宋体" w:hAnsi="宋体" w:cs="宋体"/>
                <w:color w:val="auto"/>
                <w:kern w:val="0"/>
                <w:sz w:val="22"/>
                <w:szCs w:val="22"/>
                <w:highlight w:val="none"/>
              </w:rPr>
              <w:t>1</w:t>
            </w:r>
            <w:r>
              <w:rPr>
                <w:rFonts w:hint="eastAsia" w:ascii="宋体" w:hAnsi="宋体" w:cs="宋体"/>
                <w:color w:val="auto"/>
                <w:kern w:val="0"/>
                <w:sz w:val="22"/>
                <w:szCs w:val="22"/>
                <w:highlight w:val="none"/>
                <w:lang w:val="en-US" w:eastAsia="zh-CN"/>
              </w:rPr>
              <w:t>4</w:t>
            </w:r>
            <w:r>
              <w:rPr>
                <w:rFonts w:hint="eastAsia" w:ascii="宋体" w:hAnsi="宋体" w:cs="宋体"/>
                <w:color w:val="auto"/>
                <w:kern w:val="0"/>
                <w:sz w:val="22"/>
                <w:szCs w:val="22"/>
                <w:highlight w:val="none"/>
              </w:rPr>
              <w:t>.可壁挂式安装和支架安装。</w:t>
            </w:r>
          </w:p>
          <w:p w14:paraId="07EA7C3B">
            <w:pPr>
              <w:keepNext w:val="0"/>
              <w:keepLines w:val="0"/>
              <w:pageBreakBefore w:val="0"/>
              <w:widowControl/>
              <w:kinsoku/>
              <w:wordWrap w:val="0"/>
              <w:overflowPunct/>
              <w:topLinePunct w:val="0"/>
              <w:autoSpaceDE/>
              <w:autoSpaceDN/>
              <w:bidi w:val="0"/>
              <w:jc w:val="left"/>
              <w:outlineLvl w:val="0"/>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lang w:eastAsia="zh-CN"/>
              </w:rPr>
              <w:t>五、</w:t>
            </w:r>
            <w:r>
              <w:rPr>
                <w:rFonts w:hint="eastAsia" w:ascii="宋体" w:hAnsi="宋体" w:cs="宋体"/>
                <w:color w:val="auto"/>
                <w:kern w:val="0"/>
                <w:sz w:val="22"/>
                <w:szCs w:val="22"/>
                <w:highlight w:val="none"/>
              </w:rPr>
              <w:t>不锈钢分气缸</w:t>
            </w:r>
          </w:p>
          <w:p w14:paraId="21A2AEE2">
            <w:pPr>
              <w:keepNext w:val="0"/>
              <w:keepLines w:val="0"/>
              <w:pageBreakBefore w:val="0"/>
              <w:widowControl/>
              <w:kinsoku/>
              <w:wordWrap w:val="0"/>
              <w:overflowPunct/>
              <w:topLinePunct w:val="0"/>
              <w:autoSpaceDE/>
              <w:autoSpaceDN/>
              <w:bidi w:val="0"/>
              <w:jc w:val="left"/>
              <w:outlineLvl w:val="0"/>
              <w:rPr>
                <w:rFonts w:hint="eastAsia" w:ascii="宋体" w:hAnsi="宋体" w:cs="宋体"/>
                <w:color w:val="auto"/>
                <w:kern w:val="0"/>
                <w:sz w:val="22"/>
                <w:szCs w:val="22"/>
                <w:highlight w:val="none"/>
              </w:rPr>
            </w:pPr>
            <w:r>
              <w:rPr>
                <w:rFonts w:hint="eastAsia" w:ascii="宋体" w:hAnsi="宋体" w:cs="宋体"/>
                <w:b/>
                <w:bCs/>
                <w:color w:val="auto"/>
                <w:kern w:val="0"/>
                <w:sz w:val="22"/>
                <w:szCs w:val="22"/>
                <w:highlight w:val="none"/>
              </w:rPr>
              <w:t>▲</w:t>
            </w:r>
            <w:r>
              <w:rPr>
                <w:rFonts w:hint="eastAsia" w:ascii="宋体" w:hAnsi="宋体" w:cs="宋体"/>
                <w:b/>
                <w:bCs/>
                <w:color w:val="auto"/>
                <w:kern w:val="0"/>
                <w:sz w:val="22"/>
                <w:szCs w:val="22"/>
                <w:highlight w:val="none"/>
                <w:lang w:val="en-US" w:eastAsia="zh-CN"/>
              </w:rPr>
              <w:t>1.</w:t>
            </w:r>
            <w:r>
              <w:rPr>
                <w:rFonts w:hint="eastAsia" w:ascii="宋体" w:hAnsi="宋体" w:cs="宋体"/>
                <w:b/>
                <w:bCs/>
                <w:color w:val="auto"/>
                <w:kern w:val="0"/>
                <w:sz w:val="22"/>
                <w:szCs w:val="22"/>
                <w:highlight w:val="none"/>
                <w:lang w:eastAsia="zh-CN"/>
              </w:rPr>
              <w:t>数量：</w:t>
            </w:r>
            <w:r>
              <w:rPr>
                <w:rFonts w:hint="eastAsia" w:ascii="宋体" w:hAnsi="宋体" w:cs="宋体"/>
                <w:b/>
                <w:bCs/>
                <w:color w:val="auto"/>
                <w:kern w:val="0"/>
                <w:sz w:val="22"/>
                <w:szCs w:val="22"/>
                <w:highlight w:val="none"/>
              </w:rPr>
              <w:t>1 台</w:t>
            </w:r>
            <w:r>
              <w:rPr>
                <w:rFonts w:hint="eastAsia" w:ascii="宋体" w:hAnsi="宋体" w:cs="宋体"/>
                <w:b/>
                <w:bCs/>
                <w:color w:val="auto"/>
                <w:kern w:val="0"/>
                <w:sz w:val="22"/>
                <w:szCs w:val="22"/>
                <w:highlight w:val="none"/>
                <w:lang w:eastAsia="zh-CN"/>
              </w:rPr>
              <w:t>。</w:t>
            </w:r>
          </w:p>
          <w:p w14:paraId="25302213">
            <w:pPr>
              <w:keepNext w:val="0"/>
              <w:keepLines w:val="0"/>
              <w:pageBreakBefore w:val="0"/>
              <w:widowControl/>
              <w:kinsoku/>
              <w:wordWrap w:val="0"/>
              <w:overflowPunct/>
              <w:topLinePunct w:val="0"/>
              <w:autoSpaceDE/>
              <w:autoSpaceDN/>
              <w:bidi w:val="0"/>
              <w:jc w:val="left"/>
              <w:outlineLvl w:val="0"/>
              <w:rPr>
                <w:rFonts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rPr>
              <w:t>2</w:t>
            </w:r>
            <w:r>
              <w:rPr>
                <w:rFonts w:hint="eastAsia" w:ascii="宋体" w:hAnsi="宋体" w:cs="宋体"/>
                <w:color w:val="auto"/>
                <w:kern w:val="0"/>
                <w:sz w:val="22"/>
                <w:szCs w:val="22"/>
                <w:highlight w:val="none"/>
              </w:rPr>
              <w:t>.采用304不锈钢材质；</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lang w:val="en-US" w:eastAsia="zh-CN"/>
              </w:rPr>
              <w:t>3</w:t>
            </w:r>
            <w:r>
              <w:rPr>
                <w:rFonts w:hint="eastAsia" w:ascii="宋体" w:hAnsi="宋体" w:cs="宋体"/>
                <w:color w:val="auto"/>
                <w:kern w:val="0"/>
                <w:sz w:val="22"/>
                <w:szCs w:val="22"/>
                <w:highlight w:val="none"/>
              </w:rPr>
              <w:t>.</w:t>
            </w:r>
            <w:r>
              <w:rPr>
                <w:rFonts w:hint="eastAsia" w:ascii="宋体" w:hAnsi="宋体" w:cs="宋体"/>
                <w:color w:val="auto"/>
                <w:kern w:val="0"/>
                <w:sz w:val="22"/>
                <w:szCs w:val="22"/>
                <w:highlight w:val="none"/>
                <w:lang w:eastAsia="zh-CN"/>
              </w:rPr>
              <w:t>采用</w:t>
            </w:r>
            <w:r>
              <w:rPr>
                <w:rFonts w:ascii="宋体" w:hAnsi="宋体" w:cs="宋体"/>
                <w:color w:val="auto"/>
                <w:kern w:val="0"/>
                <w:sz w:val="22"/>
                <w:szCs w:val="22"/>
                <w:highlight w:val="none"/>
              </w:rPr>
              <w:t>5</w:t>
            </w:r>
            <w:r>
              <w:rPr>
                <w:rFonts w:hint="eastAsia" w:ascii="宋体" w:hAnsi="宋体" w:cs="宋体"/>
                <w:color w:val="auto"/>
                <w:szCs w:val="21"/>
                <w:highlight w:val="none"/>
              </w:rPr>
              <w:t>进1出</w:t>
            </w:r>
            <w:r>
              <w:rPr>
                <w:rFonts w:hint="eastAsia" w:ascii="宋体" w:hAnsi="宋体" w:cs="宋体"/>
                <w:color w:val="auto"/>
                <w:kern w:val="0"/>
                <w:sz w:val="22"/>
                <w:szCs w:val="22"/>
                <w:highlight w:val="none"/>
              </w:rPr>
              <w:t>；</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lang w:val="en-US" w:eastAsia="zh-CN"/>
              </w:rPr>
              <w:t>4</w:t>
            </w:r>
            <w:r>
              <w:rPr>
                <w:rFonts w:hint="eastAsia" w:ascii="宋体" w:hAnsi="宋体" w:cs="宋体"/>
                <w:color w:val="auto"/>
                <w:kern w:val="0"/>
                <w:sz w:val="22"/>
                <w:szCs w:val="22"/>
                <w:highlight w:val="none"/>
              </w:rPr>
              <w:t>.带压力表及排污口，排污口在分</w:t>
            </w:r>
            <w:r>
              <w:rPr>
                <w:rFonts w:hint="eastAsia" w:ascii="宋体" w:hAnsi="宋体" w:cs="宋体"/>
                <w:color w:val="auto"/>
                <w:kern w:val="0"/>
                <w:sz w:val="22"/>
                <w:szCs w:val="22"/>
                <w:highlight w:val="none"/>
                <w:lang w:eastAsia="zh-CN"/>
              </w:rPr>
              <w:t>汽</w:t>
            </w:r>
            <w:r>
              <w:rPr>
                <w:rFonts w:hint="eastAsia" w:ascii="宋体" w:hAnsi="宋体" w:cs="宋体"/>
                <w:color w:val="auto"/>
                <w:kern w:val="0"/>
                <w:sz w:val="22"/>
                <w:szCs w:val="22"/>
                <w:highlight w:val="none"/>
              </w:rPr>
              <w:t>缸底部；</w:t>
            </w:r>
          </w:p>
          <w:p w14:paraId="2197DACC">
            <w:pPr>
              <w:keepNext w:val="0"/>
              <w:keepLines w:val="0"/>
              <w:pageBreakBefore w:val="0"/>
              <w:widowControl/>
              <w:kinsoku/>
              <w:wordWrap w:val="0"/>
              <w:overflowPunct/>
              <w:topLinePunct w:val="0"/>
              <w:autoSpaceDE/>
              <w:autoSpaceDN/>
              <w:bidi w:val="0"/>
              <w:adjustRightInd/>
              <w:snapToGrid/>
              <w:jc w:val="left"/>
              <w:textAlignment w:val="auto"/>
              <w:outlineLvl w:val="0"/>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w:t>
            </w:r>
            <w:r>
              <w:rPr>
                <w:rFonts w:hint="eastAsia" w:ascii="宋体" w:hAnsi="宋体" w:cs="宋体"/>
                <w:color w:val="auto"/>
                <w:szCs w:val="21"/>
                <w:highlight w:val="none"/>
              </w:rPr>
              <w:t>不锈钢分气缸焊缝符合GB/T3323.1-2019</w:t>
            </w:r>
            <w:r>
              <w:rPr>
                <w:rFonts w:hint="eastAsia" w:ascii="宋体" w:hAnsi="宋体" w:cs="宋体"/>
                <w:color w:val="auto"/>
                <w:szCs w:val="21"/>
                <w:highlight w:val="none"/>
                <w:lang w:eastAsia="zh-CN"/>
              </w:rPr>
              <w:t>《焊缝无损检测 射线检测 第1部分：X和伽玛射线的胶片技术》</w:t>
            </w:r>
            <w:r>
              <w:rPr>
                <w:rFonts w:hint="eastAsia" w:ascii="宋体" w:hAnsi="宋体" w:cs="宋体"/>
                <w:color w:val="auto"/>
                <w:szCs w:val="21"/>
                <w:highlight w:val="none"/>
              </w:rPr>
              <w:t>要求</w:t>
            </w:r>
            <w:r>
              <w:rPr>
                <w:rFonts w:hint="eastAsia" w:ascii="宋体" w:hAnsi="宋体" w:cs="宋体"/>
                <w:b/>
                <w:bCs/>
                <w:color w:val="auto"/>
                <w:kern w:val="0"/>
                <w:sz w:val="22"/>
                <w:szCs w:val="22"/>
                <w:highlight w:val="none"/>
              </w:rPr>
              <w:t>【投标人于投标文件中提供所投产品由国家认可的第三方检测（检验）机构出具的满足本项技术参数的检测（检验）报告复印件证明，加盖投标人电子签章】</w:t>
            </w:r>
            <w:r>
              <w:rPr>
                <w:rFonts w:hint="eastAsia" w:ascii="宋体" w:hAnsi="宋体" w:cs="宋体"/>
                <w:color w:val="auto"/>
                <w:szCs w:val="21"/>
                <w:highlight w:val="none"/>
              </w:rPr>
              <w:t>。</w:t>
            </w:r>
          </w:p>
          <w:p w14:paraId="580FA812">
            <w:pPr>
              <w:keepNext w:val="0"/>
              <w:keepLines w:val="0"/>
              <w:pageBreakBefore w:val="0"/>
              <w:widowControl/>
              <w:kinsoku/>
              <w:wordWrap w:val="0"/>
              <w:overflowPunct/>
              <w:topLinePunct w:val="0"/>
              <w:autoSpaceDE/>
              <w:autoSpaceDN/>
              <w:bidi w:val="0"/>
              <w:jc w:val="left"/>
              <w:outlineLvl w:val="0"/>
              <w:rPr>
                <w:rFonts w:hint="eastAsia" w:ascii="宋体" w:hAnsi="宋体" w:cs="宋体"/>
                <w:color w:val="auto"/>
                <w:kern w:val="0"/>
                <w:sz w:val="22"/>
                <w:szCs w:val="22"/>
                <w:highlight w:val="none"/>
              </w:rPr>
            </w:pPr>
            <w:r>
              <w:rPr>
                <w:rFonts w:hint="eastAsia" w:ascii="宋体" w:hAnsi="宋体" w:cs="宋体"/>
                <w:color w:val="auto"/>
                <w:szCs w:val="21"/>
                <w:highlight w:val="none"/>
                <w:lang w:val="en-US" w:eastAsia="zh-CN"/>
              </w:rPr>
              <w:t>六、</w:t>
            </w:r>
            <w:r>
              <w:rPr>
                <w:rFonts w:hint="eastAsia" w:ascii="宋体" w:hAnsi="宋体" w:cs="宋体"/>
                <w:color w:val="auto"/>
                <w:kern w:val="0"/>
                <w:sz w:val="22"/>
                <w:szCs w:val="22"/>
                <w:highlight w:val="none"/>
              </w:rPr>
              <w:t>废气排放管</w:t>
            </w:r>
          </w:p>
          <w:p w14:paraId="74160676">
            <w:pPr>
              <w:keepNext w:val="0"/>
              <w:keepLines w:val="0"/>
              <w:pageBreakBefore w:val="0"/>
              <w:widowControl/>
              <w:kinsoku/>
              <w:wordWrap w:val="0"/>
              <w:overflowPunct/>
              <w:topLinePunct w:val="0"/>
              <w:autoSpaceDE/>
              <w:autoSpaceDN/>
              <w:bidi w:val="0"/>
              <w:jc w:val="left"/>
              <w:outlineLvl w:val="0"/>
              <w:rPr>
                <w:rFonts w:hint="eastAsia" w:ascii="宋体" w:hAnsi="宋体" w:cs="宋体"/>
                <w:color w:val="auto"/>
                <w:kern w:val="0"/>
                <w:sz w:val="22"/>
                <w:szCs w:val="22"/>
                <w:highlight w:val="none"/>
              </w:rPr>
            </w:pPr>
            <w:r>
              <w:rPr>
                <w:rFonts w:hint="eastAsia" w:ascii="宋体" w:hAnsi="宋体" w:cs="宋体"/>
                <w:b/>
                <w:bCs/>
                <w:color w:val="auto"/>
                <w:kern w:val="0"/>
                <w:sz w:val="22"/>
                <w:szCs w:val="22"/>
                <w:highlight w:val="none"/>
              </w:rPr>
              <w:t>▲</w:t>
            </w:r>
            <w:r>
              <w:rPr>
                <w:rFonts w:hint="eastAsia" w:ascii="宋体" w:hAnsi="宋体" w:cs="宋体"/>
                <w:b/>
                <w:bCs/>
                <w:color w:val="auto"/>
                <w:kern w:val="0"/>
                <w:sz w:val="22"/>
                <w:szCs w:val="22"/>
                <w:highlight w:val="none"/>
                <w:lang w:val="en-US" w:eastAsia="zh-CN"/>
              </w:rPr>
              <w:t>1.</w:t>
            </w:r>
            <w:r>
              <w:rPr>
                <w:rFonts w:hint="eastAsia" w:ascii="宋体" w:hAnsi="宋体" w:cs="宋体"/>
                <w:b/>
                <w:bCs/>
                <w:color w:val="auto"/>
                <w:kern w:val="0"/>
                <w:sz w:val="22"/>
                <w:szCs w:val="22"/>
                <w:highlight w:val="none"/>
                <w:lang w:eastAsia="zh-CN"/>
              </w:rPr>
              <w:t>数量：</w:t>
            </w:r>
            <w:r>
              <w:rPr>
                <w:rFonts w:hint="eastAsia" w:ascii="宋体" w:hAnsi="宋体" w:cs="宋体"/>
                <w:b/>
                <w:bCs/>
                <w:color w:val="auto"/>
                <w:kern w:val="0"/>
                <w:sz w:val="22"/>
                <w:szCs w:val="22"/>
                <w:highlight w:val="none"/>
              </w:rPr>
              <w:t>20米</w:t>
            </w:r>
            <w:r>
              <w:rPr>
                <w:rFonts w:hint="eastAsia" w:ascii="宋体" w:hAnsi="宋体" w:cs="宋体"/>
                <w:b/>
                <w:bCs/>
                <w:color w:val="auto"/>
                <w:kern w:val="0"/>
                <w:sz w:val="22"/>
                <w:szCs w:val="22"/>
                <w:highlight w:val="none"/>
                <w:lang w:eastAsia="zh-CN"/>
              </w:rPr>
              <w:t>；</w:t>
            </w:r>
          </w:p>
          <w:p w14:paraId="726DC062">
            <w:pPr>
              <w:keepNext w:val="0"/>
              <w:keepLines w:val="0"/>
              <w:pageBreakBefore w:val="0"/>
              <w:widowControl/>
              <w:kinsoku/>
              <w:wordWrap w:val="0"/>
              <w:overflowPunct/>
              <w:topLinePunct w:val="0"/>
              <w:autoSpaceDE/>
              <w:autoSpaceDN/>
              <w:bidi w:val="0"/>
              <w:jc w:val="left"/>
              <w:outlineLvl w:val="0"/>
              <w:rPr>
                <w:rFonts w:hint="eastAsia" w:ascii="宋体" w:hAnsi="宋体" w:cs="宋体"/>
                <w:color w:val="auto"/>
                <w:kern w:val="0"/>
                <w:sz w:val="22"/>
                <w:szCs w:val="22"/>
                <w:highlight w:val="none"/>
                <w:lang w:eastAsia="zh-CN"/>
              </w:rPr>
            </w:pPr>
            <w:r>
              <w:rPr>
                <w:rFonts w:hint="eastAsia" w:ascii="宋体" w:hAnsi="宋体" w:cs="宋体"/>
                <w:color w:val="auto"/>
                <w:kern w:val="0"/>
                <w:sz w:val="22"/>
                <w:szCs w:val="22"/>
                <w:highlight w:val="none"/>
                <w:lang w:val="en-US" w:eastAsia="zh-CN"/>
              </w:rPr>
              <w:t>2.</w:t>
            </w:r>
            <w:r>
              <w:rPr>
                <w:rFonts w:hint="eastAsia" w:ascii="宋体" w:hAnsi="宋体" w:cs="宋体"/>
                <w:color w:val="auto"/>
                <w:kern w:val="0"/>
                <w:sz w:val="22"/>
                <w:szCs w:val="22"/>
                <w:highlight w:val="none"/>
              </w:rPr>
              <w:t>材质：镀锌钢管DN100，符合国标标准。</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DE60234">
            <w:pPr>
              <w:keepNext w:val="0"/>
              <w:keepLines w:val="0"/>
              <w:pageBreakBefore w:val="0"/>
              <w:widowControl/>
              <w:kinsoku/>
              <w:wordWrap w:val="0"/>
              <w:overflowPunct/>
              <w:topLinePunct w:val="0"/>
              <w:autoSpaceDE/>
              <w:autoSpaceDN/>
              <w:bidi w:val="0"/>
              <w:jc w:val="center"/>
              <w:outlineLvl w:val="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753" w:type="dxa"/>
            <w:tcBorders>
              <w:top w:val="single" w:color="auto" w:sz="4" w:space="0"/>
              <w:left w:val="single" w:color="auto" w:sz="4" w:space="0"/>
              <w:bottom w:val="single" w:color="auto" w:sz="4" w:space="0"/>
              <w:right w:val="single" w:color="auto" w:sz="4" w:space="0"/>
            </w:tcBorders>
            <w:noWrap w:val="0"/>
            <w:vAlign w:val="center"/>
          </w:tcPr>
          <w:p w14:paraId="2D9239BE">
            <w:pPr>
              <w:keepNext w:val="0"/>
              <w:keepLines w:val="0"/>
              <w:pageBreakBefore w:val="0"/>
              <w:widowControl/>
              <w:kinsoku/>
              <w:wordWrap w:val="0"/>
              <w:overflowPunct/>
              <w:topLinePunct w:val="0"/>
              <w:autoSpaceDE/>
              <w:autoSpaceDN/>
              <w:bidi w:val="0"/>
              <w:jc w:val="center"/>
              <w:outlineLvl w:val="0"/>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套</w:t>
            </w:r>
          </w:p>
        </w:tc>
        <w:tc>
          <w:tcPr>
            <w:tcW w:w="1319" w:type="dxa"/>
            <w:tcBorders>
              <w:top w:val="single" w:color="auto" w:sz="4" w:space="0"/>
              <w:left w:val="single" w:color="auto" w:sz="4" w:space="0"/>
              <w:bottom w:val="single" w:color="auto" w:sz="4" w:space="0"/>
              <w:right w:val="single" w:color="auto" w:sz="4" w:space="0"/>
            </w:tcBorders>
            <w:noWrap w:val="0"/>
            <w:vAlign w:val="center"/>
          </w:tcPr>
          <w:p w14:paraId="4204BA34">
            <w:pPr>
              <w:keepNext w:val="0"/>
              <w:keepLines w:val="0"/>
              <w:pageBreakBefore w:val="0"/>
              <w:widowControl/>
              <w:kinsoku/>
              <w:wordWrap w:val="0"/>
              <w:overflowPunct/>
              <w:topLinePunct w:val="0"/>
              <w:autoSpaceDE/>
              <w:autoSpaceDN/>
              <w:bidi w:val="0"/>
              <w:jc w:val="center"/>
              <w:outlineLvl w:val="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360000.00</w:t>
            </w:r>
          </w:p>
        </w:tc>
      </w:tr>
      <w:tr w14:paraId="11390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57" w:type="dxa"/>
            <w:tcBorders>
              <w:top w:val="single" w:color="auto" w:sz="4" w:space="0"/>
              <w:left w:val="single" w:color="auto" w:sz="4" w:space="0"/>
              <w:bottom w:val="single" w:color="auto" w:sz="4" w:space="0"/>
              <w:right w:val="single" w:color="auto" w:sz="4" w:space="0"/>
            </w:tcBorders>
            <w:noWrap w:val="0"/>
            <w:vAlign w:val="center"/>
          </w:tcPr>
          <w:p w14:paraId="58AC60A7">
            <w:pPr>
              <w:keepNext w:val="0"/>
              <w:keepLines w:val="0"/>
              <w:pageBreakBefore w:val="0"/>
              <w:widowControl/>
              <w:kinsoku/>
              <w:wordWrap w:val="0"/>
              <w:overflowPunct/>
              <w:topLinePunct w:val="0"/>
              <w:autoSpaceDE/>
              <w:autoSpaceDN/>
              <w:bidi w:val="0"/>
              <w:jc w:val="center"/>
              <w:outlineLvl w:val="0"/>
              <w:rPr>
                <w:rFonts w:ascii="宋体" w:hAnsi="宋体" w:cs="宋体"/>
                <w:color w:val="auto"/>
                <w:szCs w:val="21"/>
                <w:highlight w:val="none"/>
              </w:rPr>
            </w:pPr>
            <w:r>
              <w:rPr>
                <w:rFonts w:hint="eastAsia" w:ascii="宋体" w:hAnsi="宋体" w:cs="宋体"/>
                <w:color w:val="auto"/>
                <w:kern w:val="0"/>
                <w:sz w:val="22"/>
                <w:szCs w:val="22"/>
                <w:highlight w:val="none"/>
              </w:rPr>
              <w:t>2</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372683AA">
            <w:pPr>
              <w:keepNext w:val="0"/>
              <w:keepLines w:val="0"/>
              <w:pageBreakBefore w:val="0"/>
              <w:widowControl/>
              <w:kinsoku/>
              <w:wordWrap w:val="0"/>
              <w:overflowPunct/>
              <w:topLinePunct w:val="0"/>
              <w:autoSpaceDE/>
              <w:autoSpaceDN/>
              <w:bidi w:val="0"/>
              <w:jc w:val="center"/>
              <w:outlineLvl w:val="0"/>
              <w:rPr>
                <w:rFonts w:ascii="宋体" w:hAnsi="宋体" w:cs="宋体"/>
                <w:color w:val="auto"/>
                <w:szCs w:val="21"/>
                <w:highlight w:val="none"/>
              </w:rPr>
            </w:pPr>
            <w:r>
              <w:rPr>
                <w:rFonts w:hint="eastAsia" w:ascii="宋体" w:hAnsi="宋体" w:cs="宋体"/>
                <w:b w:val="0"/>
                <w:bCs w:val="0"/>
                <w:color w:val="auto"/>
                <w:kern w:val="0"/>
                <w:sz w:val="22"/>
                <w:szCs w:val="22"/>
                <w:highlight w:val="none"/>
              </w:rPr>
              <w:t>医用压缩空气供应系统</w:t>
            </w:r>
          </w:p>
        </w:tc>
        <w:tc>
          <w:tcPr>
            <w:tcW w:w="934" w:type="dxa"/>
            <w:tcBorders>
              <w:top w:val="single" w:color="auto" w:sz="4" w:space="0"/>
              <w:left w:val="single" w:color="auto" w:sz="4" w:space="0"/>
              <w:right w:val="single" w:color="auto" w:sz="4" w:space="0"/>
            </w:tcBorders>
            <w:noWrap w:val="0"/>
            <w:vAlign w:val="center"/>
          </w:tcPr>
          <w:p w14:paraId="45C2FC86">
            <w:pPr>
              <w:keepNext w:val="0"/>
              <w:keepLines w:val="0"/>
              <w:pageBreakBefore w:val="0"/>
              <w:widowControl/>
              <w:kinsoku/>
              <w:wordWrap w:val="0"/>
              <w:overflowPunct/>
              <w:topLinePunct w:val="0"/>
              <w:autoSpaceDE/>
              <w:autoSpaceDN/>
              <w:bidi w:val="0"/>
              <w:adjustRightInd w:val="0"/>
              <w:snapToGrid w:val="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工业</w:t>
            </w:r>
          </w:p>
        </w:tc>
        <w:tc>
          <w:tcPr>
            <w:tcW w:w="4045" w:type="dxa"/>
            <w:tcBorders>
              <w:top w:val="single" w:color="auto" w:sz="4" w:space="0"/>
              <w:left w:val="single" w:color="auto" w:sz="4" w:space="0"/>
              <w:bottom w:val="single" w:color="auto" w:sz="4" w:space="0"/>
              <w:right w:val="single" w:color="auto" w:sz="4" w:space="0"/>
            </w:tcBorders>
            <w:noWrap w:val="0"/>
            <w:vAlign w:val="center"/>
          </w:tcPr>
          <w:p w14:paraId="4C6E9C1C">
            <w:pPr>
              <w:keepNext w:val="0"/>
              <w:keepLines w:val="0"/>
              <w:pageBreakBefore w:val="0"/>
              <w:widowControl/>
              <w:kinsoku/>
              <w:wordWrap w:val="0"/>
              <w:overflowPunct/>
              <w:topLinePunct w:val="0"/>
              <w:autoSpaceDE/>
              <w:autoSpaceDN/>
              <w:bidi w:val="0"/>
              <w:jc w:val="left"/>
              <w:outlineLvl w:val="0"/>
              <w:rPr>
                <w:rFonts w:hint="eastAsia" w:ascii="宋体" w:hAnsi="宋体" w:cs="宋体"/>
                <w:color w:val="auto"/>
                <w:kern w:val="0"/>
                <w:sz w:val="22"/>
                <w:szCs w:val="22"/>
                <w:highlight w:val="none"/>
              </w:rPr>
            </w:pPr>
            <w:r>
              <w:rPr>
                <w:rFonts w:hint="eastAsia" w:ascii="宋体" w:hAnsi="宋体" w:cs="黑体"/>
                <w:b/>
                <w:color w:val="auto"/>
                <w:szCs w:val="21"/>
                <w:highlight w:val="none"/>
                <w:lang w:eastAsia="zh-CN"/>
              </w:rPr>
              <w:t>一、</w:t>
            </w:r>
            <w:r>
              <w:rPr>
                <w:rFonts w:hint="eastAsia" w:ascii="宋体" w:hAnsi="宋体" w:cs="宋体"/>
                <w:color w:val="auto"/>
                <w:kern w:val="0"/>
                <w:sz w:val="22"/>
                <w:szCs w:val="22"/>
                <w:highlight w:val="none"/>
              </w:rPr>
              <w:t>微油螺杆一体设备</w:t>
            </w:r>
          </w:p>
          <w:p w14:paraId="44F02937">
            <w:pPr>
              <w:keepNext w:val="0"/>
              <w:keepLines w:val="0"/>
              <w:pageBreakBefore w:val="0"/>
              <w:widowControl/>
              <w:kinsoku/>
              <w:wordWrap w:val="0"/>
              <w:overflowPunct/>
              <w:topLinePunct w:val="0"/>
              <w:autoSpaceDE/>
              <w:autoSpaceDN/>
              <w:bidi w:val="0"/>
              <w:jc w:val="left"/>
              <w:outlineLvl w:val="0"/>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w:t>
            </w:r>
            <w:r>
              <w:rPr>
                <w:rFonts w:hint="eastAsia" w:ascii="宋体" w:hAnsi="宋体" w:cs="宋体"/>
                <w:b/>
                <w:bCs/>
                <w:color w:val="auto"/>
                <w:kern w:val="0"/>
                <w:sz w:val="22"/>
                <w:szCs w:val="22"/>
                <w:highlight w:val="none"/>
                <w:lang w:val="en-US" w:eastAsia="zh-CN"/>
              </w:rPr>
              <w:t>1.</w:t>
            </w:r>
            <w:r>
              <w:rPr>
                <w:rFonts w:hint="eastAsia" w:ascii="宋体" w:hAnsi="宋体" w:cs="宋体"/>
                <w:b/>
                <w:bCs/>
                <w:color w:val="auto"/>
                <w:kern w:val="0"/>
                <w:sz w:val="22"/>
                <w:szCs w:val="22"/>
                <w:highlight w:val="none"/>
                <w:lang w:eastAsia="zh-CN"/>
              </w:rPr>
              <w:t>数量：</w:t>
            </w:r>
            <w:r>
              <w:rPr>
                <w:rFonts w:hint="eastAsia" w:ascii="宋体" w:hAnsi="宋体" w:cs="宋体"/>
                <w:b/>
                <w:bCs/>
                <w:color w:val="auto"/>
                <w:kern w:val="0"/>
                <w:sz w:val="22"/>
                <w:szCs w:val="22"/>
                <w:highlight w:val="none"/>
              </w:rPr>
              <w:t>2套</w:t>
            </w:r>
            <w:r>
              <w:rPr>
                <w:rFonts w:hint="eastAsia" w:ascii="宋体" w:hAnsi="宋体" w:cs="宋体"/>
                <w:b/>
                <w:bCs/>
                <w:color w:val="auto"/>
                <w:kern w:val="0"/>
                <w:sz w:val="22"/>
                <w:szCs w:val="22"/>
                <w:highlight w:val="none"/>
                <w:lang w:eastAsia="zh-CN"/>
              </w:rPr>
              <w:t>；</w:t>
            </w:r>
          </w:p>
          <w:p w14:paraId="2218C2B4">
            <w:pPr>
              <w:keepNext w:val="0"/>
              <w:keepLines w:val="0"/>
              <w:pageBreakBefore w:val="0"/>
              <w:widowControl/>
              <w:kinsoku/>
              <w:wordWrap w:val="0"/>
              <w:overflowPunct/>
              <w:topLinePunct w:val="0"/>
              <w:autoSpaceDE/>
              <w:autoSpaceDN/>
              <w:bidi w:val="0"/>
              <w:jc w:val="left"/>
              <w:outlineLvl w:val="0"/>
              <w:rPr>
                <w:rFonts w:hint="eastAsia" w:ascii="宋体" w:hAnsi="宋体" w:cs="宋体"/>
                <w:color w:val="auto"/>
                <w:kern w:val="0"/>
                <w:sz w:val="22"/>
                <w:szCs w:val="22"/>
                <w:highlight w:val="none"/>
              </w:rPr>
            </w:pPr>
            <w:r>
              <w:rPr>
                <w:rFonts w:hint="eastAsia" w:ascii="宋体" w:hAnsi="宋体" w:cs="宋体"/>
                <w:b/>
                <w:bCs/>
                <w:color w:val="auto"/>
                <w:kern w:val="0"/>
                <w:sz w:val="22"/>
                <w:szCs w:val="22"/>
                <w:highlight w:val="none"/>
              </w:rPr>
              <w:t>▲</w:t>
            </w:r>
            <w:r>
              <w:rPr>
                <w:rFonts w:hint="eastAsia" w:ascii="宋体" w:hAnsi="宋体" w:cs="宋体"/>
                <w:b/>
                <w:bCs/>
                <w:color w:val="auto"/>
                <w:kern w:val="0"/>
                <w:sz w:val="22"/>
                <w:szCs w:val="22"/>
                <w:highlight w:val="none"/>
                <w:lang w:val="en-US" w:eastAsia="zh-CN"/>
              </w:rPr>
              <w:t>2</w:t>
            </w:r>
            <w:r>
              <w:rPr>
                <w:rFonts w:hint="eastAsia" w:ascii="宋体" w:hAnsi="宋体" w:cs="宋体"/>
                <w:b/>
                <w:bCs/>
                <w:color w:val="auto"/>
                <w:kern w:val="0"/>
                <w:sz w:val="22"/>
                <w:szCs w:val="22"/>
                <w:highlight w:val="none"/>
              </w:rPr>
              <w:t>.单台排气量≥1.1m³/min，功率≤7.5kW；</w:t>
            </w:r>
            <w:r>
              <w:rPr>
                <w:rFonts w:hint="eastAsia" w:ascii="宋体" w:hAnsi="宋体" w:cs="宋体"/>
                <w:b/>
                <w:bCs/>
                <w:color w:val="auto"/>
                <w:kern w:val="0"/>
                <w:sz w:val="22"/>
                <w:szCs w:val="22"/>
                <w:highlight w:val="none"/>
              </w:rPr>
              <w:br w:type="textWrapping"/>
            </w:r>
            <w:r>
              <w:rPr>
                <w:rFonts w:hint="eastAsia" w:ascii="宋体" w:hAnsi="宋体" w:cs="宋体"/>
                <w:b/>
                <w:bCs/>
                <w:color w:val="auto"/>
                <w:kern w:val="0"/>
                <w:sz w:val="22"/>
                <w:szCs w:val="22"/>
                <w:highlight w:val="none"/>
              </w:rPr>
              <w:t>▲</w:t>
            </w:r>
            <w:r>
              <w:rPr>
                <w:rFonts w:hint="eastAsia" w:ascii="宋体" w:hAnsi="宋体" w:cs="宋体"/>
                <w:b/>
                <w:bCs/>
                <w:color w:val="auto"/>
                <w:kern w:val="0"/>
                <w:sz w:val="22"/>
                <w:szCs w:val="22"/>
                <w:highlight w:val="none"/>
                <w:lang w:val="en-US" w:eastAsia="zh-CN"/>
              </w:rPr>
              <w:t>3</w:t>
            </w:r>
            <w:r>
              <w:rPr>
                <w:rFonts w:hint="eastAsia" w:ascii="宋体" w:hAnsi="宋体" w:cs="宋体"/>
                <w:b/>
                <w:bCs/>
                <w:color w:val="auto"/>
                <w:kern w:val="0"/>
                <w:sz w:val="22"/>
                <w:szCs w:val="22"/>
                <w:highlight w:val="none"/>
              </w:rPr>
              <w:t>.排气压力≥8.0bar，噪音≤70±2 dB(A)；</w:t>
            </w:r>
            <w:r>
              <w:rPr>
                <w:rFonts w:hint="eastAsia" w:ascii="宋体" w:hAnsi="宋体" w:cs="宋体"/>
                <w:b/>
                <w:bCs/>
                <w:color w:val="auto"/>
                <w:kern w:val="0"/>
                <w:sz w:val="22"/>
                <w:szCs w:val="22"/>
                <w:highlight w:val="none"/>
              </w:rPr>
              <w:br w:type="textWrapping"/>
            </w:r>
            <w:r>
              <w:rPr>
                <w:rFonts w:hint="eastAsia" w:ascii="宋体" w:hAnsi="宋体" w:cs="宋体"/>
                <w:color w:val="auto"/>
                <w:kern w:val="0"/>
                <w:sz w:val="22"/>
                <w:szCs w:val="22"/>
                <w:highlight w:val="none"/>
                <w:lang w:val="en-US" w:eastAsia="zh-CN"/>
              </w:rPr>
              <w:t>4</w:t>
            </w:r>
            <w:r>
              <w:rPr>
                <w:rFonts w:hint="eastAsia" w:ascii="宋体" w:hAnsi="宋体" w:cs="宋体"/>
                <w:color w:val="auto"/>
                <w:kern w:val="0"/>
                <w:sz w:val="22"/>
                <w:szCs w:val="22"/>
                <w:highlight w:val="none"/>
              </w:rPr>
              <w:t>.控制方式：微电脑控制器，具有压力、温度、时间故障等数字显示功能，能自动检测并记录历史故障；</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lang w:val="en-US" w:eastAsia="zh-CN"/>
              </w:rPr>
              <w:t>5</w:t>
            </w:r>
            <w:r>
              <w:rPr>
                <w:rFonts w:hint="eastAsia" w:ascii="宋体" w:hAnsi="宋体" w:cs="宋体"/>
                <w:color w:val="auto"/>
                <w:kern w:val="0"/>
                <w:sz w:val="22"/>
                <w:szCs w:val="22"/>
                <w:highlight w:val="none"/>
              </w:rPr>
              <w:t>.所有的控制、数据的显示和参数调整均在控制面板上进行；</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lang w:val="en-US" w:eastAsia="zh-CN"/>
              </w:rPr>
              <w:t>6</w:t>
            </w:r>
            <w:r>
              <w:rPr>
                <w:rFonts w:hint="eastAsia" w:ascii="宋体" w:hAnsi="宋体" w:cs="宋体"/>
                <w:color w:val="auto"/>
                <w:kern w:val="0"/>
                <w:sz w:val="22"/>
                <w:szCs w:val="22"/>
                <w:highlight w:val="none"/>
              </w:rPr>
              <w:t>.空气压缩机具有远程启停功能（远程启停信号为开关量常开触点信号，触点闭合空气压缩机启动，触点断开空气压缩机卸载停机运行）；</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lang w:val="en-US" w:eastAsia="zh-CN"/>
              </w:rPr>
              <w:t>7</w:t>
            </w:r>
            <w:r>
              <w:rPr>
                <w:rFonts w:hint="eastAsia" w:ascii="宋体" w:hAnsi="宋体" w:cs="宋体"/>
                <w:color w:val="auto"/>
                <w:kern w:val="0"/>
                <w:sz w:val="22"/>
                <w:szCs w:val="22"/>
                <w:highlight w:val="none"/>
              </w:rPr>
              <w:t>.运行控制方式：PLC全自动控制+手动控制；</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lang w:val="en-US" w:eastAsia="zh-CN"/>
              </w:rPr>
              <w:t>8</w:t>
            </w:r>
            <w:r>
              <w:rPr>
                <w:rFonts w:hint="eastAsia" w:ascii="宋体" w:hAnsi="宋体" w:cs="宋体"/>
                <w:color w:val="auto"/>
                <w:kern w:val="0"/>
                <w:sz w:val="22"/>
                <w:szCs w:val="22"/>
                <w:highlight w:val="none"/>
              </w:rPr>
              <w:t>.报警方式：自动声光报警。</w:t>
            </w:r>
          </w:p>
          <w:p w14:paraId="7A90144C">
            <w:pPr>
              <w:keepNext w:val="0"/>
              <w:keepLines w:val="0"/>
              <w:pageBreakBefore w:val="0"/>
              <w:widowControl/>
              <w:kinsoku/>
              <w:wordWrap w:val="0"/>
              <w:overflowPunct/>
              <w:topLinePunct w:val="0"/>
              <w:autoSpaceDE/>
              <w:autoSpaceDN/>
              <w:bidi w:val="0"/>
              <w:jc w:val="left"/>
              <w:outlineLvl w:val="0"/>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lang w:eastAsia="zh-CN"/>
              </w:rPr>
              <w:t>二、</w:t>
            </w:r>
            <w:r>
              <w:rPr>
                <w:rFonts w:hint="eastAsia" w:ascii="宋体" w:hAnsi="宋体" w:cs="宋体"/>
                <w:color w:val="auto"/>
                <w:kern w:val="0"/>
                <w:sz w:val="22"/>
                <w:szCs w:val="22"/>
                <w:highlight w:val="none"/>
              </w:rPr>
              <w:t>不锈钢维修阀</w:t>
            </w:r>
          </w:p>
          <w:p w14:paraId="2DF632FF">
            <w:pPr>
              <w:keepNext w:val="0"/>
              <w:keepLines w:val="0"/>
              <w:pageBreakBefore w:val="0"/>
              <w:widowControl/>
              <w:kinsoku/>
              <w:wordWrap w:val="0"/>
              <w:overflowPunct/>
              <w:topLinePunct w:val="0"/>
              <w:autoSpaceDE/>
              <w:autoSpaceDN/>
              <w:bidi w:val="0"/>
              <w:jc w:val="left"/>
              <w:outlineLvl w:val="0"/>
              <w:rPr>
                <w:rFonts w:hint="eastAsia" w:ascii="宋体" w:hAnsi="宋体" w:eastAsia="宋体" w:cs="宋体"/>
                <w:b/>
                <w:bCs/>
                <w:color w:val="auto"/>
                <w:kern w:val="0"/>
                <w:sz w:val="22"/>
                <w:szCs w:val="22"/>
                <w:highlight w:val="none"/>
                <w:lang w:eastAsia="zh-CN"/>
              </w:rPr>
            </w:pPr>
            <w:r>
              <w:rPr>
                <w:rFonts w:hint="eastAsia" w:ascii="宋体" w:hAnsi="宋体" w:cs="宋体"/>
                <w:b/>
                <w:bCs/>
                <w:color w:val="auto"/>
                <w:kern w:val="0"/>
                <w:sz w:val="22"/>
                <w:szCs w:val="22"/>
                <w:highlight w:val="none"/>
              </w:rPr>
              <w:t>▲</w:t>
            </w:r>
            <w:r>
              <w:rPr>
                <w:rFonts w:hint="eastAsia" w:ascii="宋体" w:hAnsi="宋体" w:cs="宋体"/>
                <w:b/>
                <w:bCs/>
                <w:color w:val="auto"/>
                <w:kern w:val="0"/>
                <w:sz w:val="22"/>
                <w:szCs w:val="22"/>
                <w:highlight w:val="none"/>
                <w:lang w:val="en-US" w:eastAsia="zh-CN"/>
              </w:rPr>
              <w:t>1.</w:t>
            </w:r>
            <w:r>
              <w:rPr>
                <w:rFonts w:hint="eastAsia" w:ascii="宋体" w:hAnsi="宋体" w:cs="宋体"/>
                <w:b/>
                <w:bCs/>
                <w:color w:val="auto"/>
                <w:kern w:val="0"/>
                <w:sz w:val="22"/>
                <w:szCs w:val="22"/>
                <w:highlight w:val="none"/>
                <w:lang w:eastAsia="zh-CN"/>
              </w:rPr>
              <w:t>数量：</w:t>
            </w:r>
            <w:r>
              <w:rPr>
                <w:rFonts w:hint="eastAsia" w:ascii="宋体" w:hAnsi="宋体" w:cs="宋体"/>
                <w:b/>
                <w:bCs/>
                <w:color w:val="auto"/>
                <w:kern w:val="0"/>
                <w:sz w:val="22"/>
                <w:szCs w:val="22"/>
                <w:highlight w:val="none"/>
              </w:rPr>
              <w:t>2个</w:t>
            </w:r>
            <w:r>
              <w:rPr>
                <w:rFonts w:hint="eastAsia" w:ascii="宋体" w:hAnsi="宋体" w:cs="宋体"/>
                <w:b/>
                <w:bCs/>
                <w:color w:val="auto"/>
                <w:kern w:val="0"/>
                <w:sz w:val="22"/>
                <w:szCs w:val="22"/>
                <w:highlight w:val="none"/>
                <w:lang w:eastAsia="zh-CN"/>
              </w:rPr>
              <w:t>；</w:t>
            </w:r>
          </w:p>
          <w:p w14:paraId="3316C8CE">
            <w:pPr>
              <w:keepNext w:val="0"/>
              <w:keepLines w:val="0"/>
              <w:pageBreakBefore w:val="0"/>
              <w:widowControl/>
              <w:kinsoku/>
              <w:wordWrap w:val="0"/>
              <w:overflowPunct/>
              <w:topLinePunct w:val="0"/>
              <w:autoSpaceDE/>
              <w:autoSpaceDN/>
              <w:bidi w:val="0"/>
              <w:jc w:val="left"/>
              <w:outlineLvl w:val="0"/>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rPr>
              <w:t>2</w:t>
            </w:r>
            <w:r>
              <w:rPr>
                <w:rFonts w:hint="eastAsia" w:ascii="宋体" w:hAnsi="宋体" w:cs="宋体"/>
                <w:color w:val="auto"/>
                <w:kern w:val="0"/>
                <w:sz w:val="22"/>
                <w:szCs w:val="22"/>
                <w:highlight w:val="none"/>
              </w:rPr>
              <w:t>.材质：304不锈钢；</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lang w:val="en-US" w:eastAsia="zh-CN"/>
              </w:rPr>
              <w:t>3</w:t>
            </w:r>
            <w:r>
              <w:rPr>
                <w:rFonts w:hint="eastAsia" w:ascii="宋体" w:hAnsi="宋体" w:cs="宋体"/>
                <w:color w:val="auto"/>
                <w:kern w:val="0"/>
                <w:sz w:val="22"/>
                <w:szCs w:val="22"/>
                <w:highlight w:val="none"/>
              </w:rPr>
              <w:t>.</w:t>
            </w:r>
            <w:r>
              <w:rPr>
                <w:rFonts w:hint="eastAsia" w:ascii="宋体" w:hAnsi="宋体" w:cs="宋体"/>
                <w:color w:val="auto"/>
                <w:kern w:val="0"/>
                <w:sz w:val="22"/>
                <w:szCs w:val="22"/>
                <w:highlight w:val="none"/>
                <w:lang w:eastAsia="zh-CN"/>
              </w:rPr>
              <w:t>通用</w:t>
            </w:r>
            <w:r>
              <w:rPr>
                <w:rFonts w:hint="eastAsia" w:ascii="宋体" w:hAnsi="宋体" w:cs="宋体"/>
                <w:color w:val="auto"/>
                <w:kern w:val="0"/>
                <w:sz w:val="22"/>
                <w:szCs w:val="22"/>
                <w:highlight w:val="none"/>
              </w:rPr>
              <w:t>规格：￠38；</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lang w:val="en-US" w:eastAsia="zh-CN"/>
              </w:rPr>
              <w:t>4</w:t>
            </w:r>
            <w:r>
              <w:rPr>
                <w:rFonts w:hint="eastAsia" w:ascii="宋体" w:hAnsi="宋体" w:cs="宋体"/>
                <w:color w:val="auto"/>
                <w:kern w:val="0"/>
                <w:sz w:val="22"/>
                <w:szCs w:val="22"/>
                <w:highlight w:val="none"/>
              </w:rPr>
              <w:t>.介质：压缩空气；</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lang w:val="en-US" w:eastAsia="zh-CN"/>
              </w:rPr>
              <w:t>5</w:t>
            </w:r>
            <w:r>
              <w:rPr>
                <w:rFonts w:hint="eastAsia" w:ascii="宋体" w:hAnsi="宋体" w:cs="宋体"/>
                <w:color w:val="auto"/>
                <w:kern w:val="0"/>
                <w:sz w:val="22"/>
                <w:szCs w:val="22"/>
                <w:highlight w:val="none"/>
              </w:rPr>
              <w:t>.连接方式：螺纹连接。</w:t>
            </w:r>
          </w:p>
          <w:p w14:paraId="5C0BEA68">
            <w:pPr>
              <w:keepNext w:val="0"/>
              <w:keepLines w:val="0"/>
              <w:pageBreakBefore w:val="0"/>
              <w:widowControl/>
              <w:kinsoku/>
              <w:wordWrap w:val="0"/>
              <w:overflowPunct/>
              <w:topLinePunct w:val="0"/>
              <w:autoSpaceDE/>
              <w:autoSpaceDN/>
              <w:bidi w:val="0"/>
              <w:jc w:val="left"/>
              <w:outlineLvl w:val="0"/>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lang w:eastAsia="zh-CN"/>
              </w:rPr>
              <w:t>三、</w:t>
            </w:r>
            <w:r>
              <w:rPr>
                <w:rFonts w:hint="eastAsia" w:ascii="宋体" w:hAnsi="宋体" w:cs="宋体"/>
                <w:color w:val="auto"/>
                <w:kern w:val="0"/>
                <w:sz w:val="22"/>
                <w:szCs w:val="22"/>
                <w:highlight w:val="none"/>
              </w:rPr>
              <w:t>不锈钢管道</w:t>
            </w:r>
          </w:p>
          <w:p w14:paraId="013BA7F7">
            <w:pPr>
              <w:keepNext w:val="0"/>
              <w:keepLines w:val="0"/>
              <w:pageBreakBefore w:val="0"/>
              <w:widowControl/>
              <w:kinsoku/>
              <w:wordWrap w:val="0"/>
              <w:overflowPunct/>
              <w:topLinePunct w:val="0"/>
              <w:autoSpaceDE/>
              <w:autoSpaceDN/>
              <w:bidi w:val="0"/>
              <w:jc w:val="left"/>
              <w:outlineLvl w:val="0"/>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w:t>
            </w:r>
            <w:r>
              <w:rPr>
                <w:rFonts w:hint="eastAsia" w:ascii="宋体" w:hAnsi="宋体" w:cs="宋体"/>
                <w:b/>
                <w:bCs/>
                <w:color w:val="auto"/>
                <w:kern w:val="0"/>
                <w:sz w:val="22"/>
                <w:szCs w:val="22"/>
                <w:highlight w:val="none"/>
                <w:lang w:val="en-US" w:eastAsia="zh-CN"/>
              </w:rPr>
              <w:t>1.</w:t>
            </w:r>
            <w:r>
              <w:rPr>
                <w:rFonts w:hint="eastAsia" w:ascii="宋体" w:hAnsi="宋体" w:cs="宋体"/>
                <w:b/>
                <w:bCs/>
                <w:color w:val="auto"/>
                <w:kern w:val="0"/>
                <w:sz w:val="22"/>
                <w:szCs w:val="22"/>
                <w:highlight w:val="none"/>
                <w:lang w:eastAsia="zh-CN"/>
              </w:rPr>
              <w:t>数量：</w:t>
            </w:r>
            <w:r>
              <w:rPr>
                <w:rFonts w:hint="eastAsia" w:ascii="宋体" w:hAnsi="宋体" w:cs="宋体"/>
                <w:b/>
                <w:bCs/>
                <w:color w:val="auto"/>
                <w:kern w:val="0"/>
                <w:sz w:val="22"/>
                <w:szCs w:val="22"/>
                <w:highlight w:val="none"/>
              </w:rPr>
              <w:t>25米</w:t>
            </w:r>
            <w:r>
              <w:rPr>
                <w:rFonts w:hint="eastAsia" w:ascii="宋体" w:hAnsi="宋体" w:cs="宋体"/>
                <w:b/>
                <w:bCs/>
                <w:color w:val="auto"/>
                <w:kern w:val="0"/>
                <w:sz w:val="22"/>
                <w:szCs w:val="22"/>
                <w:highlight w:val="none"/>
                <w:lang w:eastAsia="zh-CN"/>
              </w:rPr>
              <w:t>；</w:t>
            </w:r>
          </w:p>
          <w:p w14:paraId="207EDD4B">
            <w:pPr>
              <w:keepNext w:val="0"/>
              <w:keepLines w:val="0"/>
              <w:pageBreakBefore w:val="0"/>
              <w:widowControl/>
              <w:kinsoku/>
              <w:wordWrap w:val="0"/>
              <w:overflowPunct/>
              <w:topLinePunct w:val="0"/>
              <w:autoSpaceDE/>
              <w:autoSpaceDN/>
              <w:bidi w:val="0"/>
              <w:jc w:val="left"/>
              <w:outlineLvl w:val="0"/>
              <w:rPr>
                <w:rFonts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rPr>
              <w:t>2</w:t>
            </w:r>
            <w:r>
              <w:rPr>
                <w:rFonts w:hint="eastAsia" w:ascii="宋体" w:hAnsi="宋体" w:cs="宋体"/>
                <w:color w:val="auto"/>
                <w:kern w:val="0"/>
                <w:sz w:val="22"/>
                <w:szCs w:val="22"/>
                <w:highlight w:val="none"/>
              </w:rPr>
              <w:t>.医用无缝不锈钢管（增加压缩空气对接原管道）；</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lang w:val="en-US" w:eastAsia="zh-CN"/>
              </w:rPr>
              <w:t>3</w:t>
            </w:r>
            <w:r>
              <w:rPr>
                <w:rFonts w:hint="eastAsia" w:ascii="宋体" w:hAnsi="宋体" w:cs="宋体"/>
                <w:color w:val="auto"/>
                <w:kern w:val="0"/>
                <w:sz w:val="22"/>
                <w:szCs w:val="22"/>
                <w:highlight w:val="none"/>
              </w:rPr>
              <w:t>.材质：06Cr19Ni10；</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lang w:val="en-US" w:eastAsia="zh-CN"/>
              </w:rPr>
              <w:t>4</w:t>
            </w:r>
            <w:r>
              <w:rPr>
                <w:rFonts w:hint="eastAsia" w:ascii="宋体" w:hAnsi="宋体" w:cs="宋体"/>
                <w:color w:val="auto"/>
                <w:kern w:val="0"/>
                <w:sz w:val="22"/>
                <w:szCs w:val="22"/>
                <w:highlight w:val="none"/>
              </w:rPr>
              <w:t>.介质：氧气；</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lang w:val="en-US" w:eastAsia="zh-CN"/>
              </w:rPr>
              <w:t>5</w:t>
            </w:r>
            <w:r>
              <w:rPr>
                <w:rFonts w:hint="eastAsia" w:ascii="宋体" w:hAnsi="宋体" w:cs="宋体"/>
                <w:color w:val="auto"/>
                <w:kern w:val="0"/>
                <w:sz w:val="22"/>
                <w:szCs w:val="22"/>
                <w:highlight w:val="none"/>
              </w:rPr>
              <w:t>.</w:t>
            </w:r>
            <w:r>
              <w:rPr>
                <w:rFonts w:hint="eastAsia" w:ascii="宋体" w:hAnsi="宋体" w:cs="宋体"/>
                <w:color w:val="auto"/>
                <w:kern w:val="0"/>
                <w:sz w:val="22"/>
                <w:szCs w:val="22"/>
                <w:highlight w:val="none"/>
                <w:lang w:eastAsia="zh-CN"/>
              </w:rPr>
              <w:t>通用</w:t>
            </w:r>
            <w:r>
              <w:rPr>
                <w:rFonts w:hint="eastAsia" w:ascii="宋体" w:hAnsi="宋体" w:cs="宋体"/>
                <w:color w:val="auto"/>
                <w:kern w:val="0"/>
                <w:sz w:val="22"/>
                <w:szCs w:val="22"/>
                <w:highlight w:val="none"/>
              </w:rPr>
              <w:t>规格：￠38×2.5mm</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lang w:val="en-US" w:eastAsia="zh-CN"/>
              </w:rPr>
              <w:t>6</w:t>
            </w:r>
            <w:r>
              <w:rPr>
                <w:rFonts w:hint="eastAsia" w:ascii="宋体" w:hAnsi="宋体" w:cs="宋体"/>
                <w:color w:val="auto"/>
                <w:kern w:val="0"/>
                <w:sz w:val="22"/>
                <w:szCs w:val="22"/>
                <w:highlight w:val="none"/>
              </w:rPr>
              <w:t>.焊接方法：氩弧焊；</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lang w:val="en-US" w:eastAsia="zh-CN"/>
              </w:rPr>
              <w:t>7</w:t>
            </w:r>
            <w:r>
              <w:rPr>
                <w:rFonts w:hint="eastAsia" w:ascii="宋体" w:hAnsi="宋体" w:cs="宋体"/>
                <w:color w:val="auto"/>
                <w:kern w:val="0"/>
                <w:sz w:val="22"/>
                <w:szCs w:val="22"/>
                <w:highlight w:val="none"/>
              </w:rPr>
              <w:t>.压力试验、吹扫与清洗设计要求：气压试验，气密性试验，空气吹扫，管道酸洗</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lang w:val="en-US" w:eastAsia="zh-CN"/>
              </w:rPr>
              <w:t>8</w:t>
            </w:r>
            <w:r>
              <w:rPr>
                <w:rFonts w:hint="eastAsia" w:ascii="宋体" w:hAnsi="宋体" w:cs="宋体"/>
                <w:color w:val="auto"/>
                <w:kern w:val="0"/>
                <w:sz w:val="22"/>
                <w:szCs w:val="22"/>
                <w:highlight w:val="none"/>
              </w:rPr>
              <w:t>.脱脂设计要求：管道脱脂；</w:t>
            </w:r>
          </w:p>
          <w:p w14:paraId="4424CD27">
            <w:pPr>
              <w:keepNext w:val="0"/>
              <w:keepLines w:val="0"/>
              <w:pageBreakBefore w:val="0"/>
              <w:widowControl/>
              <w:kinsoku/>
              <w:wordWrap w:val="0"/>
              <w:overflowPunct/>
              <w:topLinePunct w:val="0"/>
              <w:autoSpaceDE/>
              <w:autoSpaceDN/>
              <w:bidi w:val="0"/>
              <w:adjustRightInd/>
              <w:snapToGrid/>
              <w:jc w:val="left"/>
              <w:textAlignment w:val="auto"/>
              <w:outlineLvl w:val="0"/>
              <w:rPr>
                <w:rFonts w:hint="eastAsia" w:ascii="宋体" w:hAnsi="宋体" w:cs="宋体"/>
                <w:color w:val="auto"/>
                <w:kern w:val="0"/>
                <w:sz w:val="22"/>
                <w:szCs w:val="22"/>
                <w:highlight w:val="none"/>
                <w:lang w:eastAsia="zh-CN"/>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.医用无缝不锈钢管焊缝符合GB/T3323.1-2019</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焊缝无损检测 射线检测 第1部分：X和伽玛射线的胶片技术</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lang w:eastAsia="zh-CN"/>
              </w:rPr>
              <w:t>的</w:t>
            </w:r>
            <w:r>
              <w:rPr>
                <w:rFonts w:hint="eastAsia" w:ascii="宋体" w:hAnsi="宋体" w:cs="宋体"/>
                <w:color w:val="auto"/>
                <w:szCs w:val="21"/>
                <w:highlight w:val="none"/>
              </w:rPr>
              <w:t>要求</w:t>
            </w:r>
            <w:r>
              <w:rPr>
                <w:rFonts w:hint="eastAsia" w:ascii="宋体" w:hAnsi="宋体" w:cs="宋体"/>
                <w:b/>
                <w:bCs/>
                <w:color w:val="auto"/>
                <w:kern w:val="0"/>
                <w:sz w:val="22"/>
                <w:szCs w:val="22"/>
                <w:highlight w:val="none"/>
              </w:rPr>
              <w:t>【投标人于投标文件中提供所投产品由国家认可的第三方检测（检验）机构出具的满足本项技术参数的检测（检验）报告复印件证明，加盖投标人电子签章】</w:t>
            </w:r>
            <w:r>
              <w:rPr>
                <w:rFonts w:hint="eastAsia" w:ascii="宋体" w:hAnsi="宋体" w:cs="宋体"/>
                <w:color w:val="auto"/>
                <w:szCs w:val="21"/>
                <w:highlight w:val="none"/>
              </w:rPr>
              <w:t>。</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83D0A99">
            <w:pPr>
              <w:keepNext w:val="0"/>
              <w:keepLines w:val="0"/>
              <w:pageBreakBefore w:val="0"/>
              <w:widowControl/>
              <w:kinsoku/>
              <w:wordWrap w:val="0"/>
              <w:overflowPunct/>
              <w:topLinePunct w:val="0"/>
              <w:autoSpaceDE/>
              <w:autoSpaceDN/>
              <w:bidi w:val="0"/>
              <w:jc w:val="center"/>
              <w:outlineLvl w:val="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753" w:type="dxa"/>
            <w:tcBorders>
              <w:top w:val="single" w:color="auto" w:sz="4" w:space="0"/>
              <w:left w:val="single" w:color="auto" w:sz="4" w:space="0"/>
              <w:bottom w:val="single" w:color="auto" w:sz="4" w:space="0"/>
              <w:right w:val="single" w:color="auto" w:sz="4" w:space="0"/>
            </w:tcBorders>
            <w:noWrap w:val="0"/>
            <w:vAlign w:val="center"/>
          </w:tcPr>
          <w:p w14:paraId="688B25AF">
            <w:pPr>
              <w:keepNext w:val="0"/>
              <w:keepLines w:val="0"/>
              <w:pageBreakBefore w:val="0"/>
              <w:widowControl/>
              <w:kinsoku/>
              <w:wordWrap w:val="0"/>
              <w:overflowPunct/>
              <w:topLinePunct w:val="0"/>
              <w:autoSpaceDE/>
              <w:autoSpaceDN/>
              <w:bidi w:val="0"/>
              <w:jc w:val="center"/>
              <w:outlineLvl w:val="0"/>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套</w:t>
            </w:r>
          </w:p>
        </w:tc>
        <w:tc>
          <w:tcPr>
            <w:tcW w:w="1319" w:type="dxa"/>
            <w:tcBorders>
              <w:top w:val="single" w:color="auto" w:sz="4" w:space="0"/>
              <w:left w:val="single" w:color="auto" w:sz="4" w:space="0"/>
              <w:bottom w:val="single" w:color="auto" w:sz="4" w:space="0"/>
              <w:right w:val="single" w:color="auto" w:sz="4" w:space="0"/>
            </w:tcBorders>
            <w:noWrap w:val="0"/>
            <w:vAlign w:val="center"/>
          </w:tcPr>
          <w:p w14:paraId="45470A34">
            <w:pPr>
              <w:keepNext w:val="0"/>
              <w:keepLines w:val="0"/>
              <w:pageBreakBefore w:val="0"/>
              <w:widowControl/>
              <w:kinsoku/>
              <w:wordWrap w:val="0"/>
              <w:overflowPunct/>
              <w:topLinePunct w:val="0"/>
              <w:autoSpaceDE/>
              <w:autoSpaceDN/>
              <w:bidi w:val="0"/>
              <w:jc w:val="center"/>
              <w:outlineLvl w:val="0"/>
              <w:rPr>
                <w:rFonts w:ascii="宋体" w:hAnsi="宋体" w:cs="宋体"/>
                <w:color w:val="auto"/>
                <w:szCs w:val="21"/>
                <w:highlight w:val="none"/>
              </w:rPr>
            </w:pPr>
            <w:r>
              <w:rPr>
                <w:rFonts w:hint="eastAsia" w:ascii="宋体" w:hAnsi="宋体" w:cs="宋体"/>
                <w:color w:val="auto"/>
                <w:szCs w:val="21"/>
                <w:highlight w:val="none"/>
                <w:lang w:val="en-US" w:eastAsia="zh-CN"/>
              </w:rPr>
              <w:t>190000.00</w:t>
            </w:r>
          </w:p>
        </w:tc>
      </w:tr>
      <w:tr w14:paraId="550F7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9905" w:type="dxa"/>
            <w:gridSpan w:val="7"/>
            <w:tcBorders>
              <w:top w:val="single" w:color="auto" w:sz="4" w:space="0"/>
              <w:left w:val="single" w:color="auto" w:sz="4" w:space="0"/>
              <w:bottom w:val="single" w:color="auto" w:sz="4" w:space="0"/>
              <w:right w:val="single" w:color="auto" w:sz="4" w:space="0"/>
            </w:tcBorders>
            <w:noWrap w:val="0"/>
            <w:vAlign w:val="center"/>
          </w:tcPr>
          <w:p w14:paraId="608A290D">
            <w:pPr>
              <w:keepNext w:val="0"/>
              <w:keepLines w:val="0"/>
              <w:pageBreakBefore w:val="0"/>
              <w:widowControl/>
              <w:kinsoku/>
              <w:wordWrap w:val="0"/>
              <w:overflowPunct/>
              <w:topLinePunct w:val="0"/>
              <w:autoSpaceDE/>
              <w:autoSpaceDN/>
              <w:bidi w:val="0"/>
              <w:textAlignment w:val="center"/>
              <w:rPr>
                <w:rFonts w:ascii="宋体" w:hAnsi="宋体" w:cs="宋体"/>
                <w:color w:val="auto"/>
                <w:kern w:val="0"/>
                <w:szCs w:val="21"/>
                <w:highlight w:val="none"/>
                <w:lang w:bidi="ar"/>
              </w:rPr>
            </w:pPr>
            <w:r>
              <w:rPr>
                <w:rFonts w:hint="eastAsia" w:ascii="宋体" w:hAnsi="宋体" w:cs="宋体"/>
                <w:b/>
                <w:color w:val="auto"/>
                <w:kern w:val="0"/>
                <w:szCs w:val="21"/>
                <w:highlight w:val="none"/>
              </w:rPr>
              <w:t>核心产品</w:t>
            </w:r>
            <w:r>
              <w:rPr>
                <w:rFonts w:hint="eastAsia" w:ascii="宋体" w:hAnsi="宋体" w:cs="宋体"/>
                <w:color w:val="auto"/>
                <w:kern w:val="0"/>
                <w:szCs w:val="21"/>
                <w:highlight w:val="none"/>
                <w:lang w:bidi="ar"/>
              </w:rPr>
              <w:t>：</w:t>
            </w:r>
            <w:r>
              <w:rPr>
                <w:rFonts w:hint="eastAsia" w:ascii="宋体" w:hAnsi="宋体" w:cs="宋体"/>
                <w:b/>
                <w:color w:val="auto"/>
                <w:kern w:val="0"/>
                <w:szCs w:val="21"/>
                <w:highlight w:val="none"/>
              </w:rPr>
              <w:t>本项目核心产品为第</w:t>
            </w:r>
            <w:r>
              <w:rPr>
                <w:rFonts w:hint="eastAsia" w:ascii="宋体" w:hAnsi="宋体" w:cs="宋体"/>
                <w:b/>
                <w:color w:val="auto"/>
                <w:kern w:val="0"/>
                <w:szCs w:val="21"/>
                <w:highlight w:val="none"/>
                <w:lang w:val="en-US" w:eastAsia="zh-CN"/>
              </w:rPr>
              <w:t>1</w:t>
            </w:r>
            <w:r>
              <w:rPr>
                <w:rFonts w:hint="eastAsia" w:ascii="宋体" w:hAnsi="宋体" w:cs="宋体"/>
                <w:b/>
                <w:color w:val="auto"/>
                <w:kern w:val="0"/>
                <w:szCs w:val="21"/>
                <w:highlight w:val="none"/>
              </w:rPr>
              <w:t>项号产品“医用中心吸引系统</w:t>
            </w:r>
            <w:r>
              <w:rPr>
                <w:rFonts w:hint="eastAsia" w:ascii="宋体" w:hAnsi="宋体" w:cs="宋体"/>
                <w:b/>
                <w:color w:val="auto"/>
                <w:kern w:val="0"/>
                <w:szCs w:val="21"/>
                <w:highlight w:val="none"/>
                <w:lang w:eastAsia="zh-CN"/>
              </w:rPr>
              <w:t>”</w:t>
            </w:r>
            <w:r>
              <w:rPr>
                <w:rFonts w:hint="eastAsia" w:ascii="宋体" w:hAnsi="宋体" w:cs="宋体"/>
                <w:b/>
                <w:color w:val="auto"/>
                <w:kern w:val="0"/>
                <w:szCs w:val="21"/>
                <w:highlight w:val="none"/>
              </w:rPr>
              <w:t>。</w:t>
            </w:r>
          </w:p>
        </w:tc>
      </w:tr>
      <w:tr w14:paraId="3C67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905" w:type="dxa"/>
            <w:gridSpan w:val="7"/>
            <w:tcBorders>
              <w:top w:val="single" w:color="auto" w:sz="4" w:space="0"/>
              <w:left w:val="single" w:color="auto" w:sz="4" w:space="0"/>
              <w:bottom w:val="single" w:color="auto" w:sz="4" w:space="0"/>
              <w:right w:val="single" w:color="auto" w:sz="4" w:space="0"/>
            </w:tcBorders>
            <w:noWrap w:val="0"/>
            <w:vAlign w:val="center"/>
          </w:tcPr>
          <w:p w14:paraId="246DB689">
            <w:pPr>
              <w:keepNext w:val="0"/>
              <w:keepLines w:val="0"/>
              <w:pageBreakBefore w:val="0"/>
              <w:kinsoku/>
              <w:wordWrap w:val="0"/>
              <w:overflowPunct/>
              <w:topLinePunct w:val="0"/>
              <w:autoSpaceDE/>
              <w:autoSpaceDN/>
              <w:bidi w:val="0"/>
              <w:adjustRightInd w:val="0"/>
              <w:snapToGrid w:val="0"/>
              <w:spacing w:line="300" w:lineRule="exact"/>
              <w:jc w:val="left"/>
              <w:textAlignment w:val="center"/>
              <w:rPr>
                <w:rFonts w:ascii="宋体" w:hAnsi="宋体" w:cs="宋体"/>
                <w:b/>
                <w:color w:val="auto"/>
                <w:szCs w:val="21"/>
                <w:highlight w:val="none"/>
              </w:rPr>
            </w:pPr>
            <w:r>
              <w:rPr>
                <w:rFonts w:hint="eastAsia" w:ascii="宋体" w:hAnsi="宋体" w:cs="宋体"/>
                <w:b/>
                <w:color w:val="auto"/>
                <w:kern w:val="0"/>
                <w:szCs w:val="21"/>
                <w:highlight w:val="none"/>
              </w:rPr>
              <w:t>▲</w:t>
            </w:r>
            <w:r>
              <w:rPr>
                <w:rFonts w:hint="eastAsia" w:ascii="宋体" w:hAnsi="宋体" w:cs="宋体"/>
                <w:b/>
                <w:color w:val="auto"/>
                <w:szCs w:val="21"/>
                <w:highlight w:val="none"/>
              </w:rPr>
              <w:t>二、商务要求</w:t>
            </w:r>
          </w:p>
        </w:tc>
      </w:tr>
      <w:tr w14:paraId="655CF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3EAEE43B">
            <w:pPr>
              <w:keepNext w:val="0"/>
              <w:keepLines w:val="0"/>
              <w:pageBreakBefore w:val="0"/>
              <w:kinsoku/>
              <w:wordWrap w:val="0"/>
              <w:overflowPunct/>
              <w:topLinePunct w:val="0"/>
              <w:autoSpaceDE/>
              <w:autoSpaceDN/>
              <w:bidi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（一）售后服务</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324BB8B8">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投标人提供的以下售后服务均应包含在投标报价中，采购人不再就此另行支付任何费用：</w:t>
            </w:r>
          </w:p>
          <w:p w14:paraId="2FCA6CC9">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（1）按照国家有关产品“三包”规定执行“三包”，保修期不得少于3年（自验收合格之日起计算）。</w:t>
            </w:r>
          </w:p>
          <w:p w14:paraId="31802746">
            <w:pPr>
              <w:keepNext w:val="0"/>
              <w:keepLines w:val="0"/>
              <w:pageBreakBefore w:val="0"/>
              <w:kinsoku/>
              <w:wordWrap w:val="0"/>
              <w:overflowPunct/>
              <w:topLinePunct w:val="0"/>
              <w:autoSpaceDE/>
              <w:autoSpaceDN/>
              <w:bidi w:val="0"/>
              <w:spacing w:line="340" w:lineRule="exact"/>
              <w:rPr>
                <w:rFonts w:ascii="宋体" w:hAnsi="宋体" w:cs="宋体"/>
                <w:color w:val="auto"/>
                <w:szCs w:val="21"/>
                <w:highlight w:val="none"/>
              </w:rPr>
            </w:pPr>
            <w:r>
              <w:rPr>
                <w:rFonts w:hint="eastAsia" w:ascii="宋体" w:hAnsi="宋体" w:cs="宋体"/>
                <w:b/>
                <w:color w:val="auto"/>
                <w:szCs w:val="21"/>
                <w:highlight w:val="none"/>
              </w:rPr>
              <w:t>（2）采购范围内的货物提供送货上门、安装调试合格；保修期内提供上门维修以及更换零配件服务。如果需要更换配件的，要求更换的配件应</w:t>
            </w:r>
            <w:r>
              <w:rPr>
                <w:rFonts w:hint="eastAsia" w:ascii="宋体" w:hAnsi="宋体" w:cs="宋体"/>
                <w:b/>
                <w:color w:val="auto"/>
                <w:szCs w:val="21"/>
                <w:highlight w:val="none"/>
                <w:lang w:eastAsia="zh-CN"/>
              </w:rPr>
              <w:t>与</w:t>
            </w:r>
            <w:r>
              <w:rPr>
                <w:rFonts w:hint="eastAsia" w:ascii="宋体" w:hAnsi="宋体" w:cs="宋体"/>
                <w:b/>
                <w:color w:val="auto"/>
                <w:szCs w:val="21"/>
                <w:highlight w:val="none"/>
              </w:rPr>
              <w:t>更换的品牌、类型相一致或者是同类同档次的替代品，后者需征得采购人同意。保修期内提供技术培训服务，保证采购人使用人员正常操作产品的各种功能。</w:t>
            </w:r>
          </w:p>
          <w:p w14:paraId="126C4547">
            <w:pPr>
              <w:keepNext w:val="0"/>
              <w:keepLines w:val="0"/>
              <w:pageBreakBefore w:val="0"/>
              <w:kinsoku/>
              <w:wordWrap w:val="0"/>
              <w:overflowPunct/>
              <w:topLinePunct w:val="0"/>
              <w:autoSpaceDE/>
              <w:autoSpaceDN/>
              <w:bidi w:val="0"/>
              <w:spacing w:line="340" w:lineRule="exact"/>
              <w:jc w:val="left"/>
              <w:rPr>
                <w:rFonts w:ascii="宋体" w:hAnsi="宋体" w:cs="宋体"/>
                <w:b/>
                <w:color w:val="auto"/>
                <w:szCs w:val="21"/>
                <w:highlight w:val="none"/>
              </w:rPr>
            </w:pPr>
            <w:r>
              <w:rPr>
                <w:rFonts w:hint="eastAsia" w:ascii="宋体" w:hAnsi="宋体" w:cs="宋体"/>
                <w:b/>
                <w:color w:val="auto"/>
                <w:szCs w:val="21"/>
                <w:highlight w:val="none"/>
              </w:rPr>
              <w:t>（3）保修期内接到报障电话应在2小时内给予响应，需要现场维修的，应在8个小时内到达故障现场；一般问题应在到达后2小时内解决，重大问题或其他无法迅速解决的问题应在48小时内解决。</w:t>
            </w:r>
          </w:p>
          <w:p w14:paraId="05C2C331">
            <w:pPr>
              <w:keepNext w:val="0"/>
              <w:keepLines w:val="0"/>
              <w:pageBreakBefore w:val="0"/>
              <w:kinsoku/>
              <w:wordWrap w:val="0"/>
              <w:overflowPunct/>
              <w:topLinePunct w:val="0"/>
              <w:autoSpaceDE/>
              <w:autoSpaceDN/>
              <w:bidi w:val="0"/>
              <w:spacing w:line="340" w:lineRule="exact"/>
              <w:jc w:val="left"/>
              <w:rPr>
                <w:rFonts w:ascii="宋体" w:hAnsi="宋体" w:cs="宋体"/>
                <w:b/>
                <w:bCs/>
                <w:color w:val="auto"/>
                <w:szCs w:val="21"/>
                <w:highlight w:val="none"/>
              </w:rPr>
            </w:pPr>
            <w:r>
              <w:rPr>
                <w:rFonts w:hint="eastAsia" w:ascii="宋体" w:hAnsi="宋体" w:cs="宋体"/>
                <w:b/>
                <w:color w:val="auto"/>
                <w:szCs w:val="21"/>
                <w:highlight w:val="none"/>
              </w:rPr>
              <w:t>（4）若产品自带软件的，则须提供保修期内提供软件升级服务。</w:t>
            </w:r>
          </w:p>
          <w:p w14:paraId="2D1EBA21">
            <w:pPr>
              <w:keepNext w:val="0"/>
              <w:keepLines w:val="0"/>
              <w:pageBreakBefore w:val="0"/>
              <w:kinsoku/>
              <w:wordWrap w:val="0"/>
              <w:overflowPunct/>
              <w:topLinePunct w:val="0"/>
              <w:autoSpaceDE/>
              <w:autoSpaceDN/>
              <w:bidi w:val="0"/>
              <w:spacing w:line="340" w:lineRule="exact"/>
              <w:jc w:val="left"/>
              <w:rPr>
                <w:rFonts w:ascii="宋体" w:hAnsi="宋体" w:cs="宋体"/>
                <w:b/>
                <w:color w:val="auto"/>
                <w:szCs w:val="21"/>
                <w:highlight w:val="none"/>
              </w:rPr>
            </w:pPr>
            <w:r>
              <w:rPr>
                <w:rFonts w:hint="eastAsia" w:ascii="宋体" w:hAnsi="宋体" w:cs="宋体"/>
                <w:b/>
                <w:color w:val="auto"/>
                <w:szCs w:val="21"/>
                <w:highlight w:val="none"/>
              </w:rPr>
              <w:t>（5）在保修期内因货物本身的质量问题发生故障，中标人应负责修理和更换零部件。对达不到技术要求者，根据实际情况，经双方协商，可按以下办法处理：</w:t>
            </w:r>
          </w:p>
          <w:p w14:paraId="57F969E3">
            <w:pPr>
              <w:keepNext w:val="0"/>
              <w:keepLines w:val="0"/>
              <w:pageBreakBefore w:val="0"/>
              <w:kinsoku/>
              <w:wordWrap w:val="0"/>
              <w:overflowPunct/>
              <w:topLinePunct w:val="0"/>
              <w:autoSpaceDE/>
              <w:autoSpaceDN/>
              <w:bidi w:val="0"/>
              <w:spacing w:line="340" w:lineRule="exact"/>
              <w:jc w:val="left"/>
              <w:rPr>
                <w:rFonts w:ascii="宋体" w:hAnsi="宋体" w:cs="宋体"/>
                <w:b/>
                <w:color w:val="auto"/>
                <w:szCs w:val="21"/>
                <w:highlight w:val="none"/>
              </w:rPr>
            </w:pPr>
            <w:r>
              <w:rPr>
                <w:rFonts w:hint="eastAsia" w:ascii="宋体" w:hAnsi="宋体" w:cs="宋体"/>
                <w:b/>
                <w:color w:val="auto"/>
                <w:szCs w:val="21"/>
                <w:highlight w:val="none"/>
              </w:rPr>
              <w:t>①更换：由中标人承担所有发生的全部费用。</w:t>
            </w:r>
          </w:p>
          <w:p w14:paraId="10A4554C">
            <w:pPr>
              <w:keepNext w:val="0"/>
              <w:keepLines w:val="0"/>
              <w:pageBreakBefore w:val="0"/>
              <w:kinsoku/>
              <w:wordWrap w:val="0"/>
              <w:overflowPunct/>
              <w:topLinePunct w:val="0"/>
              <w:autoSpaceDE/>
              <w:autoSpaceDN/>
              <w:bidi w:val="0"/>
              <w:spacing w:line="340" w:lineRule="exact"/>
              <w:jc w:val="left"/>
              <w:rPr>
                <w:rFonts w:ascii="宋体" w:hAnsi="宋体" w:cs="宋体"/>
                <w:b/>
                <w:color w:val="auto"/>
                <w:szCs w:val="21"/>
                <w:highlight w:val="none"/>
              </w:rPr>
            </w:pPr>
            <w:r>
              <w:rPr>
                <w:rFonts w:hint="eastAsia" w:ascii="宋体" w:hAnsi="宋体" w:cs="宋体"/>
                <w:b/>
                <w:color w:val="auto"/>
                <w:szCs w:val="21"/>
                <w:highlight w:val="none"/>
              </w:rPr>
              <w:t>②贬值处理：由采购人、中标人双方合议定价。</w:t>
            </w:r>
          </w:p>
          <w:p w14:paraId="587B0181">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③退货处理：中标人应退还采购人支付的合同款，同时应承担该货物的直接费用（运输、保险、检验、贷款利息及银行手续费等）。</w:t>
            </w:r>
          </w:p>
        </w:tc>
      </w:tr>
      <w:tr w14:paraId="094A0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5E7DC6EE">
            <w:pPr>
              <w:keepNext w:val="0"/>
              <w:keepLines w:val="0"/>
              <w:pageBreakBefore w:val="0"/>
              <w:kinsoku/>
              <w:wordWrap w:val="0"/>
              <w:overflowPunct/>
              <w:topLinePunct w:val="0"/>
              <w:autoSpaceDE/>
              <w:autoSpaceDN/>
              <w:bidi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（二）交付时间和地点</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1F781C2C">
            <w:pPr>
              <w:keepNext w:val="0"/>
              <w:keepLines w:val="0"/>
              <w:pageBreakBefore w:val="0"/>
              <w:kinsoku/>
              <w:wordWrap w:val="0"/>
              <w:overflowPunct/>
              <w:topLinePunct w:val="0"/>
              <w:autoSpaceDE/>
              <w:autoSpaceDN/>
              <w:bidi w:val="0"/>
              <w:spacing w:line="340" w:lineRule="exact"/>
              <w:rPr>
                <w:rFonts w:ascii="宋体" w:hAnsi="宋体" w:cs="宋体"/>
                <w:b/>
                <w:color w:val="auto"/>
                <w:szCs w:val="21"/>
                <w:highlight w:val="none"/>
              </w:rPr>
            </w:pPr>
            <w:r>
              <w:rPr>
                <w:rFonts w:hint="eastAsia" w:ascii="宋体" w:hAnsi="宋体" w:cs="宋体"/>
                <w:b/>
                <w:color w:val="auto"/>
                <w:szCs w:val="21"/>
                <w:highlight w:val="none"/>
              </w:rPr>
              <w:t>1.交付时间：自合同签订之日起20个工作日内全部安装调试合格完毕并交付使用。</w:t>
            </w:r>
          </w:p>
          <w:p w14:paraId="422B8131">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2.交付地点：广西桂林市内采购人指定地点。</w:t>
            </w:r>
          </w:p>
        </w:tc>
      </w:tr>
      <w:tr w14:paraId="215F1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11BEB8FA">
            <w:pPr>
              <w:keepNext w:val="0"/>
              <w:keepLines w:val="0"/>
              <w:pageBreakBefore w:val="0"/>
              <w:kinsoku/>
              <w:wordWrap w:val="0"/>
              <w:overflowPunct/>
              <w:topLinePunct w:val="0"/>
              <w:autoSpaceDE/>
              <w:autoSpaceDN/>
              <w:bidi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（三）付款方式</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1E8D7AD5">
            <w:pPr>
              <w:keepNext w:val="0"/>
              <w:keepLines w:val="0"/>
              <w:pageBreakBefore w:val="0"/>
              <w:kinsoku/>
              <w:wordWrap w:val="0"/>
              <w:overflowPunct/>
              <w:topLinePunct w:val="0"/>
              <w:autoSpaceDE/>
              <w:autoSpaceDN/>
              <w:bidi w:val="0"/>
              <w:spacing w:line="340" w:lineRule="exact"/>
              <w:rPr>
                <w:rFonts w:ascii="宋体" w:hAnsi="宋体" w:cs="宋体"/>
                <w:b/>
                <w:color w:val="auto"/>
                <w:szCs w:val="21"/>
                <w:highlight w:val="none"/>
              </w:rPr>
            </w:pPr>
            <w:r>
              <w:rPr>
                <w:rFonts w:hint="eastAsia" w:ascii="宋体" w:hAnsi="宋体" w:cs="宋体"/>
                <w:b/>
                <w:color w:val="auto"/>
                <w:szCs w:val="21"/>
                <w:highlight w:val="none"/>
              </w:rPr>
              <w:t>项目设备验收合格并运行正常，收到发票后支付合同金额的50%；项目设备验收合格后第2年内支付合同金额的45%，保修期满后支付合同金额的5%（无息）。</w:t>
            </w:r>
          </w:p>
        </w:tc>
      </w:tr>
      <w:tr w14:paraId="1B1C6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50DE3A2F">
            <w:pPr>
              <w:keepNext w:val="0"/>
              <w:keepLines w:val="0"/>
              <w:pageBreakBefore w:val="0"/>
              <w:kinsoku/>
              <w:wordWrap w:val="0"/>
              <w:overflowPunct/>
              <w:topLinePunct w:val="0"/>
              <w:autoSpaceDE/>
              <w:autoSpaceDN/>
              <w:bidi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（四）包装和运输</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2B6E0FF6">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1.原厂原包装，包装完好完整、无破损、未开封。</w:t>
            </w:r>
          </w:p>
          <w:p w14:paraId="76D231FF">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2.包装及运输方式应综合考虑运输距离、防潮、防震、防锈和防破损装卸等要求。</w:t>
            </w:r>
          </w:p>
          <w:p w14:paraId="0B669256">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3.国家对包装及运输有相关强制性标准或要求的，中标人应当执行。</w:t>
            </w:r>
          </w:p>
          <w:p w14:paraId="33591D98">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4.产品（含包装）运抵采购人指定交付地点前发生损坏的，相关损失由中标人自行承担。</w:t>
            </w:r>
          </w:p>
        </w:tc>
      </w:tr>
      <w:tr w14:paraId="1A29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102A764F">
            <w:pPr>
              <w:keepNext w:val="0"/>
              <w:keepLines w:val="0"/>
              <w:pageBreakBefore w:val="0"/>
              <w:kinsoku/>
              <w:wordWrap w:val="0"/>
              <w:overflowPunct/>
              <w:topLinePunct w:val="0"/>
              <w:autoSpaceDE/>
              <w:autoSpaceDN/>
              <w:bidi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（五）保险</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73E6C177">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若投标人为本项目标的及标的涉及的相关材料、设备、人员、运输等购买保险的，相关费用由投标人自行承担。</w:t>
            </w:r>
          </w:p>
        </w:tc>
      </w:tr>
      <w:tr w14:paraId="2FDD8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548007F1">
            <w:pPr>
              <w:keepNext w:val="0"/>
              <w:keepLines w:val="0"/>
              <w:pageBreakBefore w:val="0"/>
              <w:kinsoku/>
              <w:wordWrap w:val="0"/>
              <w:overflowPunct/>
              <w:topLinePunct w:val="0"/>
              <w:autoSpaceDE/>
              <w:autoSpaceDN/>
              <w:bidi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（六）验收标准</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090C8517">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1.中标人提供的产品必须符合国家、行业强制执行的相关质量标准要求以及产品制造厂家合格产品的出厂质量标准。</w:t>
            </w:r>
          </w:p>
          <w:p w14:paraId="43713F87">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2.设备须全新、完好、无破损，产品到货后，采购人现场根据招标文件要求、投标文件承诺以及国家相关标准、地方标准进行验收，必要时，采购人有权邀请国家质量监督检验部门或国家认可的检测机构参与共同验收。如产品不满足投标文件要求、中标人投标文件承诺或国家、行业强制执行的相关质量标准要求以及产品制造厂家合格产品的出厂质量标准，采购人有权不予验收，由此造成采购人的经济损失由中标人承担全部赔偿责任。</w:t>
            </w:r>
          </w:p>
          <w:p w14:paraId="6B599F7E">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3.中标人必须于供货时向采购人提供所投医疗器械产品由行政主管部门核准资格文件、产品注册时的检测检验报告书，产品彩页或参数说明书等资料材料，以便核实相关技术参数，否则不予验收，中标人应承担逾期交货违约责任。</w:t>
            </w:r>
          </w:p>
          <w:p w14:paraId="52A9E742">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4.中标人交货前应对产品做出全面的检查和对验收文件进行整理，并列出清单，作为采购人验收和使用的技术条件依据，验收的结果应随货物交采购人。</w:t>
            </w:r>
          </w:p>
          <w:p w14:paraId="60D6117C">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 xml:space="preserve">5.采购人依据招标文件的技术规格要求和国家有关质量标准对货物进行现场初步验收，外观、说明书符合招标文件技术要求的，给予签收，初步验收不合格的不予签收。货到后，采购人应当在到货（安装、调试完）后七个工作日内进行验收。验收合格后由双方签署货物验收单并加盖公章，双方各执一份。 </w:t>
            </w:r>
          </w:p>
          <w:p w14:paraId="084555D3">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6.采购人对中标人提供的货物在使用前进行调试时，投标人须负责安装并培训采购人的使用人员，并协助采购人一起调试，直到符合技术要求，采购人予以最终验收。</w:t>
            </w:r>
          </w:p>
          <w:p w14:paraId="086BD623">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7.对技术复杂的货物，采购人应请国家认可的专业检测机构参与初步验收及最终验收，并由其出具质量检测报告。</w:t>
            </w:r>
          </w:p>
          <w:p w14:paraId="27086336">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8.验收时中标人必须在现场，验收完毕后做出验收结果报告，验收费用由中标人负责。</w:t>
            </w:r>
          </w:p>
          <w:p w14:paraId="27550AB7">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9.采购人对验收有异议的，在验收后7个工作日内以书面形式向中标人提出，中标人应自收到采购人书面异议后7日内及时予以解决。</w:t>
            </w:r>
          </w:p>
          <w:p w14:paraId="25EB6C8D">
            <w:pPr>
              <w:keepNext w:val="0"/>
              <w:keepLines w:val="0"/>
              <w:pageBreakBefore w:val="0"/>
              <w:kinsoku/>
              <w:wordWrap w:val="0"/>
              <w:overflowPunct/>
              <w:topLinePunct w:val="0"/>
              <w:autoSpaceDE/>
              <w:autoSpaceDN/>
              <w:bidi w:val="0"/>
              <w:adjustRightInd w:val="0"/>
              <w:snapToGrid w:val="0"/>
              <w:spacing w:line="340" w:lineRule="exact"/>
              <w:textAlignment w:val="center"/>
              <w:rPr>
                <w:rFonts w:hint="eastAsia" w:ascii="宋体" w:hAnsi="宋体" w:cs="宋体"/>
                <w:b/>
                <w:color w:val="auto"/>
                <w:szCs w:val="21"/>
                <w:highlight w:val="none"/>
              </w:rPr>
            </w:pPr>
            <w:r>
              <w:rPr>
                <w:rFonts w:hint="eastAsia" w:ascii="宋体" w:hAnsi="宋体" w:cs="宋体"/>
                <w:b/>
                <w:color w:val="auto"/>
                <w:szCs w:val="21"/>
                <w:highlight w:val="none"/>
              </w:rPr>
              <w:t>10.经采购人提出书面整改之日起，中标人七日内仍无法解决的，或经整改达不到采购人验收要求的，采购人有权终止合同，中标人无条件同意终止合同，中标人自愿放弃所有的索赔，由此造成采购人的经济损失由中标人承担全部赔偿责任包括不</w:t>
            </w:r>
            <w:r>
              <w:rPr>
                <w:rFonts w:hint="eastAsia" w:ascii="宋体" w:hAnsi="宋体" w:cs="宋体"/>
                <w:b/>
                <w:color w:val="auto"/>
                <w:szCs w:val="21"/>
                <w:highlight w:val="none"/>
              </w:rPr>
              <w:t>限于采购人的经济损失及律师费、诉讼费、鉴定费等。</w:t>
            </w:r>
          </w:p>
          <w:p w14:paraId="7572B2E6">
            <w:pPr>
              <w:keepNext w:val="0"/>
              <w:keepLines w:val="0"/>
              <w:pageBreakBefore w:val="0"/>
              <w:kinsoku/>
              <w:wordWrap w:val="0"/>
              <w:overflowPunct/>
              <w:topLinePunct w:val="0"/>
              <w:autoSpaceDE/>
              <w:autoSpaceDN/>
              <w:bidi w:val="0"/>
              <w:adjustRightInd w:val="0"/>
              <w:snapToGrid w:val="0"/>
              <w:spacing w:line="340" w:lineRule="exact"/>
              <w:textAlignment w:val="center"/>
              <w:rPr>
                <w:rFonts w:hint="default" w:ascii="宋体" w:hAnsi="宋体" w:eastAsia="宋体" w:cs="宋体"/>
                <w:b/>
                <w:color w:val="auto"/>
                <w:szCs w:val="21"/>
                <w:highlight w:val="none"/>
                <w:lang w:val="en-US" w:eastAsia="zh-CN"/>
              </w:rPr>
            </w:pPr>
            <w:r>
              <w:rPr>
                <w:rFonts w:hint="eastAsia" w:ascii="宋体" w:hAnsi="宋体" w:cs="宋体"/>
                <w:b/>
                <w:color w:val="auto"/>
                <w:szCs w:val="21"/>
                <w:highlight w:val="none"/>
                <w:lang w:val="en-US" w:eastAsia="zh-CN"/>
              </w:rPr>
              <w:t>11.</w:t>
            </w:r>
            <w:r>
              <w:rPr>
                <w:rFonts w:hint="eastAsia"/>
                <w:b/>
                <w:bCs/>
                <w:color w:val="auto"/>
                <w:highlight w:val="none"/>
                <w:lang w:eastAsia="zh-CN"/>
              </w:rPr>
              <w:t>中标人如按“</w:t>
            </w:r>
            <w:r>
              <w:rPr>
                <w:rFonts w:hint="eastAsia" w:ascii="宋体" w:hAnsi="宋体" w:cs="宋体"/>
                <w:b/>
                <w:bCs/>
                <w:color w:val="auto"/>
                <w:szCs w:val="21"/>
                <w:highlight w:val="none"/>
              </w:rPr>
              <w:t>技术要求</w:t>
            </w:r>
            <w:r>
              <w:rPr>
                <w:rFonts w:hint="eastAsia"/>
                <w:b/>
                <w:bCs/>
                <w:color w:val="auto"/>
                <w:highlight w:val="none"/>
                <w:lang w:eastAsia="zh-CN"/>
              </w:rPr>
              <w:t>”于投标文件中</w:t>
            </w:r>
            <w:r>
              <w:rPr>
                <w:rFonts w:hint="eastAsia" w:ascii="宋体" w:hAnsi="宋体" w:cs="宋体"/>
                <w:b/>
                <w:bCs/>
                <w:color w:val="auto"/>
                <w:szCs w:val="21"/>
                <w:highlight w:val="none"/>
              </w:rPr>
              <w:t>提供</w:t>
            </w:r>
            <w:r>
              <w:rPr>
                <w:rFonts w:hint="eastAsia" w:ascii="宋体" w:hAnsi="宋体" w:cs="宋体"/>
                <w:b/>
                <w:bCs/>
                <w:color w:val="auto"/>
                <w:szCs w:val="21"/>
                <w:highlight w:val="none"/>
                <w:lang w:eastAsia="zh-CN"/>
              </w:rPr>
              <w:t>了相应的</w:t>
            </w:r>
            <w:r>
              <w:rPr>
                <w:rFonts w:hint="eastAsia" w:ascii="宋体" w:hAnsi="宋体" w:cs="宋体"/>
                <w:b/>
                <w:bCs/>
                <w:color w:val="auto"/>
                <w:szCs w:val="21"/>
                <w:highlight w:val="none"/>
              </w:rPr>
              <w:t>检测（验）报告</w:t>
            </w:r>
            <w:r>
              <w:rPr>
                <w:rFonts w:hint="eastAsia" w:ascii="宋体" w:hAnsi="宋体" w:cs="宋体"/>
                <w:b/>
                <w:bCs/>
                <w:color w:val="auto"/>
                <w:szCs w:val="21"/>
                <w:highlight w:val="none"/>
                <w:lang w:eastAsia="zh-CN"/>
              </w:rPr>
              <w:t>复印件</w:t>
            </w:r>
            <w:r>
              <w:rPr>
                <w:rFonts w:hint="eastAsia" w:ascii="宋体" w:hAnsi="宋体" w:cs="宋体"/>
                <w:b/>
                <w:bCs/>
                <w:color w:val="auto"/>
                <w:szCs w:val="21"/>
                <w:highlight w:val="none"/>
              </w:rPr>
              <w:t>的，</w:t>
            </w:r>
            <w:r>
              <w:rPr>
                <w:rFonts w:hint="eastAsia" w:ascii="宋体" w:hAnsi="宋体" w:cs="宋体"/>
                <w:b/>
                <w:bCs/>
                <w:color w:val="auto"/>
                <w:szCs w:val="21"/>
                <w:highlight w:val="none"/>
                <w:lang w:eastAsia="zh-CN"/>
              </w:rPr>
              <w:t>应于签订合同后</w:t>
            </w:r>
            <w:r>
              <w:rPr>
                <w:rFonts w:hint="eastAsia" w:ascii="宋体" w:hAnsi="宋体" w:cs="宋体"/>
                <w:b/>
                <w:bCs/>
                <w:color w:val="auto"/>
                <w:szCs w:val="21"/>
                <w:highlight w:val="none"/>
                <w:lang w:val="en-US" w:eastAsia="zh-CN"/>
              </w:rPr>
              <w:t>3个工作日内向采购人提供对应的</w:t>
            </w:r>
            <w:r>
              <w:rPr>
                <w:rFonts w:hint="eastAsia" w:ascii="宋体" w:hAnsi="宋体" w:cs="宋体"/>
                <w:b/>
                <w:bCs/>
                <w:color w:val="auto"/>
                <w:szCs w:val="21"/>
                <w:highlight w:val="none"/>
              </w:rPr>
              <w:t>检测（验）报告</w:t>
            </w:r>
            <w:r>
              <w:rPr>
                <w:rFonts w:hint="eastAsia" w:ascii="宋体" w:hAnsi="宋体" w:cs="宋体"/>
                <w:b/>
                <w:bCs/>
                <w:color w:val="auto"/>
                <w:szCs w:val="21"/>
                <w:highlight w:val="none"/>
                <w:lang w:eastAsia="zh-CN"/>
              </w:rPr>
              <w:t>原件进行核查，未按上述要求完整提供相应原件的或所提供的原件与复印件不一致的，</w:t>
            </w:r>
            <w:r>
              <w:rPr>
                <w:rFonts w:hint="eastAsia" w:ascii="宋体" w:hAnsi="宋体" w:cs="宋体"/>
                <w:b/>
                <w:bCs/>
                <w:color w:val="auto"/>
                <w:szCs w:val="21"/>
                <w:highlight w:val="none"/>
              </w:rPr>
              <w:t>采购人有权</w:t>
            </w:r>
            <w:r>
              <w:rPr>
                <w:rFonts w:hint="eastAsia" w:ascii="宋体" w:hAnsi="宋体" w:cs="宋体"/>
                <w:b/>
                <w:bCs/>
                <w:color w:val="auto"/>
                <w:szCs w:val="21"/>
                <w:highlight w:val="none"/>
                <w:lang w:eastAsia="zh-CN"/>
              </w:rPr>
              <w:t>不予验收，采购人可</w:t>
            </w:r>
            <w:r>
              <w:rPr>
                <w:rFonts w:hint="eastAsia" w:ascii="宋体" w:hAnsi="宋体" w:cs="宋体"/>
                <w:b/>
                <w:bCs/>
                <w:color w:val="auto"/>
                <w:szCs w:val="21"/>
                <w:highlight w:val="none"/>
              </w:rPr>
              <w:t>按照合同条款追究</w:t>
            </w:r>
            <w:r>
              <w:rPr>
                <w:rFonts w:hint="eastAsia" w:ascii="宋体" w:hAnsi="宋体" w:cs="宋体"/>
                <w:b/>
                <w:bCs/>
                <w:color w:val="auto"/>
                <w:szCs w:val="21"/>
                <w:highlight w:val="none"/>
                <w:lang w:eastAsia="zh-CN"/>
              </w:rPr>
              <w:t>中标人</w:t>
            </w:r>
            <w:r>
              <w:rPr>
                <w:rFonts w:hint="eastAsia" w:ascii="宋体" w:hAnsi="宋体" w:cs="宋体"/>
                <w:b/>
                <w:bCs/>
                <w:color w:val="auto"/>
                <w:szCs w:val="21"/>
                <w:highlight w:val="none"/>
              </w:rPr>
              <w:t>的违约责任，</w:t>
            </w:r>
            <w:r>
              <w:rPr>
                <w:rFonts w:hint="eastAsia" w:ascii="宋体" w:hAnsi="宋体" w:cs="宋体"/>
                <w:b/>
                <w:bCs/>
                <w:color w:val="auto"/>
                <w:szCs w:val="21"/>
                <w:highlight w:val="none"/>
                <w:lang w:eastAsia="zh-CN"/>
              </w:rPr>
              <w:t>并</w:t>
            </w:r>
            <w:r>
              <w:rPr>
                <w:rFonts w:hint="eastAsia" w:ascii="宋体" w:hAnsi="宋体" w:cs="宋体"/>
                <w:b/>
                <w:bCs/>
                <w:color w:val="auto"/>
                <w:szCs w:val="21"/>
                <w:highlight w:val="none"/>
              </w:rPr>
              <w:t>上报</w:t>
            </w:r>
            <w:r>
              <w:rPr>
                <w:rFonts w:hint="eastAsia" w:ascii="宋体" w:hAnsi="宋体" w:cs="宋体"/>
                <w:b/>
                <w:bCs/>
                <w:color w:val="auto"/>
                <w:szCs w:val="21"/>
                <w:highlight w:val="none"/>
                <w:lang w:eastAsia="zh-CN"/>
              </w:rPr>
              <w:t>监督管理部门</w:t>
            </w:r>
            <w:r>
              <w:rPr>
                <w:rFonts w:hint="eastAsia" w:ascii="宋体" w:hAnsi="宋体" w:cs="宋体"/>
                <w:b/>
                <w:bCs/>
                <w:color w:val="auto"/>
                <w:szCs w:val="21"/>
                <w:highlight w:val="none"/>
              </w:rPr>
              <w:t>处理。</w:t>
            </w:r>
          </w:p>
        </w:tc>
      </w:tr>
      <w:tr w14:paraId="1DBBD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1FD497A1">
            <w:pPr>
              <w:keepNext w:val="0"/>
              <w:keepLines w:val="0"/>
              <w:pageBreakBefore w:val="0"/>
              <w:kinsoku/>
              <w:wordWrap w:val="0"/>
              <w:overflowPunct/>
              <w:topLinePunct w:val="0"/>
              <w:autoSpaceDE/>
              <w:autoSpaceDN/>
              <w:bidi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eastAsia="zh-CN"/>
              </w:rPr>
              <w:t>七</w:t>
            </w:r>
            <w:r>
              <w:rPr>
                <w:rFonts w:hint="eastAsia" w:ascii="宋体" w:hAnsi="宋体" w:cs="宋体"/>
                <w:b/>
                <w:color w:val="auto"/>
                <w:szCs w:val="21"/>
                <w:highlight w:val="none"/>
              </w:rPr>
              <w:t>）</w:t>
            </w:r>
            <w:r>
              <w:rPr>
                <w:rFonts w:hint="eastAsia" w:ascii="宋体" w:hAnsi="宋体" w:cs="新宋体"/>
                <w:b/>
                <w:color w:val="auto"/>
                <w:kern w:val="0"/>
                <w:szCs w:val="21"/>
                <w:highlight w:val="none"/>
              </w:rPr>
              <w:t>医疗器械注册证</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12FD47EB">
            <w:pPr>
              <w:keepNext w:val="0"/>
              <w:keepLines w:val="0"/>
              <w:pageBreakBefore w:val="0"/>
              <w:tabs>
                <w:tab w:val="left" w:pos="1305"/>
              </w:tabs>
              <w:kinsoku/>
              <w:wordWrap w:val="0"/>
              <w:overflowPunct/>
              <w:topLinePunct w:val="0"/>
              <w:autoSpaceDE/>
              <w:autoSpaceDN/>
              <w:bidi w:val="0"/>
              <w:spacing w:line="360" w:lineRule="exact"/>
              <w:rPr>
                <w:rFonts w:ascii="宋体" w:hAnsi="宋体" w:cs="宋体"/>
                <w:b/>
                <w:color w:val="auto"/>
                <w:szCs w:val="21"/>
                <w:highlight w:val="none"/>
              </w:rPr>
            </w:pPr>
            <w:r>
              <w:rPr>
                <w:rFonts w:hint="eastAsia" w:ascii="宋体" w:hAnsi="宋体"/>
                <w:b/>
                <w:color w:val="auto"/>
                <w:szCs w:val="21"/>
                <w:highlight w:val="none"/>
              </w:rPr>
              <w:t>投标人于投标文件中必须提供</w:t>
            </w:r>
            <w:r>
              <w:rPr>
                <w:rFonts w:hint="eastAsia" w:ascii="宋体" w:hAnsi="宋体"/>
                <w:b/>
                <w:color w:val="auto"/>
                <w:highlight w:val="none"/>
              </w:rPr>
              <w:t>所投</w:t>
            </w:r>
            <w:r>
              <w:rPr>
                <w:rFonts w:hint="eastAsia" w:ascii="宋体" w:hAnsi="宋体"/>
                <w:b/>
                <w:color w:val="auto"/>
                <w:highlight w:val="none"/>
                <w:lang w:eastAsia="zh-CN"/>
              </w:rPr>
              <w:t>产品</w:t>
            </w:r>
            <w:r>
              <w:rPr>
                <w:rFonts w:hint="eastAsia" w:ascii="宋体" w:hAnsi="宋体"/>
                <w:b/>
                <w:color w:val="auto"/>
                <w:highlight w:val="none"/>
              </w:rPr>
              <w:t>相应有效的《中华人民共和国医疗器械注册证》复印件（必须包括产品相应的许可事项和登记事项，否则，应附注册登记表或认可表资料，要求清晰反映相关内容）。</w:t>
            </w:r>
          </w:p>
        </w:tc>
      </w:tr>
      <w:tr w14:paraId="64437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630567D9">
            <w:pPr>
              <w:keepNext w:val="0"/>
              <w:keepLines w:val="0"/>
              <w:pageBreakBefore w:val="0"/>
              <w:kinsoku/>
              <w:wordWrap w:val="0"/>
              <w:overflowPunct/>
              <w:topLinePunct w:val="0"/>
              <w:autoSpaceDE/>
              <w:autoSpaceDN/>
              <w:bidi w:val="0"/>
              <w:adjustRightInd w:val="0"/>
              <w:snapToGrid w:val="0"/>
              <w:spacing w:line="320" w:lineRule="exact"/>
              <w:jc w:val="center"/>
              <w:rPr>
                <w:rFonts w:ascii="宋体" w:hAnsi="宋体"/>
                <w:b/>
                <w:bCs w:val="0"/>
                <w:color w:val="auto"/>
                <w:kern w:val="0"/>
                <w:highlight w:val="none"/>
              </w:rPr>
            </w:pPr>
            <w:r>
              <w:rPr>
                <w:rFonts w:hint="eastAsia" w:ascii="宋体" w:hAnsi="宋体" w:cs="宋体"/>
                <w:b/>
                <w:bCs w:val="0"/>
                <w:color w:val="auto"/>
                <w:kern w:val="0"/>
                <w:szCs w:val="21"/>
                <w:highlight w:val="none"/>
              </w:rPr>
              <w:t>（</w:t>
            </w:r>
            <w:r>
              <w:rPr>
                <w:rFonts w:hint="eastAsia" w:ascii="宋体" w:hAnsi="宋体" w:cs="宋体"/>
                <w:b/>
                <w:bCs w:val="0"/>
                <w:color w:val="auto"/>
                <w:kern w:val="0"/>
                <w:szCs w:val="21"/>
                <w:highlight w:val="none"/>
                <w:lang w:eastAsia="zh-CN"/>
              </w:rPr>
              <w:t>八</w:t>
            </w:r>
            <w:r>
              <w:rPr>
                <w:rFonts w:hint="eastAsia" w:ascii="宋体" w:hAnsi="宋体" w:cs="宋体"/>
                <w:b/>
                <w:bCs w:val="0"/>
                <w:color w:val="auto"/>
                <w:kern w:val="0"/>
                <w:szCs w:val="21"/>
                <w:highlight w:val="none"/>
              </w:rPr>
              <w:t>）进口产品说明</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7E83E898">
            <w:pPr>
              <w:keepNext w:val="0"/>
              <w:keepLines w:val="0"/>
              <w:pageBreakBefore w:val="0"/>
              <w:kinsoku/>
              <w:wordWrap w:val="0"/>
              <w:overflowPunct/>
              <w:topLinePunct w:val="0"/>
              <w:autoSpaceDE/>
              <w:autoSpaceDN/>
              <w:bidi w:val="0"/>
              <w:adjustRightInd w:val="0"/>
              <w:snapToGrid w:val="0"/>
              <w:spacing w:line="340" w:lineRule="exact"/>
              <w:jc w:val="left"/>
              <w:rPr>
                <w:rFonts w:ascii="宋体" w:hAnsi="宋体"/>
                <w:b/>
                <w:bCs w:val="0"/>
                <w:color w:val="auto"/>
                <w:szCs w:val="21"/>
                <w:highlight w:val="none"/>
              </w:rPr>
            </w:pPr>
            <w:r>
              <w:rPr>
                <w:rFonts w:hint="eastAsia" w:ascii="宋体" w:hAnsi="宋体"/>
                <w:b/>
                <w:bCs w:val="0"/>
                <w:color w:val="auto"/>
                <w:highlight w:val="none"/>
              </w:rPr>
              <w:t>本项目货物均不接受进口产品（即通过中国海关报关验放进入中国境内且产自关境外的产品）参与投标，如有此类产品参与投标的作无效投标处理。</w:t>
            </w:r>
          </w:p>
        </w:tc>
      </w:tr>
      <w:tr w14:paraId="52F93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2BE41417">
            <w:pPr>
              <w:keepNext w:val="0"/>
              <w:keepLines w:val="0"/>
              <w:pageBreakBefore w:val="0"/>
              <w:kinsoku/>
              <w:wordWrap w:val="0"/>
              <w:overflowPunct/>
              <w:topLinePunct w:val="0"/>
              <w:autoSpaceDE/>
              <w:autoSpaceDN/>
              <w:bidi w:val="0"/>
              <w:adjustRightInd w:val="0"/>
              <w:snapToGrid w:val="0"/>
              <w:spacing w:line="32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w:t>
            </w:r>
            <w:r>
              <w:rPr>
                <w:rFonts w:hint="eastAsia" w:ascii="宋体" w:hAnsi="宋体" w:cs="宋体"/>
                <w:b/>
                <w:color w:val="auto"/>
                <w:kern w:val="0"/>
                <w:szCs w:val="21"/>
                <w:highlight w:val="none"/>
                <w:lang w:eastAsia="zh-CN"/>
              </w:rPr>
              <w:t>九</w:t>
            </w:r>
            <w:r>
              <w:rPr>
                <w:rFonts w:hint="eastAsia" w:ascii="宋体" w:hAnsi="宋体" w:cs="宋体"/>
                <w:b/>
                <w:color w:val="auto"/>
                <w:kern w:val="0"/>
                <w:szCs w:val="21"/>
                <w:highlight w:val="none"/>
              </w:rPr>
              <w:t>）采购预算及最高限价</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2278A602">
            <w:pPr>
              <w:keepNext w:val="0"/>
              <w:keepLines w:val="0"/>
              <w:pageBreakBefore w:val="0"/>
              <w:kinsoku/>
              <w:wordWrap w:val="0"/>
              <w:overflowPunct/>
              <w:topLinePunct w:val="0"/>
              <w:autoSpaceDE/>
              <w:autoSpaceDN/>
              <w:bidi w:val="0"/>
              <w:adjustRightInd w:val="0"/>
              <w:snapToGrid w:val="0"/>
              <w:spacing w:line="340" w:lineRule="exact"/>
              <w:jc w:val="left"/>
              <w:rPr>
                <w:rFonts w:hint="eastAsia" w:ascii="宋体" w:hAnsi="宋体" w:eastAsia="宋体"/>
                <w:b/>
                <w:color w:val="auto"/>
                <w:szCs w:val="21"/>
                <w:highlight w:val="none"/>
                <w:lang w:eastAsia="zh-CN"/>
              </w:rPr>
            </w:pPr>
            <w:r>
              <w:rPr>
                <w:rFonts w:hint="eastAsia" w:ascii="宋体" w:hAnsi="宋体"/>
                <w:b/>
                <w:color w:val="auto"/>
                <w:szCs w:val="21"/>
                <w:highlight w:val="none"/>
              </w:rPr>
              <w:t>本项目采购预算金额</w:t>
            </w:r>
            <w:r>
              <w:rPr>
                <w:rFonts w:hint="eastAsia" w:ascii="宋体" w:hAnsi="宋体" w:eastAsia="宋体" w:cs="Times New Roman"/>
                <w:b/>
                <w:color w:val="auto"/>
                <w:szCs w:val="21"/>
                <w:highlight w:val="none"/>
                <w:lang w:eastAsia="zh-CN"/>
              </w:rPr>
              <w:t>为</w:t>
            </w:r>
            <w:r>
              <w:rPr>
                <w:rFonts w:hint="eastAsia" w:ascii="宋体" w:hAnsi="宋体" w:eastAsia="宋体" w:cs="Times New Roman"/>
                <w:b/>
                <w:color w:val="auto"/>
                <w:szCs w:val="21"/>
                <w:highlight w:val="none"/>
                <w:lang w:val="en-US" w:eastAsia="zh-CN"/>
              </w:rPr>
              <w:t>陆</w:t>
            </w:r>
            <w:r>
              <w:rPr>
                <w:rFonts w:hint="eastAsia" w:ascii="宋体" w:hAnsi="宋体" w:eastAsia="宋体" w:cs="Times New Roman"/>
                <w:b/>
                <w:color w:val="auto"/>
                <w:szCs w:val="21"/>
                <w:highlight w:val="none"/>
              </w:rPr>
              <w:t>拾</w:t>
            </w:r>
            <w:r>
              <w:rPr>
                <w:rFonts w:hint="eastAsia" w:ascii="宋体" w:hAnsi="宋体" w:eastAsia="宋体" w:cs="Times New Roman"/>
                <w:b/>
                <w:color w:val="auto"/>
                <w:szCs w:val="21"/>
                <w:highlight w:val="none"/>
                <w:lang w:val="en-US" w:eastAsia="zh-CN"/>
              </w:rPr>
              <w:t>万</w:t>
            </w:r>
            <w:r>
              <w:rPr>
                <w:rFonts w:hint="eastAsia" w:ascii="宋体" w:hAnsi="宋体" w:eastAsia="宋体" w:cs="Times New Roman"/>
                <w:b/>
                <w:color w:val="auto"/>
                <w:szCs w:val="21"/>
                <w:highlight w:val="none"/>
              </w:rPr>
              <w:t>元整（¥</w:t>
            </w:r>
            <w:r>
              <w:rPr>
                <w:rFonts w:hint="eastAsia" w:ascii="宋体" w:hAnsi="宋体" w:eastAsia="宋体" w:cs="Times New Roman"/>
                <w:b/>
                <w:color w:val="auto"/>
                <w:szCs w:val="21"/>
                <w:highlight w:val="none"/>
                <w:lang w:val="en-US" w:eastAsia="zh-CN"/>
              </w:rPr>
              <w:t>60</w:t>
            </w:r>
            <w:r>
              <w:rPr>
                <w:rFonts w:hint="eastAsia" w:ascii="宋体" w:hAnsi="宋体" w:eastAsia="宋体" w:cs="Times New Roman"/>
                <w:b/>
                <w:color w:val="auto"/>
                <w:szCs w:val="21"/>
                <w:highlight w:val="none"/>
              </w:rPr>
              <w:t>0000.00）</w:t>
            </w:r>
            <w:r>
              <w:rPr>
                <w:rFonts w:hint="eastAsia" w:ascii="宋体" w:hAnsi="宋体" w:eastAsia="宋体" w:cs="Times New Roman"/>
                <w:b/>
                <w:color w:val="auto"/>
                <w:szCs w:val="21"/>
                <w:highlight w:val="none"/>
                <w:lang w:eastAsia="zh-CN"/>
              </w:rPr>
              <w:t>，</w:t>
            </w:r>
            <w:r>
              <w:rPr>
                <w:rFonts w:hint="eastAsia" w:ascii="宋体" w:hAnsi="宋体" w:eastAsia="宋体" w:cs="Times New Roman"/>
                <w:b/>
                <w:color w:val="auto"/>
                <w:szCs w:val="21"/>
                <w:highlight w:val="none"/>
                <w:lang w:val="en-US" w:eastAsia="zh-CN"/>
              </w:rPr>
              <w:t>最高限价为伍</w:t>
            </w:r>
            <w:r>
              <w:rPr>
                <w:rFonts w:hint="eastAsia" w:ascii="宋体" w:hAnsi="宋体" w:eastAsia="宋体" w:cs="Times New Roman"/>
                <w:b/>
                <w:color w:val="auto"/>
                <w:szCs w:val="21"/>
                <w:highlight w:val="none"/>
              </w:rPr>
              <w:t>拾</w:t>
            </w:r>
            <w:r>
              <w:rPr>
                <w:rFonts w:hint="eastAsia" w:ascii="宋体" w:hAnsi="宋体" w:eastAsia="宋体" w:cs="Times New Roman"/>
                <w:b/>
                <w:color w:val="auto"/>
                <w:szCs w:val="21"/>
                <w:highlight w:val="none"/>
                <w:lang w:val="en-US" w:eastAsia="zh-CN"/>
              </w:rPr>
              <w:t>伍万</w:t>
            </w:r>
            <w:r>
              <w:rPr>
                <w:rFonts w:hint="eastAsia" w:ascii="宋体" w:hAnsi="宋体" w:eastAsia="宋体" w:cs="Times New Roman"/>
                <w:b/>
                <w:color w:val="auto"/>
                <w:szCs w:val="21"/>
                <w:highlight w:val="none"/>
              </w:rPr>
              <w:t>元整（¥</w:t>
            </w:r>
            <w:r>
              <w:rPr>
                <w:rFonts w:hint="eastAsia" w:ascii="宋体" w:hAnsi="宋体" w:eastAsia="宋体" w:cs="Times New Roman"/>
                <w:b/>
                <w:color w:val="auto"/>
                <w:szCs w:val="21"/>
                <w:highlight w:val="none"/>
                <w:lang w:val="en-US" w:eastAsia="zh-CN"/>
              </w:rPr>
              <w:t>55</w:t>
            </w:r>
            <w:r>
              <w:rPr>
                <w:rFonts w:hint="eastAsia" w:ascii="宋体" w:hAnsi="宋体" w:eastAsia="宋体" w:cs="Times New Roman"/>
                <w:b/>
                <w:color w:val="auto"/>
                <w:szCs w:val="21"/>
                <w:highlight w:val="none"/>
              </w:rPr>
              <w:t>0000.00）</w:t>
            </w:r>
            <w:r>
              <w:rPr>
                <w:rFonts w:hint="eastAsia" w:ascii="宋体" w:hAnsi="宋体" w:eastAsia="宋体" w:cs="Times New Roman"/>
                <w:b/>
                <w:color w:val="auto"/>
                <w:szCs w:val="21"/>
                <w:highlight w:val="none"/>
                <w:lang w:eastAsia="zh-CN"/>
              </w:rPr>
              <w:t>，</w:t>
            </w:r>
            <w:r>
              <w:rPr>
                <w:rFonts w:hint="eastAsia" w:ascii="宋体" w:hAnsi="宋体" w:eastAsia="宋体" w:cs="Times New Roman"/>
                <w:b/>
                <w:color w:val="auto"/>
                <w:szCs w:val="21"/>
                <w:highlight w:val="none"/>
              </w:rPr>
              <w:t>投标人投标报价超过</w:t>
            </w:r>
            <w:r>
              <w:rPr>
                <w:rFonts w:hint="eastAsia" w:ascii="宋体" w:hAnsi="宋体" w:eastAsia="宋体" w:cs="Times New Roman"/>
                <w:b/>
                <w:color w:val="auto"/>
                <w:szCs w:val="21"/>
                <w:highlight w:val="none"/>
                <w:lang w:val="en-US" w:eastAsia="zh-CN"/>
              </w:rPr>
              <w:t>最高限价</w:t>
            </w:r>
            <w:r>
              <w:rPr>
                <w:rFonts w:hint="eastAsia" w:ascii="宋体" w:hAnsi="宋体" w:eastAsia="宋体" w:cs="Times New Roman"/>
                <w:b/>
                <w:color w:val="auto"/>
                <w:szCs w:val="21"/>
                <w:highlight w:val="none"/>
              </w:rPr>
              <w:t>的，投标文件作无效处理</w:t>
            </w:r>
            <w:r>
              <w:rPr>
                <w:rFonts w:hint="eastAsia" w:ascii="宋体" w:hAnsi="宋体" w:eastAsia="宋体" w:cs="Times New Roman"/>
                <w:b/>
                <w:color w:val="auto"/>
                <w:szCs w:val="21"/>
                <w:highlight w:val="none"/>
                <w:lang w:eastAsia="zh-CN"/>
              </w:rPr>
              <w:t>。</w:t>
            </w:r>
          </w:p>
        </w:tc>
      </w:tr>
      <w:tr w14:paraId="401F2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905" w:type="dxa"/>
            <w:gridSpan w:val="7"/>
            <w:tcBorders>
              <w:top w:val="single" w:color="auto" w:sz="4" w:space="0"/>
              <w:left w:val="single" w:color="auto" w:sz="4" w:space="0"/>
              <w:bottom w:val="single" w:color="auto" w:sz="4" w:space="0"/>
              <w:right w:val="single" w:color="auto" w:sz="4" w:space="0"/>
            </w:tcBorders>
            <w:noWrap w:val="0"/>
            <w:vAlign w:val="center"/>
          </w:tcPr>
          <w:p w14:paraId="38D56CF5">
            <w:pPr>
              <w:keepNext w:val="0"/>
              <w:keepLines w:val="0"/>
              <w:pageBreakBefore w:val="0"/>
              <w:kinsoku/>
              <w:wordWrap w:val="0"/>
              <w:overflowPunct/>
              <w:topLinePunct w:val="0"/>
              <w:autoSpaceDE/>
              <w:autoSpaceDN/>
              <w:bidi w:val="0"/>
              <w:adjustRightInd w:val="0"/>
              <w:snapToGrid w:val="0"/>
              <w:spacing w:line="340" w:lineRule="exact"/>
              <w:jc w:val="left"/>
              <w:textAlignment w:val="center"/>
              <w:rPr>
                <w:rFonts w:ascii="仿宋_GB2312" w:hAnsi="宋体" w:eastAsia="仿宋_GB2312"/>
                <w:color w:val="auto"/>
                <w:sz w:val="28"/>
                <w:szCs w:val="28"/>
                <w:highlight w:val="none"/>
              </w:rPr>
            </w:pPr>
            <w:r>
              <w:rPr>
                <w:rFonts w:hint="eastAsia" w:ascii="宋体" w:hAnsi="宋体" w:cs="宋体"/>
                <w:b/>
                <w:color w:val="auto"/>
                <w:szCs w:val="21"/>
                <w:highlight w:val="none"/>
              </w:rPr>
              <w:t>三、与实现项目目标相关的其他要求</w:t>
            </w:r>
          </w:p>
        </w:tc>
      </w:tr>
      <w:tr w14:paraId="7FD50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2E4317CB">
            <w:pPr>
              <w:keepNext w:val="0"/>
              <w:keepLines w:val="0"/>
              <w:pageBreakBefore w:val="0"/>
              <w:kinsoku/>
              <w:wordWrap w:val="0"/>
              <w:overflowPunct/>
              <w:topLinePunct w:val="0"/>
              <w:autoSpaceDE/>
              <w:autoSpaceDN/>
              <w:bidi w:val="0"/>
              <w:adjustRightInd w:val="0"/>
              <w:snapToGrid w:val="0"/>
              <w:spacing w:line="320" w:lineRule="exact"/>
              <w:jc w:val="center"/>
              <w:rPr>
                <w:rFonts w:hint="eastAsia" w:ascii="宋体" w:hAnsi="宋体"/>
                <w:bCs/>
                <w:color w:val="auto"/>
                <w:kern w:val="2"/>
                <w:sz w:val="21"/>
                <w:szCs w:val="21"/>
                <w:highlight w:val="none"/>
                <w:lang w:val="en-US" w:eastAsia="zh-CN" w:bidi="ar-SA"/>
              </w:rPr>
            </w:pPr>
            <w:r>
              <w:rPr>
                <w:rFonts w:hint="eastAsia" w:hAnsi="宋体"/>
                <w:bCs/>
                <w:color w:val="auto"/>
                <w:highlight w:val="none"/>
              </w:rPr>
              <w:t>（</w:t>
            </w:r>
            <w:r>
              <w:rPr>
                <w:rFonts w:hint="eastAsia" w:ascii="宋体" w:hAnsi="宋体"/>
                <w:color w:val="auto"/>
                <w:szCs w:val="21"/>
                <w:highlight w:val="none"/>
                <w:lang w:eastAsia="zh-CN"/>
              </w:rPr>
              <w:t>一</w:t>
            </w:r>
            <w:r>
              <w:rPr>
                <w:rFonts w:hint="eastAsia" w:ascii="宋体" w:hAnsi="宋体"/>
                <w:color w:val="auto"/>
                <w:szCs w:val="21"/>
                <w:highlight w:val="none"/>
              </w:rPr>
              <w:t>）项目实施方案</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522FCF3C">
            <w:pPr>
              <w:keepNext w:val="0"/>
              <w:keepLines w:val="0"/>
              <w:pageBreakBefore w:val="0"/>
              <w:kinsoku/>
              <w:wordWrap w:val="0"/>
              <w:overflowPunct/>
              <w:topLinePunct w:val="0"/>
              <w:autoSpaceDE/>
              <w:autoSpaceDN/>
              <w:bidi w:val="0"/>
              <w:adjustRightInd w:val="0"/>
              <w:snapToGrid w:val="0"/>
              <w:spacing w:line="340" w:lineRule="exact"/>
              <w:rPr>
                <w:rFonts w:hAnsi="宋体" w:cs="宋体"/>
                <w:b/>
                <w:color w:val="auto"/>
                <w:kern w:val="0"/>
                <w:szCs w:val="21"/>
                <w:highlight w:val="none"/>
              </w:rPr>
            </w:pPr>
            <w:r>
              <w:rPr>
                <w:rFonts w:hint="eastAsia" w:hAnsi="宋体" w:cs="宋体"/>
                <w:color w:val="auto"/>
                <w:kern w:val="0"/>
                <w:szCs w:val="21"/>
                <w:highlight w:val="none"/>
              </w:rPr>
              <w:t>投标人根据自身情况，可于投标文件提供</w:t>
            </w:r>
            <w:r>
              <w:rPr>
                <w:rFonts w:hint="eastAsia" w:ascii="宋体" w:hAnsi="宋体" w:eastAsia="宋体"/>
                <w:color w:val="auto"/>
                <w:spacing w:val="-4"/>
                <w:highlight w:val="none"/>
              </w:rPr>
              <w:t>项目实施方案</w:t>
            </w:r>
            <w:r>
              <w:rPr>
                <w:rFonts w:hint="eastAsia" w:hAnsi="宋体"/>
                <w:color w:val="auto"/>
                <w:spacing w:val="-4"/>
                <w:highlight w:val="none"/>
                <w:lang w:eastAsia="zh-CN"/>
              </w:rPr>
              <w:t>，</w:t>
            </w:r>
            <w:r>
              <w:rPr>
                <w:rFonts w:hint="eastAsia" w:hAnsi="宋体"/>
                <w:color w:val="auto"/>
                <w:spacing w:val="-4"/>
                <w:highlight w:val="none"/>
              </w:rPr>
              <w:t>包含</w:t>
            </w:r>
            <w:r>
              <w:rPr>
                <w:rFonts w:hint="eastAsia" w:hAnsi="宋体"/>
                <w:color w:val="auto"/>
                <w:spacing w:val="-4"/>
                <w:highlight w:val="none"/>
                <w:lang w:eastAsia="zh-CN"/>
              </w:rPr>
              <w:t>但不限于</w:t>
            </w:r>
            <w:r>
              <w:rPr>
                <w:rFonts w:hint="eastAsia" w:hAnsi="宋体"/>
                <w:color w:val="auto"/>
                <w:spacing w:val="-4"/>
                <w:highlight w:val="none"/>
              </w:rPr>
              <w:t>：</w:t>
            </w:r>
            <w:r>
              <w:rPr>
                <w:rFonts w:hint="eastAsia" w:hAnsi="宋体" w:cs="宋体"/>
                <w:color w:val="auto"/>
                <w:szCs w:val="21"/>
                <w:highlight w:val="none"/>
              </w:rPr>
              <w:t>①配送计划；②安装方案；③设备调试；④设备试运行</w:t>
            </w:r>
            <w:r>
              <w:rPr>
                <w:rFonts w:hint="eastAsia" w:hAnsi="宋体" w:cs="宋体"/>
                <w:color w:val="auto"/>
                <w:szCs w:val="21"/>
                <w:highlight w:val="none"/>
                <w:lang w:eastAsia="zh-CN"/>
              </w:rPr>
              <w:t>等</w:t>
            </w:r>
            <w:r>
              <w:rPr>
                <w:rFonts w:hint="eastAsia" w:hAnsi="宋体" w:cs="宋体"/>
                <w:color w:val="auto"/>
                <w:kern w:val="0"/>
                <w:szCs w:val="21"/>
                <w:highlight w:val="none"/>
              </w:rPr>
              <w:t>。</w:t>
            </w:r>
          </w:p>
          <w:p w14:paraId="360AD587">
            <w:pPr>
              <w:keepNext w:val="0"/>
              <w:keepLines w:val="0"/>
              <w:pageBreakBefore w:val="0"/>
              <w:kinsoku/>
              <w:wordWrap w:val="0"/>
              <w:overflowPunct/>
              <w:topLinePunct w:val="0"/>
              <w:autoSpaceDE/>
              <w:autoSpaceDN/>
              <w:bidi w:val="0"/>
              <w:adjustRightInd w:val="0"/>
              <w:snapToGrid w:val="0"/>
              <w:spacing w:line="340" w:lineRule="exact"/>
              <w:rPr>
                <w:rFonts w:hint="eastAsia" w:hAnsi="宋体" w:cs="宋体"/>
                <w:color w:val="auto"/>
                <w:kern w:val="0"/>
                <w:sz w:val="21"/>
                <w:szCs w:val="21"/>
                <w:highlight w:val="none"/>
                <w:lang w:val="en-US" w:eastAsia="zh-CN" w:bidi="ar-SA"/>
              </w:rPr>
            </w:pPr>
            <w:r>
              <w:rPr>
                <w:rFonts w:hint="eastAsia" w:hAnsi="宋体" w:cs="宋体"/>
                <w:b/>
                <w:color w:val="auto"/>
                <w:kern w:val="0"/>
                <w:szCs w:val="21"/>
                <w:highlight w:val="none"/>
              </w:rPr>
              <w:t>注：上述售后服务评分详见第四章“评标办法”。</w:t>
            </w:r>
          </w:p>
        </w:tc>
      </w:tr>
      <w:tr w14:paraId="0FCA8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0EC52B58">
            <w:pPr>
              <w:keepNext w:val="0"/>
              <w:keepLines w:val="0"/>
              <w:pageBreakBefore w:val="0"/>
              <w:kinsoku/>
              <w:wordWrap w:val="0"/>
              <w:overflowPunct/>
              <w:topLinePunct w:val="0"/>
              <w:autoSpaceDE/>
              <w:autoSpaceDN/>
              <w:bidi w:val="0"/>
              <w:adjustRightInd w:val="0"/>
              <w:snapToGrid w:val="0"/>
              <w:spacing w:line="320" w:lineRule="exact"/>
              <w:jc w:val="center"/>
              <w:rPr>
                <w:rFonts w:hint="eastAsia" w:ascii="宋体" w:hAnsi="宋体"/>
                <w:bCs/>
                <w:color w:val="auto"/>
                <w:kern w:val="2"/>
                <w:sz w:val="21"/>
                <w:szCs w:val="21"/>
                <w:highlight w:val="none"/>
                <w:lang w:val="en-US" w:eastAsia="zh-CN" w:bidi="ar-SA"/>
              </w:rPr>
            </w:pPr>
            <w:r>
              <w:rPr>
                <w:rFonts w:hint="eastAsia" w:ascii="宋体" w:hAnsi="宋体"/>
                <w:bCs/>
                <w:color w:val="auto"/>
                <w:szCs w:val="21"/>
                <w:highlight w:val="none"/>
              </w:rPr>
              <w:t>（</w:t>
            </w:r>
            <w:r>
              <w:rPr>
                <w:rFonts w:hint="eastAsia" w:ascii="宋体" w:hAnsi="宋体"/>
                <w:bCs/>
                <w:color w:val="auto"/>
                <w:szCs w:val="21"/>
                <w:highlight w:val="none"/>
                <w:lang w:eastAsia="zh-CN"/>
              </w:rPr>
              <w:t>二</w:t>
            </w:r>
            <w:r>
              <w:rPr>
                <w:rFonts w:hint="eastAsia" w:ascii="宋体" w:hAnsi="宋体"/>
                <w:bCs/>
                <w:color w:val="auto"/>
                <w:szCs w:val="21"/>
                <w:highlight w:val="none"/>
              </w:rPr>
              <w:t>）</w:t>
            </w:r>
            <w:r>
              <w:rPr>
                <w:rFonts w:hint="eastAsia" w:ascii="宋体" w:hAnsi="宋体"/>
                <w:color w:val="auto"/>
                <w:szCs w:val="21"/>
                <w:highlight w:val="none"/>
              </w:rPr>
              <w:t>售后服务实施方案</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56E0FD6D">
            <w:pPr>
              <w:keepNext w:val="0"/>
              <w:keepLines w:val="0"/>
              <w:pageBreakBefore w:val="0"/>
              <w:kinsoku/>
              <w:wordWrap w:val="0"/>
              <w:overflowPunct/>
              <w:topLinePunct w:val="0"/>
              <w:autoSpaceDE/>
              <w:autoSpaceDN/>
              <w:bidi w:val="0"/>
              <w:adjustRightInd w:val="0"/>
              <w:snapToGrid w:val="0"/>
              <w:spacing w:line="340" w:lineRule="exact"/>
              <w:rPr>
                <w:rFonts w:hint="eastAsia" w:ascii="宋体" w:hAnsi="宋体"/>
                <w:color w:val="auto"/>
                <w:szCs w:val="21"/>
                <w:highlight w:val="none"/>
              </w:rPr>
            </w:pPr>
            <w:r>
              <w:rPr>
                <w:rFonts w:hint="eastAsia" w:ascii="宋体" w:hAnsi="宋体"/>
                <w:color w:val="auto"/>
                <w:szCs w:val="21"/>
                <w:highlight w:val="none"/>
              </w:rPr>
              <w:t>投标人根据售后服务基本要求和自身情况，可于投标文件提供售后服务实施方案，包含但不限于：</w:t>
            </w:r>
          </w:p>
          <w:p w14:paraId="75F11241">
            <w:pPr>
              <w:keepNext w:val="0"/>
              <w:keepLines w:val="0"/>
              <w:pageBreakBefore w:val="0"/>
              <w:kinsoku/>
              <w:wordWrap w:val="0"/>
              <w:overflowPunct/>
              <w:topLinePunct w:val="0"/>
              <w:autoSpaceDE/>
              <w:autoSpaceDN/>
              <w:bidi w:val="0"/>
              <w:adjustRightInd w:val="0"/>
              <w:snapToGrid w:val="0"/>
              <w:spacing w:line="340" w:lineRule="exact"/>
              <w:rPr>
                <w:rFonts w:hint="eastAsia" w:hAnsi="宋体"/>
                <w:color w:val="auto"/>
                <w:spacing w:val="-4"/>
                <w:highlight w:val="none"/>
              </w:rPr>
            </w:pPr>
            <w:r>
              <w:rPr>
                <w:rFonts w:hint="eastAsia" w:hAnsi="宋体"/>
                <w:color w:val="auto"/>
                <w:spacing w:val="-4"/>
                <w:highlight w:val="none"/>
              </w:rPr>
              <w:t>①</w:t>
            </w:r>
            <w:r>
              <w:rPr>
                <w:rFonts w:hint="eastAsia" w:hAnsi="宋体" w:cs="宋体"/>
                <w:color w:val="auto"/>
                <w:kern w:val="0"/>
                <w:szCs w:val="21"/>
                <w:highlight w:val="none"/>
              </w:rPr>
              <w:t>售后人员配备情况</w:t>
            </w:r>
            <w:r>
              <w:rPr>
                <w:rFonts w:hint="eastAsia" w:hAnsi="宋体"/>
                <w:color w:val="auto"/>
                <w:spacing w:val="-4"/>
                <w:highlight w:val="none"/>
              </w:rPr>
              <w:t>；</w:t>
            </w:r>
          </w:p>
          <w:p w14:paraId="1916BFFD">
            <w:pPr>
              <w:keepNext w:val="0"/>
              <w:keepLines w:val="0"/>
              <w:pageBreakBefore w:val="0"/>
              <w:kinsoku/>
              <w:wordWrap w:val="0"/>
              <w:overflowPunct/>
              <w:topLinePunct w:val="0"/>
              <w:autoSpaceDE/>
              <w:autoSpaceDN/>
              <w:bidi w:val="0"/>
              <w:adjustRightInd w:val="0"/>
              <w:snapToGrid w:val="0"/>
              <w:spacing w:line="340" w:lineRule="exact"/>
              <w:rPr>
                <w:rFonts w:hint="eastAsia" w:hAnsi="宋体"/>
                <w:color w:val="auto"/>
                <w:spacing w:val="-4"/>
                <w:highlight w:val="none"/>
              </w:rPr>
            </w:pPr>
            <w:r>
              <w:rPr>
                <w:rFonts w:hint="eastAsia" w:hAnsi="宋体"/>
                <w:color w:val="auto"/>
                <w:spacing w:val="-4"/>
                <w:highlight w:val="none"/>
              </w:rPr>
              <w:t>②</w:t>
            </w:r>
            <w:r>
              <w:rPr>
                <w:rFonts w:hint="eastAsia" w:hAnsi="宋体" w:cs="宋体"/>
                <w:color w:val="auto"/>
                <w:kern w:val="0"/>
                <w:szCs w:val="21"/>
                <w:highlight w:val="none"/>
              </w:rPr>
              <w:t xml:space="preserve">定期维护 </w:t>
            </w:r>
            <w:r>
              <w:rPr>
                <w:rFonts w:hint="eastAsia" w:hAnsi="宋体" w:cs="宋体"/>
                <w:color w:val="auto"/>
                <w:kern w:val="0"/>
                <w:szCs w:val="21"/>
                <w:highlight w:val="none"/>
                <w:lang w:eastAsia="zh-CN"/>
              </w:rPr>
              <w:t>（</w:t>
            </w:r>
            <w:r>
              <w:rPr>
                <w:rFonts w:hint="eastAsia" w:hAnsi="宋体" w:cs="宋体"/>
                <w:color w:val="auto"/>
                <w:kern w:val="0"/>
                <w:szCs w:val="21"/>
                <w:highlight w:val="none"/>
              </w:rPr>
              <w:t>注明时间</w:t>
            </w:r>
            <w:r>
              <w:rPr>
                <w:rFonts w:hint="eastAsia" w:hAnsi="宋体" w:cs="宋体"/>
                <w:color w:val="auto"/>
                <w:kern w:val="0"/>
                <w:szCs w:val="21"/>
                <w:highlight w:val="none"/>
                <w:lang w:eastAsia="zh-CN"/>
              </w:rPr>
              <w:t>）</w:t>
            </w:r>
            <w:r>
              <w:rPr>
                <w:rFonts w:hint="eastAsia" w:hAnsi="宋体" w:cs="宋体"/>
                <w:color w:val="auto"/>
                <w:kern w:val="0"/>
                <w:szCs w:val="21"/>
                <w:highlight w:val="none"/>
              </w:rPr>
              <w:t>方案、</w:t>
            </w:r>
            <w:r>
              <w:rPr>
                <w:rFonts w:hint="eastAsia" w:hAnsi="宋体"/>
                <w:color w:val="auto"/>
                <w:spacing w:val="-4"/>
                <w:highlight w:val="none"/>
              </w:rPr>
              <w:t>保修期外维修方案；</w:t>
            </w:r>
          </w:p>
          <w:p w14:paraId="0D01C52A">
            <w:pPr>
              <w:keepNext w:val="0"/>
              <w:keepLines w:val="0"/>
              <w:pageBreakBefore w:val="0"/>
              <w:kinsoku/>
              <w:wordWrap w:val="0"/>
              <w:overflowPunct/>
              <w:topLinePunct w:val="0"/>
              <w:autoSpaceDE/>
              <w:autoSpaceDN/>
              <w:bidi w:val="0"/>
              <w:adjustRightInd w:val="0"/>
              <w:snapToGrid w:val="0"/>
              <w:spacing w:line="340" w:lineRule="exact"/>
              <w:rPr>
                <w:rFonts w:hint="eastAsia" w:hAnsi="宋体"/>
                <w:color w:val="auto"/>
                <w:spacing w:val="-4"/>
                <w:highlight w:val="none"/>
              </w:rPr>
            </w:pPr>
            <w:r>
              <w:rPr>
                <w:rFonts w:hint="eastAsia" w:hAnsi="宋体"/>
                <w:color w:val="auto"/>
                <w:spacing w:val="-4"/>
                <w:highlight w:val="none"/>
              </w:rPr>
              <w:t>③技术培训方案；</w:t>
            </w:r>
          </w:p>
          <w:p w14:paraId="12EE6585">
            <w:pPr>
              <w:keepNext w:val="0"/>
              <w:keepLines w:val="0"/>
              <w:pageBreakBefore w:val="0"/>
              <w:kinsoku/>
              <w:wordWrap w:val="0"/>
              <w:overflowPunct/>
              <w:topLinePunct w:val="0"/>
              <w:autoSpaceDE/>
              <w:autoSpaceDN/>
              <w:bidi w:val="0"/>
              <w:adjustRightInd w:val="0"/>
              <w:snapToGrid w:val="0"/>
              <w:spacing w:line="340" w:lineRule="exact"/>
              <w:rPr>
                <w:rFonts w:ascii="宋体" w:hAnsi="宋体"/>
                <w:color w:val="auto"/>
                <w:szCs w:val="21"/>
                <w:highlight w:val="none"/>
              </w:rPr>
            </w:pPr>
            <w:r>
              <w:rPr>
                <w:rFonts w:hint="eastAsia" w:hAnsi="宋体"/>
                <w:color w:val="auto"/>
                <w:spacing w:val="-4"/>
                <w:highlight w:val="none"/>
              </w:rPr>
              <w:t>④</w:t>
            </w:r>
            <w:r>
              <w:rPr>
                <w:rFonts w:hint="eastAsia" w:hAnsi="宋体" w:cs="宋体"/>
                <w:color w:val="auto"/>
                <w:kern w:val="0"/>
                <w:szCs w:val="21"/>
                <w:highlight w:val="none"/>
              </w:rPr>
              <w:t>其他实质性优惠措施</w:t>
            </w:r>
            <w:r>
              <w:rPr>
                <w:rFonts w:hint="eastAsia" w:hAnsi="宋体"/>
                <w:color w:val="auto"/>
                <w:spacing w:val="-4"/>
                <w:highlight w:val="none"/>
              </w:rPr>
              <w:t>等</w:t>
            </w:r>
            <w:r>
              <w:rPr>
                <w:rFonts w:hint="eastAsia" w:hAnsi="宋体"/>
                <w:color w:val="auto"/>
                <w:spacing w:val="-4"/>
                <w:highlight w:val="none"/>
                <w:lang w:eastAsia="zh-CN"/>
              </w:rPr>
              <w:t>。</w:t>
            </w:r>
          </w:p>
          <w:p w14:paraId="4E128316">
            <w:pPr>
              <w:keepNext w:val="0"/>
              <w:keepLines w:val="0"/>
              <w:pageBreakBefore w:val="0"/>
              <w:kinsoku/>
              <w:wordWrap w:val="0"/>
              <w:overflowPunct/>
              <w:topLinePunct w:val="0"/>
              <w:autoSpaceDE/>
              <w:autoSpaceDN/>
              <w:bidi w:val="0"/>
              <w:adjustRightInd w:val="0"/>
              <w:snapToGrid w:val="0"/>
              <w:spacing w:line="340" w:lineRule="exact"/>
              <w:rPr>
                <w:rFonts w:hint="eastAsia"/>
                <w:b/>
                <w:bCs/>
                <w:color w:val="auto"/>
                <w:kern w:val="2"/>
                <w:sz w:val="21"/>
                <w:szCs w:val="24"/>
                <w:highlight w:val="none"/>
                <w:lang w:val="en-US" w:eastAsia="zh-CN" w:bidi="ar-SA"/>
              </w:rPr>
            </w:pPr>
            <w:r>
              <w:rPr>
                <w:rFonts w:hint="eastAsia"/>
                <w:b/>
                <w:bCs/>
                <w:color w:val="auto"/>
                <w:highlight w:val="none"/>
              </w:rPr>
              <w:t>注：上述售后服务评分详见第四章“评标办法”。</w:t>
            </w:r>
          </w:p>
        </w:tc>
      </w:tr>
      <w:tr w14:paraId="6AA7B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79CD6B6F">
            <w:pPr>
              <w:keepNext w:val="0"/>
              <w:keepLines w:val="0"/>
              <w:pageBreakBefore w:val="0"/>
              <w:kinsoku/>
              <w:wordWrap w:val="0"/>
              <w:overflowPunct/>
              <w:topLinePunct w:val="0"/>
              <w:autoSpaceDE/>
              <w:autoSpaceDN/>
              <w:bidi w:val="0"/>
              <w:adjustRightInd w:val="0"/>
              <w:snapToGrid w:val="0"/>
              <w:spacing w:line="320" w:lineRule="exact"/>
              <w:jc w:val="center"/>
              <w:rPr>
                <w:rFonts w:ascii="宋体" w:hAnsi="宋体"/>
                <w:i/>
                <w:color w:val="auto"/>
                <w:szCs w:val="21"/>
                <w:highlight w:val="none"/>
              </w:rPr>
            </w:pPr>
            <w:r>
              <w:rPr>
                <w:rFonts w:hint="eastAsia" w:ascii="宋体" w:hAnsi="宋体"/>
                <w:color w:val="auto"/>
                <w:szCs w:val="21"/>
                <w:highlight w:val="none"/>
              </w:rPr>
              <w:t>（三）履约能力要求</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03D44A7B">
            <w:pPr>
              <w:keepNext w:val="0"/>
              <w:keepLines w:val="0"/>
              <w:pageBreakBefore w:val="0"/>
              <w:kinsoku/>
              <w:wordWrap w:val="0"/>
              <w:overflowPunct/>
              <w:topLinePunct w:val="0"/>
              <w:autoSpaceDE/>
              <w:autoSpaceDN/>
              <w:bidi w:val="0"/>
              <w:adjustRightInd w:val="0"/>
              <w:snapToGrid w:val="0"/>
              <w:spacing w:line="340" w:lineRule="exact"/>
              <w:rPr>
                <w:rFonts w:ascii="宋体" w:hAnsi="宋体"/>
                <w:color w:val="auto"/>
                <w:szCs w:val="21"/>
                <w:highlight w:val="none"/>
              </w:rPr>
            </w:pPr>
            <w:r>
              <w:rPr>
                <w:rFonts w:hint="eastAsia" w:hAnsi="宋体"/>
                <w:color w:val="auto"/>
                <w:szCs w:val="21"/>
                <w:highlight w:val="none"/>
              </w:rPr>
              <w:t>投标人或所投核心产品生产厂家</w:t>
            </w:r>
            <w:r>
              <w:rPr>
                <w:rFonts w:hint="eastAsia" w:hAnsi="宋体" w:cs="宋体"/>
                <w:color w:val="auto"/>
                <w:kern w:val="0"/>
                <w:szCs w:val="21"/>
                <w:highlight w:val="none"/>
              </w:rPr>
              <w:t>自</w:t>
            </w:r>
            <w:r>
              <w:rPr>
                <w:rFonts w:hAnsi="宋体" w:cs="宋体"/>
                <w:color w:val="auto"/>
                <w:kern w:val="0"/>
                <w:szCs w:val="21"/>
                <w:highlight w:val="none"/>
              </w:rPr>
              <w:t>2022</w:t>
            </w:r>
            <w:r>
              <w:rPr>
                <w:rFonts w:hint="eastAsia" w:hAnsi="宋体" w:cs="宋体"/>
                <w:color w:val="auto"/>
                <w:kern w:val="0"/>
                <w:szCs w:val="21"/>
                <w:highlight w:val="none"/>
              </w:rPr>
              <w:t>年以来具有同类项目业绩</w:t>
            </w:r>
            <w:r>
              <w:rPr>
                <w:rFonts w:hint="eastAsia" w:ascii="宋体" w:hAnsi="宋体"/>
                <w:color w:val="auto"/>
                <w:szCs w:val="21"/>
                <w:highlight w:val="none"/>
              </w:rPr>
              <w:t>。</w:t>
            </w:r>
          </w:p>
          <w:p w14:paraId="230352E8">
            <w:pPr>
              <w:keepNext w:val="0"/>
              <w:keepLines w:val="0"/>
              <w:pageBreakBefore w:val="0"/>
              <w:kinsoku/>
              <w:wordWrap w:val="0"/>
              <w:overflowPunct/>
              <w:topLinePunct w:val="0"/>
              <w:autoSpaceDE/>
              <w:autoSpaceDN/>
              <w:bidi w:val="0"/>
              <w:adjustRightInd w:val="0"/>
              <w:snapToGrid w:val="0"/>
              <w:spacing w:line="340" w:lineRule="exact"/>
              <w:rPr>
                <w:rFonts w:ascii="宋体" w:hAnsi="宋体"/>
                <w:b/>
                <w:i/>
                <w:color w:val="auto"/>
                <w:szCs w:val="21"/>
                <w:highlight w:val="none"/>
              </w:rPr>
            </w:pPr>
            <w:r>
              <w:rPr>
                <w:rFonts w:hint="eastAsia"/>
                <w:b/>
                <w:bCs/>
                <w:color w:val="auto"/>
                <w:highlight w:val="none"/>
              </w:rPr>
              <w:t>注：上述履约能力加分详见第四章“评标办法”。</w:t>
            </w:r>
          </w:p>
        </w:tc>
      </w:tr>
      <w:tr w14:paraId="12DC4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7C94FBF8">
            <w:pPr>
              <w:keepNext w:val="0"/>
              <w:keepLines w:val="0"/>
              <w:pageBreakBefore w:val="0"/>
              <w:kinsoku/>
              <w:wordWrap w:val="0"/>
              <w:overflowPunct/>
              <w:topLinePunct w:val="0"/>
              <w:autoSpaceDE/>
              <w:autoSpaceDN/>
              <w:bidi w:val="0"/>
              <w:adjustRightInd w:val="0"/>
              <w:snapToGrid w:val="0"/>
              <w:spacing w:line="320" w:lineRule="exact"/>
              <w:jc w:val="center"/>
              <w:rPr>
                <w:rFonts w:ascii="宋体" w:hAnsi="宋体"/>
                <w:i/>
                <w:color w:val="auto"/>
                <w:szCs w:val="21"/>
                <w:highlight w:val="none"/>
              </w:rPr>
            </w:pPr>
            <w:r>
              <w:rPr>
                <w:rFonts w:hint="eastAsia" w:ascii="宋体" w:hAnsi="宋体"/>
                <w:color w:val="auto"/>
                <w:szCs w:val="21"/>
                <w:highlight w:val="none"/>
              </w:rPr>
              <w:t>（四）政策性加分条件</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2C961931">
            <w:pPr>
              <w:keepNext w:val="0"/>
              <w:keepLines w:val="0"/>
              <w:pageBreakBefore w:val="0"/>
              <w:kinsoku/>
              <w:wordWrap w:val="0"/>
              <w:overflowPunct/>
              <w:topLinePunct w:val="0"/>
              <w:autoSpaceDE/>
              <w:autoSpaceDN/>
              <w:bidi w:val="0"/>
              <w:adjustRightInd w:val="0"/>
              <w:snapToGrid w:val="0"/>
              <w:spacing w:line="340" w:lineRule="exact"/>
              <w:rPr>
                <w:rFonts w:ascii="宋体" w:hAnsi="宋体"/>
                <w:color w:val="auto"/>
                <w:highlight w:val="none"/>
              </w:rPr>
            </w:pPr>
            <w:r>
              <w:rPr>
                <w:rFonts w:hint="eastAsia" w:ascii="宋体" w:hAnsi="宋体"/>
                <w:color w:val="auto"/>
                <w:highlight w:val="none"/>
              </w:rPr>
              <w:t>1.节能产品加分：属于财政部《节能产品政府采购品目清单》内优先采购（清单内未标注“★”的品目）的产品</w:t>
            </w:r>
            <w:r>
              <w:rPr>
                <w:rFonts w:hint="eastAsia" w:ascii="宋体" w:hAnsi="宋体"/>
                <w:color w:val="auto"/>
                <w:highlight w:val="none"/>
                <w:lang w:eastAsia="zh-CN"/>
              </w:rPr>
              <w:t>（</w:t>
            </w:r>
            <w:r>
              <w:rPr>
                <w:rFonts w:hint="eastAsia" w:ascii="宋体" w:hAnsi="宋体"/>
                <w:color w:val="auto"/>
                <w:highlight w:val="none"/>
              </w:rPr>
              <w:t>投标文件中提供有效的认证证书复印件，并加盖投标人</w:t>
            </w:r>
            <w:r>
              <w:rPr>
                <w:rFonts w:hint="eastAsia" w:hAnsi="宋体"/>
                <w:color w:val="auto"/>
                <w:highlight w:val="none"/>
              </w:rPr>
              <w:t>电子签章</w:t>
            </w:r>
            <w:r>
              <w:rPr>
                <w:rFonts w:hint="eastAsia" w:ascii="宋体" w:hAnsi="宋体"/>
                <w:color w:val="auto"/>
                <w:highlight w:val="none"/>
                <w:lang w:eastAsia="zh-CN"/>
              </w:rPr>
              <w:t>）</w:t>
            </w:r>
            <w:r>
              <w:rPr>
                <w:rFonts w:hint="eastAsia" w:ascii="宋体" w:hAnsi="宋体"/>
                <w:color w:val="auto"/>
                <w:highlight w:val="none"/>
              </w:rPr>
              <w:t>，相应予以加分。</w:t>
            </w:r>
          </w:p>
          <w:p w14:paraId="20B28696">
            <w:pPr>
              <w:keepNext w:val="0"/>
              <w:keepLines w:val="0"/>
              <w:pageBreakBefore w:val="0"/>
              <w:kinsoku/>
              <w:wordWrap w:val="0"/>
              <w:overflowPunct/>
              <w:topLinePunct w:val="0"/>
              <w:autoSpaceDE/>
              <w:autoSpaceDN/>
              <w:bidi w:val="0"/>
              <w:adjustRightInd w:val="0"/>
              <w:snapToGrid w:val="0"/>
              <w:spacing w:line="340" w:lineRule="exact"/>
              <w:rPr>
                <w:rFonts w:ascii="宋体" w:hAnsi="宋体"/>
                <w:color w:val="auto"/>
                <w:highlight w:val="none"/>
              </w:rPr>
            </w:pPr>
            <w:r>
              <w:rPr>
                <w:rFonts w:hint="eastAsia" w:ascii="宋体" w:hAnsi="宋体"/>
                <w:color w:val="auto"/>
                <w:highlight w:val="none"/>
              </w:rPr>
              <w:t>2.环境标志产品加分：属于财政部《环境标志产品政府采购品目清单》内的产品</w:t>
            </w:r>
            <w:r>
              <w:rPr>
                <w:rFonts w:hint="eastAsia" w:ascii="宋体" w:hAnsi="宋体"/>
                <w:color w:val="auto"/>
                <w:highlight w:val="none"/>
                <w:lang w:eastAsia="zh-CN"/>
              </w:rPr>
              <w:t>（</w:t>
            </w:r>
            <w:r>
              <w:rPr>
                <w:rFonts w:hint="eastAsia" w:ascii="宋体" w:hAnsi="宋体"/>
                <w:color w:val="auto"/>
                <w:highlight w:val="none"/>
              </w:rPr>
              <w:t>投标文件中提供有效的认证证书复印件，并加盖投标人</w:t>
            </w:r>
            <w:r>
              <w:rPr>
                <w:rFonts w:hint="eastAsia" w:hAnsi="宋体"/>
                <w:color w:val="auto"/>
                <w:highlight w:val="none"/>
              </w:rPr>
              <w:t>电子签章</w:t>
            </w:r>
            <w:r>
              <w:rPr>
                <w:rFonts w:hint="eastAsia" w:ascii="宋体" w:hAnsi="宋体"/>
                <w:color w:val="auto"/>
                <w:highlight w:val="none"/>
                <w:lang w:eastAsia="zh-CN"/>
              </w:rPr>
              <w:t>）</w:t>
            </w:r>
            <w:r>
              <w:rPr>
                <w:rFonts w:hint="eastAsia" w:ascii="宋体" w:hAnsi="宋体"/>
                <w:color w:val="auto"/>
                <w:highlight w:val="none"/>
              </w:rPr>
              <w:t>，相应予以加分。</w:t>
            </w:r>
          </w:p>
          <w:p w14:paraId="7A382FC4">
            <w:pPr>
              <w:keepNext w:val="0"/>
              <w:keepLines w:val="0"/>
              <w:pageBreakBefore w:val="0"/>
              <w:kinsoku/>
              <w:wordWrap w:val="0"/>
              <w:overflowPunct/>
              <w:topLinePunct w:val="0"/>
              <w:autoSpaceDE/>
              <w:autoSpaceDN/>
              <w:bidi w:val="0"/>
              <w:adjustRightInd w:val="0"/>
              <w:snapToGrid w:val="0"/>
              <w:spacing w:line="340" w:lineRule="exact"/>
              <w:rPr>
                <w:rFonts w:ascii="宋体" w:hAnsi="宋体"/>
                <w:b/>
                <w:color w:val="auto"/>
                <w:szCs w:val="21"/>
                <w:highlight w:val="none"/>
              </w:rPr>
            </w:pPr>
            <w:r>
              <w:rPr>
                <w:rFonts w:hint="eastAsia" w:ascii="宋体" w:hAnsi="宋体"/>
                <w:b/>
                <w:color w:val="auto"/>
                <w:highlight w:val="none"/>
              </w:rPr>
              <w:t>注：上述政策性加分详见第四章“评标办法”。</w:t>
            </w:r>
          </w:p>
        </w:tc>
      </w:tr>
    </w:tbl>
    <w:p w14:paraId="48BF6818">
      <w:pPr>
        <w:ind w:firstLine="643" w:firstLineChars="200"/>
        <w:jc w:val="center"/>
        <w:rPr>
          <w:rFonts w:ascii="宋体" w:hAnsi="宋体"/>
          <w:b/>
          <w:color w:val="auto"/>
          <w:sz w:val="32"/>
          <w:szCs w:val="32"/>
          <w:highlight w:val="none"/>
        </w:rPr>
      </w:pPr>
    </w:p>
    <w:p w14:paraId="18A29D1B">
      <w:pPr>
        <w:ind w:firstLine="643" w:firstLineChars="200"/>
        <w:jc w:val="center"/>
        <w:rPr>
          <w:rFonts w:hint="eastAsia"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第四章 评标办法</w:t>
      </w:r>
    </w:p>
    <w:p w14:paraId="720C5A24">
      <w:pPr>
        <w:pStyle w:val="27"/>
        <w:spacing w:line="380" w:lineRule="exact"/>
        <w:ind w:firstLine="413" w:firstLineChars="196"/>
        <w:rPr>
          <w:rFonts w:hAnsi="宋体"/>
          <w:b/>
          <w:bCs/>
          <w:color w:val="auto"/>
          <w:highlight w:val="none"/>
        </w:rPr>
      </w:pPr>
      <w:r>
        <w:rPr>
          <w:rFonts w:hint="eastAsia" w:hAnsi="宋体"/>
          <w:b/>
          <w:bCs/>
          <w:color w:val="auto"/>
          <w:highlight w:val="none"/>
        </w:rPr>
        <w:t>一、评标依据及方式</w:t>
      </w:r>
    </w:p>
    <w:p w14:paraId="511FD631">
      <w:pPr>
        <w:pStyle w:val="27"/>
        <w:spacing w:line="380" w:lineRule="exact"/>
        <w:ind w:firstLine="420" w:firstLineChars="200"/>
        <w:rPr>
          <w:rFonts w:hint="eastAsia" w:hAnsi="宋体"/>
          <w:color w:val="auto"/>
          <w:highlight w:val="none"/>
        </w:rPr>
      </w:pPr>
      <w:r>
        <w:rPr>
          <w:rFonts w:hint="eastAsia" w:hAnsi="宋体"/>
          <w:color w:val="auto"/>
          <w:highlight w:val="none"/>
        </w:rPr>
        <w:t>1.评标依据：评标委员会以招标文件和投标文件为评标依据，对投标人的投标报价、技术、</w:t>
      </w:r>
      <w:r>
        <w:rPr>
          <w:rFonts w:hint="eastAsia" w:ascii="宋体" w:hAnsi="宋体"/>
          <w:color w:val="auto"/>
          <w:szCs w:val="21"/>
          <w:highlight w:val="none"/>
        </w:rPr>
        <w:t>项目实施方案</w:t>
      </w:r>
      <w:r>
        <w:rPr>
          <w:rFonts w:hint="eastAsia" w:ascii="宋体" w:hAnsi="宋体"/>
          <w:color w:val="auto"/>
          <w:szCs w:val="21"/>
          <w:highlight w:val="none"/>
          <w:lang w:eastAsia="zh-CN"/>
        </w:rPr>
        <w:t>、</w:t>
      </w:r>
      <w:r>
        <w:rPr>
          <w:rFonts w:hint="eastAsia" w:hAnsi="宋体"/>
          <w:color w:val="auto"/>
          <w:highlight w:val="none"/>
        </w:rPr>
        <w:t>售后服务实施方案、履约能力、政策功能（节能、环保等）等方面内容进行评审并按百分制打分。</w:t>
      </w:r>
    </w:p>
    <w:p w14:paraId="1EA318F9">
      <w:pPr>
        <w:pStyle w:val="27"/>
        <w:spacing w:line="380" w:lineRule="exact"/>
        <w:ind w:left="210" w:leftChars="100" w:firstLine="210" w:firstLineChars="100"/>
        <w:rPr>
          <w:rFonts w:hint="eastAsia" w:hAnsi="宋体"/>
          <w:color w:val="auto"/>
          <w:highlight w:val="none"/>
        </w:rPr>
      </w:pPr>
      <w:r>
        <w:rPr>
          <w:rFonts w:hint="eastAsia" w:hAnsi="宋体"/>
          <w:color w:val="auto"/>
          <w:highlight w:val="none"/>
        </w:rPr>
        <w:t>2.评标方式：以封闭方式进行评标。</w:t>
      </w:r>
    </w:p>
    <w:p w14:paraId="219AAA4E">
      <w:pPr>
        <w:pStyle w:val="27"/>
        <w:spacing w:line="380" w:lineRule="exact"/>
        <w:ind w:left="210" w:leftChars="100" w:firstLine="210" w:firstLineChars="100"/>
        <w:rPr>
          <w:rFonts w:hint="eastAsia" w:hAnsi="宋体"/>
          <w:color w:val="auto"/>
          <w:highlight w:val="none"/>
        </w:rPr>
      </w:pPr>
      <w:r>
        <w:rPr>
          <w:rFonts w:hint="eastAsia" w:hAnsi="宋体"/>
          <w:color w:val="auto"/>
          <w:highlight w:val="none"/>
        </w:rPr>
        <w:t>3.根据财库〔2012〕69号文规定，采购人和采购代理机构、评标委员会成员要严格遵守政府采购相关法律制度，依法履行各自职责，公正、客观、审慎地组织和参与评审工作。</w:t>
      </w:r>
    </w:p>
    <w:p w14:paraId="2C442BF4">
      <w:pPr>
        <w:pStyle w:val="27"/>
        <w:spacing w:line="380" w:lineRule="exact"/>
        <w:ind w:firstLine="422" w:firstLineChars="200"/>
        <w:rPr>
          <w:rFonts w:hint="eastAsia" w:hAnsi="宋体"/>
          <w:b/>
          <w:bCs/>
          <w:color w:val="auto"/>
          <w:highlight w:val="none"/>
        </w:rPr>
      </w:pPr>
    </w:p>
    <w:p w14:paraId="3EEA7266">
      <w:pPr>
        <w:pStyle w:val="27"/>
        <w:spacing w:line="380" w:lineRule="exact"/>
        <w:ind w:firstLine="422" w:firstLineChars="200"/>
        <w:rPr>
          <w:rFonts w:hint="eastAsia" w:hAnsi="宋体"/>
          <w:b/>
          <w:bCs/>
          <w:color w:val="auto"/>
          <w:highlight w:val="none"/>
        </w:rPr>
      </w:pPr>
      <w:r>
        <w:rPr>
          <w:rFonts w:hint="eastAsia" w:hAnsi="宋体"/>
          <w:b/>
          <w:bCs/>
          <w:color w:val="auto"/>
          <w:highlight w:val="none"/>
        </w:rPr>
        <w:t>二、评标办法</w:t>
      </w:r>
    </w:p>
    <w:p w14:paraId="1A3472AE">
      <w:pPr>
        <w:pStyle w:val="27"/>
        <w:spacing w:line="380" w:lineRule="exact"/>
        <w:ind w:firstLine="420" w:firstLineChars="200"/>
        <w:rPr>
          <w:rFonts w:hint="eastAsia" w:hAnsi="宋体"/>
          <w:bCs/>
          <w:color w:val="auto"/>
          <w:highlight w:val="none"/>
        </w:rPr>
      </w:pPr>
      <w:r>
        <w:rPr>
          <w:rFonts w:hint="eastAsia" w:hAnsi="宋体"/>
          <w:bCs/>
          <w:color w:val="auto"/>
          <w:highlight w:val="none"/>
        </w:rPr>
        <w:t>（一）对进入详评的，采用综合评分法。</w:t>
      </w:r>
    </w:p>
    <w:p w14:paraId="3436BDCA">
      <w:pPr>
        <w:pStyle w:val="27"/>
        <w:spacing w:line="380" w:lineRule="exact"/>
        <w:ind w:firstLine="420" w:firstLineChars="200"/>
        <w:rPr>
          <w:rFonts w:hint="eastAsia" w:hAnsi="宋体"/>
          <w:bCs/>
          <w:color w:val="auto"/>
          <w:highlight w:val="none"/>
        </w:rPr>
      </w:pPr>
      <w:r>
        <w:rPr>
          <w:rFonts w:hint="eastAsia" w:hAnsi="宋体"/>
          <w:bCs/>
          <w:color w:val="auto"/>
          <w:highlight w:val="none"/>
        </w:rPr>
        <w:t>（二）计分办法（按四舍五入取至小数点后二位）</w:t>
      </w:r>
    </w:p>
    <w:p w14:paraId="7052B768">
      <w:pPr>
        <w:pStyle w:val="27"/>
        <w:spacing w:line="380" w:lineRule="exact"/>
        <w:ind w:firstLine="420"/>
        <w:rPr>
          <w:rFonts w:hAnsi="宋体"/>
          <w:bCs/>
          <w:color w:val="auto"/>
          <w:highlight w:val="none"/>
        </w:rPr>
      </w:pPr>
      <w:r>
        <w:rPr>
          <w:rFonts w:hint="eastAsia" w:hAnsi="宋体"/>
          <w:b/>
          <w:color w:val="auto"/>
          <w:highlight w:val="none"/>
        </w:rPr>
        <w:t>1.</w:t>
      </w:r>
      <w:r>
        <w:rPr>
          <w:rFonts w:hint="eastAsia" w:hAnsi="宋体"/>
          <w:b/>
          <w:bCs/>
          <w:color w:val="auto"/>
          <w:highlight w:val="none"/>
        </w:rPr>
        <w:t>价格分…………………………………………………………………………………</w:t>
      </w:r>
      <w:r>
        <w:rPr>
          <w:rFonts w:hint="eastAsia" w:hAnsi="宋体"/>
          <w:b/>
          <w:bCs/>
          <w:color w:val="auto"/>
          <w:highlight w:val="none"/>
          <w:lang w:val="en-US" w:eastAsia="zh-CN"/>
        </w:rPr>
        <w:t>40</w:t>
      </w:r>
      <w:r>
        <w:rPr>
          <w:rFonts w:hint="eastAsia" w:hAnsi="宋体"/>
          <w:b/>
          <w:bCs/>
          <w:color w:val="auto"/>
          <w:highlight w:val="none"/>
        </w:rPr>
        <w:t>分</w:t>
      </w:r>
    </w:p>
    <w:p w14:paraId="464F5345">
      <w:pPr>
        <w:pStyle w:val="27"/>
        <w:spacing w:line="380" w:lineRule="exact"/>
        <w:ind w:firstLine="420" w:firstLineChars="200"/>
        <w:rPr>
          <w:rFonts w:hAnsi="宋体"/>
          <w:color w:val="auto"/>
          <w:highlight w:val="none"/>
        </w:rPr>
      </w:pPr>
      <w:r>
        <w:rPr>
          <w:rFonts w:hint="eastAsia" w:hAnsi="宋体"/>
          <w:bCs/>
          <w:color w:val="auto"/>
          <w:highlight w:val="none"/>
        </w:rPr>
        <w:t>1.1</w:t>
      </w:r>
      <w:r>
        <w:rPr>
          <w:rFonts w:hint="eastAsia"/>
          <w:color w:val="auto"/>
          <w:highlight w:val="none"/>
        </w:rPr>
        <w:t>根据《政府采购促进中小企业发展管理办法》（财库〔2020〕46号）的规定、</w:t>
      </w:r>
      <w:r>
        <w:rPr>
          <w:rFonts w:hint="eastAsia" w:hAnsi="宋体"/>
          <w:color w:val="auto"/>
          <w:szCs w:val="21"/>
          <w:highlight w:val="none"/>
        </w:rPr>
        <w:t>《广西壮族自治区财政厅关于持续优化政府采购营商环境推动高质量发展的通知》（桂财采〔2024〕55号）</w:t>
      </w:r>
      <w:r>
        <w:rPr>
          <w:color w:val="auto"/>
          <w:highlight w:val="none"/>
        </w:rPr>
        <w:t>的规定</w:t>
      </w:r>
      <w:r>
        <w:rPr>
          <w:rFonts w:hint="eastAsia"/>
          <w:color w:val="auto"/>
          <w:highlight w:val="none"/>
        </w:rPr>
        <w:t>，投标人在其投标文件中提供《中小企业声明函》，且其投标全部货物由符合政策要求的小微企业制造的，对其投标报价给予20%的扣除，扣除后的价格为评标报价，即评标报价=投标报价</w:t>
      </w:r>
      <w:r>
        <w:rPr>
          <w:rFonts w:hAnsi="宋体"/>
          <w:color w:val="auto"/>
          <w:highlight w:val="none"/>
        </w:rPr>
        <w:t>×</w:t>
      </w:r>
      <w:r>
        <w:rPr>
          <w:rFonts w:hint="eastAsia"/>
          <w:color w:val="auto"/>
          <w:highlight w:val="none"/>
        </w:rPr>
        <w:t>（1-20%）；</w:t>
      </w:r>
    </w:p>
    <w:p w14:paraId="45009B00">
      <w:pPr>
        <w:pStyle w:val="27"/>
        <w:spacing w:line="380" w:lineRule="exact"/>
        <w:ind w:firstLine="420" w:firstLineChars="200"/>
        <w:rPr>
          <w:color w:val="auto"/>
          <w:highlight w:val="none"/>
        </w:rPr>
      </w:pPr>
      <w:r>
        <w:rPr>
          <w:rFonts w:hint="eastAsia" w:hAnsi="宋体"/>
          <w:color w:val="auto"/>
          <w:highlight w:val="none"/>
        </w:rPr>
        <w:t>1.2</w:t>
      </w:r>
      <w:r>
        <w:rPr>
          <w:rFonts w:hint="eastAsia"/>
          <w:color w:val="auto"/>
          <w:highlight w:val="none"/>
        </w:rPr>
        <w:t>除上述情况外，评标报价=投标报价。</w:t>
      </w:r>
    </w:p>
    <w:p w14:paraId="61E31BF2">
      <w:pPr>
        <w:pStyle w:val="27"/>
        <w:spacing w:line="380" w:lineRule="exact"/>
        <w:ind w:firstLine="420"/>
        <w:rPr>
          <w:rFonts w:hAnsi="宋体"/>
          <w:b/>
          <w:color w:val="auto"/>
          <w:highlight w:val="none"/>
        </w:rPr>
      </w:pPr>
      <w:r>
        <w:rPr>
          <w:rFonts w:hint="eastAsia" w:hAnsi="宋体"/>
          <w:b/>
          <w:color w:val="auto"/>
          <w:highlight w:val="none"/>
        </w:rPr>
        <w:t>注：①小型、微型企业提供中型企业制造的货物的，视同为中型企业。</w:t>
      </w:r>
    </w:p>
    <w:p w14:paraId="619C2E09">
      <w:pPr>
        <w:pStyle w:val="27"/>
        <w:spacing w:line="380" w:lineRule="exact"/>
        <w:ind w:firstLine="420"/>
        <w:rPr>
          <w:rFonts w:hAnsi="宋体"/>
          <w:color w:val="auto"/>
          <w:highlight w:val="none"/>
        </w:rPr>
      </w:pPr>
      <w:r>
        <w:rPr>
          <w:rFonts w:hint="eastAsia" w:hAnsi="宋体"/>
          <w:b/>
          <w:color w:val="auto"/>
          <w:highlight w:val="none"/>
        </w:rPr>
        <w:t xml:space="preserve">    ②评标报价为投标人的投标报价进行政策性扣除后的价格，评标报价只是作为评标时使用。最终中标人的中标金额＝投标报价。</w:t>
      </w:r>
    </w:p>
    <w:p w14:paraId="4A660CAA">
      <w:pPr>
        <w:pStyle w:val="27"/>
        <w:spacing w:line="380" w:lineRule="exact"/>
        <w:ind w:firstLine="359" w:firstLineChars="171"/>
        <w:rPr>
          <w:color w:val="auto"/>
          <w:highlight w:val="none"/>
        </w:rPr>
      </w:pPr>
      <w:r>
        <w:rPr>
          <w:rFonts w:hint="eastAsia"/>
          <w:color w:val="auto"/>
          <w:highlight w:val="none"/>
        </w:rPr>
        <w:t>1.3根据《关于政府采购支持监狱企业发展有关问题的通知》（财库[2014]68号）和《关于促进残疾人就业政府采购政策的通知》（财库[2017]141号），监狱企业和符合条件的残疾人福利性单位视同小型、微型企业，享受小型、微型企业评审中价格扣除的政府采购政策。监狱企业和残疾人福利性单位属于小型、微型企业的，不重复享受政策。</w:t>
      </w:r>
    </w:p>
    <w:p w14:paraId="32795B02">
      <w:pPr>
        <w:pStyle w:val="27"/>
        <w:spacing w:line="380" w:lineRule="exact"/>
        <w:ind w:firstLine="359" w:firstLineChars="171"/>
        <w:rPr>
          <w:color w:val="auto"/>
          <w:highlight w:val="none"/>
        </w:rPr>
      </w:pPr>
      <w:r>
        <w:rPr>
          <w:rFonts w:hint="eastAsia"/>
          <w:color w:val="auto"/>
          <w:highlight w:val="none"/>
        </w:rPr>
        <w:t>1.4以进入评标的最低的评标报价为</w:t>
      </w:r>
      <w:r>
        <w:rPr>
          <w:rFonts w:hint="eastAsia"/>
          <w:color w:val="auto"/>
          <w:highlight w:val="none"/>
          <w:lang w:val="en-US" w:eastAsia="zh-CN"/>
        </w:rPr>
        <w:t>40</w:t>
      </w:r>
      <w:r>
        <w:rPr>
          <w:rFonts w:hint="eastAsia"/>
          <w:color w:val="auto"/>
          <w:highlight w:val="none"/>
        </w:rPr>
        <w:t>分。</w:t>
      </w:r>
    </w:p>
    <w:p w14:paraId="2E6CB4DB">
      <w:pPr>
        <w:pStyle w:val="27"/>
        <w:spacing w:line="380" w:lineRule="exact"/>
        <w:ind w:firstLine="3255" w:firstLineChars="1550"/>
        <w:rPr>
          <w:color w:val="auto"/>
          <w:highlight w:val="none"/>
        </w:rPr>
      </w:pPr>
      <w:r>
        <w:rPr>
          <w:rFonts w:hint="eastAsia"/>
          <w:color w:val="auto"/>
          <w:highlight w:val="none"/>
        </w:rPr>
        <w:t xml:space="preserve">最低投标人评标报价金额          </w:t>
      </w:r>
    </w:p>
    <w:p w14:paraId="1640FA64">
      <w:pPr>
        <w:pStyle w:val="27"/>
        <w:spacing w:line="380" w:lineRule="exact"/>
        <w:ind w:firstLine="359" w:firstLineChars="171"/>
        <w:rPr>
          <w:color w:val="auto"/>
          <w:highlight w:val="none"/>
        </w:rPr>
      </w:pPr>
      <w:r>
        <w:rPr>
          <w:rFonts w:hint="eastAsia"/>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1828800</wp:posOffset>
                </wp:positionH>
                <wp:positionV relativeFrom="paragraph">
                  <wp:posOffset>196850</wp:posOffset>
                </wp:positionV>
                <wp:extent cx="2200275" cy="0"/>
                <wp:effectExtent l="0" t="4445" r="0" b="5080"/>
                <wp:wrapNone/>
                <wp:docPr id="3"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144pt;margin-top:15.5pt;height:0pt;width:173.25pt;z-index:251661312;mso-width-relative:page;mso-height-relative:page;" filled="f" stroked="t" coordsize="21600,21600" o:gfxdata="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UKpDrX&#10;AAAACQEAAA8AAAAAAAAAAQAgAAAAIgAAAGRycy9kb3ducmV2LnhtbFBLAQIUABQAAAAIAIdO4kCu&#10;y5fK6AEAALgDAAAOAAAAAAAAAAEAIAAAACYBAABkcnMvZTJvRG9jLnhtbFBLBQYAAAAABgAGAFkB&#10;AACABQAAAAA=&#10;">
                <v:fill on="f" focussize="0,0"/>
                <v:stroke color="#000000" joinstyle="round"/>
                <v:imagedata o:title=""/>
                <o:lock v:ext="edit" aspectratio="f"/>
              </v:line>
            </w:pict>
          </mc:Fallback>
        </mc:AlternateContent>
      </w:r>
      <w:r>
        <w:rPr>
          <w:rFonts w:hint="eastAsia"/>
          <w:color w:val="auto"/>
          <w:highlight w:val="none"/>
        </w:rPr>
        <w:t>1.5投标人价格分 =                                　       ×</w:t>
      </w:r>
      <w:r>
        <w:rPr>
          <w:rFonts w:hint="eastAsia"/>
          <w:color w:val="auto"/>
          <w:highlight w:val="none"/>
          <w:lang w:val="en-US" w:eastAsia="zh-CN"/>
        </w:rPr>
        <w:t>40</w:t>
      </w:r>
      <w:r>
        <w:rPr>
          <w:rFonts w:hint="eastAsia"/>
          <w:color w:val="auto"/>
          <w:highlight w:val="none"/>
        </w:rPr>
        <w:t>分</w:t>
      </w:r>
    </w:p>
    <w:p w14:paraId="42BB0448">
      <w:pPr>
        <w:pStyle w:val="27"/>
        <w:spacing w:line="380" w:lineRule="exact"/>
        <w:ind w:firstLine="535" w:firstLineChars="255"/>
        <w:rPr>
          <w:color w:val="auto"/>
          <w:highlight w:val="none"/>
        </w:rPr>
      </w:pPr>
      <w:r>
        <w:rPr>
          <w:rFonts w:hint="eastAsia"/>
          <w:color w:val="auto"/>
          <w:highlight w:val="none"/>
        </w:rPr>
        <w:t xml:space="preserve">                           投标人评标报价金额    </w:t>
      </w:r>
    </w:p>
    <w:p w14:paraId="5FBD4973">
      <w:pPr>
        <w:pStyle w:val="27"/>
        <w:spacing w:line="380" w:lineRule="exact"/>
        <w:ind w:firstLine="422" w:firstLineChars="200"/>
        <w:outlineLvl w:val="0"/>
        <w:rPr>
          <w:rFonts w:hAnsi="宋体"/>
          <w:b/>
          <w:bCs/>
          <w:color w:val="auto"/>
          <w:highlight w:val="none"/>
        </w:rPr>
      </w:pPr>
      <w:r>
        <w:rPr>
          <w:rFonts w:hint="eastAsia" w:hAnsi="宋体"/>
          <w:b/>
          <w:bCs/>
          <w:color w:val="auto"/>
          <w:highlight w:val="none"/>
        </w:rPr>
        <w:t>2.技术分…………………………………………………………………………………30分</w:t>
      </w:r>
    </w:p>
    <w:p w14:paraId="258F47A9">
      <w:pPr>
        <w:pStyle w:val="27"/>
        <w:spacing w:line="380" w:lineRule="exact"/>
        <w:ind w:firstLine="359" w:firstLineChars="171"/>
        <w:rPr>
          <w:color w:val="auto"/>
          <w:highlight w:val="none"/>
        </w:rPr>
      </w:pPr>
      <w:r>
        <w:rPr>
          <w:rFonts w:hint="eastAsia"/>
          <w:color w:val="auto"/>
          <w:highlight w:val="none"/>
        </w:rPr>
        <w:t>评委根据招标文件要求，对满足招标文件全部实质性要求进入详评的各投标人投标文件“技术要求”的响应情况进行独立评审，并按如下计分方式确定得分：</w:t>
      </w:r>
    </w:p>
    <w:p w14:paraId="053F8E13">
      <w:pPr>
        <w:spacing w:line="38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经评委独立评审，</w:t>
      </w:r>
      <w:r>
        <w:rPr>
          <w:rFonts w:hint="eastAsia" w:ascii="宋体" w:hAnsi="宋体"/>
          <w:color w:val="auto"/>
          <w:highlight w:val="none"/>
        </w:rPr>
        <w:t>投标人投标文件满足招标文件全部实质性要求的，得基本分3</w:t>
      </w:r>
      <w:r>
        <w:rPr>
          <w:rFonts w:ascii="宋体" w:hAnsi="宋体"/>
          <w:color w:val="auto"/>
          <w:highlight w:val="none"/>
        </w:rPr>
        <w:t>0</w:t>
      </w:r>
      <w:r>
        <w:rPr>
          <w:rFonts w:hint="eastAsia" w:ascii="宋体" w:hAnsi="宋体"/>
          <w:color w:val="auto"/>
          <w:highlight w:val="none"/>
        </w:rPr>
        <w:t>分</w:t>
      </w:r>
      <w:r>
        <w:rPr>
          <w:rFonts w:hint="eastAsia" w:ascii="宋体" w:hAnsi="宋体"/>
          <w:color w:val="auto"/>
          <w:szCs w:val="21"/>
          <w:highlight w:val="none"/>
        </w:rPr>
        <w:t>；投标人对招标文件第三章“采购需求”的“技术要求”中</w:t>
      </w:r>
      <w:r>
        <w:rPr>
          <w:rFonts w:hint="eastAsia" w:ascii="宋体" w:hAnsi="宋体"/>
          <w:color w:val="auto"/>
          <w:highlight w:val="none"/>
        </w:rPr>
        <w:t>未标注 “▲”号的技术要求</w:t>
      </w:r>
      <w:r>
        <w:rPr>
          <w:rFonts w:hint="eastAsia" w:ascii="宋体" w:hAnsi="宋体"/>
          <w:color w:val="auto"/>
          <w:szCs w:val="21"/>
          <w:highlight w:val="none"/>
        </w:rPr>
        <w:t>响应存在负偏离的，每有一项扣基本分3分，最多扣27分。</w:t>
      </w:r>
    </w:p>
    <w:p w14:paraId="6CDDAB12">
      <w:pPr>
        <w:pStyle w:val="27"/>
        <w:spacing w:line="380" w:lineRule="exact"/>
        <w:ind w:firstLine="361" w:firstLineChars="171"/>
        <w:rPr>
          <w:rFonts w:hAnsi="宋体"/>
          <w:bCs/>
          <w:color w:val="auto"/>
          <w:highlight w:val="none"/>
        </w:rPr>
      </w:pPr>
      <w:r>
        <w:rPr>
          <w:rFonts w:hint="eastAsia" w:hAnsi="宋体"/>
          <w:b/>
          <w:bCs/>
          <w:color w:val="auto"/>
          <w:highlight w:val="none"/>
          <w:lang w:val="en-US" w:eastAsia="zh-CN"/>
        </w:rPr>
        <w:t>3</w:t>
      </w:r>
      <w:r>
        <w:rPr>
          <w:rFonts w:hint="eastAsia" w:hAnsi="宋体"/>
          <w:b/>
          <w:bCs/>
          <w:color w:val="auto"/>
          <w:highlight w:val="none"/>
        </w:rPr>
        <w:t>.项目</w:t>
      </w:r>
      <w:r>
        <w:rPr>
          <w:rFonts w:hint="eastAsia" w:hAnsi="宋体"/>
          <w:b/>
          <w:color w:val="auto"/>
          <w:spacing w:val="-4"/>
          <w:highlight w:val="none"/>
        </w:rPr>
        <w:t>实施方案分</w:t>
      </w:r>
      <w:r>
        <w:rPr>
          <w:rFonts w:hint="eastAsia" w:hAnsi="宋体"/>
          <w:b/>
          <w:bCs/>
          <w:color w:val="auto"/>
          <w:highlight w:val="none"/>
        </w:rPr>
        <w:t>……………………………………………………………………</w:t>
      </w:r>
      <w:r>
        <w:rPr>
          <w:rFonts w:hAnsi="宋体"/>
          <w:b/>
          <w:bCs/>
          <w:color w:val="auto"/>
          <w:highlight w:val="none"/>
        </w:rPr>
        <w:t>…</w:t>
      </w:r>
      <w:r>
        <w:rPr>
          <w:rFonts w:hint="eastAsia" w:hAnsi="宋体"/>
          <w:b/>
          <w:bCs/>
          <w:color w:val="auto"/>
          <w:highlight w:val="none"/>
          <w:lang w:val="en-US" w:eastAsia="zh-CN"/>
        </w:rPr>
        <w:t>8</w:t>
      </w:r>
      <w:r>
        <w:rPr>
          <w:rFonts w:hint="eastAsia" w:hAnsi="宋体"/>
          <w:b/>
          <w:bCs/>
          <w:color w:val="auto"/>
          <w:highlight w:val="none"/>
        </w:rPr>
        <w:t>分</w:t>
      </w:r>
    </w:p>
    <w:p w14:paraId="061251CC">
      <w:pPr>
        <w:pStyle w:val="27"/>
        <w:tabs>
          <w:tab w:val="left" w:pos="4214"/>
        </w:tabs>
        <w:spacing w:line="380" w:lineRule="exact"/>
        <w:ind w:firstLine="404" w:firstLineChars="200"/>
        <w:rPr>
          <w:rFonts w:hAnsi="宋体"/>
          <w:color w:val="auto"/>
          <w:spacing w:val="-4"/>
          <w:highlight w:val="none"/>
        </w:rPr>
      </w:pPr>
      <w:r>
        <w:rPr>
          <w:rFonts w:hint="eastAsia" w:hAnsi="宋体"/>
          <w:color w:val="auto"/>
          <w:spacing w:val="-4"/>
          <w:highlight w:val="none"/>
        </w:rPr>
        <w:t>评委根据投标人提供的</w:t>
      </w:r>
      <w:r>
        <w:rPr>
          <w:rFonts w:hint="eastAsia" w:ascii="宋体" w:hAnsi="宋体" w:eastAsia="宋体"/>
          <w:color w:val="auto"/>
          <w:spacing w:val="-4"/>
          <w:highlight w:val="none"/>
        </w:rPr>
        <w:t>项目实施方案</w:t>
      </w:r>
      <w:r>
        <w:rPr>
          <w:rFonts w:hint="eastAsia" w:hAnsi="宋体"/>
          <w:color w:val="auto"/>
          <w:spacing w:val="-4"/>
          <w:highlight w:val="none"/>
        </w:rPr>
        <w:t>【包含</w:t>
      </w:r>
      <w:r>
        <w:rPr>
          <w:rFonts w:hint="eastAsia" w:hAnsi="宋体"/>
          <w:color w:val="auto"/>
          <w:spacing w:val="-4"/>
          <w:highlight w:val="none"/>
          <w:lang w:eastAsia="zh-CN"/>
        </w:rPr>
        <w:t>但不限于</w:t>
      </w:r>
      <w:r>
        <w:rPr>
          <w:rFonts w:hint="eastAsia" w:hAnsi="宋体"/>
          <w:color w:val="auto"/>
          <w:spacing w:val="-4"/>
          <w:highlight w:val="none"/>
        </w:rPr>
        <w:t>：</w:t>
      </w:r>
      <w:r>
        <w:rPr>
          <w:rFonts w:hint="eastAsia" w:hAnsi="宋体" w:cs="宋体"/>
          <w:color w:val="auto"/>
          <w:szCs w:val="21"/>
          <w:highlight w:val="none"/>
        </w:rPr>
        <w:t>①配送计划；②安装方案；③设备调试；④设备试运行</w:t>
      </w:r>
      <w:r>
        <w:rPr>
          <w:rFonts w:hint="eastAsia" w:hAnsi="宋体"/>
          <w:color w:val="auto"/>
          <w:spacing w:val="-4"/>
          <w:highlight w:val="none"/>
        </w:rPr>
        <w:t>等】内容的合理性、可行性、针对性进行独立评审并按以下规则独立打分：</w:t>
      </w:r>
      <w:r>
        <w:rPr>
          <w:rFonts w:hint="eastAsia" w:hAnsi="宋体"/>
          <w:color w:val="auto"/>
          <w:spacing w:val="-4"/>
          <w:highlight w:val="none"/>
        </w:rPr>
        <w:br w:type="textWrapping"/>
      </w:r>
      <w:r>
        <w:rPr>
          <w:rFonts w:hint="eastAsia" w:hAnsi="宋体"/>
          <w:color w:val="auto"/>
          <w:spacing w:val="-4"/>
          <w:highlight w:val="none"/>
        </w:rPr>
        <w:t xml:space="preserve">    一档（</w:t>
      </w:r>
      <w:r>
        <w:rPr>
          <w:rFonts w:hAnsi="宋体"/>
          <w:color w:val="auto"/>
          <w:spacing w:val="-4"/>
          <w:highlight w:val="none"/>
        </w:rPr>
        <w:t>2</w:t>
      </w:r>
      <w:r>
        <w:rPr>
          <w:rFonts w:hint="eastAsia" w:hAnsi="宋体"/>
          <w:color w:val="auto"/>
          <w:spacing w:val="-4"/>
          <w:highlight w:val="none"/>
        </w:rPr>
        <w:t>分）：四</w:t>
      </w:r>
      <w:r>
        <w:rPr>
          <w:rFonts w:hint="eastAsia" w:hAnsi="宋体" w:cs="宋体"/>
          <w:color w:val="auto"/>
          <w:kern w:val="0"/>
          <w:szCs w:val="21"/>
          <w:highlight w:val="none"/>
        </w:rPr>
        <w:t>项评审因素有一项内容经评审合理、可行</w:t>
      </w:r>
      <w:r>
        <w:rPr>
          <w:rFonts w:hint="eastAsia" w:hAnsi="宋体" w:cs="宋体"/>
          <w:color w:val="auto"/>
          <w:kern w:val="0"/>
          <w:szCs w:val="21"/>
          <w:highlight w:val="none"/>
          <w:lang w:eastAsia="zh-CN"/>
        </w:rPr>
        <w:t>且针对性强的</w:t>
      </w:r>
      <w:r>
        <w:rPr>
          <w:rFonts w:hint="eastAsia" w:hAnsi="宋体"/>
          <w:color w:val="auto"/>
          <w:spacing w:val="-4"/>
          <w:highlight w:val="none"/>
        </w:rPr>
        <w:t>；</w:t>
      </w:r>
    </w:p>
    <w:p w14:paraId="0CE7CF18">
      <w:pPr>
        <w:pStyle w:val="27"/>
        <w:tabs>
          <w:tab w:val="left" w:pos="4214"/>
        </w:tabs>
        <w:spacing w:line="380" w:lineRule="exact"/>
        <w:ind w:firstLine="404" w:firstLineChars="200"/>
        <w:rPr>
          <w:rFonts w:hAnsi="宋体"/>
          <w:color w:val="auto"/>
          <w:spacing w:val="-4"/>
          <w:highlight w:val="none"/>
        </w:rPr>
      </w:pPr>
      <w:r>
        <w:rPr>
          <w:rFonts w:hint="eastAsia" w:hAnsi="宋体"/>
          <w:color w:val="auto"/>
          <w:spacing w:val="-4"/>
          <w:highlight w:val="none"/>
        </w:rPr>
        <w:t>二档（</w:t>
      </w:r>
      <w:r>
        <w:rPr>
          <w:rFonts w:hAnsi="宋体"/>
          <w:color w:val="auto"/>
          <w:spacing w:val="-4"/>
          <w:highlight w:val="none"/>
        </w:rPr>
        <w:t>4</w:t>
      </w:r>
      <w:r>
        <w:rPr>
          <w:rFonts w:hint="eastAsia" w:hAnsi="宋体"/>
          <w:color w:val="auto"/>
          <w:spacing w:val="-4"/>
          <w:highlight w:val="none"/>
        </w:rPr>
        <w:t>分）：四</w:t>
      </w:r>
      <w:r>
        <w:rPr>
          <w:rFonts w:hint="eastAsia" w:hAnsi="宋体" w:cs="宋体"/>
          <w:color w:val="auto"/>
          <w:kern w:val="0"/>
          <w:szCs w:val="21"/>
          <w:highlight w:val="none"/>
        </w:rPr>
        <w:t>项评审因素有二项内容经评审合理、可行</w:t>
      </w:r>
      <w:r>
        <w:rPr>
          <w:rFonts w:hint="eastAsia" w:hAnsi="宋体" w:cs="宋体"/>
          <w:color w:val="auto"/>
          <w:kern w:val="0"/>
          <w:szCs w:val="21"/>
          <w:highlight w:val="none"/>
          <w:lang w:eastAsia="zh-CN"/>
        </w:rPr>
        <w:t>且针对性强的</w:t>
      </w:r>
      <w:r>
        <w:rPr>
          <w:rFonts w:hint="eastAsia" w:hAnsi="宋体"/>
          <w:color w:val="auto"/>
          <w:spacing w:val="-4"/>
          <w:highlight w:val="none"/>
        </w:rPr>
        <w:t>；</w:t>
      </w:r>
    </w:p>
    <w:p w14:paraId="5D601938">
      <w:pPr>
        <w:pStyle w:val="27"/>
        <w:tabs>
          <w:tab w:val="left" w:pos="4214"/>
        </w:tabs>
        <w:spacing w:line="380" w:lineRule="exact"/>
        <w:ind w:firstLine="404" w:firstLineChars="200"/>
        <w:rPr>
          <w:rFonts w:hAnsi="宋体"/>
          <w:color w:val="auto"/>
          <w:spacing w:val="-4"/>
          <w:highlight w:val="none"/>
        </w:rPr>
      </w:pPr>
      <w:r>
        <w:rPr>
          <w:rFonts w:hint="eastAsia" w:hAnsi="宋体"/>
          <w:color w:val="auto"/>
          <w:spacing w:val="-4"/>
          <w:highlight w:val="none"/>
        </w:rPr>
        <w:t>三档（</w:t>
      </w:r>
      <w:r>
        <w:rPr>
          <w:rFonts w:hint="eastAsia" w:hAnsi="宋体"/>
          <w:color w:val="auto"/>
          <w:spacing w:val="-4"/>
          <w:highlight w:val="none"/>
          <w:lang w:val="en-US" w:eastAsia="zh-CN"/>
        </w:rPr>
        <w:t>6</w:t>
      </w:r>
      <w:r>
        <w:rPr>
          <w:rFonts w:hint="eastAsia" w:hAnsi="宋体"/>
          <w:color w:val="auto"/>
          <w:spacing w:val="-4"/>
          <w:highlight w:val="none"/>
        </w:rPr>
        <w:t>分）：四</w:t>
      </w:r>
      <w:r>
        <w:rPr>
          <w:rFonts w:hint="eastAsia" w:hAnsi="宋体" w:cs="宋体"/>
          <w:color w:val="auto"/>
          <w:kern w:val="0"/>
          <w:szCs w:val="21"/>
          <w:highlight w:val="none"/>
        </w:rPr>
        <w:t>项评审因素有三项内容经评审合理、可行</w:t>
      </w:r>
      <w:r>
        <w:rPr>
          <w:rFonts w:hint="eastAsia" w:hAnsi="宋体" w:cs="宋体"/>
          <w:color w:val="auto"/>
          <w:kern w:val="0"/>
          <w:szCs w:val="21"/>
          <w:highlight w:val="none"/>
          <w:lang w:eastAsia="zh-CN"/>
        </w:rPr>
        <w:t>且针对性强的</w:t>
      </w:r>
      <w:r>
        <w:rPr>
          <w:rFonts w:hint="eastAsia" w:hAnsi="宋体"/>
          <w:color w:val="auto"/>
          <w:spacing w:val="-4"/>
          <w:highlight w:val="none"/>
        </w:rPr>
        <w:t>；</w:t>
      </w:r>
    </w:p>
    <w:p w14:paraId="51170A34">
      <w:pPr>
        <w:pStyle w:val="27"/>
        <w:tabs>
          <w:tab w:val="left" w:pos="4214"/>
        </w:tabs>
        <w:spacing w:line="380" w:lineRule="exact"/>
        <w:ind w:firstLine="404" w:firstLineChars="200"/>
        <w:rPr>
          <w:rFonts w:hint="eastAsia" w:hAnsi="宋体"/>
          <w:color w:val="auto"/>
          <w:spacing w:val="-4"/>
          <w:highlight w:val="none"/>
        </w:rPr>
      </w:pPr>
      <w:r>
        <w:rPr>
          <w:rFonts w:hint="eastAsia" w:hAnsi="宋体"/>
          <w:color w:val="auto"/>
          <w:spacing w:val="-4"/>
          <w:highlight w:val="none"/>
        </w:rPr>
        <w:t>四档（</w:t>
      </w:r>
      <w:r>
        <w:rPr>
          <w:rFonts w:hint="eastAsia" w:hAnsi="宋体"/>
          <w:color w:val="auto"/>
          <w:spacing w:val="-4"/>
          <w:highlight w:val="none"/>
          <w:lang w:val="en-US" w:eastAsia="zh-CN"/>
        </w:rPr>
        <w:t>8</w:t>
      </w:r>
      <w:r>
        <w:rPr>
          <w:rFonts w:hint="eastAsia" w:hAnsi="宋体"/>
          <w:color w:val="auto"/>
          <w:spacing w:val="-4"/>
          <w:highlight w:val="none"/>
        </w:rPr>
        <w:t>分）：四</w:t>
      </w:r>
      <w:r>
        <w:rPr>
          <w:rFonts w:hint="eastAsia" w:hAnsi="宋体" w:cs="宋体"/>
          <w:color w:val="auto"/>
          <w:kern w:val="0"/>
          <w:szCs w:val="21"/>
          <w:highlight w:val="none"/>
        </w:rPr>
        <w:t>评审因素内容经评审均合理、可行</w:t>
      </w:r>
      <w:r>
        <w:rPr>
          <w:rFonts w:hint="eastAsia" w:hAnsi="宋体" w:cs="宋体"/>
          <w:color w:val="auto"/>
          <w:kern w:val="0"/>
          <w:szCs w:val="21"/>
          <w:highlight w:val="none"/>
          <w:lang w:eastAsia="zh-CN"/>
        </w:rPr>
        <w:t>且针对性强的</w:t>
      </w:r>
      <w:r>
        <w:rPr>
          <w:rFonts w:hint="eastAsia" w:hAnsi="宋体"/>
          <w:color w:val="auto"/>
          <w:spacing w:val="-4"/>
          <w:highlight w:val="none"/>
        </w:rPr>
        <w:t>。</w:t>
      </w:r>
    </w:p>
    <w:p w14:paraId="3C021F32">
      <w:pPr>
        <w:pStyle w:val="27"/>
        <w:spacing w:line="380" w:lineRule="exact"/>
        <w:ind w:firstLine="361" w:firstLineChars="171"/>
        <w:rPr>
          <w:rFonts w:hAnsi="宋体"/>
          <w:bCs/>
          <w:color w:val="auto"/>
          <w:highlight w:val="none"/>
        </w:rPr>
      </w:pPr>
      <w:r>
        <w:rPr>
          <w:rFonts w:hint="eastAsia" w:hAnsi="宋体"/>
          <w:b/>
          <w:bCs/>
          <w:color w:val="auto"/>
          <w:highlight w:val="none"/>
          <w:lang w:val="en-US" w:eastAsia="zh-CN"/>
        </w:rPr>
        <w:t>4</w:t>
      </w:r>
      <w:r>
        <w:rPr>
          <w:rFonts w:hint="eastAsia" w:hAnsi="宋体"/>
          <w:b/>
          <w:bCs/>
          <w:color w:val="auto"/>
          <w:highlight w:val="none"/>
        </w:rPr>
        <w:t>.</w:t>
      </w:r>
      <w:r>
        <w:rPr>
          <w:rFonts w:hint="eastAsia" w:hAnsi="宋体"/>
          <w:b/>
          <w:color w:val="auto"/>
          <w:spacing w:val="-4"/>
          <w:highlight w:val="none"/>
        </w:rPr>
        <w:t>售后服务实施方案分</w:t>
      </w:r>
      <w:r>
        <w:rPr>
          <w:rFonts w:hint="eastAsia" w:hAnsi="宋体"/>
          <w:b/>
          <w:bCs/>
          <w:color w:val="auto"/>
          <w:highlight w:val="none"/>
        </w:rPr>
        <w:t>………………………………………………………………</w:t>
      </w:r>
      <w:r>
        <w:rPr>
          <w:rFonts w:hAnsi="宋体"/>
          <w:b/>
          <w:bCs/>
          <w:color w:val="auto"/>
          <w:highlight w:val="none"/>
        </w:rPr>
        <w:t>…</w:t>
      </w:r>
      <w:r>
        <w:rPr>
          <w:rFonts w:hint="eastAsia" w:hAnsi="宋体"/>
          <w:b/>
          <w:bCs/>
          <w:color w:val="auto"/>
          <w:highlight w:val="none"/>
        </w:rPr>
        <w:t>1</w:t>
      </w:r>
      <w:r>
        <w:rPr>
          <w:rFonts w:hAnsi="宋体"/>
          <w:b/>
          <w:bCs/>
          <w:color w:val="auto"/>
          <w:highlight w:val="none"/>
        </w:rPr>
        <w:t>6</w:t>
      </w:r>
      <w:r>
        <w:rPr>
          <w:rFonts w:hint="eastAsia" w:hAnsi="宋体"/>
          <w:b/>
          <w:bCs/>
          <w:color w:val="auto"/>
          <w:highlight w:val="none"/>
        </w:rPr>
        <w:t>分</w:t>
      </w:r>
    </w:p>
    <w:p w14:paraId="300EFF68">
      <w:pPr>
        <w:pStyle w:val="27"/>
        <w:tabs>
          <w:tab w:val="left" w:pos="4214"/>
        </w:tabs>
        <w:spacing w:line="380" w:lineRule="exact"/>
        <w:ind w:firstLine="404" w:firstLineChars="200"/>
        <w:jc w:val="left"/>
        <w:rPr>
          <w:rFonts w:hAnsi="宋体"/>
          <w:color w:val="auto"/>
          <w:spacing w:val="-4"/>
          <w:highlight w:val="none"/>
        </w:rPr>
      </w:pPr>
      <w:r>
        <w:rPr>
          <w:rFonts w:hint="eastAsia" w:hAnsi="宋体"/>
          <w:color w:val="auto"/>
          <w:spacing w:val="-4"/>
          <w:highlight w:val="none"/>
        </w:rPr>
        <w:t>评委根据投标人提供的售后服务实施方案</w:t>
      </w:r>
      <w:r>
        <w:rPr>
          <w:rFonts w:hint="eastAsia" w:hAnsi="宋体"/>
          <w:color w:val="auto"/>
          <w:spacing w:val="-4"/>
          <w:highlight w:val="none"/>
          <w:lang w:eastAsia="zh-CN"/>
        </w:rPr>
        <w:t>｛</w:t>
      </w:r>
      <w:r>
        <w:rPr>
          <w:rFonts w:hint="eastAsia" w:hAnsi="宋体"/>
          <w:color w:val="auto"/>
          <w:spacing w:val="-4"/>
          <w:highlight w:val="none"/>
        </w:rPr>
        <w:t>包含</w:t>
      </w:r>
      <w:r>
        <w:rPr>
          <w:rFonts w:hint="eastAsia" w:hAnsi="宋体"/>
          <w:color w:val="auto"/>
          <w:spacing w:val="-4"/>
          <w:highlight w:val="none"/>
          <w:lang w:eastAsia="zh-CN"/>
        </w:rPr>
        <w:t>但不限于</w:t>
      </w:r>
      <w:r>
        <w:rPr>
          <w:rFonts w:hint="eastAsia" w:hAnsi="宋体"/>
          <w:color w:val="auto"/>
          <w:spacing w:val="-4"/>
          <w:highlight w:val="none"/>
        </w:rPr>
        <w:t>：①</w:t>
      </w:r>
      <w:r>
        <w:rPr>
          <w:rFonts w:hint="eastAsia" w:hAnsi="宋体" w:cs="宋体"/>
          <w:color w:val="auto"/>
          <w:kern w:val="0"/>
          <w:szCs w:val="21"/>
          <w:highlight w:val="none"/>
        </w:rPr>
        <w:t>售后人员配备情况</w:t>
      </w:r>
      <w:r>
        <w:rPr>
          <w:rFonts w:hint="eastAsia" w:hAnsi="宋体"/>
          <w:color w:val="auto"/>
          <w:spacing w:val="-4"/>
          <w:highlight w:val="none"/>
        </w:rPr>
        <w:t>；②</w:t>
      </w:r>
      <w:r>
        <w:rPr>
          <w:rFonts w:hint="eastAsia" w:hAnsi="宋体" w:cs="宋体"/>
          <w:color w:val="auto"/>
          <w:kern w:val="0"/>
          <w:szCs w:val="21"/>
          <w:highlight w:val="none"/>
        </w:rPr>
        <w:t xml:space="preserve">定期维护 </w:t>
      </w:r>
      <w:r>
        <w:rPr>
          <w:rFonts w:hint="eastAsia" w:hAnsi="宋体" w:cs="宋体"/>
          <w:color w:val="auto"/>
          <w:kern w:val="0"/>
          <w:szCs w:val="21"/>
          <w:highlight w:val="none"/>
          <w:lang w:eastAsia="zh-CN"/>
        </w:rPr>
        <w:t>（</w:t>
      </w:r>
      <w:r>
        <w:rPr>
          <w:rFonts w:hint="eastAsia" w:hAnsi="宋体" w:cs="宋体"/>
          <w:color w:val="auto"/>
          <w:kern w:val="0"/>
          <w:szCs w:val="21"/>
          <w:highlight w:val="none"/>
        </w:rPr>
        <w:t>注明时间</w:t>
      </w:r>
      <w:r>
        <w:rPr>
          <w:rFonts w:hint="eastAsia" w:hAnsi="宋体" w:cs="宋体"/>
          <w:color w:val="auto"/>
          <w:kern w:val="0"/>
          <w:szCs w:val="21"/>
          <w:highlight w:val="none"/>
          <w:lang w:eastAsia="zh-CN"/>
        </w:rPr>
        <w:t>）</w:t>
      </w:r>
      <w:r>
        <w:rPr>
          <w:rFonts w:hint="eastAsia" w:hAnsi="宋体" w:cs="宋体"/>
          <w:color w:val="auto"/>
          <w:kern w:val="0"/>
          <w:szCs w:val="21"/>
          <w:highlight w:val="none"/>
        </w:rPr>
        <w:t>方案、</w:t>
      </w:r>
      <w:r>
        <w:rPr>
          <w:rFonts w:hint="eastAsia" w:hAnsi="宋体"/>
          <w:color w:val="auto"/>
          <w:spacing w:val="-4"/>
          <w:highlight w:val="none"/>
        </w:rPr>
        <w:t>保修期外维修方案；③技术培训方案；④</w:t>
      </w:r>
      <w:r>
        <w:rPr>
          <w:rFonts w:hint="eastAsia" w:hAnsi="宋体" w:cs="宋体"/>
          <w:color w:val="auto"/>
          <w:kern w:val="0"/>
          <w:szCs w:val="21"/>
          <w:highlight w:val="none"/>
        </w:rPr>
        <w:t>其他实质性优惠措施</w:t>
      </w:r>
      <w:r>
        <w:rPr>
          <w:rFonts w:hint="eastAsia" w:hAnsi="宋体"/>
          <w:color w:val="auto"/>
          <w:spacing w:val="-4"/>
          <w:highlight w:val="none"/>
        </w:rPr>
        <w:t>等</w:t>
      </w:r>
      <w:r>
        <w:rPr>
          <w:rFonts w:hint="eastAsia" w:hAnsi="宋体"/>
          <w:color w:val="auto"/>
          <w:spacing w:val="-4"/>
          <w:highlight w:val="none"/>
          <w:lang w:eastAsia="zh-CN"/>
        </w:rPr>
        <w:t>｝</w:t>
      </w:r>
      <w:r>
        <w:rPr>
          <w:rFonts w:hint="eastAsia" w:hAnsi="宋体"/>
          <w:color w:val="auto"/>
          <w:spacing w:val="-4"/>
          <w:highlight w:val="none"/>
        </w:rPr>
        <w:t>内容的合理性、可行性、针对性进行独立评审并按以下规则独立打分：</w:t>
      </w:r>
      <w:r>
        <w:rPr>
          <w:rFonts w:hint="eastAsia" w:hAnsi="宋体"/>
          <w:color w:val="auto"/>
          <w:spacing w:val="-4"/>
          <w:highlight w:val="none"/>
        </w:rPr>
        <w:br w:type="textWrapping"/>
      </w:r>
      <w:r>
        <w:rPr>
          <w:rFonts w:hint="eastAsia" w:hAnsi="宋体"/>
          <w:color w:val="auto"/>
          <w:spacing w:val="-4"/>
          <w:highlight w:val="none"/>
        </w:rPr>
        <w:t xml:space="preserve">    一档（</w:t>
      </w:r>
      <w:r>
        <w:rPr>
          <w:rFonts w:hAnsi="宋体"/>
          <w:color w:val="auto"/>
          <w:spacing w:val="-4"/>
          <w:highlight w:val="none"/>
        </w:rPr>
        <w:t>4</w:t>
      </w:r>
      <w:r>
        <w:rPr>
          <w:rFonts w:hint="eastAsia" w:hAnsi="宋体"/>
          <w:color w:val="auto"/>
          <w:spacing w:val="-4"/>
          <w:highlight w:val="none"/>
        </w:rPr>
        <w:t>分）：四</w:t>
      </w:r>
      <w:r>
        <w:rPr>
          <w:rFonts w:hint="eastAsia" w:hAnsi="宋体" w:cs="宋体"/>
          <w:color w:val="auto"/>
          <w:kern w:val="0"/>
          <w:szCs w:val="21"/>
          <w:highlight w:val="none"/>
        </w:rPr>
        <w:t>项评审因素有一项内容经评审合理、可行</w:t>
      </w:r>
      <w:r>
        <w:rPr>
          <w:rFonts w:hint="eastAsia" w:hAnsi="宋体" w:cs="宋体"/>
          <w:color w:val="auto"/>
          <w:kern w:val="0"/>
          <w:szCs w:val="21"/>
          <w:highlight w:val="none"/>
          <w:lang w:eastAsia="zh-CN"/>
        </w:rPr>
        <w:t>且针对性强的</w:t>
      </w:r>
      <w:r>
        <w:rPr>
          <w:rFonts w:hint="eastAsia" w:hAnsi="宋体"/>
          <w:color w:val="auto"/>
          <w:spacing w:val="-4"/>
          <w:highlight w:val="none"/>
        </w:rPr>
        <w:t>；</w:t>
      </w:r>
    </w:p>
    <w:p w14:paraId="58B0FD67">
      <w:pPr>
        <w:pStyle w:val="27"/>
        <w:tabs>
          <w:tab w:val="left" w:pos="4214"/>
        </w:tabs>
        <w:spacing w:line="380" w:lineRule="exact"/>
        <w:ind w:firstLine="404" w:firstLineChars="200"/>
        <w:jc w:val="left"/>
        <w:rPr>
          <w:rFonts w:hAnsi="宋体"/>
          <w:color w:val="auto"/>
          <w:spacing w:val="-4"/>
          <w:highlight w:val="none"/>
        </w:rPr>
      </w:pPr>
      <w:r>
        <w:rPr>
          <w:rFonts w:hint="eastAsia" w:hAnsi="宋体"/>
          <w:color w:val="auto"/>
          <w:spacing w:val="-4"/>
          <w:highlight w:val="none"/>
        </w:rPr>
        <w:t>二档（</w:t>
      </w:r>
      <w:r>
        <w:rPr>
          <w:rFonts w:hAnsi="宋体"/>
          <w:color w:val="auto"/>
          <w:spacing w:val="-4"/>
          <w:highlight w:val="none"/>
        </w:rPr>
        <w:t>8</w:t>
      </w:r>
      <w:r>
        <w:rPr>
          <w:rFonts w:hint="eastAsia" w:hAnsi="宋体"/>
          <w:color w:val="auto"/>
          <w:spacing w:val="-4"/>
          <w:highlight w:val="none"/>
        </w:rPr>
        <w:t>分）：四</w:t>
      </w:r>
      <w:r>
        <w:rPr>
          <w:rFonts w:hint="eastAsia" w:hAnsi="宋体" w:cs="宋体"/>
          <w:color w:val="auto"/>
          <w:kern w:val="0"/>
          <w:szCs w:val="21"/>
          <w:highlight w:val="none"/>
        </w:rPr>
        <w:t>项评审因素有二项内容经评审合理、可行</w:t>
      </w:r>
      <w:r>
        <w:rPr>
          <w:rFonts w:hint="eastAsia" w:hAnsi="宋体" w:cs="宋体"/>
          <w:color w:val="auto"/>
          <w:kern w:val="0"/>
          <w:szCs w:val="21"/>
          <w:highlight w:val="none"/>
          <w:lang w:eastAsia="zh-CN"/>
        </w:rPr>
        <w:t>且针对性强的</w:t>
      </w:r>
      <w:r>
        <w:rPr>
          <w:rFonts w:hint="eastAsia" w:hAnsi="宋体"/>
          <w:color w:val="auto"/>
          <w:spacing w:val="-4"/>
          <w:highlight w:val="none"/>
        </w:rPr>
        <w:t>；</w:t>
      </w:r>
    </w:p>
    <w:p w14:paraId="38E37765">
      <w:pPr>
        <w:pStyle w:val="27"/>
        <w:tabs>
          <w:tab w:val="left" w:pos="4214"/>
        </w:tabs>
        <w:spacing w:line="380" w:lineRule="exact"/>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三档（12分）：四项评审因素有三项内容经评审合理、可行</w:t>
      </w:r>
      <w:r>
        <w:rPr>
          <w:rFonts w:hint="eastAsia" w:ascii="宋体" w:hAnsi="宋体" w:eastAsia="宋体" w:cs="宋体"/>
          <w:color w:val="auto"/>
          <w:kern w:val="0"/>
          <w:szCs w:val="21"/>
          <w:highlight w:val="none"/>
          <w:lang w:eastAsia="zh-CN"/>
        </w:rPr>
        <w:t>且针对性强的</w:t>
      </w:r>
      <w:r>
        <w:rPr>
          <w:rFonts w:hint="eastAsia" w:ascii="宋体" w:hAnsi="宋体" w:eastAsia="宋体" w:cs="宋体"/>
          <w:color w:val="auto"/>
          <w:kern w:val="0"/>
          <w:szCs w:val="21"/>
          <w:highlight w:val="none"/>
        </w:rPr>
        <w:t>；</w:t>
      </w:r>
    </w:p>
    <w:p w14:paraId="16A8D40D">
      <w:pPr>
        <w:pStyle w:val="27"/>
        <w:tabs>
          <w:tab w:val="left" w:pos="4214"/>
        </w:tabs>
        <w:spacing w:line="380" w:lineRule="exact"/>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四档（16分）：四评审因素内容经评审均合理、可行</w:t>
      </w:r>
      <w:r>
        <w:rPr>
          <w:rFonts w:hint="eastAsia" w:ascii="宋体" w:hAnsi="宋体" w:eastAsia="宋体" w:cs="宋体"/>
          <w:color w:val="auto"/>
          <w:kern w:val="0"/>
          <w:szCs w:val="21"/>
          <w:highlight w:val="none"/>
          <w:lang w:eastAsia="zh-CN"/>
        </w:rPr>
        <w:t>且针对性强的</w:t>
      </w:r>
      <w:r>
        <w:rPr>
          <w:rFonts w:hint="eastAsia" w:ascii="宋体" w:hAnsi="宋体" w:eastAsia="宋体" w:cs="宋体"/>
          <w:color w:val="auto"/>
          <w:kern w:val="0"/>
          <w:szCs w:val="21"/>
          <w:highlight w:val="none"/>
        </w:rPr>
        <w:t>。</w:t>
      </w:r>
    </w:p>
    <w:p w14:paraId="27CDBF6C">
      <w:pPr>
        <w:pStyle w:val="27"/>
        <w:tabs>
          <w:tab w:val="left" w:pos="4214"/>
        </w:tabs>
        <w:spacing w:line="380" w:lineRule="exact"/>
        <w:ind w:firstLine="422" w:firstLineChars="200"/>
        <w:rPr>
          <w:rFonts w:hAnsi="宋体" w:cs="宋体"/>
          <w:b/>
          <w:color w:val="auto"/>
          <w:szCs w:val="21"/>
          <w:highlight w:val="none"/>
          <w:shd w:val="clear" w:color="auto" w:fill="FFFFFF"/>
          <w:lang w:bidi="ar"/>
        </w:rPr>
      </w:pPr>
      <w:r>
        <w:rPr>
          <w:rFonts w:hAnsi="宋体"/>
          <w:b/>
          <w:bCs/>
          <w:color w:val="auto"/>
          <w:highlight w:val="none"/>
        </w:rPr>
        <w:t>5</w:t>
      </w:r>
      <w:r>
        <w:rPr>
          <w:rFonts w:hint="eastAsia" w:hAnsi="宋体"/>
          <w:b/>
          <w:bCs/>
          <w:color w:val="auto"/>
          <w:highlight w:val="none"/>
        </w:rPr>
        <w:t>.履约能力分……………………………………………………………………………</w:t>
      </w:r>
      <w:r>
        <w:rPr>
          <w:rFonts w:hint="eastAsia" w:hAnsi="宋体"/>
          <w:b/>
          <w:bCs/>
          <w:color w:val="auto"/>
          <w:highlight w:val="none"/>
          <w:lang w:val="en-US" w:eastAsia="zh-CN"/>
        </w:rPr>
        <w:t>4</w:t>
      </w:r>
      <w:r>
        <w:rPr>
          <w:rFonts w:hint="eastAsia" w:hAnsi="宋体"/>
          <w:b/>
          <w:bCs/>
          <w:color w:val="auto"/>
          <w:highlight w:val="none"/>
        </w:rPr>
        <w:t>分</w:t>
      </w:r>
    </w:p>
    <w:p w14:paraId="4E658274">
      <w:pPr>
        <w:pStyle w:val="27"/>
        <w:spacing w:line="380" w:lineRule="exact"/>
        <w:ind w:firstLine="411" w:firstLineChars="196"/>
        <w:rPr>
          <w:rFonts w:hAnsi="宋体" w:cs="宋体"/>
          <w:color w:val="auto"/>
          <w:kern w:val="0"/>
          <w:szCs w:val="21"/>
          <w:highlight w:val="none"/>
        </w:rPr>
      </w:pPr>
      <w:r>
        <w:rPr>
          <w:rFonts w:hint="eastAsia" w:hAnsi="宋体"/>
          <w:color w:val="auto"/>
          <w:szCs w:val="21"/>
          <w:highlight w:val="none"/>
        </w:rPr>
        <w:t>投标人或所投核心产品生产厂家</w:t>
      </w:r>
      <w:r>
        <w:rPr>
          <w:rFonts w:hint="eastAsia" w:hAnsi="宋体" w:cs="宋体"/>
          <w:color w:val="auto"/>
          <w:kern w:val="0"/>
          <w:szCs w:val="21"/>
          <w:highlight w:val="none"/>
        </w:rPr>
        <w:t>自2022年以来具有同类项目业绩的（投标人于投标文件中提供相关业绩合同复印件，并加盖投标人电子签章，否则不予计分），每有</w:t>
      </w:r>
      <w:r>
        <w:rPr>
          <w:rFonts w:hint="eastAsia" w:hAnsi="宋体"/>
          <w:color w:val="auto"/>
          <w:szCs w:val="21"/>
          <w:highlight w:val="none"/>
          <w:lang w:val="en-US" w:eastAsia="zh-CN"/>
        </w:rPr>
        <w:t>1</w:t>
      </w:r>
      <w:r>
        <w:rPr>
          <w:rFonts w:hint="eastAsia" w:hAnsi="宋体" w:cs="宋体"/>
          <w:color w:val="auto"/>
          <w:kern w:val="0"/>
          <w:szCs w:val="21"/>
          <w:highlight w:val="none"/>
        </w:rPr>
        <w:t>项业绩得</w:t>
      </w:r>
      <w:r>
        <w:rPr>
          <w:rFonts w:hAnsi="宋体" w:cs="宋体"/>
          <w:color w:val="auto"/>
          <w:kern w:val="0"/>
          <w:szCs w:val="21"/>
          <w:highlight w:val="none"/>
        </w:rPr>
        <w:t>2</w:t>
      </w:r>
      <w:r>
        <w:rPr>
          <w:rFonts w:hint="eastAsia" w:hAnsi="宋体" w:cs="宋体"/>
          <w:color w:val="auto"/>
          <w:kern w:val="0"/>
          <w:szCs w:val="21"/>
          <w:highlight w:val="none"/>
        </w:rPr>
        <w:t>分，最多得</w:t>
      </w:r>
      <w:r>
        <w:rPr>
          <w:rFonts w:hAnsi="宋体" w:cs="宋体"/>
          <w:color w:val="auto"/>
          <w:kern w:val="0"/>
          <w:szCs w:val="21"/>
          <w:highlight w:val="none"/>
        </w:rPr>
        <w:t>4</w:t>
      </w:r>
      <w:r>
        <w:rPr>
          <w:rFonts w:hint="eastAsia" w:hAnsi="宋体" w:cs="宋体"/>
          <w:color w:val="auto"/>
          <w:kern w:val="0"/>
          <w:szCs w:val="21"/>
          <w:highlight w:val="none"/>
        </w:rPr>
        <w:t>分。</w:t>
      </w:r>
    </w:p>
    <w:p w14:paraId="408F1742">
      <w:pPr>
        <w:pStyle w:val="27"/>
        <w:spacing w:line="380" w:lineRule="exact"/>
        <w:ind w:firstLine="413" w:firstLineChars="196"/>
        <w:rPr>
          <w:rFonts w:hAnsi="宋体"/>
          <w:b/>
          <w:color w:val="auto"/>
          <w:highlight w:val="none"/>
        </w:rPr>
      </w:pPr>
      <w:r>
        <w:rPr>
          <w:rFonts w:hAnsi="宋体"/>
          <w:b/>
          <w:color w:val="auto"/>
          <w:highlight w:val="none"/>
        </w:rPr>
        <w:t>6</w:t>
      </w:r>
      <w:r>
        <w:rPr>
          <w:rFonts w:hint="eastAsia" w:hAnsi="宋体"/>
          <w:b/>
          <w:color w:val="auto"/>
          <w:highlight w:val="none"/>
        </w:rPr>
        <w:t>.政策功能分（节能、环保）…………………………………………………………2分</w:t>
      </w:r>
    </w:p>
    <w:p w14:paraId="4DF2D70B">
      <w:pPr>
        <w:pStyle w:val="27"/>
        <w:spacing w:line="380" w:lineRule="exact"/>
        <w:ind w:firstLine="420" w:firstLineChars="200"/>
        <w:rPr>
          <w:rFonts w:hAnsi="宋体"/>
          <w:bCs/>
          <w:color w:val="auto"/>
          <w:highlight w:val="none"/>
        </w:rPr>
      </w:pPr>
      <w:r>
        <w:rPr>
          <w:rFonts w:hint="eastAsia" w:hAnsi="宋体"/>
          <w:bCs/>
          <w:color w:val="auto"/>
          <w:highlight w:val="none"/>
        </w:rPr>
        <w:t>（1）属于财政部《节能产品政府采购品目清单》内优先采购（清单内未标注“★”的品目）的产品</w:t>
      </w:r>
      <w:r>
        <w:rPr>
          <w:rFonts w:hint="eastAsia" w:ascii="宋体" w:hAnsi="宋体"/>
          <w:color w:val="auto"/>
          <w:highlight w:val="none"/>
          <w:lang w:eastAsia="zh-CN"/>
        </w:rPr>
        <w:t>（</w:t>
      </w:r>
      <w:r>
        <w:rPr>
          <w:rFonts w:hint="eastAsia" w:ascii="宋体" w:hAnsi="宋体"/>
          <w:color w:val="auto"/>
          <w:highlight w:val="none"/>
        </w:rPr>
        <w:t>投标文件中提供有效的认证证书复印件，并加盖投标人</w:t>
      </w:r>
      <w:r>
        <w:rPr>
          <w:rFonts w:hint="eastAsia" w:hAnsi="宋体"/>
          <w:color w:val="auto"/>
          <w:highlight w:val="none"/>
        </w:rPr>
        <w:t>电子签章</w:t>
      </w:r>
      <w:r>
        <w:rPr>
          <w:rFonts w:hint="eastAsia" w:hAnsi="宋体"/>
          <w:color w:val="auto"/>
          <w:highlight w:val="none"/>
          <w:lang w:eastAsia="zh-CN"/>
        </w:rPr>
        <w:t>，否则不予计分</w:t>
      </w:r>
      <w:r>
        <w:rPr>
          <w:rFonts w:hint="eastAsia" w:ascii="宋体" w:hAnsi="宋体"/>
          <w:color w:val="auto"/>
          <w:highlight w:val="none"/>
          <w:lang w:eastAsia="zh-CN"/>
        </w:rPr>
        <w:t>）</w:t>
      </w:r>
      <w:r>
        <w:rPr>
          <w:rFonts w:hint="eastAsia" w:hAnsi="宋体"/>
          <w:bCs/>
          <w:color w:val="auto"/>
          <w:highlight w:val="none"/>
        </w:rPr>
        <w:t>，根据其所占项目金额比例得0-1分。</w:t>
      </w:r>
    </w:p>
    <w:p w14:paraId="59608AA3">
      <w:pPr>
        <w:pStyle w:val="27"/>
        <w:spacing w:line="380" w:lineRule="exact"/>
        <w:ind w:firstLine="420" w:firstLineChars="200"/>
        <w:rPr>
          <w:rFonts w:hAnsi="宋体"/>
          <w:bCs/>
          <w:color w:val="auto"/>
          <w:highlight w:val="none"/>
        </w:rPr>
      </w:pPr>
      <w:r>
        <w:rPr>
          <w:rFonts w:hint="eastAsia" w:hAnsi="宋体"/>
          <w:bCs/>
          <w:color w:val="auto"/>
          <w:highlight w:val="none"/>
        </w:rPr>
        <w:t>（2）属于财政部《环境标志产品政府采购品目清单》内的产品</w:t>
      </w:r>
      <w:r>
        <w:rPr>
          <w:rFonts w:hint="eastAsia" w:ascii="宋体" w:hAnsi="宋体"/>
          <w:color w:val="auto"/>
          <w:highlight w:val="none"/>
          <w:lang w:eastAsia="zh-CN"/>
        </w:rPr>
        <w:t>（</w:t>
      </w:r>
      <w:r>
        <w:rPr>
          <w:rFonts w:hint="eastAsia" w:ascii="宋体" w:hAnsi="宋体"/>
          <w:color w:val="auto"/>
          <w:highlight w:val="none"/>
        </w:rPr>
        <w:t>投标文件中提供有效的认证证书复印件，并加盖投标人</w:t>
      </w:r>
      <w:r>
        <w:rPr>
          <w:rFonts w:hint="eastAsia" w:hAnsi="宋体"/>
          <w:color w:val="auto"/>
          <w:highlight w:val="none"/>
        </w:rPr>
        <w:t>电子签章</w:t>
      </w:r>
      <w:r>
        <w:rPr>
          <w:rFonts w:hint="eastAsia" w:hAnsi="宋体"/>
          <w:color w:val="auto"/>
          <w:highlight w:val="none"/>
          <w:lang w:eastAsia="zh-CN"/>
        </w:rPr>
        <w:t>，否则不予计分</w:t>
      </w:r>
      <w:r>
        <w:rPr>
          <w:rFonts w:hint="eastAsia" w:ascii="宋体" w:hAnsi="宋体"/>
          <w:color w:val="auto"/>
          <w:highlight w:val="none"/>
          <w:lang w:eastAsia="zh-CN"/>
        </w:rPr>
        <w:t>）</w:t>
      </w:r>
      <w:r>
        <w:rPr>
          <w:rFonts w:hint="eastAsia" w:hAnsi="宋体"/>
          <w:bCs/>
          <w:color w:val="auto"/>
          <w:highlight w:val="none"/>
        </w:rPr>
        <w:t>，根据其所占项目金额比例得0-1分。</w:t>
      </w:r>
    </w:p>
    <w:p w14:paraId="551C265E">
      <w:pPr>
        <w:pStyle w:val="27"/>
        <w:spacing w:line="380" w:lineRule="exact"/>
        <w:ind w:firstLine="538" w:firstLineChars="255"/>
        <w:rPr>
          <w:rFonts w:hAnsi="宋体"/>
          <w:b/>
          <w:color w:val="auto"/>
          <w:highlight w:val="none"/>
        </w:rPr>
      </w:pPr>
      <w:r>
        <w:rPr>
          <w:rFonts w:hAnsi="宋体"/>
          <w:b/>
          <w:color w:val="auto"/>
          <w:szCs w:val="21"/>
          <w:highlight w:val="none"/>
        </w:rPr>
        <w:t>7</w:t>
      </w:r>
      <w:r>
        <w:rPr>
          <w:rFonts w:hint="eastAsia" w:hAnsi="宋体"/>
          <w:b/>
          <w:color w:val="auto"/>
          <w:szCs w:val="21"/>
          <w:highlight w:val="none"/>
        </w:rPr>
        <w:t>.</w:t>
      </w:r>
      <w:r>
        <w:rPr>
          <w:rFonts w:hAnsi="宋体"/>
          <w:b/>
          <w:color w:val="auto"/>
          <w:szCs w:val="21"/>
          <w:highlight w:val="none"/>
        </w:rPr>
        <w:t xml:space="preserve"> 总得分为以上各项评审因素得分合计。</w:t>
      </w:r>
    </w:p>
    <w:p w14:paraId="7DA65C4E">
      <w:pPr>
        <w:pStyle w:val="27"/>
        <w:tabs>
          <w:tab w:val="left" w:pos="4214"/>
        </w:tabs>
        <w:spacing w:line="380" w:lineRule="exact"/>
        <w:ind w:firstLine="422" w:firstLineChars="200"/>
        <w:rPr>
          <w:rFonts w:hAnsi="宋体"/>
          <w:b/>
          <w:color w:val="auto"/>
          <w:highlight w:val="none"/>
        </w:rPr>
      </w:pPr>
    </w:p>
    <w:p w14:paraId="7A277B22">
      <w:pPr>
        <w:pStyle w:val="27"/>
        <w:tabs>
          <w:tab w:val="left" w:pos="4214"/>
        </w:tabs>
        <w:spacing w:line="380" w:lineRule="exact"/>
        <w:ind w:firstLine="422" w:firstLineChars="200"/>
        <w:jc w:val="left"/>
        <w:rPr>
          <w:rFonts w:hAnsi="宋体"/>
          <w:b/>
          <w:color w:val="auto"/>
          <w:highlight w:val="none"/>
        </w:rPr>
      </w:pPr>
      <w:r>
        <w:rPr>
          <w:rFonts w:hint="eastAsia" w:hAnsi="宋体"/>
          <w:b/>
          <w:color w:val="auto"/>
          <w:highlight w:val="none"/>
        </w:rPr>
        <w:t>三、推荐及确定中标候选人原则</w:t>
      </w:r>
    </w:p>
    <w:p w14:paraId="18B07862">
      <w:pPr>
        <w:pStyle w:val="27"/>
        <w:tabs>
          <w:tab w:val="left" w:pos="4214"/>
        </w:tabs>
        <w:spacing w:line="380" w:lineRule="exact"/>
        <w:ind w:firstLine="420" w:firstLineChars="200"/>
        <w:jc w:val="left"/>
        <w:rPr>
          <w:color w:val="auto"/>
          <w:highlight w:val="none"/>
        </w:rPr>
      </w:pPr>
      <w:r>
        <w:rPr>
          <w:color w:val="auto"/>
          <w:highlight w:val="none"/>
        </w:rPr>
        <w:t>（1）评标委员会将根据评标结果按评审后得分由高到低顺序排列。得分相同的，按投标报价由低到高顺序排列；得分相同且投标报价相同的并列。</w:t>
      </w:r>
      <w:r>
        <w:rPr>
          <w:rFonts w:hint="eastAsia"/>
          <w:color w:val="auto"/>
          <w:highlight w:val="none"/>
        </w:rPr>
        <w:t>投标文件满足招标文件全部实质性要求，且按照评审因素的量化指标评审得分最高的投标人为排名第一的中标候选人。</w:t>
      </w:r>
    </w:p>
    <w:p w14:paraId="484B53B8">
      <w:pPr>
        <w:pStyle w:val="27"/>
        <w:tabs>
          <w:tab w:val="left" w:pos="4214"/>
        </w:tabs>
        <w:spacing w:line="380" w:lineRule="exact"/>
        <w:ind w:firstLine="420" w:firstLineChars="200"/>
        <w:jc w:val="left"/>
        <w:rPr>
          <w:color w:val="auto"/>
          <w:highlight w:val="none"/>
        </w:rPr>
      </w:pPr>
      <w:r>
        <w:rPr>
          <w:rFonts w:hint="eastAsia"/>
          <w:color w:val="auto"/>
          <w:highlight w:val="none"/>
        </w:rPr>
        <w:t>（2）采购人应当自收到评标报告之日起</w:t>
      </w:r>
      <w:r>
        <w:rPr>
          <w:color w:val="auto"/>
          <w:highlight w:val="none"/>
        </w:rPr>
        <w:t>5</w:t>
      </w:r>
      <w:r>
        <w:rPr>
          <w:rFonts w:hint="eastAsia"/>
          <w:color w:val="auto"/>
          <w:highlight w:val="none"/>
        </w:rPr>
        <w:t>个工作日内，在评标报告确定的中标候选人名单中按顺序确定中标人。中标候选人并列的</w:t>
      </w:r>
      <w:r>
        <w:rPr>
          <w:color w:val="auto"/>
          <w:highlight w:val="none"/>
        </w:rPr>
        <w:t>，采购人按以下的方式确定中标人：依次按技术分高的优先、</w:t>
      </w:r>
      <w:r>
        <w:rPr>
          <w:rFonts w:hint="eastAsia"/>
          <w:color w:val="auto"/>
          <w:highlight w:val="none"/>
          <w:lang w:eastAsia="zh-CN"/>
        </w:rPr>
        <w:t>项目实施方案</w:t>
      </w:r>
      <w:r>
        <w:rPr>
          <w:color w:val="auto"/>
          <w:highlight w:val="none"/>
        </w:rPr>
        <w:t>分高的优先</w:t>
      </w:r>
      <w:r>
        <w:rPr>
          <w:rFonts w:hint="eastAsia"/>
          <w:color w:val="auto"/>
          <w:highlight w:val="none"/>
          <w:lang w:eastAsia="zh-CN"/>
        </w:rPr>
        <w:t>、</w:t>
      </w:r>
      <w:r>
        <w:rPr>
          <w:color w:val="auto"/>
          <w:highlight w:val="none"/>
        </w:rPr>
        <w:t>售后服务实施方案分高的优先、履约能力分高的优先、政策功能分（节能、环保）高的优先、保修期长的优先、交付时间短的优先顺序确定中标人。</w:t>
      </w:r>
    </w:p>
    <w:p w14:paraId="3E92A0A7">
      <w:pPr>
        <w:pStyle w:val="27"/>
        <w:spacing w:line="400" w:lineRule="exact"/>
        <w:jc w:val="left"/>
        <w:rPr>
          <w:rFonts w:hint="eastAsia" w:hAnsi="宋体"/>
          <w:b/>
          <w:color w:val="auto"/>
          <w:sz w:val="32"/>
          <w:szCs w:val="32"/>
          <w:highlight w:val="none"/>
        </w:rPr>
      </w:pPr>
      <w:r>
        <w:rPr>
          <w:rFonts w:hint="eastAsia"/>
          <w:color w:val="auto"/>
          <w:highlight w:val="none"/>
        </w:rPr>
        <w:t>（3）</w:t>
      </w:r>
      <w:r>
        <w:rPr>
          <w:color w:val="auto"/>
          <w:highlight w:val="none"/>
        </w:rPr>
        <w:t>中标人放弃中标、</w:t>
      </w:r>
      <w:r>
        <w:rPr>
          <w:rFonts w:hint="eastAsia"/>
          <w:color w:val="auto"/>
          <w:highlight w:val="none"/>
        </w:rPr>
        <w:t>拒绝与采购人签订合同、</w:t>
      </w:r>
      <w:r>
        <w:rPr>
          <w:color w:val="auto"/>
          <w:highlight w:val="none"/>
        </w:rPr>
        <w:t>因不可抗力提出不能履行合同，或信用信息记录不符合相关规定的，或者招标文件规定应当提交履约保证金而在规定的期限内未能提交的，采购人可以</w:t>
      </w:r>
      <w:r>
        <w:rPr>
          <w:rFonts w:hint="eastAsia"/>
          <w:color w:val="auto"/>
          <w:highlight w:val="none"/>
        </w:rPr>
        <w:t>按照评审报告推荐的中标候选人名单排序，确定下一候选人中标，也可以重新开展政府采购活动。</w:t>
      </w:r>
    </w:p>
    <w:p w14:paraId="34FD5F8E">
      <w:pPr>
        <w:rPr>
          <w:rFonts w:hint="eastAsia"/>
          <w:color w:val="auto"/>
          <w:highlight w:val="none"/>
        </w:rPr>
      </w:pPr>
      <w:r>
        <w:rPr>
          <w:color w:val="auto"/>
          <w:highlight w:val="none"/>
        </w:rPr>
        <w:br w:type="page"/>
      </w:r>
    </w:p>
    <w:p w14:paraId="7B707A40">
      <w:pPr>
        <w:pStyle w:val="27"/>
        <w:spacing w:line="400" w:lineRule="exact"/>
        <w:jc w:val="center"/>
        <w:rPr>
          <w:rFonts w:hint="eastAsia" w:hAnsi="宋体"/>
          <w:b/>
          <w:color w:val="auto"/>
          <w:sz w:val="32"/>
          <w:szCs w:val="32"/>
          <w:highlight w:val="none"/>
        </w:rPr>
      </w:pPr>
    </w:p>
    <w:p w14:paraId="17ACD90A">
      <w:pPr>
        <w:pStyle w:val="27"/>
        <w:spacing w:line="400" w:lineRule="exact"/>
        <w:jc w:val="center"/>
        <w:rPr>
          <w:rFonts w:hint="eastAsia" w:hAnsi="宋体"/>
          <w:b/>
          <w:color w:val="auto"/>
          <w:sz w:val="32"/>
          <w:szCs w:val="32"/>
          <w:highlight w:val="none"/>
        </w:rPr>
      </w:pPr>
    </w:p>
    <w:p w14:paraId="3285E4A9">
      <w:pPr>
        <w:pStyle w:val="27"/>
        <w:spacing w:line="400" w:lineRule="exact"/>
        <w:jc w:val="center"/>
        <w:rPr>
          <w:rFonts w:hint="eastAsia" w:hAnsi="宋体"/>
          <w:b/>
          <w:color w:val="auto"/>
          <w:sz w:val="32"/>
          <w:szCs w:val="32"/>
          <w:highlight w:val="none"/>
        </w:rPr>
      </w:pPr>
    </w:p>
    <w:p w14:paraId="0CE620CF">
      <w:pPr>
        <w:pStyle w:val="27"/>
        <w:spacing w:line="400" w:lineRule="exact"/>
        <w:jc w:val="center"/>
        <w:rPr>
          <w:rFonts w:hint="eastAsia" w:hAnsi="宋体"/>
          <w:b/>
          <w:color w:val="auto"/>
          <w:sz w:val="32"/>
          <w:szCs w:val="32"/>
          <w:highlight w:val="none"/>
        </w:rPr>
      </w:pPr>
    </w:p>
    <w:p w14:paraId="4D1C2915">
      <w:pPr>
        <w:pStyle w:val="27"/>
        <w:spacing w:line="400" w:lineRule="exact"/>
        <w:jc w:val="center"/>
        <w:rPr>
          <w:rFonts w:hint="eastAsia" w:hAnsi="宋体"/>
          <w:b/>
          <w:color w:val="auto"/>
          <w:sz w:val="32"/>
          <w:szCs w:val="32"/>
          <w:highlight w:val="none"/>
        </w:rPr>
      </w:pPr>
    </w:p>
    <w:p w14:paraId="42C8A220">
      <w:pPr>
        <w:pStyle w:val="27"/>
        <w:spacing w:line="400" w:lineRule="exact"/>
        <w:jc w:val="center"/>
        <w:rPr>
          <w:rFonts w:hint="eastAsia" w:hAnsi="宋体"/>
          <w:b/>
          <w:color w:val="auto"/>
          <w:sz w:val="32"/>
          <w:szCs w:val="32"/>
          <w:highlight w:val="none"/>
        </w:rPr>
      </w:pPr>
    </w:p>
    <w:p w14:paraId="521B87EB">
      <w:pPr>
        <w:pStyle w:val="27"/>
        <w:spacing w:line="400" w:lineRule="exact"/>
        <w:jc w:val="center"/>
        <w:rPr>
          <w:rFonts w:hint="eastAsia" w:hAnsi="宋体"/>
          <w:b/>
          <w:color w:val="auto"/>
          <w:sz w:val="32"/>
          <w:szCs w:val="32"/>
          <w:highlight w:val="none"/>
        </w:rPr>
      </w:pPr>
    </w:p>
    <w:p w14:paraId="02965E1A">
      <w:pPr>
        <w:pStyle w:val="27"/>
        <w:spacing w:line="400" w:lineRule="exact"/>
        <w:jc w:val="center"/>
        <w:rPr>
          <w:rFonts w:hint="eastAsia" w:hAnsi="宋体"/>
          <w:b/>
          <w:color w:val="auto"/>
          <w:sz w:val="32"/>
          <w:szCs w:val="32"/>
          <w:highlight w:val="none"/>
        </w:rPr>
      </w:pPr>
    </w:p>
    <w:p w14:paraId="0A00B7C6">
      <w:pPr>
        <w:pStyle w:val="27"/>
        <w:spacing w:line="400" w:lineRule="exact"/>
        <w:jc w:val="center"/>
        <w:rPr>
          <w:rFonts w:hint="eastAsia" w:hAnsi="宋体"/>
          <w:b/>
          <w:color w:val="auto"/>
          <w:sz w:val="32"/>
          <w:szCs w:val="32"/>
          <w:highlight w:val="none"/>
        </w:rPr>
      </w:pPr>
    </w:p>
    <w:p w14:paraId="709B81C9">
      <w:pPr>
        <w:pStyle w:val="27"/>
        <w:spacing w:line="400" w:lineRule="exact"/>
        <w:jc w:val="center"/>
        <w:rPr>
          <w:rFonts w:hint="eastAsia" w:hAnsi="宋体"/>
          <w:b/>
          <w:color w:val="auto"/>
          <w:sz w:val="32"/>
          <w:szCs w:val="32"/>
          <w:highlight w:val="none"/>
        </w:rPr>
      </w:pPr>
    </w:p>
    <w:p w14:paraId="334E2DA4">
      <w:pPr>
        <w:pStyle w:val="27"/>
        <w:spacing w:line="400" w:lineRule="exact"/>
        <w:jc w:val="center"/>
        <w:rPr>
          <w:rFonts w:hint="eastAsia" w:hAnsi="宋体"/>
          <w:b/>
          <w:color w:val="auto"/>
          <w:sz w:val="32"/>
          <w:szCs w:val="32"/>
          <w:highlight w:val="none"/>
        </w:rPr>
      </w:pPr>
    </w:p>
    <w:p w14:paraId="01D53107">
      <w:pPr>
        <w:pStyle w:val="27"/>
        <w:spacing w:line="400" w:lineRule="exact"/>
        <w:jc w:val="center"/>
        <w:rPr>
          <w:rFonts w:hint="eastAsia" w:hAnsi="宋体"/>
          <w:b/>
          <w:color w:val="auto"/>
          <w:sz w:val="32"/>
          <w:szCs w:val="32"/>
          <w:highlight w:val="none"/>
        </w:rPr>
      </w:pPr>
    </w:p>
    <w:p w14:paraId="5A1E7D8C">
      <w:pPr>
        <w:pStyle w:val="27"/>
        <w:spacing w:line="400" w:lineRule="exact"/>
        <w:jc w:val="center"/>
        <w:rPr>
          <w:rFonts w:hint="eastAsia" w:hAnsi="宋体"/>
          <w:b/>
          <w:color w:val="auto"/>
          <w:sz w:val="32"/>
          <w:szCs w:val="32"/>
          <w:highlight w:val="none"/>
        </w:rPr>
      </w:pPr>
    </w:p>
    <w:p w14:paraId="059A1201">
      <w:pPr>
        <w:pStyle w:val="27"/>
        <w:spacing w:line="400" w:lineRule="exact"/>
        <w:jc w:val="center"/>
        <w:rPr>
          <w:rFonts w:hint="eastAsia" w:hAnsi="宋体"/>
          <w:b/>
          <w:color w:val="auto"/>
          <w:sz w:val="32"/>
          <w:szCs w:val="32"/>
          <w:highlight w:val="none"/>
        </w:rPr>
      </w:pPr>
    </w:p>
    <w:p w14:paraId="22CD08C8">
      <w:pPr>
        <w:pStyle w:val="27"/>
        <w:spacing w:line="400" w:lineRule="exact"/>
        <w:jc w:val="center"/>
        <w:rPr>
          <w:rFonts w:hint="eastAsia" w:hAnsi="宋体"/>
          <w:b/>
          <w:color w:val="auto"/>
          <w:sz w:val="32"/>
          <w:szCs w:val="32"/>
          <w:highlight w:val="none"/>
        </w:rPr>
      </w:pPr>
    </w:p>
    <w:p w14:paraId="5A124CE8">
      <w:pPr>
        <w:pStyle w:val="27"/>
        <w:spacing w:line="400" w:lineRule="exact"/>
        <w:jc w:val="center"/>
        <w:rPr>
          <w:rFonts w:hint="eastAsia" w:hAnsi="宋体"/>
          <w:b/>
          <w:color w:val="auto"/>
          <w:sz w:val="32"/>
          <w:szCs w:val="32"/>
          <w:highlight w:val="none"/>
        </w:rPr>
      </w:pPr>
    </w:p>
    <w:p w14:paraId="4983D6F3">
      <w:pPr>
        <w:pStyle w:val="27"/>
        <w:spacing w:line="400" w:lineRule="exact"/>
        <w:jc w:val="center"/>
        <w:rPr>
          <w:rFonts w:hint="eastAsia" w:hAnsi="宋体"/>
          <w:b/>
          <w:color w:val="auto"/>
          <w:sz w:val="32"/>
          <w:szCs w:val="32"/>
          <w:highlight w:val="none"/>
        </w:rPr>
      </w:pPr>
    </w:p>
    <w:p w14:paraId="3CE6068B">
      <w:pPr>
        <w:pStyle w:val="27"/>
        <w:spacing w:line="400" w:lineRule="exact"/>
        <w:jc w:val="center"/>
        <w:rPr>
          <w:rFonts w:hint="eastAsia" w:hAnsi="宋体"/>
          <w:b/>
          <w:color w:val="auto"/>
          <w:sz w:val="32"/>
          <w:szCs w:val="32"/>
          <w:highlight w:val="none"/>
        </w:rPr>
      </w:pPr>
      <w:r>
        <w:rPr>
          <w:rFonts w:hint="eastAsia" w:hAnsi="宋体"/>
          <w:b/>
          <w:color w:val="auto"/>
          <w:sz w:val="32"/>
          <w:szCs w:val="32"/>
          <w:highlight w:val="none"/>
        </w:rPr>
        <w:t>第五章  政府采购合同（合同主要条款及格式）</w:t>
      </w:r>
    </w:p>
    <w:p w14:paraId="0908D226">
      <w:pPr>
        <w:spacing w:line="400" w:lineRule="exact"/>
        <w:rPr>
          <w:rFonts w:hint="eastAsia" w:ascii="宋体" w:hAnsi="宋体"/>
          <w:color w:val="auto"/>
          <w:highlight w:val="none"/>
        </w:rPr>
      </w:pPr>
    </w:p>
    <w:p w14:paraId="28977685">
      <w:pPr>
        <w:tabs>
          <w:tab w:val="left" w:pos="5040"/>
        </w:tabs>
        <w:spacing w:line="400" w:lineRule="exact"/>
        <w:rPr>
          <w:rFonts w:hint="eastAsia" w:ascii="宋体" w:hAnsi="宋体"/>
          <w:color w:val="auto"/>
          <w:szCs w:val="21"/>
          <w:highlight w:val="none"/>
        </w:rPr>
      </w:pPr>
      <w:r>
        <w:rPr>
          <w:rFonts w:hint="eastAsia" w:ascii="宋体" w:hAnsi="宋体"/>
          <w:color w:val="auto"/>
          <w:szCs w:val="21"/>
          <w:highlight w:val="none"/>
        </w:rPr>
        <w:t xml:space="preserve">   </w:t>
      </w:r>
    </w:p>
    <w:p w14:paraId="13827C40">
      <w:pPr>
        <w:tabs>
          <w:tab w:val="left" w:pos="5040"/>
        </w:tabs>
        <w:spacing w:line="320" w:lineRule="exact"/>
        <w:rPr>
          <w:rFonts w:hint="eastAsia" w:ascii="宋体" w:hAnsi="宋体"/>
          <w:color w:val="auto"/>
          <w:szCs w:val="21"/>
          <w:highlight w:val="none"/>
        </w:rPr>
      </w:pPr>
    </w:p>
    <w:p w14:paraId="15311FF8">
      <w:pPr>
        <w:tabs>
          <w:tab w:val="left" w:pos="5040"/>
        </w:tabs>
        <w:spacing w:line="360" w:lineRule="auto"/>
        <w:rPr>
          <w:rFonts w:hint="eastAsia" w:ascii="宋体" w:hAnsi="宋体"/>
          <w:color w:val="auto"/>
          <w:szCs w:val="21"/>
          <w:highlight w:val="none"/>
        </w:rPr>
      </w:pPr>
    </w:p>
    <w:p w14:paraId="128AC5B7">
      <w:pPr>
        <w:tabs>
          <w:tab w:val="left" w:pos="5040"/>
        </w:tabs>
        <w:spacing w:line="360" w:lineRule="auto"/>
        <w:rPr>
          <w:rFonts w:hint="eastAsia" w:ascii="宋体" w:hAnsi="宋体"/>
          <w:color w:val="auto"/>
          <w:szCs w:val="21"/>
          <w:highlight w:val="none"/>
        </w:rPr>
      </w:pPr>
    </w:p>
    <w:p w14:paraId="3F509D9B">
      <w:pPr>
        <w:tabs>
          <w:tab w:val="left" w:pos="5040"/>
        </w:tabs>
        <w:spacing w:line="360" w:lineRule="auto"/>
        <w:rPr>
          <w:rFonts w:hint="eastAsia" w:ascii="宋体" w:hAnsi="宋体"/>
          <w:color w:val="auto"/>
          <w:szCs w:val="21"/>
          <w:highlight w:val="none"/>
        </w:rPr>
      </w:pPr>
    </w:p>
    <w:p w14:paraId="21F454C7">
      <w:pPr>
        <w:tabs>
          <w:tab w:val="left" w:pos="5040"/>
        </w:tabs>
        <w:spacing w:line="360" w:lineRule="auto"/>
        <w:rPr>
          <w:rFonts w:hint="eastAsia" w:ascii="宋体" w:hAnsi="宋体"/>
          <w:color w:val="auto"/>
          <w:szCs w:val="21"/>
          <w:highlight w:val="none"/>
        </w:rPr>
      </w:pPr>
    </w:p>
    <w:p w14:paraId="7A35860F">
      <w:pPr>
        <w:tabs>
          <w:tab w:val="left" w:pos="5040"/>
        </w:tabs>
        <w:spacing w:line="360" w:lineRule="auto"/>
        <w:rPr>
          <w:rFonts w:hint="eastAsia" w:ascii="宋体" w:hAnsi="宋体"/>
          <w:color w:val="auto"/>
          <w:szCs w:val="21"/>
          <w:highlight w:val="none"/>
        </w:rPr>
      </w:pPr>
    </w:p>
    <w:p w14:paraId="77689F6E">
      <w:pPr>
        <w:tabs>
          <w:tab w:val="left" w:pos="5040"/>
        </w:tabs>
        <w:spacing w:line="360" w:lineRule="auto"/>
        <w:rPr>
          <w:rFonts w:hint="eastAsia" w:ascii="宋体" w:hAnsi="宋体"/>
          <w:color w:val="auto"/>
          <w:szCs w:val="21"/>
          <w:highlight w:val="none"/>
        </w:rPr>
      </w:pPr>
    </w:p>
    <w:p w14:paraId="45846792">
      <w:pPr>
        <w:tabs>
          <w:tab w:val="left" w:pos="5040"/>
        </w:tabs>
        <w:spacing w:line="360" w:lineRule="auto"/>
        <w:rPr>
          <w:rFonts w:hint="eastAsia" w:ascii="宋体" w:hAnsi="宋体"/>
          <w:color w:val="auto"/>
          <w:szCs w:val="21"/>
          <w:highlight w:val="none"/>
        </w:rPr>
      </w:pPr>
    </w:p>
    <w:p w14:paraId="327033DF">
      <w:pPr>
        <w:tabs>
          <w:tab w:val="left" w:pos="5040"/>
        </w:tabs>
        <w:spacing w:line="360" w:lineRule="auto"/>
        <w:rPr>
          <w:rFonts w:hint="eastAsia" w:ascii="宋体" w:hAnsi="宋体"/>
          <w:color w:val="auto"/>
          <w:szCs w:val="21"/>
          <w:highlight w:val="none"/>
        </w:rPr>
      </w:pPr>
    </w:p>
    <w:p w14:paraId="580B8D3F">
      <w:pPr>
        <w:tabs>
          <w:tab w:val="left" w:pos="5040"/>
        </w:tabs>
        <w:spacing w:line="360" w:lineRule="auto"/>
        <w:rPr>
          <w:rFonts w:hint="eastAsia" w:ascii="宋体" w:hAnsi="宋体"/>
          <w:color w:val="auto"/>
          <w:szCs w:val="21"/>
          <w:highlight w:val="none"/>
        </w:rPr>
      </w:pPr>
    </w:p>
    <w:p w14:paraId="581973CA">
      <w:pPr>
        <w:tabs>
          <w:tab w:val="left" w:pos="5040"/>
        </w:tabs>
        <w:spacing w:line="360" w:lineRule="auto"/>
        <w:rPr>
          <w:rFonts w:hint="eastAsia" w:ascii="宋体" w:hAnsi="宋体"/>
          <w:color w:val="auto"/>
          <w:szCs w:val="21"/>
          <w:highlight w:val="none"/>
        </w:rPr>
      </w:pPr>
    </w:p>
    <w:p w14:paraId="554179E5">
      <w:pPr>
        <w:spacing w:line="440" w:lineRule="atLeast"/>
        <w:jc w:val="center"/>
        <w:rPr>
          <w:rFonts w:hint="eastAsia" w:ascii="宋体" w:hAnsi="宋体"/>
          <w:b/>
          <w:color w:val="auto"/>
          <w:sz w:val="32"/>
          <w:szCs w:val="32"/>
          <w:highlight w:val="none"/>
        </w:rPr>
      </w:pPr>
    </w:p>
    <w:p w14:paraId="65A173AE">
      <w:pPr>
        <w:spacing w:line="360" w:lineRule="auto"/>
        <w:jc w:val="center"/>
        <w:rPr>
          <w:rFonts w:hint="eastAsia" w:eastAsia="宋体"/>
          <w:b/>
          <w:color w:val="auto"/>
          <w:sz w:val="36"/>
          <w:szCs w:val="36"/>
          <w:highlight w:val="none"/>
          <w:lang w:eastAsia="zh-CN"/>
        </w:rPr>
      </w:pPr>
      <w:r>
        <w:rPr>
          <w:rFonts w:ascii="宋体" w:hAnsi="宋体"/>
          <w:b/>
          <w:color w:val="auto"/>
          <w:sz w:val="32"/>
          <w:szCs w:val="32"/>
          <w:highlight w:val="none"/>
        </w:rPr>
        <w:br w:type="page"/>
      </w:r>
      <w:r>
        <w:rPr>
          <w:rFonts w:hint="eastAsia" w:ascii="宋体" w:hAnsi="宋体"/>
          <w:b/>
          <w:color w:val="auto"/>
          <w:sz w:val="36"/>
          <w:szCs w:val="36"/>
          <w:highlight w:val="none"/>
        </w:rPr>
        <w:t>政府采购合同</w:t>
      </w:r>
      <w:r>
        <w:rPr>
          <w:rFonts w:hint="eastAsia" w:hAnsi="宋体"/>
          <w:b/>
          <w:color w:val="auto"/>
          <w:sz w:val="32"/>
          <w:szCs w:val="32"/>
          <w:highlight w:val="none"/>
        </w:rPr>
        <w:t>（合同主要条款及格式）</w:t>
      </w:r>
    </w:p>
    <w:p w14:paraId="71669BAD">
      <w:pPr>
        <w:spacing w:line="400" w:lineRule="exact"/>
        <w:rPr>
          <w:rFonts w:ascii="宋体" w:hAnsi="宋体"/>
          <w:color w:val="auto"/>
          <w:highlight w:val="none"/>
        </w:rPr>
      </w:pPr>
    </w:p>
    <w:p w14:paraId="595C1CA1">
      <w:pPr>
        <w:spacing w:line="400" w:lineRule="exact"/>
        <w:rPr>
          <w:rFonts w:hint="eastAsia" w:ascii="宋体" w:hAnsi="宋体" w:eastAsia="宋体"/>
          <w:b/>
          <w:bCs/>
          <w:color w:val="auto"/>
          <w:highlight w:val="none"/>
          <w:u w:val="single"/>
          <w:lang w:eastAsia="zh-CN"/>
        </w:rPr>
      </w:pPr>
      <w:r>
        <w:rPr>
          <w:rFonts w:hint="eastAsia" w:ascii="宋体" w:hAnsi="宋体"/>
          <w:b/>
          <w:bCs/>
          <w:color w:val="auto"/>
          <w:highlight w:val="none"/>
        </w:rPr>
        <w:t>甲方：</w:t>
      </w:r>
      <w:r>
        <w:rPr>
          <w:rFonts w:hint="eastAsia" w:ascii="宋体" w:hAnsi="宋体"/>
          <w:b/>
          <w:bCs/>
          <w:color w:val="auto"/>
          <w:highlight w:val="none"/>
          <w:u w:val="single"/>
        </w:rPr>
        <w:t xml:space="preserve">桂林市中西医结合医院  </w:t>
      </w:r>
      <w:r>
        <w:rPr>
          <w:rFonts w:hint="eastAsia" w:ascii="宋体" w:hAnsi="宋体"/>
          <w:b/>
          <w:bCs/>
          <w:color w:val="auto"/>
          <w:highlight w:val="none"/>
          <w:lang w:eastAsia="zh-CN"/>
        </w:rPr>
        <w:t>（</w:t>
      </w:r>
      <w:r>
        <w:rPr>
          <w:rFonts w:hint="eastAsia" w:ascii="宋体" w:hAnsi="宋体"/>
          <w:b/>
          <w:bCs/>
          <w:color w:val="auto"/>
          <w:highlight w:val="none"/>
        </w:rPr>
        <w:t>采购人</w:t>
      </w:r>
      <w:r>
        <w:rPr>
          <w:rFonts w:hint="eastAsia" w:ascii="宋体" w:hAnsi="宋体"/>
          <w:b/>
          <w:bCs/>
          <w:color w:val="auto"/>
          <w:highlight w:val="none"/>
          <w:lang w:eastAsia="zh-CN"/>
        </w:rPr>
        <w:t>）</w:t>
      </w:r>
    </w:p>
    <w:p w14:paraId="45E36695">
      <w:pPr>
        <w:spacing w:line="400" w:lineRule="exact"/>
        <w:rPr>
          <w:rFonts w:ascii="宋体" w:hAnsi="宋体"/>
          <w:b/>
          <w:bCs/>
          <w:color w:val="auto"/>
          <w:highlight w:val="none"/>
        </w:rPr>
      </w:pPr>
      <w:r>
        <w:rPr>
          <w:rFonts w:hint="eastAsia" w:ascii="宋体" w:hAnsi="宋体"/>
          <w:b/>
          <w:bCs/>
          <w:color w:val="auto"/>
          <w:highlight w:val="none"/>
        </w:rPr>
        <w:t xml:space="preserve">乙方： </w:t>
      </w:r>
      <w:r>
        <w:rPr>
          <w:rFonts w:hint="eastAsia" w:ascii="宋体" w:hAnsi="宋体"/>
          <w:b/>
          <w:bCs/>
          <w:color w:val="auto"/>
          <w:highlight w:val="none"/>
          <w:u w:val="single"/>
        </w:rPr>
        <w:t xml:space="preserve">                    </w:t>
      </w:r>
      <w:r>
        <w:rPr>
          <w:rFonts w:hint="eastAsia" w:ascii="宋体" w:hAnsi="宋体"/>
          <w:b/>
          <w:bCs/>
          <w:color w:val="auto"/>
          <w:highlight w:val="none"/>
        </w:rPr>
        <w:t>（</w:t>
      </w:r>
      <w:r>
        <w:rPr>
          <w:rFonts w:hint="eastAsia" w:ascii="宋体" w:hAnsi="宋体"/>
          <w:b/>
          <w:bCs/>
          <w:color w:val="auto"/>
          <w:highlight w:val="none"/>
          <w:lang w:eastAsia="zh-CN"/>
        </w:rPr>
        <w:t>中标人</w:t>
      </w:r>
      <w:r>
        <w:rPr>
          <w:rFonts w:hint="eastAsia" w:ascii="宋体" w:hAnsi="宋体"/>
          <w:b/>
          <w:bCs/>
          <w:color w:val="auto"/>
          <w:highlight w:val="none"/>
        </w:rPr>
        <w:t>）</w:t>
      </w:r>
    </w:p>
    <w:p w14:paraId="37E55EBB">
      <w:pPr>
        <w:spacing w:line="400" w:lineRule="exact"/>
        <w:rPr>
          <w:rFonts w:ascii="宋体" w:hAnsi="宋体"/>
          <w:color w:val="auto"/>
          <w:highlight w:val="none"/>
        </w:rPr>
      </w:pPr>
    </w:p>
    <w:p w14:paraId="1F152C25">
      <w:pPr>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color w:val="auto"/>
          <w:highlight w:val="none"/>
        </w:rPr>
        <w:t>《中华人民共和国政府采购法》、</w:t>
      </w:r>
      <w:r>
        <w:rPr>
          <w:rFonts w:hint="eastAsia" w:ascii="宋体" w:hAnsi="宋体" w:eastAsia="宋体" w:cs="宋体"/>
          <w:color w:val="auto"/>
          <w:sz w:val="21"/>
          <w:szCs w:val="21"/>
          <w:highlight w:val="none"/>
        </w:rPr>
        <w:t>《中华人民共和国民法典》等法律、法规规定，按照本项目招标文件、投标文</w:t>
      </w:r>
      <w:r>
        <w:rPr>
          <w:rFonts w:hint="eastAsia" w:ascii="宋体" w:hAnsi="宋体" w:eastAsia="宋体" w:cs="宋体"/>
          <w:color w:val="auto"/>
          <w:sz w:val="21"/>
          <w:szCs w:val="21"/>
          <w:highlight w:val="none"/>
          <w:lang w:eastAsia="zh-CN"/>
        </w:rPr>
        <w:t>件的</w:t>
      </w:r>
      <w:r>
        <w:rPr>
          <w:rFonts w:hint="eastAsia" w:ascii="宋体" w:hAnsi="宋体" w:eastAsia="宋体" w:cs="宋体"/>
          <w:color w:val="auto"/>
          <w:sz w:val="21"/>
          <w:szCs w:val="21"/>
          <w:highlight w:val="none"/>
        </w:rPr>
        <w:t>规定条款和</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的承诺、甲乙双方签订本合同。</w:t>
      </w:r>
    </w:p>
    <w:p w14:paraId="28A53CC9">
      <w:pPr>
        <w:spacing w:line="400" w:lineRule="exact"/>
        <w:ind w:firstLine="413" w:firstLineChars="196"/>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第一条　合同金额</w:t>
      </w:r>
    </w:p>
    <w:tbl>
      <w:tblPr>
        <w:tblStyle w:val="51"/>
        <w:tblW w:w="10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1479"/>
        <w:gridCol w:w="1280"/>
        <w:gridCol w:w="914"/>
        <w:gridCol w:w="980"/>
        <w:gridCol w:w="1057"/>
        <w:gridCol w:w="718"/>
        <w:gridCol w:w="1536"/>
        <w:gridCol w:w="1567"/>
      </w:tblGrid>
      <w:tr w14:paraId="4FED1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531" w:type="dxa"/>
            <w:tcBorders>
              <w:top w:val="single" w:color="auto" w:sz="4" w:space="0"/>
              <w:left w:val="single" w:color="auto" w:sz="4" w:space="0"/>
              <w:bottom w:val="single" w:color="auto" w:sz="4" w:space="0"/>
              <w:right w:val="single" w:color="auto" w:sz="4" w:space="0"/>
            </w:tcBorders>
            <w:noWrap w:val="0"/>
            <w:vAlign w:val="center"/>
          </w:tcPr>
          <w:p w14:paraId="20F463A8">
            <w:pPr>
              <w:snapToGrid w:val="0"/>
              <w:spacing w:line="280" w:lineRule="exact"/>
              <w:jc w:val="center"/>
              <w:rPr>
                <w:rFonts w:ascii="宋体" w:hAnsi="宋体"/>
                <w:color w:val="auto"/>
                <w:szCs w:val="21"/>
                <w:highlight w:val="none"/>
              </w:rPr>
            </w:pPr>
            <w:r>
              <w:rPr>
                <w:rFonts w:hint="eastAsia" w:ascii="宋体" w:hAnsi="宋体"/>
                <w:color w:val="auto"/>
                <w:szCs w:val="21"/>
                <w:highlight w:val="none"/>
              </w:rPr>
              <w:t>项号</w:t>
            </w:r>
          </w:p>
        </w:tc>
        <w:tc>
          <w:tcPr>
            <w:tcW w:w="1479" w:type="dxa"/>
            <w:tcBorders>
              <w:top w:val="single" w:color="auto" w:sz="4" w:space="0"/>
              <w:left w:val="single" w:color="auto" w:sz="4" w:space="0"/>
              <w:bottom w:val="single" w:color="auto" w:sz="4" w:space="0"/>
              <w:right w:val="single" w:color="auto" w:sz="4" w:space="0"/>
            </w:tcBorders>
            <w:noWrap w:val="0"/>
            <w:vAlign w:val="center"/>
          </w:tcPr>
          <w:p w14:paraId="2DC69DB1">
            <w:pPr>
              <w:snapToGrid w:val="0"/>
              <w:spacing w:line="280" w:lineRule="exact"/>
              <w:jc w:val="center"/>
              <w:rPr>
                <w:rFonts w:ascii="宋体" w:hAnsi="宋体"/>
                <w:color w:val="auto"/>
                <w:szCs w:val="21"/>
                <w:highlight w:val="none"/>
              </w:rPr>
            </w:pPr>
            <w:r>
              <w:rPr>
                <w:rFonts w:hint="eastAsia" w:ascii="宋体" w:hAnsi="宋体"/>
                <w:color w:val="auto"/>
                <w:szCs w:val="21"/>
                <w:highlight w:val="none"/>
              </w:rPr>
              <w:t>货物名称</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7D8AEDDE">
            <w:pPr>
              <w:snapToGrid w:val="0"/>
              <w:spacing w:line="280" w:lineRule="exact"/>
              <w:jc w:val="center"/>
              <w:rPr>
                <w:rFonts w:ascii="宋体" w:hAnsi="宋体"/>
                <w:color w:val="auto"/>
                <w:szCs w:val="21"/>
                <w:highlight w:val="none"/>
              </w:rPr>
            </w:pPr>
            <w:r>
              <w:rPr>
                <w:rFonts w:hint="eastAsia" w:ascii="宋体" w:hAnsi="宋体"/>
                <w:color w:val="auto"/>
                <w:szCs w:val="21"/>
                <w:highlight w:val="none"/>
                <w:lang w:eastAsia="zh-CN"/>
              </w:rPr>
              <w:t>生产</w:t>
            </w:r>
            <w:r>
              <w:rPr>
                <w:rFonts w:hint="eastAsia" w:ascii="宋体" w:hAnsi="宋体"/>
                <w:color w:val="auto"/>
                <w:szCs w:val="21"/>
                <w:highlight w:val="none"/>
              </w:rPr>
              <w:t>厂家</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46C96A3D">
            <w:pPr>
              <w:snapToGrid w:val="0"/>
              <w:spacing w:line="280" w:lineRule="exact"/>
              <w:jc w:val="center"/>
              <w:rPr>
                <w:rFonts w:ascii="宋体" w:hAnsi="宋体"/>
                <w:bCs/>
                <w:color w:val="auto"/>
                <w:szCs w:val="21"/>
                <w:highlight w:val="none"/>
              </w:rPr>
            </w:pPr>
            <w:r>
              <w:rPr>
                <w:rFonts w:hint="eastAsia" w:ascii="宋体" w:hAnsi="宋体"/>
                <w:color w:val="auto"/>
                <w:szCs w:val="21"/>
                <w:highlight w:val="none"/>
              </w:rPr>
              <w:t>品牌</w:t>
            </w:r>
          </w:p>
        </w:tc>
        <w:tc>
          <w:tcPr>
            <w:tcW w:w="980" w:type="dxa"/>
            <w:tcBorders>
              <w:top w:val="single" w:color="auto" w:sz="4" w:space="0"/>
              <w:left w:val="single" w:color="auto" w:sz="4" w:space="0"/>
              <w:bottom w:val="single" w:color="auto" w:sz="4" w:space="0"/>
              <w:right w:val="single" w:color="auto" w:sz="4" w:space="0"/>
            </w:tcBorders>
            <w:noWrap w:val="0"/>
            <w:vAlign w:val="center"/>
          </w:tcPr>
          <w:p w14:paraId="4EC1271A">
            <w:pPr>
              <w:snapToGrid w:val="0"/>
              <w:spacing w:line="280" w:lineRule="exact"/>
              <w:jc w:val="center"/>
              <w:rPr>
                <w:rFonts w:hint="eastAsia" w:ascii="宋体" w:hAnsi="宋体"/>
                <w:color w:val="auto"/>
                <w:szCs w:val="21"/>
                <w:highlight w:val="none"/>
              </w:rPr>
            </w:pPr>
            <w:r>
              <w:rPr>
                <w:rFonts w:hint="eastAsia" w:ascii="宋体" w:hAnsi="宋体"/>
                <w:color w:val="auto"/>
                <w:szCs w:val="21"/>
                <w:highlight w:val="none"/>
              </w:rPr>
              <w:t>规格型号</w:t>
            </w:r>
          </w:p>
        </w:tc>
        <w:tc>
          <w:tcPr>
            <w:tcW w:w="1057" w:type="dxa"/>
            <w:tcBorders>
              <w:top w:val="single" w:color="auto" w:sz="4" w:space="0"/>
              <w:left w:val="single" w:color="auto" w:sz="4" w:space="0"/>
              <w:bottom w:val="single" w:color="auto" w:sz="4" w:space="0"/>
              <w:right w:val="single" w:color="auto" w:sz="4" w:space="0"/>
            </w:tcBorders>
            <w:noWrap w:val="0"/>
            <w:vAlign w:val="center"/>
          </w:tcPr>
          <w:p w14:paraId="48411D50">
            <w:pPr>
              <w:snapToGrid w:val="0"/>
              <w:spacing w:line="280" w:lineRule="exact"/>
              <w:jc w:val="center"/>
              <w:rPr>
                <w:rFonts w:ascii="宋体" w:hAnsi="宋体"/>
                <w:color w:val="auto"/>
                <w:szCs w:val="21"/>
                <w:highlight w:val="none"/>
              </w:rPr>
            </w:pPr>
            <w:r>
              <w:rPr>
                <w:rFonts w:hint="eastAsia" w:ascii="宋体" w:hAnsi="宋体"/>
                <w:color w:val="auto"/>
                <w:szCs w:val="21"/>
                <w:highlight w:val="none"/>
              </w:rPr>
              <w:t>数量</w:t>
            </w:r>
          </w:p>
          <w:p w14:paraId="1EDEFE52">
            <w:pPr>
              <w:snapToGrid w:val="0"/>
              <w:spacing w:line="280" w:lineRule="exact"/>
              <w:jc w:val="center"/>
              <w:rPr>
                <w:rFonts w:ascii="宋体" w:hAnsi="宋体"/>
                <w:color w:val="auto"/>
                <w:szCs w:val="21"/>
                <w:highlight w:val="none"/>
              </w:rPr>
            </w:pPr>
            <w:r>
              <w:rPr>
                <w:rFonts w:hint="eastAsia" w:ascii="宋体" w:hAnsi="宋体"/>
                <w:color w:val="auto"/>
                <w:szCs w:val="21"/>
                <w:highlight w:val="none"/>
              </w:rPr>
              <w:t>①</w:t>
            </w:r>
          </w:p>
        </w:tc>
        <w:tc>
          <w:tcPr>
            <w:tcW w:w="718" w:type="dxa"/>
            <w:tcBorders>
              <w:top w:val="single" w:color="auto" w:sz="4" w:space="0"/>
              <w:left w:val="single" w:color="auto" w:sz="4" w:space="0"/>
              <w:bottom w:val="single" w:color="auto" w:sz="4" w:space="0"/>
              <w:right w:val="single" w:color="auto" w:sz="4" w:space="0"/>
            </w:tcBorders>
            <w:noWrap w:val="0"/>
            <w:vAlign w:val="center"/>
          </w:tcPr>
          <w:p w14:paraId="59889A92">
            <w:pPr>
              <w:snapToGrid w:val="0"/>
              <w:spacing w:line="280" w:lineRule="exact"/>
              <w:jc w:val="center"/>
              <w:rPr>
                <w:rFonts w:ascii="宋体" w:hAnsi="宋体"/>
                <w:color w:val="auto"/>
                <w:szCs w:val="21"/>
                <w:highlight w:val="none"/>
              </w:rPr>
            </w:pPr>
            <w:r>
              <w:rPr>
                <w:rFonts w:hint="eastAsia" w:ascii="宋体" w:hAnsi="宋体"/>
                <w:color w:val="auto"/>
                <w:szCs w:val="21"/>
                <w:highlight w:val="none"/>
              </w:rPr>
              <w:t>单位</w:t>
            </w:r>
          </w:p>
        </w:tc>
        <w:tc>
          <w:tcPr>
            <w:tcW w:w="1536" w:type="dxa"/>
            <w:tcBorders>
              <w:top w:val="single" w:color="auto" w:sz="4" w:space="0"/>
              <w:left w:val="single" w:color="auto" w:sz="4" w:space="0"/>
              <w:bottom w:val="single" w:color="auto" w:sz="4" w:space="0"/>
              <w:right w:val="single" w:color="auto" w:sz="4" w:space="0"/>
            </w:tcBorders>
            <w:noWrap w:val="0"/>
            <w:vAlign w:val="center"/>
          </w:tcPr>
          <w:p w14:paraId="4D8B213F">
            <w:pPr>
              <w:snapToGrid w:val="0"/>
              <w:spacing w:line="280" w:lineRule="exact"/>
              <w:jc w:val="center"/>
              <w:rPr>
                <w:rFonts w:ascii="宋体" w:hAnsi="宋体"/>
                <w:color w:val="auto"/>
                <w:szCs w:val="21"/>
                <w:highlight w:val="none"/>
              </w:rPr>
            </w:pPr>
            <w:r>
              <w:rPr>
                <w:rFonts w:hint="eastAsia" w:ascii="宋体" w:hAnsi="宋体"/>
                <w:color w:val="auto"/>
                <w:szCs w:val="21"/>
                <w:highlight w:val="none"/>
              </w:rPr>
              <w:t>单价（元）</w:t>
            </w:r>
          </w:p>
          <w:p w14:paraId="46D20D90">
            <w:pPr>
              <w:snapToGrid w:val="0"/>
              <w:spacing w:line="280" w:lineRule="exact"/>
              <w:jc w:val="center"/>
              <w:rPr>
                <w:rFonts w:ascii="宋体" w:hAnsi="宋体"/>
                <w:color w:val="auto"/>
                <w:szCs w:val="21"/>
                <w:highlight w:val="none"/>
              </w:rPr>
            </w:pPr>
            <w:r>
              <w:rPr>
                <w:rFonts w:hint="eastAsia" w:ascii="宋体" w:hAnsi="宋体"/>
                <w:color w:val="auto"/>
                <w:szCs w:val="21"/>
                <w:highlight w:val="none"/>
              </w:rPr>
              <w:t>②</w:t>
            </w:r>
          </w:p>
        </w:tc>
        <w:tc>
          <w:tcPr>
            <w:tcW w:w="1567" w:type="dxa"/>
            <w:tcBorders>
              <w:top w:val="single" w:color="auto" w:sz="4" w:space="0"/>
              <w:left w:val="single" w:color="auto" w:sz="4" w:space="0"/>
              <w:bottom w:val="single" w:color="auto" w:sz="4" w:space="0"/>
              <w:right w:val="single" w:color="auto" w:sz="4" w:space="0"/>
            </w:tcBorders>
            <w:noWrap w:val="0"/>
            <w:vAlign w:val="center"/>
          </w:tcPr>
          <w:p w14:paraId="38E9263F">
            <w:pPr>
              <w:snapToGrid w:val="0"/>
              <w:spacing w:line="280" w:lineRule="exact"/>
              <w:jc w:val="center"/>
              <w:rPr>
                <w:rFonts w:ascii="宋体" w:hAnsi="宋体"/>
                <w:b w:val="0"/>
                <w:bCs/>
                <w:color w:val="auto"/>
                <w:szCs w:val="21"/>
                <w:highlight w:val="none"/>
              </w:rPr>
            </w:pPr>
            <w:r>
              <w:rPr>
                <w:rFonts w:hint="eastAsia" w:ascii="宋体" w:hAnsi="宋体"/>
                <w:b w:val="0"/>
                <w:bCs/>
                <w:color w:val="auto"/>
                <w:szCs w:val="21"/>
                <w:highlight w:val="none"/>
              </w:rPr>
              <w:t>单项合计金额（元）</w:t>
            </w:r>
          </w:p>
          <w:p w14:paraId="256F4EDA">
            <w:pPr>
              <w:snapToGrid w:val="0"/>
              <w:spacing w:line="280" w:lineRule="exact"/>
              <w:jc w:val="center"/>
              <w:rPr>
                <w:rFonts w:ascii="宋体" w:hAnsi="宋体"/>
                <w:color w:val="auto"/>
                <w:szCs w:val="21"/>
                <w:highlight w:val="none"/>
              </w:rPr>
            </w:pPr>
            <w:r>
              <w:rPr>
                <w:rFonts w:hint="eastAsia" w:ascii="宋体" w:hAnsi="宋体"/>
                <w:b w:val="0"/>
                <w:bCs/>
                <w:color w:val="auto"/>
                <w:szCs w:val="21"/>
                <w:highlight w:val="none"/>
              </w:rPr>
              <w:t>③</w:t>
            </w:r>
            <w:r>
              <w:rPr>
                <w:rFonts w:hint="eastAsia" w:ascii="宋体" w:hAnsi="宋体"/>
                <w:b w:val="0"/>
                <w:bCs/>
                <w:color w:val="auto"/>
                <w:szCs w:val="21"/>
                <w:highlight w:val="none"/>
                <w:lang w:eastAsia="zh-CN"/>
              </w:rPr>
              <w:t>=</w:t>
            </w:r>
            <w:r>
              <w:rPr>
                <w:rFonts w:hint="eastAsia" w:ascii="宋体" w:hAnsi="宋体"/>
                <w:b w:val="0"/>
                <w:bCs/>
                <w:color w:val="auto"/>
                <w:szCs w:val="21"/>
                <w:highlight w:val="none"/>
              </w:rPr>
              <w:t>①×</w:t>
            </w:r>
            <w:r>
              <w:rPr>
                <w:rFonts w:hint="eastAsia" w:ascii="宋体" w:hAnsi="宋体"/>
                <w:color w:val="auto"/>
                <w:szCs w:val="21"/>
                <w:highlight w:val="none"/>
              </w:rPr>
              <w:t>②</w:t>
            </w:r>
          </w:p>
        </w:tc>
      </w:tr>
      <w:tr w14:paraId="597C8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531" w:type="dxa"/>
            <w:tcBorders>
              <w:top w:val="single" w:color="auto" w:sz="4" w:space="0"/>
              <w:left w:val="single" w:color="auto" w:sz="4" w:space="0"/>
              <w:bottom w:val="single" w:color="auto" w:sz="4" w:space="0"/>
              <w:right w:val="single" w:color="auto" w:sz="4" w:space="0"/>
            </w:tcBorders>
            <w:noWrap w:val="0"/>
            <w:vAlign w:val="center"/>
          </w:tcPr>
          <w:p w14:paraId="08AE5B5D">
            <w:pPr>
              <w:snapToGrid w:val="0"/>
              <w:spacing w:line="280" w:lineRule="exact"/>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w:t>
            </w:r>
          </w:p>
        </w:tc>
        <w:tc>
          <w:tcPr>
            <w:tcW w:w="1479" w:type="dxa"/>
            <w:tcBorders>
              <w:top w:val="single" w:color="auto" w:sz="4" w:space="0"/>
              <w:left w:val="single" w:color="auto" w:sz="4" w:space="0"/>
              <w:bottom w:val="single" w:color="auto" w:sz="4" w:space="0"/>
              <w:right w:val="single" w:color="auto" w:sz="4" w:space="0"/>
            </w:tcBorders>
            <w:noWrap w:val="0"/>
            <w:vAlign w:val="center"/>
          </w:tcPr>
          <w:p w14:paraId="5AE06886">
            <w:pPr>
              <w:snapToGrid w:val="0"/>
              <w:spacing w:line="280" w:lineRule="exact"/>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医用中心吸引系统</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23E87C0D">
            <w:pPr>
              <w:snapToGrid w:val="0"/>
              <w:spacing w:line="280" w:lineRule="exact"/>
              <w:jc w:val="center"/>
              <w:rPr>
                <w:rFonts w:hint="eastAsia" w:ascii="宋体" w:hAnsi="宋体" w:eastAsia="宋体" w:cs="Times New Roman"/>
                <w:color w:val="auto"/>
                <w:szCs w:val="21"/>
                <w:highlight w:val="none"/>
              </w:rPr>
            </w:pPr>
          </w:p>
        </w:tc>
        <w:tc>
          <w:tcPr>
            <w:tcW w:w="914" w:type="dxa"/>
            <w:tcBorders>
              <w:top w:val="single" w:color="auto" w:sz="4" w:space="0"/>
              <w:left w:val="single" w:color="auto" w:sz="4" w:space="0"/>
              <w:bottom w:val="single" w:color="auto" w:sz="4" w:space="0"/>
              <w:right w:val="single" w:color="auto" w:sz="4" w:space="0"/>
            </w:tcBorders>
            <w:noWrap w:val="0"/>
            <w:vAlign w:val="center"/>
          </w:tcPr>
          <w:p w14:paraId="4A109A64">
            <w:pPr>
              <w:snapToGrid w:val="0"/>
              <w:spacing w:line="280" w:lineRule="exact"/>
              <w:jc w:val="center"/>
              <w:rPr>
                <w:rFonts w:hint="eastAsia" w:ascii="宋体" w:hAnsi="宋体" w:eastAsia="宋体" w:cs="Times New Roman"/>
                <w:color w:val="auto"/>
                <w:szCs w:val="21"/>
                <w:highlight w:val="none"/>
              </w:rPr>
            </w:pPr>
          </w:p>
        </w:tc>
        <w:tc>
          <w:tcPr>
            <w:tcW w:w="980" w:type="dxa"/>
            <w:tcBorders>
              <w:top w:val="single" w:color="auto" w:sz="4" w:space="0"/>
              <w:left w:val="single" w:color="auto" w:sz="4" w:space="0"/>
              <w:bottom w:val="single" w:color="auto" w:sz="4" w:space="0"/>
              <w:right w:val="single" w:color="auto" w:sz="4" w:space="0"/>
            </w:tcBorders>
            <w:noWrap w:val="0"/>
            <w:vAlign w:val="center"/>
          </w:tcPr>
          <w:p w14:paraId="0619AABA">
            <w:pPr>
              <w:snapToGrid w:val="0"/>
              <w:spacing w:line="300" w:lineRule="exact"/>
              <w:jc w:val="center"/>
              <w:rPr>
                <w:rFonts w:ascii="宋体" w:hAnsi="宋体" w:cs="宋体"/>
                <w:color w:val="auto"/>
                <w:szCs w:val="21"/>
                <w:highlight w:val="none"/>
              </w:rPr>
            </w:pPr>
          </w:p>
        </w:tc>
        <w:tc>
          <w:tcPr>
            <w:tcW w:w="1057" w:type="dxa"/>
            <w:tcBorders>
              <w:top w:val="single" w:color="auto" w:sz="4" w:space="0"/>
              <w:left w:val="single" w:color="auto" w:sz="4" w:space="0"/>
              <w:bottom w:val="single" w:color="auto" w:sz="4" w:space="0"/>
              <w:right w:val="single" w:color="auto" w:sz="4" w:space="0"/>
            </w:tcBorders>
            <w:noWrap w:val="0"/>
            <w:vAlign w:val="center"/>
          </w:tcPr>
          <w:p w14:paraId="3E824922">
            <w:pPr>
              <w:widowControl/>
              <w:jc w:val="center"/>
              <w:outlineLvl w:val="0"/>
              <w:rPr>
                <w:rFonts w:ascii="宋体" w:hAnsi="宋体"/>
                <w:color w:val="auto"/>
                <w:szCs w:val="21"/>
                <w:highlight w:val="none"/>
              </w:rPr>
            </w:pPr>
            <w:r>
              <w:rPr>
                <w:rFonts w:hint="eastAsia" w:ascii="宋体" w:hAnsi="宋体" w:cs="宋体"/>
                <w:color w:val="auto"/>
                <w:kern w:val="0"/>
                <w:sz w:val="22"/>
                <w:szCs w:val="22"/>
                <w:highlight w:val="none"/>
              </w:rPr>
              <w:t xml:space="preserve">1 </w:t>
            </w:r>
          </w:p>
        </w:tc>
        <w:tc>
          <w:tcPr>
            <w:tcW w:w="718" w:type="dxa"/>
            <w:tcBorders>
              <w:top w:val="single" w:color="auto" w:sz="4" w:space="0"/>
              <w:left w:val="single" w:color="auto" w:sz="4" w:space="0"/>
              <w:bottom w:val="single" w:color="auto" w:sz="4" w:space="0"/>
              <w:right w:val="single" w:color="auto" w:sz="4" w:space="0"/>
            </w:tcBorders>
            <w:noWrap w:val="0"/>
            <w:vAlign w:val="center"/>
          </w:tcPr>
          <w:p w14:paraId="4D6B49F2">
            <w:pPr>
              <w:widowControl/>
              <w:jc w:val="center"/>
              <w:outlineLvl w:val="0"/>
              <w:rPr>
                <w:rFonts w:ascii="宋体" w:hAnsi="宋体"/>
                <w:color w:val="auto"/>
                <w:szCs w:val="21"/>
                <w:highlight w:val="none"/>
              </w:rPr>
            </w:pPr>
            <w:r>
              <w:rPr>
                <w:rFonts w:hint="eastAsia" w:ascii="宋体" w:hAnsi="宋体" w:cs="宋体"/>
                <w:color w:val="auto"/>
                <w:kern w:val="0"/>
                <w:sz w:val="22"/>
                <w:szCs w:val="22"/>
                <w:highlight w:val="none"/>
              </w:rPr>
              <w:t>套</w:t>
            </w:r>
          </w:p>
        </w:tc>
        <w:tc>
          <w:tcPr>
            <w:tcW w:w="1536" w:type="dxa"/>
            <w:tcBorders>
              <w:top w:val="single" w:color="auto" w:sz="4" w:space="0"/>
              <w:left w:val="single" w:color="auto" w:sz="4" w:space="0"/>
              <w:bottom w:val="single" w:color="auto" w:sz="4" w:space="0"/>
              <w:right w:val="single" w:color="auto" w:sz="4" w:space="0"/>
            </w:tcBorders>
            <w:noWrap w:val="0"/>
            <w:vAlign w:val="center"/>
          </w:tcPr>
          <w:p w14:paraId="65C8DB39">
            <w:pPr>
              <w:snapToGrid w:val="0"/>
              <w:spacing w:line="360" w:lineRule="auto"/>
              <w:rPr>
                <w:rFonts w:ascii="宋体" w:hAnsi="宋体"/>
                <w:color w:val="auto"/>
                <w:szCs w:val="21"/>
                <w:highlight w:val="none"/>
              </w:rPr>
            </w:pPr>
          </w:p>
        </w:tc>
        <w:tc>
          <w:tcPr>
            <w:tcW w:w="1567" w:type="dxa"/>
            <w:tcBorders>
              <w:top w:val="single" w:color="auto" w:sz="4" w:space="0"/>
              <w:left w:val="single" w:color="auto" w:sz="4" w:space="0"/>
              <w:bottom w:val="single" w:color="auto" w:sz="4" w:space="0"/>
              <w:right w:val="single" w:color="auto" w:sz="4" w:space="0"/>
            </w:tcBorders>
            <w:noWrap w:val="0"/>
            <w:vAlign w:val="center"/>
          </w:tcPr>
          <w:p w14:paraId="1079563C">
            <w:pPr>
              <w:snapToGrid w:val="0"/>
              <w:spacing w:line="360" w:lineRule="auto"/>
              <w:rPr>
                <w:rFonts w:ascii="宋体" w:hAnsi="宋体"/>
                <w:color w:val="auto"/>
                <w:szCs w:val="21"/>
                <w:highlight w:val="none"/>
              </w:rPr>
            </w:pPr>
          </w:p>
        </w:tc>
      </w:tr>
      <w:tr w14:paraId="2D6EC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531" w:type="dxa"/>
            <w:tcBorders>
              <w:top w:val="single" w:color="auto" w:sz="4" w:space="0"/>
              <w:left w:val="single" w:color="auto" w:sz="4" w:space="0"/>
              <w:bottom w:val="single" w:color="auto" w:sz="4" w:space="0"/>
              <w:right w:val="single" w:color="auto" w:sz="4" w:space="0"/>
            </w:tcBorders>
            <w:noWrap w:val="0"/>
            <w:vAlign w:val="center"/>
          </w:tcPr>
          <w:p w14:paraId="0C28EA7D">
            <w:pPr>
              <w:snapToGrid w:val="0"/>
              <w:spacing w:line="280" w:lineRule="exact"/>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w:t>
            </w:r>
          </w:p>
        </w:tc>
        <w:tc>
          <w:tcPr>
            <w:tcW w:w="1479" w:type="dxa"/>
            <w:tcBorders>
              <w:top w:val="single" w:color="auto" w:sz="4" w:space="0"/>
              <w:left w:val="single" w:color="auto" w:sz="4" w:space="0"/>
              <w:bottom w:val="single" w:color="auto" w:sz="4" w:space="0"/>
              <w:right w:val="single" w:color="auto" w:sz="4" w:space="0"/>
            </w:tcBorders>
            <w:noWrap w:val="0"/>
            <w:vAlign w:val="center"/>
          </w:tcPr>
          <w:p w14:paraId="56E18185">
            <w:pPr>
              <w:snapToGrid w:val="0"/>
              <w:spacing w:line="280" w:lineRule="exact"/>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医用压缩空气供应系统</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47AF0968">
            <w:pPr>
              <w:snapToGrid w:val="0"/>
              <w:spacing w:line="280" w:lineRule="exact"/>
              <w:jc w:val="center"/>
              <w:rPr>
                <w:rFonts w:hint="eastAsia" w:ascii="宋体" w:hAnsi="宋体" w:eastAsia="宋体" w:cs="Times New Roman"/>
                <w:color w:val="auto"/>
                <w:szCs w:val="21"/>
                <w:highlight w:val="none"/>
              </w:rPr>
            </w:pPr>
          </w:p>
        </w:tc>
        <w:tc>
          <w:tcPr>
            <w:tcW w:w="914" w:type="dxa"/>
            <w:tcBorders>
              <w:top w:val="single" w:color="auto" w:sz="4" w:space="0"/>
              <w:left w:val="single" w:color="auto" w:sz="4" w:space="0"/>
              <w:bottom w:val="single" w:color="auto" w:sz="4" w:space="0"/>
              <w:right w:val="single" w:color="auto" w:sz="4" w:space="0"/>
            </w:tcBorders>
            <w:noWrap w:val="0"/>
            <w:vAlign w:val="center"/>
          </w:tcPr>
          <w:p w14:paraId="3A76A318">
            <w:pPr>
              <w:snapToGrid w:val="0"/>
              <w:spacing w:line="280" w:lineRule="exact"/>
              <w:jc w:val="center"/>
              <w:rPr>
                <w:rFonts w:hint="eastAsia" w:ascii="宋体" w:hAnsi="宋体" w:eastAsia="宋体" w:cs="Times New Roman"/>
                <w:color w:val="auto"/>
                <w:szCs w:val="21"/>
                <w:highlight w:val="none"/>
              </w:rPr>
            </w:pPr>
          </w:p>
        </w:tc>
        <w:tc>
          <w:tcPr>
            <w:tcW w:w="980" w:type="dxa"/>
            <w:tcBorders>
              <w:top w:val="single" w:color="auto" w:sz="4" w:space="0"/>
              <w:left w:val="single" w:color="auto" w:sz="4" w:space="0"/>
              <w:bottom w:val="single" w:color="auto" w:sz="4" w:space="0"/>
              <w:right w:val="single" w:color="auto" w:sz="4" w:space="0"/>
            </w:tcBorders>
            <w:noWrap w:val="0"/>
            <w:vAlign w:val="center"/>
          </w:tcPr>
          <w:p w14:paraId="1F29667F">
            <w:pPr>
              <w:snapToGrid w:val="0"/>
              <w:spacing w:line="300" w:lineRule="exact"/>
              <w:jc w:val="center"/>
              <w:rPr>
                <w:rFonts w:ascii="宋体" w:hAnsi="宋体" w:cs="宋体"/>
                <w:color w:val="auto"/>
                <w:szCs w:val="21"/>
                <w:highlight w:val="none"/>
              </w:rPr>
            </w:pPr>
          </w:p>
        </w:tc>
        <w:tc>
          <w:tcPr>
            <w:tcW w:w="1057" w:type="dxa"/>
            <w:tcBorders>
              <w:top w:val="single" w:color="auto" w:sz="4" w:space="0"/>
              <w:left w:val="single" w:color="auto" w:sz="4" w:space="0"/>
              <w:bottom w:val="single" w:color="auto" w:sz="4" w:space="0"/>
              <w:right w:val="single" w:color="auto" w:sz="4" w:space="0"/>
            </w:tcBorders>
            <w:noWrap w:val="0"/>
            <w:vAlign w:val="center"/>
          </w:tcPr>
          <w:p w14:paraId="2A4F5069">
            <w:pPr>
              <w:widowControl/>
              <w:jc w:val="center"/>
              <w:outlineLvl w:val="0"/>
              <w:rPr>
                <w:rFonts w:ascii="宋体" w:hAnsi="宋体"/>
                <w:color w:val="auto"/>
                <w:szCs w:val="21"/>
                <w:highlight w:val="none"/>
              </w:rPr>
            </w:pPr>
            <w:r>
              <w:rPr>
                <w:rFonts w:hint="eastAsia" w:ascii="宋体" w:hAnsi="宋体" w:cs="宋体"/>
                <w:color w:val="auto"/>
                <w:kern w:val="0"/>
                <w:sz w:val="22"/>
                <w:szCs w:val="22"/>
                <w:highlight w:val="none"/>
              </w:rPr>
              <w:t xml:space="preserve">2 </w:t>
            </w:r>
          </w:p>
        </w:tc>
        <w:tc>
          <w:tcPr>
            <w:tcW w:w="718" w:type="dxa"/>
            <w:tcBorders>
              <w:top w:val="single" w:color="auto" w:sz="4" w:space="0"/>
              <w:left w:val="single" w:color="auto" w:sz="4" w:space="0"/>
              <w:bottom w:val="single" w:color="auto" w:sz="4" w:space="0"/>
              <w:right w:val="single" w:color="auto" w:sz="4" w:space="0"/>
            </w:tcBorders>
            <w:noWrap w:val="0"/>
            <w:vAlign w:val="center"/>
          </w:tcPr>
          <w:p w14:paraId="3B377EE1">
            <w:pPr>
              <w:widowControl/>
              <w:jc w:val="center"/>
              <w:outlineLvl w:val="0"/>
              <w:rPr>
                <w:rFonts w:ascii="宋体" w:hAnsi="宋体"/>
                <w:color w:val="auto"/>
                <w:szCs w:val="21"/>
                <w:highlight w:val="none"/>
              </w:rPr>
            </w:pPr>
            <w:r>
              <w:rPr>
                <w:rFonts w:hint="eastAsia" w:ascii="宋体" w:hAnsi="宋体" w:cs="宋体"/>
                <w:color w:val="auto"/>
                <w:kern w:val="0"/>
                <w:sz w:val="22"/>
                <w:szCs w:val="22"/>
                <w:highlight w:val="none"/>
              </w:rPr>
              <w:t>台</w:t>
            </w:r>
          </w:p>
        </w:tc>
        <w:tc>
          <w:tcPr>
            <w:tcW w:w="1536" w:type="dxa"/>
            <w:tcBorders>
              <w:top w:val="single" w:color="auto" w:sz="4" w:space="0"/>
              <w:left w:val="single" w:color="auto" w:sz="4" w:space="0"/>
              <w:bottom w:val="single" w:color="auto" w:sz="4" w:space="0"/>
              <w:right w:val="single" w:color="auto" w:sz="4" w:space="0"/>
            </w:tcBorders>
            <w:noWrap w:val="0"/>
            <w:vAlign w:val="center"/>
          </w:tcPr>
          <w:p w14:paraId="5AE489F2">
            <w:pPr>
              <w:snapToGrid w:val="0"/>
              <w:spacing w:line="360" w:lineRule="auto"/>
              <w:rPr>
                <w:rFonts w:ascii="宋体" w:hAnsi="宋体"/>
                <w:color w:val="auto"/>
                <w:szCs w:val="21"/>
                <w:highlight w:val="none"/>
              </w:rPr>
            </w:pPr>
          </w:p>
        </w:tc>
        <w:tc>
          <w:tcPr>
            <w:tcW w:w="1567" w:type="dxa"/>
            <w:tcBorders>
              <w:top w:val="single" w:color="auto" w:sz="4" w:space="0"/>
              <w:left w:val="single" w:color="auto" w:sz="4" w:space="0"/>
              <w:bottom w:val="single" w:color="auto" w:sz="4" w:space="0"/>
              <w:right w:val="single" w:color="auto" w:sz="4" w:space="0"/>
            </w:tcBorders>
            <w:noWrap w:val="0"/>
            <w:vAlign w:val="center"/>
          </w:tcPr>
          <w:p w14:paraId="135AFF77">
            <w:pPr>
              <w:snapToGrid w:val="0"/>
              <w:spacing w:line="360" w:lineRule="auto"/>
              <w:rPr>
                <w:rFonts w:ascii="宋体" w:hAnsi="宋体"/>
                <w:color w:val="auto"/>
                <w:szCs w:val="21"/>
                <w:highlight w:val="none"/>
              </w:rPr>
            </w:pPr>
          </w:p>
        </w:tc>
      </w:tr>
      <w:tr w14:paraId="43FED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8495" w:type="dxa"/>
            <w:gridSpan w:val="8"/>
            <w:tcBorders>
              <w:top w:val="single" w:color="auto" w:sz="4" w:space="0"/>
              <w:left w:val="single" w:color="auto" w:sz="4" w:space="0"/>
              <w:bottom w:val="single" w:color="auto" w:sz="4" w:space="0"/>
              <w:right w:val="single" w:color="auto" w:sz="4" w:space="0"/>
            </w:tcBorders>
            <w:noWrap w:val="0"/>
            <w:vAlign w:val="center"/>
          </w:tcPr>
          <w:p w14:paraId="4921B1D1">
            <w:pPr>
              <w:snapToGrid w:val="0"/>
              <w:spacing w:line="360" w:lineRule="auto"/>
              <w:jc w:val="center"/>
              <w:rPr>
                <w:rFonts w:hint="eastAsia" w:ascii="宋体" w:hAnsi="宋体"/>
                <w:color w:val="auto"/>
                <w:szCs w:val="21"/>
                <w:highlight w:val="none"/>
              </w:rPr>
            </w:pPr>
            <w:r>
              <w:rPr>
                <w:rFonts w:hint="eastAsia" w:ascii="宋体" w:hAnsi="宋体"/>
                <w:color w:val="auto"/>
                <w:szCs w:val="21"/>
                <w:highlight w:val="none"/>
              </w:rPr>
              <w:t xml:space="preserve">                                                       合计金额</w:t>
            </w:r>
          </w:p>
        </w:tc>
        <w:tc>
          <w:tcPr>
            <w:tcW w:w="1567" w:type="dxa"/>
            <w:tcBorders>
              <w:top w:val="single" w:color="auto" w:sz="4" w:space="0"/>
              <w:left w:val="single" w:color="auto" w:sz="4" w:space="0"/>
              <w:bottom w:val="single" w:color="auto" w:sz="4" w:space="0"/>
              <w:right w:val="single" w:color="auto" w:sz="4" w:space="0"/>
            </w:tcBorders>
            <w:noWrap w:val="0"/>
            <w:vAlign w:val="center"/>
          </w:tcPr>
          <w:p w14:paraId="1D158996">
            <w:pPr>
              <w:snapToGrid w:val="0"/>
              <w:spacing w:line="360" w:lineRule="auto"/>
              <w:jc w:val="center"/>
              <w:rPr>
                <w:rFonts w:ascii="宋体" w:hAnsi="宋体"/>
                <w:color w:val="auto"/>
                <w:szCs w:val="21"/>
                <w:highlight w:val="none"/>
              </w:rPr>
            </w:pPr>
          </w:p>
        </w:tc>
      </w:tr>
    </w:tbl>
    <w:p w14:paraId="25B05257">
      <w:pPr>
        <w:spacing w:line="380" w:lineRule="exact"/>
        <w:ind w:firstLine="411" w:firstLineChars="196"/>
        <w:rPr>
          <w:rFonts w:ascii="宋体" w:hAnsi="宋体" w:cs="宋体"/>
          <w:color w:val="auto"/>
          <w:szCs w:val="21"/>
          <w:highlight w:val="none"/>
        </w:rPr>
      </w:pPr>
      <w:r>
        <w:rPr>
          <w:rFonts w:hint="eastAsia" w:ascii="宋体" w:hAnsi="宋体" w:cs="宋体"/>
          <w:color w:val="auto"/>
          <w:szCs w:val="21"/>
          <w:highlight w:val="none"/>
          <w:lang w:eastAsia="zh-CN"/>
        </w:rPr>
        <w:t>中标</w:t>
      </w:r>
      <w:r>
        <w:rPr>
          <w:rFonts w:hint="eastAsia" w:ascii="宋体" w:hAnsi="宋体" w:cs="宋体"/>
          <w:color w:val="auto"/>
          <w:szCs w:val="21"/>
          <w:highlight w:val="none"/>
        </w:rPr>
        <w:t>内容合同的总金额为：（大写）人民币</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39941F1">
      <w:pPr>
        <w:spacing w:line="380" w:lineRule="exact"/>
        <w:ind w:firstLine="411" w:firstLineChars="196"/>
        <w:rPr>
          <w:rFonts w:ascii="宋体" w:hAnsi="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w:t>
      </w:r>
      <w:r>
        <w:rPr>
          <w:rFonts w:hint="eastAsia" w:ascii="宋体" w:hAnsi="宋体"/>
          <w:color w:val="auto"/>
          <w:szCs w:val="21"/>
          <w:highlight w:val="none"/>
        </w:rPr>
        <w:t>合同合计金额应包括招标范围内货物货款、货物标准附件、备品备件、专用工具、包装、运输、装卸、保险、税金、货到就位以及安装、调试、培训、保修等一切费用。</w:t>
      </w:r>
    </w:p>
    <w:p w14:paraId="25402A82">
      <w:pPr>
        <w:spacing w:line="38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第二条  质量保证</w:t>
      </w:r>
    </w:p>
    <w:p w14:paraId="10839D0D">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乙方应按投标文件规定的货物型号、技术规格、技术参数、质量标准向甲方提供未经使用的全新原装产品，且在正常安装使用和保养条件下，其使用寿命期内各项指标均达到质量标准。乙方提供的自主创新产品、节能和环保产品必须是列入政府采购清单的产品。</w:t>
      </w:r>
    </w:p>
    <w:p w14:paraId="386378E1">
      <w:pPr>
        <w:spacing w:line="38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第三条  权利保证</w:t>
      </w:r>
    </w:p>
    <w:p w14:paraId="1017B9CC">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1.乙方应保证所提供货物在使用时不会侵犯任何第三方的专利权、商标权、工业设计权或其他权利。如果甲方因此</w:t>
      </w:r>
      <w:r>
        <w:rPr>
          <w:rFonts w:hint="eastAsia" w:ascii="宋体" w:hAnsi="宋体" w:cs="宋体"/>
          <w:color w:val="auto"/>
          <w:szCs w:val="21"/>
          <w:highlight w:val="none"/>
          <w:lang w:eastAsia="zh-CN"/>
        </w:rPr>
        <w:t>遭受</w:t>
      </w:r>
      <w:r>
        <w:rPr>
          <w:rFonts w:hint="eastAsia" w:ascii="宋体" w:hAnsi="宋体" w:cs="宋体"/>
          <w:color w:val="auto"/>
          <w:szCs w:val="21"/>
          <w:highlight w:val="none"/>
        </w:rPr>
        <w:t>任何第三方的索赔、诉讼或任何权利请求，乙方有义务以甲方名义自费处理纠纷，并承担所有法律和经济责任。</w:t>
      </w:r>
    </w:p>
    <w:p w14:paraId="3F99AC6E">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2.乙方应按招标文件规定的时间向甲方提供使用货物的有关技术资料。</w:t>
      </w:r>
    </w:p>
    <w:p w14:paraId="70496B90">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3.乙方保证所交付的货物的所有权完全属于乙方且无任何抵押、质押、查封等产权瑕疵。</w:t>
      </w:r>
    </w:p>
    <w:p w14:paraId="79F2594D">
      <w:pPr>
        <w:spacing w:line="380" w:lineRule="exact"/>
        <w:ind w:firstLine="420" w:firstLineChars="200"/>
        <w:rPr>
          <w:rFonts w:ascii="宋体" w:hAnsi="宋体" w:cs="宋体"/>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75C9881A">
      <w:pPr>
        <w:spacing w:line="38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第四条  货物包装、运输</w:t>
      </w:r>
    </w:p>
    <w:p w14:paraId="0F1DEE0F">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1.乙方应在货物发运前对其进行满足运输距离、防潮、防震、防锈和防破损装卸等要求包装，以保证货物安全运达甲方指定地点。</w:t>
      </w:r>
    </w:p>
    <w:p w14:paraId="0B91773D">
      <w:pPr>
        <w:tabs>
          <w:tab w:val="left" w:pos="780"/>
        </w:tabs>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2.使用中文说明书、质量检验证明书、随配附件和工具以及清单一并附于货物内。</w:t>
      </w:r>
    </w:p>
    <w:p w14:paraId="48E175CE">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3.乙方在货物发运手续办理完毕后二十四小时内或货到甲方四十八小时前通知甲方，以准备接货。</w:t>
      </w:r>
    </w:p>
    <w:p w14:paraId="6E5819D3">
      <w:pPr>
        <w:tabs>
          <w:tab w:val="left" w:pos="780"/>
        </w:tabs>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4.货物在甲方最终验收完毕出具验收文书前发生的一切风险均由乙方承担。</w:t>
      </w:r>
    </w:p>
    <w:p w14:paraId="30747913">
      <w:pPr>
        <w:spacing w:line="38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 xml:space="preserve">第五条  </w:t>
      </w:r>
      <w:r>
        <w:rPr>
          <w:rFonts w:hint="eastAsia" w:ascii="宋体" w:hAnsi="宋体" w:cs="宋体"/>
          <w:b/>
          <w:color w:val="auto"/>
          <w:szCs w:val="21"/>
          <w:highlight w:val="none"/>
        </w:rPr>
        <w:t>交付时间和地点</w:t>
      </w:r>
    </w:p>
    <w:p w14:paraId="0C241DF4">
      <w:pPr>
        <w:tabs>
          <w:tab w:val="left" w:pos="780"/>
        </w:tabs>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1.交付时间：自合同签订之日起</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个工作日内全部安装调试合格完毕并交付使用。</w:t>
      </w:r>
    </w:p>
    <w:p w14:paraId="3590B0BA">
      <w:pPr>
        <w:tabs>
          <w:tab w:val="left" w:pos="780"/>
        </w:tabs>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2.交付地点：广西桂林市内</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指定地点。</w:t>
      </w:r>
    </w:p>
    <w:p w14:paraId="4E10544C">
      <w:pPr>
        <w:spacing w:line="380" w:lineRule="exact"/>
        <w:ind w:left="413"/>
        <w:rPr>
          <w:rFonts w:ascii="宋体" w:hAnsi="宋体" w:cs="宋体"/>
          <w:b/>
          <w:color w:val="auto"/>
          <w:szCs w:val="21"/>
          <w:highlight w:val="none"/>
        </w:rPr>
      </w:pPr>
      <w:r>
        <w:rPr>
          <w:rFonts w:hint="eastAsia" w:ascii="宋体" w:hAnsi="宋体" w:cs="宋体"/>
          <w:b/>
          <w:color w:val="auto"/>
          <w:szCs w:val="21"/>
          <w:highlight w:val="none"/>
        </w:rPr>
        <w:t>第六条  验收</w:t>
      </w:r>
    </w:p>
    <w:p w14:paraId="67400357">
      <w:pPr>
        <w:tabs>
          <w:tab w:val="left" w:pos="780"/>
        </w:tabs>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提供的产品必须符合国家、行业强制执行的相关质量标准要求以及产品制造厂家合格产品的出厂质量标准。</w:t>
      </w:r>
    </w:p>
    <w:p w14:paraId="32DE29C2">
      <w:pPr>
        <w:tabs>
          <w:tab w:val="left" w:pos="780"/>
        </w:tabs>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2.设备须全新、完好、无破损，产品到货后，</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现场根据招标文件要求、投标文件承诺以及国家相关标准、地方标准进行验收，必要时，</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有权邀请国家质量监督检验部门或国家认可的检测机构参与共同验收。如产品不满足投标文件要求、</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投标文件承诺或国家、行业强制执行的相关质量标准要求以及产品制造厂家合格产品的出厂质量标准，</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有权不予验收，由此造成</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的经济损失由</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承担全部赔偿责任。</w:t>
      </w:r>
    </w:p>
    <w:p w14:paraId="7E435290">
      <w:pPr>
        <w:tabs>
          <w:tab w:val="left" w:pos="780"/>
        </w:tabs>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必须于供货时向</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提供所投医疗器械产品由行政主管部门核准资格文件、产品注册时的检测检验报告书，产品彩页或参数说明书等资料材料，以便核实相关技术参数，否则不予验收，</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应承担逾期交货违约责任。</w:t>
      </w:r>
    </w:p>
    <w:p w14:paraId="3526AFFB">
      <w:pPr>
        <w:tabs>
          <w:tab w:val="left" w:pos="780"/>
        </w:tabs>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交货前应对产品做出全面的检查和对验收文件进行整理，并列出清单，作为</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验收和使用的技术条件依据，验收的结果应随货物交</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w:t>
      </w:r>
    </w:p>
    <w:p w14:paraId="3BE07EFC">
      <w:pPr>
        <w:tabs>
          <w:tab w:val="left" w:pos="780"/>
        </w:tabs>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依据招标文件的技术规格要求和国家有关质量标准对货物进行现场初步验收，外观、说明书符合招标文件技术要求的，给予签收，初步验收不合格的不予签收。货到后，</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 xml:space="preserve">应当在到货（安装、调试完）后七个工作日内进行验收。验收合格后由双方签署货物验收单并加盖公章，双方各执一份。 </w:t>
      </w:r>
    </w:p>
    <w:p w14:paraId="3EBCF95A">
      <w:pPr>
        <w:tabs>
          <w:tab w:val="left" w:pos="780"/>
        </w:tabs>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对</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提供的货物在使用前进行调试时，投标人须负责安装并培训</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的使用人员，并协助</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一起调试，直到符合技术要求，</w:t>
      </w:r>
      <w:r>
        <w:rPr>
          <w:rFonts w:hint="eastAsia" w:ascii="宋体" w:hAnsi="宋体" w:eastAsia="宋体" w:cs="宋体"/>
          <w:color w:val="auto"/>
          <w:szCs w:val="21"/>
          <w:highlight w:val="none"/>
          <w:lang w:eastAsia="zh-CN"/>
        </w:rPr>
        <w:t>甲方予以</w:t>
      </w:r>
      <w:r>
        <w:rPr>
          <w:rFonts w:hint="eastAsia" w:ascii="宋体" w:hAnsi="宋体" w:eastAsia="宋体" w:cs="宋体"/>
          <w:color w:val="auto"/>
          <w:szCs w:val="21"/>
          <w:highlight w:val="none"/>
        </w:rPr>
        <w:t>最终验收。</w:t>
      </w:r>
    </w:p>
    <w:p w14:paraId="1767CA69">
      <w:pPr>
        <w:tabs>
          <w:tab w:val="left" w:pos="780"/>
        </w:tabs>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7.对技术复杂的货物，</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应请国家认可的专业检测机构参与初步验收及最终验收，并由其出具质量检测报告。</w:t>
      </w:r>
    </w:p>
    <w:p w14:paraId="3F2B7228">
      <w:pPr>
        <w:tabs>
          <w:tab w:val="left" w:pos="780"/>
        </w:tabs>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8.验收时</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必须在现场，验收完毕后做出验收结果报告，验收费用由</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负责。</w:t>
      </w:r>
    </w:p>
    <w:p w14:paraId="6EC81601">
      <w:pPr>
        <w:tabs>
          <w:tab w:val="left" w:pos="780"/>
        </w:tabs>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对验收有异议的，在验收后7个工作日内以书面形式向</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提出，</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应自收到</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书面异议后7日内及时予以解决。</w:t>
      </w:r>
    </w:p>
    <w:p w14:paraId="105EC166">
      <w:pPr>
        <w:tabs>
          <w:tab w:val="left" w:pos="780"/>
        </w:tabs>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10.经</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提出书面整改之日起，</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七日内仍无法解决的，或经整改达不到</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验收要求的，</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有权终止合同，</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无条件同意终止合同，</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自愿放弃所有的索赔，由此造成</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的经济损失由</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承担全部赔偿责任包括不限于</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的经济损失及律师费、诉讼费、鉴定费等。</w:t>
      </w:r>
    </w:p>
    <w:p w14:paraId="09CAD127">
      <w:pPr>
        <w:tabs>
          <w:tab w:val="left" w:pos="780"/>
        </w:tabs>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11.</w:t>
      </w:r>
      <w:r>
        <w:rPr>
          <w:rFonts w:hint="eastAsia" w:ascii="宋体" w:hAnsi="宋体" w:eastAsia="宋体" w:cs="宋体"/>
          <w:color w:val="auto"/>
          <w:szCs w:val="21"/>
          <w:highlight w:val="none"/>
          <w:lang w:eastAsia="zh-CN"/>
        </w:rPr>
        <w:t>乙方如按“</w:t>
      </w:r>
      <w:r>
        <w:rPr>
          <w:rFonts w:hint="eastAsia" w:ascii="宋体" w:hAnsi="宋体" w:eastAsia="宋体" w:cs="宋体"/>
          <w:color w:val="auto"/>
          <w:szCs w:val="21"/>
          <w:highlight w:val="none"/>
        </w:rPr>
        <w:t>技术要求</w:t>
      </w:r>
      <w:r>
        <w:rPr>
          <w:rFonts w:hint="eastAsia" w:ascii="宋体" w:hAnsi="宋体" w:eastAsia="宋体" w:cs="宋体"/>
          <w:color w:val="auto"/>
          <w:szCs w:val="21"/>
          <w:highlight w:val="none"/>
          <w:lang w:eastAsia="zh-CN"/>
        </w:rPr>
        <w:t>”于投标文件中</w:t>
      </w:r>
      <w:r>
        <w:rPr>
          <w:rFonts w:hint="eastAsia" w:ascii="宋体" w:hAnsi="宋体" w:eastAsia="宋体" w:cs="宋体"/>
          <w:color w:val="auto"/>
          <w:szCs w:val="21"/>
          <w:highlight w:val="none"/>
        </w:rPr>
        <w:t>提供</w:t>
      </w:r>
      <w:r>
        <w:rPr>
          <w:rFonts w:hint="eastAsia" w:ascii="宋体" w:hAnsi="宋体" w:eastAsia="宋体" w:cs="宋体"/>
          <w:color w:val="auto"/>
          <w:szCs w:val="21"/>
          <w:highlight w:val="none"/>
          <w:lang w:eastAsia="zh-CN"/>
        </w:rPr>
        <w:t>了相应的</w:t>
      </w:r>
      <w:r>
        <w:rPr>
          <w:rFonts w:hint="eastAsia" w:ascii="宋体" w:hAnsi="宋体" w:eastAsia="宋体" w:cs="宋体"/>
          <w:color w:val="auto"/>
          <w:szCs w:val="21"/>
          <w:highlight w:val="none"/>
        </w:rPr>
        <w:t>检测（验）报告</w:t>
      </w:r>
      <w:r>
        <w:rPr>
          <w:rFonts w:hint="eastAsia" w:ascii="宋体" w:hAnsi="宋体" w:eastAsia="宋体" w:cs="宋体"/>
          <w:color w:val="auto"/>
          <w:szCs w:val="21"/>
          <w:highlight w:val="none"/>
          <w:lang w:eastAsia="zh-CN"/>
        </w:rPr>
        <w:t>复印件</w:t>
      </w:r>
      <w:r>
        <w:rPr>
          <w:rFonts w:hint="eastAsia" w:ascii="宋体" w:hAnsi="宋体" w:eastAsia="宋体" w:cs="宋体"/>
          <w:color w:val="auto"/>
          <w:szCs w:val="21"/>
          <w:highlight w:val="none"/>
        </w:rPr>
        <w:t>的，</w:t>
      </w:r>
      <w:r>
        <w:rPr>
          <w:rFonts w:hint="eastAsia" w:ascii="宋体" w:hAnsi="宋体" w:eastAsia="宋体" w:cs="宋体"/>
          <w:color w:val="auto"/>
          <w:szCs w:val="21"/>
          <w:highlight w:val="none"/>
          <w:lang w:eastAsia="zh-CN"/>
        </w:rPr>
        <w:t>应于签订合同后</w:t>
      </w:r>
      <w:r>
        <w:rPr>
          <w:rFonts w:hint="eastAsia" w:ascii="宋体" w:hAnsi="宋体" w:eastAsia="宋体" w:cs="宋体"/>
          <w:color w:val="auto"/>
          <w:szCs w:val="21"/>
          <w:highlight w:val="none"/>
          <w:lang w:val="en-US" w:eastAsia="zh-CN"/>
        </w:rPr>
        <w:t>3个工作日内向甲方提供对应的</w:t>
      </w:r>
      <w:r>
        <w:rPr>
          <w:rFonts w:hint="eastAsia" w:ascii="宋体" w:hAnsi="宋体" w:eastAsia="宋体" w:cs="宋体"/>
          <w:color w:val="auto"/>
          <w:szCs w:val="21"/>
          <w:highlight w:val="none"/>
        </w:rPr>
        <w:t>检测（验）报告</w:t>
      </w:r>
      <w:r>
        <w:rPr>
          <w:rFonts w:hint="eastAsia" w:ascii="宋体" w:hAnsi="宋体" w:eastAsia="宋体" w:cs="宋体"/>
          <w:color w:val="auto"/>
          <w:szCs w:val="21"/>
          <w:highlight w:val="none"/>
          <w:lang w:eastAsia="zh-CN"/>
        </w:rPr>
        <w:t>原件进行核查，未按上述要求完整提供相应原件的或所提供的原件与复印件不一致的，甲方</w:t>
      </w:r>
      <w:r>
        <w:rPr>
          <w:rFonts w:hint="eastAsia" w:ascii="宋体" w:hAnsi="宋体" w:eastAsia="宋体" w:cs="宋体"/>
          <w:color w:val="auto"/>
          <w:szCs w:val="21"/>
          <w:highlight w:val="none"/>
        </w:rPr>
        <w:t>有权</w:t>
      </w:r>
      <w:r>
        <w:rPr>
          <w:rFonts w:hint="eastAsia" w:ascii="宋体" w:hAnsi="宋体" w:eastAsia="宋体" w:cs="宋体"/>
          <w:color w:val="auto"/>
          <w:szCs w:val="21"/>
          <w:highlight w:val="none"/>
          <w:lang w:eastAsia="zh-CN"/>
        </w:rPr>
        <w:t>不予验收，甲方可</w:t>
      </w:r>
      <w:r>
        <w:rPr>
          <w:rFonts w:hint="eastAsia" w:ascii="宋体" w:hAnsi="宋体" w:eastAsia="宋体" w:cs="宋体"/>
          <w:color w:val="auto"/>
          <w:szCs w:val="21"/>
          <w:highlight w:val="none"/>
        </w:rPr>
        <w:t>按照合同条款追究</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的违约责任，</w:t>
      </w:r>
      <w:r>
        <w:rPr>
          <w:rFonts w:hint="eastAsia" w:ascii="宋体" w:hAnsi="宋体" w:eastAsia="宋体" w:cs="宋体"/>
          <w:color w:val="auto"/>
          <w:szCs w:val="21"/>
          <w:highlight w:val="none"/>
          <w:lang w:eastAsia="zh-CN"/>
        </w:rPr>
        <w:t>并</w:t>
      </w:r>
      <w:r>
        <w:rPr>
          <w:rFonts w:hint="eastAsia" w:ascii="宋体" w:hAnsi="宋体" w:eastAsia="宋体" w:cs="宋体"/>
          <w:color w:val="auto"/>
          <w:szCs w:val="21"/>
          <w:highlight w:val="none"/>
        </w:rPr>
        <w:t>上报</w:t>
      </w:r>
      <w:r>
        <w:rPr>
          <w:rFonts w:hint="eastAsia" w:ascii="宋体" w:hAnsi="宋体" w:eastAsia="宋体" w:cs="宋体"/>
          <w:color w:val="auto"/>
          <w:szCs w:val="21"/>
          <w:highlight w:val="none"/>
          <w:lang w:eastAsia="zh-CN"/>
        </w:rPr>
        <w:t>监督管理部门</w:t>
      </w:r>
      <w:r>
        <w:rPr>
          <w:rFonts w:hint="eastAsia" w:ascii="宋体" w:hAnsi="宋体" w:eastAsia="宋体" w:cs="宋体"/>
          <w:color w:val="auto"/>
          <w:szCs w:val="21"/>
          <w:highlight w:val="none"/>
        </w:rPr>
        <w:t>处理。</w:t>
      </w:r>
    </w:p>
    <w:p w14:paraId="53340284">
      <w:pPr>
        <w:spacing w:line="38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第七条  安装和培训</w:t>
      </w:r>
    </w:p>
    <w:p w14:paraId="0FF7F6A5">
      <w:pPr>
        <w:snapToGrid w:val="0"/>
        <w:spacing w:line="400" w:lineRule="exact"/>
        <w:ind w:firstLine="420" w:firstLineChars="200"/>
        <w:rPr>
          <w:rFonts w:ascii="仿宋" w:hAnsi="仿宋" w:eastAsia="仿宋"/>
          <w:color w:val="auto"/>
          <w:sz w:val="24"/>
          <w:highlight w:val="none"/>
        </w:rPr>
      </w:pPr>
      <w:r>
        <w:rPr>
          <w:rFonts w:hint="eastAsia" w:ascii="宋体" w:hAnsi="宋体" w:cs="宋体"/>
          <w:color w:val="auto"/>
          <w:szCs w:val="21"/>
          <w:highlight w:val="none"/>
        </w:rPr>
        <w:t xml:space="preserve"> 1.甲方应提供必要安装条件（如场地、电源、水源等），乙方负责具体满足设备安装条件的施工，直到设备正常使用。</w:t>
      </w:r>
    </w:p>
    <w:p w14:paraId="776D0106">
      <w:pPr>
        <w:spacing w:line="380" w:lineRule="exact"/>
        <w:ind w:firstLine="315" w:firstLineChars="150"/>
        <w:rPr>
          <w:rFonts w:ascii="宋体" w:hAnsi="宋体" w:cs="宋体"/>
          <w:color w:val="auto"/>
          <w:szCs w:val="21"/>
          <w:highlight w:val="none"/>
        </w:rPr>
      </w:pPr>
      <w:r>
        <w:rPr>
          <w:rFonts w:hint="eastAsia" w:ascii="宋体" w:hAnsi="宋体" w:cs="宋体"/>
          <w:color w:val="auto"/>
          <w:szCs w:val="21"/>
          <w:highlight w:val="none"/>
        </w:rPr>
        <w:t>2.乙方负责甲方有关人员的培训。培训时间、地点：</w:t>
      </w:r>
      <w:r>
        <w:rPr>
          <w:rFonts w:hint="eastAsia" w:ascii="宋体" w:hAnsi="宋体" w:eastAsia="宋体" w:cs="宋体"/>
          <w:color w:val="auto"/>
          <w:szCs w:val="21"/>
          <w:highlight w:val="none"/>
          <w:u w:val="single"/>
        </w:rPr>
        <w:t>广西桂林市内</w:t>
      </w:r>
      <w:r>
        <w:rPr>
          <w:rFonts w:hint="eastAsia" w:ascii="宋体" w:hAnsi="宋体" w:eastAsia="宋体" w:cs="宋体"/>
          <w:color w:val="auto"/>
          <w:szCs w:val="21"/>
          <w:highlight w:val="none"/>
          <w:u w:val="single"/>
          <w:lang w:eastAsia="zh-CN"/>
        </w:rPr>
        <w:t>甲方</w:t>
      </w:r>
      <w:r>
        <w:rPr>
          <w:rFonts w:hint="eastAsia" w:ascii="宋体" w:hAnsi="宋体" w:eastAsia="宋体" w:cs="宋体"/>
          <w:color w:val="auto"/>
          <w:szCs w:val="21"/>
          <w:highlight w:val="none"/>
          <w:u w:val="single"/>
        </w:rPr>
        <w:t>指定地点</w:t>
      </w:r>
      <w:r>
        <w:rPr>
          <w:rFonts w:hint="eastAsia" w:ascii="宋体" w:hAnsi="宋体" w:eastAsia="宋体" w:cs="宋体"/>
          <w:color w:val="auto"/>
          <w:szCs w:val="21"/>
          <w:highlight w:val="none"/>
        </w:rPr>
        <w:t>。</w:t>
      </w:r>
    </w:p>
    <w:p w14:paraId="0C926AF9">
      <w:pPr>
        <w:spacing w:line="38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第八条  售后服务</w:t>
      </w:r>
    </w:p>
    <w:p w14:paraId="613570C2">
      <w:pP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投标人提供的以下售后服务均应包含在投标报价中，</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不再就此另行支付任何费用：</w:t>
      </w:r>
    </w:p>
    <w:p w14:paraId="7A43AAAD">
      <w:pP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（1）按照国家有关产品“三包”规定执行“三包”，保修期</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年（自验收合格之日起计算）。</w:t>
      </w:r>
    </w:p>
    <w:p w14:paraId="668DE7EC">
      <w:pP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（2）采购范围内的货物提供送货上门、安装调试合格；保修期内提供上门维修以及更换零配件服务。如果需要更换配件的，要求更换的配件应</w:t>
      </w:r>
      <w:r>
        <w:rPr>
          <w:rFonts w:hint="eastAsia" w:ascii="宋体" w:hAnsi="宋体" w:cs="宋体"/>
          <w:color w:val="auto"/>
          <w:szCs w:val="21"/>
          <w:highlight w:val="none"/>
          <w:lang w:eastAsia="zh-CN"/>
        </w:rPr>
        <w:t>与</w:t>
      </w:r>
      <w:r>
        <w:rPr>
          <w:rFonts w:hint="eastAsia" w:ascii="宋体" w:hAnsi="宋体" w:cs="宋体"/>
          <w:color w:val="auto"/>
          <w:szCs w:val="21"/>
          <w:highlight w:val="none"/>
        </w:rPr>
        <w:t>更换的品牌、类型相一致或者是同类同档次的替代品，后者需征得</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同意。保修期内提供技术培训服务，保证</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使用人员正常操作产品的各种功能。</w:t>
      </w:r>
    </w:p>
    <w:p w14:paraId="07BC2BF6">
      <w:pP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（3）保修期内接到报障电话应在</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小时内给予响应，需要现场维修的，应在</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个小时内到达故障现场；一般问题应在到达后</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小时内解决，重大问题或其他无法迅速解决的问题应在</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小时内解决。</w:t>
      </w:r>
    </w:p>
    <w:p w14:paraId="564855CA">
      <w:pP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（4）若产品自带软件的，则须提供保修期内提供软件升级服务。</w:t>
      </w:r>
    </w:p>
    <w:p w14:paraId="3B89514F">
      <w:pP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（5）在保修期内因货物本身的质量问题发生故障，</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应负责修理和更换零部件。对达不到技术要求者，根据实际情况，经双方协商，可按以下办法处理：</w:t>
      </w:r>
    </w:p>
    <w:p w14:paraId="11BC0739">
      <w:pP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①更换：由</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承担所有发生的全部费用。</w:t>
      </w:r>
    </w:p>
    <w:p w14:paraId="4A532835">
      <w:pP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②贬值处理：由</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双方合议定价。</w:t>
      </w:r>
    </w:p>
    <w:p w14:paraId="11A9B9BE">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③退货处理：</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应退还</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支付的合同款，同时应承担该货物的直接费用（运输、保险、检验、贷款利息及银行手续费等）。</w:t>
      </w:r>
    </w:p>
    <w:p w14:paraId="52E0C769">
      <w:pPr>
        <w:spacing w:line="38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第九条  税费</w:t>
      </w:r>
    </w:p>
    <w:p w14:paraId="16CE8D15">
      <w:pPr>
        <w:spacing w:line="38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本合同执行中相关的一切税费均由乙方负担。</w:t>
      </w:r>
    </w:p>
    <w:p w14:paraId="45EB8722">
      <w:pPr>
        <w:numPr>
          <w:ilvl w:val="0"/>
          <w:numId w:val="7"/>
        </w:numPr>
        <w:spacing w:line="38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付款方式</w:t>
      </w:r>
    </w:p>
    <w:p w14:paraId="405FF3C4">
      <w:pPr>
        <w:spacing w:line="380" w:lineRule="exact"/>
        <w:ind w:firstLine="420" w:firstLineChars="200"/>
        <w:rPr>
          <w:rFonts w:hint="eastAsia" w:ascii="宋体" w:hAnsi="宋体" w:cs="宋体"/>
          <w:b/>
          <w:color w:val="auto"/>
          <w:szCs w:val="21"/>
          <w:highlight w:val="none"/>
        </w:rPr>
      </w:pPr>
      <w:r>
        <w:rPr>
          <w:rFonts w:hint="eastAsia" w:ascii="宋体" w:hAnsi="宋体" w:cs="宋体"/>
          <w:b w:val="0"/>
          <w:bCs/>
          <w:color w:val="auto"/>
          <w:szCs w:val="21"/>
          <w:highlight w:val="none"/>
        </w:rPr>
        <w:t>项目设备验收合格并运行正常，收到发票后支付合同金额的50%；项目设备验收合格后第2年内支付合同金额的45%，保修期满后支付合同金额的5%（无息）。</w:t>
      </w:r>
    </w:p>
    <w:p w14:paraId="065D3617">
      <w:pPr>
        <w:spacing w:line="380" w:lineRule="exact"/>
        <w:ind w:firstLine="422" w:firstLineChars="200"/>
        <w:rPr>
          <w:rFonts w:ascii="宋体" w:hAnsi="宋体" w:cs="宋体"/>
          <w:color w:val="auto"/>
          <w:szCs w:val="21"/>
          <w:highlight w:val="none"/>
        </w:rPr>
      </w:pPr>
      <w:r>
        <w:rPr>
          <w:rFonts w:hint="eastAsia" w:ascii="宋体" w:hAnsi="宋体" w:cs="宋体"/>
          <w:b/>
          <w:color w:val="auto"/>
          <w:szCs w:val="21"/>
          <w:highlight w:val="none"/>
        </w:rPr>
        <w:t>第十一条  违约责任</w:t>
      </w:r>
    </w:p>
    <w:p w14:paraId="75D40675">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1.乙方所提供的货物规格、技术标准、材料等质量不合格的，应及时更换，更换不及时的按逾期交货处罚，因质量问题甲方不同意接收的或特殊情况甲方同意接收的，乙方应向甲方支付违约货款额</w:t>
      </w:r>
      <w:r>
        <w:rPr>
          <w:rFonts w:ascii="宋体" w:hAnsi="宋体" w:cs="宋体"/>
          <w:color w:val="auto"/>
          <w:szCs w:val="21"/>
          <w:highlight w:val="none"/>
        </w:rPr>
        <w:t>5%违约金并赔偿甲方经济损失，包括但不限于维权费用。</w:t>
      </w:r>
    </w:p>
    <w:p w14:paraId="1C37BE50">
      <w:pPr>
        <w:spacing w:line="380" w:lineRule="exact"/>
        <w:ind w:firstLine="359" w:firstLineChars="171"/>
        <w:rPr>
          <w:rFonts w:ascii="宋体" w:hAnsi="宋体" w:cs="宋体"/>
          <w:color w:val="auto"/>
          <w:szCs w:val="21"/>
          <w:highlight w:val="none"/>
        </w:rPr>
      </w:pPr>
      <w:r>
        <w:rPr>
          <w:rFonts w:hint="eastAsia" w:ascii="宋体" w:hAnsi="宋体" w:cs="宋体"/>
          <w:color w:val="auto"/>
          <w:szCs w:val="21"/>
          <w:highlight w:val="none"/>
        </w:rPr>
        <w:t>2.乙方提供的货物如果侵犯了第三方合法权益而引发的任何纠纷或诉讼，均由乙方负责交涉并承担全部责任；在履行本合同过程中非因甲方的原因引发的诉讼，由乙方承担全部责任</w:t>
      </w:r>
      <w:r>
        <w:rPr>
          <w:rFonts w:hint="eastAsia" w:ascii="宋体" w:hAnsi="宋体" w:cs="宋体"/>
          <w:color w:val="auto"/>
          <w:szCs w:val="21"/>
          <w:highlight w:val="none"/>
          <w:lang w:eastAsia="zh-CN"/>
        </w:rPr>
        <w:t>【</w:t>
      </w:r>
      <w:r>
        <w:rPr>
          <w:rFonts w:hint="eastAsia" w:ascii="宋体" w:hAnsi="宋体" w:cs="宋体"/>
          <w:color w:val="auto"/>
          <w:szCs w:val="21"/>
          <w:highlight w:val="none"/>
        </w:rPr>
        <w:t>包括不限于赔偿费</w:t>
      </w:r>
      <w:r>
        <w:rPr>
          <w:rFonts w:hint="eastAsia" w:ascii="宋体" w:hAnsi="宋体" w:cs="宋体"/>
          <w:color w:val="auto"/>
          <w:szCs w:val="21"/>
          <w:highlight w:val="none"/>
          <w:lang w:eastAsia="zh-CN"/>
        </w:rPr>
        <w:t>。</w:t>
      </w:r>
      <w:r>
        <w:rPr>
          <w:rFonts w:hint="eastAsia" w:ascii="宋体" w:hAnsi="宋体" w:cs="宋体"/>
          <w:color w:val="auto"/>
          <w:szCs w:val="21"/>
          <w:highlight w:val="none"/>
        </w:rPr>
        <w:t>甲方的经济损失费、律师费（按广西律师服务收费管理办法规定的标准）、仲裁费、诉讼费等费用，乙方承担后，有权向第三方追偿</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p>
    <w:p w14:paraId="086F75DE">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3.因包装、运输引起的货物损坏，按质量不合格处理。</w:t>
      </w:r>
    </w:p>
    <w:p w14:paraId="4FDCE01F">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4.甲方无故延期</w:t>
      </w:r>
      <w:r>
        <w:rPr>
          <w:rFonts w:hint="eastAsia" w:ascii="宋体" w:hAnsi="宋体" w:cs="宋体"/>
          <w:color w:val="auto"/>
          <w:szCs w:val="21"/>
          <w:highlight w:val="none"/>
          <w:lang w:eastAsia="zh-CN"/>
        </w:rPr>
        <w:t>接收</w:t>
      </w:r>
      <w:r>
        <w:rPr>
          <w:rFonts w:hint="eastAsia" w:ascii="宋体" w:hAnsi="宋体" w:cs="宋体"/>
          <w:color w:val="auto"/>
          <w:szCs w:val="21"/>
          <w:highlight w:val="none"/>
        </w:rPr>
        <w:t>货物的，每天向对方支付合同金额</w:t>
      </w:r>
      <w:r>
        <w:rPr>
          <w:rFonts w:hint="eastAsia" w:ascii="宋体" w:hAnsi="宋体" w:cs="宋体"/>
          <w:color w:val="auto"/>
          <w:szCs w:val="21"/>
          <w:highlight w:val="none"/>
          <w:u w:val="single"/>
        </w:rPr>
        <w:t>0.1</w:t>
      </w:r>
      <w:r>
        <w:rPr>
          <w:rFonts w:hint="eastAsia" w:ascii="宋体" w:hAnsi="宋体" w:cs="宋体"/>
          <w:color w:val="auto"/>
          <w:szCs w:val="21"/>
          <w:highlight w:val="none"/>
        </w:rPr>
        <w:t>‰违约金，但违约金额</w:t>
      </w:r>
      <w:r>
        <w:rPr>
          <w:rFonts w:hint="eastAsia" w:ascii="宋体" w:hAnsi="宋体" w:cs="宋体"/>
          <w:color w:val="auto"/>
          <w:szCs w:val="21"/>
          <w:highlight w:val="none"/>
          <w:lang w:val="en-US" w:eastAsia="zh-CN"/>
        </w:rPr>
        <w:t>累计</w:t>
      </w:r>
      <w:r>
        <w:rPr>
          <w:rFonts w:hint="eastAsia" w:ascii="宋体" w:hAnsi="宋体" w:cs="宋体"/>
          <w:color w:val="auto"/>
          <w:szCs w:val="21"/>
          <w:highlight w:val="none"/>
        </w:rPr>
        <w:t>不得超过合同金额</w:t>
      </w:r>
      <w:r>
        <w:rPr>
          <w:rFonts w:hint="eastAsia" w:ascii="宋体" w:hAnsi="宋体" w:cs="宋体"/>
          <w:color w:val="auto"/>
          <w:szCs w:val="21"/>
          <w:highlight w:val="none"/>
          <w:u w:val="single"/>
        </w:rPr>
        <w:t>1</w:t>
      </w:r>
      <w:r>
        <w:rPr>
          <w:rFonts w:hint="eastAsia" w:ascii="宋体" w:hAnsi="宋体" w:cs="宋体"/>
          <w:color w:val="auto"/>
          <w:szCs w:val="21"/>
          <w:highlight w:val="none"/>
        </w:rPr>
        <w:t>%。甲方延期付货款的，每天向乙方偿付逾期金额0.</w:t>
      </w:r>
      <w:r>
        <w:rPr>
          <w:rFonts w:hint="eastAsia" w:ascii="宋体" w:hAnsi="宋体" w:cs="宋体"/>
          <w:color w:val="auto"/>
          <w:szCs w:val="21"/>
          <w:highlight w:val="none"/>
          <w:u w:val="single"/>
        </w:rPr>
        <w:t>1</w:t>
      </w:r>
      <w:r>
        <w:rPr>
          <w:rFonts w:hint="eastAsia" w:ascii="宋体" w:hAnsi="宋体" w:cs="宋体"/>
          <w:color w:val="auto"/>
          <w:szCs w:val="21"/>
          <w:highlight w:val="none"/>
        </w:rPr>
        <w:t>‰违约金，但违约金累计不得超过合同金额</w:t>
      </w:r>
      <w:r>
        <w:rPr>
          <w:rFonts w:hint="eastAsia" w:ascii="宋体" w:hAnsi="宋体" w:cs="宋体"/>
          <w:color w:val="auto"/>
          <w:szCs w:val="21"/>
          <w:highlight w:val="none"/>
          <w:u w:val="single"/>
        </w:rPr>
        <w:t>1</w:t>
      </w:r>
      <w:r>
        <w:rPr>
          <w:rFonts w:hint="eastAsia" w:ascii="宋体" w:hAnsi="宋体" w:cs="宋体"/>
          <w:color w:val="auto"/>
          <w:szCs w:val="21"/>
          <w:highlight w:val="none"/>
        </w:rPr>
        <w:t>%。乙方逾期交货的，每天向对方支付合同金额0.</w:t>
      </w:r>
      <w:r>
        <w:rPr>
          <w:rFonts w:hint="eastAsia" w:ascii="宋体" w:hAnsi="宋体" w:cs="宋体"/>
          <w:color w:val="auto"/>
          <w:szCs w:val="21"/>
          <w:highlight w:val="none"/>
          <w:u w:val="single"/>
        </w:rPr>
        <w:t>3</w:t>
      </w:r>
      <w:r>
        <w:rPr>
          <w:rFonts w:hint="eastAsia" w:ascii="宋体" w:hAnsi="宋体" w:cs="宋体"/>
          <w:color w:val="auto"/>
          <w:szCs w:val="21"/>
          <w:highlight w:val="none"/>
        </w:rPr>
        <w:t>‰违约金，但违约金额不得超过合同金额</w:t>
      </w:r>
      <w:r>
        <w:rPr>
          <w:rFonts w:hint="eastAsia" w:ascii="宋体" w:hAnsi="宋体" w:cs="宋体"/>
          <w:color w:val="auto"/>
          <w:szCs w:val="21"/>
          <w:highlight w:val="none"/>
          <w:u w:val="single"/>
        </w:rPr>
        <w:t>30</w:t>
      </w:r>
      <w:r>
        <w:rPr>
          <w:rFonts w:hint="eastAsia" w:ascii="宋体" w:hAnsi="宋体" w:cs="宋体"/>
          <w:color w:val="auto"/>
          <w:szCs w:val="21"/>
          <w:highlight w:val="none"/>
        </w:rPr>
        <w:t>%，逾期超过</w:t>
      </w:r>
      <w:r>
        <w:rPr>
          <w:rFonts w:hint="eastAsia" w:ascii="宋体" w:hAnsi="宋体" w:cs="宋体"/>
          <w:color w:val="auto"/>
          <w:szCs w:val="21"/>
          <w:highlight w:val="none"/>
          <w:u w:val="single"/>
        </w:rPr>
        <w:t>20</w:t>
      </w:r>
      <w:r>
        <w:rPr>
          <w:rFonts w:hint="eastAsia" w:ascii="宋体" w:hAnsi="宋体" w:cs="宋体"/>
          <w:color w:val="auto"/>
          <w:szCs w:val="21"/>
          <w:highlight w:val="none"/>
        </w:rPr>
        <w:t>天的，对方有权终止合同，乙方承担因此给对方造成的经济损失（赔偿内容见本合同</w:t>
      </w:r>
      <w:bookmarkStart w:id="10" w:name="OLE_LINK6"/>
      <w:bookmarkStart w:id="11" w:name="OLE_LINK5"/>
      <w:r>
        <w:rPr>
          <w:rFonts w:hint="eastAsia" w:ascii="宋体" w:hAnsi="宋体" w:cs="宋体"/>
          <w:color w:val="auto"/>
          <w:szCs w:val="21"/>
          <w:highlight w:val="none"/>
        </w:rPr>
        <w:t>第十一条第2项</w:t>
      </w:r>
      <w:bookmarkEnd w:id="10"/>
      <w:bookmarkEnd w:id="11"/>
      <w:r>
        <w:rPr>
          <w:rFonts w:hint="eastAsia" w:ascii="宋体" w:hAnsi="宋体" w:cs="宋体"/>
          <w:color w:val="auto"/>
          <w:szCs w:val="21"/>
          <w:highlight w:val="none"/>
        </w:rPr>
        <w:t>列明的范围）。</w:t>
      </w:r>
    </w:p>
    <w:p w14:paraId="4FA7A592">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5.乙方未按本合同和投标文件中规定的服务承诺提供售后服务的，乙方除按其他条款约定支付违约金外，还须每次按本合同合计金额</w:t>
      </w:r>
      <w:r>
        <w:rPr>
          <w:rFonts w:hint="eastAsia" w:ascii="宋体" w:hAnsi="宋体" w:cs="宋体"/>
          <w:color w:val="auto"/>
          <w:szCs w:val="21"/>
          <w:highlight w:val="none"/>
          <w:u w:val="single"/>
        </w:rPr>
        <w:t>2</w:t>
      </w:r>
      <w:r>
        <w:rPr>
          <w:rFonts w:hint="eastAsia" w:ascii="宋体" w:hAnsi="宋体" w:cs="宋体"/>
          <w:color w:val="auto"/>
          <w:szCs w:val="21"/>
          <w:highlight w:val="none"/>
        </w:rPr>
        <w:t>%向甲方支付违约金并赔偿甲方损失。</w:t>
      </w:r>
    </w:p>
    <w:p w14:paraId="73DB4E8A">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6.乙方提供的货物在</w:t>
      </w:r>
      <w:r>
        <w:rPr>
          <w:rFonts w:hint="eastAsia" w:ascii="宋体" w:hAnsi="宋体" w:cs="宋体"/>
          <w:color w:val="auto"/>
          <w:szCs w:val="21"/>
          <w:highlight w:val="none"/>
          <w:lang w:eastAsia="zh-CN"/>
        </w:rPr>
        <w:t>保修</w:t>
      </w:r>
      <w:r>
        <w:rPr>
          <w:rFonts w:hint="eastAsia" w:ascii="宋体" w:hAnsi="宋体" w:cs="宋体"/>
          <w:color w:val="auto"/>
          <w:szCs w:val="21"/>
          <w:highlight w:val="none"/>
        </w:rPr>
        <w:t>期内，因设计、工艺或材料的缺陷和其他质量原因造成的问题，由乙方负责，费用从合同尾款中扣除，不足部分乙方全部承担。</w:t>
      </w:r>
      <w:r>
        <w:rPr>
          <w:rFonts w:hint="eastAsia"/>
          <w:color w:val="auto"/>
          <w:highlight w:val="none"/>
        </w:rPr>
        <w:t>如存在验收后1年内非因甲方原因进行维保累计达3次的，甲方有权解除合同，乙方应全额退款。</w:t>
      </w:r>
    </w:p>
    <w:p w14:paraId="696B6D2D">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7.乙方其他违约行为按合同总金额</w:t>
      </w:r>
      <w:r>
        <w:rPr>
          <w:rFonts w:hint="eastAsia" w:ascii="宋体" w:hAnsi="宋体" w:cs="宋体"/>
          <w:color w:val="auto"/>
          <w:szCs w:val="21"/>
          <w:highlight w:val="none"/>
          <w:u w:val="single"/>
        </w:rPr>
        <w:t>5</w:t>
      </w:r>
      <w:r>
        <w:rPr>
          <w:rFonts w:hint="eastAsia" w:ascii="宋体" w:hAnsi="宋体" w:cs="宋体"/>
          <w:color w:val="auto"/>
          <w:szCs w:val="21"/>
          <w:highlight w:val="none"/>
        </w:rPr>
        <w:t>%收取违约金并赔偿经济损失。</w:t>
      </w:r>
    </w:p>
    <w:p w14:paraId="196D5CF2">
      <w:pPr>
        <w:spacing w:line="380" w:lineRule="exact"/>
        <w:ind w:firstLine="420" w:firstLineChars="200"/>
        <w:rPr>
          <w:color w:val="auto"/>
          <w:highlight w:val="none"/>
        </w:rPr>
      </w:pPr>
      <w:r>
        <w:rPr>
          <w:rFonts w:hint="eastAsia" w:ascii="宋体" w:hAnsi="宋体" w:cs="宋体"/>
          <w:color w:val="auto"/>
          <w:szCs w:val="21"/>
          <w:highlight w:val="none"/>
        </w:rPr>
        <w:t>8.乙方承诺目前不存在任何影响公司经营的诉讼或仲裁，合同签订后，如出现对乙方经营有重大影响的诉讼或仲裁或行政处罚的，或出现严重困难和财务状况恶化等可能出现重大不利影响的情形，或面临资产被财产保全或其他司法强制措施等影响乙方正常经营</w:t>
      </w:r>
      <w:r>
        <w:rPr>
          <w:rFonts w:hint="eastAsia" w:ascii="宋体" w:hAnsi="宋体" w:cs="宋体"/>
          <w:color w:val="auto"/>
          <w:szCs w:val="21"/>
          <w:highlight w:val="none"/>
          <w:lang w:eastAsia="zh-CN"/>
        </w:rPr>
        <w:t>、有</w:t>
      </w:r>
      <w:r>
        <w:rPr>
          <w:rFonts w:hint="eastAsia" w:ascii="宋体" w:hAnsi="宋体" w:cs="宋体"/>
          <w:color w:val="auto"/>
          <w:szCs w:val="21"/>
          <w:highlight w:val="none"/>
        </w:rPr>
        <w:t>负面影响的其他事件，须在事件发生之日起</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日内向甲方书面通知，征得甲方书面同意，并妥善落实本合同项下的全部义务，必要时，甲方有权要求乙方提供担保。因乙方未能消除上述影响或提供担保的，甲方享有单方解除合同的权利，乙方已经收取的费用扣除服务年限后应予退回。</w:t>
      </w:r>
    </w:p>
    <w:p w14:paraId="4B9A74FB">
      <w:pPr>
        <w:spacing w:line="38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第十二条  不可抗力事件处理</w:t>
      </w:r>
    </w:p>
    <w:p w14:paraId="41473F90">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1.在合同有效期内，乙方因不可抗力事件导致不能履行合同，则合同履行期可延长，其延长期与不可抗力影响期相同。</w:t>
      </w:r>
    </w:p>
    <w:p w14:paraId="417C6817">
      <w:pPr>
        <w:tabs>
          <w:tab w:val="left" w:pos="780"/>
        </w:tabs>
        <w:spacing w:line="380" w:lineRule="exact"/>
        <w:ind w:firstLine="315" w:firstLineChars="150"/>
        <w:rPr>
          <w:rFonts w:ascii="宋体" w:hAnsi="宋体" w:cs="宋体"/>
          <w:color w:val="auto"/>
          <w:szCs w:val="21"/>
          <w:highlight w:val="none"/>
        </w:rPr>
      </w:pPr>
      <w:r>
        <w:rPr>
          <w:rFonts w:hint="eastAsia" w:ascii="宋体" w:hAnsi="宋体" w:cs="宋体"/>
          <w:color w:val="auto"/>
          <w:szCs w:val="21"/>
          <w:highlight w:val="none"/>
        </w:rPr>
        <w:t>2.不可抗力事件发生后，应立即通知对方，并寄送有关权威机构出具的证明。</w:t>
      </w:r>
    </w:p>
    <w:p w14:paraId="0524BAEA">
      <w:pPr>
        <w:tabs>
          <w:tab w:val="left" w:pos="780"/>
        </w:tabs>
        <w:spacing w:line="380" w:lineRule="exact"/>
        <w:ind w:firstLine="315" w:firstLineChars="150"/>
        <w:rPr>
          <w:rFonts w:ascii="宋体" w:hAnsi="宋体" w:cs="宋体"/>
          <w:color w:val="auto"/>
          <w:szCs w:val="21"/>
          <w:highlight w:val="none"/>
        </w:rPr>
      </w:pPr>
      <w:r>
        <w:rPr>
          <w:rFonts w:hint="eastAsia" w:ascii="宋体" w:hAnsi="宋体" w:cs="宋体"/>
          <w:color w:val="auto"/>
          <w:szCs w:val="21"/>
          <w:highlight w:val="none"/>
        </w:rPr>
        <w:t>3.不可抗力事件延续六十天以上，双方应通过友好协商，确定是否继续履行合同。</w:t>
      </w:r>
    </w:p>
    <w:p w14:paraId="32647CD4">
      <w:pPr>
        <w:spacing w:line="38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第十三条  合同争议解决</w:t>
      </w:r>
    </w:p>
    <w:p w14:paraId="7998A649">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1.因货物质量问题发生争议的，应邀请国家认可的质量检测机构对货物质量进行鉴定。货物符合标准的，鉴定费由甲方承担；货物不符合标准的，鉴定费由乙方承担。</w:t>
      </w:r>
    </w:p>
    <w:p w14:paraId="57B10AB4">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2.因履行本合同引起的或与本合同有关的争议，甲乙双方应首先通过友好协商解决，如果协商不能解决，双方约定由甲方所在地人民法院管辖。</w:t>
      </w:r>
    </w:p>
    <w:p w14:paraId="52B0A492">
      <w:pPr>
        <w:spacing w:line="380" w:lineRule="exact"/>
        <w:ind w:firstLine="434" w:firstLineChars="207"/>
        <w:rPr>
          <w:rFonts w:ascii="宋体" w:hAnsi="宋体" w:cs="宋体"/>
          <w:color w:val="auto"/>
          <w:szCs w:val="21"/>
          <w:highlight w:val="none"/>
        </w:rPr>
      </w:pPr>
      <w:r>
        <w:rPr>
          <w:rFonts w:hint="eastAsia" w:ascii="宋体" w:hAnsi="宋体" w:cs="宋体"/>
          <w:color w:val="auto"/>
          <w:szCs w:val="21"/>
          <w:highlight w:val="none"/>
        </w:rPr>
        <w:t>3.本合同尾部所约定的通讯地址及联系人作为双方送达文书及诉讼程序一审、二审、再审、执行以及仲裁程序所涉法律文书（包括但不限于应诉通知书、开庭传票、判决书、裁定书、裁决书等）的指定送达地址及送达联系人，如因受送达方无法签收、拒收等原因导致被退回的，各方一致同意法律文书被退回之日即为送达之日。各方变更地址应及时书面通知对方，否则由此引起的责任由信息变更方承担。按本协议所载资料向乙方发送的所有通知及司法部门的文书，视同送达。</w:t>
      </w:r>
    </w:p>
    <w:p w14:paraId="2A83B704">
      <w:pPr>
        <w:spacing w:line="38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第十四条  合同生效及其它</w:t>
      </w:r>
    </w:p>
    <w:p w14:paraId="18D98035">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1.合同经甲乙双方法定代表人或授权代表签字并加盖单位公章、骑缝章后生效。</w:t>
      </w:r>
    </w:p>
    <w:p w14:paraId="2A8C5B43">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2.合同执行中涉及采购资金和采购内容修改或补充的，须经甲方同意，并签订书面补充协议，方可作为主合同不可分割的一部分。</w:t>
      </w:r>
    </w:p>
    <w:p w14:paraId="295D6731">
      <w:pPr>
        <w:spacing w:line="380" w:lineRule="exact"/>
        <w:ind w:left="435"/>
        <w:rPr>
          <w:rFonts w:ascii="宋体" w:hAnsi="宋体" w:cs="宋体"/>
          <w:color w:val="auto"/>
          <w:szCs w:val="21"/>
          <w:highlight w:val="none"/>
        </w:rPr>
      </w:pPr>
      <w:r>
        <w:rPr>
          <w:rFonts w:hint="eastAsia" w:ascii="宋体" w:hAnsi="宋体" w:cs="宋体"/>
          <w:color w:val="auto"/>
          <w:szCs w:val="21"/>
          <w:highlight w:val="none"/>
        </w:rPr>
        <w:t>3.本合同未尽事宜，遵照《中华人民共和国民法典》及相关法律有关条文执行。</w:t>
      </w:r>
    </w:p>
    <w:p w14:paraId="78B8FF22">
      <w:pPr>
        <w:spacing w:line="38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第十五条  合同的变更、终止与转让</w:t>
      </w:r>
    </w:p>
    <w:p w14:paraId="51160D4F">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1.本合同一经签订，甲乙双方不得擅自变更，中止或终止。</w:t>
      </w:r>
    </w:p>
    <w:p w14:paraId="389AA4A2">
      <w:pPr>
        <w:tabs>
          <w:tab w:val="left" w:pos="780"/>
        </w:tabs>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2.乙方不得擅自转让</w:t>
      </w:r>
      <w:r>
        <w:rPr>
          <w:rFonts w:hint="eastAsia" w:ascii="宋体" w:hAnsi="宋体" w:cs="宋体"/>
          <w:color w:val="auto"/>
          <w:szCs w:val="21"/>
          <w:highlight w:val="none"/>
          <w:lang w:eastAsia="zh-CN"/>
        </w:rPr>
        <w:t>（</w:t>
      </w:r>
      <w:r>
        <w:rPr>
          <w:rFonts w:hint="eastAsia" w:ascii="宋体" w:hAnsi="宋体" w:cs="宋体"/>
          <w:color w:val="auto"/>
          <w:szCs w:val="21"/>
          <w:highlight w:val="none"/>
        </w:rPr>
        <w:t>无进口资格的供应商委托进口货物除外</w:t>
      </w:r>
      <w:r>
        <w:rPr>
          <w:rFonts w:hint="eastAsia" w:ascii="宋体" w:hAnsi="宋体" w:cs="宋体"/>
          <w:color w:val="auto"/>
          <w:szCs w:val="21"/>
          <w:highlight w:val="none"/>
          <w:lang w:eastAsia="zh-CN"/>
        </w:rPr>
        <w:t>）</w:t>
      </w:r>
      <w:r>
        <w:rPr>
          <w:rFonts w:hint="eastAsia" w:ascii="宋体" w:hAnsi="宋体" w:cs="宋体"/>
          <w:color w:val="auto"/>
          <w:szCs w:val="21"/>
          <w:highlight w:val="none"/>
        </w:rPr>
        <w:t>其应履行的合同义务。</w:t>
      </w:r>
    </w:p>
    <w:p w14:paraId="36ED5E34">
      <w:pPr>
        <w:keepNext w:val="0"/>
        <w:keepLines w:val="0"/>
        <w:pageBreakBefore w:val="0"/>
        <w:widowControl w:val="0"/>
        <w:tabs>
          <w:tab w:val="left" w:pos="4320"/>
          <w:tab w:val="left" w:pos="4500"/>
        </w:tabs>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color w:val="auto"/>
          <w:highlight w:val="none"/>
        </w:rPr>
        <w:t>政府采购合同双方自签订之日起2个工作日内在省级以上人民政府财政部门指定媒体上公告。</w:t>
      </w:r>
    </w:p>
    <w:p w14:paraId="0DA70AEF">
      <w:pPr>
        <w:tabs>
          <w:tab w:val="left" w:pos="4320"/>
          <w:tab w:val="left" w:pos="4500"/>
        </w:tabs>
        <w:spacing w:line="52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甲方名称（公章）：</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乙方名称（公章）：</w:t>
      </w:r>
    </w:p>
    <w:p w14:paraId="41B0FE29">
      <w:pPr>
        <w:spacing w:line="520" w:lineRule="exact"/>
        <w:ind w:left="4620" w:hanging="4620" w:hangingChars="2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                                    法定代表人：</w:t>
      </w:r>
    </w:p>
    <w:p w14:paraId="1922319C">
      <w:pPr>
        <w:tabs>
          <w:tab w:val="left" w:pos="4680"/>
        </w:tabs>
        <w:spacing w:line="52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委托代理人：                                    委托代理人：</w:t>
      </w:r>
    </w:p>
    <w:p w14:paraId="45D42363">
      <w:pPr>
        <w:tabs>
          <w:tab w:val="left" w:pos="4680"/>
        </w:tabs>
        <w:spacing w:line="52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经办人：                                        经办人：                             </w:t>
      </w:r>
    </w:p>
    <w:p w14:paraId="3668D047">
      <w:pPr>
        <w:tabs>
          <w:tab w:val="left" w:pos="5040"/>
        </w:tabs>
        <w:spacing w:line="52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电话：</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电话：</w:t>
      </w:r>
    </w:p>
    <w:p w14:paraId="013FD134">
      <w:pPr>
        <w:tabs>
          <w:tab w:val="left" w:pos="5040"/>
        </w:tabs>
        <w:spacing w:line="52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开户名称：                                        开户名称：</w:t>
      </w:r>
    </w:p>
    <w:p w14:paraId="6077E396">
      <w:pPr>
        <w:tabs>
          <w:tab w:val="left" w:pos="5040"/>
        </w:tabs>
        <w:spacing w:line="52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                                        开户银行：</w:t>
      </w:r>
    </w:p>
    <w:p w14:paraId="47BAE1AD">
      <w:pPr>
        <w:tabs>
          <w:tab w:val="left" w:pos="5040"/>
        </w:tabs>
        <w:spacing w:line="52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银行账号：                                        银行账号：</w:t>
      </w:r>
    </w:p>
    <w:p w14:paraId="314B72EB">
      <w:pPr>
        <w:spacing w:line="52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日期：   </w:t>
      </w:r>
      <w:r>
        <w:rPr>
          <w:rFonts w:hint="eastAsia" w:ascii="宋体" w:hAnsi="宋体" w:eastAsia="宋体" w:cs="宋体"/>
          <w:color w:val="auto"/>
          <w:sz w:val="21"/>
          <w:szCs w:val="21"/>
          <w:highlight w:val="none"/>
          <w:u w:val="single"/>
        </w:rPr>
        <w:t>年   月   日</w:t>
      </w:r>
      <w:r>
        <w:rPr>
          <w:rFonts w:hint="eastAsia" w:ascii="宋体" w:hAnsi="宋体" w:eastAsia="宋体" w:cs="宋体"/>
          <w:color w:val="auto"/>
          <w:sz w:val="21"/>
          <w:szCs w:val="21"/>
          <w:highlight w:val="none"/>
        </w:rPr>
        <w:t xml:space="preserve">                                 日期：  </w:t>
      </w:r>
      <w:r>
        <w:rPr>
          <w:rFonts w:hint="eastAsia" w:ascii="宋体" w:hAnsi="宋体" w:eastAsia="宋体" w:cs="宋体"/>
          <w:color w:val="auto"/>
          <w:sz w:val="21"/>
          <w:szCs w:val="21"/>
          <w:highlight w:val="none"/>
          <w:u w:val="single"/>
        </w:rPr>
        <w:t>年   月   日</w:t>
      </w:r>
    </w:p>
    <w:p w14:paraId="1A3EB8D4">
      <w:pPr>
        <w:spacing w:line="440" w:lineRule="atLeast"/>
        <w:jc w:val="center"/>
        <w:rPr>
          <w:rFonts w:hint="eastAsia" w:ascii="宋体" w:hAnsi="宋体"/>
          <w:b/>
          <w:color w:val="auto"/>
          <w:sz w:val="32"/>
          <w:szCs w:val="32"/>
          <w:highlight w:val="none"/>
        </w:rPr>
      </w:pPr>
    </w:p>
    <w:p w14:paraId="38C6615E">
      <w:pPr>
        <w:spacing w:line="440" w:lineRule="atLeast"/>
        <w:jc w:val="center"/>
        <w:rPr>
          <w:rFonts w:hint="eastAsia" w:ascii="宋体" w:hAnsi="宋体"/>
          <w:b/>
          <w:color w:val="auto"/>
          <w:sz w:val="32"/>
          <w:szCs w:val="32"/>
          <w:highlight w:val="none"/>
        </w:rPr>
      </w:pPr>
    </w:p>
    <w:p w14:paraId="6E5E33D1">
      <w:pPr>
        <w:spacing w:line="440" w:lineRule="atLeast"/>
        <w:jc w:val="center"/>
        <w:rPr>
          <w:rFonts w:hint="eastAsia" w:ascii="宋体" w:hAnsi="宋体"/>
          <w:b/>
          <w:color w:val="auto"/>
          <w:sz w:val="32"/>
          <w:szCs w:val="32"/>
          <w:highlight w:val="none"/>
        </w:rPr>
      </w:pPr>
    </w:p>
    <w:p w14:paraId="489978DF">
      <w:pPr>
        <w:spacing w:line="440" w:lineRule="atLeast"/>
        <w:jc w:val="center"/>
        <w:rPr>
          <w:rFonts w:hint="eastAsia" w:ascii="宋体" w:hAnsi="宋体"/>
          <w:b/>
          <w:color w:val="auto"/>
          <w:sz w:val="32"/>
          <w:szCs w:val="32"/>
          <w:highlight w:val="none"/>
        </w:rPr>
      </w:pPr>
    </w:p>
    <w:p w14:paraId="384E7D1F">
      <w:pPr>
        <w:spacing w:line="440" w:lineRule="atLeast"/>
        <w:jc w:val="center"/>
        <w:rPr>
          <w:rFonts w:hint="eastAsia" w:ascii="宋体" w:hAnsi="宋体"/>
          <w:b/>
          <w:color w:val="auto"/>
          <w:sz w:val="32"/>
          <w:szCs w:val="32"/>
          <w:highlight w:val="none"/>
        </w:rPr>
      </w:pPr>
    </w:p>
    <w:p w14:paraId="05DDB48E">
      <w:pPr>
        <w:spacing w:line="440" w:lineRule="atLeast"/>
        <w:jc w:val="center"/>
        <w:rPr>
          <w:rFonts w:hint="eastAsia" w:ascii="宋体" w:hAnsi="宋体"/>
          <w:b/>
          <w:color w:val="auto"/>
          <w:sz w:val="32"/>
          <w:szCs w:val="32"/>
          <w:highlight w:val="none"/>
        </w:rPr>
      </w:pPr>
      <w:r>
        <w:rPr>
          <w:rFonts w:ascii="宋体" w:hAnsi="宋体"/>
          <w:b/>
          <w:color w:val="auto"/>
          <w:sz w:val="32"/>
          <w:szCs w:val="32"/>
          <w:highlight w:val="none"/>
        </w:rPr>
        <w:br w:type="page"/>
      </w:r>
    </w:p>
    <w:p w14:paraId="25791E24">
      <w:pPr>
        <w:spacing w:line="440" w:lineRule="atLeast"/>
        <w:jc w:val="center"/>
        <w:rPr>
          <w:rFonts w:hint="eastAsia" w:ascii="宋体" w:hAnsi="宋体"/>
          <w:b/>
          <w:color w:val="auto"/>
          <w:sz w:val="32"/>
          <w:szCs w:val="32"/>
          <w:highlight w:val="none"/>
        </w:rPr>
      </w:pPr>
    </w:p>
    <w:p w14:paraId="725FFA4D">
      <w:pPr>
        <w:spacing w:line="440" w:lineRule="atLeast"/>
        <w:jc w:val="center"/>
        <w:rPr>
          <w:rFonts w:hint="eastAsia" w:ascii="宋体" w:hAnsi="宋体"/>
          <w:b/>
          <w:color w:val="auto"/>
          <w:sz w:val="32"/>
          <w:szCs w:val="32"/>
          <w:highlight w:val="none"/>
        </w:rPr>
      </w:pPr>
    </w:p>
    <w:p w14:paraId="0192FDC0">
      <w:pPr>
        <w:spacing w:line="440" w:lineRule="atLeast"/>
        <w:jc w:val="center"/>
        <w:rPr>
          <w:rFonts w:hint="eastAsia" w:ascii="宋体" w:hAnsi="宋体"/>
          <w:b/>
          <w:color w:val="auto"/>
          <w:sz w:val="32"/>
          <w:szCs w:val="32"/>
          <w:highlight w:val="none"/>
        </w:rPr>
      </w:pPr>
    </w:p>
    <w:p w14:paraId="7C5E9C96">
      <w:pPr>
        <w:spacing w:line="440" w:lineRule="atLeast"/>
        <w:jc w:val="center"/>
        <w:rPr>
          <w:rFonts w:hint="eastAsia" w:ascii="宋体" w:hAnsi="宋体"/>
          <w:b/>
          <w:color w:val="auto"/>
          <w:sz w:val="32"/>
          <w:szCs w:val="32"/>
          <w:highlight w:val="none"/>
        </w:rPr>
      </w:pPr>
    </w:p>
    <w:p w14:paraId="0C311B4D">
      <w:pPr>
        <w:spacing w:line="440" w:lineRule="atLeast"/>
        <w:jc w:val="center"/>
        <w:rPr>
          <w:rFonts w:hint="eastAsia" w:ascii="宋体" w:hAnsi="宋体"/>
          <w:b/>
          <w:color w:val="auto"/>
          <w:sz w:val="32"/>
          <w:szCs w:val="32"/>
          <w:highlight w:val="none"/>
        </w:rPr>
      </w:pPr>
    </w:p>
    <w:p w14:paraId="7BB1E35A">
      <w:pPr>
        <w:spacing w:line="440" w:lineRule="atLeast"/>
        <w:jc w:val="center"/>
        <w:rPr>
          <w:rFonts w:hint="eastAsia" w:ascii="宋体" w:hAnsi="宋体"/>
          <w:b/>
          <w:color w:val="auto"/>
          <w:sz w:val="32"/>
          <w:szCs w:val="32"/>
          <w:highlight w:val="none"/>
        </w:rPr>
      </w:pPr>
    </w:p>
    <w:p w14:paraId="56E60566">
      <w:pPr>
        <w:spacing w:line="440" w:lineRule="atLeast"/>
        <w:jc w:val="center"/>
        <w:rPr>
          <w:rFonts w:hint="eastAsia" w:ascii="宋体" w:hAnsi="宋体"/>
          <w:b/>
          <w:color w:val="auto"/>
          <w:sz w:val="32"/>
          <w:szCs w:val="32"/>
          <w:highlight w:val="none"/>
        </w:rPr>
      </w:pPr>
    </w:p>
    <w:p w14:paraId="46DED8F7">
      <w:pPr>
        <w:spacing w:line="440" w:lineRule="atLeast"/>
        <w:jc w:val="center"/>
        <w:rPr>
          <w:rFonts w:hint="eastAsia" w:ascii="宋体" w:hAnsi="宋体"/>
          <w:b/>
          <w:color w:val="auto"/>
          <w:sz w:val="32"/>
          <w:szCs w:val="32"/>
          <w:highlight w:val="none"/>
        </w:rPr>
      </w:pPr>
    </w:p>
    <w:p w14:paraId="5D3216C1">
      <w:pPr>
        <w:spacing w:line="440" w:lineRule="atLeast"/>
        <w:jc w:val="center"/>
        <w:rPr>
          <w:rFonts w:hint="eastAsia" w:ascii="宋体" w:hAnsi="宋体"/>
          <w:b/>
          <w:color w:val="auto"/>
          <w:sz w:val="32"/>
          <w:szCs w:val="32"/>
          <w:highlight w:val="none"/>
        </w:rPr>
      </w:pPr>
    </w:p>
    <w:p w14:paraId="2E115F7E">
      <w:pPr>
        <w:spacing w:line="440" w:lineRule="atLeast"/>
        <w:jc w:val="center"/>
        <w:rPr>
          <w:rFonts w:hint="eastAsia" w:ascii="宋体" w:hAnsi="宋体"/>
          <w:b/>
          <w:color w:val="auto"/>
          <w:sz w:val="32"/>
          <w:szCs w:val="32"/>
          <w:highlight w:val="none"/>
        </w:rPr>
      </w:pPr>
      <w:r>
        <w:rPr>
          <w:rFonts w:hint="eastAsia" w:ascii="宋体" w:hAnsi="宋体"/>
          <w:b/>
          <w:color w:val="auto"/>
          <w:sz w:val="32"/>
          <w:szCs w:val="32"/>
          <w:highlight w:val="none"/>
        </w:rPr>
        <w:t>第六章 投标文件（格式）</w:t>
      </w:r>
    </w:p>
    <w:p w14:paraId="6D99BC33">
      <w:pPr>
        <w:spacing w:line="440" w:lineRule="atLeast"/>
        <w:rPr>
          <w:rFonts w:hint="eastAsia" w:ascii="宋体" w:hAnsi="宋体"/>
          <w:b/>
          <w:color w:val="auto"/>
          <w:sz w:val="32"/>
          <w:szCs w:val="32"/>
          <w:highlight w:val="none"/>
        </w:rPr>
      </w:pPr>
    </w:p>
    <w:p w14:paraId="5510C2E8">
      <w:pPr>
        <w:spacing w:line="440" w:lineRule="atLeast"/>
        <w:rPr>
          <w:rFonts w:hint="eastAsia" w:ascii="宋体" w:hAnsi="宋体"/>
          <w:b/>
          <w:color w:val="auto"/>
          <w:sz w:val="32"/>
          <w:szCs w:val="32"/>
          <w:highlight w:val="none"/>
        </w:rPr>
      </w:pPr>
    </w:p>
    <w:p w14:paraId="6B65AF8E">
      <w:pPr>
        <w:spacing w:line="440" w:lineRule="atLeast"/>
        <w:rPr>
          <w:rFonts w:hint="eastAsia" w:ascii="宋体" w:hAnsi="宋体"/>
          <w:b/>
          <w:color w:val="auto"/>
          <w:sz w:val="32"/>
          <w:szCs w:val="32"/>
          <w:highlight w:val="none"/>
        </w:rPr>
      </w:pPr>
    </w:p>
    <w:p w14:paraId="38DEF025">
      <w:pPr>
        <w:spacing w:line="440" w:lineRule="atLeast"/>
        <w:rPr>
          <w:rFonts w:hint="eastAsia" w:ascii="宋体" w:hAnsi="宋体"/>
          <w:b/>
          <w:color w:val="auto"/>
          <w:sz w:val="32"/>
          <w:szCs w:val="32"/>
          <w:highlight w:val="none"/>
        </w:rPr>
      </w:pPr>
    </w:p>
    <w:p w14:paraId="70F10D6F">
      <w:pPr>
        <w:spacing w:line="440" w:lineRule="atLeast"/>
        <w:rPr>
          <w:rFonts w:hint="eastAsia" w:ascii="宋体" w:hAnsi="宋体"/>
          <w:b/>
          <w:color w:val="auto"/>
          <w:sz w:val="32"/>
          <w:szCs w:val="32"/>
          <w:highlight w:val="none"/>
        </w:rPr>
      </w:pPr>
    </w:p>
    <w:p w14:paraId="6FB20EDC">
      <w:pPr>
        <w:spacing w:line="440" w:lineRule="atLeast"/>
        <w:rPr>
          <w:rFonts w:hint="eastAsia" w:ascii="宋体" w:hAnsi="宋体"/>
          <w:b/>
          <w:color w:val="auto"/>
          <w:sz w:val="32"/>
          <w:szCs w:val="32"/>
          <w:highlight w:val="none"/>
        </w:rPr>
      </w:pPr>
    </w:p>
    <w:p w14:paraId="3DDFB3C7">
      <w:pPr>
        <w:spacing w:line="440" w:lineRule="atLeast"/>
        <w:rPr>
          <w:rFonts w:hint="eastAsia" w:ascii="宋体" w:hAnsi="宋体"/>
          <w:b/>
          <w:color w:val="auto"/>
          <w:sz w:val="32"/>
          <w:szCs w:val="32"/>
          <w:highlight w:val="none"/>
        </w:rPr>
      </w:pPr>
    </w:p>
    <w:p w14:paraId="3D55756E">
      <w:pPr>
        <w:spacing w:line="440" w:lineRule="atLeast"/>
        <w:rPr>
          <w:rFonts w:hint="eastAsia" w:ascii="宋体" w:hAnsi="宋体"/>
          <w:b/>
          <w:color w:val="auto"/>
          <w:sz w:val="32"/>
          <w:szCs w:val="32"/>
          <w:highlight w:val="none"/>
        </w:rPr>
      </w:pPr>
    </w:p>
    <w:p w14:paraId="67FA6D94">
      <w:pPr>
        <w:spacing w:line="440" w:lineRule="atLeast"/>
        <w:rPr>
          <w:rFonts w:hint="eastAsia" w:ascii="宋体" w:hAnsi="宋体"/>
          <w:b/>
          <w:color w:val="auto"/>
          <w:sz w:val="32"/>
          <w:szCs w:val="32"/>
          <w:highlight w:val="none"/>
        </w:rPr>
      </w:pPr>
    </w:p>
    <w:p w14:paraId="09190877">
      <w:pPr>
        <w:spacing w:line="440" w:lineRule="atLeast"/>
        <w:rPr>
          <w:rFonts w:hint="eastAsia" w:ascii="宋体" w:hAnsi="宋体"/>
          <w:b/>
          <w:color w:val="auto"/>
          <w:sz w:val="32"/>
          <w:szCs w:val="32"/>
          <w:highlight w:val="none"/>
        </w:rPr>
      </w:pPr>
    </w:p>
    <w:p w14:paraId="62B17F8B">
      <w:pPr>
        <w:spacing w:line="440" w:lineRule="atLeast"/>
        <w:rPr>
          <w:rFonts w:hint="eastAsia" w:ascii="宋体" w:hAnsi="宋体"/>
          <w:b/>
          <w:color w:val="auto"/>
          <w:sz w:val="32"/>
          <w:szCs w:val="32"/>
          <w:highlight w:val="none"/>
        </w:rPr>
      </w:pPr>
    </w:p>
    <w:p w14:paraId="6088AA79">
      <w:pPr>
        <w:spacing w:line="440" w:lineRule="atLeast"/>
        <w:rPr>
          <w:rFonts w:hint="eastAsia" w:ascii="宋体" w:hAnsi="宋体"/>
          <w:b/>
          <w:color w:val="auto"/>
          <w:sz w:val="32"/>
          <w:szCs w:val="32"/>
          <w:highlight w:val="none"/>
        </w:rPr>
      </w:pPr>
    </w:p>
    <w:p w14:paraId="3A81DEF4">
      <w:pPr>
        <w:rPr>
          <w:rFonts w:hint="eastAsia"/>
          <w:b/>
          <w:bCs/>
          <w:color w:val="auto"/>
          <w:sz w:val="30"/>
          <w:szCs w:val="30"/>
          <w:highlight w:val="none"/>
        </w:rPr>
      </w:pPr>
      <w:bookmarkStart w:id="12" w:name="_Toc498627082"/>
      <w:bookmarkStart w:id="13" w:name="_Toc1762"/>
      <w:bookmarkStart w:id="14" w:name="_Toc478137727"/>
      <w:bookmarkStart w:id="15" w:name="_Toc486867150"/>
      <w:bookmarkStart w:id="16" w:name="_Toc498698226"/>
      <w:bookmarkStart w:id="17" w:name="_Toc486695806"/>
      <w:bookmarkStart w:id="18" w:name="_Toc31410"/>
    </w:p>
    <w:bookmarkEnd w:id="12"/>
    <w:bookmarkEnd w:id="13"/>
    <w:bookmarkEnd w:id="14"/>
    <w:bookmarkEnd w:id="15"/>
    <w:bookmarkEnd w:id="16"/>
    <w:bookmarkEnd w:id="17"/>
    <w:bookmarkEnd w:id="18"/>
    <w:p w14:paraId="699C957C">
      <w:pPr>
        <w:spacing w:line="400" w:lineRule="exact"/>
        <w:jc w:val="center"/>
        <w:rPr>
          <w:rFonts w:hint="eastAsia"/>
          <w:b/>
          <w:color w:val="auto"/>
          <w:sz w:val="32"/>
          <w:szCs w:val="32"/>
          <w:highlight w:val="none"/>
        </w:rPr>
      </w:pPr>
      <w:r>
        <w:rPr>
          <w:rFonts w:hint="eastAsia"/>
          <w:b/>
          <w:color w:val="auto"/>
          <w:sz w:val="32"/>
          <w:szCs w:val="32"/>
          <w:highlight w:val="none"/>
        </w:rPr>
        <w:t>投标文件目录</w:t>
      </w:r>
    </w:p>
    <w:p w14:paraId="198F0B09">
      <w:pPr>
        <w:tabs>
          <w:tab w:val="left" w:pos="1305"/>
        </w:tabs>
        <w:spacing w:line="360" w:lineRule="exact"/>
        <w:ind w:firstLine="482" w:firstLineChars="200"/>
        <w:rPr>
          <w:rFonts w:hint="eastAsia" w:ascii="宋体" w:hAnsi="宋体"/>
          <w:b/>
          <w:color w:val="auto"/>
          <w:sz w:val="24"/>
          <w:highlight w:val="none"/>
        </w:rPr>
      </w:pPr>
      <w:r>
        <w:rPr>
          <w:rFonts w:hint="eastAsia" w:ascii="宋体" w:hAnsi="宋体"/>
          <w:b/>
          <w:color w:val="auto"/>
          <w:sz w:val="24"/>
          <w:highlight w:val="none"/>
        </w:rPr>
        <w:t>一、资格性响应证明材料</w:t>
      </w:r>
    </w:p>
    <w:p w14:paraId="7D984843">
      <w:pPr>
        <w:tabs>
          <w:tab w:val="left" w:pos="1305"/>
        </w:tabs>
        <w:spacing w:line="360" w:lineRule="exact"/>
        <w:ind w:firstLine="420" w:firstLineChars="200"/>
        <w:rPr>
          <w:rFonts w:hint="eastAsia" w:ascii="宋体" w:hAnsi="宋体"/>
          <w:color w:val="auto"/>
          <w:highlight w:val="none"/>
        </w:rPr>
      </w:pPr>
      <w:r>
        <w:rPr>
          <w:rFonts w:hint="eastAsia" w:ascii="宋体" w:hAnsi="宋体"/>
          <w:color w:val="auto"/>
          <w:highlight w:val="none"/>
        </w:rPr>
        <w:t>1.投标人相应的法定代表人身份证正反面复印件</w:t>
      </w:r>
      <w:r>
        <w:rPr>
          <w:rFonts w:hint="eastAsia" w:ascii="宋体" w:hAnsi="宋体"/>
          <w:b/>
          <w:color w:val="auto"/>
          <w:highlight w:val="none"/>
        </w:rPr>
        <w:t>（必须提供）</w:t>
      </w:r>
    </w:p>
    <w:p w14:paraId="12EAEEC1">
      <w:pPr>
        <w:tabs>
          <w:tab w:val="left" w:pos="1305"/>
        </w:tabs>
        <w:spacing w:line="360" w:lineRule="exact"/>
        <w:ind w:firstLine="420" w:firstLineChars="200"/>
        <w:rPr>
          <w:rFonts w:hint="eastAsia" w:hAnsi="宋体"/>
          <w:b/>
          <w:color w:val="auto"/>
          <w:highlight w:val="none"/>
        </w:rPr>
      </w:pPr>
      <w:r>
        <w:rPr>
          <w:rFonts w:hint="eastAsia" w:ascii="宋体" w:hAnsi="宋体"/>
          <w:color w:val="auto"/>
          <w:highlight w:val="none"/>
        </w:rPr>
        <w:t>2.</w:t>
      </w:r>
      <w:r>
        <w:rPr>
          <w:rFonts w:hint="eastAsia" w:hAnsi="宋体"/>
          <w:color w:val="auto"/>
          <w:highlight w:val="none"/>
        </w:rPr>
        <w:t>投标人的授权委托书原件、委托代理人身份证正反面复印件以及由县级以上（含县级）社会保险经办机构出具的投标人为委托代理人交纳的</w:t>
      </w:r>
      <w:r>
        <w:rPr>
          <w:rFonts w:hint="eastAsia" w:hAnsi="宋体"/>
          <w:color w:val="auto"/>
          <w:highlight w:val="none"/>
          <w:lang w:eastAsia="zh-CN"/>
        </w:rPr>
        <w:t>2025年1月</w:t>
      </w:r>
      <w:r>
        <w:rPr>
          <w:rFonts w:hint="eastAsia" w:hAnsi="宋体"/>
          <w:color w:val="auto"/>
          <w:highlight w:val="none"/>
        </w:rPr>
        <w:t>以来任意一个月社保证明复印件</w:t>
      </w:r>
      <w:r>
        <w:rPr>
          <w:rFonts w:hint="eastAsia" w:hAnsi="宋体"/>
          <w:b/>
          <w:color w:val="auto"/>
          <w:highlight w:val="none"/>
        </w:rPr>
        <w:t>（委托代理时，必须提供）</w:t>
      </w:r>
    </w:p>
    <w:p w14:paraId="51B8B91C">
      <w:pPr>
        <w:tabs>
          <w:tab w:val="left" w:pos="1305"/>
        </w:tabs>
        <w:spacing w:line="360" w:lineRule="exact"/>
        <w:ind w:firstLine="420" w:firstLineChars="200"/>
        <w:rPr>
          <w:rFonts w:hint="eastAsia" w:ascii="宋体" w:hAnsi="宋体"/>
          <w:color w:val="auto"/>
          <w:highlight w:val="none"/>
        </w:rPr>
      </w:pPr>
      <w:r>
        <w:rPr>
          <w:rFonts w:hint="eastAsia" w:ascii="宋体" w:hAnsi="宋体"/>
          <w:color w:val="auto"/>
          <w:highlight w:val="none"/>
        </w:rPr>
        <w:t>3.投标人的法人或者其他组织营业执照等证明文件复印件</w:t>
      </w:r>
      <w:r>
        <w:rPr>
          <w:rFonts w:hint="eastAsia" w:ascii="宋体" w:hAnsi="宋体"/>
          <w:b/>
          <w:bCs/>
          <w:color w:val="auto"/>
          <w:highlight w:val="none"/>
        </w:rPr>
        <w:t>（必须提供，自然人除外）</w:t>
      </w:r>
    </w:p>
    <w:p w14:paraId="29EFFCBE">
      <w:pPr>
        <w:tabs>
          <w:tab w:val="left" w:pos="1305"/>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4.投标人涉及医疗器械管理的相关证明材料复印件</w:t>
      </w:r>
      <w:r>
        <w:rPr>
          <w:rFonts w:hint="eastAsia" w:ascii="宋体" w:hAnsi="宋体"/>
          <w:b/>
          <w:color w:val="auto"/>
          <w:szCs w:val="21"/>
          <w:highlight w:val="none"/>
        </w:rPr>
        <w:t>（必须提供）</w:t>
      </w:r>
    </w:p>
    <w:p w14:paraId="046CFBB6">
      <w:pPr>
        <w:tabs>
          <w:tab w:val="left" w:pos="1305"/>
        </w:tabs>
        <w:spacing w:line="360" w:lineRule="exact"/>
        <w:ind w:firstLine="420" w:firstLineChars="200"/>
        <w:rPr>
          <w:rFonts w:ascii="宋体" w:hAnsi="宋体"/>
          <w:b/>
          <w:color w:val="auto"/>
          <w:highlight w:val="none"/>
        </w:rPr>
      </w:pPr>
      <w:r>
        <w:rPr>
          <w:rFonts w:hint="eastAsia" w:ascii="宋体" w:hAnsi="宋体"/>
          <w:color w:val="auto"/>
          <w:highlight w:val="none"/>
        </w:rPr>
        <w:t>5.</w:t>
      </w:r>
      <w:r>
        <w:rPr>
          <w:rFonts w:hint="eastAsia" w:ascii="宋体" w:hAnsi="宋体"/>
          <w:color w:val="auto"/>
          <w:szCs w:val="21"/>
          <w:highlight w:val="none"/>
        </w:rPr>
        <w:t>投标人财务状况报告</w:t>
      </w:r>
      <w:r>
        <w:rPr>
          <w:rFonts w:hint="eastAsia" w:ascii="宋体" w:hAnsi="宋体"/>
          <w:b/>
          <w:color w:val="auto"/>
          <w:highlight w:val="none"/>
        </w:rPr>
        <w:t>（必须提供）</w:t>
      </w:r>
    </w:p>
    <w:p w14:paraId="4CB3C912">
      <w:pPr>
        <w:tabs>
          <w:tab w:val="left" w:pos="1305"/>
        </w:tabs>
        <w:spacing w:line="360" w:lineRule="exact"/>
        <w:ind w:firstLine="420" w:firstLineChars="200"/>
        <w:rPr>
          <w:rFonts w:ascii="宋体" w:hAnsi="宋体"/>
          <w:b/>
          <w:color w:val="auto"/>
          <w:highlight w:val="none"/>
        </w:rPr>
      </w:pPr>
      <w:r>
        <w:rPr>
          <w:rFonts w:hint="eastAsia" w:ascii="宋体" w:hAnsi="宋体"/>
          <w:color w:val="auto"/>
          <w:szCs w:val="21"/>
          <w:highlight w:val="none"/>
        </w:rPr>
        <w:t>6.投标人依法缴纳税收的相关材料</w:t>
      </w:r>
      <w:r>
        <w:rPr>
          <w:rFonts w:hint="eastAsia" w:ascii="宋体" w:hAnsi="宋体"/>
          <w:b/>
          <w:color w:val="auto"/>
          <w:highlight w:val="none"/>
        </w:rPr>
        <w:t>（必须提供）</w:t>
      </w:r>
    </w:p>
    <w:p w14:paraId="6F6F4F83">
      <w:pPr>
        <w:tabs>
          <w:tab w:val="left" w:pos="1305"/>
        </w:tabs>
        <w:spacing w:line="360" w:lineRule="exact"/>
        <w:ind w:firstLine="420" w:firstLineChars="200"/>
        <w:rPr>
          <w:rFonts w:ascii="黑体" w:hAnsi="宋体" w:eastAsia="黑体"/>
          <w:b/>
          <w:color w:val="auto"/>
          <w:szCs w:val="21"/>
          <w:highlight w:val="none"/>
        </w:rPr>
      </w:pPr>
      <w:r>
        <w:rPr>
          <w:rFonts w:hint="eastAsia" w:ascii="宋体" w:hAnsi="宋体"/>
          <w:color w:val="auto"/>
          <w:szCs w:val="21"/>
          <w:highlight w:val="none"/>
        </w:rPr>
        <w:t>7.投标人依法缴纳社会保障资金的相关材料</w:t>
      </w:r>
      <w:r>
        <w:rPr>
          <w:rFonts w:hint="eastAsia" w:ascii="宋体" w:hAnsi="宋体"/>
          <w:b/>
          <w:color w:val="auto"/>
          <w:highlight w:val="none"/>
        </w:rPr>
        <w:t>（必须提供）</w:t>
      </w:r>
    </w:p>
    <w:p w14:paraId="4042D5E7">
      <w:pPr>
        <w:tabs>
          <w:tab w:val="left" w:pos="1305"/>
        </w:tabs>
        <w:spacing w:line="360" w:lineRule="exact"/>
        <w:ind w:firstLine="420" w:firstLineChars="200"/>
        <w:rPr>
          <w:rFonts w:hint="eastAsia" w:ascii="宋体" w:hAnsi="宋体"/>
          <w:color w:val="auto"/>
          <w:highlight w:val="none"/>
        </w:rPr>
      </w:pPr>
      <w:r>
        <w:rPr>
          <w:rFonts w:hint="eastAsia" w:ascii="宋体" w:hAnsi="宋体"/>
          <w:color w:val="auto"/>
          <w:highlight w:val="none"/>
        </w:rPr>
        <w:t>8.投标人参加政府采购活动前3年内在经营活动中没有重大违法记录及有关信用信息的书面声明（</w:t>
      </w:r>
      <w:r>
        <w:rPr>
          <w:rFonts w:hint="eastAsia" w:ascii="宋体" w:hAnsi="宋体"/>
          <w:b/>
          <w:color w:val="auto"/>
          <w:highlight w:val="none"/>
        </w:rPr>
        <w:t>必须提供</w:t>
      </w:r>
      <w:r>
        <w:rPr>
          <w:rFonts w:hint="eastAsia" w:ascii="宋体" w:hAnsi="宋体"/>
          <w:color w:val="auto"/>
          <w:highlight w:val="none"/>
        </w:rPr>
        <w:t>）</w:t>
      </w:r>
    </w:p>
    <w:p w14:paraId="5DF6F07F">
      <w:pPr>
        <w:tabs>
          <w:tab w:val="left" w:pos="1305"/>
        </w:tabs>
        <w:spacing w:line="360" w:lineRule="exact"/>
        <w:ind w:firstLine="420" w:firstLineChars="200"/>
        <w:rPr>
          <w:rFonts w:hint="eastAsia" w:ascii="宋体" w:hAnsi="宋体"/>
          <w:color w:val="auto"/>
          <w:highlight w:val="none"/>
        </w:rPr>
      </w:pPr>
      <w:r>
        <w:rPr>
          <w:rFonts w:hint="eastAsia" w:ascii="宋体" w:hAnsi="宋体"/>
          <w:color w:val="auto"/>
          <w:highlight w:val="none"/>
        </w:rPr>
        <w:t>9.投标人参加本项目无围标串标行为的承诺函</w:t>
      </w:r>
      <w:r>
        <w:rPr>
          <w:rFonts w:hint="eastAsia" w:ascii="宋体" w:hAnsi="宋体"/>
          <w:b/>
          <w:color w:val="auto"/>
          <w:highlight w:val="none"/>
        </w:rPr>
        <w:t>（必须提供）</w:t>
      </w:r>
    </w:p>
    <w:p w14:paraId="762997C8">
      <w:pPr>
        <w:tabs>
          <w:tab w:val="left" w:pos="1305"/>
        </w:tabs>
        <w:spacing w:line="360" w:lineRule="exact"/>
        <w:ind w:firstLine="482" w:firstLineChars="200"/>
        <w:rPr>
          <w:rFonts w:hint="eastAsia" w:ascii="宋体" w:hAnsi="宋体"/>
          <w:b/>
          <w:color w:val="auto"/>
          <w:sz w:val="24"/>
          <w:highlight w:val="none"/>
        </w:rPr>
      </w:pPr>
    </w:p>
    <w:p w14:paraId="6931BE13">
      <w:pPr>
        <w:tabs>
          <w:tab w:val="left" w:pos="1305"/>
        </w:tabs>
        <w:spacing w:line="360" w:lineRule="exact"/>
        <w:ind w:firstLine="482" w:firstLineChars="200"/>
        <w:rPr>
          <w:rFonts w:hint="eastAsia" w:ascii="宋体" w:hAnsi="宋体"/>
          <w:b/>
          <w:color w:val="auto"/>
          <w:sz w:val="24"/>
          <w:highlight w:val="none"/>
        </w:rPr>
      </w:pPr>
      <w:r>
        <w:rPr>
          <w:rFonts w:hint="eastAsia" w:ascii="宋体" w:hAnsi="宋体"/>
          <w:b/>
          <w:color w:val="auto"/>
          <w:sz w:val="24"/>
          <w:highlight w:val="none"/>
        </w:rPr>
        <w:t>二、商务、技术性响应及其他证明材料</w:t>
      </w:r>
    </w:p>
    <w:p w14:paraId="6AC52FDD">
      <w:pPr>
        <w:tabs>
          <w:tab w:val="left" w:pos="1305"/>
        </w:tabs>
        <w:spacing w:line="360" w:lineRule="exact"/>
        <w:ind w:left="420"/>
        <w:rPr>
          <w:rFonts w:ascii="宋体" w:hAnsi="宋体"/>
          <w:color w:val="auto"/>
          <w:szCs w:val="21"/>
          <w:highlight w:val="none"/>
        </w:rPr>
      </w:pPr>
      <w:r>
        <w:rPr>
          <w:rFonts w:hint="eastAsia" w:ascii="宋体" w:hAnsi="宋体"/>
          <w:color w:val="auto"/>
          <w:szCs w:val="21"/>
          <w:highlight w:val="none"/>
        </w:rPr>
        <w:t>1.投标函</w:t>
      </w:r>
      <w:r>
        <w:rPr>
          <w:rFonts w:hint="eastAsia" w:ascii="宋体" w:hAnsi="宋体"/>
          <w:b/>
          <w:color w:val="auto"/>
          <w:szCs w:val="21"/>
          <w:highlight w:val="none"/>
        </w:rPr>
        <w:t>（必须提供）</w:t>
      </w:r>
    </w:p>
    <w:p w14:paraId="3779706B">
      <w:pPr>
        <w:tabs>
          <w:tab w:val="left" w:pos="1305"/>
        </w:tabs>
        <w:spacing w:line="360" w:lineRule="exact"/>
        <w:ind w:left="420"/>
        <w:rPr>
          <w:rFonts w:hint="eastAsia" w:ascii="宋体" w:hAnsi="宋体"/>
          <w:b/>
          <w:color w:val="auto"/>
          <w:szCs w:val="21"/>
          <w:highlight w:val="none"/>
        </w:rPr>
      </w:pPr>
      <w:r>
        <w:rPr>
          <w:rFonts w:ascii="宋体" w:hAnsi="宋体"/>
          <w:color w:val="auto"/>
          <w:szCs w:val="21"/>
          <w:highlight w:val="none"/>
        </w:rPr>
        <w:t>2</w:t>
      </w:r>
      <w:r>
        <w:rPr>
          <w:rFonts w:hint="eastAsia" w:ascii="宋体" w:hAnsi="宋体"/>
          <w:color w:val="auto"/>
          <w:szCs w:val="21"/>
          <w:highlight w:val="none"/>
        </w:rPr>
        <w:t>.投标报价表</w:t>
      </w:r>
      <w:r>
        <w:rPr>
          <w:rFonts w:hint="eastAsia" w:ascii="宋体" w:hAnsi="宋体"/>
          <w:b/>
          <w:color w:val="auto"/>
          <w:szCs w:val="21"/>
          <w:highlight w:val="none"/>
        </w:rPr>
        <w:t>（必须提供）</w:t>
      </w:r>
    </w:p>
    <w:p w14:paraId="4CA3D9EA">
      <w:pPr>
        <w:tabs>
          <w:tab w:val="left" w:pos="1305"/>
        </w:tabs>
        <w:spacing w:line="360" w:lineRule="exact"/>
        <w:ind w:firstLine="420" w:firstLineChars="200"/>
        <w:rPr>
          <w:rFonts w:hint="eastAsia" w:ascii="宋体" w:hAnsi="宋体"/>
          <w:b/>
          <w:color w:val="auto"/>
          <w:szCs w:val="21"/>
          <w:highlight w:val="none"/>
        </w:rPr>
      </w:pPr>
      <w:r>
        <w:rPr>
          <w:rFonts w:ascii="宋体" w:hAnsi="宋体"/>
          <w:color w:val="auto"/>
          <w:szCs w:val="21"/>
          <w:highlight w:val="none"/>
        </w:rPr>
        <w:t>3</w:t>
      </w:r>
      <w:r>
        <w:rPr>
          <w:rFonts w:hint="eastAsia" w:ascii="宋体" w:hAnsi="宋体"/>
          <w:color w:val="auto"/>
          <w:szCs w:val="21"/>
          <w:highlight w:val="none"/>
        </w:rPr>
        <w:t>.技术偏离表</w:t>
      </w:r>
      <w:r>
        <w:rPr>
          <w:rFonts w:hint="eastAsia" w:ascii="宋体" w:hAnsi="宋体"/>
          <w:b/>
          <w:color w:val="auto"/>
          <w:szCs w:val="21"/>
          <w:highlight w:val="none"/>
        </w:rPr>
        <w:t>（必须提供）</w:t>
      </w:r>
    </w:p>
    <w:p w14:paraId="6CA2175D">
      <w:pPr>
        <w:tabs>
          <w:tab w:val="left" w:pos="1305"/>
        </w:tabs>
        <w:spacing w:line="360" w:lineRule="exact"/>
        <w:ind w:firstLine="420" w:firstLineChars="200"/>
        <w:rPr>
          <w:rFonts w:hint="eastAsia" w:ascii="宋体" w:hAnsi="宋体"/>
          <w:b/>
          <w:color w:val="auto"/>
          <w:szCs w:val="21"/>
          <w:highlight w:val="none"/>
        </w:rPr>
      </w:pPr>
      <w:r>
        <w:rPr>
          <w:rFonts w:ascii="宋体" w:hAnsi="宋体"/>
          <w:color w:val="auto"/>
          <w:szCs w:val="21"/>
          <w:highlight w:val="none"/>
        </w:rPr>
        <w:t>4</w:t>
      </w:r>
      <w:r>
        <w:rPr>
          <w:rFonts w:hint="eastAsia" w:ascii="宋体" w:hAnsi="宋体"/>
          <w:color w:val="auto"/>
          <w:szCs w:val="21"/>
          <w:highlight w:val="none"/>
        </w:rPr>
        <w:t>.商务响应表</w:t>
      </w:r>
      <w:r>
        <w:rPr>
          <w:rFonts w:hint="eastAsia" w:ascii="宋体" w:hAnsi="宋体"/>
          <w:b/>
          <w:color w:val="auto"/>
          <w:szCs w:val="21"/>
          <w:highlight w:val="none"/>
        </w:rPr>
        <w:t>（必须提供）</w:t>
      </w:r>
    </w:p>
    <w:p w14:paraId="01A00D1C">
      <w:pPr>
        <w:tabs>
          <w:tab w:val="left" w:pos="1305"/>
        </w:tabs>
        <w:spacing w:line="360" w:lineRule="exact"/>
        <w:ind w:firstLine="420" w:firstLineChars="200"/>
        <w:rPr>
          <w:rFonts w:hint="eastAsia" w:ascii="宋体" w:hAnsi="宋体"/>
          <w:b/>
          <w:color w:val="auto"/>
          <w:szCs w:val="21"/>
          <w:highlight w:val="none"/>
        </w:rPr>
      </w:pPr>
      <w:r>
        <w:rPr>
          <w:rFonts w:ascii="宋体" w:hAnsi="宋体"/>
          <w:color w:val="auto"/>
          <w:szCs w:val="21"/>
          <w:highlight w:val="none"/>
        </w:rPr>
        <w:t>5</w:t>
      </w:r>
      <w:r>
        <w:rPr>
          <w:rFonts w:hint="eastAsia" w:ascii="宋体" w:hAnsi="宋体"/>
          <w:color w:val="auto"/>
          <w:szCs w:val="21"/>
          <w:highlight w:val="none"/>
        </w:rPr>
        <w:t>.“采购需求”中要求必须提供的有效证明文件</w:t>
      </w:r>
      <w:r>
        <w:rPr>
          <w:rFonts w:hint="eastAsia" w:ascii="宋体" w:hAnsi="宋体"/>
          <w:b/>
          <w:color w:val="auto"/>
          <w:szCs w:val="21"/>
          <w:highlight w:val="none"/>
        </w:rPr>
        <w:t>（“采购需求”中要求必须提供的，必须提供）</w:t>
      </w:r>
    </w:p>
    <w:p w14:paraId="23AE0528">
      <w:pPr>
        <w:tabs>
          <w:tab w:val="left" w:pos="1305"/>
        </w:tabs>
        <w:spacing w:line="360" w:lineRule="exact"/>
        <w:ind w:firstLine="404" w:firstLineChars="200"/>
        <w:rPr>
          <w:rFonts w:hint="eastAsia" w:ascii="宋体" w:hAnsi="宋体"/>
          <w:b/>
          <w:color w:val="auto"/>
          <w:szCs w:val="21"/>
          <w:highlight w:val="none"/>
        </w:rPr>
      </w:pPr>
      <w:r>
        <w:rPr>
          <w:rFonts w:hint="eastAsia" w:ascii="宋体" w:hAnsi="宋体" w:eastAsia="宋体"/>
          <w:color w:val="auto"/>
          <w:spacing w:val="-4"/>
          <w:highlight w:val="none"/>
          <w:lang w:val="en-US" w:eastAsia="zh-CN"/>
        </w:rPr>
        <w:t>6.</w:t>
      </w:r>
      <w:r>
        <w:rPr>
          <w:rFonts w:hint="eastAsia" w:ascii="宋体" w:hAnsi="宋体" w:eastAsia="宋体"/>
          <w:color w:val="auto"/>
          <w:spacing w:val="-4"/>
          <w:highlight w:val="none"/>
        </w:rPr>
        <w:t>项目实施方案</w:t>
      </w:r>
      <w:r>
        <w:rPr>
          <w:rFonts w:hint="eastAsia" w:hAnsi="宋体"/>
          <w:b/>
          <w:color w:val="auto"/>
          <w:szCs w:val="21"/>
          <w:highlight w:val="none"/>
        </w:rPr>
        <w:t>（如有，请提供）</w:t>
      </w:r>
    </w:p>
    <w:p w14:paraId="6ABE7E57">
      <w:pPr>
        <w:tabs>
          <w:tab w:val="left" w:pos="1305"/>
        </w:tabs>
        <w:spacing w:line="360" w:lineRule="exact"/>
        <w:ind w:firstLine="420" w:firstLineChars="200"/>
        <w:rPr>
          <w:rFonts w:hAnsi="宋体"/>
          <w:b/>
          <w:color w:val="auto"/>
          <w:szCs w:val="21"/>
          <w:highlight w:val="none"/>
        </w:rPr>
      </w:pPr>
      <w:r>
        <w:rPr>
          <w:rFonts w:hint="eastAsia" w:ascii="宋体" w:hAnsi="宋体"/>
          <w:color w:val="auto"/>
          <w:szCs w:val="21"/>
          <w:highlight w:val="none"/>
          <w:lang w:val="en-US" w:eastAsia="zh-CN"/>
        </w:rPr>
        <w:t>7</w:t>
      </w:r>
      <w:r>
        <w:rPr>
          <w:rFonts w:ascii="宋体" w:hAnsi="宋体"/>
          <w:color w:val="auto"/>
          <w:szCs w:val="21"/>
          <w:highlight w:val="none"/>
        </w:rPr>
        <w:t>.</w:t>
      </w:r>
      <w:r>
        <w:rPr>
          <w:rFonts w:hint="eastAsia" w:ascii="宋体" w:hAnsi="宋体" w:cs="宋体"/>
          <w:bCs/>
          <w:color w:val="auto"/>
          <w:szCs w:val="21"/>
          <w:highlight w:val="none"/>
        </w:rPr>
        <w:t>售后服务实施方案</w:t>
      </w:r>
      <w:r>
        <w:rPr>
          <w:rFonts w:hint="eastAsia" w:hAnsi="宋体"/>
          <w:b/>
          <w:color w:val="auto"/>
          <w:szCs w:val="21"/>
          <w:highlight w:val="none"/>
        </w:rPr>
        <w:t>（如有，请提供）</w:t>
      </w:r>
    </w:p>
    <w:p w14:paraId="7635947C">
      <w:pPr>
        <w:snapToGrid w:val="0"/>
        <w:spacing w:line="360" w:lineRule="exact"/>
        <w:ind w:firstLine="420" w:firstLineChars="200"/>
        <w:outlineLvl w:val="4"/>
        <w:rPr>
          <w:rFonts w:hint="eastAsia" w:ascii="宋体" w:hAnsi="宋体"/>
          <w:b/>
          <w:color w:val="auto"/>
          <w:szCs w:val="21"/>
          <w:highlight w:val="none"/>
        </w:rPr>
      </w:pPr>
      <w:r>
        <w:rPr>
          <w:rFonts w:hint="eastAsia" w:ascii="宋体" w:hAnsi="宋体"/>
          <w:color w:val="auto"/>
          <w:szCs w:val="20"/>
          <w:highlight w:val="none"/>
          <w:lang w:val="en-US" w:eastAsia="zh-CN"/>
        </w:rPr>
        <w:t>8</w:t>
      </w:r>
      <w:r>
        <w:rPr>
          <w:rFonts w:hint="eastAsia" w:ascii="宋体" w:hAnsi="宋体"/>
          <w:color w:val="auto"/>
          <w:szCs w:val="20"/>
          <w:highlight w:val="none"/>
        </w:rPr>
        <w:t>.“采购需求”中有关</w:t>
      </w:r>
      <w:r>
        <w:rPr>
          <w:rFonts w:hint="eastAsia" w:ascii="宋体" w:hAnsi="宋体"/>
          <w:color w:val="auto"/>
          <w:szCs w:val="21"/>
          <w:highlight w:val="none"/>
        </w:rPr>
        <w:t>履约能力的相关证明材料复印件</w:t>
      </w:r>
      <w:r>
        <w:rPr>
          <w:rFonts w:hint="eastAsia" w:ascii="宋体" w:hAnsi="宋体"/>
          <w:b/>
          <w:color w:val="auto"/>
          <w:szCs w:val="21"/>
          <w:highlight w:val="none"/>
        </w:rPr>
        <w:t>（如有，请提供）</w:t>
      </w:r>
    </w:p>
    <w:p w14:paraId="0BADCAB6">
      <w:pPr>
        <w:snapToGrid w:val="0"/>
        <w:spacing w:line="360" w:lineRule="exact"/>
        <w:ind w:firstLine="420" w:firstLineChars="200"/>
        <w:outlineLvl w:val="4"/>
        <w:rPr>
          <w:rFonts w:hint="eastAsia" w:ascii="宋体" w:hAnsi="宋体"/>
          <w:b/>
          <w:color w:val="auto"/>
          <w:szCs w:val="21"/>
          <w:highlight w:val="none"/>
        </w:rPr>
      </w:pPr>
      <w:r>
        <w:rPr>
          <w:rFonts w:hint="eastAsia" w:ascii="宋体" w:hAnsi="宋体"/>
          <w:color w:val="auto"/>
          <w:szCs w:val="20"/>
          <w:highlight w:val="none"/>
          <w:lang w:val="en-US" w:eastAsia="zh-CN"/>
        </w:rPr>
        <w:t>9</w:t>
      </w:r>
      <w:r>
        <w:rPr>
          <w:rFonts w:hint="eastAsia" w:ascii="宋体" w:hAnsi="宋体"/>
          <w:color w:val="auto"/>
          <w:szCs w:val="20"/>
          <w:highlight w:val="none"/>
        </w:rPr>
        <w:t>.</w:t>
      </w:r>
      <w:r>
        <w:rPr>
          <w:rFonts w:hint="eastAsia" w:ascii="宋体" w:hAnsi="宋体"/>
          <w:color w:val="auto"/>
          <w:szCs w:val="21"/>
          <w:highlight w:val="none"/>
        </w:rPr>
        <w:t>政策性加分证明材料复印件</w:t>
      </w:r>
      <w:r>
        <w:rPr>
          <w:rFonts w:hint="eastAsia" w:ascii="宋体" w:hAnsi="宋体"/>
          <w:b/>
          <w:color w:val="auto"/>
          <w:szCs w:val="21"/>
          <w:highlight w:val="none"/>
        </w:rPr>
        <w:t>（如有，请提供）</w:t>
      </w:r>
    </w:p>
    <w:p w14:paraId="713228D3">
      <w:pPr>
        <w:spacing w:line="360" w:lineRule="exact"/>
        <w:ind w:firstLine="420" w:firstLineChars="200"/>
        <w:rPr>
          <w:rFonts w:hint="eastAsia" w:ascii="宋体" w:hAnsi="宋体"/>
          <w:b/>
          <w:color w:val="auto"/>
          <w:highlight w:val="none"/>
        </w:rPr>
      </w:pPr>
      <w:r>
        <w:rPr>
          <w:rFonts w:hint="eastAsia" w:ascii="宋体" w:hAnsi="宋体"/>
          <w:color w:val="auto"/>
          <w:highlight w:val="none"/>
          <w:lang w:val="en-US" w:eastAsia="zh-CN"/>
        </w:rPr>
        <w:t>10</w:t>
      </w:r>
      <w:r>
        <w:rPr>
          <w:rFonts w:hint="eastAsia" w:ascii="宋体" w:hAnsi="宋体"/>
          <w:color w:val="auto"/>
          <w:highlight w:val="none"/>
        </w:rPr>
        <w:t>.</w:t>
      </w:r>
      <w:r>
        <w:rPr>
          <w:rFonts w:hint="eastAsia" w:hAnsi="宋体"/>
          <w:bCs/>
          <w:color w:val="auto"/>
          <w:szCs w:val="21"/>
          <w:highlight w:val="none"/>
        </w:rPr>
        <w:t>投标人提供的货物全部由符合政策要求中小企业制造</w:t>
      </w:r>
      <w:r>
        <w:rPr>
          <w:rFonts w:hint="eastAsia" w:ascii="宋体" w:hAnsi="宋体"/>
          <w:bCs/>
          <w:color w:val="auto"/>
          <w:szCs w:val="21"/>
          <w:highlight w:val="none"/>
        </w:rPr>
        <w:t>，投标文件中提供《中小企业声明函》</w:t>
      </w:r>
      <w:r>
        <w:rPr>
          <w:rFonts w:hint="eastAsia" w:ascii="宋体" w:hAnsi="宋体"/>
          <w:color w:val="auto"/>
          <w:highlight w:val="none"/>
        </w:rPr>
        <w:t>；属于监狱企业的，提供由省级以上监狱管理局、戒毒管理局</w:t>
      </w:r>
      <w:r>
        <w:rPr>
          <w:rFonts w:hint="eastAsia" w:ascii="宋体" w:hAnsi="宋体"/>
          <w:color w:val="auto"/>
          <w:highlight w:val="none"/>
          <w:lang w:eastAsia="zh-CN"/>
        </w:rPr>
        <w:t>（</w:t>
      </w:r>
      <w:r>
        <w:rPr>
          <w:rFonts w:hint="eastAsia" w:ascii="宋体" w:hAnsi="宋体"/>
          <w:color w:val="auto"/>
          <w:highlight w:val="none"/>
        </w:rPr>
        <w:t>含新疆生产建设兵团</w:t>
      </w:r>
      <w:r>
        <w:rPr>
          <w:rFonts w:hint="eastAsia" w:ascii="宋体" w:hAnsi="宋体"/>
          <w:color w:val="auto"/>
          <w:highlight w:val="none"/>
          <w:lang w:eastAsia="zh-CN"/>
        </w:rPr>
        <w:t>）</w:t>
      </w:r>
      <w:r>
        <w:rPr>
          <w:rFonts w:hint="eastAsia" w:ascii="宋体" w:hAnsi="宋体"/>
          <w:color w:val="auto"/>
          <w:highlight w:val="none"/>
        </w:rPr>
        <w:t>出具的属于监狱企业的证明文件</w:t>
      </w:r>
      <w:r>
        <w:rPr>
          <w:rFonts w:hint="eastAsia" w:ascii="宋体" w:hAnsi="宋体"/>
          <w:b/>
          <w:color w:val="auto"/>
          <w:highlight w:val="none"/>
        </w:rPr>
        <w:t>（如有，请提供）</w:t>
      </w:r>
    </w:p>
    <w:p w14:paraId="013C7457">
      <w:pPr>
        <w:tabs>
          <w:tab w:val="left" w:pos="1305"/>
        </w:tabs>
        <w:spacing w:line="360" w:lineRule="exact"/>
        <w:ind w:firstLine="420" w:firstLineChars="200"/>
        <w:rPr>
          <w:rFonts w:hint="eastAsia" w:ascii="宋体" w:hAnsi="宋体"/>
          <w:color w:val="auto"/>
          <w:highlight w:val="none"/>
        </w:rPr>
      </w:pPr>
      <w:r>
        <w:rPr>
          <w:rFonts w:hint="eastAsia" w:ascii="宋体" w:hAnsi="宋体"/>
          <w:color w:val="auto"/>
          <w:highlight w:val="none"/>
          <w:lang w:val="en-US" w:eastAsia="zh-CN"/>
        </w:rPr>
        <w:t>11</w:t>
      </w:r>
      <w:r>
        <w:rPr>
          <w:rFonts w:hint="eastAsia" w:ascii="宋体" w:hAnsi="宋体"/>
          <w:color w:val="auto"/>
          <w:highlight w:val="none"/>
        </w:rPr>
        <w:t>.符合条件的残疾人福利性单位在参加政府采购活动时，提供《残疾人福利性单位声明函》，并对声明的真实性负责</w:t>
      </w:r>
      <w:r>
        <w:rPr>
          <w:rFonts w:hint="eastAsia" w:ascii="宋体" w:hAnsi="宋体"/>
          <w:b/>
          <w:color w:val="auto"/>
          <w:highlight w:val="none"/>
        </w:rPr>
        <w:t>（如有，请提供）</w:t>
      </w:r>
    </w:p>
    <w:p w14:paraId="054E7CFF">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color w:val="auto"/>
          <w:highlight w:val="none"/>
          <w:lang w:val="en-US" w:eastAsia="zh-CN"/>
        </w:rPr>
        <w:t>12</w:t>
      </w:r>
      <w:r>
        <w:rPr>
          <w:rFonts w:hint="eastAsia" w:ascii="宋体" w:hAnsi="宋体"/>
          <w:color w:val="auto"/>
          <w:highlight w:val="none"/>
        </w:rPr>
        <w:t>.</w:t>
      </w:r>
      <w:r>
        <w:rPr>
          <w:rFonts w:hint="eastAsia" w:ascii="宋体" w:hAnsi="宋体"/>
          <w:color w:val="auto"/>
          <w:szCs w:val="21"/>
          <w:highlight w:val="none"/>
        </w:rPr>
        <w:t>投标人可结合本项目的评标办法视自身情况自行提交相关证明材料</w:t>
      </w:r>
      <w:r>
        <w:rPr>
          <w:rFonts w:hint="eastAsia" w:ascii="宋体" w:hAnsi="宋体"/>
          <w:b/>
          <w:color w:val="auto"/>
          <w:highlight w:val="none"/>
        </w:rPr>
        <w:t>（如有，请提供）</w:t>
      </w:r>
    </w:p>
    <w:p w14:paraId="5F7AF5D7">
      <w:pPr>
        <w:tabs>
          <w:tab w:val="left" w:pos="1305"/>
        </w:tabs>
        <w:spacing w:line="400" w:lineRule="exact"/>
        <w:rPr>
          <w:rFonts w:hint="eastAsia" w:ascii="宋体" w:hAnsi="宋体"/>
          <w:color w:val="auto"/>
          <w:sz w:val="24"/>
          <w:highlight w:val="none"/>
        </w:rPr>
      </w:pPr>
      <w:r>
        <w:rPr>
          <w:b/>
          <w:color w:val="auto"/>
          <w:sz w:val="32"/>
          <w:szCs w:val="32"/>
          <w:highlight w:val="none"/>
        </w:rPr>
        <w:br w:type="page"/>
      </w:r>
      <w:r>
        <w:rPr>
          <w:rFonts w:hint="eastAsia"/>
          <w:b/>
          <w:color w:val="auto"/>
          <w:sz w:val="32"/>
          <w:szCs w:val="32"/>
          <w:highlight w:val="none"/>
        </w:rPr>
        <w:t>一、资格性响应证明材料</w:t>
      </w:r>
    </w:p>
    <w:p w14:paraId="759D4886">
      <w:pPr>
        <w:tabs>
          <w:tab w:val="left" w:pos="1305"/>
        </w:tabs>
        <w:spacing w:line="400" w:lineRule="exact"/>
        <w:rPr>
          <w:rFonts w:hint="eastAsia" w:ascii="宋体" w:hAnsi="宋体"/>
          <w:b/>
          <w:color w:val="auto"/>
          <w:sz w:val="32"/>
          <w:szCs w:val="32"/>
          <w:highlight w:val="none"/>
        </w:rPr>
      </w:pPr>
    </w:p>
    <w:p w14:paraId="560E3D1B">
      <w:pPr>
        <w:tabs>
          <w:tab w:val="left" w:pos="1305"/>
        </w:tabs>
        <w:spacing w:line="400" w:lineRule="exact"/>
        <w:rPr>
          <w:rFonts w:ascii="宋体" w:hAnsi="宋体"/>
          <w:color w:val="auto"/>
          <w:szCs w:val="21"/>
          <w:highlight w:val="none"/>
        </w:rPr>
      </w:pPr>
      <w:r>
        <w:rPr>
          <w:rFonts w:hint="eastAsia" w:ascii="宋体" w:hAnsi="宋体"/>
          <w:b/>
          <w:color w:val="auto"/>
          <w:sz w:val="32"/>
          <w:szCs w:val="32"/>
          <w:highlight w:val="none"/>
        </w:rPr>
        <w:t>1.投标人相应的法定代表人身份证正反面复印件（必须提供）</w:t>
      </w:r>
    </w:p>
    <w:p w14:paraId="2F4C8AE1">
      <w:pPr>
        <w:tabs>
          <w:tab w:val="left" w:pos="1305"/>
        </w:tabs>
        <w:spacing w:line="400" w:lineRule="exact"/>
        <w:ind w:firstLine="643" w:firstLineChars="200"/>
        <w:rPr>
          <w:rFonts w:hint="eastAsia" w:ascii="宋体" w:hAnsi="宋体"/>
          <w:b/>
          <w:color w:val="auto"/>
          <w:sz w:val="32"/>
          <w:szCs w:val="32"/>
          <w:highlight w:val="none"/>
        </w:rPr>
      </w:pPr>
    </w:p>
    <w:p w14:paraId="489D1DCE">
      <w:pPr>
        <w:tabs>
          <w:tab w:val="left" w:pos="1305"/>
        </w:tabs>
        <w:spacing w:line="400" w:lineRule="exact"/>
        <w:ind w:firstLine="643" w:firstLineChars="200"/>
        <w:rPr>
          <w:rFonts w:hint="eastAsia" w:ascii="宋体" w:hAnsi="宋体"/>
          <w:b/>
          <w:color w:val="auto"/>
          <w:sz w:val="32"/>
          <w:szCs w:val="32"/>
          <w:highlight w:val="none"/>
        </w:rPr>
      </w:pPr>
    </w:p>
    <w:p w14:paraId="5E6FE9C4">
      <w:pPr>
        <w:tabs>
          <w:tab w:val="left" w:pos="1305"/>
        </w:tabs>
        <w:spacing w:line="400" w:lineRule="exact"/>
        <w:rPr>
          <w:rFonts w:hint="eastAsia" w:ascii="宋体" w:hAnsi="宋体"/>
          <w:b/>
          <w:color w:val="auto"/>
          <w:sz w:val="32"/>
          <w:szCs w:val="32"/>
          <w:highlight w:val="none"/>
        </w:rPr>
      </w:pPr>
      <w:r>
        <w:rPr>
          <w:rFonts w:hint="eastAsia" w:ascii="宋体" w:hAnsi="宋体"/>
          <w:b/>
          <w:color w:val="auto"/>
          <w:sz w:val="32"/>
          <w:szCs w:val="32"/>
          <w:highlight w:val="none"/>
        </w:rPr>
        <w:t>2.投标人的授权委托书原件、委托代理人身份证正反面复印件以及由县级以上（含县级）社会保险经办机构出具的投标人为委托代理人交纳的</w:t>
      </w:r>
      <w:r>
        <w:rPr>
          <w:rFonts w:hint="eastAsia" w:ascii="宋体" w:hAnsi="宋体"/>
          <w:b/>
          <w:color w:val="auto"/>
          <w:sz w:val="32"/>
          <w:szCs w:val="32"/>
          <w:highlight w:val="none"/>
          <w:lang w:eastAsia="zh-CN"/>
        </w:rPr>
        <w:t>2025年1月</w:t>
      </w:r>
      <w:r>
        <w:rPr>
          <w:rFonts w:hint="eastAsia" w:ascii="宋体" w:hAnsi="宋体"/>
          <w:b/>
          <w:color w:val="auto"/>
          <w:sz w:val="32"/>
          <w:szCs w:val="32"/>
          <w:highlight w:val="none"/>
        </w:rPr>
        <w:t>以来任意一个月社保证明复印件（委托代理时，必须提供）</w:t>
      </w:r>
    </w:p>
    <w:p w14:paraId="702B4A4D">
      <w:pPr>
        <w:autoSpaceDE w:val="0"/>
        <w:autoSpaceDN w:val="0"/>
        <w:snapToGrid w:val="0"/>
        <w:spacing w:line="350" w:lineRule="exact"/>
        <w:jc w:val="left"/>
        <w:rPr>
          <w:rFonts w:hint="eastAsia" w:hAnsi="宋体"/>
          <w:b/>
          <w:color w:val="auto"/>
          <w:highlight w:val="none"/>
        </w:rPr>
      </w:pPr>
      <w:r>
        <w:rPr>
          <w:rFonts w:hint="eastAsia" w:hAnsi="宋体"/>
          <w:b/>
          <w:color w:val="auto"/>
          <w:highlight w:val="none"/>
        </w:rPr>
        <w:t>注：①投标人为截标时间前60日以内成立的企业，可以提供投标人与委托代理人签订的劳动合同复印件代替社保证明复印件；②委托代理人为免缴纳社保人员，提供免缴纳社保的证明材料复印件及投标人与委托代理人签订的劳动合同复印件代替社保证明复印件；③自然人投标的，应提供由县级以上（含县级）社会保险经办机构出具的自然人本人及委托代理人所交纳的2022年以来任意一个月社保证明复印件。</w:t>
      </w:r>
    </w:p>
    <w:p w14:paraId="13E7598C">
      <w:pPr>
        <w:tabs>
          <w:tab w:val="left" w:pos="1305"/>
        </w:tabs>
        <w:spacing w:line="400" w:lineRule="exact"/>
        <w:rPr>
          <w:rFonts w:hint="eastAsia"/>
          <w:b/>
          <w:color w:val="auto"/>
          <w:sz w:val="30"/>
          <w:szCs w:val="30"/>
          <w:highlight w:val="none"/>
        </w:rPr>
      </w:pPr>
    </w:p>
    <w:p w14:paraId="04769227">
      <w:pPr>
        <w:tabs>
          <w:tab w:val="left" w:pos="1305"/>
        </w:tabs>
        <w:spacing w:line="400" w:lineRule="exact"/>
        <w:rPr>
          <w:rFonts w:hint="eastAsia"/>
          <w:b/>
          <w:color w:val="auto"/>
          <w:sz w:val="30"/>
          <w:szCs w:val="30"/>
          <w:highlight w:val="none"/>
        </w:rPr>
      </w:pPr>
      <w:r>
        <w:rPr>
          <w:rFonts w:hint="eastAsia"/>
          <w:b/>
          <w:color w:val="auto"/>
          <w:sz w:val="30"/>
          <w:szCs w:val="30"/>
          <w:highlight w:val="none"/>
        </w:rPr>
        <w:t>附件：</w:t>
      </w:r>
    </w:p>
    <w:p w14:paraId="10A6F9D1">
      <w:pPr>
        <w:pStyle w:val="27"/>
        <w:jc w:val="center"/>
        <w:rPr>
          <w:rFonts w:hint="eastAsia" w:hAnsi="宋体"/>
          <w:b/>
          <w:color w:val="auto"/>
          <w:sz w:val="32"/>
          <w:highlight w:val="none"/>
        </w:rPr>
      </w:pPr>
      <w:r>
        <w:rPr>
          <w:rFonts w:hint="eastAsia" w:hAnsi="宋体"/>
          <w:b/>
          <w:color w:val="auto"/>
          <w:sz w:val="32"/>
          <w:highlight w:val="none"/>
        </w:rPr>
        <w:t xml:space="preserve">  授权委托书（格式一）</w:t>
      </w:r>
    </w:p>
    <w:p w14:paraId="22CBC203">
      <w:pPr>
        <w:snapToGrid w:val="0"/>
        <w:spacing w:line="400" w:lineRule="exact"/>
        <w:outlineLvl w:val="4"/>
        <w:rPr>
          <w:rFonts w:hint="eastAsia" w:ascii="宋体" w:hAnsi="宋体"/>
          <w:color w:val="auto"/>
          <w:highlight w:val="none"/>
        </w:rPr>
      </w:pPr>
      <w:r>
        <w:rPr>
          <w:rFonts w:hint="eastAsia" w:ascii="宋体" w:hAnsi="宋体"/>
          <w:b/>
          <w:color w:val="auto"/>
          <w:szCs w:val="21"/>
          <w:highlight w:val="none"/>
        </w:rPr>
        <w:t>致</w:t>
      </w:r>
      <w:r>
        <w:rPr>
          <w:rFonts w:hint="eastAsia" w:ascii="宋体" w:hAnsi="宋体"/>
          <w:color w:val="auto"/>
          <w:szCs w:val="21"/>
          <w:highlight w:val="none"/>
        </w:rPr>
        <w:t>：</w:t>
      </w:r>
      <w:r>
        <w:rPr>
          <w:rFonts w:hint="eastAsia" w:ascii="宋体" w:hAnsi="宋体"/>
          <w:color w:val="auto"/>
          <w:highlight w:val="none"/>
          <w:u w:val="single"/>
        </w:rPr>
        <w:t>云之龙咨询集团有限公司</w:t>
      </w:r>
    </w:p>
    <w:p w14:paraId="3473AF75">
      <w:pPr>
        <w:snapToGrid w:val="0"/>
        <w:spacing w:line="400" w:lineRule="exact"/>
        <w:outlineLvl w:val="4"/>
        <w:rPr>
          <w:rFonts w:hint="eastAsia" w:ascii="宋体" w:hAnsi="宋体"/>
          <w:color w:val="auto"/>
          <w:szCs w:val="21"/>
          <w:highlight w:val="none"/>
          <w:u w:val="single"/>
        </w:rPr>
      </w:pPr>
    </w:p>
    <w:p w14:paraId="19C9142C">
      <w:pPr>
        <w:pStyle w:val="27"/>
        <w:spacing w:line="400" w:lineRule="exact"/>
        <w:ind w:firstLine="525" w:firstLineChars="250"/>
        <w:rPr>
          <w:rFonts w:hint="eastAsia" w:hAnsi="宋体"/>
          <w:color w:val="auto"/>
          <w:highlight w:val="none"/>
        </w:rPr>
      </w:pPr>
      <w:r>
        <w:rPr>
          <w:rFonts w:hint="eastAsia" w:hAnsi="宋体"/>
          <w:color w:val="auto"/>
          <w:kern w:val="0"/>
          <w:highlight w:val="none"/>
        </w:rPr>
        <w:t>我</w:t>
      </w:r>
      <w:r>
        <w:rPr>
          <w:rFonts w:hint="eastAsia" w:hAnsi="宋体"/>
          <w:color w:val="auto"/>
          <w:kern w:val="0"/>
          <w:highlight w:val="none"/>
          <w:u w:val="single"/>
        </w:rPr>
        <w:t xml:space="preserve">              </w:t>
      </w:r>
      <w:r>
        <w:rPr>
          <w:rFonts w:hint="eastAsia" w:hAnsi="宋体"/>
          <w:color w:val="auto"/>
          <w:kern w:val="0"/>
          <w:highlight w:val="none"/>
        </w:rPr>
        <w:t>（姓名）系</w:t>
      </w:r>
      <w:r>
        <w:rPr>
          <w:rFonts w:hint="eastAsia" w:hAnsi="宋体"/>
          <w:color w:val="auto"/>
          <w:kern w:val="0"/>
          <w:highlight w:val="none"/>
          <w:u w:val="single"/>
        </w:rPr>
        <w:t xml:space="preserve">                              </w:t>
      </w:r>
      <w:r>
        <w:rPr>
          <w:rFonts w:hint="eastAsia" w:hAnsi="宋体"/>
          <w:color w:val="auto"/>
          <w:kern w:val="0"/>
          <w:highlight w:val="none"/>
        </w:rPr>
        <w:t>（投标人名称）的法定代表人，现授权委托本单位在职职工</w:t>
      </w:r>
      <w:r>
        <w:rPr>
          <w:rFonts w:hint="eastAsia" w:hAnsi="宋体"/>
          <w:color w:val="auto"/>
          <w:kern w:val="0"/>
          <w:highlight w:val="none"/>
          <w:u w:val="single"/>
        </w:rPr>
        <w:t xml:space="preserve">            </w:t>
      </w:r>
      <w:r>
        <w:rPr>
          <w:rFonts w:hint="eastAsia" w:hAnsi="宋体"/>
          <w:color w:val="auto"/>
          <w:kern w:val="0"/>
          <w:highlight w:val="none"/>
        </w:rPr>
        <w:t>（姓名）以我公司名义参加</w:t>
      </w:r>
      <w:r>
        <w:rPr>
          <w:rFonts w:hint="eastAsia" w:hAnsi="宋体"/>
          <w:color w:val="auto"/>
          <w:kern w:val="0"/>
          <w:highlight w:val="none"/>
          <w:u w:val="single"/>
        </w:rPr>
        <w:t xml:space="preserve">      </w:t>
      </w:r>
      <w:r>
        <w:rPr>
          <w:rFonts w:hint="eastAsia" w:hAnsi="宋体"/>
          <w:color w:val="auto"/>
          <w:highlight w:val="none"/>
          <w:u w:val="single"/>
        </w:rPr>
        <w:t xml:space="preserve">（项目名称及项目编号）        </w:t>
      </w:r>
      <w:r>
        <w:rPr>
          <w:rFonts w:hint="eastAsia" w:hAnsi="宋体"/>
          <w:color w:val="auto"/>
          <w:highlight w:val="none"/>
        </w:rPr>
        <w:t>项目的投标活动，并代表我方全权办理针对上述项目的投标、开标、评标、签约等具体事务和签署相关文件。</w:t>
      </w:r>
    </w:p>
    <w:p w14:paraId="441ACB9E">
      <w:pPr>
        <w:pStyle w:val="27"/>
        <w:spacing w:line="400" w:lineRule="exact"/>
        <w:ind w:firstLine="420" w:firstLineChars="200"/>
        <w:rPr>
          <w:rFonts w:hint="eastAsia" w:hAnsi="宋体"/>
          <w:color w:val="auto"/>
          <w:highlight w:val="none"/>
        </w:rPr>
      </w:pPr>
      <w:r>
        <w:rPr>
          <w:rFonts w:hint="eastAsia" w:hAnsi="宋体"/>
          <w:color w:val="auto"/>
          <w:highlight w:val="none"/>
        </w:rPr>
        <w:t>我方对被授权人的签字事项负全部责任。</w:t>
      </w:r>
    </w:p>
    <w:p w14:paraId="599523A0">
      <w:pPr>
        <w:pStyle w:val="27"/>
        <w:spacing w:line="400" w:lineRule="exact"/>
        <w:ind w:firstLine="420" w:firstLineChars="200"/>
        <w:rPr>
          <w:rFonts w:hint="eastAsia" w:hAnsi="宋体"/>
          <w:color w:val="auto"/>
          <w:highlight w:val="none"/>
          <w:u w:val="single"/>
        </w:rPr>
      </w:pPr>
      <w:r>
        <w:rPr>
          <w:rFonts w:hint="eastAsia" w:hAnsi="宋体"/>
          <w:color w:val="auto"/>
          <w:highlight w:val="none"/>
        </w:rPr>
        <w:t xml:space="preserve">授权委托代理期限：自即日起至该项目政府采购活动结束。                                                                                         </w:t>
      </w:r>
    </w:p>
    <w:p w14:paraId="1D13E652">
      <w:pPr>
        <w:spacing w:line="400" w:lineRule="exact"/>
        <w:ind w:firstLine="420" w:firstLineChars="200"/>
        <w:rPr>
          <w:rFonts w:hint="eastAsia" w:ascii="宋体" w:hAnsi="宋体"/>
          <w:color w:val="auto"/>
          <w:kern w:val="0"/>
          <w:highlight w:val="none"/>
        </w:rPr>
      </w:pPr>
      <w:r>
        <w:rPr>
          <w:rFonts w:hint="eastAsia" w:ascii="宋体" w:hAnsi="宋体"/>
          <w:color w:val="auto"/>
          <w:kern w:val="0"/>
          <w:highlight w:val="none"/>
        </w:rPr>
        <w:t>代理人无转委托权，特此委托。</w:t>
      </w:r>
      <w:r>
        <w:rPr>
          <w:rFonts w:ascii="宋体" w:hAnsi="宋体"/>
          <w:color w:val="auto"/>
          <w:kern w:val="0"/>
          <w:highlight w:val="none"/>
        </w:rPr>
        <w:t xml:space="preserve"> </w:t>
      </w:r>
    </w:p>
    <w:p w14:paraId="6C909898">
      <w:pPr>
        <w:snapToGrid w:val="0"/>
        <w:spacing w:line="400" w:lineRule="exact"/>
        <w:ind w:firstLine="420"/>
        <w:outlineLvl w:val="4"/>
        <w:rPr>
          <w:rFonts w:hint="eastAsia" w:ascii="宋体" w:hAnsi="宋体"/>
          <w:color w:val="auto"/>
          <w:szCs w:val="21"/>
          <w:highlight w:val="none"/>
        </w:rPr>
      </w:pPr>
      <w:r>
        <w:rPr>
          <w:rFonts w:hint="eastAsia" w:ascii="宋体" w:hAnsi="宋体"/>
          <w:color w:val="auto"/>
          <w:szCs w:val="21"/>
          <w:highlight w:val="none"/>
        </w:rPr>
        <w:t>我已在下面签字，以资证明。</w:t>
      </w:r>
    </w:p>
    <w:p w14:paraId="7F27F226">
      <w:pPr>
        <w:snapToGrid w:val="0"/>
        <w:spacing w:line="400" w:lineRule="exact"/>
        <w:ind w:firstLine="420"/>
        <w:outlineLvl w:val="4"/>
        <w:rPr>
          <w:rFonts w:hint="eastAsia"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（电子签章）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6877A144">
      <w:pPr>
        <w:snapToGrid w:val="0"/>
        <w:spacing w:line="400" w:lineRule="exact"/>
        <w:ind w:firstLine="420"/>
        <w:outlineLvl w:val="4"/>
        <w:rPr>
          <w:rFonts w:hint="eastAsia" w:ascii="宋体" w:hAnsi="宋体"/>
          <w:color w:val="auto"/>
          <w:szCs w:val="21"/>
          <w:highlight w:val="none"/>
        </w:rPr>
      </w:pPr>
    </w:p>
    <w:p w14:paraId="2EF41883">
      <w:pPr>
        <w:snapToGrid w:val="0"/>
        <w:spacing w:line="400" w:lineRule="exact"/>
        <w:ind w:firstLine="420"/>
        <w:outlineLvl w:val="4"/>
        <w:rPr>
          <w:rFonts w:hint="eastAsia" w:ascii="宋体" w:hAnsi="宋体"/>
          <w:color w:val="auto"/>
          <w:szCs w:val="21"/>
          <w:highlight w:val="none"/>
        </w:rPr>
      </w:pPr>
      <w:r>
        <w:rPr>
          <w:rFonts w:hint="eastAsia" w:ascii="宋体" w:hAnsi="宋体"/>
          <w:color w:val="auto"/>
          <w:szCs w:val="21"/>
          <w:highlight w:val="none"/>
        </w:rPr>
        <w:t>法定代表人签字</w:t>
      </w:r>
      <w:r>
        <w:rPr>
          <w:rFonts w:hint="eastAsia" w:ascii="宋体" w:hAnsi="宋体" w:cs="宋体"/>
          <w:color w:val="auto"/>
          <w:szCs w:val="21"/>
          <w:highlight w:val="none"/>
        </w:rPr>
        <w:t>（</w:t>
      </w:r>
      <w:r>
        <w:rPr>
          <w:rFonts w:hint="eastAsia" w:hAnsi="宋体" w:cs="宋体"/>
          <w:color w:val="auto"/>
          <w:szCs w:val="21"/>
          <w:highlight w:val="none"/>
        </w:rPr>
        <w:t>或者电子签名</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772BE6E6">
      <w:pPr>
        <w:snapToGrid w:val="0"/>
        <w:spacing w:line="400" w:lineRule="exact"/>
        <w:ind w:firstLine="420"/>
        <w:outlineLvl w:val="4"/>
        <w:rPr>
          <w:rFonts w:hint="eastAsia" w:ascii="宋体" w:hAnsi="宋体"/>
          <w:color w:val="auto"/>
          <w:szCs w:val="21"/>
          <w:highlight w:val="none"/>
        </w:rPr>
      </w:pPr>
    </w:p>
    <w:p w14:paraId="3D5693FC">
      <w:pPr>
        <w:snapToGrid w:val="0"/>
        <w:spacing w:line="400" w:lineRule="exact"/>
        <w:ind w:firstLine="420"/>
        <w:outlineLvl w:val="4"/>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1E7B749A">
      <w:pPr>
        <w:snapToGrid w:val="0"/>
        <w:spacing w:line="400" w:lineRule="exact"/>
        <w:ind w:firstLine="420"/>
        <w:outlineLvl w:val="4"/>
        <w:rPr>
          <w:rFonts w:hint="eastAsia" w:ascii="宋体" w:hAnsi="宋体"/>
          <w:color w:val="auto"/>
          <w:szCs w:val="21"/>
          <w:highlight w:val="none"/>
        </w:rPr>
      </w:pPr>
    </w:p>
    <w:p w14:paraId="0A474764">
      <w:pPr>
        <w:tabs>
          <w:tab w:val="left" w:pos="1305"/>
        </w:tabs>
        <w:spacing w:line="520" w:lineRule="exact"/>
        <w:rPr>
          <w:rFonts w:hint="eastAsia" w:hAnsi="宋体"/>
          <w:b/>
          <w:color w:val="auto"/>
          <w:sz w:val="24"/>
          <w:highlight w:val="none"/>
        </w:rPr>
      </w:pPr>
      <w:r>
        <w:rPr>
          <w:rFonts w:hint="eastAsia" w:hAnsi="宋体"/>
          <w:b/>
          <w:color w:val="auto"/>
          <w:sz w:val="24"/>
          <w:highlight w:val="none"/>
        </w:rPr>
        <w:t>附：委托代理人身份证正反面复印件（委托代理时必须提供）。</w:t>
      </w:r>
    </w:p>
    <w:p w14:paraId="100E93C7">
      <w:pPr>
        <w:pStyle w:val="27"/>
        <w:jc w:val="center"/>
        <w:rPr>
          <w:rFonts w:hint="eastAsia" w:hAnsi="宋体"/>
          <w:b/>
          <w:color w:val="auto"/>
          <w:sz w:val="32"/>
          <w:highlight w:val="none"/>
        </w:rPr>
      </w:pPr>
    </w:p>
    <w:p w14:paraId="5E89C8B6">
      <w:pPr>
        <w:pStyle w:val="27"/>
        <w:jc w:val="center"/>
        <w:rPr>
          <w:rFonts w:hint="eastAsia" w:hAnsi="宋体"/>
          <w:b/>
          <w:color w:val="auto"/>
          <w:sz w:val="32"/>
          <w:highlight w:val="none"/>
        </w:rPr>
      </w:pPr>
      <w:r>
        <w:rPr>
          <w:rFonts w:hint="eastAsia" w:hAnsi="宋体"/>
          <w:b/>
          <w:color w:val="auto"/>
          <w:sz w:val="32"/>
          <w:highlight w:val="none"/>
        </w:rPr>
        <w:t>授权委托书（格式二）</w:t>
      </w:r>
    </w:p>
    <w:p w14:paraId="7524D9E3">
      <w:pPr>
        <w:snapToGrid w:val="0"/>
        <w:spacing w:line="400" w:lineRule="exact"/>
        <w:outlineLvl w:val="4"/>
        <w:rPr>
          <w:rFonts w:hint="eastAsia" w:ascii="宋体" w:hAnsi="宋体"/>
          <w:color w:val="auto"/>
          <w:highlight w:val="none"/>
        </w:rPr>
      </w:pPr>
      <w:r>
        <w:rPr>
          <w:rFonts w:hint="eastAsia" w:ascii="宋体" w:hAnsi="宋体"/>
          <w:b/>
          <w:color w:val="auto"/>
          <w:szCs w:val="21"/>
          <w:highlight w:val="none"/>
        </w:rPr>
        <w:t>致</w:t>
      </w:r>
      <w:r>
        <w:rPr>
          <w:rFonts w:hint="eastAsia" w:ascii="宋体" w:hAnsi="宋体"/>
          <w:color w:val="auto"/>
          <w:szCs w:val="21"/>
          <w:highlight w:val="none"/>
        </w:rPr>
        <w:t>：</w:t>
      </w:r>
      <w:r>
        <w:rPr>
          <w:rFonts w:hint="eastAsia" w:ascii="宋体" w:hAnsi="宋体"/>
          <w:color w:val="auto"/>
          <w:highlight w:val="none"/>
          <w:u w:val="single"/>
        </w:rPr>
        <w:t>云之龙咨询集团有限公司</w:t>
      </w:r>
    </w:p>
    <w:p w14:paraId="6B912273">
      <w:pPr>
        <w:snapToGrid w:val="0"/>
        <w:spacing w:line="400" w:lineRule="exact"/>
        <w:outlineLvl w:val="4"/>
        <w:rPr>
          <w:rFonts w:hint="eastAsia" w:ascii="宋体" w:hAnsi="宋体"/>
          <w:color w:val="auto"/>
          <w:szCs w:val="21"/>
          <w:highlight w:val="none"/>
          <w:u w:val="single"/>
        </w:rPr>
      </w:pPr>
    </w:p>
    <w:p w14:paraId="42810CA0">
      <w:pPr>
        <w:pStyle w:val="27"/>
        <w:spacing w:line="340" w:lineRule="exact"/>
        <w:ind w:firstLine="420" w:firstLineChars="200"/>
        <w:rPr>
          <w:rFonts w:hint="eastAsia" w:hAnsi="宋体"/>
          <w:color w:val="auto"/>
          <w:highlight w:val="none"/>
        </w:rPr>
      </w:pPr>
      <w:r>
        <w:rPr>
          <w:rFonts w:hint="eastAsia" w:hAnsi="宋体"/>
          <w:color w:val="auto"/>
          <w:kern w:val="0"/>
          <w:highlight w:val="none"/>
        </w:rPr>
        <w:t>我</w:t>
      </w:r>
      <w:r>
        <w:rPr>
          <w:rFonts w:hint="eastAsia" w:hAnsi="宋体"/>
          <w:color w:val="auto"/>
          <w:kern w:val="0"/>
          <w:highlight w:val="none"/>
          <w:u w:val="single"/>
        </w:rPr>
        <w:t xml:space="preserve">              </w:t>
      </w:r>
      <w:r>
        <w:rPr>
          <w:rFonts w:hint="eastAsia" w:hAnsi="宋体"/>
          <w:color w:val="auto"/>
          <w:kern w:val="0"/>
          <w:highlight w:val="none"/>
        </w:rPr>
        <w:t>（姓名）系自然人，现授权委托</w:t>
      </w:r>
      <w:r>
        <w:rPr>
          <w:rFonts w:hint="eastAsia" w:hAnsi="宋体"/>
          <w:color w:val="auto"/>
          <w:kern w:val="0"/>
          <w:highlight w:val="none"/>
          <w:u w:val="single"/>
        </w:rPr>
        <w:t xml:space="preserve">            </w:t>
      </w:r>
      <w:r>
        <w:rPr>
          <w:rFonts w:hint="eastAsia" w:hAnsi="宋体"/>
          <w:color w:val="auto"/>
          <w:kern w:val="0"/>
          <w:highlight w:val="none"/>
        </w:rPr>
        <w:t>（姓 名）以本人名义参加</w:t>
      </w:r>
      <w:r>
        <w:rPr>
          <w:rFonts w:hint="eastAsia" w:hAnsi="宋体"/>
          <w:color w:val="auto"/>
          <w:kern w:val="0"/>
          <w:highlight w:val="none"/>
          <w:u w:val="single"/>
        </w:rPr>
        <w:t xml:space="preserve">      </w:t>
      </w:r>
      <w:r>
        <w:rPr>
          <w:rFonts w:hint="eastAsia" w:hAnsi="宋体"/>
          <w:color w:val="auto"/>
          <w:highlight w:val="none"/>
          <w:u w:val="single"/>
        </w:rPr>
        <w:t xml:space="preserve">（项目名称及项目编号）        </w:t>
      </w:r>
      <w:r>
        <w:rPr>
          <w:rFonts w:hint="eastAsia" w:hAnsi="宋体"/>
          <w:color w:val="auto"/>
          <w:highlight w:val="none"/>
        </w:rPr>
        <w:t>项目的投标活动，并代表本人全权办理针对上述项目的投标、开标、评标、签约等具体事务和签署相关文件。</w:t>
      </w:r>
    </w:p>
    <w:p w14:paraId="0A7F3E49">
      <w:pPr>
        <w:pStyle w:val="27"/>
        <w:spacing w:line="340" w:lineRule="exact"/>
        <w:ind w:firstLine="420" w:firstLineChars="200"/>
        <w:rPr>
          <w:rFonts w:hint="eastAsia" w:hAnsi="宋体"/>
          <w:color w:val="auto"/>
          <w:highlight w:val="none"/>
        </w:rPr>
      </w:pPr>
      <w:r>
        <w:rPr>
          <w:rFonts w:hint="eastAsia" w:hAnsi="宋体"/>
          <w:color w:val="auto"/>
          <w:highlight w:val="none"/>
        </w:rPr>
        <w:t>本人对被授权人的签字事项负全部责任。</w:t>
      </w:r>
    </w:p>
    <w:p w14:paraId="4341CED4">
      <w:pPr>
        <w:pStyle w:val="27"/>
        <w:spacing w:line="400" w:lineRule="exact"/>
        <w:ind w:firstLine="420" w:firstLineChars="200"/>
        <w:rPr>
          <w:rFonts w:hint="eastAsia" w:hAnsi="宋体"/>
          <w:color w:val="auto"/>
          <w:highlight w:val="none"/>
          <w:u w:val="single"/>
        </w:rPr>
      </w:pPr>
      <w:r>
        <w:rPr>
          <w:rFonts w:hint="eastAsia" w:hAnsi="宋体"/>
          <w:color w:val="auto"/>
          <w:highlight w:val="none"/>
        </w:rPr>
        <w:t>授权委托代理期限：自即日起至该项目政府采购活动结束。</w:t>
      </w:r>
    </w:p>
    <w:p w14:paraId="3CDA2EC2">
      <w:pPr>
        <w:pStyle w:val="27"/>
        <w:spacing w:line="340" w:lineRule="exact"/>
        <w:ind w:firstLine="420" w:firstLineChars="200"/>
        <w:rPr>
          <w:rFonts w:hint="eastAsia" w:hAnsi="宋体"/>
          <w:color w:val="auto"/>
          <w:highlight w:val="none"/>
          <w:u w:val="single"/>
        </w:rPr>
      </w:pPr>
    </w:p>
    <w:p w14:paraId="63C16840">
      <w:pPr>
        <w:pStyle w:val="27"/>
        <w:spacing w:line="340" w:lineRule="exact"/>
        <w:rPr>
          <w:rFonts w:hint="eastAsia" w:hAnsi="宋体"/>
          <w:color w:val="auto"/>
          <w:highlight w:val="none"/>
          <w:u w:val="single"/>
        </w:rPr>
      </w:pPr>
      <w:r>
        <w:rPr>
          <w:rFonts w:hint="eastAsia" w:hAnsi="宋体"/>
          <w:color w:val="auto"/>
          <w:highlight w:val="none"/>
        </w:rPr>
        <w:t xml:space="preserve">                                                                                             </w:t>
      </w:r>
    </w:p>
    <w:p w14:paraId="6391CF88">
      <w:pPr>
        <w:spacing w:line="340" w:lineRule="exact"/>
        <w:ind w:firstLine="420" w:firstLineChars="200"/>
        <w:rPr>
          <w:rFonts w:hint="eastAsia" w:ascii="宋体" w:hAnsi="宋体"/>
          <w:color w:val="auto"/>
          <w:kern w:val="0"/>
          <w:highlight w:val="none"/>
        </w:rPr>
      </w:pPr>
      <w:r>
        <w:rPr>
          <w:rFonts w:hint="eastAsia" w:ascii="宋体" w:hAnsi="宋体"/>
          <w:color w:val="auto"/>
          <w:kern w:val="0"/>
          <w:highlight w:val="none"/>
        </w:rPr>
        <w:t>代理人无转委托权，特此委托。</w:t>
      </w:r>
      <w:r>
        <w:rPr>
          <w:rFonts w:ascii="宋体" w:hAnsi="宋体"/>
          <w:color w:val="auto"/>
          <w:kern w:val="0"/>
          <w:highlight w:val="none"/>
        </w:rPr>
        <w:t xml:space="preserve"> </w:t>
      </w:r>
    </w:p>
    <w:p w14:paraId="3E07651E">
      <w:pPr>
        <w:snapToGrid w:val="0"/>
        <w:spacing w:line="340" w:lineRule="exact"/>
        <w:ind w:firstLine="525"/>
        <w:outlineLvl w:val="4"/>
        <w:rPr>
          <w:rFonts w:hint="eastAsia" w:ascii="宋体" w:hAnsi="宋体"/>
          <w:color w:val="auto"/>
          <w:szCs w:val="21"/>
          <w:highlight w:val="none"/>
        </w:rPr>
      </w:pPr>
    </w:p>
    <w:p w14:paraId="145882DA">
      <w:pPr>
        <w:snapToGrid w:val="0"/>
        <w:spacing w:line="340" w:lineRule="exact"/>
        <w:ind w:firstLine="420"/>
        <w:outlineLvl w:val="4"/>
        <w:rPr>
          <w:rFonts w:hint="eastAsia" w:ascii="宋体" w:hAnsi="宋体"/>
          <w:color w:val="auto"/>
          <w:szCs w:val="21"/>
          <w:highlight w:val="none"/>
        </w:rPr>
      </w:pPr>
      <w:r>
        <w:rPr>
          <w:rFonts w:hint="eastAsia" w:ascii="宋体" w:hAnsi="宋体"/>
          <w:color w:val="auto"/>
          <w:szCs w:val="21"/>
          <w:highlight w:val="none"/>
        </w:rPr>
        <w:t>我已在下面签字，以资证明。</w:t>
      </w:r>
    </w:p>
    <w:p w14:paraId="2DD5C5EE">
      <w:pPr>
        <w:snapToGrid w:val="0"/>
        <w:spacing w:line="340" w:lineRule="exact"/>
        <w:ind w:firstLine="420"/>
        <w:outlineLvl w:val="4"/>
        <w:rPr>
          <w:rFonts w:hint="eastAsia" w:ascii="宋体" w:hAnsi="宋体"/>
          <w:color w:val="auto"/>
          <w:szCs w:val="21"/>
          <w:highlight w:val="none"/>
        </w:rPr>
      </w:pPr>
    </w:p>
    <w:p w14:paraId="41AE6E06">
      <w:pPr>
        <w:snapToGrid w:val="0"/>
        <w:spacing w:line="340" w:lineRule="exact"/>
        <w:ind w:firstLine="420"/>
        <w:outlineLvl w:val="4"/>
        <w:rPr>
          <w:rFonts w:hint="eastAsia" w:ascii="宋体" w:hAnsi="宋体"/>
          <w:color w:val="auto"/>
          <w:szCs w:val="21"/>
          <w:highlight w:val="none"/>
        </w:rPr>
      </w:pPr>
      <w:r>
        <w:rPr>
          <w:rFonts w:hint="eastAsia" w:ascii="宋体" w:hAnsi="宋体"/>
          <w:color w:val="auto"/>
          <w:szCs w:val="21"/>
          <w:highlight w:val="none"/>
        </w:rPr>
        <w:t>自然人签字（或者电子签名）：</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777F759B">
      <w:pPr>
        <w:snapToGrid w:val="0"/>
        <w:spacing w:line="340" w:lineRule="exact"/>
        <w:ind w:firstLine="420"/>
        <w:outlineLvl w:val="4"/>
        <w:rPr>
          <w:rFonts w:hint="eastAsia" w:ascii="宋体" w:hAnsi="宋体"/>
          <w:color w:val="auto"/>
          <w:szCs w:val="21"/>
          <w:highlight w:val="none"/>
        </w:rPr>
      </w:pPr>
    </w:p>
    <w:p w14:paraId="69A0F2AC">
      <w:pPr>
        <w:pStyle w:val="27"/>
        <w:spacing w:line="400" w:lineRule="exact"/>
        <w:ind w:firstLine="602" w:firstLineChars="250"/>
        <w:rPr>
          <w:rFonts w:hint="eastAsia" w:hAnsi="宋体"/>
          <w:b/>
          <w:color w:val="auto"/>
          <w:sz w:val="24"/>
          <w:szCs w:val="24"/>
          <w:highlight w:val="none"/>
        </w:rPr>
      </w:pPr>
      <w:r>
        <w:rPr>
          <w:rFonts w:hint="eastAsia" w:hAnsi="宋体"/>
          <w:b/>
          <w:color w:val="auto"/>
          <w:sz w:val="24"/>
          <w:szCs w:val="24"/>
          <w:highlight w:val="none"/>
        </w:rPr>
        <w:t>附：委托代理人身份证正反面复印件（委托代理时必须提供）。</w:t>
      </w:r>
    </w:p>
    <w:p w14:paraId="6199CAE8">
      <w:pPr>
        <w:pStyle w:val="27"/>
        <w:spacing w:line="400" w:lineRule="exact"/>
        <w:ind w:left="420" w:leftChars="200" w:firstLine="157" w:firstLineChars="49"/>
        <w:rPr>
          <w:rFonts w:hint="eastAsia" w:hAnsi="宋体"/>
          <w:b/>
          <w:color w:val="auto"/>
          <w:sz w:val="32"/>
          <w:szCs w:val="32"/>
          <w:highlight w:val="none"/>
        </w:rPr>
      </w:pPr>
    </w:p>
    <w:p w14:paraId="7866EBE2">
      <w:pPr>
        <w:pStyle w:val="27"/>
        <w:spacing w:line="400" w:lineRule="exact"/>
        <w:ind w:left="420" w:leftChars="200" w:firstLine="157" w:firstLineChars="49"/>
        <w:rPr>
          <w:rFonts w:hint="eastAsia" w:hAnsi="宋体"/>
          <w:b/>
          <w:color w:val="auto"/>
          <w:sz w:val="32"/>
          <w:szCs w:val="32"/>
          <w:highlight w:val="none"/>
        </w:rPr>
      </w:pPr>
    </w:p>
    <w:p w14:paraId="302EC10E">
      <w:pPr>
        <w:pStyle w:val="27"/>
        <w:spacing w:line="400" w:lineRule="exact"/>
        <w:ind w:left="420" w:leftChars="200" w:firstLine="157" w:firstLineChars="49"/>
        <w:rPr>
          <w:rFonts w:hint="eastAsia" w:hAnsi="宋体"/>
          <w:b/>
          <w:color w:val="auto"/>
          <w:sz w:val="32"/>
          <w:szCs w:val="32"/>
          <w:highlight w:val="none"/>
        </w:rPr>
      </w:pPr>
    </w:p>
    <w:p w14:paraId="52C0A0C2">
      <w:pPr>
        <w:pStyle w:val="27"/>
        <w:spacing w:line="400" w:lineRule="exact"/>
        <w:ind w:left="420" w:leftChars="200" w:firstLine="157" w:firstLineChars="49"/>
        <w:rPr>
          <w:rFonts w:hint="eastAsia" w:hAnsi="宋体"/>
          <w:b/>
          <w:color w:val="auto"/>
          <w:sz w:val="32"/>
          <w:szCs w:val="32"/>
          <w:highlight w:val="none"/>
        </w:rPr>
      </w:pPr>
    </w:p>
    <w:p w14:paraId="3D7BFD5E">
      <w:pPr>
        <w:pStyle w:val="27"/>
        <w:spacing w:line="400" w:lineRule="exact"/>
        <w:rPr>
          <w:rFonts w:hAnsi="宋体"/>
          <w:b/>
          <w:color w:val="auto"/>
          <w:sz w:val="32"/>
          <w:szCs w:val="32"/>
          <w:highlight w:val="none"/>
        </w:rPr>
      </w:pPr>
      <w:r>
        <w:rPr>
          <w:rFonts w:hint="eastAsia" w:hAnsi="宋体"/>
          <w:b/>
          <w:color w:val="auto"/>
          <w:sz w:val="32"/>
          <w:szCs w:val="32"/>
          <w:highlight w:val="none"/>
        </w:rPr>
        <w:t>3.投标人的法人或者其他组织营业执照等证明文件复印件（必须提供，自然人除外）</w:t>
      </w:r>
    </w:p>
    <w:p w14:paraId="5799DB8D">
      <w:pPr>
        <w:tabs>
          <w:tab w:val="left" w:pos="1305"/>
        </w:tabs>
        <w:spacing w:line="400" w:lineRule="exact"/>
        <w:rPr>
          <w:rFonts w:hint="eastAsia" w:ascii="宋体" w:hAnsi="宋体"/>
          <w:b/>
          <w:color w:val="auto"/>
          <w:szCs w:val="21"/>
          <w:highlight w:val="none"/>
        </w:rPr>
      </w:pPr>
      <w:r>
        <w:rPr>
          <w:rFonts w:hint="eastAsia" w:ascii="宋体" w:hAnsi="宋体"/>
          <w:b/>
          <w:color w:val="auto"/>
          <w:szCs w:val="21"/>
          <w:highlight w:val="none"/>
        </w:rPr>
        <w:t>注：①法人包括企业法人、机关法人、事业单位法人和社会团体法人；其他组织主要包括合伙企业、非企业专业服务机构、个体工商户、农村承包经营户。②如</w:t>
      </w:r>
      <w:r>
        <w:rPr>
          <w:rFonts w:hint="eastAsia" w:ascii="宋体" w:hAnsi="宋体"/>
          <w:b/>
          <w:color w:val="auto"/>
          <w:szCs w:val="21"/>
          <w:highlight w:val="none"/>
          <w:lang w:eastAsia="zh-CN"/>
        </w:rPr>
        <w:t>投标人</w:t>
      </w:r>
      <w:r>
        <w:rPr>
          <w:rFonts w:hint="eastAsia" w:ascii="宋体" w:hAnsi="宋体"/>
          <w:b/>
          <w:color w:val="auto"/>
          <w:szCs w:val="21"/>
          <w:highlight w:val="none"/>
        </w:rPr>
        <w:t>为企业（包括合伙企业）或个体工商户的，应提供市场监督管理部门（或行政审批部门）登记注册的有效“营业执照”；</w:t>
      </w:r>
      <w:r>
        <w:rPr>
          <w:rFonts w:hint="eastAsia" w:ascii="宋体" w:hAnsi="宋体"/>
          <w:b/>
          <w:color w:val="auto"/>
          <w:szCs w:val="21"/>
          <w:highlight w:val="none"/>
          <w:lang w:eastAsia="zh-CN"/>
        </w:rPr>
        <w:t>投标人</w:t>
      </w:r>
      <w:r>
        <w:rPr>
          <w:rFonts w:hint="eastAsia" w:ascii="宋体" w:hAnsi="宋体"/>
          <w:b/>
          <w:color w:val="auto"/>
          <w:szCs w:val="21"/>
          <w:highlight w:val="none"/>
        </w:rPr>
        <w:t>为事业单位的，应提供有效的“事业单位法人证书”；</w:t>
      </w:r>
      <w:r>
        <w:rPr>
          <w:rFonts w:hint="eastAsia" w:ascii="宋体" w:hAnsi="宋体"/>
          <w:b/>
          <w:color w:val="auto"/>
          <w:szCs w:val="21"/>
          <w:highlight w:val="none"/>
          <w:lang w:eastAsia="zh-CN"/>
        </w:rPr>
        <w:t>投标人</w:t>
      </w:r>
      <w:r>
        <w:rPr>
          <w:rFonts w:hint="eastAsia" w:ascii="宋体" w:hAnsi="宋体"/>
          <w:b/>
          <w:color w:val="auto"/>
          <w:szCs w:val="21"/>
          <w:highlight w:val="none"/>
        </w:rPr>
        <w:t xml:space="preserve">为非企业专业服务机构的，应提供执业许可证等证明文件。 </w:t>
      </w:r>
    </w:p>
    <w:p w14:paraId="757339C9">
      <w:pPr>
        <w:pStyle w:val="32"/>
        <w:rPr>
          <w:rFonts w:hint="eastAsia" w:ascii="宋体" w:hAnsi="宋体"/>
          <w:b/>
          <w:color w:val="auto"/>
          <w:szCs w:val="21"/>
          <w:highlight w:val="none"/>
        </w:rPr>
      </w:pPr>
    </w:p>
    <w:p w14:paraId="761B5BBE">
      <w:pPr>
        <w:pStyle w:val="32"/>
        <w:rPr>
          <w:rFonts w:hint="eastAsia" w:ascii="宋体" w:hAnsi="宋体"/>
          <w:b/>
          <w:color w:val="auto"/>
          <w:szCs w:val="21"/>
          <w:highlight w:val="none"/>
        </w:rPr>
      </w:pPr>
    </w:p>
    <w:p w14:paraId="7EB3D78F">
      <w:pPr>
        <w:pStyle w:val="32"/>
        <w:rPr>
          <w:rFonts w:hint="eastAsia" w:ascii="宋体" w:hAnsi="宋体"/>
          <w:b/>
          <w:color w:val="auto"/>
          <w:szCs w:val="21"/>
          <w:highlight w:val="none"/>
        </w:rPr>
      </w:pPr>
    </w:p>
    <w:p w14:paraId="283DD4EB">
      <w:pPr>
        <w:pStyle w:val="32"/>
        <w:rPr>
          <w:rFonts w:hint="eastAsia" w:ascii="宋体" w:hAnsi="宋体"/>
          <w:b/>
          <w:color w:val="auto"/>
          <w:szCs w:val="21"/>
          <w:highlight w:val="none"/>
        </w:rPr>
      </w:pPr>
    </w:p>
    <w:p w14:paraId="6280ACEE">
      <w:pPr>
        <w:pStyle w:val="32"/>
        <w:rPr>
          <w:rFonts w:hint="eastAsia" w:ascii="宋体" w:hAnsi="宋体"/>
          <w:b/>
          <w:color w:val="auto"/>
          <w:szCs w:val="21"/>
          <w:highlight w:val="none"/>
        </w:rPr>
      </w:pPr>
    </w:p>
    <w:p w14:paraId="3E71D54F">
      <w:pPr>
        <w:pStyle w:val="32"/>
        <w:rPr>
          <w:rFonts w:hint="eastAsia" w:ascii="宋体" w:hAnsi="宋体"/>
          <w:b/>
          <w:color w:val="auto"/>
          <w:szCs w:val="21"/>
          <w:highlight w:val="none"/>
        </w:rPr>
      </w:pPr>
    </w:p>
    <w:p w14:paraId="205E3551">
      <w:pPr>
        <w:pStyle w:val="32"/>
        <w:rPr>
          <w:rFonts w:hint="eastAsia" w:ascii="宋体" w:hAnsi="宋体"/>
          <w:b/>
          <w:color w:val="auto"/>
          <w:szCs w:val="21"/>
          <w:highlight w:val="none"/>
        </w:rPr>
      </w:pPr>
    </w:p>
    <w:p w14:paraId="753EA25B">
      <w:pPr>
        <w:pStyle w:val="32"/>
        <w:rPr>
          <w:rFonts w:hint="eastAsia" w:ascii="宋体" w:hAnsi="宋体"/>
          <w:b/>
          <w:color w:val="auto"/>
          <w:szCs w:val="21"/>
          <w:highlight w:val="none"/>
        </w:rPr>
      </w:pPr>
    </w:p>
    <w:p w14:paraId="767634EE">
      <w:pPr>
        <w:pStyle w:val="32"/>
        <w:rPr>
          <w:rFonts w:hint="eastAsia" w:ascii="宋体" w:hAnsi="宋体"/>
          <w:b/>
          <w:color w:val="auto"/>
          <w:szCs w:val="21"/>
          <w:highlight w:val="none"/>
        </w:rPr>
      </w:pPr>
    </w:p>
    <w:p w14:paraId="001F9B13">
      <w:pPr>
        <w:pStyle w:val="32"/>
        <w:rPr>
          <w:rFonts w:hint="eastAsia" w:ascii="宋体" w:hAnsi="宋体"/>
          <w:b/>
          <w:color w:val="auto"/>
          <w:szCs w:val="21"/>
          <w:highlight w:val="none"/>
        </w:rPr>
      </w:pPr>
    </w:p>
    <w:p w14:paraId="2C5C5D92">
      <w:pPr>
        <w:pStyle w:val="32"/>
        <w:rPr>
          <w:rFonts w:hint="eastAsia" w:ascii="宋体" w:hAnsi="宋体"/>
          <w:b/>
          <w:color w:val="auto"/>
          <w:szCs w:val="21"/>
          <w:highlight w:val="none"/>
        </w:rPr>
      </w:pPr>
    </w:p>
    <w:p w14:paraId="58BB83E8">
      <w:pPr>
        <w:pStyle w:val="32"/>
        <w:rPr>
          <w:rFonts w:hint="eastAsia" w:ascii="宋体" w:hAnsi="宋体"/>
          <w:b/>
          <w:color w:val="auto"/>
          <w:szCs w:val="21"/>
          <w:highlight w:val="none"/>
        </w:rPr>
      </w:pPr>
    </w:p>
    <w:p w14:paraId="1A1DF6C9">
      <w:pPr>
        <w:pStyle w:val="32"/>
        <w:rPr>
          <w:rFonts w:hint="eastAsia" w:ascii="宋体" w:hAnsi="宋体"/>
          <w:b/>
          <w:color w:val="auto"/>
          <w:szCs w:val="21"/>
          <w:highlight w:val="none"/>
        </w:rPr>
      </w:pPr>
    </w:p>
    <w:p w14:paraId="4F76C9D4">
      <w:pPr>
        <w:pStyle w:val="32"/>
        <w:rPr>
          <w:rFonts w:hint="eastAsia" w:ascii="宋体" w:hAnsi="宋体"/>
          <w:b/>
          <w:color w:val="auto"/>
          <w:szCs w:val="21"/>
          <w:highlight w:val="none"/>
        </w:rPr>
      </w:pPr>
    </w:p>
    <w:p w14:paraId="5A6FE63D">
      <w:pPr>
        <w:pStyle w:val="32"/>
        <w:rPr>
          <w:rFonts w:hint="eastAsia" w:ascii="宋体" w:hAnsi="宋体"/>
          <w:b/>
          <w:color w:val="auto"/>
          <w:szCs w:val="21"/>
          <w:highlight w:val="none"/>
        </w:rPr>
      </w:pPr>
    </w:p>
    <w:p w14:paraId="690F7945">
      <w:pPr>
        <w:pStyle w:val="32"/>
        <w:rPr>
          <w:rFonts w:hint="eastAsia" w:ascii="宋体" w:hAnsi="宋体"/>
          <w:b/>
          <w:color w:val="auto"/>
          <w:szCs w:val="21"/>
          <w:highlight w:val="none"/>
        </w:rPr>
      </w:pPr>
    </w:p>
    <w:p w14:paraId="199C4FBB">
      <w:pPr>
        <w:pStyle w:val="27"/>
        <w:spacing w:line="400" w:lineRule="exact"/>
        <w:rPr>
          <w:rFonts w:hint="eastAsia" w:hAnsi="宋体"/>
          <w:b/>
          <w:color w:val="auto"/>
          <w:sz w:val="32"/>
          <w:szCs w:val="32"/>
          <w:highlight w:val="none"/>
        </w:rPr>
      </w:pPr>
      <w:r>
        <w:rPr>
          <w:rFonts w:hint="eastAsia" w:hAnsi="宋体"/>
          <w:b/>
          <w:color w:val="auto"/>
          <w:sz w:val="32"/>
          <w:szCs w:val="32"/>
          <w:highlight w:val="none"/>
        </w:rPr>
        <w:t>4.投标人涉及医疗器械管理的相关证明材料复印件（必须提供）</w:t>
      </w:r>
    </w:p>
    <w:p w14:paraId="3C69BADD">
      <w:pPr>
        <w:pStyle w:val="27"/>
        <w:spacing w:line="400" w:lineRule="exact"/>
        <w:rPr>
          <w:rFonts w:hint="eastAsia" w:hAnsi="宋体"/>
          <w:b/>
          <w:bCs/>
          <w:color w:val="auto"/>
          <w:szCs w:val="21"/>
          <w:highlight w:val="none"/>
        </w:rPr>
      </w:pPr>
      <w:r>
        <w:rPr>
          <w:rFonts w:hint="eastAsia" w:hAnsi="宋体"/>
          <w:b/>
          <w:bCs/>
          <w:color w:val="auto"/>
          <w:szCs w:val="21"/>
          <w:highlight w:val="none"/>
        </w:rPr>
        <w:t>注：①本项目有第二类医疗器械的，应提供有效的医疗器械经营备案凭证（经营范围包含采购的第二类医疗器械），符合《医疗器械监督管理条例》（国务院令第739号）第四十一条第二款规定的除外；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②本项目有第三类医疗器械的，应提供有效的医疗器械经营许可证（经营范围包含采购的第三类医疗器械）；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③本项目有第二类和第三类医疗器械的，应按上述①②要求提供。</w:t>
      </w:r>
    </w:p>
    <w:p w14:paraId="6A79A404">
      <w:pPr>
        <w:pStyle w:val="27"/>
        <w:spacing w:line="400" w:lineRule="exact"/>
        <w:rPr>
          <w:rFonts w:hint="eastAsia" w:hAnsi="宋体"/>
          <w:b/>
          <w:color w:val="auto"/>
          <w:sz w:val="32"/>
          <w:szCs w:val="32"/>
          <w:highlight w:val="none"/>
        </w:rPr>
      </w:pPr>
    </w:p>
    <w:p w14:paraId="1544BC70">
      <w:pPr>
        <w:rPr>
          <w:rFonts w:hint="eastAsia"/>
          <w:color w:val="auto"/>
          <w:highlight w:val="none"/>
        </w:rPr>
      </w:pPr>
    </w:p>
    <w:p w14:paraId="418F02DD">
      <w:pPr>
        <w:rPr>
          <w:rFonts w:hint="eastAsia"/>
          <w:color w:val="auto"/>
          <w:highlight w:val="none"/>
        </w:rPr>
      </w:pPr>
    </w:p>
    <w:p w14:paraId="6223F517">
      <w:pPr>
        <w:rPr>
          <w:rFonts w:hint="eastAsia"/>
          <w:color w:val="auto"/>
          <w:highlight w:val="none"/>
        </w:rPr>
      </w:pPr>
    </w:p>
    <w:p w14:paraId="609160CD">
      <w:pPr>
        <w:pStyle w:val="27"/>
        <w:numPr>
          <w:ilvl w:val="0"/>
          <w:numId w:val="8"/>
        </w:numPr>
        <w:spacing w:line="400" w:lineRule="exact"/>
        <w:rPr>
          <w:rFonts w:hAnsi="宋体"/>
          <w:b/>
          <w:color w:val="auto"/>
          <w:sz w:val="32"/>
          <w:szCs w:val="32"/>
          <w:highlight w:val="none"/>
        </w:rPr>
      </w:pPr>
      <w:r>
        <w:rPr>
          <w:rFonts w:hint="eastAsia" w:hAnsi="宋体"/>
          <w:b/>
          <w:color w:val="auto"/>
          <w:sz w:val="32"/>
          <w:szCs w:val="32"/>
          <w:highlight w:val="none"/>
        </w:rPr>
        <w:t>投标人财务状况报告（必须提供）</w:t>
      </w:r>
    </w:p>
    <w:p w14:paraId="624C3F9B">
      <w:pPr>
        <w:pStyle w:val="27"/>
        <w:spacing w:line="400" w:lineRule="exact"/>
        <w:rPr>
          <w:rFonts w:hint="eastAsia" w:hAnsi="宋体"/>
          <w:b/>
          <w:bCs/>
          <w:color w:val="auto"/>
          <w:szCs w:val="21"/>
          <w:highlight w:val="none"/>
        </w:rPr>
      </w:pPr>
      <w:r>
        <w:rPr>
          <w:rFonts w:hint="eastAsia" w:hAnsi="宋体"/>
          <w:b/>
          <w:bCs/>
          <w:color w:val="auto"/>
          <w:szCs w:val="21"/>
          <w:highlight w:val="none"/>
        </w:rPr>
        <w:t>注：投标人必须提供2023年度以来任意年度内的财务报表复印件，或者202</w:t>
      </w:r>
      <w:r>
        <w:rPr>
          <w:rFonts w:hint="eastAsia" w:hAnsi="宋体"/>
          <w:b/>
          <w:bCs/>
          <w:color w:val="auto"/>
          <w:szCs w:val="21"/>
          <w:highlight w:val="none"/>
          <w:lang w:val="en-US" w:eastAsia="zh-CN"/>
        </w:rPr>
        <w:t>5</w:t>
      </w:r>
      <w:r>
        <w:rPr>
          <w:rFonts w:hint="eastAsia" w:hAnsi="宋体"/>
          <w:b/>
          <w:bCs/>
          <w:color w:val="auto"/>
          <w:szCs w:val="21"/>
          <w:highlight w:val="none"/>
        </w:rPr>
        <w:t>年以来银行出具的资信证明，或者中国人民银行征信中心出具的信用报告（企业参与投标的提供企业信用报告，自然人参与投标的提供个人信用报告，投标人属于成立时间在规定年度之后的法人或其他组织，需提供成立之日起至投标文件递交截止时间前的月报表或银行出具的资信证明或者中国人民银行征信中心出具的企业信用报告；资信证明应在有效期内）。</w:t>
      </w:r>
    </w:p>
    <w:p w14:paraId="5CB509B3">
      <w:pPr>
        <w:pStyle w:val="27"/>
        <w:spacing w:line="400" w:lineRule="exact"/>
        <w:rPr>
          <w:rFonts w:hint="eastAsia" w:hAnsi="宋体"/>
          <w:b/>
          <w:color w:val="auto"/>
          <w:sz w:val="32"/>
          <w:szCs w:val="32"/>
          <w:highlight w:val="none"/>
        </w:rPr>
      </w:pPr>
    </w:p>
    <w:p w14:paraId="2406396F">
      <w:pPr>
        <w:pStyle w:val="13"/>
        <w:ind w:firstLine="420"/>
        <w:rPr>
          <w:rFonts w:hint="eastAsia"/>
          <w:color w:val="auto"/>
          <w:highlight w:val="none"/>
        </w:rPr>
      </w:pPr>
    </w:p>
    <w:p w14:paraId="69D78D63">
      <w:pPr>
        <w:rPr>
          <w:rFonts w:hint="eastAsia"/>
          <w:color w:val="auto"/>
          <w:highlight w:val="none"/>
        </w:rPr>
      </w:pPr>
    </w:p>
    <w:p w14:paraId="6157410F">
      <w:pPr>
        <w:pStyle w:val="27"/>
        <w:spacing w:line="400" w:lineRule="exact"/>
        <w:rPr>
          <w:rFonts w:hint="eastAsia" w:hAnsi="宋体"/>
          <w:b/>
          <w:color w:val="auto"/>
          <w:sz w:val="32"/>
          <w:szCs w:val="32"/>
          <w:highlight w:val="none"/>
        </w:rPr>
      </w:pPr>
    </w:p>
    <w:p w14:paraId="5FEA1EFD">
      <w:pPr>
        <w:pStyle w:val="27"/>
        <w:numPr>
          <w:ilvl w:val="0"/>
          <w:numId w:val="8"/>
        </w:numPr>
        <w:spacing w:line="400" w:lineRule="exact"/>
        <w:rPr>
          <w:rFonts w:hAnsi="宋体"/>
          <w:b/>
          <w:color w:val="auto"/>
          <w:sz w:val="32"/>
          <w:szCs w:val="32"/>
          <w:highlight w:val="none"/>
        </w:rPr>
      </w:pPr>
      <w:r>
        <w:rPr>
          <w:rFonts w:hint="eastAsia" w:hAnsi="宋体"/>
          <w:b/>
          <w:color w:val="auto"/>
          <w:sz w:val="32"/>
          <w:szCs w:val="32"/>
          <w:highlight w:val="none"/>
        </w:rPr>
        <w:t>投标人依法缴纳税收的相关材料（必须提供）</w:t>
      </w:r>
    </w:p>
    <w:p w14:paraId="0560CC72">
      <w:pPr>
        <w:pStyle w:val="27"/>
        <w:spacing w:line="400" w:lineRule="exact"/>
        <w:rPr>
          <w:rFonts w:hAnsi="宋体"/>
          <w:b/>
          <w:bCs/>
          <w:color w:val="auto"/>
          <w:szCs w:val="21"/>
          <w:highlight w:val="none"/>
        </w:rPr>
      </w:pPr>
      <w:r>
        <w:rPr>
          <w:rFonts w:hint="eastAsia" w:hAnsi="宋体"/>
          <w:b/>
          <w:bCs/>
          <w:color w:val="auto"/>
          <w:szCs w:val="21"/>
          <w:highlight w:val="none"/>
        </w:rPr>
        <w:t>注：投标人</w:t>
      </w:r>
      <w:r>
        <w:rPr>
          <w:rFonts w:hint="eastAsia" w:hAnsi="宋体"/>
          <w:b/>
          <w:bCs/>
          <w:color w:val="auto"/>
          <w:szCs w:val="21"/>
          <w:highlight w:val="none"/>
          <w:lang w:eastAsia="zh-CN"/>
        </w:rPr>
        <w:t>2025年1月</w:t>
      </w:r>
      <w:r>
        <w:rPr>
          <w:rFonts w:hint="eastAsia" w:hAnsi="宋体"/>
          <w:b/>
          <w:bCs/>
          <w:color w:val="auto"/>
          <w:szCs w:val="21"/>
          <w:highlight w:val="none"/>
        </w:rPr>
        <w:t>以来任意1个月的依法缴纳税收的证明材料复印件；依法免税的投标人，必须提供符合免税条件的证明材料。从成立之日起到投标文件提交截止时间止不足要求月数的，则无需提交。</w:t>
      </w:r>
    </w:p>
    <w:p w14:paraId="035D956C">
      <w:pPr>
        <w:pStyle w:val="27"/>
        <w:spacing w:line="400" w:lineRule="exact"/>
        <w:rPr>
          <w:rFonts w:hint="eastAsia" w:hAnsi="宋体"/>
          <w:b/>
          <w:color w:val="auto"/>
          <w:sz w:val="32"/>
          <w:szCs w:val="32"/>
          <w:highlight w:val="none"/>
        </w:rPr>
      </w:pPr>
    </w:p>
    <w:p w14:paraId="3BC50738">
      <w:pPr>
        <w:pStyle w:val="13"/>
        <w:ind w:firstLine="420"/>
        <w:rPr>
          <w:rFonts w:hint="eastAsia"/>
          <w:color w:val="auto"/>
          <w:highlight w:val="none"/>
        </w:rPr>
      </w:pPr>
    </w:p>
    <w:p w14:paraId="3E86CA74">
      <w:pPr>
        <w:rPr>
          <w:rFonts w:hint="eastAsia"/>
          <w:color w:val="auto"/>
          <w:highlight w:val="none"/>
        </w:rPr>
      </w:pPr>
    </w:p>
    <w:p w14:paraId="24CFB3CC">
      <w:pPr>
        <w:rPr>
          <w:rFonts w:hint="eastAsia"/>
          <w:color w:val="auto"/>
          <w:highlight w:val="none"/>
        </w:rPr>
      </w:pPr>
    </w:p>
    <w:p w14:paraId="4B3A3439">
      <w:pPr>
        <w:rPr>
          <w:rFonts w:hint="eastAsia"/>
          <w:color w:val="auto"/>
          <w:highlight w:val="none"/>
        </w:rPr>
      </w:pPr>
    </w:p>
    <w:p w14:paraId="27FC90AC">
      <w:pPr>
        <w:pStyle w:val="27"/>
        <w:numPr>
          <w:ilvl w:val="0"/>
          <w:numId w:val="8"/>
        </w:numPr>
        <w:spacing w:line="400" w:lineRule="exact"/>
        <w:rPr>
          <w:rFonts w:hAnsi="宋体"/>
          <w:b/>
          <w:color w:val="auto"/>
          <w:sz w:val="32"/>
          <w:szCs w:val="32"/>
          <w:highlight w:val="none"/>
        </w:rPr>
      </w:pPr>
      <w:r>
        <w:rPr>
          <w:rFonts w:hint="eastAsia" w:hAnsi="宋体"/>
          <w:b/>
          <w:color w:val="auto"/>
          <w:sz w:val="32"/>
          <w:szCs w:val="32"/>
          <w:highlight w:val="none"/>
        </w:rPr>
        <w:t>投标人依法缴纳社会保障资金的相关材料（必须提供）</w:t>
      </w:r>
    </w:p>
    <w:p w14:paraId="65D653D0">
      <w:pPr>
        <w:pStyle w:val="27"/>
        <w:spacing w:line="400" w:lineRule="exact"/>
        <w:rPr>
          <w:rFonts w:hAnsi="宋体"/>
          <w:b/>
          <w:bCs/>
          <w:color w:val="auto"/>
          <w:szCs w:val="21"/>
          <w:highlight w:val="none"/>
        </w:rPr>
      </w:pPr>
      <w:r>
        <w:rPr>
          <w:rFonts w:hint="eastAsia" w:hAnsi="宋体"/>
          <w:b/>
          <w:bCs/>
          <w:color w:val="auto"/>
          <w:szCs w:val="21"/>
          <w:highlight w:val="none"/>
        </w:rPr>
        <w:t>注：投标人</w:t>
      </w:r>
      <w:r>
        <w:rPr>
          <w:rFonts w:hint="eastAsia" w:hAnsi="宋体"/>
          <w:b/>
          <w:bCs/>
          <w:color w:val="auto"/>
          <w:szCs w:val="21"/>
          <w:highlight w:val="none"/>
          <w:lang w:eastAsia="zh-CN"/>
        </w:rPr>
        <w:t>2025年1月</w:t>
      </w:r>
      <w:r>
        <w:rPr>
          <w:rFonts w:hint="eastAsia" w:hAnsi="宋体"/>
          <w:b/>
          <w:bCs/>
          <w:color w:val="auto"/>
          <w:szCs w:val="21"/>
          <w:highlight w:val="none"/>
        </w:rPr>
        <w:t>以来任意1个月的依法缴纳社会保障资金的缴费证明材料（如：专用收据、社会保险缴纳清单或者社保部门的证明）复印件；依法不需要缴纳社会保障资金的投标人，必须提供相应文件证明不需要缴纳社会保障资金。从成立之日起到投标文件提交截止时间止不足要求月数的，则无需提交。</w:t>
      </w:r>
    </w:p>
    <w:p w14:paraId="075AAB21">
      <w:pPr>
        <w:pStyle w:val="13"/>
        <w:ind w:firstLine="420"/>
        <w:rPr>
          <w:rFonts w:hint="eastAsia"/>
          <w:color w:val="auto"/>
          <w:highlight w:val="none"/>
        </w:rPr>
      </w:pPr>
    </w:p>
    <w:p w14:paraId="44F9A6CD">
      <w:pPr>
        <w:pStyle w:val="27"/>
        <w:spacing w:line="400" w:lineRule="exact"/>
        <w:rPr>
          <w:rFonts w:hint="eastAsia" w:hAnsi="宋体"/>
          <w:b/>
          <w:color w:val="auto"/>
          <w:sz w:val="32"/>
          <w:szCs w:val="32"/>
          <w:highlight w:val="none"/>
        </w:rPr>
      </w:pPr>
      <w:r>
        <w:rPr>
          <w:rFonts w:hint="eastAsia" w:hAnsi="宋体"/>
          <w:b/>
          <w:color w:val="auto"/>
          <w:sz w:val="32"/>
          <w:szCs w:val="32"/>
          <w:highlight w:val="none"/>
        </w:rPr>
        <w:t>8</w:t>
      </w:r>
      <w:r>
        <w:rPr>
          <w:rFonts w:hAnsi="宋体"/>
          <w:b/>
          <w:color w:val="auto"/>
          <w:sz w:val="32"/>
          <w:szCs w:val="32"/>
          <w:highlight w:val="none"/>
        </w:rPr>
        <w:t>.</w:t>
      </w:r>
      <w:r>
        <w:rPr>
          <w:rFonts w:hint="eastAsia" w:hAnsi="宋体"/>
          <w:b/>
          <w:color w:val="auto"/>
          <w:sz w:val="32"/>
          <w:szCs w:val="32"/>
          <w:highlight w:val="none"/>
        </w:rPr>
        <w:t>投标人参加政府采购活动前3年内在经营活动中没有重大违法记录及有关信用信息的书面声明（必须提供）</w:t>
      </w:r>
    </w:p>
    <w:p w14:paraId="6090AFF9">
      <w:pPr>
        <w:spacing w:line="400" w:lineRule="exact"/>
        <w:rPr>
          <w:rFonts w:hint="eastAsia"/>
          <w:b/>
          <w:color w:val="auto"/>
          <w:sz w:val="30"/>
          <w:szCs w:val="30"/>
          <w:highlight w:val="none"/>
        </w:rPr>
      </w:pPr>
      <w:r>
        <w:rPr>
          <w:rFonts w:hint="eastAsia"/>
          <w:b/>
          <w:color w:val="auto"/>
          <w:sz w:val="30"/>
          <w:szCs w:val="30"/>
          <w:highlight w:val="none"/>
        </w:rPr>
        <w:t>附件：</w:t>
      </w:r>
    </w:p>
    <w:p w14:paraId="1CB3BF87">
      <w:pPr>
        <w:pStyle w:val="27"/>
        <w:spacing w:line="400" w:lineRule="exact"/>
        <w:jc w:val="center"/>
        <w:rPr>
          <w:rFonts w:hint="eastAsia" w:hAnsi="宋体"/>
          <w:b/>
          <w:color w:val="auto"/>
          <w:sz w:val="32"/>
          <w:szCs w:val="32"/>
          <w:highlight w:val="none"/>
        </w:rPr>
      </w:pPr>
    </w:p>
    <w:p w14:paraId="19B54037">
      <w:pPr>
        <w:pStyle w:val="27"/>
        <w:spacing w:line="400" w:lineRule="exact"/>
        <w:jc w:val="center"/>
        <w:rPr>
          <w:rFonts w:hint="eastAsia" w:hAnsi="宋体"/>
          <w:b/>
          <w:color w:val="auto"/>
          <w:sz w:val="32"/>
          <w:szCs w:val="32"/>
          <w:highlight w:val="none"/>
        </w:rPr>
      </w:pPr>
      <w:r>
        <w:rPr>
          <w:rFonts w:hint="eastAsia" w:hAnsi="宋体"/>
          <w:b/>
          <w:color w:val="auto"/>
          <w:sz w:val="32"/>
          <w:szCs w:val="32"/>
          <w:highlight w:val="none"/>
        </w:rPr>
        <w:t>声   明（格式）</w:t>
      </w:r>
    </w:p>
    <w:p w14:paraId="098476C9">
      <w:pPr>
        <w:snapToGrid w:val="0"/>
        <w:spacing w:line="400" w:lineRule="exact"/>
        <w:outlineLvl w:val="4"/>
        <w:rPr>
          <w:rFonts w:hint="eastAsia" w:ascii="宋体" w:hAnsi="宋体"/>
          <w:color w:val="auto"/>
          <w:highlight w:val="none"/>
        </w:rPr>
      </w:pPr>
      <w:r>
        <w:rPr>
          <w:rFonts w:hint="eastAsia" w:ascii="宋体" w:hAnsi="宋体"/>
          <w:b/>
          <w:color w:val="auto"/>
          <w:szCs w:val="21"/>
          <w:highlight w:val="none"/>
        </w:rPr>
        <w:t>致</w:t>
      </w:r>
      <w:r>
        <w:rPr>
          <w:rFonts w:hint="eastAsia" w:ascii="宋体" w:hAnsi="宋体"/>
          <w:color w:val="auto"/>
          <w:szCs w:val="21"/>
          <w:highlight w:val="none"/>
        </w:rPr>
        <w:t>：</w:t>
      </w:r>
      <w:r>
        <w:rPr>
          <w:rFonts w:hint="eastAsia" w:ascii="宋体" w:hAnsi="宋体"/>
          <w:color w:val="auto"/>
          <w:highlight w:val="none"/>
          <w:u w:val="single"/>
        </w:rPr>
        <w:t>云之龙咨询集团有限公司</w:t>
      </w:r>
    </w:p>
    <w:p w14:paraId="00BFA89F">
      <w:pPr>
        <w:snapToGrid w:val="0"/>
        <w:spacing w:line="400" w:lineRule="exact"/>
        <w:outlineLvl w:val="4"/>
        <w:rPr>
          <w:rFonts w:hint="eastAsia" w:ascii="宋体" w:hAnsi="宋体"/>
          <w:color w:val="auto"/>
          <w:szCs w:val="21"/>
          <w:highlight w:val="none"/>
          <w:u w:val="single"/>
        </w:rPr>
      </w:pPr>
    </w:p>
    <w:p w14:paraId="7CB1F769">
      <w:pPr>
        <w:pStyle w:val="27"/>
        <w:spacing w:line="380" w:lineRule="exact"/>
        <w:ind w:firstLine="420" w:firstLineChars="200"/>
        <w:rPr>
          <w:rFonts w:hint="eastAsia" w:hAnsi="宋体"/>
          <w:color w:val="auto"/>
          <w:highlight w:val="none"/>
        </w:rPr>
      </w:pPr>
      <w:r>
        <w:rPr>
          <w:rFonts w:hint="eastAsia" w:hAnsi="宋体"/>
          <w:color w:val="auto"/>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w:t>
      </w:r>
      <w:r>
        <w:rPr>
          <w:rFonts w:hint="eastAsia" w:hAnsi="宋体" w:cs="宋体"/>
          <w:color w:val="auto"/>
          <w:kern w:val="0"/>
          <w:szCs w:val="21"/>
          <w:highlight w:val="none"/>
        </w:rPr>
        <w:t>重大税收违法失信主体</w:t>
      </w:r>
      <w:r>
        <w:rPr>
          <w:rFonts w:hint="eastAsia" w:hAnsi="宋体"/>
          <w:color w:val="auto"/>
          <w:highlight w:val="none"/>
        </w:rPr>
        <w:t>、政府采购严重违法失信行为记录名单，完全符合《中华人民共和国政府采购法》第二十二条规定的供应商资格条件，我方对此声明负全部法律责任。</w:t>
      </w:r>
    </w:p>
    <w:p w14:paraId="6E62853C">
      <w:pPr>
        <w:snapToGrid w:val="0"/>
        <w:spacing w:line="400" w:lineRule="exact"/>
        <w:ind w:firstLine="4515" w:firstLineChars="2150"/>
        <w:outlineLvl w:val="4"/>
        <w:rPr>
          <w:rFonts w:hint="eastAsia" w:ascii="宋体" w:hAnsi="宋体"/>
          <w:color w:val="auto"/>
          <w:szCs w:val="21"/>
          <w:highlight w:val="none"/>
        </w:rPr>
      </w:pPr>
    </w:p>
    <w:p w14:paraId="159BCB58">
      <w:pPr>
        <w:snapToGrid w:val="0"/>
        <w:spacing w:line="400" w:lineRule="exact"/>
        <w:ind w:firstLine="4515" w:firstLineChars="2150"/>
        <w:outlineLvl w:val="4"/>
        <w:rPr>
          <w:rFonts w:hint="eastAsia" w:ascii="宋体" w:hAnsi="宋体"/>
          <w:color w:val="auto"/>
          <w:szCs w:val="21"/>
          <w:highlight w:val="none"/>
        </w:rPr>
      </w:pPr>
    </w:p>
    <w:p w14:paraId="054BF495">
      <w:pPr>
        <w:snapToGrid w:val="0"/>
        <w:spacing w:line="400" w:lineRule="exact"/>
        <w:ind w:firstLine="4515" w:firstLineChars="2150"/>
        <w:outlineLvl w:val="4"/>
        <w:rPr>
          <w:rFonts w:hint="eastAsia" w:ascii="宋体" w:hAnsi="宋体"/>
          <w:color w:val="auto"/>
          <w:szCs w:val="21"/>
          <w:highlight w:val="none"/>
        </w:rPr>
      </w:pPr>
    </w:p>
    <w:p w14:paraId="6D84D2B0">
      <w:pPr>
        <w:snapToGrid w:val="0"/>
        <w:spacing w:line="400" w:lineRule="exact"/>
        <w:ind w:firstLine="1890" w:firstLineChars="900"/>
        <w:outlineLvl w:val="4"/>
        <w:rPr>
          <w:rFonts w:hint="eastAsia"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 xml:space="preserve"> </w:t>
      </w:r>
      <w:r>
        <w:rPr>
          <w:rFonts w:hint="eastAsia" w:ascii="宋体" w:hAnsi="宋体" w:cs="宋体"/>
          <w:color w:val="auto"/>
          <w:szCs w:val="21"/>
          <w:highlight w:val="none"/>
          <w:lang w:eastAsia="zh-CN"/>
        </w:rPr>
        <w:t>（</w:t>
      </w:r>
      <w:r>
        <w:rPr>
          <w:rFonts w:hint="eastAsia" w:ascii="宋体" w:hAnsi="宋体" w:cs="宋体"/>
          <w:color w:val="auto"/>
          <w:szCs w:val="21"/>
          <w:highlight w:val="none"/>
        </w:rPr>
        <w:t>电子签章</w:t>
      </w:r>
      <w:r>
        <w:rPr>
          <w:rFonts w:hint="eastAsia" w:ascii="宋体" w:hAnsi="宋体" w:cs="宋体"/>
          <w:color w:val="auto"/>
          <w:szCs w:val="21"/>
          <w:highlight w:val="none"/>
          <w:lang w:eastAsia="zh-CN"/>
        </w:rPr>
        <w:t>）</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22802B0A">
      <w:pPr>
        <w:pStyle w:val="27"/>
        <w:spacing w:line="440" w:lineRule="exact"/>
        <w:ind w:firstLine="1890" w:firstLineChars="900"/>
        <w:rPr>
          <w:rFonts w:hint="eastAsia" w:hAnsi="宋体"/>
          <w:color w:val="auto"/>
          <w:szCs w:val="21"/>
          <w:highlight w:val="none"/>
          <w:u w:val="single"/>
        </w:rPr>
      </w:pPr>
      <w:r>
        <w:rPr>
          <w:rFonts w:hint="eastAsia" w:hAnsi="宋体"/>
          <w:color w:val="auto"/>
          <w:szCs w:val="21"/>
          <w:highlight w:val="none"/>
        </w:rPr>
        <w:t>法定代表人</w:t>
      </w:r>
      <w:r>
        <w:rPr>
          <w:rFonts w:hint="eastAsia" w:hAnsi="宋体"/>
          <w:color w:val="auto"/>
          <w:highlight w:val="none"/>
        </w:rPr>
        <w:t>或相应的委托代理人</w:t>
      </w:r>
      <w:r>
        <w:rPr>
          <w:rFonts w:hint="eastAsia" w:hAnsi="宋体"/>
          <w:color w:val="auto"/>
          <w:szCs w:val="21"/>
          <w:highlight w:val="none"/>
        </w:rPr>
        <w:t>签字（或者电子签名）</w:t>
      </w:r>
      <w:r>
        <w:rPr>
          <w:rFonts w:hint="eastAsia" w:hAnsi="宋体"/>
          <w:color w:val="auto"/>
          <w:highlight w:val="none"/>
        </w:rPr>
        <w:t>：</w:t>
      </w:r>
      <w:r>
        <w:rPr>
          <w:rFonts w:hint="eastAsia" w:hAnsi="宋体"/>
          <w:color w:val="auto"/>
          <w:szCs w:val="21"/>
          <w:highlight w:val="none"/>
          <w:u w:val="single"/>
        </w:rPr>
        <w:t xml:space="preserve">                              </w:t>
      </w:r>
    </w:p>
    <w:p w14:paraId="2A2FE0AC">
      <w:pPr>
        <w:spacing w:line="340" w:lineRule="exact"/>
        <w:ind w:firstLine="1890" w:firstLineChars="900"/>
        <w:rPr>
          <w:rFonts w:hint="eastAsia"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2074196B">
      <w:pPr>
        <w:pStyle w:val="27"/>
        <w:spacing w:line="440" w:lineRule="exact"/>
        <w:ind w:firstLine="420"/>
        <w:jc w:val="center"/>
        <w:rPr>
          <w:rFonts w:hint="eastAsia" w:hAnsi="宋体"/>
          <w:color w:val="auto"/>
          <w:highlight w:val="none"/>
          <w:u w:val="single"/>
        </w:rPr>
      </w:pPr>
    </w:p>
    <w:p w14:paraId="16B84140">
      <w:pPr>
        <w:spacing w:line="400" w:lineRule="exact"/>
        <w:rPr>
          <w:rFonts w:hint="eastAsia" w:ascii="宋体" w:hAnsi="宋体"/>
          <w:color w:val="auto"/>
          <w:sz w:val="24"/>
          <w:highlight w:val="none"/>
        </w:rPr>
      </w:pPr>
    </w:p>
    <w:p w14:paraId="2EBEA167">
      <w:pPr>
        <w:spacing w:line="400" w:lineRule="exact"/>
        <w:rPr>
          <w:rFonts w:hint="eastAsia" w:ascii="宋体" w:hAnsi="宋体"/>
          <w:b/>
          <w:color w:val="auto"/>
          <w:sz w:val="32"/>
          <w:szCs w:val="32"/>
          <w:highlight w:val="none"/>
        </w:rPr>
      </w:pPr>
    </w:p>
    <w:p w14:paraId="7D4DEC14">
      <w:pPr>
        <w:spacing w:line="400" w:lineRule="exact"/>
        <w:rPr>
          <w:rFonts w:hint="eastAsia"/>
          <w:b/>
          <w:color w:val="auto"/>
          <w:sz w:val="32"/>
          <w:szCs w:val="32"/>
          <w:highlight w:val="none"/>
        </w:rPr>
      </w:pPr>
    </w:p>
    <w:p w14:paraId="010837E6">
      <w:pPr>
        <w:spacing w:line="400" w:lineRule="exact"/>
        <w:rPr>
          <w:rFonts w:hint="eastAsia"/>
          <w:b/>
          <w:color w:val="auto"/>
          <w:sz w:val="32"/>
          <w:szCs w:val="32"/>
          <w:highlight w:val="none"/>
        </w:rPr>
      </w:pPr>
    </w:p>
    <w:p w14:paraId="1C323835">
      <w:pPr>
        <w:spacing w:line="400" w:lineRule="exact"/>
        <w:rPr>
          <w:rFonts w:hint="eastAsia" w:hAnsi="宋体"/>
          <w:b/>
          <w:color w:val="auto"/>
          <w:sz w:val="32"/>
          <w:szCs w:val="32"/>
          <w:highlight w:val="none"/>
        </w:rPr>
      </w:pPr>
      <w:r>
        <w:rPr>
          <w:b/>
          <w:color w:val="auto"/>
          <w:sz w:val="32"/>
          <w:szCs w:val="32"/>
          <w:highlight w:val="none"/>
        </w:rPr>
        <w:br w:type="page"/>
      </w:r>
      <w:r>
        <w:rPr>
          <w:rFonts w:hint="eastAsia" w:hAnsi="宋体"/>
          <w:b/>
          <w:color w:val="auto"/>
          <w:sz w:val="32"/>
          <w:szCs w:val="32"/>
          <w:highlight w:val="none"/>
        </w:rPr>
        <w:t>9</w:t>
      </w:r>
      <w:r>
        <w:rPr>
          <w:rFonts w:hAnsi="宋体"/>
          <w:b/>
          <w:color w:val="auto"/>
          <w:sz w:val="32"/>
          <w:szCs w:val="32"/>
          <w:highlight w:val="none"/>
        </w:rPr>
        <w:t>.</w:t>
      </w:r>
      <w:r>
        <w:rPr>
          <w:rFonts w:hint="eastAsia" w:hAnsi="宋体"/>
          <w:b/>
          <w:color w:val="auto"/>
          <w:sz w:val="32"/>
          <w:szCs w:val="32"/>
          <w:highlight w:val="none"/>
        </w:rPr>
        <w:t>投标人参加本项目无围标串标行为的承诺函（必须提供）</w:t>
      </w:r>
    </w:p>
    <w:p w14:paraId="314523E2">
      <w:pPr>
        <w:spacing w:line="400" w:lineRule="exact"/>
        <w:rPr>
          <w:rFonts w:hint="eastAsia"/>
          <w:b/>
          <w:color w:val="auto"/>
          <w:sz w:val="30"/>
          <w:szCs w:val="30"/>
          <w:highlight w:val="none"/>
        </w:rPr>
      </w:pPr>
      <w:r>
        <w:rPr>
          <w:rFonts w:hint="eastAsia"/>
          <w:b/>
          <w:color w:val="auto"/>
          <w:sz w:val="30"/>
          <w:szCs w:val="30"/>
          <w:highlight w:val="none"/>
        </w:rPr>
        <w:t>附件：</w:t>
      </w:r>
    </w:p>
    <w:p w14:paraId="42084EE6">
      <w:pPr>
        <w:pStyle w:val="27"/>
        <w:spacing w:line="400" w:lineRule="exact"/>
        <w:jc w:val="center"/>
        <w:rPr>
          <w:rFonts w:hint="eastAsia" w:hAnsi="宋体"/>
          <w:b/>
          <w:color w:val="auto"/>
          <w:sz w:val="32"/>
          <w:szCs w:val="32"/>
          <w:highlight w:val="none"/>
        </w:rPr>
      </w:pPr>
    </w:p>
    <w:p w14:paraId="733C04FD">
      <w:pPr>
        <w:pStyle w:val="27"/>
        <w:spacing w:line="400" w:lineRule="exact"/>
        <w:jc w:val="center"/>
        <w:rPr>
          <w:rFonts w:hint="eastAsia" w:hAnsi="宋体"/>
          <w:b/>
          <w:color w:val="auto"/>
          <w:sz w:val="32"/>
          <w:szCs w:val="32"/>
          <w:highlight w:val="none"/>
        </w:rPr>
      </w:pPr>
      <w:r>
        <w:rPr>
          <w:rFonts w:hint="eastAsia" w:hAnsi="宋体"/>
          <w:b/>
          <w:color w:val="auto"/>
          <w:sz w:val="32"/>
          <w:szCs w:val="32"/>
          <w:highlight w:val="none"/>
        </w:rPr>
        <w:t>投标人参加本项目无围标串标行为的承诺函（格式）</w:t>
      </w:r>
    </w:p>
    <w:p w14:paraId="5B588B0D">
      <w:pPr>
        <w:spacing w:line="400" w:lineRule="exact"/>
        <w:rPr>
          <w:rFonts w:hint="eastAsia"/>
          <w:b/>
          <w:color w:val="auto"/>
          <w:sz w:val="32"/>
          <w:szCs w:val="32"/>
          <w:highlight w:val="none"/>
        </w:rPr>
      </w:pPr>
    </w:p>
    <w:p w14:paraId="6F17D314">
      <w:pPr>
        <w:snapToGrid w:val="0"/>
        <w:spacing w:before="156" w:beforeLines="50" w:after="50" w:line="360" w:lineRule="exact"/>
        <w:jc w:val="left"/>
        <w:rPr>
          <w:rFonts w:ascii="宋体" w:hAnsi="宋体"/>
          <w:b/>
          <w:color w:val="auto"/>
          <w:sz w:val="24"/>
          <w:highlight w:val="none"/>
        </w:rPr>
      </w:pPr>
      <w:r>
        <w:rPr>
          <w:rFonts w:hint="eastAsia" w:ascii="宋体" w:hAnsi="宋体"/>
          <w:b/>
          <w:color w:val="auto"/>
          <w:sz w:val="24"/>
          <w:highlight w:val="none"/>
        </w:rPr>
        <w:t>一、我公司承诺无下列相互串通投标的情形：</w:t>
      </w:r>
    </w:p>
    <w:p w14:paraId="7E5740AC">
      <w:pPr>
        <w:pStyle w:val="27"/>
        <w:spacing w:line="360" w:lineRule="exact"/>
        <w:ind w:firstLine="420"/>
        <w:rPr>
          <w:rFonts w:hint="eastAsia" w:hAnsi="宋体"/>
          <w:color w:val="auto"/>
          <w:highlight w:val="none"/>
        </w:rPr>
      </w:pPr>
      <w:r>
        <w:rPr>
          <w:rFonts w:hint="eastAsia" w:hAnsi="宋体"/>
          <w:color w:val="auto"/>
          <w:highlight w:val="none"/>
        </w:rPr>
        <w:t>1.不同投标人的投标文件由同一单位或者个人编制；</w:t>
      </w:r>
    </w:p>
    <w:p w14:paraId="306BA59E">
      <w:pPr>
        <w:pStyle w:val="27"/>
        <w:spacing w:line="360" w:lineRule="exact"/>
        <w:ind w:firstLine="420"/>
        <w:rPr>
          <w:rFonts w:hint="eastAsia" w:hAnsi="宋体"/>
          <w:color w:val="auto"/>
          <w:highlight w:val="none"/>
        </w:rPr>
      </w:pPr>
      <w:r>
        <w:rPr>
          <w:rFonts w:hint="eastAsia" w:hAnsi="宋体"/>
          <w:color w:val="auto"/>
          <w:highlight w:val="none"/>
        </w:rPr>
        <w:t>2.不同投标人委托同一单位或者个人办理投标事宜；</w:t>
      </w:r>
    </w:p>
    <w:p w14:paraId="4E95166D">
      <w:pPr>
        <w:pStyle w:val="27"/>
        <w:spacing w:line="360" w:lineRule="exact"/>
        <w:ind w:firstLine="420"/>
        <w:rPr>
          <w:rFonts w:hint="eastAsia" w:hAnsi="宋体"/>
          <w:color w:val="auto"/>
          <w:highlight w:val="none"/>
        </w:rPr>
      </w:pPr>
      <w:r>
        <w:rPr>
          <w:rFonts w:hint="eastAsia" w:hAnsi="宋体"/>
          <w:color w:val="auto"/>
          <w:highlight w:val="none"/>
        </w:rPr>
        <w:t>3.不同的投标人的投标文件载明的项目管理员为同一个人；</w:t>
      </w:r>
    </w:p>
    <w:p w14:paraId="6F84E6C1">
      <w:pPr>
        <w:pStyle w:val="27"/>
        <w:spacing w:line="360" w:lineRule="exact"/>
        <w:ind w:firstLine="420"/>
        <w:rPr>
          <w:rFonts w:hint="eastAsia" w:hAnsi="宋体"/>
          <w:color w:val="auto"/>
          <w:highlight w:val="none"/>
        </w:rPr>
      </w:pPr>
      <w:r>
        <w:rPr>
          <w:rFonts w:hint="eastAsia" w:hAnsi="宋体"/>
          <w:color w:val="auto"/>
          <w:highlight w:val="none"/>
        </w:rPr>
        <w:t xml:space="preserve">4.不同投标人的投标文件异常一致或投标报价呈规律性差异； </w:t>
      </w:r>
    </w:p>
    <w:p w14:paraId="1057FE83">
      <w:pPr>
        <w:pStyle w:val="27"/>
        <w:spacing w:line="360" w:lineRule="exact"/>
        <w:ind w:firstLine="420"/>
        <w:rPr>
          <w:rFonts w:hint="eastAsia" w:hAnsi="宋体"/>
          <w:color w:val="auto"/>
          <w:highlight w:val="none"/>
        </w:rPr>
      </w:pPr>
      <w:r>
        <w:rPr>
          <w:rFonts w:hint="eastAsia" w:hAnsi="宋体"/>
          <w:color w:val="auto"/>
          <w:highlight w:val="none"/>
        </w:rPr>
        <w:t>5.不同投标人的投标文件相互混装。</w:t>
      </w:r>
    </w:p>
    <w:p w14:paraId="4044AC7A">
      <w:pPr>
        <w:snapToGrid w:val="0"/>
        <w:spacing w:before="156" w:beforeLines="50" w:after="50" w:line="360" w:lineRule="exact"/>
        <w:jc w:val="left"/>
        <w:rPr>
          <w:rFonts w:ascii="宋体" w:hAnsi="宋体"/>
          <w:color w:val="auto"/>
          <w:sz w:val="24"/>
          <w:highlight w:val="none"/>
        </w:rPr>
      </w:pPr>
      <w:r>
        <w:rPr>
          <w:rFonts w:hint="eastAsia" w:ascii="宋体" w:hAnsi="宋体"/>
          <w:b/>
          <w:color w:val="auto"/>
          <w:sz w:val="24"/>
          <w:highlight w:val="none"/>
        </w:rPr>
        <w:t>二、我公司承诺无下列恶意串通的情形：</w:t>
      </w:r>
    </w:p>
    <w:p w14:paraId="2F2107F9">
      <w:pPr>
        <w:pStyle w:val="27"/>
        <w:spacing w:line="360" w:lineRule="exact"/>
        <w:ind w:firstLine="420"/>
        <w:rPr>
          <w:rFonts w:hAnsi="宋体"/>
          <w:color w:val="auto"/>
          <w:highlight w:val="none"/>
        </w:rPr>
      </w:pPr>
      <w:r>
        <w:rPr>
          <w:rFonts w:hint="eastAsia" w:hAnsi="宋体"/>
          <w:color w:val="auto"/>
          <w:highlight w:val="none"/>
        </w:rPr>
        <w:t>1.供应商直接或者间接从采购人或者采购代理机构处获得其他供应商的相关信息并修改其投标文件或者投标文件；</w:t>
      </w:r>
    </w:p>
    <w:p w14:paraId="01CBFEF3">
      <w:pPr>
        <w:pStyle w:val="27"/>
        <w:spacing w:line="360" w:lineRule="exact"/>
        <w:ind w:firstLine="420"/>
        <w:rPr>
          <w:rFonts w:hAnsi="宋体"/>
          <w:color w:val="auto"/>
          <w:highlight w:val="none"/>
        </w:rPr>
      </w:pPr>
      <w:r>
        <w:rPr>
          <w:rFonts w:hint="eastAsia" w:hAnsi="宋体"/>
          <w:color w:val="auto"/>
          <w:highlight w:val="none"/>
        </w:rPr>
        <w:t>2.供应商按照采购人或者采购代理机构的授意撤换、修改投标文件或者投标文件；</w:t>
      </w:r>
    </w:p>
    <w:p w14:paraId="2577972F">
      <w:pPr>
        <w:pStyle w:val="27"/>
        <w:spacing w:line="360" w:lineRule="exact"/>
        <w:ind w:firstLine="420"/>
        <w:rPr>
          <w:rFonts w:hAnsi="宋体"/>
          <w:color w:val="auto"/>
          <w:highlight w:val="none"/>
        </w:rPr>
      </w:pPr>
      <w:r>
        <w:rPr>
          <w:rFonts w:hint="eastAsia" w:hAnsi="宋体"/>
          <w:color w:val="auto"/>
          <w:highlight w:val="none"/>
        </w:rPr>
        <w:t>3.供应商之间协商报价、技术方案等投标文件或者投标文件的实质性内容；</w:t>
      </w:r>
    </w:p>
    <w:p w14:paraId="0D30C682">
      <w:pPr>
        <w:pStyle w:val="27"/>
        <w:spacing w:line="360" w:lineRule="exact"/>
        <w:ind w:firstLine="420"/>
        <w:rPr>
          <w:rFonts w:hAnsi="宋体"/>
          <w:color w:val="auto"/>
          <w:highlight w:val="none"/>
        </w:rPr>
      </w:pPr>
      <w:r>
        <w:rPr>
          <w:rFonts w:hint="eastAsia" w:hAnsi="宋体"/>
          <w:color w:val="auto"/>
          <w:highlight w:val="none"/>
        </w:rPr>
        <w:t>4.属于同一集团、协会、商会等组织成员的供应商按照该组织要求协同参加政府采购活动；</w:t>
      </w:r>
    </w:p>
    <w:p w14:paraId="3B99EED1">
      <w:pPr>
        <w:pStyle w:val="27"/>
        <w:spacing w:line="360" w:lineRule="exact"/>
        <w:ind w:firstLine="420"/>
        <w:rPr>
          <w:rFonts w:hAnsi="宋体"/>
          <w:color w:val="auto"/>
          <w:highlight w:val="none"/>
        </w:rPr>
      </w:pPr>
      <w:r>
        <w:rPr>
          <w:rFonts w:hint="eastAsia" w:hAnsi="宋体"/>
          <w:color w:val="auto"/>
          <w:highlight w:val="none"/>
        </w:rPr>
        <w:t>5.供应商之间事先约定一致抬高或者压低投标报价</w:t>
      </w:r>
      <w:r>
        <w:rPr>
          <w:rFonts w:hint="eastAsia" w:hAnsi="宋体"/>
          <w:color w:val="auto"/>
          <w:highlight w:val="none"/>
          <w:lang w:eastAsia="zh-CN"/>
        </w:rPr>
        <w:t>，</w:t>
      </w:r>
      <w:r>
        <w:rPr>
          <w:rFonts w:hint="eastAsia" w:hAnsi="宋体"/>
          <w:color w:val="auto"/>
          <w:highlight w:val="none"/>
        </w:rPr>
        <w:t>或者在招标项目中事先约定轮流以高价位或者低价位中标</w:t>
      </w:r>
      <w:r>
        <w:rPr>
          <w:rFonts w:hint="eastAsia" w:hAnsi="宋体"/>
          <w:color w:val="auto"/>
          <w:highlight w:val="none"/>
          <w:lang w:eastAsia="zh-CN"/>
        </w:rPr>
        <w:t>，</w:t>
      </w:r>
      <w:r>
        <w:rPr>
          <w:rFonts w:hint="eastAsia" w:hAnsi="宋体"/>
          <w:color w:val="auto"/>
          <w:highlight w:val="none"/>
        </w:rPr>
        <w:t>或者事先约定由某一特定供应商中标</w:t>
      </w:r>
      <w:r>
        <w:rPr>
          <w:rFonts w:hint="eastAsia" w:hAnsi="宋体"/>
          <w:color w:val="auto"/>
          <w:highlight w:val="none"/>
          <w:lang w:eastAsia="zh-CN"/>
        </w:rPr>
        <w:t>，</w:t>
      </w:r>
      <w:r>
        <w:rPr>
          <w:rFonts w:hint="eastAsia" w:hAnsi="宋体"/>
          <w:color w:val="auto"/>
          <w:highlight w:val="none"/>
        </w:rPr>
        <w:t>然后再参加投标；</w:t>
      </w:r>
    </w:p>
    <w:p w14:paraId="2138D006">
      <w:pPr>
        <w:pStyle w:val="27"/>
        <w:spacing w:line="360" w:lineRule="exact"/>
        <w:ind w:firstLine="420"/>
        <w:rPr>
          <w:rFonts w:hAnsi="宋体"/>
          <w:color w:val="auto"/>
          <w:highlight w:val="none"/>
        </w:rPr>
      </w:pPr>
      <w:r>
        <w:rPr>
          <w:rFonts w:hint="eastAsia" w:hAnsi="宋体"/>
          <w:color w:val="auto"/>
          <w:highlight w:val="none"/>
        </w:rPr>
        <w:t>6.供应商之间商定部分供应商放弃参加政府采购活动或者放弃中标；</w:t>
      </w:r>
    </w:p>
    <w:p w14:paraId="7D9D87F5">
      <w:pPr>
        <w:pStyle w:val="27"/>
        <w:spacing w:line="360" w:lineRule="exact"/>
        <w:ind w:firstLine="420"/>
        <w:rPr>
          <w:rFonts w:hAnsi="宋体"/>
          <w:color w:val="auto"/>
          <w:highlight w:val="none"/>
        </w:rPr>
      </w:pPr>
      <w:r>
        <w:rPr>
          <w:rFonts w:hint="eastAsia" w:hAnsi="宋体"/>
          <w:color w:val="auto"/>
          <w:highlight w:val="none"/>
        </w:rPr>
        <w:t>7.供应商与采购人或者采购代理机构之间、供应商相互之间，为谋求特定供应商中标或者排斥其他供应商的其他串通行为。</w:t>
      </w:r>
    </w:p>
    <w:p w14:paraId="31E97103">
      <w:pPr>
        <w:snapToGrid w:val="0"/>
        <w:spacing w:before="156" w:beforeLines="50" w:after="50" w:line="320" w:lineRule="exact"/>
        <w:ind w:firstLine="470" w:firstLineChars="196"/>
        <w:jc w:val="left"/>
        <w:rPr>
          <w:rFonts w:ascii="宋体" w:hAnsi="宋体"/>
          <w:color w:val="auto"/>
          <w:sz w:val="24"/>
          <w:highlight w:val="none"/>
        </w:rPr>
      </w:pPr>
    </w:p>
    <w:p w14:paraId="3DCFD1AC">
      <w:pPr>
        <w:snapToGrid w:val="0"/>
        <w:spacing w:before="156" w:beforeLines="50" w:after="50"/>
        <w:ind w:firstLine="472" w:firstLineChars="196"/>
        <w:jc w:val="left"/>
        <w:rPr>
          <w:rFonts w:hint="eastAsia" w:ascii="宋体" w:hAnsi="宋体"/>
          <w:b/>
          <w:color w:val="auto"/>
          <w:sz w:val="24"/>
          <w:highlight w:val="none"/>
        </w:rPr>
      </w:pPr>
      <w:r>
        <w:rPr>
          <w:rFonts w:hint="eastAsia" w:ascii="宋体" w:hAnsi="宋体"/>
          <w:b/>
          <w:color w:val="auto"/>
          <w:sz w:val="24"/>
          <w:highlight w:val="none"/>
        </w:rPr>
        <w:t>以上情形一经核查属实，我方愿意承担一切后果，并不再寻求任何旨在减轻或免除法律责任的辩解。</w:t>
      </w:r>
    </w:p>
    <w:p w14:paraId="402531CA">
      <w:pPr>
        <w:snapToGrid w:val="0"/>
        <w:spacing w:line="400" w:lineRule="exact"/>
        <w:ind w:firstLine="1890" w:firstLineChars="900"/>
        <w:outlineLvl w:val="4"/>
        <w:rPr>
          <w:rFonts w:hint="eastAsia" w:ascii="宋体" w:hAnsi="宋体"/>
          <w:color w:val="auto"/>
          <w:szCs w:val="21"/>
          <w:highlight w:val="none"/>
        </w:rPr>
      </w:pPr>
    </w:p>
    <w:p w14:paraId="6479C434">
      <w:pPr>
        <w:snapToGrid w:val="0"/>
        <w:spacing w:line="400" w:lineRule="exact"/>
        <w:ind w:firstLine="1890" w:firstLineChars="900"/>
        <w:outlineLvl w:val="4"/>
        <w:rPr>
          <w:rFonts w:hint="eastAsia" w:ascii="宋体" w:hAnsi="宋体"/>
          <w:color w:val="auto"/>
          <w:szCs w:val="21"/>
          <w:highlight w:val="none"/>
          <w:u w:val="single"/>
        </w:rPr>
      </w:pPr>
      <w:r>
        <w:rPr>
          <w:rFonts w:hint="eastAsia" w:ascii="宋体" w:hAnsi="宋体"/>
          <w:color w:val="auto"/>
          <w:szCs w:val="21"/>
          <w:highlight w:val="none"/>
        </w:rPr>
        <w:t>投标</w:t>
      </w:r>
      <w:r>
        <w:rPr>
          <w:rFonts w:hint="eastAsia" w:ascii="宋体" w:hAnsi="宋体" w:cs="宋体"/>
          <w:color w:val="auto"/>
          <w:szCs w:val="21"/>
          <w:highlight w:val="none"/>
        </w:rPr>
        <w:t xml:space="preserve"> </w:t>
      </w:r>
      <w:r>
        <w:rPr>
          <w:rFonts w:hint="eastAsia" w:ascii="宋体" w:hAnsi="宋体" w:cs="宋体"/>
          <w:color w:val="auto"/>
          <w:szCs w:val="21"/>
          <w:highlight w:val="none"/>
          <w:lang w:eastAsia="zh-CN"/>
        </w:rPr>
        <w:t>（</w:t>
      </w:r>
      <w:r>
        <w:rPr>
          <w:rFonts w:hint="eastAsia" w:ascii="宋体" w:hAnsi="宋体" w:cs="宋体"/>
          <w:color w:val="auto"/>
          <w:szCs w:val="21"/>
          <w:highlight w:val="none"/>
        </w:rPr>
        <w:t>电子签章</w:t>
      </w:r>
      <w:r>
        <w:rPr>
          <w:rFonts w:hint="eastAsia" w:ascii="宋体" w:hAnsi="宋体" w:cs="宋体"/>
          <w:color w:val="auto"/>
          <w:szCs w:val="21"/>
          <w:highlight w:val="none"/>
          <w:lang w:eastAsia="zh-CN"/>
        </w:rPr>
        <w:t>）</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616595C9">
      <w:pPr>
        <w:pStyle w:val="27"/>
        <w:spacing w:line="440" w:lineRule="exact"/>
        <w:ind w:firstLine="420"/>
        <w:jc w:val="center"/>
        <w:rPr>
          <w:rFonts w:hint="eastAsia" w:hAnsi="宋体"/>
          <w:color w:val="auto"/>
          <w:szCs w:val="21"/>
          <w:highlight w:val="none"/>
          <w:u w:val="single"/>
        </w:rPr>
      </w:pPr>
      <w:r>
        <w:rPr>
          <w:rFonts w:hint="eastAsia" w:hAnsi="宋体"/>
          <w:color w:val="auto"/>
          <w:szCs w:val="21"/>
          <w:highlight w:val="none"/>
        </w:rPr>
        <w:t>法定代表人</w:t>
      </w:r>
      <w:r>
        <w:rPr>
          <w:rFonts w:hint="eastAsia" w:hAnsi="宋体"/>
          <w:color w:val="auto"/>
          <w:highlight w:val="none"/>
        </w:rPr>
        <w:t>或相应的委托代理人</w:t>
      </w:r>
      <w:r>
        <w:rPr>
          <w:rFonts w:hint="eastAsia" w:hAnsi="宋体"/>
          <w:color w:val="auto"/>
          <w:szCs w:val="21"/>
          <w:highlight w:val="none"/>
        </w:rPr>
        <w:t>签字</w:t>
      </w:r>
      <w:r>
        <w:rPr>
          <w:rFonts w:hint="eastAsia" w:hAnsi="宋体" w:cs="宋体"/>
          <w:color w:val="auto"/>
          <w:szCs w:val="21"/>
          <w:highlight w:val="none"/>
        </w:rPr>
        <w:t>（或者电子签名）</w:t>
      </w:r>
      <w:r>
        <w:rPr>
          <w:rFonts w:hint="eastAsia" w:hAnsi="宋体"/>
          <w:color w:val="auto"/>
          <w:highlight w:val="none"/>
        </w:rPr>
        <w:t>：</w:t>
      </w:r>
      <w:r>
        <w:rPr>
          <w:rFonts w:hint="eastAsia" w:hAnsi="宋体"/>
          <w:color w:val="auto"/>
          <w:szCs w:val="21"/>
          <w:highlight w:val="none"/>
          <w:u w:val="single"/>
        </w:rPr>
        <w:t xml:space="preserve">                              </w:t>
      </w:r>
    </w:p>
    <w:p w14:paraId="6A41515D">
      <w:pPr>
        <w:spacing w:line="340" w:lineRule="exact"/>
        <w:ind w:firstLine="2520" w:firstLineChars="1200"/>
        <w:rPr>
          <w:rFonts w:hint="eastAsia"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6BE7325D">
      <w:pPr>
        <w:spacing w:line="400" w:lineRule="exact"/>
        <w:rPr>
          <w:rFonts w:hint="eastAsia"/>
          <w:b/>
          <w:color w:val="auto"/>
          <w:sz w:val="32"/>
          <w:szCs w:val="32"/>
          <w:highlight w:val="none"/>
        </w:rPr>
      </w:pPr>
    </w:p>
    <w:p w14:paraId="1B5C6B90">
      <w:pPr>
        <w:spacing w:line="400" w:lineRule="exact"/>
        <w:rPr>
          <w:rFonts w:hint="eastAsia"/>
          <w:b/>
          <w:color w:val="auto"/>
          <w:sz w:val="32"/>
          <w:szCs w:val="32"/>
          <w:highlight w:val="none"/>
        </w:rPr>
      </w:pPr>
    </w:p>
    <w:p w14:paraId="7E1BC3F7">
      <w:pPr>
        <w:spacing w:line="400" w:lineRule="exact"/>
        <w:rPr>
          <w:rFonts w:hint="eastAsia"/>
          <w:b/>
          <w:color w:val="auto"/>
          <w:sz w:val="32"/>
          <w:szCs w:val="32"/>
          <w:highlight w:val="none"/>
        </w:rPr>
      </w:pPr>
    </w:p>
    <w:p w14:paraId="33F2569F">
      <w:pPr>
        <w:spacing w:line="400" w:lineRule="exact"/>
        <w:rPr>
          <w:rFonts w:hint="eastAsia"/>
          <w:b/>
          <w:color w:val="auto"/>
          <w:sz w:val="32"/>
          <w:szCs w:val="32"/>
          <w:highlight w:val="none"/>
        </w:rPr>
      </w:pPr>
    </w:p>
    <w:p w14:paraId="3414F9C1">
      <w:pPr>
        <w:spacing w:line="400" w:lineRule="exact"/>
        <w:rPr>
          <w:rFonts w:hint="eastAsia"/>
          <w:b/>
          <w:color w:val="auto"/>
          <w:sz w:val="32"/>
          <w:szCs w:val="32"/>
          <w:highlight w:val="none"/>
        </w:rPr>
      </w:pPr>
    </w:p>
    <w:p w14:paraId="5E55690D">
      <w:pPr>
        <w:spacing w:line="400" w:lineRule="exact"/>
        <w:rPr>
          <w:rFonts w:hint="eastAsia"/>
          <w:b/>
          <w:color w:val="auto"/>
          <w:sz w:val="32"/>
          <w:szCs w:val="32"/>
          <w:highlight w:val="none"/>
        </w:rPr>
      </w:pPr>
    </w:p>
    <w:p w14:paraId="212A0FFC">
      <w:pPr>
        <w:spacing w:line="400" w:lineRule="exact"/>
        <w:rPr>
          <w:rFonts w:hint="eastAsia"/>
          <w:b/>
          <w:color w:val="auto"/>
          <w:sz w:val="32"/>
          <w:szCs w:val="32"/>
          <w:highlight w:val="none"/>
        </w:rPr>
      </w:pPr>
    </w:p>
    <w:p w14:paraId="2A78BD9A">
      <w:pPr>
        <w:spacing w:line="400" w:lineRule="exact"/>
        <w:rPr>
          <w:rFonts w:hint="eastAsia"/>
          <w:b/>
          <w:color w:val="auto"/>
          <w:sz w:val="32"/>
          <w:szCs w:val="32"/>
          <w:highlight w:val="none"/>
        </w:rPr>
      </w:pPr>
      <w:r>
        <w:rPr>
          <w:rFonts w:hint="eastAsia"/>
          <w:b/>
          <w:color w:val="auto"/>
          <w:sz w:val="32"/>
          <w:szCs w:val="32"/>
          <w:highlight w:val="none"/>
        </w:rPr>
        <w:t>二、商务、技术性响应证明材料</w:t>
      </w:r>
    </w:p>
    <w:p w14:paraId="1CD27F02">
      <w:pPr>
        <w:spacing w:line="400" w:lineRule="exact"/>
        <w:rPr>
          <w:rFonts w:hint="eastAsia"/>
          <w:b/>
          <w:color w:val="auto"/>
          <w:sz w:val="32"/>
          <w:szCs w:val="32"/>
          <w:highlight w:val="none"/>
        </w:rPr>
      </w:pPr>
      <w:r>
        <w:rPr>
          <w:rFonts w:hint="eastAsia"/>
          <w:b/>
          <w:color w:val="auto"/>
          <w:sz w:val="32"/>
          <w:szCs w:val="32"/>
          <w:highlight w:val="none"/>
        </w:rPr>
        <w:t>1.投标函（必须提供）</w:t>
      </w:r>
    </w:p>
    <w:p w14:paraId="3FFD96A2">
      <w:pPr>
        <w:spacing w:line="400" w:lineRule="exact"/>
        <w:rPr>
          <w:rFonts w:hint="eastAsia"/>
          <w:b/>
          <w:color w:val="auto"/>
          <w:sz w:val="32"/>
          <w:szCs w:val="32"/>
          <w:highlight w:val="none"/>
        </w:rPr>
      </w:pPr>
    </w:p>
    <w:p w14:paraId="2FCBC22C">
      <w:pPr>
        <w:spacing w:line="440" w:lineRule="atLeast"/>
        <w:jc w:val="center"/>
        <w:rPr>
          <w:rFonts w:hint="eastAsia" w:ascii="宋体" w:hAnsi="宋体"/>
          <w:b/>
          <w:color w:val="auto"/>
          <w:sz w:val="32"/>
          <w:szCs w:val="32"/>
          <w:highlight w:val="none"/>
        </w:rPr>
      </w:pPr>
      <w:r>
        <w:rPr>
          <w:rFonts w:hint="eastAsia"/>
          <w:b/>
          <w:color w:val="auto"/>
          <w:sz w:val="32"/>
          <w:szCs w:val="32"/>
          <w:highlight w:val="none"/>
        </w:rPr>
        <w:t>投标函（格式）</w:t>
      </w:r>
    </w:p>
    <w:p w14:paraId="4F9EB9FA">
      <w:pPr>
        <w:spacing w:line="320" w:lineRule="exact"/>
        <w:rPr>
          <w:rFonts w:ascii="宋体" w:hAnsi="宋体"/>
          <w:color w:val="auto"/>
          <w:szCs w:val="21"/>
          <w:highlight w:val="none"/>
        </w:rPr>
      </w:pPr>
      <w:r>
        <w:rPr>
          <w:rFonts w:hint="eastAsia" w:ascii="宋体" w:hAnsi="宋体"/>
          <w:color w:val="auto"/>
          <w:szCs w:val="21"/>
          <w:highlight w:val="none"/>
        </w:rPr>
        <w:t>致：</w:t>
      </w:r>
      <w:r>
        <w:rPr>
          <w:rFonts w:hint="eastAsia" w:ascii="宋体" w:hAnsi="宋体"/>
          <w:color w:val="auto"/>
          <w:szCs w:val="21"/>
          <w:highlight w:val="none"/>
          <w:u w:val="single"/>
        </w:rPr>
        <w:t>云之龙咨询集团有限公司</w:t>
      </w:r>
      <w:r>
        <w:rPr>
          <w:rFonts w:hint="eastAsia" w:ascii="宋体" w:hAnsi="宋体"/>
          <w:color w:val="auto"/>
          <w:szCs w:val="21"/>
          <w:highlight w:val="none"/>
        </w:rPr>
        <w:t>：</w:t>
      </w:r>
    </w:p>
    <w:p w14:paraId="6B1A8EBE">
      <w:pPr>
        <w:spacing w:line="320" w:lineRule="exact"/>
        <w:ind w:firstLine="480"/>
        <w:rPr>
          <w:rFonts w:hint="eastAsia" w:ascii="宋体" w:hAnsi="宋体"/>
          <w:color w:val="auto"/>
          <w:szCs w:val="21"/>
          <w:highlight w:val="none"/>
        </w:rPr>
      </w:pPr>
      <w:r>
        <w:rPr>
          <w:rFonts w:hint="eastAsia" w:ascii="宋体" w:hAnsi="宋体"/>
          <w:color w:val="auto"/>
          <w:szCs w:val="21"/>
          <w:highlight w:val="none"/>
        </w:rPr>
        <w:t>根据贵方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（项目编号：</w:t>
      </w:r>
      <w:r>
        <w:rPr>
          <w:rFonts w:hint="eastAsia" w:ascii="宋体" w:hAnsi="宋体"/>
          <w:color w:val="auto"/>
          <w:szCs w:val="21"/>
          <w:highlight w:val="none"/>
          <w:u w:val="single"/>
        </w:rPr>
        <w:t xml:space="preserve">        </w:t>
      </w:r>
      <w:r>
        <w:rPr>
          <w:rFonts w:hint="eastAsia" w:ascii="宋体" w:hAnsi="宋体"/>
          <w:color w:val="auto"/>
          <w:szCs w:val="21"/>
          <w:highlight w:val="none"/>
        </w:rPr>
        <w:t>）的招标文件，签字代表______</w:t>
      </w:r>
      <w:r>
        <w:rPr>
          <w:rFonts w:hint="eastAsia" w:ascii="宋体" w:hAnsi="宋体"/>
          <w:color w:val="auto"/>
          <w:szCs w:val="21"/>
          <w:highlight w:val="none"/>
          <w:u w:val="single"/>
        </w:rPr>
        <w:t xml:space="preserve">     </w:t>
      </w:r>
      <w:r>
        <w:rPr>
          <w:rFonts w:hint="eastAsia" w:ascii="宋体" w:hAnsi="宋体"/>
          <w:color w:val="auto"/>
          <w:szCs w:val="21"/>
          <w:highlight w:val="none"/>
        </w:rPr>
        <w:t>（姓名）经正式授权并代表投标人</w:t>
      </w:r>
      <w:r>
        <w:rPr>
          <w:rFonts w:hint="eastAsia" w:ascii="宋体" w:hAnsi="宋体"/>
          <w:color w:val="auto"/>
          <w:szCs w:val="21"/>
          <w:highlight w:val="none"/>
          <w:u w:val="single"/>
        </w:rPr>
        <w:t xml:space="preserve">                 </w:t>
      </w:r>
      <w:r>
        <w:rPr>
          <w:rFonts w:hint="eastAsia" w:ascii="宋体" w:hAnsi="宋体"/>
          <w:color w:val="auto"/>
          <w:szCs w:val="21"/>
          <w:highlight w:val="none"/>
        </w:rPr>
        <w:t>（投标人名称）提交投标文件。</w:t>
      </w:r>
    </w:p>
    <w:p w14:paraId="7CFBBDE6">
      <w:pPr>
        <w:spacing w:line="3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据此函，我方宣布同意如下：</w:t>
      </w:r>
    </w:p>
    <w:p w14:paraId="057AFD7F">
      <w:pPr>
        <w:spacing w:line="3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1.我方已详细审查全部“招标文件”，包括修改文件（如有）以及全部参考资料和有关附件，已经了解我方对于招标文件、采购过程、采购结果有依法进行询问、质疑、投诉的权利及相关渠道和要求。</w:t>
      </w:r>
    </w:p>
    <w:p w14:paraId="5000FCBB">
      <w:pPr>
        <w:spacing w:line="3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2.我方在投标之前已经完全理解并接受招标文件的各项规定和要求，对招标文件的合理性、合法性不再有异议。</w:t>
      </w:r>
    </w:p>
    <w:p w14:paraId="1191B0A7">
      <w:pPr>
        <w:spacing w:line="3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3.本投标有效期自投标截止之日起</w:t>
      </w:r>
      <w:r>
        <w:rPr>
          <w:rFonts w:hint="eastAsia" w:ascii="宋体" w:hAnsi="宋体"/>
          <w:color w:val="auto"/>
          <w:szCs w:val="21"/>
          <w:highlight w:val="none"/>
          <w:u w:val="single"/>
        </w:rPr>
        <w:t xml:space="preserve"> 90</w:t>
      </w:r>
      <w:r>
        <w:rPr>
          <w:rFonts w:hint="eastAsia" w:ascii="宋体" w:hAnsi="宋体"/>
          <w:color w:val="auto"/>
          <w:szCs w:val="21"/>
          <w:highlight w:val="none"/>
        </w:rPr>
        <w:t>日。</w:t>
      </w:r>
    </w:p>
    <w:p w14:paraId="1039B425">
      <w:pPr>
        <w:spacing w:line="3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4.如我方中标，本投标文件至本项目合同履行完毕止均保持有效，我方将按“招标文件”及政府采购法律、法规的规定履行合同责任和义务。</w:t>
      </w:r>
    </w:p>
    <w:p w14:paraId="5B539A72">
      <w:pPr>
        <w:spacing w:line="320" w:lineRule="exact"/>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5</w:t>
      </w:r>
      <w:r>
        <w:rPr>
          <w:rFonts w:hint="eastAsia" w:ascii="宋体" w:hAnsi="宋体"/>
          <w:color w:val="auto"/>
          <w:szCs w:val="21"/>
          <w:highlight w:val="none"/>
        </w:rPr>
        <w:t>.我方同意按照贵方要求提供与投标有关的一切数据或者资料。</w:t>
      </w:r>
    </w:p>
    <w:p w14:paraId="20B8B982">
      <w:pPr>
        <w:spacing w:line="320" w:lineRule="exact"/>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6</w:t>
      </w:r>
      <w:r>
        <w:rPr>
          <w:rFonts w:hint="eastAsia" w:ascii="宋体" w:hAnsi="宋体"/>
          <w:color w:val="auto"/>
          <w:szCs w:val="21"/>
          <w:highlight w:val="none"/>
        </w:rPr>
        <w:t>.我方向贵方提交的所有投标文件、资料都是准确的和真实的。</w:t>
      </w:r>
    </w:p>
    <w:p w14:paraId="2EB796B1">
      <w:pPr>
        <w:spacing w:line="320" w:lineRule="exact"/>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7</w:t>
      </w:r>
      <w:r>
        <w:rPr>
          <w:rFonts w:hint="eastAsia" w:ascii="宋体" w:hAnsi="宋体"/>
          <w:color w:val="auto"/>
          <w:szCs w:val="21"/>
          <w:highlight w:val="none"/>
        </w:rPr>
        <w:t>.以上事项如有虚假或者隐瞒，我方愿意承担一切后果，并不再寻求任何旨在减轻或者免除法律责任的辩解。</w:t>
      </w:r>
    </w:p>
    <w:p w14:paraId="2960676F">
      <w:pPr>
        <w:spacing w:line="320" w:lineRule="exact"/>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8</w:t>
      </w:r>
      <w:r>
        <w:rPr>
          <w:rFonts w:hint="eastAsia" w:ascii="宋体" w:hAnsi="宋体"/>
          <w:color w:val="auto"/>
          <w:szCs w:val="21"/>
          <w:highlight w:val="none"/>
        </w:rPr>
        <w:t>.根据《中华人民共和国政府采购法实施条例》第五十条要求对政府采购合同进行公告，但政府采购合同中涉及国家秘密、商业秘密的内容除外。我方就对本次投标文件进行注明如下：（两项内容中必须选择一项）</w:t>
      </w:r>
    </w:p>
    <w:p w14:paraId="1D290DDF">
      <w:pPr>
        <w:spacing w:line="3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□我方本次投标文件</w:t>
      </w:r>
      <w:r>
        <w:rPr>
          <w:rFonts w:hint="eastAsia" w:ascii="宋体" w:hAnsi="宋体" w:cs="宋体"/>
          <w:color w:val="auto"/>
          <w:kern w:val="0"/>
          <w:szCs w:val="21"/>
          <w:highlight w:val="none"/>
        </w:rPr>
        <w:t>内容中</w:t>
      </w:r>
      <w:r>
        <w:rPr>
          <w:rFonts w:hint="eastAsia" w:ascii="宋体" w:hAnsi="宋体"/>
          <w:color w:val="auto"/>
          <w:szCs w:val="21"/>
          <w:highlight w:val="none"/>
        </w:rPr>
        <w:t>未</w:t>
      </w:r>
      <w:r>
        <w:rPr>
          <w:rFonts w:hint="eastAsia" w:ascii="宋体" w:hAnsi="宋体" w:cs="宋体"/>
          <w:color w:val="auto"/>
          <w:kern w:val="0"/>
          <w:szCs w:val="21"/>
          <w:highlight w:val="none"/>
        </w:rPr>
        <w:t>涉及商业秘密；</w:t>
      </w:r>
    </w:p>
    <w:p w14:paraId="701C44B6">
      <w:pPr>
        <w:spacing w:line="3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□我方本次投标文件</w:t>
      </w:r>
      <w:r>
        <w:rPr>
          <w:rFonts w:hint="eastAsia" w:ascii="宋体" w:hAnsi="宋体" w:cs="宋体"/>
          <w:color w:val="auto"/>
          <w:kern w:val="0"/>
          <w:szCs w:val="21"/>
          <w:highlight w:val="none"/>
        </w:rPr>
        <w:t>涉及商业秘密的内容有：</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0B44BAB5">
      <w:pPr>
        <w:spacing w:line="320" w:lineRule="exact"/>
        <w:ind w:firstLine="420"/>
        <w:rPr>
          <w:rFonts w:ascii="宋体" w:hAnsi="宋体" w:cs="宋体"/>
          <w:color w:val="auto"/>
          <w:kern w:val="0"/>
          <w:szCs w:val="20"/>
          <w:highlight w:val="none"/>
        </w:rPr>
      </w:pPr>
      <w:r>
        <w:rPr>
          <w:rFonts w:hint="eastAsia" w:ascii="宋体" w:hAnsi="宋体"/>
          <w:color w:val="auto"/>
          <w:szCs w:val="21"/>
          <w:highlight w:val="none"/>
          <w:lang w:val="en-US" w:eastAsia="zh-CN"/>
        </w:rPr>
        <w:t>9</w:t>
      </w:r>
      <w:r>
        <w:rPr>
          <w:rFonts w:hint="eastAsia" w:ascii="宋体" w:hAnsi="宋体"/>
          <w:color w:val="auto"/>
          <w:szCs w:val="21"/>
          <w:highlight w:val="none"/>
        </w:rPr>
        <w:t>.</w:t>
      </w:r>
      <w:r>
        <w:rPr>
          <w:rFonts w:hint="eastAsia" w:ascii="宋体" w:hAnsi="宋体" w:cs="宋体"/>
          <w:color w:val="auto"/>
          <w:kern w:val="0"/>
          <w:szCs w:val="20"/>
          <w:highlight w:val="none"/>
        </w:rPr>
        <w:t>如我方中标，我方保证按本项目招标文件的规定及标准向贵单位一次性足额支付代理服务费。代理服务费发票我方选择开具：</w:t>
      </w:r>
      <w:r>
        <w:rPr>
          <w:rFonts w:hint="eastAsia" w:ascii="宋体" w:hAnsi="宋体" w:cs="宋体"/>
          <w:color w:val="auto"/>
          <w:kern w:val="0"/>
          <w:highlight w:val="none"/>
        </w:rPr>
        <w:t>□</w:t>
      </w:r>
      <w:r>
        <w:rPr>
          <w:rFonts w:hint="eastAsia" w:ascii="宋体" w:hAnsi="宋体" w:cs="宋体"/>
          <w:color w:val="auto"/>
          <w:kern w:val="0"/>
          <w:szCs w:val="20"/>
          <w:highlight w:val="none"/>
          <w:u w:val="single"/>
        </w:rPr>
        <w:t>增值税普通发票</w:t>
      </w:r>
      <w:r>
        <w:rPr>
          <w:rFonts w:hint="eastAsia" w:ascii="宋体" w:hAnsi="宋体" w:cs="宋体"/>
          <w:color w:val="auto"/>
          <w:kern w:val="0"/>
          <w:szCs w:val="20"/>
          <w:highlight w:val="none"/>
        </w:rPr>
        <w:t>、</w:t>
      </w:r>
      <w:r>
        <w:rPr>
          <w:rFonts w:hint="eastAsia" w:ascii="宋体" w:hAnsi="宋体" w:cs="宋体"/>
          <w:color w:val="auto"/>
          <w:kern w:val="0"/>
          <w:highlight w:val="none"/>
        </w:rPr>
        <w:t>□</w:t>
      </w:r>
      <w:r>
        <w:rPr>
          <w:rFonts w:hint="eastAsia" w:ascii="宋体" w:hAnsi="宋体" w:cs="宋体"/>
          <w:color w:val="auto"/>
          <w:kern w:val="0"/>
          <w:szCs w:val="20"/>
          <w:highlight w:val="none"/>
          <w:u w:val="single"/>
        </w:rPr>
        <w:t>增值税专用发票</w:t>
      </w:r>
      <w:r>
        <w:rPr>
          <w:rFonts w:hint="eastAsia" w:ascii="宋体" w:hAnsi="宋体" w:cs="宋体"/>
          <w:color w:val="auto"/>
          <w:kern w:val="0"/>
          <w:szCs w:val="20"/>
          <w:highlight w:val="none"/>
        </w:rPr>
        <w:t>，开票信息如下</w:t>
      </w:r>
      <w:r>
        <w:rPr>
          <w:rFonts w:hint="eastAsia" w:ascii="宋体" w:hAnsi="宋体" w:cs="宋体"/>
          <w:color w:val="auto"/>
          <w:kern w:val="0"/>
          <w:szCs w:val="20"/>
          <w:highlight w:val="none"/>
          <w:lang w:eastAsia="zh-CN"/>
        </w:rPr>
        <w:t>：</w:t>
      </w:r>
    </w:p>
    <w:p w14:paraId="663BC0DE">
      <w:pPr>
        <w:spacing w:line="320" w:lineRule="exact"/>
        <w:ind w:firstLine="420"/>
        <w:rPr>
          <w:rFonts w:ascii="宋体" w:hAnsi="宋体" w:cs="宋体"/>
          <w:color w:val="auto"/>
          <w:kern w:val="0"/>
          <w:szCs w:val="20"/>
          <w:highlight w:val="none"/>
        </w:rPr>
      </w:pPr>
      <w:r>
        <w:rPr>
          <w:rFonts w:hint="eastAsia" w:ascii="宋体" w:hAnsi="宋体" w:cs="宋体"/>
          <w:color w:val="auto"/>
          <w:kern w:val="0"/>
          <w:szCs w:val="20"/>
          <w:highlight w:val="none"/>
        </w:rPr>
        <w:t>①公司名称：</w:t>
      </w:r>
      <w:r>
        <w:rPr>
          <w:rFonts w:hint="eastAsia" w:ascii="宋体" w:hAnsi="宋体" w:cs="宋体"/>
          <w:color w:val="auto"/>
          <w:kern w:val="0"/>
          <w:szCs w:val="20"/>
          <w:highlight w:val="none"/>
          <w:u w:val="single"/>
        </w:rPr>
        <w:t xml:space="preserve">               </w:t>
      </w:r>
      <w:r>
        <w:rPr>
          <w:rFonts w:hint="eastAsia" w:ascii="宋体" w:hAnsi="宋体" w:cs="宋体"/>
          <w:color w:val="auto"/>
          <w:kern w:val="0"/>
          <w:szCs w:val="20"/>
          <w:highlight w:val="none"/>
        </w:rPr>
        <w:t xml:space="preserve"> </w:t>
      </w:r>
    </w:p>
    <w:p w14:paraId="36AFBD97">
      <w:pPr>
        <w:snapToGrid w:val="0"/>
        <w:spacing w:line="320" w:lineRule="exact"/>
        <w:ind w:firstLine="420" w:firstLineChars="200"/>
        <w:jc w:val="left"/>
        <w:outlineLvl w:val="4"/>
        <w:rPr>
          <w:rFonts w:hint="eastAsia" w:ascii="宋体" w:hAnsi="宋体"/>
          <w:color w:val="auto"/>
          <w:szCs w:val="21"/>
          <w:highlight w:val="none"/>
        </w:rPr>
      </w:pPr>
      <w:r>
        <w:rPr>
          <w:rFonts w:hint="eastAsia" w:ascii="宋体" w:hAnsi="宋体" w:cs="宋体"/>
          <w:color w:val="auto"/>
          <w:kern w:val="0"/>
          <w:szCs w:val="20"/>
          <w:highlight w:val="none"/>
        </w:rPr>
        <w:t>②纳税人识别号：</w:t>
      </w:r>
      <w:r>
        <w:rPr>
          <w:rFonts w:hint="eastAsia" w:ascii="宋体" w:hAnsi="宋体" w:cs="宋体"/>
          <w:color w:val="auto"/>
          <w:kern w:val="0"/>
          <w:szCs w:val="20"/>
          <w:highlight w:val="none"/>
          <w:u w:val="single"/>
        </w:rPr>
        <w:t xml:space="preserve">               </w:t>
      </w:r>
    </w:p>
    <w:p w14:paraId="26EE9D0D">
      <w:pPr>
        <w:snapToGrid w:val="0"/>
        <w:spacing w:line="320" w:lineRule="exact"/>
        <w:ind w:firstLine="315" w:firstLineChars="150"/>
        <w:jc w:val="left"/>
        <w:outlineLvl w:val="4"/>
        <w:rPr>
          <w:rFonts w:hint="eastAsia" w:ascii="宋体" w:hAnsi="宋体"/>
          <w:color w:val="auto"/>
          <w:szCs w:val="21"/>
          <w:highlight w:val="none"/>
        </w:rPr>
      </w:pPr>
    </w:p>
    <w:p w14:paraId="3016AEC4">
      <w:pPr>
        <w:snapToGrid w:val="0"/>
        <w:spacing w:line="320" w:lineRule="exact"/>
        <w:ind w:firstLine="315" w:firstLineChars="150"/>
        <w:jc w:val="left"/>
        <w:outlineLvl w:val="4"/>
        <w:rPr>
          <w:rFonts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电子签章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4E56DEB6">
      <w:pPr>
        <w:pStyle w:val="27"/>
        <w:spacing w:line="320" w:lineRule="exact"/>
        <w:ind w:firstLine="315" w:firstLineChars="150"/>
        <w:jc w:val="left"/>
        <w:rPr>
          <w:rFonts w:hint="eastAsia" w:hAnsi="宋体"/>
          <w:color w:val="auto"/>
          <w:szCs w:val="21"/>
          <w:highlight w:val="none"/>
          <w:u w:val="single"/>
        </w:rPr>
      </w:pPr>
      <w:r>
        <w:rPr>
          <w:rFonts w:hint="eastAsia" w:hAnsi="宋体" w:cs="宋体"/>
          <w:color w:val="auto"/>
          <w:szCs w:val="24"/>
          <w:highlight w:val="none"/>
        </w:rPr>
        <w:t>法定代表人</w:t>
      </w:r>
      <w:r>
        <w:rPr>
          <w:rFonts w:hint="eastAsia" w:hAnsi="宋体"/>
          <w:color w:val="auto"/>
          <w:highlight w:val="none"/>
        </w:rPr>
        <w:t>或相应的委托代理人</w:t>
      </w:r>
      <w:r>
        <w:rPr>
          <w:rFonts w:hint="eastAsia" w:hAnsi="宋体"/>
          <w:color w:val="auto"/>
          <w:szCs w:val="21"/>
          <w:highlight w:val="none"/>
        </w:rPr>
        <w:t>签字（或者电子签名</w:t>
      </w:r>
      <w:r>
        <w:rPr>
          <w:rFonts w:hint="eastAsia" w:hAnsi="宋体" w:cs="宋体"/>
          <w:color w:val="auto"/>
          <w:szCs w:val="21"/>
          <w:highlight w:val="none"/>
        </w:rPr>
        <w:t>）</w:t>
      </w:r>
      <w:r>
        <w:rPr>
          <w:rFonts w:hint="eastAsia" w:hAnsi="宋体"/>
          <w:color w:val="auto"/>
          <w:highlight w:val="none"/>
        </w:rPr>
        <w:t>：</w:t>
      </w:r>
      <w:r>
        <w:rPr>
          <w:rFonts w:hint="eastAsia" w:hAnsi="宋体"/>
          <w:color w:val="auto"/>
          <w:szCs w:val="21"/>
          <w:highlight w:val="none"/>
          <w:u w:val="single"/>
        </w:rPr>
        <w:t xml:space="preserve">                              </w:t>
      </w:r>
    </w:p>
    <w:p w14:paraId="46939B9C">
      <w:pPr>
        <w:spacing w:line="320" w:lineRule="exact"/>
        <w:jc w:val="left"/>
        <w:rPr>
          <w:rFonts w:hint="eastAsia" w:ascii="宋体" w:hAnsi="宋体"/>
          <w:color w:val="auto"/>
          <w:szCs w:val="21"/>
          <w:highlight w:val="none"/>
          <w:u w:val="single"/>
        </w:rPr>
      </w:pPr>
      <w:r>
        <w:rPr>
          <w:rFonts w:hAnsi="宋体"/>
          <w:color w:val="auto"/>
          <w:highlight w:val="none"/>
        </w:rPr>
        <w:t xml:space="preserve">   </w:t>
      </w:r>
      <w:r>
        <w:rPr>
          <w:rFonts w:hint="eastAsia" w:hAnsi="宋体"/>
          <w:color w:val="auto"/>
          <w:highlight w:val="none"/>
        </w:rPr>
        <w:t>日</w:t>
      </w:r>
      <w:r>
        <w:rPr>
          <w:rFonts w:hAnsi="宋体"/>
          <w:color w:val="auto"/>
          <w:highlight w:val="none"/>
        </w:rPr>
        <w:t xml:space="preserve">     </w:t>
      </w:r>
      <w:r>
        <w:rPr>
          <w:rFonts w:hint="eastAsia" w:hAnsi="宋体"/>
          <w:color w:val="auto"/>
          <w:highlight w:val="none"/>
        </w:rPr>
        <w:t>期：</w:t>
      </w:r>
      <w:r>
        <w:rPr>
          <w:rFonts w:hAnsi="宋体"/>
          <w:color w:val="auto"/>
          <w:highlight w:val="none"/>
          <w:u w:val="single"/>
        </w:rPr>
        <w:t xml:space="preserve">                                                   </w:t>
      </w:r>
    </w:p>
    <w:p w14:paraId="3A7AF5BD">
      <w:pPr>
        <w:spacing w:line="400" w:lineRule="exact"/>
        <w:rPr>
          <w:rFonts w:hint="eastAsia"/>
          <w:b/>
          <w:color w:val="auto"/>
          <w:sz w:val="32"/>
          <w:szCs w:val="32"/>
          <w:highlight w:val="none"/>
        </w:rPr>
      </w:pPr>
    </w:p>
    <w:p w14:paraId="1C95EC5C">
      <w:pPr>
        <w:spacing w:line="400" w:lineRule="exact"/>
        <w:rPr>
          <w:rFonts w:hint="eastAsia"/>
          <w:b/>
          <w:color w:val="auto"/>
          <w:sz w:val="32"/>
          <w:szCs w:val="32"/>
          <w:highlight w:val="none"/>
        </w:rPr>
      </w:pPr>
      <w:r>
        <w:rPr>
          <w:b/>
          <w:color w:val="auto"/>
          <w:sz w:val="32"/>
          <w:szCs w:val="32"/>
          <w:highlight w:val="none"/>
        </w:rPr>
        <w:br w:type="page"/>
      </w:r>
      <w:r>
        <w:rPr>
          <w:rFonts w:hint="eastAsia"/>
          <w:b/>
          <w:color w:val="auto"/>
          <w:sz w:val="32"/>
          <w:szCs w:val="32"/>
          <w:highlight w:val="none"/>
        </w:rPr>
        <w:t>2.投标报价表（必须提供）</w:t>
      </w:r>
    </w:p>
    <w:p w14:paraId="62A0CF31">
      <w:pPr>
        <w:spacing w:line="400" w:lineRule="exact"/>
        <w:rPr>
          <w:rFonts w:hint="eastAsia"/>
          <w:b/>
          <w:color w:val="auto"/>
          <w:sz w:val="30"/>
          <w:szCs w:val="30"/>
          <w:highlight w:val="none"/>
        </w:rPr>
      </w:pPr>
      <w:r>
        <w:rPr>
          <w:rFonts w:hint="eastAsia"/>
          <w:b/>
          <w:color w:val="auto"/>
          <w:sz w:val="30"/>
          <w:szCs w:val="30"/>
          <w:highlight w:val="none"/>
        </w:rPr>
        <w:t>附件</w:t>
      </w:r>
      <w:r>
        <w:rPr>
          <w:rFonts w:hint="eastAsia"/>
          <w:b/>
          <w:color w:val="auto"/>
          <w:sz w:val="30"/>
          <w:szCs w:val="30"/>
          <w:highlight w:val="none"/>
          <w:lang w:eastAsia="zh-CN"/>
        </w:rPr>
        <w:t>：</w:t>
      </w:r>
    </w:p>
    <w:p w14:paraId="2D87967C">
      <w:pPr>
        <w:spacing w:line="440" w:lineRule="atLeast"/>
        <w:jc w:val="center"/>
        <w:rPr>
          <w:rFonts w:hint="eastAsia" w:ascii="宋体" w:hAnsi="宋体"/>
          <w:b/>
          <w:color w:val="auto"/>
          <w:sz w:val="32"/>
          <w:szCs w:val="32"/>
          <w:highlight w:val="none"/>
        </w:rPr>
      </w:pPr>
      <w:r>
        <w:rPr>
          <w:rFonts w:hint="eastAsia"/>
          <w:b/>
          <w:color w:val="auto"/>
          <w:sz w:val="32"/>
          <w:szCs w:val="32"/>
          <w:highlight w:val="none"/>
        </w:rPr>
        <w:t>投标报价表（格式）</w:t>
      </w:r>
    </w:p>
    <w:p w14:paraId="7320A653">
      <w:pPr>
        <w:spacing w:line="240" w:lineRule="exact"/>
        <w:jc w:val="center"/>
        <w:rPr>
          <w:rFonts w:hint="eastAsia" w:ascii="宋体" w:hAnsi="宋体"/>
          <w:color w:val="auto"/>
          <w:sz w:val="32"/>
          <w:highlight w:val="none"/>
        </w:rPr>
      </w:pPr>
    </w:p>
    <w:p w14:paraId="4DD216F4">
      <w:pPr>
        <w:spacing w:line="400" w:lineRule="exact"/>
        <w:rPr>
          <w:rFonts w:hint="eastAsia" w:ascii="宋体" w:hAnsi="宋体"/>
          <w:color w:val="auto"/>
          <w:highlight w:val="none"/>
        </w:rPr>
      </w:pPr>
      <w:r>
        <w:rPr>
          <w:rFonts w:hint="eastAsia" w:ascii="宋体" w:hAnsi="宋体"/>
          <w:color w:val="auto"/>
          <w:szCs w:val="21"/>
          <w:highlight w:val="none"/>
        </w:rPr>
        <w:t>致：</w:t>
      </w:r>
      <w:r>
        <w:rPr>
          <w:rFonts w:hint="eastAsia" w:ascii="宋体" w:hAnsi="宋体"/>
          <w:color w:val="auto"/>
          <w:highlight w:val="none"/>
          <w:u w:val="single"/>
        </w:rPr>
        <w:t>云之龙咨询集团有限公司</w:t>
      </w:r>
    </w:p>
    <w:p w14:paraId="0CC2EB4E">
      <w:pPr>
        <w:spacing w:line="400" w:lineRule="exact"/>
        <w:rPr>
          <w:rFonts w:hint="eastAsia" w:ascii="宋体" w:hAnsi="宋体"/>
          <w:color w:val="auto"/>
          <w:szCs w:val="21"/>
          <w:highlight w:val="none"/>
        </w:rPr>
      </w:pPr>
    </w:p>
    <w:p w14:paraId="03A6D112">
      <w:pPr>
        <w:pStyle w:val="27"/>
        <w:spacing w:line="360" w:lineRule="exact"/>
        <w:ind w:firstLine="420"/>
        <w:rPr>
          <w:rFonts w:hint="eastAsia" w:hAnsi="宋体"/>
          <w:color w:val="auto"/>
          <w:highlight w:val="none"/>
        </w:rPr>
      </w:pPr>
      <w:r>
        <w:rPr>
          <w:rFonts w:hint="eastAsia" w:hAnsi="宋体"/>
          <w:color w:val="auto"/>
          <w:highlight w:val="none"/>
        </w:rPr>
        <w:t>根据贵方</w:t>
      </w:r>
      <w:r>
        <w:rPr>
          <w:rFonts w:hint="eastAsia" w:hAnsi="宋体"/>
          <w:color w:val="auto"/>
          <w:highlight w:val="none"/>
          <w:u w:val="single"/>
        </w:rPr>
        <w:t xml:space="preserve">           </w:t>
      </w:r>
      <w:r>
        <w:rPr>
          <w:rFonts w:hint="eastAsia" w:hAnsi="宋体"/>
          <w:color w:val="auto"/>
          <w:highlight w:val="none"/>
        </w:rPr>
        <w:t>项目招标文件，项目编号</w:t>
      </w:r>
      <w:r>
        <w:rPr>
          <w:rFonts w:hint="eastAsia" w:hAnsi="宋体"/>
          <w:color w:val="auto"/>
          <w:szCs w:val="21"/>
          <w:highlight w:val="none"/>
          <w:u w:val="single"/>
        </w:rPr>
        <w:t xml:space="preserve">            </w:t>
      </w:r>
      <w:r>
        <w:rPr>
          <w:rFonts w:hint="eastAsia" w:hAnsi="宋体"/>
          <w:color w:val="auto"/>
          <w:szCs w:val="21"/>
          <w:highlight w:val="none"/>
        </w:rPr>
        <w:t>，签字代表</w:t>
      </w:r>
      <w:r>
        <w:rPr>
          <w:rFonts w:hint="eastAsia" w:hAnsi="宋体"/>
          <w:color w:val="auto"/>
          <w:highlight w:val="none"/>
          <w:u w:val="single"/>
        </w:rPr>
        <w:t xml:space="preserve">         </w:t>
      </w:r>
      <w:r>
        <w:rPr>
          <w:rFonts w:hint="eastAsia" w:hAnsi="宋体"/>
          <w:color w:val="auto"/>
          <w:highlight w:val="none"/>
        </w:rPr>
        <w:t xml:space="preserve">（姓名）经正式授权并代表投标人 </w:t>
      </w:r>
      <w:r>
        <w:rPr>
          <w:rFonts w:hint="eastAsia" w:hAnsi="宋体"/>
          <w:color w:val="auto"/>
          <w:highlight w:val="none"/>
          <w:u w:val="single"/>
        </w:rPr>
        <w:t xml:space="preserve">                                   （</w:t>
      </w:r>
      <w:r>
        <w:rPr>
          <w:rFonts w:hint="eastAsia" w:hAnsi="宋体"/>
          <w:color w:val="auto"/>
          <w:highlight w:val="none"/>
        </w:rPr>
        <w:t>投标单位名称），并做出如下报价：</w:t>
      </w:r>
    </w:p>
    <w:tbl>
      <w:tblPr>
        <w:tblStyle w:val="51"/>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32"/>
        <w:gridCol w:w="1046"/>
        <w:gridCol w:w="1315"/>
        <w:gridCol w:w="863"/>
        <w:gridCol w:w="1378"/>
        <w:gridCol w:w="747"/>
        <w:gridCol w:w="495"/>
        <w:gridCol w:w="846"/>
        <w:gridCol w:w="1273"/>
        <w:gridCol w:w="1259"/>
      </w:tblGrid>
      <w:tr w14:paraId="023799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1" w:hRule="atLeast"/>
        </w:trPr>
        <w:tc>
          <w:tcPr>
            <w:tcW w:w="321" w:type="pct"/>
            <w:tcBorders>
              <w:top w:val="single" w:color="auto" w:sz="4" w:space="0"/>
              <w:left w:val="single" w:color="auto" w:sz="4" w:space="0"/>
              <w:bottom w:val="single" w:color="auto" w:sz="4" w:space="0"/>
              <w:right w:val="single" w:color="auto" w:sz="4" w:space="0"/>
            </w:tcBorders>
            <w:noWrap w:val="0"/>
            <w:vAlign w:val="center"/>
          </w:tcPr>
          <w:p w14:paraId="39371E65">
            <w:pPr>
              <w:spacing w:line="260" w:lineRule="exact"/>
              <w:jc w:val="center"/>
              <w:rPr>
                <w:rFonts w:ascii="宋体" w:hAnsi="宋体"/>
                <w:color w:val="auto"/>
                <w:highlight w:val="none"/>
              </w:rPr>
            </w:pPr>
            <w:r>
              <w:rPr>
                <w:rFonts w:hint="eastAsia" w:ascii="宋体" w:hAnsi="宋体"/>
                <w:color w:val="auto"/>
                <w:highlight w:val="none"/>
              </w:rPr>
              <w:t>项号</w:t>
            </w:r>
          </w:p>
        </w:tc>
        <w:tc>
          <w:tcPr>
            <w:tcW w:w="531" w:type="pct"/>
            <w:tcBorders>
              <w:top w:val="single" w:color="auto" w:sz="4" w:space="0"/>
              <w:left w:val="single" w:color="auto" w:sz="4" w:space="0"/>
              <w:bottom w:val="single" w:color="auto" w:sz="4" w:space="0"/>
              <w:right w:val="single" w:color="auto" w:sz="4" w:space="0"/>
            </w:tcBorders>
            <w:noWrap w:val="0"/>
            <w:vAlign w:val="center"/>
          </w:tcPr>
          <w:p w14:paraId="314EE970">
            <w:pPr>
              <w:spacing w:line="260" w:lineRule="exact"/>
              <w:jc w:val="center"/>
              <w:rPr>
                <w:rFonts w:hint="eastAsia" w:ascii="宋体" w:hAnsi="宋体"/>
                <w:color w:val="auto"/>
                <w:highlight w:val="none"/>
              </w:rPr>
            </w:pPr>
            <w:r>
              <w:rPr>
                <w:rFonts w:hint="eastAsia" w:ascii="宋体" w:hAnsi="宋体"/>
                <w:color w:val="auto"/>
                <w:highlight w:val="none"/>
              </w:rPr>
              <w:t>标的名称</w:t>
            </w:r>
          </w:p>
        </w:tc>
        <w:tc>
          <w:tcPr>
            <w:tcW w:w="667" w:type="pct"/>
            <w:tcBorders>
              <w:top w:val="single" w:color="auto" w:sz="4" w:space="0"/>
              <w:left w:val="single" w:color="auto" w:sz="4" w:space="0"/>
              <w:bottom w:val="single" w:color="auto" w:sz="4" w:space="0"/>
              <w:right w:val="single" w:color="auto" w:sz="4" w:space="0"/>
            </w:tcBorders>
            <w:noWrap w:val="0"/>
            <w:vAlign w:val="center"/>
          </w:tcPr>
          <w:p w14:paraId="69EBC83F">
            <w:pPr>
              <w:spacing w:line="260" w:lineRule="exact"/>
              <w:jc w:val="center"/>
              <w:rPr>
                <w:rFonts w:hint="eastAsia" w:ascii="宋体" w:hAnsi="宋体"/>
                <w:color w:val="auto"/>
                <w:highlight w:val="none"/>
              </w:rPr>
            </w:pPr>
            <w:r>
              <w:rPr>
                <w:rFonts w:hint="eastAsia" w:ascii="宋体" w:hAnsi="宋体"/>
                <w:color w:val="auto"/>
                <w:highlight w:val="none"/>
              </w:rPr>
              <w:t>生产厂家</w:t>
            </w:r>
          </w:p>
        </w:tc>
        <w:tc>
          <w:tcPr>
            <w:tcW w:w="438" w:type="pct"/>
            <w:tcBorders>
              <w:top w:val="single" w:color="auto" w:sz="4" w:space="0"/>
              <w:left w:val="single" w:color="auto" w:sz="4" w:space="0"/>
              <w:bottom w:val="single" w:color="auto" w:sz="4" w:space="0"/>
              <w:right w:val="single" w:color="auto" w:sz="4" w:space="0"/>
            </w:tcBorders>
            <w:noWrap w:val="0"/>
            <w:vAlign w:val="center"/>
          </w:tcPr>
          <w:p w14:paraId="40B204C6">
            <w:pPr>
              <w:spacing w:line="260" w:lineRule="exact"/>
              <w:jc w:val="center"/>
              <w:rPr>
                <w:rFonts w:hint="eastAsia" w:ascii="宋体" w:hAnsi="宋体"/>
                <w:color w:val="auto"/>
                <w:highlight w:val="none"/>
              </w:rPr>
            </w:pPr>
            <w:r>
              <w:rPr>
                <w:rFonts w:hint="eastAsia" w:ascii="宋体" w:hAnsi="宋体"/>
                <w:color w:val="auto"/>
                <w:highlight w:val="none"/>
              </w:rPr>
              <w:t>品牌</w:t>
            </w:r>
          </w:p>
        </w:tc>
        <w:tc>
          <w:tcPr>
            <w:tcW w:w="699" w:type="pct"/>
            <w:tcBorders>
              <w:top w:val="single" w:color="auto" w:sz="4" w:space="0"/>
              <w:left w:val="single" w:color="auto" w:sz="4" w:space="0"/>
              <w:bottom w:val="single" w:color="auto" w:sz="4" w:space="0"/>
              <w:right w:val="single" w:color="auto" w:sz="4" w:space="0"/>
            </w:tcBorders>
            <w:noWrap w:val="0"/>
            <w:vAlign w:val="center"/>
          </w:tcPr>
          <w:p w14:paraId="44009ED3">
            <w:pPr>
              <w:spacing w:line="260" w:lineRule="exact"/>
              <w:jc w:val="center"/>
              <w:rPr>
                <w:rFonts w:hint="eastAsia" w:ascii="宋体" w:hAnsi="宋体"/>
                <w:color w:val="auto"/>
                <w:highlight w:val="none"/>
              </w:rPr>
            </w:pPr>
            <w:r>
              <w:rPr>
                <w:rFonts w:hint="eastAsia" w:ascii="宋体" w:hAnsi="宋体"/>
                <w:color w:val="auto"/>
                <w:highlight w:val="none"/>
              </w:rPr>
              <w:t>规格型号</w:t>
            </w:r>
          </w:p>
        </w:tc>
        <w:tc>
          <w:tcPr>
            <w:tcW w:w="379" w:type="pct"/>
            <w:tcBorders>
              <w:top w:val="single" w:color="auto" w:sz="4" w:space="0"/>
              <w:left w:val="single" w:color="auto" w:sz="4" w:space="0"/>
              <w:bottom w:val="single" w:color="auto" w:sz="4" w:space="0"/>
              <w:right w:val="single" w:color="auto" w:sz="4" w:space="0"/>
            </w:tcBorders>
            <w:noWrap w:val="0"/>
            <w:vAlign w:val="center"/>
          </w:tcPr>
          <w:p w14:paraId="7B7CFA18">
            <w:pPr>
              <w:spacing w:line="260" w:lineRule="exact"/>
              <w:jc w:val="center"/>
              <w:rPr>
                <w:rFonts w:hint="eastAsia" w:ascii="宋体" w:hAnsi="宋体"/>
                <w:color w:val="auto"/>
                <w:highlight w:val="none"/>
              </w:rPr>
            </w:pPr>
            <w:r>
              <w:rPr>
                <w:rFonts w:hint="eastAsia" w:ascii="宋体" w:hAnsi="宋体"/>
                <w:color w:val="auto"/>
                <w:highlight w:val="none"/>
              </w:rPr>
              <w:t>数量</w:t>
            </w:r>
          </w:p>
          <w:p w14:paraId="1015B144">
            <w:pPr>
              <w:spacing w:line="260" w:lineRule="exact"/>
              <w:jc w:val="center"/>
              <w:rPr>
                <w:rFonts w:hint="eastAsia" w:ascii="宋体" w:hAnsi="宋体"/>
                <w:color w:val="auto"/>
                <w:highlight w:val="none"/>
              </w:rPr>
            </w:pPr>
            <w:r>
              <w:rPr>
                <w:rFonts w:hint="eastAsia" w:ascii="宋体" w:hAnsi="宋体"/>
                <w:color w:val="auto"/>
                <w:szCs w:val="21"/>
                <w:highlight w:val="none"/>
              </w:rPr>
              <w:t>①</w:t>
            </w:r>
          </w:p>
        </w:tc>
        <w:tc>
          <w:tcPr>
            <w:tcW w:w="251" w:type="pct"/>
            <w:tcBorders>
              <w:top w:val="single" w:color="auto" w:sz="4" w:space="0"/>
              <w:left w:val="single" w:color="auto" w:sz="4" w:space="0"/>
              <w:bottom w:val="single" w:color="auto" w:sz="4" w:space="0"/>
              <w:right w:val="single" w:color="auto" w:sz="4" w:space="0"/>
            </w:tcBorders>
            <w:noWrap w:val="0"/>
            <w:vAlign w:val="center"/>
          </w:tcPr>
          <w:p w14:paraId="655F3C78">
            <w:pPr>
              <w:spacing w:line="260" w:lineRule="exact"/>
              <w:jc w:val="center"/>
              <w:rPr>
                <w:rFonts w:hint="eastAsia" w:ascii="宋体" w:hAnsi="宋体"/>
                <w:color w:val="auto"/>
                <w:highlight w:val="none"/>
              </w:rPr>
            </w:pPr>
            <w:r>
              <w:rPr>
                <w:rFonts w:hint="eastAsia" w:ascii="宋体" w:hAnsi="宋体"/>
                <w:color w:val="auto"/>
                <w:highlight w:val="none"/>
              </w:rPr>
              <w:t>单位</w:t>
            </w:r>
          </w:p>
        </w:tc>
        <w:tc>
          <w:tcPr>
            <w:tcW w:w="429" w:type="pct"/>
            <w:tcBorders>
              <w:top w:val="single" w:color="auto" w:sz="4" w:space="0"/>
              <w:left w:val="single" w:color="auto" w:sz="4" w:space="0"/>
              <w:bottom w:val="single" w:color="auto" w:sz="4" w:space="0"/>
              <w:right w:val="single" w:color="auto" w:sz="4" w:space="0"/>
            </w:tcBorders>
            <w:noWrap w:val="0"/>
            <w:vAlign w:val="center"/>
          </w:tcPr>
          <w:p w14:paraId="781194EB">
            <w:pPr>
              <w:spacing w:line="260" w:lineRule="exact"/>
              <w:jc w:val="center"/>
              <w:rPr>
                <w:rFonts w:hint="eastAsia" w:ascii="宋体" w:hAnsi="宋体"/>
                <w:color w:val="auto"/>
                <w:highlight w:val="none"/>
              </w:rPr>
            </w:pPr>
            <w:r>
              <w:rPr>
                <w:rFonts w:hint="eastAsia" w:ascii="宋体" w:hAnsi="宋体"/>
                <w:color w:val="auto"/>
                <w:highlight w:val="none"/>
              </w:rPr>
              <w:t>单价（元）</w:t>
            </w:r>
          </w:p>
          <w:p w14:paraId="664D7AD6">
            <w:pPr>
              <w:spacing w:line="260" w:lineRule="exact"/>
              <w:jc w:val="center"/>
              <w:rPr>
                <w:rFonts w:hint="eastAsia" w:ascii="宋体" w:hAnsi="宋体"/>
                <w:color w:val="auto"/>
                <w:highlight w:val="none"/>
              </w:rPr>
            </w:pPr>
            <w:r>
              <w:rPr>
                <w:rFonts w:hint="eastAsia" w:ascii="宋体" w:hAnsi="宋体"/>
                <w:color w:val="auto"/>
                <w:szCs w:val="21"/>
                <w:highlight w:val="none"/>
              </w:rPr>
              <w:t>②</w:t>
            </w:r>
          </w:p>
        </w:tc>
        <w:tc>
          <w:tcPr>
            <w:tcW w:w="646" w:type="pct"/>
            <w:tcBorders>
              <w:top w:val="single" w:color="auto" w:sz="4" w:space="0"/>
              <w:left w:val="single" w:color="auto" w:sz="4" w:space="0"/>
              <w:bottom w:val="single" w:color="auto" w:sz="4" w:space="0"/>
            </w:tcBorders>
            <w:noWrap w:val="0"/>
            <w:vAlign w:val="center"/>
          </w:tcPr>
          <w:p w14:paraId="7FDB0DD6">
            <w:pPr>
              <w:spacing w:line="260" w:lineRule="exact"/>
              <w:jc w:val="center"/>
              <w:rPr>
                <w:rFonts w:hint="eastAsia" w:ascii="宋体" w:hAnsi="宋体"/>
                <w:color w:val="auto"/>
                <w:highlight w:val="none"/>
              </w:rPr>
            </w:pPr>
            <w:r>
              <w:rPr>
                <w:rFonts w:hint="eastAsia" w:ascii="宋体" w:hAnsi="宋体"/>
                <w:color w:val="auto"/>
                <w:highlight w:val="none"/>
              </w:rPr>
              <w:t>单项合计=数量×单价</w:t>
            </w:r>
          </w:p>
          <w:p w14:paraId="264C4F05">
            <w:pPr>
              <w:spacing w:line="260" w:lineRule="exact"/>
              <w:jc w:val="center"/>
              <w:rPr>
                <w:rFonts w:hint="eastAsia" w:ascii="宋体" w:hAnsi="宋体"/>
                <w:color w:val="auto"/>
                <w:highlight w:val="none"/>
              </w:rPr>
            </w:pPr>
            <w:r>
              <w:rPr>
                <w:rFonts w:hint="eastAsia" w:ascii="宋体" w:hAnsi="宋体"/>
                <w:color w:val="auto"/>
                <w:szCs w:val="21"/>
                <w:highlight w:val="none"/>
              </w:rPr>
              <w:t>③</w:t>
            </w:r>
            <w:r>
              <w:rPr>
                <w:rFonts w:hint="eastAsia" w:ascii="宋体" w:hAnsi="宋体"/>
                <w:color w:val="auto"/>
                <w:szCs w:val="21"/>
                <w:highlight w:val="none"/>
                <w:lang w:eastAsia="zh-CN"/>
              </w:rPr>
              <w:t>=</w:t>
            </w:r>
            <w:r>
              <w:rPr>
                <w:rFonts w:hint="eastAsia" w:ascii="宋体" w:hAnsi="宋体"/>
                <w:color w:val="auto"/>
                <w:szCs w:val="21"/>
                <w:highlight w:val="none"/>
              </w:rPr>
              <w:t>①×②</w:t>
            </w:r>
          </w:p>
        </w:tc>
        <w:tc>
          <w:tcPr>
            <w:tcW w:w="634" w:type="pct"/>
            <w:tcBorders>
              <w:top w:val="single" w:color="auto" w:sz="4" w:space="0"/>
              <w:left w:val="single" w:color="auto" w:sz="4" w:space="0"/>
              <w:bottom w:val="single" w:color="auto" w:sz="4" w:space="0"/>
            </w:tcBorders>
            <w:noWrap w:val="0"/>
            <w:vAlign w:val="center"/>
          </w:tcPr>
          <w:p w14:paraId="1560987B">
            <w:pPr>
              <w:spacing w:line="260" w:lineRule="exact"/>
              <w:jc w:val="center"/>
              <w:rPr>
                <w:rFonts w:hint="eastAsia" w:ascii="宋体" w:hAnsi="宋体"/>
                <w:color w:val="auto"/>
                <w:highlight w:val="none"/>
              </w:rPr>
            </w:pPr>
            <w:r>
              <w:rPr>
                <w:rFonts w:hint="eastAsia" w:ascii="宋体" w:hAnsi="宋体"/>
                <w:color w:val="auto"/>
                <w:highlight w:val="none"/>
              </w:rPr>
              <w:t>备注</w:t>
            </w:r>
          </w:p>
        </w:tc>
      </w:tr>
      <w:tr w14:paraId="4D834F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8" w:hRule="atLeast"/>
        </w:trPr>
        <w:tc>
          <w:tcPr>
            <w:tcW w:w="321" w:type="pct"/>
            <w:tcBorders>
              <w:top w:val="single" w:color="auto" w:sz="4" w:space="0"/>
              <w:left w:val="single" w:color="auto" w:sz="4" w:space="0"/>
              <w:right w:val="single" w:color="auto" w:sz="4" w:space="0"/>
            </w:tcBorders>
            <w:noWrap w:val="0"/>
            <w:vAlign w:val="center"/>
          </w:tcPr>
          <w:p w14:paraId="42A9A607">
            <w:pPr>
              <w:widowControl/>
              <w:jc w:val="center"/>
              <w:outlineLvl w:val="0"/>
              <w:rPr>
                <w:rFonts w:hint="eastAsia" w:ascii="宋体" w:hAnsi="宋体" w:cs="宋体"/>
                <w:color w:val="auto"/>
                <w:szCs w:val="21"/>
                <w:highlight w:val="none"/>
              </w:rPr>
            </w:pPr>
            <w:r>
              <w:rPr>
                <w:rFonts w:hint="eastAsia" w:ascii="宋体" w:hAnsi="宋体" w:cs="宋体"/>
                <w:color w:val="auto"/>
                <w:kern w:val="0"/>
                <w:sz w:val="22"/>
                <w:szCs w:val="22"/>
                <w:highlight w:val="none"/>
              </w:rPr>
              <w:t>1</w:t>
            </w:r>
          </w:p>
        </w:tc>
        <w:tc>
          <w:tcPr>
            <w:tcW w:w="531" w:type="pct"/>
            <w:tcBorders>
              <w:top w:val="single" w:color="auto" w:sz="4" w:space="0"/>
              <w:left w:val="single" w:color="auto" w:sz="4" w:space="0"/>
              <w:bottom w:val="single" w:color="auto" w:sz="4" w:space="0"/>
              <w:right w:val="single" w:color="auto" w:sz="4" w:space="0"/>
            </w:tcBorders>
            <w:noWrap w:val="0"/>
            <w:vAlign w:val="center"/>
          </w:tcPr>
          <w:p w14:paraId="644795B4">
            <w:pPr>
              <w:widowControl/>
              <w:jc w:val="center"/>
              <w:outlineLvl w:val="0"/>
              <w:rPr>
                <w:rFonts w:hint="eastAsia" w:ascii="宋体" w:hAnsi="宋体"/>
                <w:color w:val="auto"/>
                <w:highlight w:val="none"/>
              </w:rPr>
            </w:pPr>
            <w:r>
              <w:rPr>
                <w:rFonts w:hint="eastAsia" w:ascii="宋体" w:hAnsi="宋体" w:cs="宋体"/>
                <w:b w:val="0"/>
                <w:bCs w:val="0"/>
                <w:color w:val="auto"/>
                <w:kern w:val="0"/>
                <w:sz w:val="22"/>
                <w:szCs w:val="22"/>
                <w:highlight w:val="none"/>
              </w:rPr>
              <w:t>医用中心吸引系统</w:t>
            </w:r>
          </w:p>
        </w:tc>
        <w:tc>
          <w:tcPr>
            <w:tcW w:w="667" w:type="pct"/>
            <w:tcBorders>
              <w:top w:val="single" w:color="auto" w:sz="4" w:space="0"/>
              <w:left w:val="single" w:color="auto" w:sz="4" w:space="0"/>
              <w:bottom w:val="single" w:color="auto" w:sz="4" w:space="0"/>
              <w:right w:val="single" w:color="auto" w:sz="4" w:space="0"/>
            </w:tcBorders>
            <w:noWrap w:val="0"/>
            <w:vAlign w:val="center"/>
          </w:tcPr>
          <w:p w14:paraId="5AA207A7">
            <w:pPr>
              <w:widowControl/>
              <w:jc w:val="center"/>
              <w:outlineLvl w:val="0"/>
              <w:rPr>
                <w:rFonts w:hint="eastAsia" w:ascii="宋体" w:hAnsi="宋体"/>
                <w:color w:val="auto"/>
                <w:highlight w:val="none"/>
              </w:rPr>
            </w:pPr>
          </w:p>
        </w:tc>
        <w:tc>
          <w:tcPr>
            <w:tcW w:w="438" w:type="pct"/>
            <w:tcBorders>
              <w:top w:val="single" w:color="auto" w:sz="4" w:space="0"/>
              <w:left w:val="single" w:color="auto" w:sz="4" w:space="0"/>
              <w:bottom w:val="single" w:color="auto" w:sz="4" w:space="0"/>
              <w:right w:val="single" w:color="auto" w:sz="4" w:space="0"/>
            </w:tcBorders>
            <w:noWrap w:val="0"/>
            <w:vAlign w:val="center"/>
          </w:tcPr>
          <w:p w14:paraId="00028131">
            <w:pPr>
              <w:spacing w:line="440" w:lineRule="exact"/>
              <w:jc w:val="center"/>
              <w:rPr>
                <w:rFonts w:hint="eastAsia" w:ascii="宋体" w:hAnsi="宋体"/>
                <w:color w:val="auto"/>
                <w:highlight w:val="none"/>
              </w:rPr>
            </w:pPr>
          </w:p>
        </w:tc>
        <w:tc>
          <w:tcPr>
            <w:tcW w:w="699" w:type="pct"/>
            <w:tcBorders>
              <w:top w:val="single" w:color="auto" w:sz="4" w:space="0"/>
              <w:left w:val="single" w:color="auto" w:sz="4" w:space="0"/>
              <w:bottom w:val="single" w:color="auto" w:sz="4" w:space="0"/>
              <w:right w:val="single" w:color="auto" w:sz="4" w:space="0"/>
            </w:tcBorders>
            <w:noWrap w:val="0"/>
            <w:vAlign w:val="center"/>
          </w:tcPr>
          <w:p w14:paraId="5A365691">
            <w:pPr>
              <w:spacing w:line="440" w:lineRule="exact"/>
              <w:jc w:val="center"/>
              <w:rPr>
                <w:rFonts w:hint="eastAsia" w:ascii="宋体" w:hAnsi="宋体"/>
                <w:color w:val="auto"/>
                <w:highlight w:val="none"/>
              </w:rPr>
            </w:pPr>
          </w:p>
        </w:tc>
        <w:tc>
          <w:tcPr>
            <w:tcW w:w="379" w:type="pct"/>
            <w:tcBorders>
              <w:top w:val="single" w:color="auto" w:sz="4" w:space="0"/>
              <w:left w:val="single" w:color="auto" w:sz="4" w:space="0"/>
              <w:bottom w:val="single" w:color="auto" w:sz="4" w:space="0"/>
              <w:right w:val="single" w:color="auto" w:sz="4" w:space="0"/>
            </w:tcBorders>
            <w:noWrap w:val="0"/>
            <w:vAlign w:val="center"/>
          </w:tcPr>
          <w:p w14:paraId="49324CF0">
            <w:pPr>
              <w:widowControl/>
              <w:jc w:val="center"/>
              <w:outlineLvl w:val="0"/>
              <w:rPr>
                <w:rFonts w:ascii="宋体" w:hAnsi="宋体" w:cs="宋体"/>
                <w:color w:val="auto"/>
                <w:szCs w:val="21"/>
                <w:highlight w:val="none"/>
              </w:rPr>
            </w:pPr>
          </w:p>
        </w:tc>
        <w:tc>
          <w:tcPr>
            <w:tcW w:w="251" w:type="pct"/>
            <w:tcBorders>
              <w:top w:val="single" w:color="auto" w:sz="4" w:space="0"/>
              <w:left w:val="single" w:color="auto" w:sz="4" w:space="0"/>
              <w:bottom w:val="single" w:color="auto" w:sz="4" w:space="0"/>
              <w:right w:val="single" w:color="auto" w:sz="4" w:space="0"/>
            </w:tcBorders>
            <w:noWrap w:val="0"/>
            <w:vAlign w:val="center"/>
          </w:tcPr>
          <w:p w14:paraId="0E79C9C0">
            <w:pPr>
              <w:widowControl/>
              <w:jc w:val="center"/>
              <w:outlineLvl w:val="0"/>
              <w:rPr>
                <w:rFonts w:ascii="宋体" w:hAnsi="宋体" w:cs="宋体"/>
                <w:color w:val="auto"/>
                <w:szCs w:val="21"/>
                <w:highlight w:val="none"/>
              </w:rPr>
            </w:pPr>
          </w:p>
        </w:tc>
        <w:tc>
          <w:tcPr>
            <w:tcW w:w="429" w:type="pct"/>
            <w:tcBorders>
              <w:top w:val="single" w:color="auto" w:sz="4" w:space="0"/>
              <w:left w:val="single" w:color="auto" w:sz="4" w:space="0"/>
              <w:bottom w:val="single" w:color="auto" w:sz="4" w:space="0"/>
              <w:right w:val="single" w:color="auto" w:sz="4" w:space="0"/>
            </w:tcBorders>
            <w:noWrap w:val="0"/>
            <w:vAlign w:val="center"/>
          </w:tcPr>
          <w:p w14:paraId="2A778757">
            <w:pPr>
              <w:spacing w:line="440" w:lineRule="exact"/>
              <w:jc w:val="center"/>
              <w:rPr>
                <w:rFonts w:hint="eastAsia" w:ascii="宋体" w:hAnsi="宋体"/>
                <w:b/>
                <w:bCs/>
                <w:color w:val="auto"/>
                <w:highlight w:val="none"/>
              </w:rPr>
            </w:pPr>
          </w:p>
        </w:tc>
        <w:tc>
          <w:tcPr>
            <w:tcW w:w="646" w:type="pct"/>
            <w:tcBorders>
              <w:top w:val="single" w:color="auto" w:sz="4" w:space="0"/>
              <w:left w:val="single" w:color="auto" w:sz="4" w:space="0"/>
              <w:bottom w:val="single" w:color="auto" w:sz="4" w:space="0"/>
            </w:tcBorders>
            <w:noWrap w:val="0"/>
            <w:vAlign w:val="center"/>
          </w:tcPr>
          <w:p w14:paraId="4EA037A3">
            <w:pPr>
              <w:spacing w:line="440" w:lineRule="exact"/>
              <w:jc w:val="center"/>
              <w:rPr>
                <w:rFonts w:hint="eastAsia" w:ascii="宋体" w:hAnsi="宋体"/>
                <w:b/>
                <w:bCs/>
                <w:color w:val="auto"/>
                <w:highlight w:val="none"/>
              </w:rPr>
            </w:pPr>
          </w:p>
        </w:tc>
        <w:tc>
          <w:tcPr>
            <w:tcW w:w="634" w:type="pct"/>
            <w:vMerge w:val="restart"/>
            <w:tcBorders>
              <w:top w:val="single" w:color="auto" w:sz="4" w:space="0"/>
              <w:left w:val="single" w:color="auto" w:sz="4" w:space="0"/>
            </w:tcBorders>
            <w:noWrap w:val="0"/>
            <w:vAlign w:val="center"/>
          </w:tcPr>
          <w:p w14:paraId="50B0C96D">
            <w:pPr>
              <w:spacing w:line="440" w:lineRule="exact"/>
              <w:jc w:val="center"/>
              <w:rPr>
                <w:rFonts w:hint="eastAsia" w:ascii="宋体" w:hAnsi="宋体"/>
                <w:bCs/>
                <w:color w:val="auto"/>
                <w:highlight w:val="none"/>
              </w:rPr>
            </w:pPr>
            <w:r>
              <w:rPr>
                <w:rFonts w:hint="eastAsia" w:ascii="宋体" w:hAnsi="宋体"/>
                <w:bCs/>
                <w:color w:val="auto"/>
                <w:highlight w:val="none"/>
              </w:rPr>
              <w:t>所投标</w:t>
            </w:r>
            <w:r>
              <w:rPr>
                <w:rFonts w:hint="eastAsia" w:ascii="宋体" w:hAnsi="宋体"/>
                <w:bCs/>
                <w:color w:val="auto"/>
                <w:highlight w:val="none"/>
                <w:lang w:eastAsia="zh-CN"/>
              </w:rPr>
              <w:t>的</w:t>
            </w:r>
            <w:r>
              <w:rPr>
                <w:rFonts w:hint="eastAsia" w:ascii="宋体" w:hAnsi="宋体"/>
                <w:bCs/>
                <w:color w:val="auto"/>
                <w:highlight w:val="none"/>
              </w:rPr>
              <w:t>技术参数、配置等，详见“技术偏离表”</w:t>
            </w:r>
          </w:p>
        </w:tc>
      </w:tr>
      <w:tr w14:paraId="15F389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8" w:hRule="atLeast"/>
        </w:trPr>
        <w:tc>
          <w:tcPr>
            <w:tcW w:w="321" w:type="pct"/>
            <w:tcBorders>
              <w:top w:val="single" w:color="auto" w:sz="4" w:space="0"/>
              <w:left w:val="single" w:color="auto" w:sz="4" w:space="0"/>
              <w:right w:val="single" w:color="auto" w:sz="4" w:space="0"/>
            </w:tcBorders>
            <w:noWrap w:val="0"/>
            <w:vAlign w:val="center"/>
          </w:tcPr>
          <w:p w14:paraId="7532A893">
            <w:pPr>
              <w:widowControl/>
              <w:jc w:val="center"/>
              <w:outlineLvl w:val="0"/>
              <w:rPr>
                <w:rFonts w:hint="eastAsia" w:ascii="宋体" w:hAnsi="宋体" w:cs="宋体"/>
                <w:color w:val="auto"/>
                <w:szCs w:val="21"/>
                <w:highlight w:val="none"/>
              </w:rPr>
            </w:pPr>
            <w:r>
              <w:rPr>
                <w:rFonts w:hint="eastAsia" w:ascii="宋体" w:hAnsi="宋体" w:cs="宋体"/>
                <w:color w:val="auto"/>
                <w:kern w:val="0"/>
                <w:sz w:val="22"/>
                <w:szCs w:val="22"/>
                <w:highlight w:val="none"/>
              </w:rPr>
              <w:t>2</w:t>
            </w:r>
          </w:p>
        </w:tc>
        <w:tc>
          <w:tcPr>
            <w:tcW w:w="531" w:type="pct"/>
            <w:tcBorders>
              <w:top w:val="single" w:color="auto" w:sz="4" w:space="0"/>
              <w:left w:val="single" w:color="auto" w:sz="4" w:space="0"/>
              <w:bottom w:val="single" w:color="auto" w:sz="4" w:space="0"/>
              <w:right w:val="single" w:color="auto" w:sz="4" w:space="0"/>
            </w:tcBorders>
            <w:noWrap w:val="0"/>
            <w:vAlign w:val="center"/>
          </w:tcPr>
          <w:p w14:paraId="0401B8D3">
            <w:pPr>
              <w:widowControl/>
              <w:jc w:val="center"/>
              <w:outlineLvl w:val="0"/>
              <w:rPr>
                <w:rFonts w:hint="eastAsia" w:ascii="宋体" w:hAnsi="宋体"/>
                <w:color w:val="auto"/>
                <w:highlight w:val="none"/>
              </w:rPr>
            </w:pPr>
            <w:r>
              <w:rPr>
                <w:rFonts w:hint="eastAsia" w:ascii="宋体" w:hAnsi="宋体" w:cs="宋体"/>
                <w:b w:val="0"/>
                <w:bCs w:val="0"/>
                <w:color w:val="auto"/>
                <w:kern w:val="0"/>
                <w:sz w:val="22"/>
                <w:szCs w:val="22"/>
                <w:highlight w:val="none"/>
              </w:rPr>
              <w:t>医用压缩空气供应系统</w:t>
            </w:r>
          </w:p>
        </w:tc>
        <w:tc>
          <w:tcPr>
            <w:tcW w:w="667" w:type="pct"/>
            <w:tcBorders>
              <w:top w:val="single" w:color="auto" w:sz="4" w:space="0"/>
              <w:left w:val="single" w:color="auto" w:sz="4" w:space="0"/>
              <w:bottom w:val="single" w:color="auto" w:sz="4" w:space="0"/>
              <w:right w:val="single" w:color="auto" w:sz="4" w:space="0"/>
            </w:tcBorders>
            <w:noWrap w:val="0"/>
            <w:vAlign w:val="center"/>
          </w:tcPr>
          <w:p w14:paraId="05285FF9">
            <w:pPr>
              <w:widowControl/>
              <w:jc w:val="center"/>
              <w:outlineLvl w:val="0"/>
              <w:rPr>
                <w:rFonts w:hint="eastAsia" w:ascii="宋体" w:hAnsi="宋体"/>
                <w:color w:val="auto"/>
                <w:highlight w:val="none"/>
              </w:rPr>
            </w:pPr>
          </w:p>
        </w:tc>
        <w:tc>
          <w:tcPr>
            <w:tcW w:w="438" w:type="pct"/>
            <w:tcBorders>
              <w:top w:val="single" w:color="auto" w:sz="4" w:space="0"/>
              <w:left w:val="single" w:color="auto" w:sz="4" w:space="0"/>
              <w:bottom w:val="single" w:color="auto" w:sz="4" w:space="0"/>
              <w:right w:val="single" w:color="auto" w:sz="4" w:space="0"/>
            </w:tcBorders>
            <w:noWrap w:val="0"/>
            <w:vAlign w:val="center"/>
          </w:tcPr>
          <w:p w14:paraId="03A18D14">
            <w:pPr>
              <w:spacing w:line="440" w:lineRule="exact"/>
              <w:jc w:val="center"/>
              <w:rPr>
                <w:rFonts w:hint="eastAsia" w:ascii="宋体" w:hAnsi="宋体"/>
                <w:color w:val="auto"/>
                <w:highlight w:val="none"/>
              </w:rPr>
            </w:pPr>
          </w:p>
        </w:tc>
        <w:tc>
          <w:tcPr>
            <w:tcW w:w="699" w:type="pct"/>
            <w:tcBorders>
              <w:top w:val="single" w:color="auto" w:sz="4" w:space="0"/>
              <w:left w:val="single" w:color="auto" w:sz="4" w:space="0"/>
              <w:bottom w:val="single" w:color="auto" w:sz="4" w:space="0"/>
              <w:right w:val="single" w:color="auto" w:sz="4" w:space="0"/>
            </w:tcBorders>
            <w:noWrap w:val="0"/>
            <w:vAlign w:val="center"/>
          </w:tcPr>
          <w:p w14:paraId="10C4DD98">
            <w:pPr>
              <w:spacing w:line="440" w:lineRule="exact"/>
              <w:jc w:val="center"/>
              <w:rPr>
                <w:rFonts w:hint="eastAsia" w:ascii="宋体" w:hAnsi="宋体"/>
                <w:color w:val="auto"/>
                <w:highlight w:val="none"/>
              </w:rPr>
            </w:pPr>
          </w:p>
        </w:tc>
        <w:tc>
          <w:tcPr>
            <w:tcW w:w="379" w:type="pct"/>
            <w:tcBorders>
              <w:top w:val="single" w:color="auto" w:sz="4" w:space="0"/>
              <w:left w:val="single" w:color="auto" w:sz="4" w:space="0"/>
              <w:bottom w:val="single" w:color="auto" w:sz="4" w:space="0"/>
              <w:right w:val="single" w:color="auto" w:sz="4" w:space="0"/>
            </w:tcBorders>
            <w:noWrap w:val="0"/>
            <w:vAlign w:val="center"/>
          </w:tcPr>
          <w:p w14:paraId="23AB2147">
            <w:pPr>
              <w:widowControl/>
              <w:jc w:val="center"/>
              <w:outlineLvl w:val="0"/>
              <w:rPr>
                <w:rFonts w:ascii="宋体" w:hAnsi="宋体" w:cs="宋体"/>
                <w:color w:val="auto"/>
                <w:szCs w:val="21"/>
                <w:highlight w:val="none"/>
              </w:rPr>
            </w:pPr>
          </w:p>
        </w:tc>
        <w:tc>
          <w:tcPr>
            <w:tcW w:w="251" w:type="pct"/>
            <w:tcBorders>
              <w:top w:val="single" w:color="auto" w:sz="4" w:space="0"/>
              <w:left w:val="single" w:color="auto" w:sz="4" w:space="0"/>
              <w:bottom w:val="single" w:color="auto" w:sz="4" w:space="0"/>
              <w:right w:val="single" w:color="auto" w:sz="4" w:space="0"/>
            </w:tcBorders>
            <w:noWrap w:val="0"/>
            <w:vAlign w:val="center"/>
          </w:tcPr>
          <w:p w14:paraId="15BA65DD">
            <w:pPr>
              <w:widowControl/>
              <w:jc w:val="center"/>
              <w:outlineLvl w:val="0"/>
              <w:rPr>
                <w:rFonts w:ascii="宋体" w:hAnsi="宋体" w:cs="宋体"/>
                <w:color w:val="auto"/>
                <w:szCs w:val="21"/>
                <w:highlight w:val="none"/>
              </w:rPr>
            </w:pPr>
          </w:p>
        </w:tc>
        <w:tc>
          <w:tcPr>
            <w:tcW w:w="429" w:type="pct"/>
            <w:tcBorders>
              <w:top w:val="single" w:color="auto" w:sz="4" w:space="0"/>
              <w:left w:val="single" w:color="auto" w:sz="4" w:space="0"/>
              <w:bottom w:val="single" w:color="auto" w:sz="4" w:space="0"/>
              <w:right w:val="single" w:color="auto" w:sz="4" w:space="0"/>
            </w:tcBorders>
            <w:noWrap w:val="0"/>
            <w:vAlign w:val="center"/>
          </w:tcPr>
          <w:p w14:paraId="495042D9">
            <w:pPr>
              <w:spacing w:line="440" w:lineRule="exact"/>
              <w:jc w:val="center"/>
              <w:rPr>
                <w:rFonts w:hint="eastAsia" w:ascii="宋体" w:hAnsi="宋体"/>
                <w:b/>
                <w:bCs/>
                <w:color w:val="auto"/>
                <w:highlight w:val="none"/>
              </w:rPr>
            </w:pPr>
          </w:p>
        </w:tc>
        <w:tc>
          <w:tcPr>
            <w:tcW w:w="646" w:type="pct"/>
            <w:tcBorders>
              <w:top w:val="single" w:color="auto" w:sz="4" w:space="0"/>
              <w:left w:val="single" w:color="auto" w:sz="4" w:space="0"/>
              <w:bottom w:val="single" w:color="auto" w:sz="4" w:space="0"/>
            </w:tcBorders>
            <w:noWrap w:val="0"/>
            <w:vAlign w:val="center"/>
          </w:tcPr>
          <w:p w14:paraId="6C5201C6">
            <w:pPr>
              <w:spacing w:line="440" w:lineRule="exact"/>
              <w:jc w:val="center"/>
              <w:rPr>
                <w:rFonts w:hint="eastAsia" w:ascii="宋体" w:hAnsi="宋体"/>
                <w:b/>
                <w:bCs/>
                <w:color w:val="auto"/>
                <w:highlight w:val="none"/>
              </w:rPr>
            </w:pPr>
          </w:p>
        </w:tc>
        <w:tc>
          <w:tcPr>
            <w:tcW w:w="634" w:type="pct"/>
            <w:vMerge w:val="continue"/>
            <w:tcBorders>
              <w:left w:val="single" w:color="auto" w:sz="4" w:space="0"/>
            </w:tcBorders>
            <w:noWrap w:val="0"/>
            <w:vAlign w:val="center"/>
          </w:tcPr>
          <w:p w14:paraId="570B56FC">
            <w:pPr>
              <w:spacing w:line="440" w:lineRule="exact"/>
              <w:jc w:val="center"/>
              <w:rPr>
                <w:rFonts w:hint="eastAsia" w:ascii="宋体" w:hAnsi="宋体"/>
                <w:bCs/>
                <w:color w:val="auto"/>
                <w:highlight w:val="none"/>
              </w:rPr>
            </w:pPr>
          </w:p>
        </w:tc>
      </w:tr>
      <w:tr w14:paraId="7C8AF2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10"/>
            <w:tcBorders>
              <w:top w:val="single" w:color="auto" w:sz="4" w:space="0"/>
              <w:left w:val="single" w:color="auto" w:sz="4" w:space="0"/>
              <w:bottom w:val="single" w:color="auto" w:sz="4" w:space="0"/>
            </w:tcBorders>
            <w:noWrap w:val="0"/>
            <w:vAlign w:val="center"/>
          </w:tcPr>
          <w:p w14:paraId="3BC1CD18">
            <w:pPr>
              <w:spacing w:line="440" w:lineRule="exact"/>
              <w:rPr>
                <w:rFonts w:hint="eastAsia" w:ascii="宋体" w:hAnsi="宋体"/>
                <w:color w:val="auto"/>
                <w:spacing w:val="-6"/>
                <w:highlight w:val="none"/>
              </w:rPr>
            </w:pPr>
            <w:r>
              <w:rPr>
                <w:rFonts w:hint="eastAsia" w:ascii="宋体" w:hAnsi="宋体"/>
                <w:color w:val="auto"/>
                <w:spacing w:val="-6"/>
                <w:highlight w:val="none"/>
              </w:rPr>
              <w:t>投标</w:t>
            </w:r>
            <w:r>
              <w:rPr>
                <w:rFonts w:ascii="宋体" w:hAnsi="宋体"/>
                <w:color w:val="auto"/>
                <w:spacing w:val="-6"/>
                <w:highlight w:val="none"/>
              </w:rPr>
              <w:t xml:space="preserve">报价（大写）： </w:t>
            </w:r>
            <w:r>
              <w:rPr>
                <w:rFonts w:ascii="宋体" w:hAnsi="宋体"/>
                <w:color w:val="auto"/>
                <w:spacing w:val="-6"/>
                <w:highlight w:val="none"/>
                <w:u w:val="single"/>
              </w:rPr>
              <w:t xml:space="preserve">               </w:t>
            </w:r>
            <w:r>
              <w:rPr>
                <w:rFonts w:hint="eastAsia" w:ascii="宋体" w:hAnsi="宋体"/>
                <w:color w:val="auto"/>
                <w:spacing w:val="-6"/>
                <w:highlight w:val="none"/>
                <w:u w:val="single"/>
              </w:rPr>
              <w:t xml:space="preserve">                          </w:t>
            </w:r>
            <w:r>
              <w:rPr>
                <w:rFonts w:ascii="宋体" w:hAnsi="宋体"/>
                <w:color w:val="auto"/>
                <w:spacing w:val="-6"/>
                <w:highlight w:val="none"/>
                <w:u w:val="single"/>
              </w:rPr>
              <w:t xml:space="preserve">  </w:t>
            </w:r>
            <w:r>
              <w:rPr>
                <w:rFonts w:hint="eastAsia" w:ascii="宋体" w:hAnsi="宋体"/>
                <w:color w:val="auto"/>
                <w:spacing w:val="-6"/>
                <w:highlight w:val="none"/>
              </w:rPr>
              <w:t xml:space="preserve"> </w:t>
            </w:r>
            <w:r>
              <w:rPr>
                <w:rFonts w:ascii="宋体" w:hAnsi="宋体"/>
                <w:color w:val="auto"/>
                <w:spacing w:val="-6"/>
                <w:highlight w:val="none"/>
              </w:rPr>
              <w:t>（¥</w:t>
            </w:r>
            <w:r>
              <w:rPr>
                <w:rFonts w:ascii="宋体" w:hAnsi="宋体"/>
                <w:color w:val="auto"/>
                <w:spacing w:val="-6"/>
                <w:highlight w:val="none"/>
                <w:u w:val="single"/>
              </w:rPr>
              <w:t xml:space="preserve">                     </w:t>
            </w:r>
            <w:r>
              <w:rPr>
                <w:rFonts w:ascii="宋体" w:hAnsi="宋体"/>
                <w:color w:val="auto"/>
                <w:spacing w:val="-6"/>
                <w:highlight w:val="none"/>
              </w:rPr>
              <w:t xml:space="preserve"> ）人民币</w:t>
            </w:r>
          </w:p>
        </w:tc>
      </w:tr>
      <w:tr w14:paraId="355AF9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10"/>
            <w:tcBorders>
              <w:top w:val="single" w:color="auto" w:sz="4" w:space="0"/>
              <w:left w:val="single" w:color="auto" w:sz="4" w:space="0"/>
              <w:bottom w:val="single" w:color="auto" w:sz="4" w:space="0"/>
            </w:tcBorders>
            <w:noWrap w:val="0"/>
            <w:vAlign w:val="center"/>
          </w:tcPr>
          <w:p w14:paraId="0C5B5F73">
            <w:pPr>
              <w:spacing w:line="440" w:lineRule="exact"/>
              <w:rPr>
                <w:rFonts w:hint="eastAsia" w:ascii="宋体" w:hAnsi="宋体"/>
                <w:color w:val="auto"/>
                <w:spacing w:val="-6"/>
                <w:highlight w:val="none"/>
              </w:rPr>
            </w:pPr>
            <w:r>
              <w:rPr>
                <w:rFonts w:hint="eastAsia" w:ascii="宋体" w:hAnsi="宋体"/>
                <w:color w:val="auto"/>
                <w:spacing w:val="-6"/>
                <w:highlight w:val="none"/>
              </w:rPr>
              <w:t>本项目投标有效期为投标截止时间之日起90天。</w:t>
            </w:r>
          </w:p>
        </w:tc>
      </w:tr>
      <w:tr w14:paraId="2C8226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10"/>
            <w:tcBorders>
              <w:top w:val="single" w:color="auto" w:sz="4" w:space="0"/>
              <w:left w:val="single" w:color="auto" w:sz="4" w:space="0"/>
              <w:bottom w:val="single" w:color="auto" w:sz="4" w:space="0"/>
            </w:tcBorders>
            <w:noWrap w:val="0"/>
            <w:vAlign w:val="center"/>
          </w:tcPr>
          <w:p w14:paraId="7DEF92A1">
            <w:pPr>
              <w:spacing w:line="300" w:lineRule="exact"/>
              <w:rPr>
                <w:rFonts w:hint="eastAsia" w:ascii="宋体" w:hAnsi="宋体"/>
                <w:color w:val="auto"/>
                <w:spacing w:val="-6"/>
                <w:szCs w:val="21"/>
                <w:highlight w:val="none"/>
              </w:rPr>
            </w:pPr>
            <w:r>
              <w:rPr>
                <w:rFonts w:hint="eastAsia" w:ascii="宋体" w:hAnsi="宋体"/>
                <w:color w:val="auto"/>
                <w:spacing w:val="-6"/>
                <w:szCs w:val="21"/>
                <w:highlight w:val="none"/>
              </w:rPr>
              <w:t>其中：</w:t>
            </w:r>
          </w:p>
          <w:p w14:paraId="31659B86">
            <w:pPr>
              <w:spacing w:line="300" w:lineRule="exact"/>
              <w:rPr>
                <w:rFonts w:hint="eastAsia" w:ascii="宋体" w:hAnsi="宋体"/>
                <w:color w:val="auto"/>
                <w:spacing w:val="-6"/>
                <w:szCs w:val="21"/>
                <w:highlight w:val="none"/>
              </w:rPr>
            </w:pPr>
            <w:r>
              <w:rPr>
                <w:rFonts w:hint="eastAsia" w:ascii="宋体" w:hAnsi="宋体"/>
                <w:color w:val="auto"/>
                <w:spacing w:val="-6"/>
                <w:szCs w:val="21"/>
                <w:highlight w:val="none"/>
              </w:rPr>
              <w:t>属于财政部</w:t>
            </w:r>
            <w:r>
              <w:rPr>
                <w:rFonts w:hint="eastAsia" w:hAnsi="宋体"/>
                <w:bCs/>
                <w:color w:val="auto"/>
                <w:highlight w:val="none"/>
              </w:rPr>
              <w:t>《节能产品政府采购品目清单》</w:t>
            </w:r>
            <w:r>
              <w:rPr>
                <w:rFonts w:hint="eastAsia" w:ascii="宋体" w:hAnsi="宋体"/>
                <w:color w:val="auto"/>
                <w:spacing w:val="-6"/>
                <w:szCs w:val="21"/>
                <w:highlight w:val="none"/>
              </w:rPr>
              <w:t>内产品的总金额为</w:t>
            </w:r>
            <w:r>
              <w:rPr>
                <w:rFonts w:ascii="宋体" w:hAnsi="宋体"/>
                <w:color w:val="auto"/>
                <w:spacing w:val="-6"/>
                <w:szCs w:val="21"/>
                <w:highlight w:val="none"/>
              </w:rPr>
              <w:t>人民币</w:t>
            </w:r>
            <w:r>
              <w:rPr>
                <w:rFonts w:hint="eastAsia" w:ascii="宋体" w:hAnsi="宋体"/>
                <w:color w:val="auto"/>
                <w:spacing w:val="-6"/>
                <w:szCs w:val="21"/>
                <w:highlight w:val="none"/>
              </w:rPr>
              <w:t xml:space="preserve">（大写）： </w:t>
            </w:r>
            <w:r>
              <w:rPr>
                <w:rFonts w:hint="eastAsia" w:ascii="宋体" w:hAnsi="宋体"/>
                <w:color w:val="auto"/>
                <w:spacing w:val="-6"/>
                <w:szCs w:val="21"/>
                <w:highlight w:val="none"/>
                <w:u w:val="single"/>
              </w:rPr>
              <w:t xml:space="preserve">         </w:t>
            </w:r>
            <w:r>
              <w:rPr>
                <w:rFonts w:hint="eastAsia" w:ascii="宋体" w:hAnsi="宋体"/>
                <w:color w:val="auto"/>
                <w:spacing w:val="-6"/>
                <w:szCs w:val="21"/>
                <w:highlight w:val="none"/>
              </w:rPr>
              <w:t>元</w:t>
            </w:r>
            <w:r>
              <w:rPr>
                <w:rFonts w:ascii="宋体" w:hAnsi="宋体"/>
                <w:color w:val="auto"/>
                <w:spacing w:val="-6"/>
                <w:szCs w:val="21"/>
                <w:highlight w:val="none"/>
              </w:rPr>
              <w:t>（¥</w:t>
            </w:r>
            <w:r>
              <w:rPr>
                <w:rFonts w:ascii="宋体" w:hAnsi="宋体"/>
                <w:color w:val="auto"/>
                <w:spacing w:val="-6"/>
                <w:szCs w:val="21"/>
                <w:highlight w:val="none"/>
                <w:u w:val="single"/>
              </w:rPr>
              <w:t xml:space="preserve">         </w:t>
            </w:r>
            <w:r>
              <w:rPr>
                <w:rFonts w:hint="eastAsia" w:ascii="宋体" w:hAnsi="宋体"/>
                <w:color w:val="auto"/>
                <w:spacing w:val="-6"/>
                <w:szCs w:val="21"/>
                <w:highlight w:val="none"/>
                <w:u w:val="single"/>
              </w:rPr>
              <w:t xml:space="preserve">  </w:t>
            </w:r>
            <w:r>
              <w:rPr>
                <w:rFonts w:hint="eastAsia" w:ascii="宋体" w:hAnsi="宋体"/>
                <w:color w:val="auto"/>
                <w:spacing w:val="-6"/>
                <w:szCs w:val="21"/>
                <w:highlight w:val="none"/>
              </w:rPr>
              <w:t xml:space="preserve"> </w:t>
            </w:r>
            <w:r>
              <w:rPr>
                <w:rFonts w:ascii="宋体" w:hAnsi="宋体"/>
                <w:color w:val="auto"/>
                <w:spacing w:val="-6"/>
                <w:szCs w:val="21"/>
                <w:highlight w:val="none"/>
              </w:rPr>
              <w:t>）</w:t>
            </w:r>
            <w:r>
              <w:rPr>
                <w:rFonts w:hint="eastAsia" w:ascii="宋体" w:hAnsi="宋体"/>
                <w:color w:val="auto"/>
                <w:spacing w:val="-6"/>
                <w:szCs w:val="21"/>
                <w:highlight w:val="none"/>
              </w:rPr>
              <w:t>；</w:t>
            </w:r>
          </w:p>
          <w:p w14:paraId="1FFF9C74">
            <w:pPr>
              <w:spacing w:line="300" w:lineRule="exact"/>
              <w:rPr>
                <w:rFonts w:hint="eastAsia" w:ascii="宋体" w:hAnsi="宋体"/>
                <w:color w:val="auto"/>
                <w:spacing w:val="-6"/>
                <w:szCs w:val="21"/>
                <w:highlight w:val="none"/>
              </w:rPr>
            </w:pPr>
            <w:r>
              <w:rPr>
                <w:rFonts w:hint="eastAsia" w:ascii="宋体" w:hAnsi="宋体"/>
                <w:color w:val="auto"/>
                <w:spacing w:val="-6"/>
                <w:szCs w:val="21"/>
                <w:highlight w:val="none"/>
              </w:rPr>
              <w:t>属于财政部</w:t>
            </w:r>
            <w:r>
              <w:rPr>
                <w:rFonts w:hint="eastAsia" w:hAnsi="宋体"/>
                <w:bCs/>
                <w:color w:val="auto"/>
                <w:highlight w:val="none"/>
              </w:rPr>
              <w:t>《环境标志产品政府采购品目清单》</w:t>
            </w:r>
            <w:r>
              <w:rPr>
                <w:rFonts w:hint="eastAsia" w:ascii="宋体" w:hAnsi="宋体"/>
                <w:color w:val="auto"/>
                <w:spacing w:val="-6"/>
                <w:szCs w:val="21"/>
                <w:highlight w:val="none"/>
              </w:rPr>
              <w:t>内产品的总金额为</w:t>
            </w:r>
            <w:r>
              <w:rPr>
                <w:rFonts w:ascii="宋体" w:hAnsi="宋体"/>
                <w:color w:val="auto"/>
                <w:spacing w:val="-6"/>
                <w:szCs w:val="21"/>
                <w:highlight w:val="none"/>
              </w:rPr>
              <w:t>人民币</w:t>
            </w:r>
            <w:r>
              <w:rPr>
                <w:rFonts w:hint="eastAsia" w:ascii="宋体" w:hAnsi="宋体"/>
                <w:color w:val="auto"/>
                <w:spacing w:val="-6"/>
                <w:szCs w:val="21"/>
                <w:highlight w:val="none"/>
              </w:rPr>
              <w:t>（大写）：</w:t>
            </w:r>
            <w:r>
              <w:rPr>
                <w:rFonts w:hint="eastAsia" w:ascii="宋体" w:hAnsi="宋体"/>
                <w:color w:val="auto"/>
                <w:spacing w:val="-6"/>
                <w:szCs w:val="21"/>
                <w:highlight w:val="none"/>
                <w:u w:val="single"/>
              </w:rPr>
              <w:t xml:space="preserve">        </w:t>
            </w:r>
            <w:r>
              <w:rPr>
                <w:rFonts w:hint="eastAsia" w:ascii="宋体" w:hAnsi="宋体"/>
                <w:color w:val="auto"/>
                <w:spacing w:val="-6"/>
                <w:szCs w:val="21"/>
                <w:highlight w:val="none"/>
              </w:rPr>
              <w:t>元</w:t>
            </w:r>
            <w:r>
              <w:rPr>
                <w:rFonts w:ascii="宋体" w:hAnsi="宋体"/>
                <w:color w:val="auto"/>
                <w:spacing w:val="-6"/>
                <w:szCs w:val="21"/>
                <w:highlight w:val="none"/>
              </w:rPr>
              <w:t>（¥</w:t>
            </w:r>
            <w:r>
              <w:rPr>
                <w:rFonts w:ascii="宋体" w:hAnsi="宋体"/>
                <w:color w:val="auto"/>
                <w:spacing w:val="-6"/>
                <w:szCs w:val="21"/>
                <w:highlight w:val="none"/>
                <w:u w:val="single"/>
              </w:rPr>
              <w:t xml:space="preserve">            </w:t>
            </w:r>
            <w:r>
              <w:rPr>
                <w:rFonts w:ascii="宋体" w:hAnsi="宋体"/>
                <w:color w:val="auto"/>
                <w:spacing w:val="-6"/>
                <w:szCs w:val="21"/>
                <w:highlight w:val="none"/>
              </w:rPr>
              <w:t>）</w:t>
            </w:r>
            <w:r>
              <w:rPr>
                <w:rFonts w:hint="eastAsia" w:ascii="宋体" w:hAnsi="宋体"/>
                <w:color w:val="auto"/>
                <w:spacing w:val="-6"/>
                <w:szCs w:val="21"/>
                <w:highlight w:val="none"/>
              </w:rPr>
              <w:t>。</w:t>
            </w:r>
          </w:p>
          <w:p w14:paraId="5209CE23">
            <w:pPr>
              <w:spacing w:line="300" w:lineRule="exact"/>
              <w:rPr>
                <w:rFonts w:hint="eastAsia" w:ascii="宋体" w:hAnsi="宋体"/>
                <w:color w:val="auto"/>
                <w:spacing w:val="-6"/>
                <w:szCs w:val="21"/>
                <w:highlight w:val="none"/>
              </w:rPr>
            </w:pPr>
            <w:r>
              <w:rPr>
                <w:rFonts w:hint="eastAsia" w:ascii="宋体" w:hAnsi="宋体"/>
                <w:b/>
                <w:color w:val="auto"/>
                <w:spacing w:val="-6"/>
                <w:szCs w:val="21"/>
                <w:highlight w:val="none"/>
              </w:rPr>
              <w:t>备注：若不属于财政部《节能产品政府采购品目清单》及《环境标志产品政府采购品目清单》内产品的，则该处填写“无”字样。</w:t>
            </w:r>
          </w:p>
        </w:tc>
      </w:tr>
      <w:tr w14:paraId="72E4F0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10"/>
            <w:tcBorders>
              <w:top w:val="single" w:color="auto" w:sz="4" w:space="0"/>
              <w:left w:val="single" w:color="auto" w:sz="4" w:space="0"/>
              <w:bottom w:val="single" w:color="auto" w:sz="4" w:space="0"/>
            </w:tcBorders>
            <w:noWrap w:val="0"/>
            <w:vAlign w:val="center"/>
          </w:tcPr>
          <w:p w14:paraId="35F94B91">
            <w:pPr>
              <w:spacing w:line="300" w:lineRule="exact"/>
              <w:rPr>
                <w:rFonts w:hint="eastAsia"/>
                <w:b/>
                <w:color w:val="auto"/>
                <w:highlight w:val="none"/>
              </w:rPr>
            </w:pPr>
            <w:r>
              <w:rPr>
                <w:rFonts w:hint="eastAsia"/>
                <w:b/>
                <w:color w:val="auto"/>
                <w:highlight w:val="none"/>
              </w:rPr>
              <w:t>说明：</w:t>
            </w:r>
          </w:p>
          <w:p w14:paraId="057F9BA8">
            <w:pPr>
              <w:spacing w:line="320" w:lineRule="exact"/>
              <w:rPr>
                <w:rFonts w:hint="eastAsia"/>
                <w:b/>
                <w:color w:val="auto"/>
                <w:highlight w:val="none"/>
              </w:rPr>
            </w:pPr>
            <w:r>
              <w:rPr>
                <w:rFonts w:hint="eastAsia" w:ascii="宋体" w:hAnsi="宋体"/>
                <w:color w:val="auto"/>
                <w:szCs w:val="21"/>
                <w:highlight w:val="none"/>
              </w:rPr>
              <w:t>投标报价：投标报价包括招标范围内货物货款、货物标准附件、备品备件、专用工具、包装、运输、装卸、保险、税金、货到就位以及安装、调试、培训、保修等一切费用。</w:t>
            </w:r>
          </w:p>
        </w:tc>
      </w:tr>
    </w:tbl>
    <w:p w14:paraId="7E23A3CB">
      <w:pPr>
        <w:pStyle w:val="27"/>
        <w:spacing w:line="340" w:lineRule="exact"/>
        <w:ind w:firstLine="420"/>
        <w:rPr>
          <w:rFonts w:hint="eastAsia" w:hAnsi="宋体"/>
          <w:color w:val="auto"/>
          <w:highlight w:val="none"/>
        </w:rPr>
      </w:pPr>
    </w:p>
    <w:p w14:paraId="58284DC1">
      <w:pPr>
        <w:pStyle w:val="27"/>
        <w:spacing w:line="340" w:lineRule="exact"/>
        <w:ind w:firstLine="420"/>
        <w:rPr>
          <w:rFonts w:hint="eastAsia" w:hAnsi="宋体"/>
          <w:color w:val="auto"/>
          <w:highlight w:val="none"/>
        </w:rPr>
      </w:pPr>
      <w:r>
        <w:rPr>
          <w:rFonts w:hint="eastAsia" w:hAnsi="宋体"/>
          <w:color w:val="auto"/>
          <w:highlight w:val="none"/>
        </w:rPr>
        <w:t>与本投标有关的正式通讯地址为：</w:t>
      </w:r>
    </w:p>
    <w:p w14:paraId="0D199866">
      <w:pPr>
        <w:pStyle w:val="27"/>
        <w:spacing w:line="340" w:lineRule="exact"/>
        <w:ind w:firstLine="420"/>
        <w:rPr>
          <w:rFonts w:hint="eastAsia"/>
          <w:color w:val="auto"/>
          <w:highlight w:val="none"/>
        </w:rPr>
      </w:pPr>
      <w:r>
        <w:rPr>
          <w:rFonts w:hint="eastAsia" w:hAnsi="宋体"/>
          <w:color w:val="auto"/>
          <w:highlight w:val="none"/>
        </w:rPr>
        <w:t>地址：</w:t>
      </w:r>
      <w:r>
        <w:rPr>
          <w:rFonts w:hint="eastAsia" w:hAnsi="宋体"/>
          <w:color w:val="auto"/>
          <w:highlight w:val="none"/>
          <w:u w:val="single"/>
        </w:rPr>
        <w:t xml:space="preserve">                                   </w:t>
      </w:r>
      <w:r>
        <w:rPr>
          <w:rFonts w:hint="eastAsia" w:hAnsi="宋体"/>
          <w:color w:val="auto"/>
          <w:highlight w:val="none"/>
        </w:rPr>
        <w:t xml:space="preserve"> 邮编：</w:t>
      </w:r>
      <w:r>
        <w:rPr>
          <w:rFonts w:hint="eastAsia" w:hAnsi="宋体"/>
          <w:color w:val="auto"/>
          <w:highlight w:val="none"/>
          <w:u w:val="single"/>
        </w:rPr>
        <w:t xml:space="preserve">          </w:t>
      </w:r>
      <w:r>
        <w:rPr>
          <w:rFonts w:hint="eastAsia" w:hAnsi="宋体"/>
          <w:color w:val="auto"/>
          <w:highlight w:val="none"/>
        </w:rPr>
        <w:t xml:space="preserve">  </w:t>
      </w:r>
      <w:r>
        <w:rPr>
          <w:rFonts w:hint="eastAsia"/>
          <w:color w:val="auto"/>
          <w:highlight w:val="none"/>
        </w:rPr>
        <w:t>邮箱：</w:t>
      </w:r>
      <w:r>
        <w:rPr>
          <w:rFonts w:hint="eastAsia"/>
          <w:color w:val="auto"/>
          <w:highlight w:val="none"/>
          <w:u w:val="single"/>
        </w:rPr>
        <w:t xml:space="preserve">             </w:t>
      </w:r>
      <w:r>
        <w:rPr>
          <w:rFonts w:hint="eastAsia"/>
          <w:color w:val="auto"/>
          <w:highlight w:val="none"/>
        </w:rPr>
        <w:t xml:space="preserve"> </w:t>
      </w:r>
    </w:p>
    <w:p w14:paraId="46C170CC">
      <w:pPr>
        <w:pStyle w:val="27"/>
        <w:spacing w:line="340" w:lineRule="exact"/>
        <w:ind w:firstLine="420"/>
        <w:rPr>
          <w:rFonts w:hint="eastAsia"/>
          <w:color w:val="auto"/>
          <w:highlight w:val="none"/>
          <w:u w:val="single"/>
        </w:rPr>
      </w:pPr>
      <w:r>
        <w:rPr>
          <w:rFonts w:hint="eastAsia"/>
          <w:color w:val="auto"/>
          <w:highlight w:val="none"/>
        </w:rPr>
        <w:t>办公电话：</w:t>
      </w:r>
      <w:r>
        <w:rPr>
          <w:rFonts w:hint="eastAsia"/>
          <w:color w:val="auto"/>
          <w:highlight w:val="none"/>
          <w:u w:val="single"/>
        </w:rPr>
        <w:t xml:space="preserve">                </w:t>
      </w:r>
      <w:r>
        <w:rPr>
          <w:rFonts w:hint="eastAsia"/>
          <w:color w:val="auto"/>
          <w:highlight w:val="none"/>
        </w:rPr>
        <w:t xml:space="preserve">   传真：</w:t>
      </w:r>
      <w:r>
        <w:rPr>
          <w:rFonts w:hint="eastAsia"/>
          <w:color w:val="auto"/>
          <w:highlight w:val="none"/>
          <w:u w:val="single"/>
        </w:rPr>
        <w:t xml:space="preserve">            </w:t>
      </w:r>
    </w:p>
    <w:p w14:paraId="14108565">
      <w:pPr>
        <w:pStyle w:val="27"/>
        <w:spacing w:line="340" w:lineRule="exact"/>
        <w:ind w:firstLine="420"/>
        <w:rPr>
          <w:rFonts w:hint="eastAsia" w:hAnsi="宋体"/>
          <w:color w:val="auto"/>
          <w:highlight w:val="none"/>
          <w:u w:val="single"/>
        </w:rPr>
      </w:pPr>
      <w:r>
        <w:rPr>
          <w:rFonts w:hint="eastAsia"/>
          <w:color w:val="auto"/>
          <w:highlight w:val="none"/>
        </w:rPr>
        <w:t>委托代理人联系电话：</w:t>
      </w:r>
      <w:r>
        <w:rPr>
          <w:rFonts w:hint="eastAsia"/>
          <w:color w:val="auto"/>
          <w:highlight w:val="none"/>
          <w:u w:val="single"/>
        </w:rPr>
        <w:t xml:space="preserve">                </w:t>
      </w:r>
    </w:p>
    <w:p w14:paraId="7D50105A">
      <w:pPr>
        <w:pStyle w:val="27"/>
        <w:spacing w:line="340" w:lineRule="exact"/>
        <w:ind w:firstLine="420"/>
        <w:rPr>
          <w:rFonts w:hint="eastAsia" w:hAnsi="宋体"/>
          <w:color w:val="auto"/>
          <w:highlight w:val="none"/>
        </w:rPr>
      </w:pPr>
      <w:r>
        <w:rPr>
          <w:rFonts w:hint="eastAsia" w:hAnsi="宋体"/>
          <w:color w:val="auto"/>
          <w:highlight w:val="none"/>
        </w:rPr>
        <w:t>开户名称：</w:t>
      </w:r>
      <w:r>
        <w:rPr>
          <w:rFonts w:hint="eastAsia" w:hAnsi="宋体"/>
          <w:color w:val="auto"/>
          <w:highlight w:val="none"/>
          <w:u w:val="single"/>
        </w:rPr>
        <w:t xml:space="preserve">                                        </w:t>
      </w:r>
    </w:p>
    <w:p w14:paraId="07489C1A">
      <w:pPr>
        <w:pStyle w:val="27"/>
        <w:spacing w:line="340" w:lineRule="exact"/>
        <w:ind w:firstLine="420"/>
        <w:rPr>
          <w:rFonts w:hint="eastAsia" w:hAnsi="宋体"/>
          <w:color w:val="auto"/>
          <w:highlight w:val="none"/>
        </w:rPr>
      </w:pPr>
      <w:r>
        <w:rPr>
          <w:rFonts w:hint="eastAsia" w:hAnsi="宋体"/>
          <w:color w:val="auto"/>
          <w:highlight w:val="none"/>
        </w:rPr>
        <w:t>开户银行：</w:t>
      </w:r>
      <w:r>
        <w:rPr>
          <w:rFonts w:hint="eastAsia" w:hAnsi="宋体"/>
          <w:color w:val="auto"/>
          <w:highlight w:val="none"/>
          <w:u w:val="single"/>
        </w:rPr>
        <w:t xml:space="preserve">                               　       </w:t>
      </w:r>
    </w:p>
    <w:p w14:paraId="324526B5">
      <w:pPr>
        <w:pStyle w:val="27"/>
        <w:spacing w:line="340" w:lineRule="exact"/>
        <w:ind w:firstLine="420"/>
        <w:rPr>
          <w:rFonts w:hint="eastAsia" w:hAnsi="宋体"/>
          <w:color w:val="auto"/>
          <w:highlight w:val="none"/>
        </w:rPr>
      </w:pPr>
      <w:r>
        <w:rPr>
          <w:rFonts w:hint="eastAsia" w:hAnsi="宋体"/>
          <w:color w:val="auto"/>
          <w:highlight w:val="none"/>
        </w:rPr>
        <w:t>账号：</w:t>
      </w:r>
      <w:r>
        <w:rPr>
          <w:rFonts w:hint="eastAsia" w:hAnsi="宋体"/>
          <w:color w:val="auto"/>
          <w:highlight w:val="none"/>
          <w:u w:val="single"/>
        </w:rPr>
        <w:t xml:space="preserve">                                   　　　   </w:t>
      </w:r>
    </w:p>
    <w:p w14:paraId="182A8D13">
      <w:pPr>
        <w:snapToGrid w:val="0"/>
        <w:spacing w:line="400" w:lineRule="exact"/>
        <w:ind w:firstLine="420"/>
        <w:jc w:val="left"/>
        <w:outlineLvl w:val="4"/>
        <w:rPr>
          <w:rFonts w:hint="eastAsia"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 xml:space="preserve"> </w:t>
      </w:r>
      <w:r>
        <w:rPr>
          <w:rFonts w:hint="eastAsia" w:ascii="宋体" w:hAnsi="宋体" w:cs="宋体"/>
          <w:color w:val="auto"/>
          <w:szCs w:val="21"/>
          <w:highlight w:val="none"/>
          <w:lang w:eastAsia="zh-CN"/>
        </w:rPr>
        <w:t>（</w:t>
      </w:r>
      <w:r>
        <w:rPr>
          <w:rFonts w:hint="eastAsia" w:ascii="宋体" w:hAnsi="宋体" w:cs="宋体"/>
          <w:color w:val="auto"/>
          <w:szCs w:val="21"/>
          <w:highlight w:val="none"/>
        </w:rPr>
        <w:t>电子签章</w:t>
      </w:r>
      <w:r>
        <w:rPr>
          <w:rFonts w:hint="eastAsia" w:ascii="宋体" w:hAnsi="宋体" w:cs="宋体"/>
          <w:color w:val="auto"/>
          <w:szCs w:val="21"/>
          <w:highlight w:val="none"/>
          <w:lang w:eastAsia="zh-CN"/>
        </w:rPr>
        <w:t>）</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337B4DC1">
      <w:pPr>
        <w:pStyle w:val="27"/>
        <w:spacing w:line="440" w:lineRule="exact"/>
        <w:ind w:firstLine="420"/>
        <w:jc w:val="left"/>
        <w:rPr>
          <w:rFonts w:hint="eastAsia" w:hAnsi="宋体"/>
          <w:color w:val="auto"/>
          <w:szCs w:val="21"/>
          <w:highlight w:val="none"/>
          <w:u w:val="single"/>
        </w:rPr>
      </w:pPr>
      <w:r>
        <w:rPr>
          <w:rFonts w:hint="eastAsia" w:hAnsi="宋体"/>
          <w:color w:val="auto"/>
          <w:szCs w:val="21"/>
          <w:highlight w:val="none"/>
        </w:rPr>
        <w:t>法定代表人</w:t>
      </w:r>
      <w:r>
        <w:rPr>
          <w:rFonts w:hint="eastAsia" w:hAnsi="宋体"/>
          <w:color w:val="auto"/>
          <w:highlight w:val="none"/>
        </w:rPr>
        <w:t>或相应的委托代理人</w:t>
      </w:r>
      <w:r>
        <w:rPr>
          <w:rFonts w:hint="eastAsia" w:hAnsi="宋体"/>
          <w:color w:val="auto"/>
          <w:szCs w:val="21"/>
          <w:highlight w:val="none"/>
        </w:rPr>
        <w:t>签字</w:t>
      </w:r>
      <w:r>
        <w:rPr>
          <w:rFonts w:hint="eastAsia" w:hAnsi="宋体" w:cs="宋体"/>
          <w:color w:val="auto"/>
          <w:szCs w:val="21"/>
          <w:highlight w:val="none"/>
        </w:rPr>
        <w:t>（或者电子签名）</w:t>
      </w:r>
      <w:r>
        <w:rPr>
          <w:rFonts w:hint="eastAsia" w:hAnsi="宋体"/>
          <w:color w:val="auto"/>
          <w:highlight w:val="none"/>
        </w:rPr>
        <w:t>：</w:t>
      </w:r>
      <w:r>
        <w:rPr>
          <w:rFonts w:hint="eastAsia" w:hAnsi="宋体"/>
          <w:color w:val="auto"/>
          <w:szCs w:val="21"/>
          <w:highlight w:val="none"/>
          <w:u w:val="single"/>
        </w:rPr>
        <w:t xml:space="preserve">                              </w:t>
      </w:r>
    </w:p>
    <w:p w14:paraId="2D6B24D3">
      <w:pPr>
        <w:spacing w:line="340" w:lineRule="exact"/>
        <w:ind w:firstLine="435"/>
        <w:jc w:val="left"/>
        <w:rPr>
          <w:rFonts w:hint="eastAsia" w:ascii="宋体" w:hAnsi="宋体"/>
          <w:color w:val="auto"/>
          <w:szCs w:val="21"/>
          <w:highlight w:val="none"/>
          <w:u w:val="single"/>
        </w:rPr>
      </w:pPr>
      <w:r>
        <w:rPr>
          <w:rFonts w:hint="eastAsia" w:hAnsi="宋体"/>
          <w:color w:val="auto"/>
          <w:highlight w:val="none"/>
        </w:rPr>
        <w:t>日     期：</w:t>
      </w:r>
      <w:r>
        <w:rPr>
          <w:rFonts w:hint="eastAsia" w:hAnsi="宋体"/>
          <w:color w:val="auto"/>
          <w:highlight w:val="none"/>
          <w:u w:val="single"/>
        </w:rPr>
        <w:t xml:space="preserve">                                                   </w:t>
      </w:r>
    </w:p>
    <w:p w14:paraId="0F59A91A">
      <w:pPr>
        <w:pStyle w:val="27"/>
        <w:spacing w:line="400" w:lineRule="exact"/>
        <w:rPr>
          <w:rFonts w:hint="eastAsia" w:hAnsi="宋体"/>
          <w:b/>
          <w:bCs/>
          <w:color w:val="auto"/>
          <w:szCs w:val="21"/>
          <w:highlight w:val="none"/>
        </w:rPr>
      </w:pPr>
    </w:p>
    <w:p w14:paraId="2F4CD93E">
      <w:pPr>
        <w:pStyle w:val="27"/>
        <w:spacing w:line="400" w:lineRule="exact"/>
        <w:rPr>
          <w:rFonts w:hint="eastAsia" w:hAnsi="宋体"/>
          <w:b/>
          <w:bCs/>
          <w:color w:val="auto"/>
          <w:szCs w:val="21"/>
          <w:highlight w:val="none"/>
        </w:rPr>
      </w:pPr>
    </w:p>
    <w:p w14:paraId="257A67AB">
      <w:pPr>
        <w:pStyle w:val="27"/>
        <w:spacing w:line="400" w:lineRule="exact"/>
        <w:rPr>
          <w:rFonts w:hint="eastAsia" w:hAnsi="宋体"/>
          <w:b/>
          <w:bCs/>
          <w:color w:val="auto"/>
          <w:szCs w:val="21"/>
          <w:highlight w:val="none"/>
        </w:rPr>
      </w:pPr>
      <w:r>
        <w:rPr>
          <w:rFonts w:hint="eastAsia" w:hAnsi="宋体"/>
          <w:b/>
          <w:bCs/>
          <w:color w:val="auto"/>
          <w:szCs w:val="21"/>
          <w:highlight w:val="none"/>
        </w:rPr>
        <w:t>注：</w:t>
      </w:r>
    </w:p>
    <w:p w14:paraId="03ECE4FA">
      <w:pPr>
        <w:pStyle w:val="27"/>
        <w:spacing w:line="400" w:lineRule="exact"/>
        <w:ind w:firstLine="316" w:firstLineChars="150"/>
        <w:rPr>
          <w:rFonts w:hint="eastAsia"/>
          <w:b/>
          <w:color w:val="auto"/>
          <w:szCs w:val="21"/>
          <w:highlight w:val="none"/>
        </w:rPr>
      </w:pPr>
      <w:r>
        <w:rPr>
          <w:rFonts w:hint="eastAsia" w:hAnsi="宋体"/>
          <w:b/>
          <w:bCs/>
          <w:color w:val="auto"/>
          <w:szCs w:val="21"/>
          <w:highlight w:val="none"/>
        </w:rPr>
        <w:t>1.投标人必须按</w:t>
      </w:r>
      <w:r>
        <w:rPr>
          <w:rFonts w:hint="eastAsia"/>
          <w:b/>
          <w:bCs/>
          <w:color w:val="auto"/>
          <w:szCs w:val="21"/>
          <w:highlight w:val="none"/>
        </w:rPr>
        <w:t>本投标报价表（格式）</w:t>
      </w:r>
      <w:r>
        <w:rPr>
          <w:rFonts w:hint="eastAsia" w:hAnsi="宋体"/>
          <w:b/>
          <w:bCs/>
          <w:color w:val="auto"/>
          <w:szCs w:val="21"/>
          <w:highlight w:val="none"/>
        </w:rPr>
        <w:t>要求注明清楚联系方式（包括地址、邮编、邮箱、电话等），从而确保中标结果等相关信息能及时通知到位。</w:t>
      </w:r>
    </w:p>
    <w:p w14:paraId="48622F7A">
      <w:pPr>
        <w:pStyle w:val="27"/>
        <w:spacing w:line="400" w:lineRule="exact"/>
        <w:ind w:firstLine="315" w:firstLineChars="150"/>
        <w:rPr>
          <w:rFonts w:hint="eastAsia" w:hAnsi="宋体"/>
          <w:b/>
          <w:color w:val="auto"/>
          <w:sz w:val="32"/>
          <w:szCs w:val="32"/>
          <w:highlight w:val="none"/>
        </w:rPr>
      </w:pPr>
      <w:r>
        <w:rPr>
          <w:rFonts w:hint="eastAsia" w:hAnsi="宋体"/>
          <w:bCs/>
          <w:color w:val="auto"/>
          <w:szCs w:val="21"/>
          <w:highlight w:val="none"/>
        </w:rPr>
        <w:t>2.如全部或部分产品属于</w:t>
      </w:r>
      <w:r>
        <w:rPr>
          <w:rFonts w:hint="eastAsia" w:hAnsi="宋体"/>
          <w:bCs/>
          <w:color w:val="auto"/>
          <w:highlight w:val="none"/>
        </w:rPr>
        <w:t>财政部《节能产品政府采购品目清单》或《环境标志产品政府采购品目清单》内产品的</w:t>
      </w:r>
      <w:r>
        <w:rPr>
          <w:rFonts w:hint="eastAsia" w:hAnsi="宋体"/>
          <w:bCs/>
          <w:color w:val="auto"/>
          <w:szCs w:val="21"/>
          <w:highlight w:val="none"/>
        </w:rPr>
        <w:t>，</w:t>
      </w:r>
      <w:r>
        <w:rPr>
          <w:rFonts w:hint="eastAsia" w:ascii="宋体" w:hAnsi="宋体"/>
          <w:color w:val="auto"/>
          <w:highlight w:val="none"/>
        </w:rPr>
        <w:t>投标文件中提供有效的认证证书复印件，并加盖投标人</w:t>
      </w:r>
      <w:r>
        <w:rPr>
          <w:rFonts w:hint="eastAsia" w:hAnsi="宋体"/>
          <w:color w:val="auto"/>
          <w:highlight w:val="none"/>
        </w:rPr>
        <w:t>电子签章</w:t>
      </w:r>
      <w:r>
        <w:rPr>
          <w:rFonts w:hint="eastAsia" w:hAnsi="宋体"/>
          <w:bCs/>
          <w:color w:val="auto"/>
          <w:szCs w:val="21"/>
          <w:highlight w:val="none"/>
        </w:rPr>
        <w:t>，以便评标委员会作为评审或优先采购的依据。</w:t>
      </w:r>
    </w:p>
    <w:p w14:paraId="5F7A2B17">
      <w:pPr>
        <w:pStyle w:val="27"/>
        <w:spacing w:line="400" w:lineRule="exact"/>
        <w:rPr>
          <w:rFonts w:hint="eastAsia" w:hAnsi="宋体"/>
          <w:b/>
          <w:color w:val="auto"/>
          <w:sz w:val="32"/>
          <w:szCs w:val="32"/>
          <w:highlight w:val="none"/>
        </w:rPr>
      </w:pPr>
    </w:p>
    <w:p w14:paraId="43321B52">
      <w:pPr>
        <w:spacing w:line="400" w:lineRule="exact"/>
        <w:rPr>
          <w:rFonts w:hint="eastAsia"/>
          <w:b/>
          <w:color w:val="auto"/>
          <w:sz w:val="32"/>
          <w:szCs w:val="32"/>
          <w:highlight w:val="none"/>
        </w:rPr>
      </w:pPr>
    </w:p>
    <w:p w14:paraId="208E0C2D">
      <w:pPr>
        <w:spacing w:line="400" w:lineRule="exact"/>
        <w:rPr>
          <w:rFonts w:hint="eastAsia"/>
          <w:b/>
          <w:color w:val="auto"/>
          <w:sz w:val="32"/>
          <w:szCs w:val="32"/>
          <w:highlight w:val="none"/>
        </w:rPr>
      </w:pPr>
    </w:p>
    <w:p w14:paraId="50F9B837">
      <w:pPr>
        <w:spacing w:line="400" w:lineRule="exact"/>
        <w:rPr>
          <w:rFonts w:hint="eastAsia"/>
          <w:b/>
          <w:color w:val="auto"/>
          <w:sz w:val="32"/>
          <w:szCs w:val="32"/>
          <w:highlight w:val="none"/>
        </w:rPr>
      </w:pPr>
    </w:p>
    <w:p w14:paraId="011B4CC8">
      <w:pPr>
        <w:spacing w:line="400" w:lineRule="exact"/>
        <w:rPr>
          <w:rFonts w:hint="eastAsia"/>
          <w:b/>
          <w:color w:val="auto"/>
          <w:sz w:val="32"/>
          <w:szCs w:val="32"/>
          <w:highlight w:val="none"/>
        </w:rPr>
      </w:pPr>
    </w:p>
    <w:p w14:paraId="675B378E">
      <w:pPr>
        <w:spacing w:line="400" w:lineRule="exact"/>
        <w:rPr>
          <w:rFonts w:hint="eastAsia"/>
          <w:b/>
          <w:color w:val="auto"/>
          <w:sz w:val="32"/>
          <w:szCs w:val="32"/>
          <w:highlight w:val="none"/>
        </w:rPr>
      </w:pPr>
    </w:p>
    <w:p w14:paraId="4A2884FF">
      <w:pPr>
        <w:spacing w:line="400" w:lineRule="exact"/>
        <w:rPr>
          <w:rFonts w:hint="eastAsia"/>
          <w:b/>
          <w:color w:val="auto"/>
          <w:sz w:val="32"/>
          <w:szCs w:val="32"/>
          <w:highlight w:val="none"/>
        </w:rPr>
      </w:pPr>
    </w:p>
    <w:p w14:paraId="546A178D">
      <w:pPr>
        <w:spacing w:line="400" w:lineRule="exact"/>
        <w:rPr>
          <w:rFonts w:hint="eastAsia"/>
          <w:b/>
          <w:color w:val="auto"/>
          <w:sz w:val="32"/>
          <w:szCs w:val="32"/>
          <w:highlight w:val="none"/>
        </w:rPr>
      </w:pPr>
    </w:p>
    <w:p w14:paraId="4613508F">
      <w:pPr>
        <w:spacing w:line="400" w:lineRule="exact"/>
        <w:rPr>
          <w:rFonts w:hint="eastAsia"/>
          <w:b/>
          <w:color w:val="auto"/>
          <w:sz w:val="32"/>
          <w:szCs w:val="32"/>
          <w:highlight w:val="none"/>
        </w:rPr>
      </w:pPr>
    </w:p>
    <w:p w14:paraId="3D1FDF76">
      <w:pPr>
        <w:spacing w:line="400" w:lineRule="exact"/>
        <w:rPr>
          <w:rFonts w:hint="eastAsia"/>
          <w:b/>
          <w:color w:val="auto"/>
          <w:sz w:val="32"/>
          <w:szCs w:val="32"/>
          <w:highlight w:val="none"/>
        </w:rPr>
      </w:pPr>
    </w:p>
    <w:p w14:paraId="14DCFCBD">
      <w:pPr>
        <w:tabs>
          <w:tab w:val="left" w:pos="1305"/>
        </w:tabs>
        <w:spacing w:line="340" w:lineRule="exact"/>
        <w:jc w:val="left"/>
        <w:rPr>
          <w:rFonts w:hint="eastAsia" w:hAnsi="宋体"/>
          <w:b/>
          <w:color w:val="auto"/>
          <w:sz w:val="32"/>
          <w:szCs w:val="32"/>
          <w:highlight w:val="none"/>
        </w:rPr>
      </w:pPr>
    </w:p>
    <w:p w14:paraId="5B0DDF56">
      <w:pPr>
        <w:tabs>
          <w:tab w:val="left" w:pos="1305"/>
        </w:tabs>
        <w:spacing w:line="340" w:lineRule="exact"/>
        <w:jc w:val="left"/>
        <w:rPr>
          <w:rFonts w:hint="eastAsia" w:hAnsi="宋体"/>
          <w:b/>
          <w:color w:val="auto"/>
          <w:sz w:val="32"/>
          <w:szCs w:val="32"/>
          <w:highlight w:val="none"/>
        </w:rPr>
      </w:pPr>
    </w:p>
    <w:p w14:paraId="6C32CE5D">
      <w:pPr>
        <w:tabs>
          <w:tab w:val="left" w:pos="1305"/>
        </w:tabs>
        <w:spacing w:line="340" w:lineRule="exact"/>
        <w:jc w:val="left"/>
        <w:rPr>
          <w:rFonts w:hint="eastAsia" w:hAnsi="宋体"/>
          <w:b/>
          <w:color w:val="auto"/>
          <w:sz w:val="32"/>
          <w:szCs w:val="32"/>
          <w:highlight w:val="none"/>
        </w:rPr>
      </w:pPr>
    </w:p>
    <w:p w14:paraId="3AC7B770">
      <w:pPr>
        <w:tabs>
          <w:tab w:val="left" w:pos="1305"/>
        </w:tabs>
        <w:spacing w:line="340" w:lineRule="exact"/>
        <w:jc w:val="left"/>
        <w:rPr>
          <w:rFonts w:hint="eastAsia" w:hAnsi="宋体"/>
          <w:b/>
          <w:color w:val="auto"/>
          <w:sz w:val="32"/>
          <w:szCs w:val="32"/>
          <w:highlight w:val="none"/>
        </w:rPr>
      </w:pPr>
    </w:p>
    <w:p w14:paraId="604AF3A6">
      <w:pPr>
        <w:tabs>
          <w:tab w:val="left" w:pos="1305"/>
        </w:tabs>
        <w:spacing w:line="340" w:lineRule="exact"/>
        <w:jc w:val="left"/>
        <w:rPr>
          <w:rFonts w:hint="eastAsia" w:hAnsi="宋体"/>
          <w:b/>
          <w:color w:val="auto"/>
          <w:sz w:val="32"/>
          <w:szCs w:val="32"/>
          <w:highlight w:val="none"/>
        </w:rPr>
      </w:pPr>
    </w:p>
    <w:p w14:paraId="63A8B54C">
      <w:pPr>
        <w:tabs>
          <w:tab w:val="left" w:pos="1305"/>
        </w:tabs>
        <w:spacing w:line="340" w:lineRule="exact"/>
        <w:jc w:val="left"/>
        <w:rPr>
          <w:rFonts w:hint="eastAsia" w:hAnsi="宋体"/>
          <w:b/>
          <w:color w:val="auto"/>
          <w:sz w:val="32"/>
          <w:szCs w:val="32"/>
          <w:highlight w:val="none"/>
        </w:rPr>
      </w:pPr>
    </w:p>
    <w:p w14:paraId="3984F8C7">
      <w:pPr>
        <w:tabs>
          <w:tab w:val="left" w:pos="1305"/>
        </w:tabs>
        <w:spacing w:line="340" w:lineRule="exact"/>
        <w:jc w:val="left"/>
        <w:rPr>
          <w:rFonts w:hint="eastAsia" w:hAnsi="宋体"/>
          <w:b/>
          <w:color w:val="auto"/>
          <w:sz w:val="32"/>
          <w:szCs w:val="32"/>
          <w:highlight w:val="none"/>
        </w:rPr>
      </w:pPr>
    </w:p>
    <w:p w14:paraId="31F57246">
      <w:pPr>
        <w:tabs>
          <w:tab w:val="left" w:pos="1305"/>
        </w:tabs>
        <w:spacing w:line="340" w:lineRule="exact"/>
        <w:jc w:val="left"/>
        <w:rPr>
          <w:rFonts w:hint="eastAsia" w:hAnsi="宋体"/>
          <w:b/>
          <w:color w:val="auto"/>
          <w:sz w:val="32"/>
          <w:szCs w:val="32"/>
          <w:highlight w:val="none"/>
        </w:rPr>
      </w:pPr>
    </w:p>
    <w:p w14:paraId="2A996C87">
      <w:pPr>
        <w:tabs>
          <w:tab w:val="left" w:pos="1305"/>
        </w:tabs>
        <w:spacing w:line="340" w:lineRule="exact"/>
        <w:jc w:val="left"/>
        <w:rPr>
          <w:rFonts w:hint="eastAsia" w:hAnsi="宋体"/>
          <w:b/>
          <w:color w:val="auto"/>
          <w:sz w:val="32"/>
          <w:szCs w:val="32"/>
          <w:highlight w:val="none"/>
        </w:rPr>
      </w:pPr>
    </w:p>
    <w:p w14:paraId="4C2ECDD7">
      <w:pPr>
        <w:tabs>
          <w:tab w:val="left" w:pos="1305"/>
        </w:tabs>
        <w:spacing w:line="340" w:lineRule="exact"/>
        <w:jc w:val="left"/>
        <w:rPr>
          <w:rFonts w:hint="eastAsia" w:hAnsi="宋体"/>
          <w:b/>
          <w:color w:val="auto"/>
          <w:sz w:val="32"/>
          <w:szCs w:val="32"/>
          <w:highlight w:val="none"/>
        </w:rPr>
      </w:pPr>
    </w:p>
    <w:p w14:paraId="748D7ECD">
      <w:pPr>
        <w:tabs>
          <w:tab w:val="left" w:pos="1305"/>
        </w:tabs>
        <w:spacing w:line="340" w:lineRule="exact"/>
        <w:jc w:val="left"/>
        <w:rPr>
          <w:rFonts w:hint="eastAsia" w:hAnsi="宋体"/>
          <w:b/>
          <w:color w:val="auto"/>
          <w:sz w:val="32"/>
          <w:szCs w:val="32"/>
          <w:highlight w:val="none"/>
        </w:rPr>
      </w:pPr>
    </w:p>
    <w:p w14:paraId="19D13932">
      <w:pPr>
        <w:tabs>
          <w:tab w:val="left" w:pos="1305"/>
        </w:tabs>
        <w:spacing w:line="340" w:lineRule="exact"/>
        <w:jc w:val="left"/>
        <w:rPr>
          <w:rFonts w:hint="eastAsia" w:hAnsi="宋体"/>
          <w:b/>
          <w:color w:val="auto"/>
          <w:sz w:val="32"/>
          <w:szCs w:val="32"/>
          <w:highlight w:val="none"/>
        </w:rPr>
      </w:pPr>
    </w:p>
    <w:p w14:paraId="287150B1">
      <w:pPr>
        <w:tabs>
          <w:tab w:val="left" w:pos="1305"/>
        </w:tabs>
        <w:spacing w:line="340" w:lineRule="exact"/>
        <w:jc w:val="left"/>
        <w:rPr>
          <w:rFonts w:hint="eastAsia" w:hAnsi="宋体"/>
          <w:b/>
          <w:color w:val="auto"/>
          <w:sz w:val="32"/>
          <w:szCs w:val="32"/>
          <w:highlight w:val="none"/>
        </w:rPr>
      </w:pPr>
    </w:p>
    <w:p w14:paraId="6A3B682A">
      <w:pPr>
        <w:tabs>
          <w:tab w:val="left" w:pos="1305"/>
        </w:tabs>
        <w:spacing w:line="340" w:lineRule="exact"/>
        <w:jc w:val="left"/>
        <w:rPr>
          <w:rFonts w:hint="eastAsia" w:hAnsi="宋体"/>
          <w:b/>
          <w:color w:val="auto"/>
          <w:sz w:val="32"/>
          <w:szCs w:val="32"/>
          <w:highlight w:val="none"/>
        </w:rPr>
      </w:pPr>
    </w:p>
    <w:p w14:paraId="01B5AE18">
      <w:pPr>
        <w:tabs>
          <w:tab w:val="left" w:pos="1305"/>
        </w:tabs>
        <w:spacing w:line="340" w:lineRule="exact"/>
        <w:jc w:val="left"/>
        <w:rPr>
          <w:rFonts w:hint="eastAsia" w:hAnsi="宋体"/>
          <w:b/>
          <w:color w:val="auto"/>
          <w:sz w:val="32"/>
          <w:szCs w:val="32"/>
          <w:highlight w:val="none"/>
        </w:rPr>
      </w:pPr>
    </w:p>
    <w:p w14:paraId="686B36C2">
      <w:pPr>
        <w:tabs>
          <w:tab w:val="left" w:pos="1305"/>
        </w:tabs>
        <w:spacing w:line="340" w:lineRule="exact"/>
        <w:jc w:val="left"/>
        <w:rPr>
          <w:rFonts w:hint="eastAsia" w:hAnsi="宋体"/>
          <w:b/>
          <w:color w:val="auto"/>
          <w:sz w:val="32"/>
          <w:szCs w:val="32"/>
          <w:highlight w:val="none"/>
        </w:rPr>
      </w:pPr>
    </w:p>
    <w:p w14:paraId="51543098">
      <w:pPr>
        <w:tabs>
          <w:tab w:val="left" w:pos="1305"/>
        </w:tabs>
        <w:spacing w:line="340" w:lineRule="exact"/>
        <w:jc w:val="left"/>
        <w:rPr>
          <w:rFonts w:hint="eastAsia" w:hAnsi="宋体"/>
          <w:b/>
          <w:color w:val="auto"/>
          <w:sz w:val="32"/>
          <w:szCs w:val="32"/>
          <w:highlight w:val="none"/>
        </w:rPr>
      </w:pPr>
    </w:p>
    <w:p w14:paraId="1E491102">
      <w:pPr>
        <w:tabs>
          <w:tab w:val="left" w:pos="1305"/>
        </w:tabs>
        <w:spacing w:line="340" w:lineRule="exact"/>
        <w:jc w:val="left"/>
        <w:rPr>
          <w:rFonts w:hint="eastAsia" w:hAnsi="宋体"/>
          <w:b/>
          <w:color w:val="auto"/>
          <w:sz w:val="32"/>
          <w:szCs w:val="32"/>
          <w:highlight w:val="none"/>
        </w:rPr>
      </w:pPr>
    </w:p>
    <w:p w14:paraId="552F572F">
      <w:pPr>
        <w:tabs>
          <w:tab w:val="left" w:pos="1305"/>
        </w:tabs>
        <w:spacing w:line="340" w:lineRule="exact"/>
        <w:jc w:val="left"/>
        <w:rPr>
          <w:rFonts w:hint="eastAsia" w:hAnsi="宋体"/>
          <w:b/>
          <w:color w:val="auto"/>
          <w:sz w:val="32"/>
          <w:szCs w:val="32"/>
          <w:highlight w:val="none"/>
        </w:rPr>
      </w:pPr>
    </w:p>
    <w:p w14:paraId="57F959DD">
      <w:pPr>
        <w:tabs>
          <w:tab w:val="left" w:pos="1305"/>
        </w:tabs>
        <w:spacing w:line="340" w:lineRule="exact"/>
        <w:jc w:val="left"/>
        <w:rPr>
          <w:rFonts w:hint="eastAsia" w:hAnsi="宋体"/>
          <w:b/>
          <w:color w:val="auto"/>
          <w:sz w:val="32"/>
          <w:szCs w:val="32"/>
          <w:highlight w:val="none"/>
        </w:rPr>
      </w:pPr>
    </w:p>
    <w:p w14:paraId="28AC0B1E">
      <w:pPr>
        <w:tabs>
          <w:tab w:val="left" w:pos="1305"/>
        </w:tabs>
        <w:spacing w:line="340" w:lineRule="exact"/>
        <w:jc w:val="left"/>
        <w:rPr>
          <w:rFonts w:hint="eastAsia" w:hAnsi="宋体"/>
          <w:b/>
          <w:color w:val="auto"/>
          <w:sz w:val="32"/>
          <w:szCs w:val="32"/>
          <w:highlight w:val="none"/>
        </w:rPr>
      </w:pPr>
    </w:p>
    <w:p w14:paraId="7AE143DC">
      <w:pPr>
        <w:tabs>
          <w:tab w:val="left" w:pos="1305"/>
        </w:tabs>
        <w:spacing w:line="340" w:lineRule="exact"/>
        <w:jc w:val="left"/>
        <w:rPr>
          <w:rFonts w:hint="eastAsia" w:hAnsi="宋体"/>
          <w:b/>
          <w:color w:val="auto"/>
          <w:sz w:val="32"/>
          <w:szCs w:val="32"/>
          <w:highlight w:val="none"/>
        </w:rPr>
      </w:pPr>
    </w:p>
    <w:p w14:paraId="0C13F446">
      <w:pPr>
        <w:tabs>
          <w:tab w:val="left" w:pos="1305"/>
        </w:tabs>
        <w:spacing w:line="340" w:lineRule="exact"/>
        <w:jc w:val="left"/>
        <w:rPr>
          <w:rFonts w:hint="eastAsia" w:hAnsi="宋体"/>
          <w:b/>
          <w:color w:val="auto"/>
          <w:sz w:val="32"/>
          <w:szCs w:val="32"/>
          <w:highlight w:val="none"/>
        </w:rPr>
      </w:pPr>
    </w:p>
    <w:p w14:paraId="7716071A">
      <w:pPr>
        <w:tabs>
          <w:tab w:val="left" w:pos="1305"/>
        </w:tabs>
        <w:spacing w:line="340" w:lineRule="exact"/>
        <w:jc w:val="left"/>
        <w:rPr>
          <w:rFonts w:hint="eastAsia" w:hAnsi="宋体"/>
          <w:b/>
          <w:color w:val="auto"/>
          <w:sz w:val="32"/>
          <w:szCs w:val="32"/>
          <w:highlight w:val="none"/>
        </w:rPr>
      </w:pPr>
      <w:r>
        <w:rPr>
          <w:rFonts w:hint="eastAsia" w:hAnsi="宋体"/>
          <w:b/>
          <w:color w:val="auto"/>
          <w:sz w:val="32"/>
          <w:szCs w:val="32"/>
          <w:highlight w:val="none"/>
        </w:rPr>
        <w:t>3.技术偏离表（必须提供）</w:t>
      </w:r>
    </w:p>
    <w:p w14:paraId="059A4B89">
      <w:pPr>
        <w:spacing w:line="400" w:lineRule="exact"/>
        <w:rPr>
          <w:rFonts w:hint="eastAsia"/>
          <w:b/>
          <w:color w:val="auto"/>
          <w:sz w:val="30"/>
          <w:szCs w:val="30"/>
          <w:highlight w:val="none"/>
        </w:rPr>
      </w:pPr>
      <w:r>
        <w:rPr>
          <w:rFonts w:hint="eastAsia"/>
          <w:b/>
          <w:color w:val="auto"/>
          <w:sz w:val="30"/>
          <w:szCs w:val="30"/>
          <w:highlight w:val="none"/>
        </w:rPr>
        <w:t>附件：</w:t>
      </w:r>
    </w:p>
    <w:p w14:paraId="1CA3DE5B">
      <w:pPr>
        <w:pStyle w:val="27"/>
        <w:jc w:val="center"/>
        <w:rPr>
          <w:rFonts w:hAnsi="宋体"/>
          <w:b/>
          <w:bCs/>
          <w:color w:val="auto"/>
          <w:sz w:val="32"/>
          <w:highlight w:val="none"/>
        </w:rPr>
      </w:pPr>
      <w:r>
        <w:rPr>
          <w:rFonts w:hint="eastAsia" w:hAnsi="宋体"/>
          <w:b/>
          <w:color w:val="auto"/>
          <w:sz w:val="32"/>
          <w:szCs w:val="32"/>
          <w:highlight w:val="none"/>
        </w:rPr>
        <w:t>技术偏离表</w:t>
      </w:r>
      <w:r>
        <w:rPr>
          <w:rFonts w:hint="eastAsia" w:hAnsi="宋体"/>
          <w:b/>
          <w:bCs/>
          <w:color w:val="auto"/>
          <w:sz w:val="32"/>
          <w:highlight w:val="none"/>
        </w:rPr>
        <w:t>（格式）</w:t>
      </w:r>
    </w:p>
    <w:tbl>
      <w:tblPr>
        <w:tblStyle w:val="51"/>
        <w:tblW w:w="9538"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268"/>
        <w:gridCol w:w="3241"/>
        <w:gridCol w:w="3101"/>
        <w:gridCol w:w="1186"/>
      </w:tblGrid>
      <w:tr w14:paraId="69574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742" w:type="dxa"/>
            <w:noWrap w:val="0"/>
            <w:vAlign w:val="center"/>
          </w:tcPr>
          <w:p w14:paraId="7A7EC2CF">
            <w:pPr>
              <w:pStyle w:val="27"/>
              <w:spacing w:line="400" w:lineRule="exact"/>
              <w:jc w:val="center"/>
              <w:rPr>
                <w:rFonts w:hint="eastAsia" w:hAnsi="宋体"/>
                <w:color w:val="auto"/>
                <w:highlight w:val="none"/>
              </w:rPr>
            </w:pPr>
            <w:r>
              <w:rPr>
                <w:rFonts w:hint="eastAsia" w:hAnsi="宋体"/>
                <w:color w:val="auto"/>
                <w:highlight w:val="none"/>
              </w:rPr>
              <w:t>项号</w:t>
            </w:r>
          </w:p>
        </w:tc>
        <w:tc>
          <w:tcPr>
            <w:tcW w:w="1268" w:type="dxa"/>
            <w:noWrap w:val="0"/>
            <w:vAlign w:val="center"/>
          </w:tcPr>
          <w:p w14:paraId="19F5DFBB">
            <w:pPr>
              <w:pStyle w:val="27"/>
              <w:spacing w:line="400" w:lineRule="exact"/>
              <w:jc w:val="center"/>
              <w:rPr>
                <w:rFonts w:hint="eastAsia" w:hAnsi="宋体"/>
                <w:color w:val="auto"/>
                <w:highlight w:val="none"/>
              </w:rPr>
            </w:pPr>
            <w:r>
              <w:rPr>
                <w:rFonts w:hint="eastAsia" w:hAnsi="宋体"/>
                <w:color w:val="auto"/>
                <w:highlight w:val="none"/>
              </w:rPr>
              <w:t>标的名称</w:t>
            </w:r>
          </w:p>
        </w:tc>
        <w:tc>
          <w:tcPr>
            <w:tcW w:w="3241" w:type="dxa"/>
            <w:noWrap w:val="0"/>
            <w:vAlign w:val="center"/>
          </w:tcPr>
          <w:p w14:paraId="04A844BD">
            <w:pPr>
              <w:pStyle w:val="27"/>
              <w:spacing w:line="400" w:lineRule="exact"/>
              <w:jc w:val="center"/>
              <w:rPr>
                <w:rFonts w:hint="eastAsia" w:hAnsi="宋体"/>
                <w:color w:val="auto"/>
                <w:highlight w:val="none"/>
              </w:rPr>
            </w:pPr>
            <w:r>
              <w:rPr>
                <w:rFonts w:hint="eastAsia" w:hAnsi="宋体"/>
                <w:color w:val="auto"/>
                <w:highlight w:val="none"/>
              </w:rPr>
              <w:t>招标文件的“技术要求”</w:t>
            </w:r>
          </w:p>
        </w:tc>
        <w:tc>
          <w:tcPr>
            <w:tcW w:w="3101" w:type="dxa"/>
            <w:noWrap w:val="0"/>
            <w:vAlign w:val="center"/>
          </w:tcPr>
          <w:p w14:paraId="4F570F1B">
            <w:pPr>
              <w:pStyle w:val="27"/>
              <w:spacing w:line="400" w:lineRule="exact"/>
              <w:jc w:val="center"/>
              <w:rPr>
                <w:rFonts w:hint="eastAsia" w:hAnsi="宋体"/>
                <w:color w:val="auto"/>
                <w:highlight w:val="none"/>
              </w:rPr>
            </w:pPr>
            <w:r>
              <w:rPr>
                <w:rFonts w:hint="eastAsia" w:hAnsi="宋体"/>
                <w:color w:val="auto"/>
                <w:highlight w:val="none"/>
              </w:rPr>
              <w:t>对应招标文件的“技术要求”，投标文件的详细响应情况</w:t>
            </w:r>
          </w:p>
        </w:tc>
        <w:tc>
          <w:tcPr>
            <w:tcW w:w="1186" w:type="dxa"/>
            <w:noWrap w:val="0"/>
            <w:vAlign w:val="center"/>
          </w:tcPr>
          <w:p w14:paraId="0B2F0261">
            <w:pPr>
              <w:pStyle w:val="27"/>
              <w:spacing w:line="400" w:lineRule="exact"/>
              <w:jc w:val="center"/>
              <w:rPr>
                <w:rFonts w:hint="eastAsia" w:hAnsi="宋体"/>
                <w:color w:val="auto"/>
                <w:highlight w:val="none"/>
              </w:rPr>
            </w:pPr>
            <w:bookmarkStart w:id="19" w:name="_Toc254970560"/>
            <w:bookmarkStart w:id="20" w:name="_Toc254970701"/>
            <w:r>
              <w:rPr>
                <w:rFonts w:hint="eastAsia" w:hAnsi="宋体"/>
                <w:color w:val="auto"/>
                <w:highlight w:val="none"/>
              </w:rPr>
              <w:t>偏离情况</w:t>
            </w:r>
            <w:bookmarkEnd w:id="19"/>
            <w:bookmarkEnd w:id="20"/>
            <w:r>
              <w:rPr>
                <w:rFonts w:hint="eastAsia" w:hAnsi="宋体"/>
                <w:color w:val="auto"/>
                <w:highlight w:val="none"/>
              </w:rPr>
              <w:t>说明</w:t>
            </w:r>
          </w:p>
        </w:tc>
      </w:tr>
      <w:tr w14:paraId="3ABDD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742" w:type="dxa"/>
            <w:noWrap w:val="0"/>
            <w:vAlign w:val="center"/>
          </w:tcPr>
          <w:p w14:paraId="19B27B28">
            <w:pPr>
              <w:widowControl/>
              <w:jc w:val="center"/>
              <w:outlineLvl w:val="0"/>
              <w:rPr>
                <w:rFonts w:ascii="宋体" w:hAnsi="宋体" w:cs="宋体"/>
                <w:color w:val="auto"/>
                <w:szCs w:val="21"/>
                <w:highlight w:val="none"/>
              </w:rPr>
            </w:pPr>
            <w:r>
              <w:rPr>
                <w:rFonts w:hint="eastAsia" w:ascii="宋体" w:hAnsi="宋体" w:cs="宋体"/>
                <w:color w:val="auto"/>
                <w:kern w:val="0"/>
                <w:sz w:val="22"/>
                <w:szCs w:val="22"/>
                <w:highlight w:val="none"/>
              </w:rPr>
              <w:t>1</w:t>
            </w:r>
          </w:p>
        </w:tc>
        <w:tc>
          <w:tcPr>
            <w:tcW w:w="1268" w:type="dxa"/>
            <w:noWrap w:val="0"/>
            <w:vAlign w:val="center"/>
          </w:tcPr>
          <w:p w14:paraId="3B9AACA7">
            <w:pPr>
              <w:widowControl/>
              <w:jc w:val="center"/>
              <w:outlineLvl w:val="0"/>
              <w:rPr>
                <w:rFonts w:ascii="宋体" w:hAnsi="宋体" w:cs="宋体"/>
                <w:color w:val="auto"/>
                <w:szCs w:val="21"/>
                <w:highlight w:val="none"/>
              </w:rPr>
            </w:pPr>
            <w:r>
              <w:rPr>
                <w:rFonts w:hint="eastAsia" w:ascii="宋体" w:hAnsi="宋体" w:cs="宋体"/>
                <w:b w:val="0"/>
                <w:bCs w:val="0"/>
                <w:color w:val="auto"/>
                <w:kern w:val="0"/>
                <w:sz w:val="22"/>
                <w:szCs w:val="22"/>
                <w:highlight w:val="none"/>
              </w:rPr>
              <w:t>医用中心吸引系统</w:t>
            </w:r>
          </w:p>
        </w:tc>
        <w:tc>
          <w:tcPr>
            <w:tcW w:w="3241" w:type="dxa"/>
            <w:noWrap w:val="0"/>
            <w:vAlign w:val="top"/>
          </w:tcPr>
          <w:p w14:paraId="13B9D00A">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hAnsi="宋体"/>
                <w:color w:val="auto"/>
                <w:highlight w:val="none"/>
              </w:rPr>
            </w:pPr>
          </w:p>
        </w:tc>
        <w:tc>
          <w:tcPr>
            <w:tcW w:w="3101" w:type="dxa"/>
            <w:noWrap w:val="0"/>
            <w:vAlign w:val="top"/>
          </w:tcPr>
          <w:p w14:paraId="0AEA85F3">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hAnsi="宋体"/>
                <w:color w:val="auto"/>
                <w:highlight w:val="none"/>
              </w:rPr>
            </w:pPr>
          </w:p>
        </w:tc>
        <w:tc>
          <w:tcPr>
            <w:tcW w:w="1186" w:type="dxa"/>
            <w:noWrap w:val="0"/>
            <w:vAlign w:val="top"/>
          </w:tcPr>
          <w:p w14:paraId="3D839AE5">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hAnsi="宋体"/>
                <w:color w:val="auto"/>
                <w:highlight w:val="none"/>
              </w:rPr>
            </w:pPr>
          </w:p>
        </w:tc>
      </w:tr>
      <w:tr w14:paraId="61D75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742" w:type="dxa"/>
            <w:noWrap w:val="0"/>
            <w:vAlign w:val="center"/>
          </w:tcPr>
          <w:p w14:paraId="2FA033F6">
            <w:pPr>
              <w:widowControl/>
              <w:jc w:val="center"/>
              <w:outlineLvl w:val="0"/>
              <w:rPr>
                <w:rFonts w:ascii="宋体" w:hAnsi="宋体" w:cs="宋体"/>
                <w:color w:val="auto"/>
                <w:szCs w:val="21"/>
                <w:highlight w:val="none"/>
              </w:rPr>
            </w:pPr>
            <w:r>
              <w:rPr>
                <w:rFonts w:hint="eastAsia" w:ascii="宋体" w:hAnsi="宋体" w:cs="宋体"/>
                <w:color w:val="auto"/>
                <w:kern w:val="0"/>
                <w:sz w:val="22"/>
                <w:szCs w:val="22"/>
                <w:highlight w:val="none"/>
              </w:rPr>
              <w:t>2</w:t>
            </w:r>
          </w:p>
        </w:tc>
        <w:tc>
          <w:tcPr>
            <w:tcW w:w="1268" w:type="dxa"/>
            <w:noWrap w:val="0"/>
            <w:vAlign w:val="center"/>
          </w:tcPr>
          <w:p w14:paraId="7E8D468D">
            <w:pPr>
              <w:widowControl/>
              <w:jc w:val="center"/>
              <w:outlineLvl w:val="0"/>
              <w:rPr>
                <w:rFonts w:ascii="宋体" w:hAnsi="宋体" w:cs="宋体"/>
                <w:color w:val="auto"/>
                <w:szCs w:val="21"/>
                <w:highlight w:val="none"/>
              </w:rPr>
            </w:pPr>
            <w:r>
              <w:rPr>
                <w:rFonts w:hint="eastAsia" w:ascii="宋体" w:hAnsi="宋体" w:cs="宋体"/>
                <w:b w:val="0"/>
                <w:bCs w:val="0"/>
                <w:color w:val="auto"/>
                <w:kern w:val="0"/>
                <w:sz w:val="22"/>
                <w:szCs w:val="22"/>
                <w:highlight w:val="none"/>
              </w:rPr>
              <w:t>医用压缩空气供应系统</w:t>
            </w:r>
          </w:p>
        </w:tc>
        <w:tc>
          <w:tcPr>
            <w:tcW w:w="3241" w:type="dxa"/>
            <w:noWrap w:val="0"/>
            <w:vAlign w:val="top"/>
          </w:tcPr>
          <w:p w14:paraId="1F935C56">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hAnsi="宋体"/>
                <w:color w:val="auto"/>
                <w:highlight w:val="none"/>
              </w:rPr>
            </w:pPr>
          </w:p>
        </w:tc>
        <w:tc>
          <w:tcPr>
            <w:tcW w:w="3101" w:type="dxa"/>
            <w:noWrap w:val="0"/>
            <w:vAlign w:val="top"/>
          </w:tcPr>
          <w:p w14:paraId="03520952">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hAnsi="宋体"/>
                <w:color w:val="auto"/>
                <w:highlight w:val="none"/>
              </w:rPr>
            </w:pPr>
          </w:p>
        </w:tc>
        <w:tc>
          <w:tcPr>
            <w:tcW w:w="1186" w:type="dxa"/>
            <w:noWrap w:val="0"/>
            <w:vAlign w:val="top"/>
          </w:tcPr>
          <w:p w14:paraId="68D47F7E">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hAnsi="宋体"/>
                <w:color w:val="auto"/>
                <w:highlight w:val="none"/>
              </w:rPr>
            </w:pPr>
          </w:p>
        </w:tc>
      </w:tr>
    </w:tbl>
    <w:p w14:paraId="4E481552">
      <w:pPr>
        <w:pStyle w:val="27"/>
        <w:spacing w:line="600" w:lineRule="exact"/>
        <w:ind w:firstLine="420"/>
        <w:jc w:val="left"/>
        <w:rPr>
          <w:rFonts w:hint="eastAsia" w:hAnsi="宋体"/>
          <w:color w:val="auto"/>
          <w:szCs w:val="21"/>
          <w:highlight w:val="none"/>
          <w:u w:val="single"/>
        </w:rPr>
      </w:pPr>
      <w:r>
        <w:rPr>
          <w:rFonts w:hint="eastAsia" w:hAnsi="宋体"/>
          <w:color w:val="auto"/>
          <w:szCs w:val="21"/>
          <w:highlight w:val="none"/>
        </w:rPr>
        <w:t xml:space="preserve">        </w:t>
      </w:r>
      <w:r>
        <w:rPr>
          <w:rFonts w:hint="eastAsia" w:hAnsi="宋体"/>
          <w:color w:val="auto"/>
          <w:highlight w:val="none"/>
        </w:rPr>
        <w:t xml:space="preserve">投标人 </w:t>
      </w:r>
      <w:r>
        <w:rPr>
          <w:rFonts w:hint="eastAsia" w:hAnsi="宋体"/>
          <w:color w:val="auto"/>
          <w:highlight w:val="none"/>
          <w:lang w:eastAsia="zh-CN"/>
        </w:rPr>
        <w:t>（</w:t>
      </w:r>
      <w:r>
        <w:rPr>
          <w:rFonts w:hint="eastAsia" w:hAnsi="宋体"/>
          <w:color w:val="auto"/>
          <w:highlight w:val="none"/>
        </w:rPr>
        <w:t>电子签章</w:t>
      </w:r>
      <w:r>
        <w:rPr>
          <w:rFonts w:hint="eastAsia" w:hAnsi="宋体"/>
          <w:color w:val="auto"/>
          <w:highlight w:val="none"/>
          <w:lang w:eastAsia="zh-CN"/>
        </w:rPr>
        <w:t>）</w:t>
      </w:r>
      <w:r>
        <w:rPr>
          <w:rFonts w:hint="eastAsia" w:hAnsi="宋体"/>
          <w:color w:val="auto"/>
          <w:highlight w:val="none"/>
        </w:rPr>
        <w:t>：</w:t>
      </w:r>
      <w:r>
        <w:rPr>
          <w:rFonts w:hint="eastAsia" w:hAnsi="宋体"/>
          <w:color w:val="auto"/>
          <w:szCs w:val="21"/>
          <w:highlight w:val="none"/>
          <w:u w:val="single"/>
        </w:rPr>
        <w:t xml:space="preserve">                                     </w:t>
      </w:r>
    </w:p>
    <w:p w14:paraId="7A9B1E57">
      <w:pPr>
        <w:pStyle w:val="27"/>
        <w:spacing w:line="600" w:lineRule="exact"/>
        <w:ind w:firstLine="420"/>
        <w:jc w:val="left"/>
        <w:rPr>
          <w:rFonts w:hint="eastAsia" w:hAnsi="宋体"/>
          <w:color w:val="auto"/>
          <w:szCs w:val="21"/>
          <w:highlight w:val="none"/>
          <w:u w:val="single"/>
        </w:rPr>
      </w:pPr>
      <w:r>
        <w:rPr>
          <w:rFonts w:hint="eastAsia" w:hAnsi="宋体"/>
          <w:color w:val="auto"/>
          <w:szCs w:val="21"/>
          <w:highlight w:val="none"/>
        </w:rPr>
        <w:t xml:space="preserve">        法定代表人</w:t>
      </w:r>
      <w:r>
        <w:rPr>
          <w:rFonts w:hint="eastAsia" w:hAnsi="宋体"/>
          <w:color w:val="auto"/>
          <w:highlight w:val="none"/>
        </w:rPr>
        <w:t>或相应的委托代理人签字（或者电子签名）：</w:t>
      </w:r>
      <w:r>
        <w:rPr>
          <w:rFonts w:hint="eastAsia" w:hAnsi="宋体"/>
          <w:color w:val="auto"/>
          <w:szCs w:val="21"/>
          <w:highlight w:val="none"/>
          <w:u w:val="single"/>
        </w:rPr>
        <w:t xml:space="preserve">                              </w:t>
      </w:r>
    </w:p>
    <w:p w14:paraId="7EA789DB">
      <w:pPr>
        <w:spacing w:line="600" w:lineRule="exact"/>
        <w:jc w:val="left"/>
        <w:rPr>
          <w:rFonts w:hint="eastAsia"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172DBC1F">
      <w:pPr>
        <w:pStyle w:val="27"/>
        <w:spacing w:line="400" w:lineRule="exact"/>
        <w:rPr>
          <w:rFonts w:hint="eastAsia" w:hAnsi="宋体"/>
          <w:b/>
          <w:color w:val="auto"/>
          <w:highlight w:val="none"/>
        </w:rPr>
      </w:pPr>
      <w:r>
        <w:rPr>
          <w:rFonts w:hint="eastAsia" w:hAnsi="宋体"/>
          <w:b/>
          <w:color w:val="auto"/>
          <w:highlight w:val="none"/>
        </w:rPr>
        <w:t xml:space="preserve">   </w:t>
      </w:r>
    </w:p>
    <w:p w14:paraId="3F12A8DB">
      <w:pPr>
        <w:pStyle w:val="27"/>
        <w:spacing w:line="400" w:lineRule="exact"/>
        <w:rPr>
          <w:rFonts w:hint="eastAsia" w:hAnsi="宋体"/>
          <w:b/>
          <w:color w:val="auto"/>
          <w:highlight w:val="none"/>
        </w:rPr>
      </w:pPr>
      <w:r>
        <w:rPr>
          <w:rFonts w:hint="eastAsia" w:hAnsi="宋体"/>
          <w:b/>
          <w:color w:val="auto"/>
          <w:highlight w:val="none"/>
        </w:rPr>
        <w:t>注：1. 说明：投标人应对照招标文件第三章“采购需求”中的“技术要求”逐条作出明确响应，并作出偏离说明。</w:t>
      </w:r>
    </w:p>
    <w:p w14:paraId="41464AFC">
      <w:pPr>
        <w:pStyle w:val="27"/>
        <w:spacing w:line="400" w:lineRule="exact"/>
        <w:rPr>
          <w:rFonts w:hAnsi="宋体"/>
          <w:b/>
          <w:color w:val="auto"/>
          <w:highlight w:val="none"/>
        </w:rPr>
      </w:pPr>
      <w:r>
        <w:rPr>
          <w:rFonts w:hint="eastAsia" w:hAnsi="宋体"/>
          <w:b/>
          <w:color w:val="auto"/>
          <w:highlight w:val="none"/>
        </w:rPr>
        <w:t>2. 投标人应根据投标设备的性能指标，对照招标文件要求，在“偏离说明”中注明“正偏离”、“负偏离”或者“无偏离”。既不属于“正偏离”也不属于“负偏离”即为“无偏离”。</w:t>
      </w:r>
    </w:p>
    <w:p w14:paraId="00B8DA2C">
      <w:pPr>
        <w:pStyle w:val="27"/>
        <w:spacing w:line="400" w:lineRule="exact"/>
        <w:rPr>
          <w:rFonts w:hint="eastAsia" w:hAnsi="宋体"/>
          <w:b/>
          <w:color w:val="auto"/>
          <w:highlight w:val="none"/>
        </w:rPr>
      </w:pPr>
    </w:p>
    <w:p w14:paraId="5818108D">
      <w:pPr>
        <w:rPr>
          <w:rFonts w:hint="eastAsia" w:hAnsi="宋体"/>
          <w:b/>
          <w:color w:val="auto"/>
          <w:highlight w:val="none"/>
        </w:rPr>
      </w:pPr>
    </w:p>
    <w:p w14:paraId="673D9D9C">
      <w:pPr>
        <w:pStyle w:val="32"/>
        <w:rPr>
          <w:rFonts w:hint="eastAsia" w:hAnsi="宋体"/>
          <w:b/>
          <w:color w:val="auto"/>
          <w:highlight w:val="none"/>
        </w:rPr>
      </w:pPr>
    </w:p>
    <w:p w14:paraId="543D7BBB">
      <w:pPr>
        <w:pStyle w:val="32"/>
        <w:rPr>
          <w:rFonts w:hint="eastAsia" w:hAnsi="宋体"/>
          <w:b/>
          <w:color w:val="auto"/>
          <w:highlight w:val="none"/>
        </w:rPr>
      </w:pPr>
    </w:p>
    <w:p w14:paraId="0386A9C4">
      <w:pPr>
        <w:pStyle w:val="32"/>
        <w:rPr>
          <w:rFonts w:hint="eastAsia" w:hAnsi="宋体"/>
          <w:b/>
          <w:color w:val="auto"/>
          <w:highlight w:val="none"/>
        </w:rPr>
      </w:pPr>
    </w:p>
    <w:p w14:paraId="166648B9">
      <w:pPr>
        <w:pStyle w:val="32"/>
        <w:rPr>
          <w:rFonts w:hint="eastAsia" w:hAnsi="宋体"/>
          <w:b/>
          <w:color w:val="auto"/>
          <w:highlight w:val="none"/>
        </w:rPr>
      </w:pPr>
    </w:p>
    <w:p w14:paraId="345E2676">
      <w:pPr>
        <w:pStyle w:val="32"/>
        <w:rPr>
          <w:rFonts w:hint="eastAsia" w:hAnsi="宋体"/>
          <w:b/>
          <w:color w:val="auto"/>
          <w:highlight w:val="none"/>
        </w:rPr>
      </w:pPr>
    </w:p>
    <w:p w14:paraId="5F9577CD">
      <w:pPr>
        <w:pStyle w:val="32"/>
        <w:rPr>
          <w:rFonts w:hint="eastAsia" w:hAnsi="宋体"/>
          <w:b/>
          <w:color w:val="auto"/>
          <w:highlight w:val="none"/>
        </w:rPr>
      </w:pPr>
    </w:p>
    <w:p w14:paraId="27A7C151">
      <w:pPr>
        <w:pStyle w:val="32"/>
        <w:rPr>
          <w:rFonts w:hint="eastAsia" w:hAnsi="宋体"/>
          <w:b/>
          <w:color w:val="auto"/>
          <w:highlight w:val="none"/>
        </w:rPr>
      </w:pPr>
    </w:p>
    <w:p w14:paraId="3AA5B0A3">
      <w:pPr>
        <w:pStyle w:val="32"/>
        <w:rPr>
          <w:rFonts w:hint="eastAsia" w:hAnsi="宋体"/>
          <w:b/>
          <w:color w:val="auto"/>
          <w:highlight w:val="none"/>
        </w:rPr>
      </w:pPr>
      <w:r>
        <w:rPr>
          <w:rFonts w:hAnsi="宋体"/>
          <w:b/>
          <w:color w:val="auto"/>
          <w:highlight w:val="none"/>
        </w:rPr>
        <w:br w:type="page"/>
      </w:r>
    </w:p>
    <w:p w14:paraId="7DCCF937">
      <w:pPr>
        <w:pStyle w:val="27"/>
        <w:spacing w:line="400" w:lineRule="exact"/>
        <w:rPr>
          <w:rFonts w:hint="eastAsia" w:hAnsi="宋体"/>
          <w:b/>
          <w:color w:val="auto"/>
          <w:sz w:val="32"/>
          <w:szCs w:val="32"/>
          <w:highlight w:val="none"/>
        </w:rPr>
      </w:pPr>
      <w:r>
        <w:rPr>
          <w:rFonts w:hint="eastAsia" w:hAnsi="宋体"/>
          <w:b/>
          <w:color w:val="auto"/>
          <w:sz w:val="32"/>
          <w:szCs w:val="32"/>
          <w:highlight w:val="none"/>
        </w:rPr>
        <w:t>4.商务响应表（必须提供）</w:t>
      </w:r>
    </w:p>
    <w:p w14:paraId="5BE51508">
      <w:pPr>
        <w:pStyle w:val="27"/>
        <w:spacing w:line="400" w:lineRule="exact"/>
        <w:rPr>
          <w:rFonts w:hint="eastAsia" w:hAnsi="宋体"/>
          <w:b/>
          <w:color w:val="auto"/>
          <w:sz w:val="32"/>
          <w:szCs w:val="32"/>
          <w:highlight w:val="none"/>
        </w:rPr>
      </w:pPr>
      <w:r>
        <w:rPr>
          <w:rFonts w:hint="eastAsia" w:hAnsi="宋体"/>
          <w:b/>
          <w:color w:val="auto"/>
          <w:sz w:val="32"/>
          <w:szCs w:val="32"/>
          <w:highlight w:val="none"/>
        </w:rPr>
        <w:t>附件：</w:t>
      </w:r>
    </w:p>
    <w:p w14:paraId="7250A8B0">
      <w:pPr>
        <w:pStyle w:val="27"/>
        <w:jc w:val="center"/>
        <w:rPr>
          <w:rFonts w:hAnsi="宋体"/>
          <w:b/>
          <w:bCs/>
          <w:color w:val="auto"/>
          <w:sz w:val="32"/>
          <w:highlight w:val="none"/>
        </w:rPr>
      </w:pPr>
      <w:r>
        <w:rPr>
          <w:rFonts w:hint="eastAsia" w:hAnsi="宋体"/>
          <w:b/>
          <w:bCs/>
          <w:color w:val="auto"/>
          <w:sz w:val="32"/>
          <w:highlight w:val="none"/>
        </w:rPr>
        <w:t>商务响应表（格式）</w:t>
      </w:r>
    </w:p>
    <w:p w14:paraId="428F145A">
      <w:pPr>
        <w:pStyle w:val="27"/>
        <w:spacing w:line="360" w:lineRule="exact"/>
        <w:ind w:firstLine="420"/>
        <w:rPr>
          <w:rFonts w:hint="eastAsia" w:hAnsi="宋体"/>
          <w:color w:val="auto"/>
          <w:highlight w:val="none"/>
        </w:rPr>
      </w:pPr>
    </w:p>
    <w:tbl>
      <w:tblPr>
        <w:tblStyle w:val="51"/>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3876"/>
        <w:gridCol w:w="3550"/>
      </w:tblGrid>
      <w:tr w14:paraId="2D089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448" w:type="dxa"/>
            <w:noWrap w:val="0"/>
            <w:vAlign w:val="center"/>
          </w:tcPr>
          <w:p w14:paraId="79A42E1B">
            <w:pPr>
              <w:snapToGrid w:val="0"/>
              <w:spacing w:before="156" w:beforeLines="50" w:line="240" w:lineRule="exact"/>
              <w:jc w:val="center"/>
              <w:rPr>
                <w:rFonts w:ascii="宋体" w:hAnsi="宋体"/>
                <w:color w:val="auto"/>
                <w:szCs w:val="21"/>
                <w:highlight w:val="none"/>
              </w:rPr>
            </w:pPr>
            <w:r>
              <w:rPr>
                <w:rFonts w:hint="eastAsia" w:ascii="宋体" w:hAnsi="宋体"/>
                <w:color w:val="auto"/>
                <w:szCs w:val="21"/>
                <w:highlight w:val="none"/>
              </w:rPr>
              <w:t>条款</w:t>
            </w:r>
          </w:p>
        </w:tc>
        <w:tc>
          <w:tcPr>
            <w:tcW w:w="3876" w:type="dxa"/>
            <w:noWrap w:val="0"/>
            <w:vAlign w:val="center"/>
          </w:tcPr>
          <w:p w14:paraId="6675819B">
            <w:pPr>
              <w:snapToGrid w:val="0"/>
              <w:spacing w:before="156" w:beforeLines="50" w:line="240" w:lineRule="exact"/>
              <w:jc w:val="center"/>
              <w:rPr>
                <w:rFonts w:ascii="宋体" w:hAnsi="宋体"/>
                <w:color w:val="auto"/>
                <w:szCs w:val="21"/>
                <w:highlight w:val="none"/>
              </w:rPr>
            </w:pPr>
            <w:r>
              <w:rPr>
                <w:rFonts w:hint="eastAsia" w:ascii="宋体" w:hAnsi="宋体"/>
                <w:color w:val="auto"/>
                <w:szCs w:val="21"/>
                <w:highlight w:val="none"/>
              </w:rPr>
              <w:t>招标文件的“商务要求”</w:t>
            </w:r>
          </w:p>
        </w:tc>
        <w:tc>
          <w:tcPr>
            <w:tcW w:w="3550" w:type="dxa"/>
            <w:noWrap w:val="0"/>
            <w:vAlign w:val="center"/>
          </w:tcPr>
          <w:p w14:paraId="2CD16B23">
            <w:pPr>
              <w:snapToGrid w:val="0"/>
              <w:spacing w:before="156" w:beforeLines="50" w:line="240" w:lineRule="exact"/>
              <w:jc w:val="center"/>
              <w:rPr>
                <w:rFonts w:ascii="宋体" w:hAnsi="宋体"/>
                <w:color w:val="auto"/>
                <w:szCs w:val="21"/>
                <w:highlight w:val="none"/>
              </w:rPr>
            </w:pPr>
            <w:r>
              <w:rPr>
                <w:rFonts w:hint="eastAsia" w:hAnsi="宋体"/>
                <w:color w:val="auto"/>
                <w:szCs w:val="20"/>
                <w:highlight w:val="none"/>
              </w:rPr>
              <w:t>对应招标文件的“商务要求”，投标文件的详细响应情况</w:t>
            </w:r>
          </w:p>
        </w:tc>
      </w:tr>
      <w:tr w14:paraId="31745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08203D09">
            <w:pPr>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（一）售后服务</w:t>
            </w:r>
          </w:p>
        </w:tc>
        <w:tc>
          <w:tcPr>
            <w:tcW w:w="3876" w:type="dxa"/>
            <w:noWrap w:val="0"/>
            <w:vAlign w:val="center"/>
          </w:tcPr>
          <w:p w14:paraId="4530A56B">
            <w:pPr>
              <w:spacing w:line="240" w:lineRule="exact"/>
              <w:jc w:val="left"/>
              <w:rPr>
                <w:rFonts w:ascii="宋体" w:hAnsi="宋体"/>
                <w:color w:val="auto"/>
                <w:szCs w:val="21"/>
                <w:highlight w:val="none"/>
              </w:rPr>
            </w:pPr>
          </w:p>
        </w:tc>
        <w:tc>
          <w:tcPr>
            <w:tcW w:w="3550" w:type="dxa"/>
            <w:noWrap w:val="0"/>
            <w:vAlign w:val="center"/>
          </w:tcPr>
          <w:p w14:paraId="5C239306">
            <w:pPr>
              <w:pStyle w:val="27"/>
              <w:spacing w:line="240" w:lineRule="exact"/>
              <w:jc w:val="center"/>
              <w:rPr>
                <w:rFonts w:hint="eastAsia" w:hAnsi="宋体"/>
                <w:color w:val="auto"/>
                <w:highlight w:val="none"/>
              </w:rPr>
            </w:pPr>
          </w:p>
        </w:tc>
      </w:tr>
      <w:tr w14:paraId="641FA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2F95F149">
            <w:pPr>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（二）交付时间和地点</w:t>
            </w:r>
          </w:p>
        </w:tc>
        <w:tc>
          <w:tcPr>
            <w:tcW w:w="3876" w:type="dxa"/>
            <w:noWrap w:val="0"/>
            <w:vAlign w:val="center"/>
          </w:tcPr>
          <w:p w14:paraId="65437263">
            <w:pPr>
              <w:spacing w:line="240" w:lineRule="exact"/>
              <w:jc w:val="left"/>
              <w:rPr>
                <w:rFonts w:ascii="宋体" w:hAnsi="宋体"/>
                <w:color w:val="auto"/>
                <w:szCs w:val="21"/>
                <w:highlight w:val="none"/>
              </w:rPr>
            </w:pPr>
          </w:p>
        </w:tc>
        <w:tc>
          <w:tcPr>
            <w:tcW w:w="3550" w:type="dxa"/>
            <w:noWrap w:val="0"/>
            <w:vAlign w:val="top"/>
          </w:tcPr>
          <w:p w14:paraId="1021B4F4">
            <w:pPr>
              <w:pStyle w:val="27"/>
              <w:spacing w:line="240" w:lineRule="exact"/>
              <w:rPr>
                <w:rFonts w:hint="eastAsia" w:hAnsi="宋体"/>
                <w:color w:val="auto"/>
                <w:highlight w:val="none"/>
              </w:rPr>
            </w:pPr>
          </w:p>
        </w:tc>
      </w:tr>
      <w:tr w14:paraId="50444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4599C0C9">
            <w:pPr>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（三）付款方式</w:t>
            </w:r>
          </w:p>
        </w:tc>
        <w:tc>
          <w:tcPr>
            <w:tcW w:w="3876" w:type="dxa"/>
            <w:noWrap w:val="0"/>
            <w:vAlign w:val="center"/>
          </w:tcPr>
          <w:p w14:paraId="5010C35B">
            <w:pPr>
              <w:spacing w:line="240" w:lineRule="exact"/>
              <w:jc w:val="left"/>
              <w:rPr>
                <w:rFonts w:hint="eastAsia" w:ascii="宋体" w:hAnsi="宋体"/>
                <w:color w:val="auto"/>
                <w:szCs w:val="21"/>
                <w:highlight w:val="none"/>
              </w:rPr>
            </w:pPr>
          </w:p>
        </w:tc>
        <w:tc>
          <w:tcPr>
            <w:tcW w:w="3550" w:type="dxa"/>
            <w:noWrap w:val="0"/>
            <w:vAlign w:val="top"/>
          </w:tcPr>
          <w:p w14:paraId="0A6F7C22">
            <w:pPr>
              <w:pStyle w:val="27"/>
              <w:spacing w:line="240" w:lineRule="exact"/>
              <w:rPr>
                <w:rFonts w:hint="eastAsia" w:hAnsi="宋体"/>
                <w:color w:val="auto"/>
                <w:highlight w:val="none"/>
              </w:rPr>
            </w:pPr>
          </w:p>
        </w:tc>
      </w:tr>
      <w:tr w14:paraId="066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242F6C62">
            <w:pPr>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（四）包装和运输</w:t>
            </w:r>
          </w:p>
        </w:tc>
        <w:tc>
          <w:tcPr>
            <w:tcW w:w="3876" w:type="dxa"/>
            <w:noWrap w:val="0"/>
            <w:vAlign w:val="center"/>
          </w:tcPr>
          <w:p w14:paraId="726E94AF">
            <w:pPr>
              <w:spacing w:line="240" w:lineRule="exact"/>
              <w:jc w:val="left"/>
              <w:rPr>
                <w:rFonts w:hint="eastAsia" w:ascii="宋体" w:hAnsi="宋体"/>
                <w:color w:val="auto"/>
                <w:szCs w:val="21"/>
                <w:highlight w:val="none"/>
              </w:rPr>
            </w:pPr>
          </w:p>
        </w:tc>
        <w:tc>
          <w:tcPr>
            <w:tcW w:w="3550" w:type="dxa"/>
            <w:noWrap w:val="0"/>
            <w:vAlign w:val="top"/>
          </w:tcPr>
          <w:p w14:paraId="450F35FE">
            <w:pPr>
              <w:pStyle w:val="27"/>
              <w:spacing w:line="240" w:lineRule="exact"/>
              <w:rPr>
                <w:rFonts w:hint="eastAsia" w:hAnsi="宋体"/>
                <w:color w:val="auto"/>
                <w:highlight w:val="none"/>
              </w:rPr>
            </w:pPr>
          </w:p>
        </w:tc>
      </w:tr>
      <w:tr w14:paraId="32196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764D048A">
            <w:pPr>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（五）保险</w:t>
            </w:r>
          </w:p>
        </w:tc>
        <w:tc>
          <w:tcPr>
            <w:tcW w:w="3876" w:type="dxa"/>
            <w:noWrap w:val="0"/>
            <w:vAlign w:val="center"/>
          </w:tcPr>
          <w:p w14:paraId="319CBC5F">
            <w:pPr>
              <w:spacing w:line="240" w:lineRule="exact"/>
              <w:jc w:val="left"/>
              <w:rPr>
                <w:rFonts w:hint="eastAsia" w:ascii="宋体" w:hAnsi="宋体"/>
                <w:color w:val="auto"/>
                <w:szCs w:val="21"/>
                <w:highlight w:val="none"/>
              </w:rPr>
            </w:pPr>
          </w:p>
        </w:tc>
        <w:tc>
          <w:tcPr>
            <w:tcW w:w="3550" w:type="dxa"/>
            <w:noWrap w:val="0"/>
            <w:vAlign w:val="top"/>
          </w:tcPr>
          <w:p w14:paraId="27448CE0">
            <w:pPr>
              <w:pStyle w:val="27"/>
              <w:spacing w:line="240" w:lineRule="exact"/>
              <w:rPr>
                <w:rFonts w:hint="eastAsia" w:hAnsi="宋体"/>
                <w:color w:val="auto"/>
                <w:highlight w:val="none"/>
              </w:rPr>
            </w:pPr>
          </w:p>
        </w:tc>
      </w:tr>
      <w:tr w14:paraId="7668F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6A218C51">
            <w:pPr>
              <w:adjustRightInd w:val="0"/>
              <w:snapToGrid w:val="0"/>
              <w:spacing w:line="300" w:lineRule="exact"/>
              <w:jc w:val="center"/>
              <w:textAlignment w:val="center"/>
              <w:rPr>
                <w:rFonts w:hint="eastAsia" w:ascii="宋体" w:hAnsi="宋体" w:cs="宋体"/>
                <w:b/>
                <w:color w:val="auto"/>
                <w:szCs w:val="21"/>
                <w:highlight w:val="none"/>
              </w:rPr>
            </w:pPr>
            <w:r>
              <w:rPr>
                <w:rFonts w:hint="eastAsia" w:ascii="宋体" w:hAnsi="宋体" w:cs="宋体"/>
                <w:b/>
                <w:color w:val="auto"/>
                <w:szCs w:val="21"/>
                <w:highlight w:val="none"/>
              </w:rPr>
              <w:t>（六）验收标准</w:t>
            </w:r>
          </w:p>
        </w:tc>
        <w:tc>
          <w:tcPr>
            <w:tcW w:w="3876" w:type="dxa"/>
            <w:noWrap w:val="0"/>
            <w:vAlign w:val="center"/>
          </w:tcPr>
          <w:p w14:paraId="7150637E">
            <w:pPr>
              <w:spacing w:line="240" w:lineRule="exact"/>
              <w:jc w:val="left"/>
              <w:rPr>
                <w:rFonts w:hint="eastAsia" w:ascii="宋体" w:hAnsi="宋体"/>
                <w:color w:val="auto"/>
                <w:szCs w:val="21"/>
                <w:highlight w:val="none"/>
              </w:rPr>
            </w:pPr>
          </w:p>
        </w:tc>
        <w:tc>
          <w:tcPr>
            <w:tcW w:w="3550" w:type="dxa"/>
            <w:noWrap w:val="0"/>
            <w:vAlign w:val="top"/>
          </w:tcPr>
          <w:p w14:paraId="3B737EA0">
            <w:pPr>
              <w:pStyle w:val="27"/>
              <w:spacing w:line="240" w:lineRule="exact"/>
              <w:rPr>
                <w:rFonts w:hint="eastAsia" w:hAnsi="宋体"/>
                <w:color w:val="auto"/>
                <w:highlight w:val="none"/>
              </w:rPr>
            </w:pPr>
          </w:p>
        </w:tc>
      </w:tr>
      <w:tr w14:paraId="4A5DE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55F7A15C">
            <w:pPr>
              <w:adjustRightInd w:val="0"/>
              <w:snapToGrid w:val="0"/>
              <w:spacing w:line="300" w:lineRule="exact"/>
              <w:jc w:val="center"/>
              <w:textAlignment w:val="center"/>
              <w:rPr>
                <w:rFonts w:hint="eastAsia"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eastAsia="zh-CN"/>
              </w:rPr>
              <w:t>七</w:t>
            </w:r>
            <w:r>
              <w:rPr>
                <w:rFonts w:hint="eastAsia" w:ascii="宋体" w:hAnsi="宋体" w:cs="宋体"/>
                <w:b/>
                <w:color w:val="auto"/>
                <w:szCs w:val="21"/>
                <w:highlight w:val="none"/>
              </w:rPr>
              <w:t>）</w:t>
            </w:r>
            <w:r>
              <w:rPr>
                <w:rFonts w:hint="eastAsia" w:ascii="宋体" w:hAnsi="宋体" w:cs="新宋体"/>
                <w:b/>
                <w:color w:val="auto"/>
                <w:kern w:val="0"/>
                <w:szCs w:val="21"/>
                <w:highlight w:val="none"/>
              </w:rPr>
              <w:t>医疗器械注册证</w:t>
            </w:r>
          </w:p>
        </w:tc>
        <w:tc>
          <w:tcPr>
            <w:tcW w:w="3876" w:type="dxa"/>
            <w:noWrap w:val="0"/>
            <w:vAlign w:val="center"/>
          </w:tcPr>
          <w:p w14:paraId="56302A56">
            <w:pPr>
              <w:spacing w:line="240" w:lineRule="exact"/>
              <w:jc w:val="left"/>
              <w:rPr>
                <w:rFonts w:hint="eastAsia" w:ascii="宋体" w:hAnsi="宋体"/>
                <w:color w:val="auto"/>
                <w:szCs w:val="21"/>
                <w:highlight w:val="none"/>
              </w:rPr>
            </w:pPr>
          </w:p>
        </w:tc>
        <w:tc>
          <w:tcPr>
            <w:tcW w:w="3550" w:type="dxa"/>
            <w:noWrap w:val="0"/>
            <w:vAlign w:val="top"/>
          </w:tcPr>
          <w:p w14:paraId="2A9017E4">
            <w:pPr>
              <w:pStyle w:val="27"/>
              <w:spacing w:line="240" w:lineRule="exact"/>
              <w:rPr>
                <w:rFonts w:hint="eastAsia" w:hAnsi="宋体"/>
                <w:color w:val="auto"/>
                <w:highlight w:val="none"/>
              </w:rPr>
            </w:pPr>
          </w:p>
        </w:tc>
      </w:tr>
      <w:tr w14:paraId="49CB4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68B197B6">
            <w:pPr>
              <w:adjustRightInd w:val="0"/>
              <w:snapToGrid w:val="0"/>
              <w:spacing w:line="320" w:lineRule="exact"/>
              <w:jc w:val="center"/>
              <w:rPr>
                <w:rFonts w:hint="eastAsia" w:ascii="宋体" w:hAnsi="宋体" w:cs="宋体"/>
                <w:b/>
                <w:color w:val="auto"/>
                <w:szCs w:val="21"/>
                <w:highlight w:val="none"/>
              </w:rPr>
            </w:pPr>
            <w:r>
              <w:rPr>
                <w:rFonts w:hint="eastAsia" w:ascii="宋体" w:hAnsi="宋体" w:cs="宋体"/>
                <w:b/>
                <w:color w:val="auto"/>
                <w:kern w:val="0"/>
                <w:szCs w:val="21"/>
                <w:highlight w:val="none"/>
              </w:rPr>
              <w:t>（</w:t>
            </w:r>
            <w:r>
              <w:rPr>
                <w:rFonts w:hint="eastAsia" w:ascii="宋体" w:hAnsi="宋体" w:cs="宋体"/>
                <w:b/>
                <w:color w:val="auto"/>
                <w:kern w:val="0"/>
                <w:szCs w:val="21"/>
                <w:highlight w:val="none"/>
                <w:lang w:eastAsia="zh-CN"/>
              </w:rPr>
              <w:t>八</w:t>
            </w:r>
            <w:r>
              <w:rPr>
                <w:rFonts w:hint="eastAsia" w:ascii="宋体" w:hAnsi="宋体" w:cs="宋体"/>
                <w:b/>
                <w:color w:val="auto"/>
                <w:kern w:val="0"/>
                <w:szCs w:val="21"/>
                <w:highlight w:val="none"/>
              </w:rPr>
              <w:t>）进口产品说明</w:t>
            </w:r>
          </w:p>
        </w:tc>
        <w:tc>
          <w:tcPr>
            <w:tcW w:w="3876" w:type="dxa"/>
            <w:noWrap w:val="0"/>
            <w:vAlign w:val="center"/>
          </w:tcPr>
          <w:p w14:paraId="1EDA103D">
            <w:pPr>
              <w:spacing w:line="240" w:lineRule="exact"/>
              <w:jc w:val="left"/>
              <w:rPr>
                <w:rFonts w:hint="eastAsia" w:ascii="宋体" w:hAnsi="宋体"/>
                <w:color w:val="auto"/>
                <w:szCs w:val="21"/>
                <w:highlight w:val="none"/>
              </w:rPr>
            </w:pPr>
          </w:p>
        </w:tc>
        <w:tc>
          <w:tcPr>
            <w:tcW w:w="3550" w:type="dxa"/>
            <w:noWrap w:val="0"/>
            <w:vAlign w:val="top"/>
          </w:tcPr>
          <w:p w14:paraId="4B7C198E">
            <w:pPr>
              <w:pStyle w:val="27"/>
              <w:spacing w:line="240" w:lineRule="exact"/>
              <w:rPr>
                <w:rFonts w:hint="eastAsia" w:hAnsi="宋体"/>
                <w:color w:val="auto"/>
                <w:highlight w:val="none"/>
              </w:rPr>
            </w:pPr>
          </w:p>
        </w:tc>
      </w:tr>
      <w:tr w14:paraId="3AE7E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5A8979A9">
            <w:pPr>
              <w:adjustRightInd w:val="0"/>
              <w:snapToGrid w:val="0"/>
              <w:spacing w:line="320" w:lineRule="exact"/>
              <w:jc w:val="center"/>
              <w:rPr>
                <w:rFonts w:hint="default" w:ascii="宋体" w:hAnsi="宋体" w:eastAsia="宋体" w:cs="宋体"/>
                <w:b/>
                <w:color w:val="auto"/>
                <w:szCs w:val="21"/>
                <w:highlight w:val="none"/>
                <w:lang w:val="en-US" w:eastAsia="zh-CN"/>
              </w:rPr>
            </w:pPr>
            <w:r>
              <w:rPr>
                <w:rFonts w:hint="eastAsia" w:ascii="宋体" w:hAnsi="宋体" w:cs="宋体"/>
                <w:b/>
                <w:color w:val="auto"/>
                <w:kern w:val="0"/>
                <w:szCs w:val="21"/>
                <w:highlight w:val="none"/>
              </w:rPr>
              <w:t>（</w:t>
            </w:r>
            <w:r>
              <w:rPr>
                <w:rFonts w:hint="eastAsia" w:ascii="宋体" w:hAnsi="宋体" w:cs="宋体"/>
                <w:b/>
                <w:color w:val="auto"/>
                <w:kern w:val="0"/>
                <w:szCs w:val="21"/>
                <w:highlight w:val="none"/>
                <w:lang w:eastAsia="zh-CN"/>
              </w:rPr>
              <w:t>九</w:t>
            </w:r>
            <w:r>
              <w:rPr>
                <w:rFonts w:hint="eastAsia" w:ascii="宋体" w:hAnsi="宋体" w:cs="宋体"/>
                <w:b/>
                <w:color w:val="auto"/>
                <w:kern w:val="0"/>
                <w:szCs w:val="21"/>
                <w:highlight w:val="none"/>
              </w:rPr>
              <w:t>）采购预算及最高限价</w:t>
            </w:r>
          </w:p>
        </w:tc>
        <w:tc>
          <w:tcPr>
            <w:tcW w:w="3876" w:type="dxa"/>
            <w:noWrap w:val="0"/>
            <w:vAlign w:val="center"/>
          </w:tcPr>
          <w:p w14:paraId="311E07E2">
            <w:pPr>
              <w:spacing w:line="240" w:lineRule="exact"/>
              <w:jc w:val="left"/>
              <w:rPr>
                <w:rFonts w:hint="eastAsia" w:ascii="宋体" w:hAnsi="宋体"/>
                <w:color w:val="auto"/>
                <w:szCs w:val="21"/>
                <w:highlight w:val="none"/>
              </w:rPr>
            </w:pPr>
          </w:p>
        </w:tc>
        <w:tc>
          <w:tcPr>
            <w:tcW w:w="3550" w:type="dxa"/>
            <w:noWrap w:val="0"/>
            <w:vAlign w:val="top"/>
          </w:tcPr>
          <w:p w14:paraId="5C0C07DD">
            <w:pPr>
              <w:pStyle w:val="27"/>
              <w:spacing w:line="240" w:lineRule="exact"/>
              <w:rPr>
                <w:rFonts w:hint="eastAsia" w:hAnsi="宋体"/>
                <w:color w:val="auto"/>
                <w:highlight w:val="none"/>
              </w:rPr>
            </w:pPr>
          </w:p>
        </w:tc>
      </w:tr>
    </w:tbl>
    <w:p w14:paraId="4573AD4A">
      <w:pPr>
        <w:snapToGrid w:val="0"/>
        <w:spacing w:line="600" w:lineRule="exact"/>
        <w:jc w:val="left"/>
        <w:outlineLvl w:val="4"/>
        <w:rPr>
          <w:rFonts w:hint="eastAsia" w:ascii="宋体" w:hAnsi="宋体"/>
          <w:color w:val="auto"/>
          <w:szCs w:val="21"/>
          <w:highlight w:val="none"/>
        </w:rPr>
      </w:pPr>
      <w:r>
        <w:rPr>
          <w:rFonts w:hint="eastAsia" w:ascii="宋体" w:hAnsi="宋体"/>
          <w:color w:val="auto"/>
          <w:szCs w:val="21"/>
          <w:highlight w:val="none"/>
        </w:rPr>
        <w:t xml:space="preserve">            </w:t>
      </w:r>
    </w:p>
    <w:p w14:paraId="4D12A0CC">
      <w:pPr>
        <w:pStyle w:val="27"/>
        <w:spacing w:line="600" w:lineRule="exact"/>
        <w:ind w:firstLine="420"/>
        <w:jc w:val="left"/>
        <w:rPr>
          <w:rFonts w:hint="eastAsia" w:hAnsi="宋体"/>
          <w:color w:val="auto"/>
          <w:szCs w:val="21"/>
          <w:highlight w:val="none"/>
          <w:u w:val="single"/>
        </w:rPr>
      </w:pPr>
      <w:r>
        <w:rPr>
          <w:rFonts w:hint="eastAsia" w:hAnsi="宋体"/>
          <w:color w:val="auto"/>
          <w:szCs w:val="21"/>
          <w:highlight w:val="none"/>
        </w:rPr>
        <w:t xml:space="preserve">         </w:t>
      </w:r>
      <w:r>
        <w:rPr>
          <w:rFonts w:hint="eastAsia" w:hAnsi="宋体"/>
          <w:color w:val="auto"/>
          <w:highlight w:val="none"/>
        </w:rPr>
        <w:t xml:space="preserve">投标人 </w:t>
      </w:r>
      <w:r>
        <w:rPr>
          <w:rFonts w:hint="eastAsia" w:hAnsi="宋体"/>
          <w:color w:val="auto"/>
          <w:highlight w:val="none"/>
          <w:lang w:eastAsia="zh-CN"/>
        </w:rPr>
        <w:t>（</w:t>
      </w:r>
      <w:r>
        <w:rPr>
          <w:rFonts w:hint="eastAsia" w:hAnsi="宋体"/>
          <w:color w:val="auto"/>
          <w:highlight w:val="none"/>
        </w:rPr>
        <w:t>电子签章</w:t>
      </w:r>
      <w:r>
        <w:rPr>
          <w:rFonts w:hint="eastAsia" w:hAnsi="宋体"/>
          <w:color w:val="auto"/>
          <w:highlight w:val="none"/>
          <w:lang w:eastAsia="zh-CN"/>
        </w:rPr>
        <w:t>）</w:t>
      </w:r>
      <w:r>
        <w:rPr>
          <w:rFonts w:hint="eastAsia" w:hAnsi="宋体"/>
          <w:color w:val="auto"/>
          <w:highlight w:val="none"/>
        </w:rPr>
        <w:t>：</w:t>
      </w:r>
      <w:r>
        <w:rPr>
          <w:rFonts w:hint="eastAsia" w:hAnsi="宋体"/>
          <w:color w:val="auto"/>
          <w:szCs w:val="21"/>
          <w:highlight w:val="none"/>
          <w:u w:val="single"/>
        </w:rPr>
        <w:t xml:space="preserve">                                     </w:t>
      </w:r>
    </w:p>
    <w:p w14:paraId="763BE9DF">
      <w:pPr>
        <w:pStyle w:val="27"/>
        <w:spacing w:line="600" w:lineRule="exact"/>
        <w:ind w:firstLine="420"/>
        <w:jc w:val="left"/>
        <w:rPr>
          <w:rFonts w:hint="eastAsia" w:hAnsi="宋体"/>
          <w:color w:val="auto"/>
          <w:szCs w:val="21"/>
          <w:highlight w:val="none"/>
          <w:u w:val="single"/>
        </w:rPr>
      </w:pPr>
      <w:r>
        <w:rPr>
          <w:rFonts w:hint="eastAsia" w:hAnsi="宋体"/>
          <w:color w:val="auto"/>
          <w:szCs w:val="21"/>
          <w:highlight w:val="none"/>
        </w:rPr>
        <w:t xml:space="preserve">        法定代表人</w:t>
      </w:r>
      <w:r>
        <w:rPr>
          <w:rFonts w:hint="eastAsia" w:hAnsi="宋体"/>
          <w:color w:val="auto"/>
          <w:highlight w:val="none"/>
        </w:rPr>
        <w:t>或相应的委托代理人签字（或者电子签名）：</w:t>
      </w:r>
      <w:r>
        <w:rPr>
          <w:rFonts w:hint="eastAsia" w:hAnsi="宋体"/>
          <w:color w:val="auto"/>
          <w:szCs w:val="21"/>
          <w:highlight w:val="none"/>
          <w:u w:val="single"/>
        </w:rPr>
        <w:t xml:space="preserve">                              </w:t>
      </w:r>
    </w:p>
    <w:p w14:paraId="61A8582E">
      <w:pPr>
        <w:spacing w:line="600" w:lineRule="exact"/>
        <w:jc w:val="left"/>
        <w:rPr>
          <w:rFonts w:hint="eastAsia"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362B3C8A">
      <w:pPr>
        <w:snapToGrid w:val="0"/>
        <w:spacing w:line="600" w:lineRule="exact"/>
        <w:jc w:val="left"/>
        <w:outlineLvl w:val="4"/>
        <w:rPr>
          <w:rFonts w:hint="eastAsia" w:hAnsi="宋体"/>
          <w:b/>
          <w:color w:val="auto"/>
          <w:highlight w:val="none"/>
        </w:rPr>
      </w:pPr>
    </w:p>
    <w:p w14:paraId="2CD208CC">
      <w:pPr>
        <w:pStyle w:val="27"/>
        <w:rPr>
          <w:rFonts w:hint="eastAsia" w:hAnsi="宋体"/>
          <w:color w:val="auto"/>
          <w:highlight w:val="none"/>
        </w:rPr>
      </w:pPr>
    </w:p>
    <w:p w14:paraId="7665DA3A">
      <w:pPr>
        <w:pStyle w:val="27"/>
        <w:rPr>
          <w:rFonts w:hint="eastAsia" w:hAnsi="宋体"/>
          <w:color w:val="auto"/>
          <w:highlight w:val="none"/>
        </w:rPr>
      </w:pPr>
    </w:p>
    <w:p w14:paraId="23680948">
      <w:pPr>
        <w:pStyle w:val="13"/>
        <w:ind w:firstLine="420"/>
        <w:rPr>
          <w:rFonts w:hint="eastAsia"/>
          <w:color w:val="auto"/>
          <w:highlight w:val="none"/>
        </w:rPr>
      </w:pPr>
    </w:p>
    <w:p w14:paraId="259C12B0">
      <w:pPr>
        <w:rPr>
          <w:rFonts w:hint="eastAsia"/>
          <w:color w:val="auto"/>
          <w:highlight w:val="none"/>
        </w:rPr>
      </w:pPr>
    </w:p>
    <w:p w14:paraId="16A74F8B">
      <w:pPr>
        <w:rPr>
          <w:rFonts w:hint="eastAsia"/>
          <w:color w:val="auto"/>
          <w:highlight w:val="none"/>
        </w:rPr>
      </w:pPr>
    </w:p>
    <w:p w14:paraId="4620E00C">
      <w:pPr>
        <w:rPr>
          <w:rFonts w:hint="eastAsia"/>
          <w:color w:val="auto"/>
          <w:highlight w:val="none"/>
        </w:rPr>
      </w:pPr>
    </w:p>
    <w:p w14:paraId="39359119">
      <w:pPr>
        <w:rPr>
          <w:rFonts w:hint="eastAsia"/>
          <w:color w:val="auto"/>
          <w:highlight w:val="none"/>
        </w:rPr>
      </w:pPr>
    </w:p>
    <w:p w14:paraId="43330081">
      <w:pPr>
        <w:rPr>
          <w:rFonts w:hint="eastAsia"/>
          <w:color w:val="auto"/>
          <w:highlight w:val="none"/>
        </w:rPr>
      </w:pPr>
    </w:p>
    <w:p w14:paraId="0774ECB7">
      <w:pPr>
        <w:rPr>
          <w:rFonts w:hint="eastAsia"/>
          <w:color w:val="auto"/>
          <w:highlight w:val="none"/>
        </w:rPr>
      </w:pPr>
    </w:p>
    <w:p w14:paraId="505519EE">
      <w:pPr>
        <w:pStyle w:val="27"/>
        <w:spacing w:line="400" w:lineRule="exact"/>
        <w:rPr>
          <w:rFonts w:hint="eastAsia" w:hAnsi="宋体"/>
          <w:b/>
          <w:color w:val="auto"/>
          <w:sz w:val="32"/>
          <w:szCs w:val="32"/>
          <w:highlight w:val="none"/>
        </w:rPr>
      </w:pPr>
    </w:p>
    <w:p w14:paraId="1A8F1CDC">
      <w:pPr>
        <w:pStyle w:val="27"/>
        <w:spacing w:line="400" w:lineRule="exact"/>
        <w:rPr>
          <w:rFonts w:hint="eastAsia" w:hAnsi="宋体"/>
          <w:b/>
          <w:color w:val="auto"/>
          <w:sz w:val="32"/>
          <w:szCs w:val="32"/>
          <w:highlight w:val="none"/>
        </w:rPr>
      </w:pPr>
      <w:r>
        <w:rPr>
          <w:rFonts w:hint="eastAsia" w:hAnsi="宋体"/>
          <w:b/>
          <w:color w:val="auto"/>
          <w:sz w:val="32"/>
          <w:szCs w:val="32"/>
          <w:highlight w:val="none"/>
        </w:rPr>
        <w:t>5.“采购需求”中要求必须提供的有效证明文件（“采购需求”中要求必须提供的，必须提供）</w:t>
      </w:r>
    </w:p>
    <w:p w14:paraId="207A383D">
      <w:pPr>
        <w:spacing w:line="380" w:lineRule="exact"/>
        <w:rPr>
          <w:rFonts w:hint="eastAsia" w:ascii="宋体" w:hAnsi="宋体"/>
          <w:b/>
          <w:bCs/>
          <w:color w:val="auto"/>
          <w:sz w:val="32"/>
          <w:szCs w:val="32"/>
          <w:highlight w:val="none"/>
        </w:rPr>
      </w:pPr>
      <w:r>
        <w:rPr>
          <w:rFonts w:hint="eastAsia" w:ascii="宋体" w:hAnsi="宋体"/>
          <w:b/>
          <w:bCs/>
          <w:color w:val="auto"/>
          <w:szCs w:val="21"/>
          <w:highlight w:val="none"/>
        </w:rPr>
        <w:t>注：“采购需求”中要求必须提供的有效证明文件包括但不限于：投标人</w:t>
      </w:r>
      <w:r>
        <w:rPr>
          <w:rFonts w:hint="eastAsia" w:ascii="宋体" w:hAnsi="宋体"/>
          <w:b/>
          <w:bCs/>
          <w:color w:val="auto"/>
          <w:highlight w:val="none"/>
        </w:rPr>
        <w:t>所投</w:t>
      </w:r>
      <w:r>
        <w:rPr>
          <w:rFonts w:hint="eastAsia" w:ascii="宋体" w:hAnsi="宋体"/>
          <w:b/>
          <w:bCs/>
          <w:color w:val="auto"/>
          <w:highlight w:val="none"/>
          <w:lang w:eastAsia="zh-CN"/>
        </w:rPr>
        <w:t>产品</w:t>
      </w:r>
      <w:r>
        <w:rPr>
          <w:rFonts w:hint="eastAsia" w:ascii="宋体" w:hAnsi="宋体"/>
          <w:b/>
          <w:bCs/>
          <w:color w:val="auto"/>
          <w:highlight w:val="none"/>
        </w:rPr>
        <w:t>相应有效的《中华人民共和国医疗器械注册证》复印件（必须包括产品相应的许可事项和登记事项，否则，应附注册登记表或认可表资料，要求清晰反映相关内容）。</w:t>
      </w:r>
    </w:p>
    <w:p w14:paraId="3B8111C3">
      <w:pPr>
        <w:spacing w:line="380" w:lineRule="exact"/>
        <w:rPr>
          <w:rFonts w:hint="eastAsia" w:ascii="宋体" w:hAnsi="宋体"/>
          <w:b/>
          <w:color w:val="auto"/>
          <w:sz w:val="32"/>
          <w:szCs w:val="32"/>
          <w:highlight w:val="none"/>
        </w:rPr>
      </w:pPr>
    </w:p>
    <w:p w14:paraId="68125930">
      <w:pPr>
        <w:spacing w:line="380" w:lineRule="exact"/>
        <w:rPr>
          <w:rFonts w:hint="eastAsia" w:ascii="宋体" w:hAnsi="宋体" w:eastAsia="宋体" w:cs="Times New Roman"/>
          <w:b/>
          <w:color w:val="auto"/>
          <w:sz w:val="32"/>
          <w:szCs w:val="32"/>
          <w:highlight w:val="none"/>
          <w:lang w:val="en-US" w:eastAsia="zh-CN"/>
        </w:rPr>
      </w:pPr>
    </w:p>
    <w:p w14:paraId="0B332B08">
      <w:pPr>
        <w:spacing w:line="380" w:lineRule="exact"/>
        <w:rPr>
          <w:rFonts w:hint="eastAsia" w:ascii="宋体" w:hAnsi="宋体" w:eastAsia="宋体" w:cs="Times New Roman"/>
          <w:b/>
          <w:color w:val="auto"/>
          <w:sz w:val="32"/>
          <w:szCs w:val="32"/>
          <w:highlight w:val="none"/>
          <w:lang w:val="en-US" w:eastAsia="zh-CN"/>
        </w:rPr>
      </w:pPr>
    </w:p>
    <w:p w14:paraId="1B88F33B">
      <w:pPr>
        <w:spacing w:line="380" w:lineRule="exact"/>
        <w:rPr>
          <w:rFonts w:hint="eastAsia" w:ascii="宋体" w:hAnsi="宋体" w:eastAsia="宋体" w:cs="Times New Roman"/>
          <w:b/>
          <w:color w:val="auto"/>
          <w:sz w:val="32"/>
          <w:szCs w:val="32"/>
          <w:highlight w:val="none"/>
          <w:lang w:val="en-US" w:eastAsia="zh-CN"/>
        </w:rPr>
      </w:pPr>
      <w:r>
        <w:rPr>
          <w:rFonts w:hint="eastAsia" w:ascii="宋体" w:hAnsi="宋体" w:eastAsia="宋体" w:cs="Times New Roman"/>
          <w:b/>
          <w:color w:val="auto"/>
          <w:sz w:val="32"/>
          <w:szCs w:val="32"/>
          <w:highlight w:val="none"/>
          <w:lang w:val="en-US" w:eastAsia="zh-CN"/>
        </w:rPr>
        <w:t>6.项目实施方案（如有，请提供）</w:t>
      </w:r>
    </w:p>
    <w:p w14:paraId="027B9368">
      <w:pPr>
        <w:spacing w:line="400" w:lineRule="exact"/>
        <w:rPr>
          <w:rFonts w:hint="eastAsia"/>
          <w:b/>
          <w:color w:val="auto"/>
          <w:sz w:val="30"/>
          <w:szCs w:val="30"/>
          <w:highlight w:val="none"/>
        </w:rPr>
      </w:pPr>
      <w:r>
        <w:rPr>
          <w:rFonts w:hint="eastAsia"/>
          <w:b/>
          <w:color w:val="auto"/>
          <w:sz w:val="30"/>
          <w:szCs w:val="30"/>
          <w:highlight w:val="none"/>
        </w:rPr>
        <w:t>附件：</w:t>
      </w:r>
    </w:p>
    <w:p w14:paraId="788A8249">
      <w:pPr>
        <w:pStyle w:val="27"/>
        <w:ind w:firstLine="472" w:firstLineChars="147"/>
        <w:jc w:val="center"/>
        <w:rPr>
          <w:rFonts w:hAnsi="宋体"/>
          <w:b/>
          <w:bCs/>
          <w:color w:val="auto"/>
          <w:sz w:val="32"/>
          <w:highlight w:val="none"/>
        </w:rPr>
      </w:pPr>
      <w:r>
        <w:rPr>
          <w:rFonts w:hint="eastAsia" w:ascii="宋体" w:hAnsi="宋体" w:eastAsia="宋体" w:cs="Times New Roman"/>
          <w:b/>
          <w:color w:val="auto"/>
          <w:sz w:val="32"/>
          <w:szCs w:val="32"/>
          <w:highlight w:val="none"/>
          <w:lang w:val="en-US" w:eastAsia="zh-CN"/>
        </w:rPr>
        <w:t>项目实施方案</w:t>
      </w:r>
      <w:r>
        <w:rPr>
          <w:rFonts w:hint="eastAsia" w:hAnsi="宋体"/>
          <w:b/>
          <w:bCs/>
          <w:color w:val="auto"/>
          <w:sz w:val="32"/>
          <w:highlight w:val="none"/>
        </w:rPr>
        <w:t>（格式）</w:t>
      </w:r>
    </w:p>
    <w:p w14:paraId="4AC6D5A4">
      <w:pPr>
        <w:pStyle w:val="27"/>
        <w:spacing w:line="600" w:lineRule="exact"/>
        <w:ind w:firstLine="420"/>
        <w:jc w:val="left"/>
        <w:rPr>
          <w:rFonts w:hint="eastAsia" w:hAnsi="宋体"/>
          <w:color w:val="auto"/>
          <w:szCs w:val="21"/>
          <w:highlight w:val="none"/>
        </w:rPr>
      </w:pPr>
    </w:p>
    <w:p w14:paraId="36486D60">
      <w:pPr>
        <w:tabs>
          <w:tab w:val="left" w:pos="1305"/>
        </w:tabs>
        <w:spacing w:line="360" w:lineRule="exact"/>
        <w:ind w:firstLine="404" w:firstLineChars="200"/>
        <w:rPr>
          <w:rFonts w:hint="eastAsia" w:hAnsi="宋体" w:cs="宋体"/>
          <w:color w:val="auto"/>
          <w:kern w:val="0"/>
          <w:szCs w:val="21"/>
          <w:highlight w:val="none"/>
          <w:lang w:eastAsia="zh-CN"/>
        </w:rPr>
      </w:pPr>
      <w:r>
        <w:rPr>
          <w:rFonts w:hint="eastAsia" w:hAnsi="宋体"/>
          <w:color w:val="auto"/>
          <w:spacing w:val="-4"/>
          <w:highlight w:val="none"/>
          <w:lang w:eastAsia="zh-CN"/>
        </w:rPr>
        <w:t>一、</w:t>
      </w:r>
      <w:r>
        <w:rPr>
          <w:rFonts w:hint="eastAsia" w:hAnsi="宋体" w:cs="宋体"/>
          <w:color w:val="auto"/>
          <w:szCs w:val="21"/>
          <w:highlight w:val="none"/>
        </w:rPr>
        <w:t>配送计划</w:t>
      </w:r>
    </w:p>
    <w:p w14:paraId="3528DC33">
      <w:pPr>
        <w:tabs>
          <w:tab w:val="left" w:pos="1305"/>
        </w:tabs>
        <w:spacing w:line="360" w:lineRule="exact"/>
        <w:ind w:firstLine="420" w:firstLineChars="200"/>
        <w:rPr>
          <w:rFonts w:hint="eastAsia" w:hAnsi="宋体"/>
          <w:color w:val="auto"/>
          <w:spacing w:val="-4"/>
          <w:highlight w:val="none"/>
          <w:lang w:eastAsia="zh-CN"/>
        </w:rPr>
      </w:pPr>
      <w:r>
        <w:rPr>
          <w:rFonts w:hAnsi="宋体"/>
          <w:color w:val="auto"/>
          <w:szCs w:val="21"/>
          <w:highlight w:val="none"/>
        </w:rPr>
        <w:t>……</w:t>
      </w:r>
    </w:p>
    <w:p w14:paraId="100A1196">
      <w:pPr>
        <w:tabs>
          <w:tab w:val="left" w:pos="1305"/>
        </w:tabs>
        <w:spacing w:line="360" w:lineRule="exact"/>
        <w:ind w:firstLine="404" w:firstLineChars="200"/>
        <w:rPr>
          <w:rFonts w:hint="eastAsia" w:hAnsi="宋体"/>
          <w:color w:val="auto"/>
          <w:spacing w:val="-4"/>
          <w:highlight w:val="none"/>
        </w:rPr>
      </w:pPr>
      <w:r>
        <w:rPr>
          <w:rFonts w:hint="eastAsia" w:hAnsi="宋体"/>
          <w:color w:val="auto"/>
          <w:spacing w:val="-4"/>
          <w:highlight w:val="none"/>
          <w:lang w:eastAsia="zh-CN"/>
        </w:rPr>
        <w:t>二、</w:t>
      </w:r>
      <w:r>
        <w:rPr>
          <w:rFonts w:hint="eastAsia" w:hAnsi="宋体" w:cs="宋体"/>
          <w:color w:val="auto"/>
          <w:szCs w:val="21"/>
          <w:highlight w:val="none"/>
        </w:rPr>
        <w:t>安装方案</w:t>
      </w:r>
    </w:p>
    <w:p w14:paraId="71A30CBF">
      <w:pPr>
        <w:tabs>
          <w:tab w:val="left" w:pos="1305"/>
        </w:tabs>
        <w:spacing w:line="360" w:lineRule="exact"/>
        <w:ind w:firstLine="420" w:firstLineChars="200"/>
        <w:rPr>
          <w:rFonts w:hint="eastAsia" w:hAnsi="宋体"/>
          <w:color w:val="auto"/>
          <w:spacing w:val="-4"/>
          <w:highlight w:val="none"/>
        </w:rPr>
      </w:pPr>
      <w:r>
        <w:rPr>
          <w:rFonts w:hAnsi="宋体"/>
          <w:color w:val="auto"/>
          <w:szCs w:val="21"/>
          <w:highlight w:val="none"/>
        </w:rPr>
        <w:t>……</w:t>
      </w:r>
    </w:p>
    <w:p w14:paraId="180261B5">
      <w:pPr>
        <w:tabs>
          <w:tab w:val="left" w:pos="1305"/>
        </w:tabs>
        <w:spacing w:line="360" w:lineRule="exact"/>
        <w:ind w:firstLine="404" w:firstLineChars="200"/>
        <w:rPr>
          <w:rFonts w:hint="eastAsia" w:hAnsi="宋体"/>
          <w:color w:val="auto"/>
          <w:spacing w:val="-4"/>
          <w:highlight w:val="none"/>
        </w:rPr>
      </w:pPr>
      <w:r>
        <w:rPr>
          <w:rFonts w:hint="eastAsia" w:hAnsi="宋体"/>
          <w:color w:val="auto"/>
          <w:spacing w:val="-4"/>
          <w:highlight w:val="none"/>
          <w:lang w:eastAsia="zh-CN"/>
        </w:rPr>
        <w:t>三、</w:t>
      </w:r>
      <w:r>
        <w:rPr>
          <w:rFonts w:hint="eastAsia" w:hAnsi="宋体" w:cs="宋体"/>
          <w:color w:val="auto"/>
          <w:szCs w:val="21"/>
          <w:highlight w:val="none"/>
        </w:rPr>
        <w:t>设备调试</w:t>
      </w:r>
    </w:p>
    <w:p w14:paraId="6CB8E997">
      <w:pPr>
        <w:tabs>
          <w:tab w:val="left" w:pos="1305"/>
        </w:tabs>
        <w:spacing w:line="360" w:lineRule="exact"/>
        <w:ind w:firstLine="420" w:firstLineChars="200"/>
        <w:rPr>
          <w:rFonts w:hAnsi="宋体"/>
          <w:color w:val="auto"/>
          <w:szCs w:val="21"/>
          <w:highlight w:val="none"/>
        </w:rPr>
      </w:pPr>
      <w:r>
        <w:rPr>
          <w:rFonts w:hAnsi="宋体"/>
          <w:color w:val="auto"/>
          <w:szCs w:val="21"/>
          <w:highlight w:val="none"/>
        </w:rPr>
        <w:t>……</w:t>
      </w:r>
    </w:p>
    <w:p w14:paraId="4B49C07F">
      <w:pPr>
        <w:tabs>
          <w:tab w:val="left" w:pos="1305"/>
        </w:tabs>
        <w:spacing w:line="360" w:lineRule="exact"/>
        <w:ind w:firstLine="420" w:firstLineChars="200"/>
        <w:rPr>
          <w:rFonts w:ascii="宋体" w:hAnsi="宋体"/>
          <w:color w:val="auto"/>
          <w:highlight w:val="none"/>
        </w:rPr>
      </w:pPr>
      <w:r>
        <w:rPr>
          <w:rFonts w:hint="eastAsia" w:hAnsi="宋体" w:cs="宋体"/>
          <w:color w:val="auto"/>
          <w:kern w:val="0"/>
          <w:szCs w:val="21"/>
          <w:highlight w:val="none"/>
          <w:lang w:eastAsia="zh-CN"/>
        </w:rPr>
        <w:t>四、</w:t>
      </w:r>
      <w:r>
        <w:rPr>
          <w:rFonts w:hint="eastAsia" w:hAnsi="宋体" w:cs="宋体"/>
          <w:color w:val="auto"/>
          <w:szCs w:val="21"/>
          <w:highlight w:val="none"/>
        </w:rPr>
        <w:t>设备试运行</w:t>
      </w:r>
    </w:p>
    <w:p w14:paraId="6204A60A">
      <w:pPr>
        <w:pStyle w:val="27"/>
        <w:spacing w:line="600" w:lineRule="exact"/>
        <w:ind w:firstLine="420"/>
        <w:jc w:val="left"/>
        <w:rPr>
          <w:rFonts w:hint="eastAsia" w:hAnsi="宋体"/>
          <w:color w:val="auto"/>
          <w:szCs w:val="21"/>
          <w:highlight w:val="none"/>
        </w:rPr>
      </w:pPr>
      <w:r>
        <w:rPr>
          <w:rFonts w:hAnsi="宋体"/>
          <w:color w:val="auto"/>
          <w:szCs w:val="21"/>
          <w:highlight w:val="none"/>
        </w:rPr>
        <w:t>……</w:t>
      </w:r>
    </w:p>
    <w:p w14:paraId="003B36F8">
      <w:pPr>
        <w:pStyle w:val="27"/>
        <w:spacing w:line="600" w:lineRule="exact"/>
        <w:ind w:firstLine="420"/>
        <w:jc w:val="left"/>
        <w:rPr>
          <w:rFonts w:hint="eastAsia" w:hAnsi="宋体"/>
          <w:color w:val="auto"/>
          <w:szCs w:val="21"/>
          <w:highlight w:val="none"/>
          <w:u w:val="single"/>
        </w:rPr>
      </w:pPr>
      <w:r>
        <w:rPr>
          <w:rFonts w:hint="eastAsia" w:hAnsi="宋体"/>
          <w:color w:val="auto"/>
          <w:szCs w:val="21"/>
          <w:highlight w:val="none"/>
        </w:rPr>
        <w:t xml:space="preserve">        </w:t>
      </w:r>
      <w:r>
        <w:rPr>
          <w:rFonts w:hint="eastAsia" w:hAnsi="宋体"/>
          <w:color w:val="auto"/>
          <w:highlight w:val="none"/>
        </w:rPr>
        <w:t xml:space="preserve">投标人 </w:t>
      </w:r>
      <w:r>
        <w:rPr>
          <w:rFonts w:hint="eastAsia" w:hAnsi="宋体"/>
          <w:color w:val="auto"/>
          <w:highlight w:val="none"/>
          <w:lang w:eastAsia="zh-CN"/>
        </w:rPr>
        <w:t>（</w:t>
      </w:r>
      <w:r>
        <w:rPr>
          <w:rFonts w:hint="eastAsia" w:hAnsi="宋体"/>
          <w:color w:val="auto"/>
          <w:highlight w:val="none"/>
        </w:rPr>
        <w:t>电子签章</w:t>
      </w:r>
      <w:r>
        <w:rPr>
          <w:rFonts w:hint="eastAsia" w:hAnsi="宋体"/>
          <w:color w:val="auto"/>
          <w:highlight w:val="none"/>
          <w:lang w:eastAsia="zh-CN"/>
        </w:rPr>
        <w:t>）</w:t>
      </w:r>
      <w:r>
        <w:rPr>
          <w:rFonts w:hint="eastAsia" w:hAnsi="宋体"/>
          <w:color w:val="auto"/>
          <w:highlight w:val="none"/>
        </w:rPr>
        <w:t>：</w:t>
      </w:r>
      <w:r>
        <w:rPr>
          <w:rFonts w:hint="eastAsia" w:hAnsi="宋体"/>
          <w:color w:val="auto"/>
          <w:szCs w:val="21"/>
          <w:highlight w:val="none"/>
          <w:u w:val="single"/>
        </w:rPr>
        <w:t xml:space="preserve">                                     </w:t>
      </w:r>
    </w:p>
    <w:p w14:paraId="7662C983">
      <w:pPr>
        <w:pStyle w:val="27"/>
        <w:spacing w:line="600" w:lineRule="exact"/>
        <w:ind w:firstLine="420"/>
        <w:jc w:val="left"/>
        <w:rPr>
          <w:rFonts w:hint="eastAsia" w:hAnsi="宋体"/>
          <w:color w:val="auto"/>
          <w:szCs w:val="21"/>
          <w:highlight w:val="none"/>
          <w:u w:val="single"/>
        </w:rPr>
      </w:pPr>
      <w:r>
        <w:rPr>
          <w:rFonts w:hint="eastAsia" w:hAnsi="宋体"/>
          <w:color w:val="auto"/>
          <w:szCs w:val="21"/>
          <w:highlight w:val="none"/>
        </w:rPr>
        <w:t xml:space="preserve">        法定代表人</w:t>
      </w:r>
      <w:r>
        <w:rPr>
          <w:rFonts w:hint="eastAsia" w:hAnsi="宋体"/>
          <w:color w:val="auto"/>
          <w:highlight w:val="none"/>
        </w:rPr>
        <w:t>或相应的委托代理人签字（或者电子签名）：</w:t>
      </w:r>
      <w:r>
        <w:rPr>
          <w:rFonts w:hint="eastAsia" w:hAnsi="宋体"/>
          <w:color w:val="auto"/>
          <w:szCs w:val="21"/>
          <w:highlight w:val="none"/>
          <w:u w:val="single"/>
        </w:rPr>
        <w:t xml:space="preserve">                              </w:t>
      </w:r>
    </w:p>
    <w:p w14:paraId="46CB916B">
      <w:pPr>
        <w:spacing w:line="600" w:lineRule="exact"/>
        <w:jc w:val="left"/>
        <w:rPr>
          <w:rFonts w:hint="eastAsia"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2C25C5EE">
      <w:pPr>
        <w:spacing w:line="380" w:lineRule="exact"/>
        <w:rPr>
          <w:rFonts w:hint="eastAsia" w:ascii="宋体" w:hAnsi="宋体" w:eastAsia="宋体"/>
          <w:color w:val="auto"/>
          <w:spacing w:val="-4"/>
          <w:highlight w:val="none"/>
        </w:rPr>
      </w:pPr>
    </w:p>
    <w:p w14:paraId="581FF5D1">
      <w:pPr>
        <w:spacing w:line="380" w:lineRule="exact"/>
        <w:rPr>
          <w:rFonts w:hint="eastAsia" w:ascii="宋体" w:hAnsi="宋体" w:eastAsia="宋体"/>
          <w:color w:val="auto"/>
          <w:spacing w:val="-4"/>
          <w:highlight w:val="none"/>
        </w:rPr>
      </w:pPr>
    </w:p>
    <w:p w14:paraId="3F82F96F">
      <w:pPr>
        <w:spacing w:line="380" w:lineRule="exact"/>
        <w:rPr>
          <w:rFonts w:hint="eastAsia" w:ascii="宋体" w:hAnsi="宋体"/>
          <w:b/>
          <w:color w:val="auto"/>
          <w:sz w:val="32"/>
          <w:szCs w:val="32"/>
          <w:highlight w:val="none"/>
        </w:rPr>
      </w:pPr>
    </w:p>
    <w:p w14:paraId="10D68CAC">
      <w:pPr>
        <w:spacing w:line="380" w:lineRule="exact"/>
        <w:rPr>
          <w:rFonts w:hint="eastAsia" w:ascii="宋体" w:hAnsi="宋体"/>
          <w:b/>
          <w:color w:val="auto"/>
          <w:sz w:val="32"/>
          <w:szCs w:val="32"/>
          <w:highlight w:val="none"/>
        </w:rPr>
      </w:pPr>
    </w:p>
    <w:p w14:paraId="7448924F">
      <w:pPr>
        <w:spacing w:line="380" w:lineRule="exact"/>
        <w:rPr>
          <w:rFonts w:hint="eastAsia" w:ascii="宋体" w:hAnsi="宋体"/>
          <w:b/>
          <w:color w:val="auto"/>
          <w:sz w:val="32"/>
          <w:szCs w:val="32"/>
          <w:highlight w:val="none"/>
        </w:rPr>
      </w:pPr>
    </w:p>
    <w:p w14:paraId="126EF78A">
      <w:pPr>
        <w:spacing w:line="380" w:lineRule="exact"/>
        <w:rPr>
          <w:rFonts w:hint="eastAsia" w:ascii="宋体" w:hAnsi="宋体"/>
          <w:b/>
          <w:color w:val="auto"/>
          <w:sz w:val="32"/>
          <w:szCs w:val="32"/>
          <w:highlight w:val="none"/>
        </w:rPr>
      </w:pPr>
    </w:p>
    <w:p w14:paraId="45739FCD">
      <w:pPr>
        <w:spacing w:line="380" w:lineRule="exact"/>
        <w:rPr>
          <w:rFonts w:hint="eastAsia" w:ascii="宋体" w:hAnsi="宋体"/>
          <w:b/>
          <w:color w:val="auto"/>
          <w:sz w:val="32"/>
          <w:szCs w:val="32"/>
          <w:highlight w:val="none"/>
        </w:rPr>
      </w:pPr>
    </w:p>
    <w:p w14:paraId="4303D2AE">
      <w:pPr>
        <w:spacing w:line="380" w:lineRule="exact"/>
        <w:rPr>
          <w:rFonts w:hint="eastAsia" w:ascii="宋体" w:hAnsi="宋体"/>
          <w:b/>
          <w:color w:val="auto"/>
          <w:sz w:val="32"/>
          <w:szCs w:val="32"/>
          <w:highlight w:val="none"/>
        </w:rPr>
      </w:pPr>
    </w:p>
    <w:p w14:paraId="0A2F63F6">
      <w:pPr>
        <w:spacing w:line="380" w:lineRule="exact"/>
        <w:rPr>
          <w:rFonts w:hint="eastAsia" w:ascii="宋体" w:hAnsi="宋体"/>
          <w:b/>
          <w:color w:val="auto"/>
          <w:sz w:val="32"/>
          <w:szCs w:val="32"/>
          <w:highlight w:val="none"/>
        </w:rPr>
      </w:pPr>
    </w:p>
    <w:p w14:paraId="22D423ED">
      <w:pPr>
        <w:spacing w:line="380" w:lineRule="exact"/>
        <w:rPr>
          <w:rFonts w:hint="eastAsia" w:ascii="宋体" w:hAnsi="宋体"/>
          <w:b/>
          <w:color w:val="auto"/>
          <w:sz w:val="32"/>
          <w:szCs w:val="32"/>
          <w:highlight w:val="none"/>
        </w:rPr>
      </w:pPr>
    </w:p>
    <w:p w14:paraId="4F118052">
      <w:pPr>
        <w:spacing w:line="380" w:lineRule="exact"/>
        <w:rPr>
          <w:rFonts w:hint="eastAsia" w:ascii="宋体" w:hAnsi="宋体"/>
          <w:b/>
          <w:color w:val="auto"/>
          <w:sz w:val="32"/>
          <w:szCs w:val="32"/>
          <w:highlight w:val="none"/>
        </w:rPr>
      </w:pPr>
    </w:p>
    <w:p w14:paraId="207BB30A">
      <w:pPr>
        <w:spacing w:line="380" w:lineRule="exact"/>
        <w:rPr>
          <w:rFonts w:ascii="宋体" w:hAnsi="宋体"/>
          <w:b/>
          <w:color w:val="auto"/>
          <w:sz w:val="32"/>
          <w:szCs w:val="32"/>
          <w:highlight w:val="none"/>
        </w:rPr>
      </w:pPr>
      <w:r>
        <w:rPr>
          <w:rFonts w:hint="eastAsia" w:ascii="宋体" w:hAnsi="宋体"/>
          <w:b/>
          <w:color w:val="auto"/>
          <w:sz w:val="32"/>
          <w:szCs w:val="32"/>
          <w:highlight w:val="none"/>
          <w:lang w:val="en-US" w:eastAsia="zh-CN"/>
        </w:rPr>
        <w:t>7</w:t>
      </w:r>
      <w:r>
        <w:rPr>
          <w:rFonts w:hint="eastAsia" w:ascii="宋体" w:hAnsi="宋体"/>
          <w:b/>
          <w:color w:val="auto"/>
          <w:sz w:val="32"/>
          <w:szCs w:val="32"/>
          <w:highlight w:val="none"/>
        </w:rPr>
        <w:t>.售后服务实施方案（如有，请提供）</w:t>
      </w:r>
    </w:p>
    <w:p w14:paraId="43627E00">
      <w:pPr>
        <w:spacing w:line="400" w:lineRule="exact"/>
        <w:rPr>
          <w:rFonts w:hint="eastAsia"/>
          <w:b/>
          <w:color w:val="auto"/>
          <w:sz w:val="30"/>
          <w:szCs w:val="30"/>
          <w:highlight w:val="none"/>
        </w:rPr>
      </w:pPr>
      <w:r>
        <w:rPr>
          <w:rFonts w:hint="eastAsia"/>
          <w:b/>
          <w:color w:val="auto"/>
          <w:sz w:val="30"/>
          <w:szCs w:val="30"/>
          <w:highlight w:val="none"/>
        </w:rPr>
        <w:t>附件：</w:t>
      </w:r>
    </w:p>
    <w:p w14:paraId="61D9C781">
      <w:pPr>
        <w:pStyle w:val="27"/>
        <w:ind w:firstLine="472" w:firstLineChars="147"/>
        <w:jc w:val="center"/>
        <w:rPr>
          <w:rFonts w:hAnsi="宋体"/>
          <w:b/>
          <w:bCs/>
          <w:color w:val="auto"/>
          <w:sz w:val="32"/>
          <w:highlight w:val="none"/>
        </w:rPr>
      </w:pPr>
      <w:r>
        <w:rPr>
          <w:rFonts w:hint="eastAsia" w:hAnsi="宋体"/>
          <w:b/>
          <w:bCs/>
          <w:color w:val="auto"/>
          <w:sz w:val="32"/>
          <w:highlight w:val="none"/>
        </w:rPr>
        <w:t>售后服务实施方案（格式）</w:t>
      </w:r>
    </w:p>
    <w:p w14:paraId="2D3C28B0">
      <w:pPr>
        <w:pStyle w:val="27"/>
        <w:spacing w:line="600" w:lineRule="exact"/>
        <w:ind w:firstLine="420"/>
        <w:jc w:val="left"/>
        <w:rPr>
          <w:rFonts w:hint="eastAsia" w:hAnsi="宋体"/>
          <w:color w:val="auto"/>
          <w:szCs w:val="21"/>
          <w:highlight w:val="none"/>
        </w:rPr>
      </w:pPr>
    </w:p>
    <w:p w14:paraId="6CCE34F0">
      <w:pPr>
        <w:tabs>
          <w:tab w:val="left" w:pos="1305"/>
        </w:tabs>
        <w:spacing w:line="360" w:lineRule="exact"/>
        <w:ind w:firstLine="404" w:firstLineChars="200"/>
        <w:rPr>
          <w:rFonts w:hint="eastAsia" w:hAnsi="宋体" w:cs="宋体"/>
          <w:color w:val="auto"/>
          <w:kern w:val="0"/>
          <w:szCs w:val="21"/>
          <w:highlight w:val="none"/>
          <w:lang w:eastAsia="zh-CN"/>
        </w:rPr>
      </w:pPr>
      <w:r>
        <w:rPr>
          <w:rFonts w:hint="eastAsia" w:hAnsi="宋体"/>
          <w:color w:val="auto"/>
          <w:spacing w:val="-4"/>
          <w:highlight w:val="none"/>
          <w:lang w:eastAsia="zh-CN"/>
        </w:rPr>
        <w:t>一、</w:t>
      </w:r>
      <w:r>
        <w:rPr>
          <w:rFonts w:hint="eastAsia" w:hAnsi="宋体" w:cs="宋体"/>
          <w:color w:val="auto"/>
          <w:kern w:val="0"/>
          <w:szCs w:val="21"/>
          <w:highlight w:val="none"/>
        </w:rPr>
        <w:t>售后人员配备情况</w:t>
      </w:r>
    </w:p>
    <w:p w14:paraId="37EBA7D5">
      <w:pPr>
        <w:tabs>
          <w:tab w:val="left" w:pos="1305"/>
        </w:tabs>
        <w:spacing w:line="360" w:lineRule="exact"/>
        <w:ind w:firstLine="420" w:firstLineChars="200"/>
        <w:rPr>
          <w:rFonts w:hint="eastAsia" w:hAnsi="宋体"/>
          <w:color w:val="auto"/>
          <w:spacing w:val="-4"/>
          <w:highlight w:val="none"/>
          <w:lang w:eastAsia="zh-CN"/>
        </w:rPr>
      </w:pPr>
      <w:r>
        <w:rPr>
          <w:rFonts w:hAnsi="宋体"/>
          <w:color w:val="auto"/>
          <w:szCs w:val="21"/>
          <w:highlight w:val="none"/>
        </w:rPr>
        <w:t>……</w:t>
      </w:r>
    </w:p>
    <w:p w14:paraId="731E7A51">
      <w:pPr>
        <w:tabs>
          <w:tab w:val="left" w:pos="1305"/>
        </w:tabs>
        <w:spacing w:line="360" w:lineRule="exact"/>
        <w:ind w:firstLine="404" w:firstLineChars="200"/>
        <w:rPr>
          <w:rFonts w:hint="eastAsia" w:hAnsi="宋体"/>
          <w:color w:val="auto"/>
          <w:spacing w:val="-4"/>
          <w:highlight w:val="none"/>
        </w:rPr>
      </w:pPr>
      <w:r>
        <w:rPr>
          <w:rFonts w:hint="eastAsia" w:hAnsi="宋体"/>
          <w:color w:val="auto"/>
          <w:spacing w:val="-4"/>
          <w:highlight w:val="none"/>
          <w:lang w:eastAsia="zh-CN"/>
        </w:rPr>
        <w:t>二、</w:t>
      </w:r>
      <w:r>
        <w:rPr>
          <w:rFonts w:hint="eastAsia" w:hAnsi="宋体" w:cs="宋体"/>
          <w:color w:val="auto"/>
          <w:kern w:val="0"/>
          <w:szCs w:val="21"/>
          <w:highlight w:val="none"/>
        </w:rPr>
        <w:t xml:space="preserve">定期维护 </w:t>
      </w:r>
      <w:r>
        <w:rPr>
          <w:rFonts w:hint="eastAsia" w:hAnsi="宋体" w:cs="宋体"/>
          <w:color w:val="auto"/>
          <w:kern w:val="0"/>
          <w:szCs w:val="21"/>
          <w:highlight w:val="none"/>
          <w:lang w:eastAsia="zh-CN"/>
        </w:rPr>
        <w:t>（</w:t>
      </w:r>
      <w:r>
        <w:rPr>
          <w:rFonts w:hint="eastAsia" w:hAnsi="宋体" w:cs="宋体"/>
          <w:color w:val="auto"/>
          <w:kern w:val="0"/>
          <w:szCs w:val="21"/>
          <w:highlight w:val="none"/>
        </w:rPr>
        <w:t>注明时间</w:t>
      </w:r>
      <w:r>
        <w:rPr>
          <w:rFonts w:hint="eastAsia" w:hAnsi="宋体" w:cs="宋体"/>
          <w:color w:val="auto"/>
          <w:kern w:val="0"/>
          <w:szCs w:val="21"/>
          <w:highlight w:val="none"/>
          <w:lang w:eastAsia="zh-CN"/>
        </w:rPr>
        <w:t>）</w:t>
      </w:r>
      <w:r>
        <w:rPr>
          <w:rFonts w:hint="eastAsia" w:hAnsi="宋体" w:cs="宋体"/>
          <w:color w:val="auto"/>
          <w:kern w:val="0"/>
          <w:szCs w:val="21"/>
          <w:highlight w:val="none"/>
        </w:rPr>
        <w:t>方案、</w:t>
      </w:r>
      <w:r>
        <w:rPr>
          <w:rFonts w:hint="eastAsia" w:hAnsi="宋体"/>
          <w:color w:val="auto"/>
          <w:spacing w:val="-4"/>
          <w:highlight w:val="none"/>
        </w:rPr>
        <w:t>保修期外维修方案</w:t>
      </w:r>
    </w:p>
    <w:p w14:paraId="058B290C">
      <w:pPr>
        <w:tabs>
          <w:tab w:val="left" w:pos="1305"/>
        </w:tabs>
        <w:spacing w:line="360" w:lineRule="exact"/>
        <w:ind w:firstLine="420" w:firstLineChars="200"/>
        <w:rPr>
          <w:rFonts w:hint="eastAsia" w:hAnsi="宋体"/>
          <w:color w:val="auto"/>
          <w:spacing w:val="-4"/>
          <w:highlight w:val="none"/>
        </w:rPr>
      </w:pPr>
      <w:r>
        <w:rPr>
          <w:rFonts w:hAnsi="宋体"/>
          <w:color w:val="auto"/>
          <w:szCs w:val="21"/>
          <w:highlight w:val="none"/>
        </w:rPr>
        <w:t>……</w:t>
      </w:r>
    </w:p>
    <w:p w14:paraId="41703F48">
      <w:pPr>
        <w:tabs>
          <w:tab w:val="left" w:pos="1305"/>
        </w:tabs>
        <w:spacing w:line="360" w:lineRule="exact"/>
        <w:ind w:firstLine="404" w:firstLineChars="200"/>
        <w:rPr>
          <w:rFonts w:hint="eastAsia" w:hAnsi="宋体"/>
          <w:color w:val="auto"/>
          <w:spacing w:val="-4"/>
          <w:highlight w:val="none"/>
        </w:rPr>
      </w:pPr>
      <w:r>
        <w:rPr>
          <w:rFonts w:hint="eastAsia" w:hAnsi="宋体"/>
          <w:color w:val="auto"/>
          <w:spacing w:val="-4"/>
          <w:highlight w:val="none"/>
          <w:lang w:eastAsia="zh-CN"/>
        </w:rPr>
        <w:t>三、</w:t>
      </w:r>
      <w:r>
        <w:rPr>
          <w:rFonts w:hint="eastAsia" w:hAnsi="宋体"/>
          <w:color w:val="auto"/>
          <w:spacing w:val="-4"/>
          <w:highlight w:val="none"/>
        </w:rPr>
        <w:t>技术培训方案</w:t>
      </w:r>
    </w:p>
    <w:p w14:paraId="3FFCB200">
      <w:pPr>
        <w:tabs>
          <w:tab w:val="left" w:pos="1305"/>
        </w:tabs>
        <w:spacing w:line="360" w:lineRule="exact"/>
        <w:ind w:firstLine="420" w:firstLineChars="200"/>
        <w:rPr>
          <w:rFonts w:hAnsi="宋体"/>
          <w:color w:val="auto"/>
          <w:szCs w:val="21"/>
          <w:highlight w:val="none"/>
        </w:rPr>
      </w:pPr>
      <w:r>
        <w:rPr>
          <w:rFonts w:hAnsi="宋体"/>
          <w:color w:val="auto"/>
          <w:szCs w:val="21"/>
          <w:highlight w:val="none"/>
        </w:rPr>
        <w:t>……</w:t>
      </w:r>
    </w:p>
    <w:p w14:paraId="2BE19617">
      <w:pPr>
        <w:tabs>
          <w:tab w:val="left" w:pos="1305"/>
        </w:tabs>
        <w:spacing w:line="360" w:lineRule="exact"/>
        <w:ind w:firstLine="420" w:firstLineChars="200"/>
        <w:rPr>
          <w:rFonts w:ascii="宋体" w:hAnsi="宋体"/>
          <w:color w:val="auto"/>
          <w:highlight w:val="none"/>
        </w:rPr>
      </w:pPr>
      <w:r>
        <w:rPr>
          <w:rFonts w:hint="eastAsia" w:hAnsi="宋体" w:cs="宋体"/>
          <w:color w:val="auto"/>
          <w:kern w:val="0"/>
          <w:szCs w:val="21"/>
          <w:highlight w:val="none"/>
          <w:lang w:eastAsia="zh-CN"/>
        </w:rPr>
        <w:t>四、</w:t>
      </w:r>
      <w:r>
        <w:rPr>
          <w:rFonts w:hint="eastAsia" w:hAnsi="宋体" w:cs="宋体"/>
          <w:color w:val="auto"/>
          <w:kern w:val="0"/>
          <w:szCs w:val="21"/>
          <w:highlight w:val="none"/>
        </w:rPr>
        <w:t>其他实质性优惠措施</w:t>
      </w:r>
      <w:r>
        <w:rPr>
          <w:rFonts w:hint="eastAsia" w:hAnsi="宋体"/>
          <w:color w:val="auto"/>
          <w:spacing w:val="-4"/>
          <w:highlight w:val="none"/>
        </w:rPr>
        <w:t>等</w:t>
      </w:r>
    </w:p>
    <w:p w14:paraId="724D8C91">
      <w:pPr>
        <w:pStyle w:val="27"/>
        <w:spacing w:line="600" w:lineRule="exact"/>
        <w:ind w:firstLine="420"/>
        <w:jc w:val="left"/>
        <w:rPr>
          <w:rFonts w:hint="eastAsia" w:hAnsi="宋体"/>
          <w:color w:val="auto"/>
          <w:szCs w:val="21"/>
          <w:highlight w:val="none"/>
        </w:rPr>
      </w:pPr>
      <w:r>
        <w:rPr>
          <w:rFonts w:hAnsi="宋体"/>
          <w:color w:val="auto"/>
          <w:szCs w:val="21"/>
          <w:highlight w:val="none"/>
        </w:rPr>
        <w:t>……</w:t>
      </w:r>
    </w:p>
    <w:p w14:paraId="5493B227">
      <w:pPr>
        <w:pStyle w:val="27"/>
        <w:spacing w:line="600" w:lineRule="exact"/>
        <w:ind w:firstLine="420"/>
        <w:jc w:val="left"/>
        <w:rPr>
          <w:rFonts w:hint="eastAsia" w:hAnsi="宋体"/>
          <w:color w:val="auto"/>
          <w:szCs w:val="21"/>
          <w:highlight w:val="none"/>
          <w:u w:val="single"/>
        </w:rPr>
      </w:pPr>
      <w:r>
        <w:rPr>
          <w:rFonts w:hint="eastAsia" w:hAnsi="宋体"/>
          <w:color w:val="auto"/>
          <w:szCs w:val="21"/>
          <w:highlight w:val="none"/>
        </w:rPr>
        <w:t xml:space="preserve">        </w:t>
      </w:r>
      <w:r>
        <w:rPr>
          <w:rFonts w:hint="eastAsia" w:hAnsi="宋体"/>
          <w:color w:val="auto"/>
          <w:highlight w:val="none"/>
        </w:rPr>
        <w:t xml:space="preserve">投标人 </w:t>
      </w:r>
      <w:r>
        <w:rPr>
          <w:rFonts w:hint="eastAsia" w:hAnsi="宋体"/>
          <w:color w:val="auto"/>
          <w:highlight w:val="none"/>
          <w:lang w:eastAsia="zh-CN"/>
        </w:rPr>
        <w:t>（</w:t>
      </w:r>
      <w:r>
        <w:rPr>
          <w:rFonts w:hint="eastAsia" w:hAnsi="宋体"/>
          <w:color w:val="auto"/>
          <w:highlight w:val="none"/>
        </w:rPr>
        <w:t>电子签章</w:t>
      </w:r>
      <w:r>
        <w:rPr>
          <w:rFonts w:hint="eastAsia" w:hAnsi="宋体"/>
          <w:color w:val="auto"/>
          <w:highlight w:val="none"/>
          <w:lang w:eastAsia="zh-CN"/>
        </w:rPr>
        <w:t>）</w:t>
      </w:r>
      <w:r>
        <w:rPr>
          <w:rFonts w:hint="eastAsia" w:hAnsi="宋体"/>
          <w:color w:val="auto"/>
          <w:highlight w:val="none"/>
        </w:rPr>
        <w:t>：</w:t>
      </w:r>
      <w:r>
        <w:rPr>
          <w:rFonts w:hint="eastAsia" w:hAnsi="宋体"/>
          <w:color w:val="auto"/>
          <w:szCs w:val="21"/>
          <w:highlight w:val="none"/>
          <w:u w:val="single"/>
        </w:rPr>
        <w:t xml:space="preserve">                                     </w:t>
      </w:r>
    </w:p>
    <w:p w14:paraId="1B6A70C4">
      <w:pPr>
        <w:pStyle w:val="27"/>
        <w:spacing w:line="600" w:lineRule="exact"/>
        <w:ind w:firstLine="420"/>
        <w:jc w:val="left"/>
        <w:rPr>
          <w:rFonts w:hint="eastAsia" w:hAnsi="宋体"/>
          <w:color w:val="auto"/>
          <w:szCs w:val="21"/>
          <w:highlight w:val="none"/>
          <w:u w:val="single"/>
        </w:rPr>
      </w:pPr>
      <w:r>
        <w:rPr>
          <w:rFonts w:hint="eastAsia" w:hAnsi="宋体"/>
          <w:color w:val="auto"/>
          <w:szCs w:val="21"/>
          <w:highlight w:val="none"/>
        </w:rPr>
        <w:t xml:space="preserve">        法定代表人</w:t>
      </w:r>
      <w:r>
        <w:rPr>
          <w:rFonts w:hint="eastAsia" w:hAnsi="宋体"/>
          <w:color w:val="auto"/>
          <w:highlight w:val="none"/>
        </w:rPr>
        <w:t>或相应的委托代理人签字（或者电子签名）：</w:t>
      </w:r>
      <w:r>
        <w:rPr>
          <w:rFonts w:hint="eastAsia" w:hAnsi="宋体"/>
          <w:color w:val="auto"/>
          <w:szCs w:val="21"/>
          <w:highlight w:val="none"/>
          <w:u w:val="single"/>
        </w:rPr>
        <w:t xml:space="preserve">                              </w:t>
      </w:r>
    </w:p>
    <w:p w14:paraId="6A20825A">
      <w:pPr>
        <w:spacing w:line="600" w:lineRule="exact"/>
        <w:jc w:val="left"/>
        <w:rPr>
          <w:rFonts w:hint="eastAsia"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64B93531">
      <w:pPr>
        <w:spacing w:line="380" w:lineRule="exact"/>
        <w:rPr>
          <w:rFonts w:hint="eastAsia" w:ascii="宋体" w:hAnsi="宋体"/>
          <w:b/>
          <w:color w:val="auto"/>
          <w:sz w:val="32"/>
          <w:szCs w:val="32"/>
          <w:highlight w:val="none"/>
        </w:rPr>
      </w:pPr>
    </w:p>
    <w:p w14:paraId="05FA86D2">
      <w:pPr>
        <w:pStyle w:val="27"/>
        <w:spacing w:line="400" w:lineRule="exact"/>
        <w:rPr>
          <w:rFonts w:hAnsi="宋体"/>
          <w:b/>
          <w:color w:val="auto"/>
          <w:sz w:val="32"/>
          <w:szCs w:val="32"/>
          <w:highlight w:val="none"/>
        </w:rPr>
      </w:pPr>
    </w:p>
    <w:p w14:paraId="2DFD52D7">
      <w:pPr>
        <w:pStyle w:val="13"/>
        <w:ind w:firstLine="420"/>
        <w:rPr>
          <w:rFonts w:hint="eastAsia"/>
          <w:color w:val="auto"/>
          <w:highlight w:val="none"/>
        </w:rPr>
      </w:pPr>
    </w:p>
    <w:p w14:paraId="746C1C43">
      <w:pPr>
        <w:pStyle w:val="27"/>
        <w:spacing w:line="400" w:lineRule="exact"/>
        <w:rPr>
          <w:rFonts w:hint="eastAsia" w:hAnsi="宋体"/>
          <w:b/>
          <w:color w:val="auto"/>
          <w:sz w:val="32"/>
          <w:szCs w:val="32"/>
          <w:highlight w:val="none"/>
          <w:lang w:val="en-US" w:eastAsia="zh-CN"/>
        </w:rPr>
      </w:pPr>
    </w:p>
    <w:p w14:paraId="0890C827">
      <w:pPr>
        <w:pStyle w:val="27"/>
        <w:spacing w:line="400" w:lineRule="exact"/>
        <w:rPr>
          <w:rFonts w:hAnsi="宋体"/>
          <w:b/>
          <w:color w:val="auto"/>
          <w:sz w:val="32"/>
          <w:szCs w:val="32"/>
          <w:highlight w:val="none"/>
        </w:rPr>
      </w:pPr>
      <w:r>
        <w:rPr>
          <w:rFonts w:hint="eastAsia" w:hAnsi="宋体"/>
          <w:b/>
          <w:color w:val="auto"/>
          <w:sz w:val="32"/>
          <w:szCs w:val="32"/>
          <w:highlight w:val="none"/>
          <w:lang w:val="en-US" w:eastAsia="zh-CN"/>
        </w:rPr>
        <w:t>8</w:t>
      </w:r>
      <w:r>
        <w:rPr>
          <w:rFonts w:hint="eastAsia" w:hAnsi="宋体"/>
          <w:b/>
          <w:color w:val="auto"/>
          <w:sz w:val="32"/>
          <w:szCs w:val="32"/>
          <w:highlight w:val="none"/>
        </w:rPr>
        <w:t>.“采购需求”中有关履约能力的相关证明材料复印件（如有，请提供）</w:t>
      </w:r>
    </w:p>
    <w:p w14:paraId="1127F414">
      <w:pPr>
        <w:pStyle w:val="27"/>
        <w:spacing w:line="400" w:lineRule="exact"/>
        <w:rPr>
          <w:rFonts w:hAnsi="宋体"/>
          <w:color w:val="auto"/>
          <w:sz w:val="28"/>
          <w:szCs w:val="28"/>
          <w:highlight w:val="none"/>
        </w:rPr>
      </w:pPr>
    </w:p>
    <w:p w14:paraId="26D46C45">
      <w:pPr>
        <w:pStyle w:val="13"/>
        <w:ind w:firstLine="420"/>
        <w:rPr>
          <w:color w:val="auto"/>
          <w:highlight w:val="none"/>
        </w:rPr>
      </w:pPr>
    </w:p>
    <w:p w14:paraId="6FF177AB">
      <w:pPr>
        <w:rPr>
          <w:color w:val="auto"/>
          <w:highlight w:val="none"/>
        </w:rPr>
      </w:pPr>
    </w:p>
    <w:p w14:paraId="15E3B2F7">
      <w:pPr>
        <w:rPr>
          <w:color w:val="auto"/>
          <w:highlight w:val="none"/>
        </w:rPr>
      </w:pPr>
    </w:p>
    <w:p w14:paraId="351EDB28">
      <w:pPr>
        <w:pStyle w:val="27"/>
        <w:spacing w:line="400" w:lineRule="exact"/>
        <w:rPr>
          <w:rFonts w:hAnsi="宋体"/>
          <w:b/>
          <w:color w:val="auto"/>
          <w:sz w:val="32"/>
          <w:szCs w:val="32"/>
          <w:highlight w:val="none"/>
        </w:rPr>
      </w:pPr>
      <w:r>
        <w:rPr>
          <w:rFonts w:hint="eastAsia" w:hAnsi="宋体"/>
          <w:b/>
          <w:color w:val="auto"/>
          <w:sz w:val="32"/>
          <w:szCs w:val="32"/>
          <w:highlight w:val="none"/>
          <w:lang w:val="en-US" w:eastAsia="zh-CN"/>
        </w:rPr>
        <w:t>9</w:t>
      </w:r>
      <w:r>
        <w:rPr>
          <w:rFonts w:hint="eastAsia" w:hAnsi="宋体"/>
          <w:b/>
          <w:color w:val="auto"/>
          <w:sz w:val="32"/>
          <w:szCs w:val="32"/>
          <w:highlight w:val="none"/>
        </w:rPr>
        <w:t>.政策性加分证明材料复印件（如有，请提供）</w:t>
      </w:r>
    </w:p>
    <w:p w14:paraId="3F046896">
      <w:pPr>
        <w:snapToGrid w:val="0"/>
        <w:spacing w:line="360" w:lineRule="exact"/>
        <w:outlineLvl w:val="4"/>
        <w:rPr>
          <w:rFonts w:hAnsi="宋体"/>
          <w:color w:val="auto"/>
          <w:sz w:val="28"/>
          <w:szCs w:val="28"/>
          <w:highlight w:val="none"/>
        </w:rPr>
      </w:pPr>
      <w:r>
        <w:rPr>
          <w:rFonts w:hint="eastAsia" w:ascii="宋体" w:hAnsi="宋体"/>
          <w:color w:val="auto"/>
          <w:szCs w:val="20"/>
          <w:highlight w:val="none"/>
        </w:rPr>
        <w:t>注：①节能产品加分：属于财政部《节能产品政府采购品目清单》内优先采购（清单内未标注“★”的品目）的产品</w:t>
      </w:r>
      <w:r>
        <w:rPr>
          <w:rFonts w:hint="eastAsia" w:ascii="宋体" w:hAnsi="宋体"/>
          <w:color w:val="auto"/>
          <w:highlight w:val="none"/>
          <w:lang w:eastAsia="zh-CN"/>
        </w:rPr>
        <w:t>（</w:t>
      </w:r>
      <w:r>
        <w:rPr>
          <w:rFonts w:hint="eastAsia" w:ascii="宋体" w:hAnsi="宋体"/>
          <w:color w:val="auto"/>
          <w:highlight w:val="none"/>
        </w:rPr>
        <w:t>投标文件中提供有效的认证证书复印件，并加盖投标人</w:t>
      </w:r>
      <w:r>
        <w:rPr>
          <w:rFonts w:hint="eastAsia" w:hAnsi="宋体"/>
          <w:color w:val="auto"/>
          <w:highlight w:val="none"/>
        </w:rPr>
        <w:t>电子签章</w:t>
      </w:r>
      <w:r>
        <w:rPr>
          <w:rFonts w:hint="eastAsia" w:hAnsi="宋体"/>
          <w:color w:val="auto"/>
          <w:highlight w:val="none"/>
          <w:lang w:eastAsia="zh-CN"/>
        </w:rPr>
        <w:t>）</w:t>
      </w:r>
      <w:r>
        <w:rPr>
          <w:rFonts w:hint="eastAsia" w:ascii="宋体" w:hAnsi="宋体"/>
          <w:color w:val="auto"/>
          <w:szCs w:val="20"/>
          <w:highlight w:val="none"/>
        </w:rPr>
        <w:t>。</w:t>
      </w:r>
      <w:r>
        <w:rPr>
          <w:rFonts w:hint="eastAsia" w:hAnsi="宋体"/>
          <w:color w:val="auto"/>
          <w:highlight w:val="none"/>
        </w:rPr>
        <w:t>②环境标志产品加分：属于财政部《环境标志产品政府采购品目清单》内的产品</w:t>
      </w:r>
      <w:r>
        <w:rPr>
          <w:rFonts w:hint="eastAsia" w:ascii="宋体" w:hAnsi="宋体"/>
          <w:color w:val="auto"/>
          <w:highlight w:val="none"/>
          <w:lang w:eastAsia="zh-CN"/>
        </w:rPr>
        <w:t>（</w:t>
      </w:r>
      <w:r>
        <w:rPr>
          <w:rFonts w:hint="eastAsia" w:ascii="宋体" w:hAnsi="宋体"/>
          <w:color w:val="auto"/>
          <w:highlight w:val="none"/>
        </w:rPr>
        <w:t>投标文件中提供有效的认证证书复印件，并加盖投标人</w:t>
      </w:r>
      <w:r>
        <w:rPr>
          <w:rFonts w:hint="eastAsia" w:hAnsi="宋体"/>
          <w:color w:val="auto"/>
          <w:highlight w:val="none"/>
        </w:rPr>
        <w:t>电子签章</w:t>
      </w:r>
      <w:r>
        <w:rPr>
          <w:rFonts w:hint="eastAsia" w:hAnsi="宋体"/>
          <w:color w:val="auto"/>
          <w:highlight w:val="none"/>
          <w:lang w:eastAsia="zh-CN"/>
        </w:rPr>
        <w:t>）</w:t>
      </w:r>
      <w:r>
        <w:rPr>
          <w:rFonts w:hint="eastAsia" w:hAnsi="宋体"/>
          <w:color w:val="auto"/>
          <w:highlight w:val="none"/>
        </w:rPr>
        <w:t>，相应予以加分。</w:t>
      </w:r>
    </w:p>
    <w:p w14:paraId="215F3973">
      <w:pPr>
        <w:pStyle w:val="27"/>
        <w:spacing w:line="400" w:lineRule="exact"/>
        <w:rPr>
          <w:rFonts w:hAnsi="宋体"/>
          <w:color w:val="auto"/>
          <w:sz w:val="28"/>
          <w:szCs w:val="28"/>
          <w:highlight w:val="none"/>
        </w:rPr>
      </w:pPr>
    </w:p>
    <w:p w14:paraId="062C4939">
      <w:pPr>
        <w:pStyle w:val="27"/>
        <w:spacing w:line="400" w:lineRule="exact"/>
        <w:rPr>
          <w:rFonts w:hint="eastAsia" w:hAnsi="宋体"/>
          <w:b/>
          <w:color w:val="auto"/>
          <w:sz w:val="32"/>
          <w:szCs w:val="32"/>
          <w:highlight w:val="none"/>
        </w:rPr>
      </w:pPr>
    </w:p>
    <w:p w14:paraId="0A05FD32">
      <w:pPr>
        <w:pStyle w:val="27"/>
        <w:spacing w:line="400" w:lineRule="exact"/>
        <w:rPr>
          <w:rFonts w:hint="eastAsia" w:hAnsi="宋体"/>
          <w:b/>
          <w:color w:val="auto"/>
          <w:sz w:val="32"/>
          <w:szCs w:val="32"/>
          <w:highlight w:val="none"/>
          <w:lang w:val="en-US" w:eastAsia="zh-CN"/>
        </w:rPr>
      </w:pPr>
    </w:p>
    <w:p w14:paraId="717DBD94">
      <w:pPr>
        <w:pStyle w:val="27"/>
        <w:spacing w:line="400" w:lineRule="exact"/>
        <w:rPr>
          <w:rFonts w:hint="eastAsia" w:hAnsi="宋体"/>
          <w:b/>
          <w:color w:val="auto"/>
          <w:sz w:val="32"/>
          <w:szCs w:val="32"/>
          <w:highlight w:val="none"/>
          <w:lang w:val="en-US" w:eastAsia="zh-CN"/>
        </w:rPr>
      </w:pPr>
    </w:p>
    <w:p w14:paraId="675D060B">
      <w:pPr>
        <w:pStyle w:val="27"/>
        <w:spacing w:line="400" w:lineRule="exact"/>
        <w:rPr>
          <w:rFonts w:hAnsi="宋体"/>
          <w:color w:val="auto"/>
          <w:sz w:val="28"/>
          <w:szCs w:val="28"/>
          <w:highlight w:val="none"/>
        </w:rPr>
      </w:pPr>
      <w:r>
        <w:rPr>
          <w:rFonts w:hint="eastAsia" w:hAnsi="宋体"/>
          <w:b/>
          <w:color w:val="auto"/>
          <w:sz w:val="32"/>
          <w:szCs w:val="32"/>
          <w:highlight w:val="none"/>
          <w:lang w:val="en-US" w:eastAsia="zh-CN"/>
        </w:rPr>
        <w:t>10</w:t>
      </w:r>
      <w:r>
        <w:rPr>
          <w:rFonts w:hint="eastAsia" w:hAnsi="宋体"/>
          <w:b/>
          <w:color w:val="auto"/>
          <w:sz w:val="32"/>
          <w:szCs w:val="32"/>
          <w:highlight w:val="none"/>
        </w:rPr>
        <w:t>.投标人提供的货物全部由符合政策要求中小企业制造，投标文件中提供《中小企业声明函》；属于监狱企业的，提供由省级以上监狱管理局、戒毒管理局</w:t>
      </w:r>
      <w:r>
        <w:rPr>
          <w:rFonts w:hint="eastAsia" w:hAnsi="宋体"/>
          <w:b/>
          <w:color w:val="auto"/>
          <w:sz w:val="32"/>
          <w:szCs w:val="32"/>
          <w:highlight w:val="none"/>
          <w:lang w:eastAsia="zh-CN"/>
        </w:rPr>
        <w:t>（</w:t>
      </w:r>
      <w:r>
        <w:rPr>
          <w:rFonts w:hint="eastAsia" w:hAnsi="宋体"/>
          <w:b/>
          <w:color w:val="auto"/>
          <w:sz w:val="32"/>
          <w:szCs w:val="32"/>
          <w:highlight w:val="none"/>
        </w:rPr>
        <w:t>含新疆生产建设兵团</w:t>
      </w:r>
      <w:r>
        <w:rPr>
          <w:rFonts w:hint="eastAsia" w:hAnsi="宋体"/>
          <w:b/>
          <w:color w:val="auto"/>
          <w:sz w:val="32"/>
          <w:szCs w:val="32"/>
          <w:highlight w:val="none"/>
          <w:lang w:eastAsia="zh-CN"/>
        </w:rPr>
        <w:t>）</w:t>
      </w:r>
      <w:r>
        <w:rPr>
          <w:rFonts w:hint="eastAsia" w:hAnsi="宋体"/>
          <w:b/>
          <w:color w:val="auto"/>
          <w:sz w:val="32"/>
          <w:szCs w:val="32"/>
          <w:highlight w:val="none"/>
        </w:rPr>
        <w:t>出具的属于监狱企业的证明文件（如有，请提供）</w:t>
      </w:r>
    </w:p>
    <w:p w14:paraId="29D0E228">
      <w:pPr>
        <w:pStyle w:val="27"/>
        <w:rPr>
          <w:rFonts w:hint="eastAsia" w:hAnsi="宋体"/>
          <w:b/>
          <w:color w:val="auto"/>
          <w:sz w:val="32"/>
          <w:szCs w:val="32"/>
          <w:highlight w:val="none"/>
        </w:rPr>
      </w:pPr>
    </w:p>
    <w:p w14:paraId="3315AED6">
      <w:pPr>
        <w:pStyle w:val="27"/>
        <w:rPr>
          <w:rFonts w:hint="eastAsia" w:hAnsi="宋体"/>
          <w:b/>
          <w:color w:val="auto"/>
          <w:sz w:val="32"/>
          <w:szCs w:val="32"/>
          <w:highlight w:val="none"/>
        </w:rPr>
      </w:pPr>
      <w:r>
        <w:rPr>
          <w:rFonts w:hint="eastAsia" w:hAnsi="宋体"/>
          <w:b/>
          <w:color w:val="auto"/>
          <w:sz w:val="32"/>
          <w:szCs w:val="32"/>
          <w:highlight w:val="none"/>
        </w:rPr>
        <w:t>附件：</w:t>
      </w:r>
    </w:p>
    <w:p w14:paraId="2A227F68">
      <w:pPr>
        <w:snapToGrid w:val="0"/>
        <w:spacing w:before="156" w:beforeLines="50" w:after="50" w:line="32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中小企业声明函（货物）（格式）</w:t>
      </w:r>
    </w:p>
    <w:p w14:paraId="0164FFB1">
      <w:pPr>
        <w:snapToGrid w:val="0"/>
        <w:spacing w:before="156" w:beforeLines="50" w:after="50" w:line="320" w:lineRule="exact"/>
        <w:jc w:val="center"/>
        <w:rPr>
          <w:rFonts w:hint="eastAsia" w:ascii="宋体" w:hAnsi="宋体"/>
          <w:b/>
          <w:color w:val="auto"/>
          <w:sz w:val="32"/>
          <w:szCs w:val="32"/>
          <w:highlight w:val="none"/>
        </w:rPr>
      </w:pPr>
    </w:p>
    <w:p w14:paraId="086D2A20">
      <w:pPr>
        <w:spacing w:line="400" w:lineRule="exact"/>
        <w:ind w:firstLine="480" w:firstLineChars="200"/>
        <w:rPr>
          <w:rFonts w:hint="eastAsia" w:ascii="宋体" w:hAnsi="宋体"/>
          <w:color w:val="auto"/>
          <w:sz w:val="24"/>
          <w:highlight w:val="none"/>
        </w:rPr>
      </w:pPr>
      <w:r>
        <w:rPr>
          <w:rFonts w:hint="eastAsia" w:ascii="宋体" w:hAnsi="宋体"/>
          <w:color w:val="auto"/>
          <w:sz w:val="24"/>
          <w:highlight w:val="none"/>
        </w:rPr>
        <w:t>本公司（联合体）郑重声明，根据《政府采购促进中小企业发展管理办法》（财库﹝2020﹞46 号）的规定，本公司（联合体）参加</w:t>
      </w:r>
      <w:r>
        <w:rPr>
          <w:rFonts w:hint="eastAsia" w:ascii="宋体" w:hAnsi="宋体"/>
          <w:color w:val="auto"/>
          <w:sz w:val="24"/>
          <w:highlight w:val="none"/>
          <w:u w:val="single"/>
        </w:rPr>
        <w:t>（单位名称）</w:t>
      </w:r>
      <w:r>
        <w:rPr>
          <w:rFonts w:hint="eastAsia" w:ascii="宋体" w:hAnsi="宋体"/>
          <w:color w:val="auto"/>
          <w:sz w:val="24"/>
          <w:highlight w:val="none"/>
        </w:rPr>
        <w:t>的</w:t>
      </w:r>
      <w:r>
        <w:rPr>
          <w:rFonts w:hint="eastAsia" w:ascii="宋体" w:hAnsi="宋体"/>
          <w:color w:val="auto"/>
          <w:sz w:val="24"/>
          <w:highlight w:val="none"/>
          <w:u w:val="single"/>
        </w:rPr>
        <w:t>（项目名称）</w:t>
      </w:r>
      <w:r>
        <w:rPr>
          <w:rFonts w:hint="eastAsia" w:ascii="宋体" w:hAnsi="宋体"/>
          <w:color w:val="auto"/>
          <w:sz w:val="24"/>
          <w:highlight w:val="none"/>
        </w:rPr>
        <w:t>采购活动，提供的货物全部由符合政策要求的中小企业制造。相关企业（含联合体中的中小企业、签订分包意向协议的中小企业）的具体情况如下：</w:t>
      </w:r>
    </w:p>
    <w:p w14:paraId="7CA34092">
      <w:pPr>
        <w:spacing w:line="400" w:lineRule="exact"/>
        <w:ind w:firstLine="480" w:firstLineChars="200"/>
        <w:rPr>
          <w:rFonts w:hint="eastAsia" w:ascii="宋体" w:hAnsi="宋体"/>
          <w:color w:val="auto"/>
          <w:sz w:val="24"/>
          <w:highlight w:val="none"/>
        </w:rPr>
      </w:pPr>
      <w:r>
        <w:rPr>
          <w:rFonts w:hint="eastAsia" w:ascii="宋体" w:hAnsi="宋体"/>
          <w:color w:val="auto"/>
          <w:sz w:val="24"/>
          <w:highlight w:val="none"/>
        </w:rPr>
        <w:t xml:space="preserve">1. </w:t>
      </w:r>
      <w:r>
        <w:rPr>
          <w:rFonts w:hint="eastAsia" w:ascii="宋体" w:hAnsi="宋体"/>
          <w:color w:val="auto"/>
          <w:sz w:val="24"/>
          <w:highlight w:val="none"/>
          <w:u w:val="single"/>
        </w:rPr>
        <w:t xml:space="preserve">（标的名称） </w:t>
      </w:r>
      <w:r>
        <w:rPr>
          <w:rFonts w:hint="eastAsia" w:ascii="宋体" w:hAnsi="宋体"/>
          <w:color w:val="auto"/>
          <w:sz w:val="24"/>
          <w:highlight w:val="none"/>
        </w:rPr>
        <w:t>，属于</w:t>
      </w:r>
      <w:r>
        <w:rPr>
          <w:rFonts w:hint="eastAsia" w:ascii="宋体" w:hAnsi="宋体"/>
          <w:color w:val="auto"/>
          <w:sz w:val="24"/>
          <w:highlight w:val="none"/>
          <w:u w:val="single"/>
        </w:rPr>
        <w:t>（采购文件中明确的所属行业）</w:t>
      </w:r>
      <w:r>
        <w:rPr>
          <w:rFonts w:hint="eastAsia" w:ascii="宋体" w:hAnsi="宋体"/>
          <w:color w:val="auto"/>
          <w:sz w:val="24"/>
          <w:highlight w:val="none"/>
        </w:rPr>
        <w:t>行业；制造商为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hint="eastAsia" w:ascii="宋体" w:hAnsi="宋体"/>
          <w:color w:val="auto"/>
          <w:sz w:val="24"/>
          <w:highlight w:val="none"/>
        </w:rPr>
        <w:t>万元，属于（中型企业、小型企业、微型企业）；</w:t>
      </w:r>
    </w:p>
    <w:p w14:paraId="01FE801F">
      <w:pPr>
        <w:spacing w:line="400" w:lineRule="exact"/>
        <w:ind w:firstLine="480" w:firstLineChars="200"/>
        <w:rPr>
          <w:rFonts w:hint="eastAsia" w:ascii="宋体" w:hAnsi="宋体"/>
          <w:color w:val="auto"/>
          <w:sz w:val="24"/>
          <w:highlight w:val="none"/>
        </w:rPr>
      </w:pPr>
      <w:r>
        <w:rPr>
          <w:rFonts w:hint="eastAsia" w:ascii="宋体" w:hAnsi="宋体"/>
          <w:color w:val="auto"/>
          <w:sz w:val="24"/>
          <w:highlight w:val="none"/>
        </w:rPr>
        <w:t xml:space="preserve">2. </w:t>
      </w:r>
      <w:r>
        <w:rPr>
          <w:rFonts w:hint="eastAsia" w:ascii="宋体" w:hAnsi="宋体"/>
          <w:color w:val="auto"/>
          <w:sz w:val="24"/>
          <w:highlight w:val="none"/>
          <w:u w:val="single"/>
        </w:rPr>
        <w:t xml:space="preserve">（标的名称） </w:t>
      </w:r>
      <w:r>
        <w:rPr>
          <w:rFonts w:hint="eastAsia" w:ascii="宋体" w:hAnsi="宋体"/>
          <w:color w:val="auto"/>
          <w:sz w:val="24"/>
          <w:highlight w:val="none"/>
        </w:rPr>
        <w:t>，属于</w:t>
      </w:r>
      <w:r>
        <w:rPr>
          <w:rFonts w:hint="eastAsia" w:ascii="宋体" w:hAnsi="宋体"/>
          <w:color w:val="auto"/>
          <w:sz w:val="24"/>
          <w:highlight w:val="none"/>
          <w:u w:val="single"/>
        </w:rPr>
        <w:t>（采购文件中明确的所属行业）</w:t>
      </w:r>
      <w:r>
        <w:rPr>
          <w:rFonts w:hint="eastAsia" w:ascii="宋体" w:hAnsi="宋体"/>
          <w:color w:val="auto"/>
          <w:sz w:val="24"/>
          <w:highlight w:val="none"/>
        </w:rPr>
        <w:t>行业；制造商为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hint="eastAsia" w:ascii="宋体" w:hAnsi="宋体"/>
          <w:color w:val="auto"/>
          <w:sz w:val="24"/>
          <w:highlight w:val="none"/>
        </w:rPr>
        <w:t>万元，属于（中型企业、小型企业、微型企业）；</w:t>
      </w:r>
    </w:p>
    <w:p w14:paraId="46D38B21">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w:t>
      </w:r>
    </w:p>
    <w:p w14:paraId="6AC83670">
      <w:pPr>
        <w:spacing w:line="400" w:lineRule="exact"/>
        <w:ind w:firstLine="480" w:firstLineChars="200"/>
        <w:rPr>
          <w:rFonts w:hint="eastAsia" w:ascii="宋体" w:hAnsi="宋体"/>
          <w:color w:val="auto"/>
          <w:sz w:val="24"/>
          <w:highlight w:val="none"/>
        </w:rPr>
      </w:pPr>
      <w:r>
        <w:rPr>
          <w:rFonts w:hint="eastAsia" w:ascii="宋体" w:hAnsi="宋体"/>
          <w:color w:val="auto"/>
          <w:sz w:val="24"/>
          <w:highlight w:val="none"/>
        </w:rPr>
        <w:t>以上企业，不属于大企业的分支机构，不存在控股股东为大企业的情形，也不存在与大企业的负责人为同一人的情形。</w:t>
      </w:r>
    </w:p>
    <w:p w14:paraId="267D10E3">
      <w:pPr>
        <w:spacing w:line="400" w:lineRule="exact"/>
        <w:ind w:firstLine="480" w:firstLineChars="200"/>
        <w:rPr>
          <w:rFonts w:hint="eastAsia" w:ascii="宋体" w:hAnsi="宋体"/>
          <w:color w:val="auto"/>
          <w:sz w:val="24"/>
          <w:highlight w:val="none"/>
        </w:rPr>
      </w:pPr>
      <w:r>
        <w:rPr>
          <w:rFonts w:hint="eastAsia" w:ascii="宋体" w:hAnsi="宋体"/>
          <w:color w:val="auto"/>
          <w:sz w:val="24"/>
          <w:highlight w:val="none"/>
        </w:rPr>
        <w:t>本企业对上述声明内容的真实性负责。如有虚假，将依法承担相应责任。</w:t>
      </w:r>
    </w:p>
    <w:p w14:paraId="4B1678A7">
      <w:pPr>
        <w:spacing w:line="400" w:lineRule="exact"/>
        <w:ind w:firstLine="480" w:firstLineChars="200"/>
        <w:jc w:val="right"/>
        <w:rPr>
          <w:rFonts w:hint="eastAsia" w:ascii="宋体" w:hAnsi="宋体"/>
          <w:color w:val="auto"/>
          <w:sz w:val="24"/>
          <w:highlight w:val="none"/>
        </w:rPr>
      </w:pPr>
    </w:p>
    <w:p w14:paraId="05DE9A77">
      <w:pPr>
        <w:spacing w:line="400" w:lineRule="exact"/>
        <w:ind w:firstLine="480" w:firstLineChars="200"/>
        <w:jc w:val="right"/>
        <w:rPr>
          <w:rFonts w:hint="eastAsia" w:ascii="宋体" w:hAnsi="宋体"/>
          <w:color w:val="auto"/>
          <w:sz w:val="24"/>
          <w:highlight w:val="none"/>
        </w:rPr>
      </w:pPr>
      <w:r>
        <w:rPr>
          <w:rFonts w:hint="eastAsia" w:ascii="宋体" w:hAnsi="宋体"/>
          <w:color w:val="auto"/>
          <w:sz w:val="24"/>
          <w:highlight w:val="none"/>
        </w:rPr>
        <w:t xml:space="preserve">单位名称（电子签章）：          </w:t>
      </w:r>
    </w:p>
    <w:p w14:paraId="329E5F80">
      <w:pPr>
        <w:spacing w:line="400" w:lineRule="exact"/>
        <w:ind w:firstLine="480" w:firstLineChars="200"/>
        <w:jc w:val="right"/>
        <w:rPr>
          <w:rFonts w:hint="eastAsia" w:ascii="仿宋_GB2312" w:eastAsia="仿宋_GB2312"/>
          <w:color w:val="auto"/>
          <w:sz w:val="24"/>
          <w:highlight w:val="none"/>
        </w:rPr>
      </w:pPr>
      <w:r>
        <w:rPr>
          <w:rFonts w:hint="eastAsia" w:ascii="宋体" w:hAnsi="宋体"/>
          <w:color w:val="auto"/>
          <w:sz w:val="24"/>
          <w:highlight w:val="none"/>
        </w:rPr>
        <w:t xml:space="preserve">日期：  </w:t>
      </w:r>
      <w:r>
        <w:rPr>
          <w:rFonts w:hint="eastAsia" w:ascii="仿宋_GB2312" w:eastAsia="仿宋_GB2312"/>
          <w:color w:val="auto"/>
          <w:sz w:val="24"/>
          <w:highlight w:val="none"/>
        </w:rPr>
        <w:t xml:space="preserve">        </w:t>
      </w:r>
    </w:p>
    <w:p w14:paraId="4E3CBE0A">
      <w:pPr>
        <w:spacing w:line="400" w:lineRule="exact"/>
        <w:ind w:firstLine="482" w:firstLineChars="200"/>
        <w:rPr>
          <w:rFonts w:hint="eastAsia" w:ascii="宋体" w:hAnsi="宋体"/>
          <w:b/>
          <w:color w:val="auto"/>
          <w:sz w:val="24"/>
          <w:highlight w:val="none"/>
        </w:rPr>
      </w:pPr>
      <w:r>
        <w:rPr>
          <w:rFonts w:hint="eastAsia" w:ascii="宋体" w:hAnsi="宋体"/>
          <w:b/>
          <w:color w:val="auto"/>
          <w:sz w:val="24"/>
          <w:highlight w:val="none"/>
        </w:rPr>
        <w:t>注：</w:t>
      </w:r>
    </w:p>
    <w:p w14:paraId="7F595E47">
      <w:pPr>
        <w:spacing w:line="400" w:lineRule="exact"/>
        <w:ind w:firstLine="482" w:firstLineChars="200"/>
        <w:rPr>
          <w:rFonts w:hint="eastAsia" w:ascii="宋体" w:hAnsi="宋体"/>
          <w:b/>
          <w:color w:val="auto"/>
          <w:sz w:val="24"/>
          <w:highlight w:val="none"/>
        </w:rPr>
      </w:pPr>
      <w:r>
        <w:rPr>
          <w:rFonts w:hint="eastAsia" w:ascii="宋体" w:hAnsi="宋体"/>
          <w:b/>
          <w:color w:val="auto"/>
          <w:sz w:val="24"/>
          <w:highlight w:val="none"/>
        </w:rPr>
        <w:t>1.从业人员、营业收入、资产总额填报上一年度数据，无上一年度数据的新成立企业可不填报。</w:t>
      </w:r>
    </w:p>
    <w:p w14:paraId="795B3480">
      <w:pPr>
        <w:spacing w:line="400" w:lineRule="exact"/>
        <w:ind w:firstLine="482" w:firstLineChars="200"/>
        <w:rPr>
          <w:rFonts w:hint="eastAsia" w:ascii="宋体" w:hAnsi="宋体"/>
          <w:b/>
          <w:color w:val="auto"/>
          <w:sz w:val="24"/>
          <w:highlight w:val="none"/>
        </w:rPr>
      </w:pPr>
      <w:r>
        <w:rPr>
          <w:rFonts w:hint="eastAsia" w:ascii="宋体" w:hAnsi="宋体"/>
          <w:b/>
          <w:color w:val="auto"/>
          <w:sz w:val="24"/>
          <w:highlight w:val="none"/>
        </w:rPr>
        <w:t>2.中小企业在政府采购活动过程中，请根据自己的真实情况出具本声明函。依法享受中小企业优惠政策的，采购人或采购代理机构在公告中标结果时，同时公告其《中小企业声明函》，接受社会监督。</w:t>
      </w:r>
    </w:p>
    <w:p w14:paraId="0BD724BA">
      <w:pPr>
        <w:tabs>
          <w:tab w:val="left" w:pos="1305"/>
        </w:tabs>
        <w:spacing w:line="380" w:lineRule="exact"/>
        <w:rPr>
          <w:rFonts w:hint="eastAsia" w:ascii="宋体" w:hAnsi="宋体"/>
          <w:b/>
          <w:bCs/>
          <w:color w:val="auto"/>
          <w:sz w:val="32"/>
          <w:szCs w:val="32"/>
          <w:highlight w:val="none"/>
        </w:rPr>
      </w:pPr>
      <w:r>
        <w:rPr>
          <w:rFonts w:ascii="宋体" w:hAnsi="宋体"/>
          <w:b/>
          <w:bCs/>
          <w:color w:val="auto"/>
          <w:sz w:val="32"/>
          <w:szCs w:val="32"/>
          <w:highlight w:val="none"/>
        </w:rPr>
        <w:br w:type="page"/>
      </w:r>
      <w:r>
        <w:rPr>
          <w:rFonts w:hint="eastAsia" w:ascii="宋体" w:hAnsi="宋体"/>
          <w:b/>
          <w:bCs/>
          <w:color w:val="auto"/>
          <w:sz w:val="32"/>
          <w:szCs w:val="32"/>
          <w:highlight w:val="none"/>
          <w:lang w:val="en-US" w:eastAsia="zh-CN"/>
        </w:rPr>
        <w:t>11</w:t>
      </w:r>
      <w:r>
        <w:rPr>
          <w:rFonts w:hint="eastAsia" w:ascii="宋体" w:hAnsi="宋体"/>
          <w:b/>
          <w:bCs/>
          <w:color w:val="auto"/>
          <w:sz w:val="32"/>
          <w:szCs w:val="32"/>
          <w:highlight w:val="none"/>
        </w:rPr>
        <w:t>.符合条件的残疾人福利性单位在参加政府采购活动时，提供《残疾人福利性单位声明函》，并对声明的真实性负责（如有，请提供）</w:t>
      </w:r>
    </w:p>
    <w:p w14:paraId="4D1EB92B">
      <w:pPr>
        <w:pStyle w:val="27"/>
        <w:rPr>
          <w:rFonts w:hAnsi="宋体"/>
          <w:b/>
          <w:color w:val="auto"/>
          <w:sz w:val="32"/>
          <w:szCs w:val="32"/>
          <w:highlight w:val="none"/>
        </w:rPr>
      </w:pPr>
      <w:r>
        <w:rPr>
          <w:rFonts w:hint="eastAsia" w:hAnsi="宋体"/>
          <w:b/>
          <w:color w:val="auto"/>
          <w:sz w:val="32"/>
          <w:szCs w:val="32"/>
          <w:highlight w:val="none"/>
        </w:rPr>
        <w:t>附件：</w:t>
      </w:r>
    </w:p>
    <w:p w14:paraId="6E97690E">
      <w:pPr>
        <w:tabs>
          <w:tab w:val="left" w:pos="1305"/>
        </w:tabs>
        <w:spacing w:line="380" w:lineRule="exact"/>
        <w:rPr>
          <w:rFonts w:hint="eastAsia" w:ascii="宋体" w:hAnsi="宋体"/>
          <w:b/>
          <w:bCs/>
          <w:color w:val="auto"/>
          <w:sz w:val="32"/>
          <w:szCs w:val="32"/>
          <w:highlight w:val="none"/>
        </w:rPr>
      </w:pPr>
    </w:p>
    <w:p w14:paraId="409F6CE6">
      <w:pPr>
        <w:pStyle w:val="27"/>
        <w:jc w:val="center"/>
        <w:rPr>
          <w:rFonts w:hAnsi="宋体"/>
          <w:b/>
          <w:bCs/>
          <w:color w:val="auto"/>
          <w:sz w:val="32"/>
          <w:szCs w:val="32"/>
          <w:highlight w:val="none"/>
        </w:rPr>
      </w:pPr>
      <w:bookmarkStart w:id="21" w:name="OLE_LINK13"/>
      <w:bookmarkStart w:id="22" w:name="OLE_LINK14"/>
      <w:r>
        <w:rPr>
          <w:rFonts w:hint="eastAsia" w:hAnsi="宋体"/>
          <w:b/>
          <w:bCs/>
          <w:color w:val="auto"/>
          <w:sz w:val="32"/>
          <w:szCs w:val="32"/>
          <w:highlight w:val="none"/>
        </w:rPr>
        <w:t>残疾人福利性单位声明函（格式）</w:t>
      </w:r>
    </w:p>
    <w:bookmarkEnd w:id="21"/>
    <w:bookmarkEnd w:id="22"/>
    <w:p w14:paraId="776E4D28">
      <w:pPr>
        <w:spacing w:line="588" w:lineRule="exact"/>
        <w:rPr>
          <w:rFonts w:ascii="仿宋_GB2312" w:eastAsia="仿宋_GB2312"/>
          <w:b/>
          <w:color w:val="auto"/>
          <w:spacing w:val="6"/>
          <w:sz w:val="30"/>
          <w:szCs w:val="30"/>
          <w:highlight w:val="none"/>
        </w:rPr>
      </w:pPr>
    </w:p>
    <w:p w14:paraId="36662ECE">
      <w:pPr>
        <w:spacing w:line="588" w:lineRule="exact"/>
        <w:ind w:firstLine="624" w:firstLineChars="200"/>
        <w:rPr>
          <w:rFonts w:ascii="仿宋_GB2312" w:eastAsia="仿宋_GB2312"/>
          <w:color w:val="auto"/>
          <w:spacing w:val="6"/>
          <w:sz w:val="30"/>
          <w:szCs w:val="30"/>
          <w:highlight w:val="none"/>
        </w:rPr>
      </w:pPr>
      <w:r>
        <w:rPr>
          <w:rFonts w:hint="eastAsia" w:ascii="仿宋_GB2312" w:eastAsia="仿宋_GB2312"/>
          <w:color w:val="auto"/>
          <w:spacing w:val="6"/>
          <w:sz w:val="30"/>
          <w:szCs w:val="30"/>
          <w:highlight w:val="none"/>
        </w:rPr>
        <w:t>本单位郑重声明，根据《财政部 民政部 中国残疾人联合会关于促进残疾人就业政府采购政策的通知》（财库</w:t>
      </w:r>
      <w:r>
        <w:rPr>
          <w:rFonts w:hint="eastAsia" w:ascii="仿宋_GB2312" w:eastAsia="仿宋_GB2312"/>
          <w:color w:val="auto"/>
          <w:sz w:val="32"/>
          <w:szCs w:val="32"/>
          <w:highlight w:val="none"/>
        </w:rPr>
        <w:t>〔2017〕 141</w:t>
      </w:r>
      <w:r>
        <w:rPr>
          <w:rFonts w:hint="eastAsia" w:ascii="仿宋_GB2312" w:eastAsia="仿宋_GB2312"/>
          <w:color w:val="auto"/>
          <w:spacing w:val="6"/>
          <w:sz w:val="30"/>
          <w:szCs w:val="30"/>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6A620F0">
      <w:pPr>
        <w:spacing w:line="588" w:lineRule="exact"/>
        <w:ind w:firstLine="624" w:firstLineChars="200"/>
        <w:rPr>
          <w:rFonts w:ascii="仿宋_GB2312" w:eastAsia="仿宋_GB2312"/>
          <w:color w:val="auto"/>
          <w:spacing w:val="6"/>
          <w:sz w:val="30"/>
          <w:szCs w:val="30"/>
          <w:highlight w:val="none"/>
        </w:rPr>
      </w:pPr>
      <w:r>
        <w:rPr>
          <w:rFonts w:hint="eastAsia" w:ascii="仿宋_GB2312" w:eastAsia="仿宋_GB2312"/>
          <w:color w:val="auto"/>
          <w:spacing w:val="6"/>
          <w:sz w:val="30"/>
          <w:szCs w:val="30"/>
          <w:highlight w:val="none"/>
        </w:rPr>
        <w:t>本单位对上述声明的真实性负责。如有虚假，将依法承担相应责任。</w:t>
      </w:r>
    </w:p>
    <w:p w14:paraId="19288052">
      <w:pPr>
        <w:spacing w:line="588" w:lineRule="exact"/>
        <w:ind w:firstLine="624" w:firstLineChars="200"/>
        <w:rPr>
          <w:rFonts w:ascii="仿宋_GB2312" w:eastAsia="仿宋_GB2312"/>
          <w:color w:val="auto"/>
          <w:spacing w:val="6"/>
          <w:sz w:val="30"/>
          <w:szCs w:val="30"/>
          <w:highlight w:val="none"/>
        </w:rPr>
      </w:pPr>
    </w:p>
    <w:p w14:paraId="0A46650F">
      <w:pPr>
        <w:tabs>
          <w:tab w:val="left" w:pos="4860"/>
        </w:tabs>
        <w:spacing w:line="588" w:lineRule="exact"/>
        <w:ind w:right="1560" w:firstLine="624" w:firstLineChars="200"/>
        <w:jc w:val="center"/>
        <w:rPr>
          <w:rFonts w:ascii="仿宋_GB2312" w:eastAsia="仿宋_GB2312"/>
          <w:color w:val="auto"/>
          <w:spacing w:val="6"/>
          <w:sz w:val="30"/>
          <w:szCs w:val="30"/>
          <w:highlight w:val="none"/>
        </w:rPr>
      </w:pPr>
      <w:r>
        <w:rPr>
          <w:rFonts w:hint="eastAsia" w:ascii="仿宋_GB2312" w:eastAsia="仿宋_GB2312"/>
          <w:color w:val="auto"/>
          <w:spacing w:val="6"/>
          <w:sz w:val="30"/>
          <w:szCs w:val="30"/>
          <w:highlight w:val="none"/>
        </w:rPr>
        <w:t xml:space="preserve">      单位名称（电子签章）：</w:t>
      </w:r>
    </w:p>
    <w:p w14:paraId="46DBFECD">
      <w:pPr>
        <w:tabs>
          <w:tab w:val="left" w:pos="4860"/>
        </w:tabs>
        <w:spacing w:line="588" w:lineRule="exact"/>
        <w:ind w:right="1560" w:firstLine="624" w:firstLineChars="200"/>
        <w:jc w:val="center"/>
        <w:rPr>
          <w:rFonts w:ascii="仿宋_GB2312" w:eastAsia="仿宋_GB2312"/>
          <w:color w:val="auto"/>
          <w:spacing w:val="6"/>
          <w:sz w:val="30"/>
          <w:szCs w:val="30"/>
          <w:highlight w:val="none"/>
        </w:rPr>
      </w:pPr>
      <w:r>
        <w:rPr>
          <w:rFonts w:hint="eastAsia" w:ascii="仿宋_GB2312" w:eastAsia="仿宋_GB2312"/>
          <w:color w:val="auto"/>
          <w:spacing w:val="6"/>
          <w:sz w:val="30"/>
          <w:szCs w:val="30"/>
          <w:highlight w:val="none"/>
        </w:rPr>
        <w:t xml:space="preserve">   日  期：</w:t>
      </w:r>
    </w:p>
    <w:p w14:paraId="170CBA0B">
      <w:pPr>
        <w:spacing w:line="500" w:lineRule="exact"/>
        <w:rPr>
          <w:rFonts w:hint="eastAsia" w:ascii="宋体" w:hAnsi="宋体"/>
          <w:b/>
          <w:bCs/>
          <w:color w:val="auto"/>
          <w:sz w:val="32"/>
          <w:szCs w:val="32"/>
          <w:highlight w:val="none"/>
        </w:rPr>
      </w:pPr>
    </w:p>
    <w:p w14:paraId="6B7D04C4">
      <w:pPr>
        <w:spacing w:line="500" w:lineRule="exact"/>
        <w:rPr>
          <w:rFonts w:hint="eastAsia" w:ascii="宋体" w:hAnsi="宋体"/>
          <w:b/>
          <w:bCs/>
          <w:color w:val="auto"/>
          <w:sz w:val="32"/>
          <w:szCs w:val="32"/>
          <w:highlight w:val="none"/>
        </w:rPr>
      </w:pPr>
    </w:p>
    <w:p w14:paraId="2AD5A865">
      <w:pPr>
        <w:spacing w:line="500" w:lineRule="exact"/>
        <w:rPr>
          <w:rFonts w:hint="eastAsia" w:ascii="宋体" w:hAnsi="宋体"/>
          <w:b/>
          <w:bCs/>
          <w:color w:val="auto"/>
          <w:sz w:val="32"/>
          <w:szCs w:val="32"/>
          <w:highlight w:val="none"/>
        </w:rPr>
      </w:pPr>
    </w:p>
    <w:p w14:paraId="634D3D88">
      <w:pPr>
        <w:spacing w:line="500" w:lineRule="exact"/>
        <w:rPr>
          <w:rFonts w:hint="eastAsia" w:ascii="宋体" w:hAnsi="宋体"/>
          <w:b/>
          <w:bCs/>
          <w:color w:val="auto"/>
          <w:sz w:val="32"/>
          <w:szCs w:val="32"/>
          <w:highlight w:val="none"/>
        </w:rPr>
      </w:pPr>
    </w:p>
    <w:p w14:paraId="58405A10">
      <w:pPr>
        <w:spacing w:line="500" w:lineRule="exact"/>
        <w:rPr>
          <w:rFonts w:hint="eastAsia" w:ascii="宋体" w:hAnsi="宋体"/>
          <w:b/>
          <w:bCs/>
          <w:color w:val="auto"/>
          <w:sz w:val="32"/>
          <w:szCs w:val="32"/>
          <w:highlight w:val="none"/>
        </w:rPr>
      </w:pPr>
    </w:p>
    <w:p w14:paraId="3B744839">
      <w:pPr>
        <w:spacing w:line="500" w:lineRule="exact"/>
        <w:rPr>
          <w:rFonts w:hint="eastAsia" w:ascii="宋体" w:hAnsi="宋体"/>
          <w:b/>
          <w:bCs/>
          <w:color w:val="auto"/>
          <w:sz w:val="32"/>
          <w:szCs w:val="32"/>
          <w:highlight w:val="none"/>
        </w:rPr>
      </w:pPr>
      <w:r>
        <w:rPr>
          <w:rFonts w:hint="eastAsia" w:ascii="宋体" w:hAnsi="宋体"/>
          <w:b/>
          <w:bCs/>
          <w:color w:val="auto"/>
          <w:sz w:val="32"/>
          <w:szCs w:val="32"/>
          <w:highlight w:val="none"/>
        </w:rPr>
        <w:t>1</w:t>
      </w:r>
      <w:r>
        <w:rPr>
          <w:rFonts w:hint="eastAsia" w:ascii="宋体" w:hAnsi="宋体"/>
          <w:b/>
          <w:bCs/>
          <w:color w:val="auto"/>
          <w:sz w:val="32"/>
          <w:szCs w:val="32"/>
          <w:highlight w:val="none"/>
          <w:lang w:val="en-US" w:eastAsia="zh-CN"/>
        </w:rPr>
        <w:t>2</w:t>
      </w:r>
      <w:r>
        <w:rPr>
          <w:rFonts w:hint="eastAsia" w:ascii="宋体" w:hAnsi="宋体"/>
          <w:b/>
          <w:bCs/>
          <w:color w:val="auto"/>
          <w:sz w:val="32"/>
          <w:szCs w:val="32"/>
          <w:highlight w:val="none"/>
        </w:rPr>
        <w:t>.投标人可结合本项目的评标办法视自身情况自行提交相关证明材料（如有，请提供）</w:t>
      </w:r>
    </w:p>
    <w:p w14:paraId="366EFA8C">
      <w:pPr>
        <w:spacing w:line="500" w:lineRule="exact"/>
        <w:rPr>
          <w:rFonts w:hint="eastAsia" w:ascii="宋体" w:hAnsi="宋体"/>
          <w:b/>
          <w:bCs/>
          <w:color w:val="auto"/>
          <w:sz w:val="32"/>
          <w:szCs w:val="32"/>
          <w:highlight w:val="none"/>
        </w:rPr>
      </w:pPr>
    </w:p>
    <w:p w14:paraId="3EF290D4">
      <w:pPr>
        <w:spacing w:line="500" w:lineRule="exact"/>
        <w:rPr>
          <w:rFonts w:hint="eastAsia" w:ascii="宋体" w:hAnsi="宋体"/>
          <w:b/>
          <w:bCs/>
          <w:color w:val="auto"/>
          <w:sz w:val="32"/>
          <w:szCs w:val="32"/>
          <w:highlight w:val="none"/>
        </w:rPr>
      </w:pPr>
    </w:p>
    <w:bookmarkEnd w:id="23"/>
    <w:sectPr>
      <w:headerReference r:id="rId5" w:type="first"/>
      <w:headerReference r:id="rId3" w:type="default"/>
      <w:footerReference r:id="rId6" w:type="default"/>
      <w:headerReference r:id="rId4" w:type="even"/>
      <w:pgSz w:w="11906" w:h="16838"/>
      <w:pgMar w:top="1276" w:right="1134" w:bottom="1021" w:left="1134" w:header="851" w:footer="992"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D83C479B-FBF4-44DF-8B10-A00140F8D04C}"/>
  </w:font>
  <w:font w:name="黑体">
    <w:panose1 w:val="02010609060101010101"/>
    <w:charset w:val="86"/>
    <w:family w:val="auto"/>
    <w:pitch w:val="default"/>
    <w:sig w:usb0="800002BF" w:usb1="38CF7CFA" w:usb2="00000016" w:usb3="00000000" w:csb0="00040001" w:csb1="00000000"/>
    <w:embedRegular r:id="rId2" w:fontKey="{18E6E9CE-BFFB-4052-8214-63C98E326AEC}"/>
  </w:font>
  <w:font w:name="Courier New">
    <w:panose1 w:val="02070309020205020404"/>
    <w:charset w:val="01"/>
    <w:family w:val="modern"/>
    <w:pitch w:val="default"/>
    <w:sig w:usb0="E0002AFF" w:usb1="C0007843" w:usb2="00000009" w:usb3="00000000" w:csb0="400001FF" w:csb1="FFFF0000"/>
    <w:embedRegular r:id="rId3" w:fontKey="{1547E861-4864-457F-B59C-8F3E71A3EA2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142D4D3E-65AF-4C9F-A585-B6A7B853B48C}"/>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F6203154-F376-47B8-823B-4A5CEC1993FA}"/>
  </w:font>
  <w:font w:name="Verdana">
    <w:panose1 w:val="020B0604030504040204"/>
    <w:charset w:val="00"/>
    <w:family w:val="swiss"/>
    <w:pitch w:val="default"/>
    <w:sig w:usb0="A10006FF" w:usb1="4000205B" w:usb2="00000010" w:usb3="00000000" w:csb0="2000019F" w:csb1="00000000"/>
  </w:font>
  <w:font w:name="AvantGarde Bk BT">
    <w:altName w:val="微软雅黑"/>
    <w:panose1 w:val="020B0604020202020204"/>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embedRegular r:id="rId6" w:fontKey="{86BCD618-DB6F-4FA2-A5DA-1DD64B65F00E}"/>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embedRegular r:id="rId7" w:fontKey="{E46027C7-E54E-43E9-A2C9-37F492687130}"/>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embedRegular r:id="rId8" w:fontKey="{6192EECC-5DB4-436B-8282-0B827081C3B6}"/>
  </w:font>
  <w:font w:name="隶书">
    <w:panose1 w:val="02010509060101010101"/>
    <w:charset w:val="86"/>
    <w:family w:val="modern"/>
    <w:pitch w:val="default"/>
    <w:sig w:usb0="00000001" w:usb1="080E0000" w:usb2="00000000" w:usb3="00000000" w:csb0="00040000" w:csb1="00000000"/>
    <w:embedRegular r:id="rId9" w:fontKey="{0589E699-BADA-496B-BAD4-695009F252F4}"/>
  </w:font>
  <w:font w:name="仿宋">
    <w:panose1 w:val="02010609060101010101"/>
    <w:charset w:val="86"/>
    <w:family w:val="modern"/>
    <w:pitch w:val="default"/>
    <w:sig w:usb0="800002BF" w:usb1="38CF7CFA" w:usb2="00000016" w:usb3="00000000" w:csb0="00040001" w:csb1="00000000"/>
    <w:embedRegular r:id="rId10" w:fontKey="{8196C46C-1129-4BF0-AA5B-8C95E70342DA}"/>
  </w:font>
  <w:font w:name="新宋体">
    <w:panose1 w:val="02010609030101010101"/>
    <w:charset w:val="86"/>
    <w:family w:val="modern"/>
    <w:pitch w:val="default"/>
    <w:sig w:usb0="00000003" w:usb1="288F0000" w:usb2="00000006" w:usb3="00000000" w:csb0="00040001" w:csb1="00000000"/>
    <w:embedRegular r:id="rId11" w:fontKey="{C1E3418A-4164-4E5B-97A4-3E53126F10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E07AD">
    <w:pPr>
      <w:pStyle w:val="32"/>
      <w:jc w:val="center"/>
    </w:pPr>
    <w:r>
      <w:fldChar w:fldCharType="begin"/>
    </w:r>
    <w:r>
      <w:rPr>
        <w:rStyle w:val="55"/>
      </w:rPr>
      <w:instrText xml:space="preserve"> PAGE </w:instrText>
    </w:r>
    <w:r>
      <w:fldChar w:fldCharType="separate"/>
    </w:r>
    <w:r>
      <w:rPr>
        <w:rStyle w:val="55"/>
      </w:rPr>
      <w:t>- 9 -</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7936F">
    <w:pPr>
      <w:pStyle w:val="33"/>
      <w:pBdr>
        <w:bottom w:val="none" w:color="auto" w:sz="0" w:space="0"/>
      </w:pBdr>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16955" cy="5420995"/>
          <wp:effectExtent l="0" t="0" r="0" b="0"/>
          <wp:wrapNone/>
          <wp:docPr id="7" name="WordPictureWatermark656842018"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656842018"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2FF79">
    <w:pPr>
      <w:pStyle w:val="33"/>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16955" cy="5420995"/>
          <wp:effectExtent l="0" t="0" r="0" b="0"/>
          <wp:wrapNone/>
          <wp:docPr id="6" name="WordPictureWatermark656842017"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656842017"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07957">
    <w:pPr>
      <w:pStyle w:val="33"/>
      <w:pBdr>
        <w:bottom w:val="none" w:color="auto" w:sz="0" w:space="0"/>
      </w:pBdr>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116955" cy="5420995"/>
          <wp:effectExtent l="0" t="0" r="0" b="0"/>
          <wp:wrapNone/>
          <wp:docPr id="5" name="WordPictureWatermark656842016"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656842016"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6F764F"/>
    <w:multiLevelType w:val="singleLevel"/>
    <w:tmpl w:val="BE6F764F"/>
    <w:lvl w:ilvl="0" w:tentative="0">
      <w:start w:val="10"/>
      <w:numFmt w:val="chineseCounting"/>
      <w:suff w:val="nothing"/>
      <w:lvlText w:val="第%1条　"/>
      <w:lvlJc w:val="left"/>
      <w:rPr>
        <w:rFonts w:hint="eastAsia"/>
      </w:rPr>
    </w:lvl>
  </w:abstractNum>
  <w:abstractNum w:abstractNumId="1">
    <w:nsid w:val="00000002"/>
    <w:multiLevelType w:val="singleLevel"/>
    <w:tmpl w:val="00000002"/>
    <w:lvl w:ilvl="0" w:tentative="0">
      <w:start w:val="1"/>
      <w:numFmt w:val="decimal"/>
      <w:pStyle w:val="22"/>
      <w:lvlText w:val="%1."/>
      <w:lvlJc w:val="left"/>
      <w:pPr>
        <w:tabs>
          <w:tab w:val="left" w:pos="1200"/>
        </w:tabs>
        <w:ind w:left="1200" w:hanging="360"/>
      </w:pPr>
    </w:lvl>
  </w:abstractNum>
  <w:abstractNum w:abstractNumId="2">
    <w:nsid w:val="00000003"/>
    <w:multiLevelType w:val="multilevel"/>
    <w:tmpl w:val="00000003"/>
    <w:lvl w:ilvl="0" w:tentative="0">
      <w:start w:val="1"/>
      <w:numFmt w:val="japaneseCounting"/>
      <w:lvlText w:val="%1、"/>
      <w:lvlJc w:val="left"/>
      <w:pPr>
        <w:tabs>
          <w:tab w:val="left" w:pos="1020"/>
        </w:tabs>
        <w:ind w:left="1020" w:hanging="480"/>
      </w:pPr>
      <w:rPr>
        <w:rFonts w:ascii="仿宋_GB2312" w:hAnsi="宋体" w:eastAsia="仿宋_GB2312" w:cs="Times New Roman"/>
        <w:b/>
        <w:bCs/>
        <w:i w:val="0"/>
        <w:sz w:val="24"/>
        <w:szCs w:val="24"/>
      </w:rPr>
    </w:lvl>
    <w:lvl w:ilvl="1" w:tentative="0">
      <w:start w:val="1"/>
      <w:numFmt w:val="lowerLetter"/>
      <w:lvlText w:val="%2)"/>
      <w:lvlJc w:val="left"/>
      <w:pPr>
        <w:tabs>
          <w:tab w:val="left" w:pos="960"/>
        </w:tabs>
        <w:ind w:left="960" w:hanging="420"/>
      </w:pPr>
    </w:lvl>
    <w:lvl w:ilvl="2" w:tentative="0">
      <w:start w:val="1"/>
      <w:numFmt w:val="decimal"/>
      <w:pStyle w:val="212"/>
      <w:lvlText w:val="%3、"/>
      <w:lvlJc w:val="left"/>
      <w:pPr>
        <w:tabs>
          <w:tab w:val="left" w:pos="1380"/>
        </w:tabs>
        <w:ind w:left="1380" w:hanging="420"/>
      </w:pPr>
      <w:rPr>
        <w:rFonts w:ascii="仿宋_GB2312" w:hAnsi="宋体" w:eastAsia="仿宋_GB2312" w:cs="Times New Roman"/>
        <w:b w:val="0"/>
        <w:i w:val="0"/>
        <w:color w:val="auto"/>
        <w:sz w:val="21"/>
        <w:szCs w:val="21"/>
      </w:rPr>
    </w:lvl>
    <w:lvl w:ilvl="3" w:tentative="0">
      <w:start w:val="1"/>
      <w:numFmt w:val="decimal"/>
      <w:lvlText w:val="%4."/>
      <w:lvlJc w:val="left"/>
      <w:pPr>
        <w:tabs>
          <w:tab w:val="left" w:pos="1800"/>
        </w:tabs>
        <w:ind w:left="1800" w:hanging="420"/>
      </w:pPr>
      <w:rPr>
        <w:rFonts w:hint="eastAsia"/>
        <w:b/>
        <w:i w:val="0"/>
        <w:sz w:val="24"/>
        <w:szCs w:val="24"/>
      </w:rPr>
    </w:lvl>
    <w:lvl w:ilvl="4" w:tentative="0">
      <w:start w:val="6"/>
      <w:numFmt w:val="decimal"/>
      <w:lvlText w:val="%5．"/>
      <w:lvlJc w:val="left"/>
      <w:pPr>
        <w:tabs>
          <w:tab w:val="left" w:pos="2160"/>
        </w:tabs>
        <w:ind w:left="2160" w:hanging="360"/>
      </w:pPr>
      <w:rPr>
        <w:rFonts w:hint="default"/>
      </w:r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abstractNum w:abstractNumId="3">
    <w:nsid w:val="2B59A81F"/>
    <w:multiLevelType w:val="singleLevel"/>
    <w:tmpl w:val="2B59A81F"/>
    <w:lvl w:ilvl="0" w:tentative="0">
      <w:start w:val="5"/>
      <w:numFmt w:val="decimal"/>
      <w:lvlText w:val="%1."/>
      <w:lvlJc w:val="left"/>
      <w:pPr>
        <w:tabs>
          <w:tab w:val="left" w:pos="312"/>
        </w:tabs>
      </w:pPr>
    </w:lvl>
  </w:abstractNum>
  <w:abstractNum w:abstractNumId="4">
    <w:nsid w:val="36E1116A"/>
    <w:multiLevelType w:val="multilevel"/>
    <w:tmpl w:val="36E1116A"/>
    <w:lvl w:ilvl="0" w:tentative="0">
      <w:start w:val="1"/>
      <w:numFmt w:val="decimal"/>
      <w:lvlText w:val="%1"/>
      <w:lvlJc w:val="left"/>
      <w:pPr>
        <w:ind w:left="432" w:hanging="432"/>
      </w:pPr>
    </w:lvl>
    <w:lvl w:ilvl="1" w:tentative="0">
      <w:start w:val="1"/>
      <w:numFmt w:val="decimal"/>
      <w:pStyle w:val="104"/>
      <w:lvlText w:val="%1.%2"/>
      <w:lvlJc w:val="left"/>
      <w:pPr>
        <w:ind w:left="576" w:hanging="576"/>
      </w:pPr>
      <w:rPr>
        <w:b/>
        <w:i w:val="0"/>
      </w:r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5">
    <w:nsid w:val="4339F3A4"/>
    <w:multiLevelType w:val="singleLevel"/>
    <w:tmpl w:val="4339F3A4"/>
    <w:lvl w:ilvl="0" w:tentative="0">
      <w:start w:val="4"/>
      <w:numFmt w:val="decimal"/>
      <w:suff w:val="nothing"/>
      <w:lvlText w:val="（%1）"/>
      <w:lvlJc w:val="left"/>
    </w:lvl>
  </w:abstractNum>
  <w:abstractNum w:abstractNumId="6">
    <w:nsid w:val="55542797"/>
    <w:multiLevelType w:val="singleLevel"/>
    <w:tmpl w:val="55542797"/>
    <w:lvl w:ilvl="0" w:tentative="0">
      <w:start w:val="5"/>
      <w:numFmt w:val="decimal"/>
      <w:suff w:val="nothing"/>
      <w:lvlText w:val="（%1）"/>
      <w:lvlJc w:val="left"/>
    </w:lvl>
  </w:abstractNum>
  <w:abstractNum w:abstractNumId="7">
    <w:nsid w:val="6494483B"/>
    <w:multiLevelType w:val="multilevel"/>
    <w:tmpl w:val="6494483B"/>
    <w:lvl w:ilvl="0" w:tentative="0">
      <w:start w:val="1"/>
      <w:numFmt w:val="japaneseCounting"/>
      <w:lvlText w:val="%1、"/>
      <w:lvlJc w:val="left"/>
      <w:pPr>
        <w:ind w:left="872" w:hanging="450"/>
      </w:pPr>
      <w:rPr>
        <w:rFonts w:hint="default"/>
        <w:b/>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num w:numId="1">
    <w:abstractNumId w:val="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7"/>
  </w:num>
  <w:num w:numId="5">
    <w:abstractNumId w:val="5"/>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iNjExZTQ5MTQ5ZjhlYjE2YmJiYmMxNmQxMjBkYzUifQ=="/>
  </w:docVars>
  <w:rsids>
    <w:rsidRoot w:val="00F92138"/>
    <w:rsid w:val="0000012A"/>
    <w:rsid w:val="000004C3"/>
    <w:rsid w:val="000005FB"/>
    <w:rsid w:val="000007B3"/>
    <w:rsid w:val="00000854"/>
    <w:rsid w:val="00000871"/>
    <w:rsid w:val="00001175"/>
    <w:rsid w:val="000013C5"/>
    <w:rsid w:val="00001728"/>
    <w:rsid w:val="0000245C"/>
    <w:rsid w:val="00002511"/>
    <w:rsid w:val="00002604"/>
    <w:rsid w:val="00002682"/>
    <w:rsid w:val="00002747"/>
    <w:rsid w:val="00002789"/>
    <w:rsid w:val="000028A5"/>
    <w:rsid w:val="000028B5"/>
    <w:rsid w:val="00002A3E"/>
    <w:rsid w:val="00002B61"/>
    <w:rsid w:val="000032B4"/>
    <w:rsid w:val="00003601"/>
    <w:rsid w:val="000036AC"/>
    <w:rsid w:val="0000371F"/>
    <w:rsid w:val="00003814"/>
    <w:rsid w:val="00003E1B"/>
    <w:rsid w:val="00003E73"/>
    <w:rsid w:val="00004210"/>
    <w:rsid w:val="00004228"/>
    <w:rsid w:val="0000447E"/>
    <w:rsid w:val="000045A9"/>
    <w:rsid w:val="0000466A"/>
    <w:rsid w:val="00004808"/>
    <w:rsid w:val="00004D11"/>
    <w:rsid w:val="00004D43"/>
    <w:rsid w:val="00004D70"/>
    <w:rsid w:val="00004F53"/>
    <w:rsid w:val="00006004"/>
    <w:rsid w:val="00006148"/>
    <w:rsid w:val="000064D3"/>
    <w:rsid w:val="000066AE"/>
    <w:rsid w:val="00007562"/>
    <w:rsid w:val="000077A8"/>
    <w:rsid w:val="00007A12"/>
    <w:rsid w:val="00007CE8"/>
    <w:rsid w:val="00007EB0"/>
    <w:rsid w:val="00007F96"/>
    <w:rsid w:val="0001043E"/>
    <w:rsid w:val="00010630"/>
    <w:rsid w:val="0001073E"/>
    <w:rsid w:val="000109EB"/>
    <w:rsid w:val="00010A38"/>
    <w:rsid w:val="00010EAD"/>
    <w:rsid w:val="00010FE0"/>
    <w:rsid w:val="00011006"/>
    <w:rsid w:val="00011795"/>
    <w:rsid w:val="00011968"/>
    <w:rsid w:val="00011CC3"/>
    <w:rsid w:val="000120ED"/>
    <w:rsid w:val="00012CDC"/>
    <w:rsid w:val="00012DDD"/>
    <w:rsid w:val="000134D5"/>
    <w:rsid w:val="0001389F"/>
    <w:rsid w:val="000139C8"/>
    <w:rsid w:val="000139E0"/>
    <w:rsid w:val="00013AFD"/>
    <w:rsid w:val="00013C53"/>
    <w:rsid w:val="00013E03"/>
    <w:rsid w:val="00014897"/>
    <w:rsid w:val="000149EF"/>
    <w:rsid w:val="000154C2"/>
    <w:rsid w:val="00015616"/>
    <w:rsid w:val="0001571D"/>
    <w:rsid w:val="00015D04"/>
    <w:rsid w:val="000161E6"/>
    <w:rsid w:val="00016565"/>
    <w:rsid w:val="0001674F"/>
    <w:rsid w:val="000168D8"/>
    <w:rsid w:val="00016CCE"/>
    <w:rsid w:val="00016E25"/>
    <w:rsid w:val="00016F9A"/>
    <w:rsid w:val="00017987"/>
    <w:rsid w:val="00017C5C"/>
    <w:rsid w:val="00017FFA"/>
    <w:rsid w:val="000201A9"/>
    <w:rsid w:val="00020282"/>
    <w:rsid w:val="000204F7"/>
    <w:rsid w:val="00020654"/>
    <w:rsid w:val="000206E4"/>
    <w:rsid w:val="0002096D"/>
    <w:rsid w:val="00020A3D"/>
    <w:rsid w:val="00020C2E"/>
    <w:rsid w:val="00020DEA"/>
    <w:rsid w:val="0002119F"/>
    <w:rsid w:val="00021470"/>
    <w:rsid w:val="0002171C"/>
    <w:rsid w:val="0002186B"/>
    <w:rsid w:val="00021AB2"/>
    <w:rsid w:val="00021C76"/>
    <w:rsid w:val="00021DAE"/>
    <w:rsid w:val="00022366"/>
    <w:rsid w:val="000226EF"/>
    <w:rsid w:val="00022A04"/>
    <w:rsid w:val="00022F6B"/>
    <w:rsid w:val="0002300B"/>
    <w:rsid w:val="00023496"/>
    <w:rsid w:val="00023CCC"/>
    <w:rsid w:val="00024D1C"/>
    <w:rsid w:val="000250DF"/>
    <w:rsid w:val="00025118"/>
    <w:rsid w:val="000253B5"/>
    <w:rsid w:val="000255CC"/>
    <w:rsid w:val="00025B91"/>
    <w:rsid w:val="00025DA0"/>
    <w:rsid w:val="00026487"/>
    <w:rsid w:val="00026761"/>
    <w:rsid w:val="000267F4"/>
    <w:rsid w:val="00026A9C"/>
    <w:rsid w:val="00026BD0"/>
    <w:rsid w:val="00026E89"/>
    <w:rsid w:val="0002734F"/>
    <w:rsid w:val="00027726"/>
    <w:rsid w:val="00027D36"/>
    <w:rsid w:val="00027F50"/>
    <w:rsid w:val="00030259"/>
    <w:rsid w:val="000304F3"/>
    <w:rsid w:val="00030948"/>
    <w:rsid w:val="00031747"/>
    <w:rsid w:val="00031D23"/>
    <w:rsid w:val="00031DA8"/>
    <w:rsid w:val="00031F80"/>
    <w:rsid w:val="000320DB"/>
    <w:rsid w:val="000321FD"/>
    <w:rsid w:val="00032419"/>
    <w:rsid w:val="0003258D"/>
    <w:rsid w:val="0003298D"/>
    <w:rsid w:val="00032C39"/>
    <w:rsid w:val="00033233"/>
    <w:rsid w:val="0003385A"/>
    <w:rsid w:val="00033A28"/>
    <w:rsid w:val="00033BE8"/>
    <w:rsid w:val="00033C62"/>
    <w:rsid w:val="00034267"/>
    <w:rsid w:val="0003436C"/>
    <w:rsid w:val="00034581"/>
    <w:rsid w:val="00034AEA"/>
    <w:rsid w:val="00034D30"/>
    <w:rsid w:val="00034E5F"/>
    <w:rsid w:val="000353B8"/>
    <w:rsid w:val="000357BE"/>
    <w:rsid w:val="00035820"/>
    <w:rsid w:val="000359B7"/>
    <w:rsid w:val="00035B81"/>
    <w:rsid w:val="00035C6F"/>
    <w:rsid w:val="00035F72"/>
    <w:rsid w:val="00036348"/>
    <w:rsid w:val="00036425"/>
    <w:rsid w:val="00036594"/>
    <w:rsid w:val="000365F4"/>
    <w:rsid w:val="00036858"/>
    <w:rsid w:val="00036AD9"/>
    <w:rsid w:val="00037242"/>
    <w:rsid w:val="0003732F"/>
    <w:rsid w:val="000373A3"/>
    <w:rsid w:val="000378B3"/>
    <w:rsid w:val="00037991"/>
    <w:rsid w:val="00037E9B"/>
    <w:rsid w:val="000403EE"/>
    <w:rsid w:val="00040678"/>
    <w:rsid w:val="0004082A"/>
    <w:rsid w:val="00041892"/>
    <w:rsid w:val="000421B1"/>
    <w:rsid w:val="000425C4"/>
    <w:rsid w:val="00042A25"/>
    <w:rsid w:val="00042DAC"/>
    <w:rsid w:val="00042F69"/>
    <w:rsid w:val="00043206"/>
    <w:rsid w:val="000433E9"/>
    <w:rsid w:val="0004367A"/>
    <w:rsid w:val="00043717"/>
    <w:rsid w:val="00043BC9"/>
    <w:rsid w:val="00043CB4"/>
    <w:rsid w:val="00044162"/>
    <w:rsid w:val="000441DC"/>
    <w:rsid w:val="00044210"/>
    <w:rsid w:val="0004422A"/>
    <w:rsid w:val="000443DB"/>
    <w:rsid w:val="00044409"/>
    <w:rsid w:val="000447E7"/>
    <w:rsid w:val="00044C3F"/>
    <w:rsid w:val="00044E5F"/>
    <w:rsid w:val="00044E6F"/>
    <w:rsid w:val="00044FD6"/>
    <w:rsid w:val="000457ED"/>
    <w:rsid w:val="00045A4C"/>
    <w:rsid w:val="00045E9F"/>
    <w:rsid w:val="00045FA3"/>
    <w:rsid w:val="000464D6"/>
    <w:rsid w:val="00047190"/>
    <w:rsid w:val="000473C1"/>
    <w:rsid w:val="00047877"/>
    <w:rsid w:val="000479BB"/>
    <w:rsid w:val="000479E2"/>
    <w:rsid w:val="000500EE"/>
    <w:rsid w:val="0005043F"/>
    <w:rsid w:val="000510D5"/>
    <w:rsid w:val="0005122B"/>
    <w:rsid w:val="0005175C"/>
    <w:rsid w:val="000517CE"/>
    <w:rsid w:val="00051A68"/>
    <w:rsid w:val="00051E67"/>
    <w:rsid w:val="0005214D"/>
    <w:rsid w:val="000521BC"/>
    <w:rsid w:val="00052295"/>
    <w:rsid w:val="00052409"/>
    <w:rsid w:val="00052555"/>
    <w:rsid w:val="00052690"/>
    <w:rsid w:val="0005329D"/>
    <w:rsid w:val="000535F9"/>
    <w:rsid w:val="000539F2"/>
    <w:rsid w:val="00053A6F"/>
    <w:rsid w:val="00053CF2"/>
    <w:rsid w:val="00053E02"/>
    <w:rsid w:val="0005424F"/>
    <w:rsid w:val="00054CFF"/>
    <w:rsid w:val="00055795"/>
    <w:rsid w:val="000559B8"/>
    <w:rsid w:val="00055CE2"/>
    <w:rsid w:val="000561BD"/>
    <w:rsid w:val="00056276"/>
    <w:rsid w:val="0005641F"/>
    <w:rsid w:val="00056690"/>
    <w:rsid w:val="000568B2"/>
    <w:rsid w:val="00056BD6"/>
    <w:rsid w:val="00056E2B"/>
    <w:rsid w:val="000579D5"/>
    <w:rsid w:val="00057D96"/>
    <w:rsid w:val="000606D6"/>
    <w:rsid w:val="00061342"/>
    <w:rsid w:val="000615CB"/>
    <w:rsid w:val="00061697"/>
    <w:rsid w:val="000617D3"/>
    <w:rsid w:val="00061919"/>
    <w:rsid w:val="00061B9C"/>
    <w:rsid w:val="000620A2"/>
    <w:rsid w:val="000620E7"/>
    <w:rsid w:val="0006269C"/>
    <w:rsid w:val="00062967"/>
    <w:rsid w:val="000629C0"/>
    <w:rsid w:val="00062B0E"/>
    <w:rsid w:val="00062BBA"/>
    <w:rsid w:val="00062EB9"/>
    <w:rsid w:val="00063580"/>
    <w:rsid w:val="00063621"/>
    <w:rsid w:val="0006377B"/>
    <w:rsid w:val="00063C67"/>
    <w:rsid w:val="00063EC5"/>
    <w:rsid w:val="00064404"/>
    <w:rsid w:val="00064518"/>
    <w:rsid w:val="000645BF"/>
    <w:rsid w:val="00064792"/>
    <w:rsid w:val="00064997"/>
    <w:rsid w:val="00064E88"/>
    <w:rsid w:val="00064E8B"/>
    <w:rsid w:val="00065607"/>
    <w:rsid w:val="0006594E"/>
    <w:rsid w:val="00065C27"/>
    <w:rsid w:val="00065FE9"/>
    <w:rsid w:val="0006602F"/>
    <w:rsid w:val="0006604E"/>
    <w:rsid w:val="00066254"/>
    <w:rsid w:val="0006630F"/>
    <w:rsid w:val="000663F2"/>
    <w:rsid w:val="00066927"/>
    <w:rsid w:val="00066A0A"/>
    <w:rsid w:val="000675B5"/>
    <w:rsid w:val="00067A60"/>
    <w:rsid w:val="000703CC"/>
    <w:rsid w:val="00070648"/>
    <w:rsid w:val="0007072F"/>
    <w:rsid w:val="000707BA"/>
    <w:rsid w:val="00070B84"/>
    <w:rsid w:val="000711B1"/>
    <w:rsid w:val="000712BA"/>
    <w:rsid w:val="000715E8"/>
    <w:rsid w:val="00071F45"/>
    <w:rsid w:val="0007201C"/>
    <w:rsid w:val="000721AD"/>
    <w:rsid w:val="0007258B"/>
    <w:rsid w:val="00072AF3"/>
    <w:rsid w:val="00072D22"/>
    <w:rsid w:val="000731E0"/>
    <w:rsid w:val="0007321D"/>
    <w:rsid w:val="00073C31"/>
    <w:rsid w:val="00073EB9"/>
    <w:rsid w:val="00074060"/>
    <w:rsid w:val="000740EE"/>
    <w:rsid w:val="00074214"/>
    <w:rsid w:val="0007443C"/>
    <w:rsid w:val="00074441"/>
    <w:rsid w:val="000746D3"/>
    <w:rsid w:val="000748B4"/>
    <w:rsid w:val="00074975"/>
    <w:rsid w:val="00074AAC"/>
    <w:rsid w:val="00075405"/>
    <w:rsid w:val="000759B4"/>
    <w:rsid w:val="00075AC6"/>
    <w:rsid w:val="00075B2C"/>
    <w:rsid w:val="00075FE4"/>
    <w:rsid w:val="000763A1"/>
    <w:rsid w:val="000763B8"/>
    <w:rsid w:val="00076769"/>
    <w:rsid w:val="00077189"/>
    <w:rsid w:val="0007738C"/>
    <w:rsid w:val="000778F2"/>
    <w:rsid w:val="00080266"/>
    <w:rsid w:val="00080A97"/>
    <w:rsid w:val="00080ED7"/>
    <w:rsid w:val="00080FD4"/>
    <w:rsid w:val="00081197"/>
    <w:rsid w:val="00081320"/>
    <w:rsid w:val="000815D9"/>
    <w:rsid w:val="000817BF"/>
    <w:rsid w:val="0008283C"/>
    <w:rsid w:val="00082930"/>
    <w:rsid w:val="000829F1"/>
    <w:rsid w:val="00082B33"/>
    <w:rsid w:val="00082BF1"/>
    <w:rsid w:val="00082F26"/>
    <w:rsid w:val="00083204"/>
    <w:rsid w:val="000834F3"/>
    <w:rsid w:val="00083818"/>
    <w:rsid w:val="00083908"/>
    <w:rsid w:val="00083AFC"/>
    <w:rsid w:val="000844B3"/>
    <w:rsid w:val="00084EFE"/>
    <w:rsid w:val="00085194"/>
    <w:rsid w:val="00085201"/>
    <w:rsid w:val="00085993"/>
    <w:rsid w:val="00085A42"/>
    <w:rsid w:val="00085BAF"/>
    <w:rsid w:val="00085EE0"/>
    <w:rsid w:val="0008648B"/>
    <w:rsid w:val="00086806"/>
    <w:rsid w:val="00086894"/>
    <w:rsid w:val="000870A4"/>
    <w:rsid w:val="00087492"/>
    <w:rsid w:val="00087C2E"/>
    <w:rsid w:val="00087C30"/>
    <w:rsid w:val="00087D46"/>
    <w:rsid w:val="000900BE"/>
    <w:rsid w:val="00090E19"/>
    <w:rsid w:val="00090E42"/>
    <w:rsid w:val="0009120F"/>
    <w:rsid w:val="0009192D"/>
    <w:rsid w:val="000919DB"/>
    <w:rsid w:val="00091A83"/>
    <w:rsid w:val="00091AD3"/>
    <w:rsid w:val="00091ADC"/>
    <w:rsid w:val="00091F05"/>
    <w:rsid w:val="000921D6"/>
    <w:rsid w:val="00093311"/>
    <w:rsid w:val="00093502"/>
    <w:rsid w:val="0009378E"/>
    <w:rsid w:val="0009386A"/>
    <w:rsid w:val="0009396D"/>
    <w:rsid w:val="0009404D"/>
    <w:rsid w:val="0009423E"/>
    <w:rsid w:val="0009450E"/>
    <w:rsid w:val="00094C09"/>
    <w:rsid w:val="00094ED1"/>
    <w:rsid w:val="000950EB"/>
    <w:rsid w:val="00095250"/>
    <w:rsid w:val="000952D2"/>
    <w:rsid w:val="00095349"/>
    <w:rsid w:val="00095562"/>
    <w:rsid w:val="0009583E"/>
    <w:rsid w:val="00095AC0"/>
    <w:rsid w:val="00095C2B"/>
    <w:rsid w:val="00095D3B"/>
    <w:rsid w:val="0009609B"/>
    <w:rsid w:val="000960BE"/>
    <w:rsid w:val="00096254"/>
    <w:rsid w:val="0009629E"/>
    <w:rsid w:val="0009642E"/>
    <w:rsid w:val="0009647B"/>
    <w:rsid w:val="0009657E"/>
    <w:rsid w:val="00096B3D"/>
    <w:rsid w:val="00096EEB"/>
    <w:rsid w:val="0009733E"/>
    <w:rsid w:val="000979B8"/>
    <w:rsid w:val="00097B00"/>
    <w:rsid w:val="00097F2B"/>
    <w:rsid w:val="000A01B6"/>
    <w:rsid w:val="000A05EB"/>
    <w:rsid w:val="000A15B9"/>
    <w:rsid w:val="000A1660"/>
    <w:rsid w:val="000A1985"/>
    <w:rsid w:val="000A1C5C"/>
    <w:rsid w:val="000A22E4"/>
    <w:rsid w:val="000A2348"/>
    <w:rsid w:val="000A322E"/>
    <w:rsid w:val="000A3752"/>
    <w:rsid w:val="000A482E"/>
    <w:rsid w:val="000A4E13"/>
    <w:rsid w:val="000A5690"/>
    <w:rsid w:val="000A5AFE"/>
    <w:rsid w:val="000A5C8F"/>
    <w:rsid w:val="000A5E73"/>
    <w:rsid w:val="000A5E7E"/>
    <w:rsid w:val="000A61F5"/>
    <w:rsid w:val="000A6BCA"/>
    <w:rsid w:val="000A6E55"/>
    <w:rsid w:val="000A6FEB"/>
    <w:rsid w:val="000A7020"/>
    <w:rsid w:val="000A715A"/>
    <w:rsid w:val="000A765E"/>
    <w:rsid w:val="000A7726"/>
    <w:rsid w:val="000A7CEA"/>
    <w:rsid w:val="000B005F"/>
    <w:rsid w:val="000B0082"/>
    <w:rsid w:val="000B0776"/>
    <w:rsid w:val="000B0948"/>
    <w:rsid w:val="000B0D60"/>
    <w:rsid w:val="000B0D67"/>
    <w:rsid w:val="000B1324"/>
    <w:rsid w:val="000B13D3"/>
    <w:rsid w:val="000B147E"/>
    <w:rsid w:val="000B14E2"/>
    <w:rsid w:val="000B1865"/>
    <w:rsid w:val="000B1BF0"/>
    <w:rsid w:val="000B27B0"/>
    <w:rsid w:val="000B2E07"/>
    <w:rsid w:val="000B3052"/>
    <w:rsid w:val="000B32D6"/>
    <w:rsid w:val="000B3350"/>
    <w:rsid w:val="000B3403"/>
    <w:rsid w:val="000B382F"/>
    <w:rsid w:val="000B38D3"/>
    <w:rsid w:val="000B414E"/>
    <w:rsid w:val="000B420E"/>
    <w:rsid w:val="000B4823"/>
    <w:rsid w:val="000B4D02"/>
    <w:rsid w:val="000B517B"/>
    <w:rsid w:val="000B599B"/>
    <w:rsid w:val="000B5A2A"/>
    <w:rsid w:val="000B5AF3"/>
    <w:rsid w:val="000B5DD0"/>
    <w:rsid w:val="000B6149"/>
    <w:rsid w:val="000B6464"/>
    <w:rsid w:val="000B6616"/>
    <w:rsid w:val="000B67FF"/>
    <w:rsid w:val="000B6D4B"/>
    <w:rsid w:val="000B7280"/>
    <w:rsid w:val="000B74A4"/>
    <w:rsid w:val="000B75A6"/>
    <w:rsid w:val="000B7B41"/>
    <w:rsid w:val="000B7B6B"/>
    <w:rsid w:val="000C042D"/>
    <w:rsid w:val="000C04AB"/>
    <w:rsid w:val="000C0AFC"/>
    <w:rsid w:val="000C0F87"/>
    <w:rsid w:val="000C10CE"/>
    <w:rsid w:val="000C16C7"/>
    <w:rsid w:val="000C17B3"/>
    <w:rsid w:val="000C18B9"/>
    <w:rsid w:val="000C1B29"/>
    <w:rsid w:val="000C1C14"/>
    <w:rsid w:val="000C1C47"/>
    <w:rsid w:val="000C1E87"/>
    <w:rsid w:val="000C1EF0"/>
    <w:rsid w:val="000C1FFE"/>
    <w:rsid w:val="000C2664"/>
    <w:rsid w:val="000C29CC"/>
    <w:rsid w:val="000C3182"/>
    <w:rsid w:val="000C356B"/>
    <w:rsid w:val="000C3627"/>
    <w:rsid w:val="000C3A50"/>
    <w:rsid w:val="000C3D7C"/>
    <w:rsid w:val="000C3EBF"/>
    <w:rsid w:val="000C3EF9"/>
    <w:rsid w:val="000C3F51"/>
    <w:rsid w:val="000C4183"/>
    <w:rsid w:val="000C4226"/>
    <w:rsid w:val="000C438D"/>
    <w:rsid w:val="000C46A7"/>
    <w:rsid w:val="000C4B4A"/>
    <w:rsid w:val="000C541F"/>
    <w:rsid w:val="000C5698"/>
    <w:rsid w:val="000C577C"/>
    <w:rsid w:val="000C59AE"/>
    <w:rsid w:val="000C5A8E"/>
    <w:rsid w:val="000C5EBC"/>
    <w:rsid w:val="000C6007"/>
    <w:rsid w:val="000C6091"/>
    <w:rsid w:val="000C63C1"/>
    <w:rsid w:val="000C6487"/>
    <w:rsid w:val="000C66D5"/>
    <w:rsid w:val="000C68E8"/>
    <w:rsid w:val="000C6905"/>
    <w:rsid w:val="000C6B9C"/>
    <w:rsid w:val="000C6C69"/>
    <w:rsid w:val="000C726B"/>
    <w:rsid w:val="000C758F"/>
    <w:rsid w:val="000C774A"/>
    <w:rsid w:val="000C7A4D"/>
    <w:rsid w:val="000C7DC0"/>
    <w:rsid w:val="000C7E03"/>
    <w:rsid w:val="000D04B5"/>
    <w:rsid w:val="000D07D7"/>
    <w:rsid w:val="000D0A2A"/>
    <w:rsid w:val="000D14CB"/>
    <w:rsid w:val="000D197F"/>
    <w:rsid w:val="000D1F8E"/>
    <w:rsid w:val="000D2C99"/>
    <w:rsid w:val="000D2E87"/>
    <w:rsid w:val="000D3131"/>
    <w:rsid w:val="000D317E"/>
    <w:rsid w:val="000D3499"/>
    <w:rsid w:val="000D3ADD"/>
    <w:rsid w:val="000D3AF0"/>
    <w:rsid w:val="000D416D"/>
    <w:rsid w:val="000D4271"/>
    <w:rsid w:val="000D4CD5"/>
    <w:rsid w:val="000D4F02"/>
    <w:rsid w:val="000D565B"/>
    <w:rsid w:val="000D5A69"/>
    <w:rsid w:val="000D5B9D"/>
    <w:rsid w:val="000D6183"/>
    <w:rsid w:val="000D6249"/>
    <w:rsid w:val="000D628D"/>
    <w:rsid w:val="000D6F13"/>
    <w:rsid w:val="000D713C"/>
    <w:rsid w:val="000D7241"/>
    <w:rsid w:val="000D7473"/>
    <w:rsid w:val="000D7491"/>
    <w:rsid w:val="000D761D"/>
    <w:rsid w:val="000D7811"/>
    <w:rsid w:val="000D7A57"/>
    <w:rsid w:val="000E01DD"/>
    <w:rsid w:val="000E07EE"/>
    <w:rsid w:val="000E0A22"/>
    <w:rsid w:val="000E0E00"/>
    <w:rsid w:val="000E0E6B"/>
    <w:rsid w:val="000E1051"/>
    <w:rsid w:val="000E125D"/>
    <w:rsid w:val="000E174C"/>
    <w:rsid w:val="000E17A5"/>
    <w:rsid w:val="000E1B2F"/>
    <w:rsid w:val="000E1C92"/>
    <w:rsid w:val="000E1EA9"/>
    <w:rsid w:val="000E20CC"/>
    <w:rsid w:val="000E221C"/>
    <w:rsid w:val="000E2C59"/>
    <w:rsid w:val="000E2D2A"/>
    <w:rsid w:val="000E2D3C"/>
    <w:rsid w:val="000E3086"/>
    <w:rsid w:val="000E3A00"/>
    <w:rsid w:val="000E3C9D"/>
    <w:rsid w:val="000E4714"/>
    <w:rsid w:val="000E477C"/>
    <w:rsid w:val="000E4A2E"/>
    <w:rsid w:val="000E4A61"/>
    <w:rsid w:val="000E4AA0"/>
    <w:rsid w:val="000E4C0B"/>
    <w:rsid w:val="000E5032"/>
    <w:rsid w:val="000E534D"/>
    <w:rsid w:val="000E54B3"/>
    <w:rsid w:val="000E551D"/>
    <w:rsid w:val="000E5A5B"/>
    <w:rsid w:val="000E5C22"/>
    <w:rsid w:val="000E6395"/>
    <w:rsid w:val="000E6743"/>
    <w:rsid w:val="000E6BBF"/>
    <w:rsid w:val="000E705C"/>
    <w:rsid w:val="000E7078"/>
    <w:rsid w:val="000E75B1"/>
    <w:rsid w:val="000E7C83"/>
    <w:rsid w:val="000E7D9E"/>
    <w:rsid w:val="000F00C1"/>
    <w:rsid w:val="000F07E0"/>
    <w:rsid w:val="000F0927"/>
    <w:rsid w:val="000F09EA"/>
    <w:rsid w:val="000F0AEC"/>
    <w:rsid w:val="000F0DF2"/>
    <w:rsid w:val="000F1079"/>
    <w:rsid w:val="000F1819"/>
    <w:rsid w:val="000F1BF2"/>
    <w:rsid w:val="000F1C7B"/>
    <w:rsid w:val="000F2448"/>
    <w:rsid w:val="000F25B0"/>
    <w:rsid w:val="000F29AC"/>
    <w:rsid w:val="000F2B3A"/>
    <w:rsid w:val="000F3291"/>
    <w:rsid w:val="000F33D3"/>
    <w:rsid w:val="000F341F"/>
    <w:rsid w:val="000F3A99"/>
    <w:rsid w:val="000F3E81"/>
    <w:rsid w:val="000F4630"/>
    <w:rsid w:val="000F4D92"/>
    <w:rsid w:val="000F4FD7"/>
    <w:rsid w:val="000F587D"/>
    <w:rsid w:val="000F5A14"/>
    <w:rsid w:val="000F6137"/>
    <w:rsid w:val="000F6371"/>
    <w:rsid w:val="000F6477"/>
    <w:rsid w:val="000F655C"/>
    <w:rsid w:val="000F65A6"/>
    <w:rsid w:val="000F660D"/>
    <w:rsid w:val="000F725F"/>
    <w:rsid w:val="000F72C5"/>
    <w:rsid w:val="000F7404"/>
    <w:rsid w:val="000F762F"/>
    <w:rsid w:val="000F7D5B"/>
    <w:rsid w:val="001002A5"/>
    <w:rsid w:val="0010044F"/>
    <w:rsid w:val="00100AE0"/>
    <w:rsid w:val="0010113E"/>
    <w:rsid w:val="001011C1"/>
    <w:rsid w:val="001019F1"/>
    <w:rsid w:val="00101C2F"/>
    <w:rsid w:val="00101D12"/>
    <w:rsid w:val="001023DA"/>
    <w:rsid w:val="001025EC"/>
    <w:rsid w:val="00102805"/>
    <w:rsid w:val="001031B9"/>
    <w:rsid w:val="001033B5"/>
    <w:rsid w:val="00103853"/>
    <w:rsid w:val="00103B1E"/>
    <w:rsid w:val="00103D34"/>
    <w:rsid w:val="001043E8"/>
    <w:rsid w:val="001046DF"/>
    <w:rsid w:val="001051FB"/>
    <w:rsid w:val="001056A6"/>
    <w:rsid w:val="00105B78"/>
    <w:rsid w:val="00105E32"/>
    <w:rsid w:val="00105E7C"/>
    <w:rsid w:val="00106404"/>
    <w:rsid w:val="00106635"/>
    <w:rsid w:val="00106B69"/>
    <w:rsid w:val="00106BC0"/>
    <w:rsid w:val="0010701F"/>
    <w:rsid w:val="001070B4"/>
    <w:rsid w:val="00107A1A"/>
    <w:rsid w:val="00107AAB"/>
    <w:rsid w:val="00107DBE"/>
    <w:rsid w:val="001100AC"/>
    <w:rsid w:val="0011087F"/>
    <w:rsid w:val="00110AC0"/>
    <w:rsid w:val="00110BD9"/>
    <w:rsid w:val="00110F89"/>
    <w:rsid w:val="00111361"/>
    <w:rsid w:val="001115B3"/>
    <w:rsid w:val="0011171E"/>
    <w:rsid w:val="00111A1E"/>
    <w:rsid w:val="00111A2D"/>
    <w:rsid w:val="00111CA9"/>
    <w:rsid w:val="00112140"/>
    <w:rsid w:val="00112548"/>
    <w:rsid w:val="00112720"/>
    <w:rsid w:val="00112F5B"/>
    <w:rsid w:val="00113157"/>
    <w:rsid w:val="00113296"/>
    <w:rsid w:val="0011343D"/>
    <w:rsid w:val="00113A0E"/>
    <w:rsid w:val="00113A99"/>
    <w:rsid w:val="00113AF4"/>
    <w:rsid w:val="001142F4"/>
    <w:rsid w:val="00114A2A"/>
    <w:rsid w:val="00114B86"/>
    <w:rsid w:val="00115442"/>
    <w:rsid w:val="001154A1"/>
    <w:rsid w:val="00115B7D"/>
    <w:rsid w:val="00115EC5"/>
    <w:rsid w:val="00115FBC"/>
    <w:rsid w:val="00116425"/>
    <w:rsid w:val="00116B59"/>
    <w:rsid w:val="00116CBB"/>
    <w:rsid w:val="0011747F"/>
    <w:rsid w:val="001174AE"/>
    <w:rsid w:val="00117824"/>
    <w:rsid w:val="00117D20"/>
    <w:rsid w:val="00117E74"/>
    <w:rsid w:val="00120012"/>
    <w:rsid w:val="00120547"/>
    <w:rsid w:val="00120802"/>
    <w:rsid w:val="001211C2"/>
    <w:rsid w:val="0012191A"/>
    <w:rsid w:val="0012250F"/>
    <w:rsid w:val="001228E6"/>
    <w:rsid w:val="00122B87"/>
    <w:rsid w:val="001234BD"/>
    <w:rsid w:val="001235F0"/>
    <w:rsid w:val="001236EF"/>
    <w:rsid w:val="00123743"/>
    <w:rsid w:val="001239B2"/>
    <w:rsid w:val="00123B65"/>
    <w:rsid w:val="00123CFD"/>
    <w:rsid w:val="0012409E"/>
    <w:rsid w:val="001240C4"/>
    <w:rsid w:val="00124323"/>
    <w:rsid w:val="00124ACB"/>
    <w:rsid w:val="00124C84"/>
    <w:rsid w:val="00124D00"/>
    <w:rsid w:val="001254AD"/>
    <w:rsid w:val="001255C6"/>
    <w:rsid w:val="001262E5"/>
    <w:rsid w:val="0012638B"/>
    <w:rsid w:val="0012725B"/>
    <w:rsid w:val="0012777D"/>
    <w:rsid w:val="00130193"/>
    <w:rsid w:val="001301CD"/>
    <w:rsid w:val="0013024C"/>
    <w:rsid w:val="001303EA"/>
    <w:rsid w:val="0013041D"/>
    <w:rsid w:val="00130436"/>
    <w:rsid w:val="001306F6"/>
    <w:rsid w:val="00130EFA"/>
    <w:rsid w:val="00131BB7"/>
    <w:rsid w:val="00131C08"/>
    <w:rsid w:val="00131D21"/>
    <w:rsid w:val="00132223"/>
    <w:rsid w:val="0013248D"/>
    <w:rsid w:val="00132F97"/>
    <w:rsid w:val="00133180"/>
    <w:rsid w:val="001333DB"/>
    <w:rsid w:val="001333E2"/>
    <w:rsid w:val="00133450"/>
    <w:rsid w:val="001335B1"/>
    <w:rsid w:val="00133665"/>
    <w:rsid w:val="00133AA8"/>
    <w:rsid w:val="00133F22"/>
    <w:rsid w:val="00133FCA"/>
    <w:rsid w:val="0013421C"/>
    <w:rsid w:val="001342A2"/>
    <w:rsid w:val="001344C7"/>
    <w:rsid w:val="001346D2"/>
    <w:rsid w:val="001347FB"/>
    <w:rsid w:val="00134A33"/>
    <w:rsid w:val="00134BD1"/>
    <w:rsid w:val="00135943"/>
    <w:rsid w:val="00136194"/>
    <w:rsid w:val="00136269"/>
    <w:rsid w:val="00136517"/>
    <w:rsid w:val="00136F3A"/>
    <w:rsid w:val="00137E73"/>
    <w:rsid w:val="0014023B"/>
    <w:rsid w:val="0014115B"/>
    <w:rsid w:val="00141AE7"/>
    <w:rsid w:val="00141C73"/>
    <w:rsid w:val="00141E3C"/>
    <w:rsid w:val="00141F80"/>
    <w:rsid w:val="00142616"/>
    <w:rsid w:val="00142A03"/>
    <w:rsid w:val="00142D49"/>
    <w:rsid w:val="00143102"/>
    <w:rsid w:val="0014329A"/>
    <w:rsid w:val="00143861"/>
    <w:rsid w:val="001438E6"/>
    <w:rsid w:val="001440A4"/>
    <w:rsid w:val="00144141"/>
    <w:rsid w:val="001443CF"/>
    <w:rsid w:val="0014479B"/>
    <w:rsid w:val="00144815"/>
    <w:rsid w:val="00144F89"/>
    <w:rsid w:val="00145004"/>
    <w:rsid w:val="00145537"/>
    <w:rsid w:val="001456C7"/>
    <w:rsid w:val="00145D1C"/>
    <w:rsid w:val="00145FB5"/>
    <w:rsid w:val="0014636E"/>
    <w:rsid w:val="00146444"/>
    <w:rsid w:val="0014691E"/>
    <w:rsid w:val="00147314"/>
    <w:rsid w:val="00147B3C"/>
    <w:rsid w:val="00150049"/>
    <w:rsid w:val="00150055"/>
    <w:rsid w:val="001502A2"/>
    <w:rsid w:val="00150AE6"/>
    <w:rsid w:val="00150C40"/>
    <w:rsid w:val="00150D03"/>
    <w:rsid w:val="00150D88"/>
    <w:rsid w:val="00151430"/>
    <w:rsid w:val="00151ACC"/>
    <w:rsid w:val="00151F67"/>
    <w:rsid w:val="00152214"/>
    <w:rsid w:val="0015285A"/>
    <w:rsid w:val="0015299C"/>
    <w:rsid w:val="00153028"/>
    <w:rsid w:val="0015313E"/>
    <w:rsid w:val="001531B4"/>
    <w:rsid w:val="001533BA"/>
    <w:rsid w:val="0015346D"/>
    <w:rsid w:val="00153780"/>
    <w:rsid w:val="00153781"/>
    <w:rsid w:val="00153787"/>
    <w:rsid w:val="00153BBF"/>
    <w:rsid w:val="00153C30"/>
    <w:rsid w:val="00154307"/>
    <w:rsid w:val="001543CC"/>
    <w:rsid w:val="001543DB"/>
    <w:rsid w:val="0015440E"/>
    <w:rsid w:val="00154B99"/>
    <w:rsid w:val="00154DA5"/>
    <w:rsid w:val="0015521B"/>
    <w:rsid w:val="001552FB"/>
    <w:rsid w:val="001553AA"/>
    <w:rsid w:val="00155B83"/>
    <w:rsid w:val="00155E4D"/>
    <w:rsid w:val="00156262"/>
    <w:rsid w:val="001563CA"/>
    <w:rsid w:val="0015661E"/>
    <w:rsid w:val="00156979"/>
    <w:rsid w:val="00157320"/>
    <w:rsid w:val="00157760"/>
    <w:rsid w:val="00157C06"/>
    <w:rsid w:val="00157CF4"/>
    <w:rsid w:val="00157D68"/>
    <w:rsid w:val="00157F9D"/>
    <w:rsid w:val="001600D7"/>
    <w:rsid w:val="001606C5"/>
    <w:rsid w:val="001607F7"/>
    <w:rsid w:val="001608AE"/>
    <w:rsid w:val="00160D3E"/>
    <w:rsid w:val="00160D4D"/>
    <w:rsid w:val="00161375"/>
    <w:rsid w:val="001613B7"/>
    <w:rsid w:val="00161676"/>
    <w:rsid w:val="00161AE3"/>
    <w:rsid w:val="00161C4D"/>
    <w:rsid w:val="00161CB8"/>
    <w:rsid w:val="00161E67"/>
    <w:rsid w:val="001621DA"/>
    <w:rsid w:val="00162327"/>
    <w:rsid w:val="0016259C"/>
    <w:rsid w:val="0016272C"/>
    <w:rsid w:val="001628A8"/>
    <w:rsid w:val="00162D4C"/>
    <w:rsid w:val="00163584"/>
    <w:rsid w:val="001635A4"/>
    <w:rsid w:val="001636A5"/>
    <w:rsid w:val="001638BE"/>
    <w:rsid w:val="00163AF5"/>
    <w:rsid w:val="00163FCD"/>
    <w:rsid w:val="00164249"/>
    <w:rsid w:val="00164902"/>
    <w:rsid w:val="00164B7B"/>
    <w:rsid w:val="0016519F"/>
    <w:rsid w:val="00165240"/>
    <w:rsid w:val="001652BF"/>
    <w:rsid w:val="00165735"/>
    <w:rsid w:val="001658B6"/>
    <w:rsid w:val="001659DC"/>
    <w:rsid w:val="00166390"/>
    <w:rsid w:val="001666A4"/>
    <w:rsid w:val="0016683D"/>
    <w:rsid w:val="00166B91"/>
    <w:rsid w:val="00166CED"/>
    <w:rsid w:val="00167859"/>
    <w:rsid w:val="00167F1C"/>
    <w:rsid w:val="00170706"/>
    <w:rsid w:val="00170B25"/>
    <w:rsid w:val="00170BD1"/>
    <w:rsid w:val="00171063"/>
    <w:rsid w:val="0017129D"/>
    <w:rsid w:val="001718C5"/>
    <w:rsid w:val="00171A3B"/>
    <w:rsid w:val="00171A80"/>
    <w:rsid w:val="00171BA0"/>
    <w:rsid w:val="00171CE9"/>
    <w:rsid w:val="00171F84"/>
    <w:rsid w:val="0017246C"/>
    <w:rsid w:val="00173282"/>
    <w:rsid w:val="00173359"/>
    <w:rsid w:val="001734B9"/>
    <w:rsid w:val="00173F93"/>
    <w:rsid w:val="00173F97"/>
    <w:rsid w:val="00173FCF"/>
    <w:rsid w:val="00174405"/>
    <w:rsid w:val="00174754"/>
    <w:rsid w:val="00174F58"/>
    <w:rsid w:val="0017539B"/>
    <w:rsid w:val="00175451"/>
    <w:rsid w:val="001755BC"/>
    <w:rsid w:val="0017570C"/>
    <w:rsid w:val="00175737"/>
    <w:rsid w:val="00175739"/>
    <w:rsid w:val="00175FAB"/>
    <w:rsid w:val="001760DA"/>
    <w:rsid w:val="001769B1"/>
    <w:rsid w:val="00176B05"/>
    <w:rsid w:val="00177096"/>
    <w:rsid w:val="001771F7"/>
    <w:rsid w:val="00180926"/>
    <w:rsid w:val="00180D74"/>
    <w:rsid w:val="0018106F"/>
    <w:rsid w:val="0018107F"/>
    <w:rsid w:val="00181914"/>
    <w:rsid w:val="001819CD"/>
    <w:rsid w:val="00181CCB"/>
    <w:rsid w:val="00181D44"/>
    <w:rsid w:val="00181DE6"/>
    <w:rsid w:val="00181E99"/>
    <w:rsid w:val="001820F0"/>
    <w:rsid w:val="001821F4"/>
    <w:rsid w:val="00182749"/>
    <w:rsid w:val="0018321B"/>
    <w:rsid w:val="00183225"/>
    <w:rsid w:val="00183DF4"/>
    <w:rsid w:val="00183EF8"/>
    <w:rsid w:val="00183F2B"/>
    <w:rsid w:val="001841FA"/>
    <w:rsid w:val="00184BC3"/>
    <w:rsid w:val="0018521A"/>
    <w:rsid w:val="001852BF"/>
    <w:rsid w:val="00185480"/>
    <w:rsid w:val="001857E0"/>
    <w:rsid w:val="001858C6"/>
    <w:rsid w:val="001861C3"/>
    <w:rsid w:val="001862C6"/>
    <w:rsid w:val="0018632C"/>
    <w:rsid w:val="001863AB"/>
    <w:rsid w:val="0018656D"/>
    <w:rsid w:val="001866AB"/>
    <w:rsid w:val="00186A0B"/>
    <w:rsid w:val="00186B2C"/>
    <w:rsid w:val="00186DB1"/>
    <w:rsid w:val="0018710D"/>
    <w:rsid w:val="001872B9"/>
    <w:rsid w:val="0018738A"/>
    <w:rsid w:val="00187772"/>
    <w:rsid w:val="00187BD2"/>
    <w:rsid w:val="00187CB1"/>
    <w:rsid w:val="00187CDD"/>
    <w:rsid w:val="00190215"/>
    <w:rsid w:val="001902E5"/>
    <w:rsid w:val="001904B0"/>
    <w:rsid w:val="00190BC6"/>
    <w:rsid w:val="00190ED8"/>
    <w:rsid w:val="00190F29"/>
    <w:rsid w:val="00190FEE"/>
    <w:rsid w:val="001914DA"/>
    <w:rsid w:val="00191864"/>
    <w:rsid w:val="001919E8"/>
    <w:rsid w:val="00191B94"/>
    <w:rsid w:val="00191DC4"/>
    <w:rsid w:val="001920A7"/>
    <w:rsid w:val="001925A4"/>
    <w:rsid w:val="001926BD"/>
    <w:rsid w:val="0019303F"/>
    <w:rsid w:val="0019308B"/>
    <w:rsid w:val="001933B8"/>
    <w:rsid w:val="001934E3"/>
    <w:rsid w:val="00194200"/>
    <w:rsid w:val="001942EB"/>
    <w:rsid w:val="00194589"/>
    <w:rsid w:val="00194764"/>
    <w:rsid w:val="001948C3"/>
    <w:rsid w:val="00194924"/>
    <w:rsid w:val="0019500A"/>
    <w:rsid w:val="001956F6"/>
    <w:rsid w:val="001958CA"/>
    <w:rsid w:val="00195AB3"/>
    <w:rsid w:val="00195C44"/>
    <w:rsid w:val="00195D31"/>
    <w:rsid w:val="00195E63"/>
    <w:rsid w:val="00196835"/>
    <w:rsid w:val="001968DD"/>
    <w:rsid w:val="00197957"/>
    <w:rsid w:val="00197DF4"/>
    <w:rsid w:val="001A0283"/>
    <w:rsid w:val="001A0E8A"/>
    <w:rsid w:val="001A16A9"/>
    <w:rsid w:val="001A1A33"/>
    <w:rsid w:val="001A1AEE"/>
    <w:rsid w:val="001A1C41"/>
    <w:rsid w:val="001A2081"/>
    <w:rsid w:val="001A21CA"/>
    <w:rsid w:val="001A24FE"/>
    <w:rsid w:val="001A283A"/>
    <w:rsid w:val="001A29B2"/>
    <w:rsid w:val="001A2E4E"/>
    <w:rsid w:val="001A366F"/>
    <w:rsid w:val="001A3C1D"/>
    <w:rsid w:val="001A3D9F"/>
    <w:rsid w:val="001A3E53"/>
    <w:rsid w:val="001A3F8D"/>
    <w:rsid w:val="001A415B"/>
    <w:rsid w:val="001A423F"/>
    <w:rsid w:val="001A43DB"/>
    <w:rsid w:val="001A459E"/>
    <w:rsid w:val="001A485D"/>
    <w:rsid w:val="001A4ABE"/>
    <w:rsid w:val="001A4B74"/>
    <w:rsid w:val="001A4BAE"/>
    <w:rsid w:val="001A4BCD"/>
    <w:rsid w:val="001A50C9"/>
    <w:rsid w:val="001A538F"/>
    <w:rsid w:val="001A5641"/>
    <w:rsid w:val="001A58E7"/>
    <w:rsid w:val="001A5C0F"/>
    <w:rsid w:val="001A5C92"/>
    <w:rsid w:val="001A5EEF"/>
    <w:rsid w:val="001A6280"/>
    <w:rsid w:val="001A62A0"/>
    <w:rsid w:val="001A68C1"/>
    <w:rsid w:val="001A6B02"/>
    <w:rsid w:val="001A6D4A"/>
    <w:rsid w:val="001A6EA9"/>
    <w:rsid w:val="001A6F5F"/>
    <w:rsid w:val="001A714B"/>
    <w:rsid w:val="001A71C3"/>
    <w:rsid w:val="001A74B6"/>
    <w:rsid w:val="001A7559"/>
    <w:rsid w:val="001A759E"/>
    <w:rsid w:val="001A784A"/>
    <w:rsid w:val="001A7CC9"/>
    <w:rsid w:val="001B02BF"/>
    <w:rsid w:val="001B0531"/>
    <w:rsid w:val="001B0DD6"/>
    <w:rsid w:val="001B0E49"/>
    <w:rsid w:val="001B16EB"/>
    <w:rsid w:val="001B1A2F"/>
    <w:rsid w:val="001B1ACB"/>
    <w:rsid w:val="001B213D"/>
    <w:rsid w:val="001B2294"/>
    <w:rsid w:val="001B269C"/>
    <w:rsid w:val="001B2701"/>
    <w:rsid w:val="001B2B2C"/>
    <w:rsid w:val="001B2F30"/>
    <w:rsid w:val="001B3238"/>
    <w:rsid w:val="001B3325"/>
    <w:rsid w:val="001B38AB"/>
    <w:rsid w:val="001B3C8D"/>
    <w:rsid w:val="001B3D26"/>
    <w:rsid w:val="001B3D61"/>
    <w:rsid w:val="001B3FEC"/>
    <w:rsid w:val="001B43BA"/>
    <w:rsid w:val="001B4A8B"/>
    <w:rsid w:val="001B4C31"/>
    <w:rsid w:val="001B5765"/>
    <w:rsid w:val="001B5854"/>
    <w:rsid w:val="001B58CD"/>
    <w:rsid w:val="001B5976"/>
    <w:rsid w:val="001B5ACC"/>
    <w:rsid w:val="001B5B0F"/>
    <w:rsid w:val="001B5C67"/>
    <w:rsid w:val="001B5EC2"/>
    <w:rsid w:val="001B6330"/>
    <w:rsid w:val="001B6B3E"/>
    <w:rsid w:val="001B72B3"/>
    <w:rsid w:val="001B7730"/>
    <w:rsid w:val="001B7D44"/>
    <w:rsid w:val="001B7FD3"/>
    <w:rsid w:val="001C040F"/>
    <w:rsid w:val="001C069D"/>
    <w:rsid w:val="001C08C2"/>
    <w:rsid w:val="001C0AF7"/>
    <w:rsid w:val="001C0E3E"/>
    <w:rsid w:val="001C0E71"/>
    <w:rsid w:val="001C11DB"/>
    <w:rsid w:val="001C12E3"/>
    <w:rsid w:val="001C14F8"/>
    <w:rsid w:val="001C1ED0"/>
    <w:rsid w:val="001C2290"/>
    <w:rsid w:val="001C27CF"/>
    <w:rsid w:val="001C27DF"/>
    <w:rsid w:val="001C290E"/>
    <w:rsid w:val="001C2CBB"/>
    <w:rsid w:val="001C3271"/>
    <w:rsid w:val="001C34BA"/>
    <w:rsid w:val="001C34E5"/>
    <w:rsid w:val="001C38FC"/>
    <w:rsid w:val="001C3AF1"/>
    <w:rsid w:val="001C42BD"/>
    <w:rsid w:val="001C4E4F"/>
    <w:rsid w:val="001C4FDF"/>
    <w:rsid w:val="001C4FF3"/>
    <w:rsid w:val="001C51B8"/>
    <w:rsid w:val="001C5583"/>
    <w:rsid w:val="001C58F2"/>
    <w:rsid w:val="001C5960"/>
    <w:rsid w:val="001C5980"/>
    <w:rsid w:val="001C5CA1"/>
    <w:rsid w:val="001C5E7B"/>
    <w:rsid w:val="001C5F77"/>
    <w:rsid w:val="001C6458"/>
    <w:rsid w:val="001C6B56"/>
    <w:rsid w:val="001C701F"/>
    <w:rsid w:val="001C71B5"/>
    <w:rsid w:val="001C7273"/>
    <w:rsid w:val="001D0231"/>
    <w:rsid w:val="001D0C35"/>
    <w:rsid w:val="001D0D38"/>
    <w:rsid w:val="001D0F2A"/>
    <w:rsid w:val="001D120F"/>
    <w:rsid w:val="001D16B4"/>
    <w:rsid w:val="001D1E46"/>
    <w:rsid w:val="001D20A4"/>
    <w:rsid w:val="001D23BC"/>
    <w:rsid w:val="001D23F2"/>
    <w:rsid w:val="001D255F"/>
    <w:rsid w:val="001D290A"/>
    <w:rsid w:val="001D29EB"/>
    <w:rsid w:val="001D2A3A"/>
    <w:rsid w:val="001D2E28"/>
    <w:rsid w:val="001D3441"/>
    <w:rsid w:val="001D355E"/>
    <w:rsid w:val="001D3AB6"/>
    <w:rsid w:val="001D3AC0"/>
    <w:rsid w:val="001D3D01"/>
    <w:rsid w:val="001D4377"/>
    <w:rsid w:val="001D465D"/>
    <w:rsid w:val="001D4C8D"/>
    <w:rsid w:val="001D55BB"/>
    <w:rsid w:val="001D5A80"/>
    <w:rsid w:val="001D5D94"/>
    <w:rsid w:val="001D5E08"/>
    <w:rsid w:val="001D5E18"/>
    <w:rsid w:val="001D5F68"/>
    <w:rsid w:val="001D5FED"/>
    <w:rsid w:val="001D6030"/>
    <w:rsid w:val="001D60FE"/>
    <w:rsid w:val="001D684F"/>
    <w:rsid w:val="001D70DC"/>
    <w:rsid w:val="001D7A9A"/>
    <w:rsid w:val="001D7E31"/>
    <w:rsid w:val="001E02D1"/>
    <w:rsid w:val="001E0C63"/>
    <w:rsid w:val="001E10B5"/>
    <w:rsid w:val="001E148F"/>
    <w:rsid w:val="001E1CC1"/>
    <w:rsid w:val="001E2128"/>
    <w:rsid w:val="001E267B"/>
    <w:rsid w:val="001E26D0"/>
    <w:rsid w:val="001E27AC"/>
    <w:rsid w:val="001E27F1"/>
    <w:rsid w:val="001E2BF6"/>
    <w:rsid w:val="001E3014"/>
    <w:rsid w:val="001E319A"/>
    <w:rsid w:val="001E3645"/>
    <w:rsid w:val="001E3924"/>
    <w:rsid w:val="001E3A3E"/>
    <w:rsid w:val="001E3AEC"/>
    <w:rsid w:val="001E40F0"/>
    <w:rsid w:val="001E4584"/>
    <w:rsid w:val="001E45DA"/>
    <w:rsid w:val="001E45FB"/>
    <w:rsid w:val="001E4893"/>
    <w:rsid w:val="001E528F"/>
    <w:rsid w:val="001E52CC"/>
    <w:rsid w:val="001E539D"/>
    <w:rsid w:val="001E5A19"/>
    <w:rsid w:val="001E62BE"/>
    <w:rsid w:val="001E6915"/>
    <w:rsid w:val="001E696A"/>
    <w:rsid w:val="001E6A68"/>
    <w:rsid w:val="001E6C70"/>
    <w:rsid w:val="001E75C5"/>
    <w:rsid w:val="001E784D"/>
    <w:rsid w:val="001E79FA"/>
    <w:rsid w:val="001E7BE0"/>
    <w:rsid w:val="001E7C8A"/>
    <w:rsid w:val="001F02D9"/>
    <w:rsid w:val="001F0617"/>
    <w:rsid w:val="001F0718"/>
    <w:rsid w:val="001F0875"/>
    <w:rsid w:val="001F0BDF"/>
    <w:rsid w:val="001F0D48"/>
    <w:rsid w:val="001F0D4F"/>
    <w:rsid w:val="001F10E4"/>
    <w:rsid w:val="001F14D8"/>
    <w:rsid w:val="001F157C"/>
    <w:rsid w:val="001F1810"/>
    <w:rsid w:val="001F1853"/>
    <w:rsid w:val="001F1982"/>
    <w:rsid w:val="001F233B"/>
    <w:rsid w:val="001F2B87"/>
    <w:rsid w:val="001F2CE1"/>
    <w:rsid w:val="001F2ECE"/>
    <w:rsid w:val="001F2F77"/>
    <w:rsid w:val="001F3039"/>
    <w:rsid w:val="001F32A9"/>
    <w:rsid w:val="001F352D"/>
    <w:rsid w:val="001F3734"/>
    <w:rsid w:val="001F388F"/>
    <w:rsid w:val="001F3B5E"/>
    <w:rsid w:val="001F462E"/>
    <w:rsid w:val="001F4AB7"/>
    <w:rsid w:val="001F4E36"/>
    <w:rsid w:val="001F4F6C"/>
    <w:rsid w:val="001F50A7"/>
    <w:rsid w:val="001F50E9"/>
    <w:rsid w:val="001F542B"/>
    <w:rsid w:val="001F562A"/>
    <w:rsid w:val="001F565A"/>
    <w:rsid w:val="001F56EE"/>
    <w:rsid w:val="001F5959"/>
    <w:rsid w:val="001F5CA6"/>
    <w:rsid w:val="001F606B"/>
    <w:rsid w:val="001F662E"/>
    <w:rsid w:val="001F68C9"/>
    <w:rsid w:val="001F6E28"/>
    <w:rsid w:val="001F7321"/>
    <w:rsid w:val="001F732C"/>
    <w:rsid w:val="001F75C1"/>
    <w:rsid w:val="001F76D1"/>
    <w:rsid w:val="001F7A84"/>
    <w:rsid w:val="001F7D8C"/>
    <w:rsid w:val="001F7EC3"/>
    <w:rsid w:val="002002E0"/>
    <w:rsid w:val="0020050E"/>
    <w:rsid w:val="00200618"/>
    <w:rsid w:val="0020115A"/>
    <w:rsid w:val="00201972"/>
    <w:rsid w:val="00201F52"/>
    <w:rsid w:val="0020219E"/>
    <w:rsid w:val="0020234A"/>
    <w:rsid w:val="00202888"/>
    <w:rsid w:val="00202DFC"/>
    <w:rsid w:val="0020310F"/>
    <w:rsid w:val="00203712"/>
    <w:rsid w:val="00204142"/>
    <w:rsid w:val="002047BE"/>
    <w:rsid w:val="002049C4"/>
    <w:rsid w:val="00204A10"/>
    <w:rsid w:val="00204C29"/>
    <w:rsid w:val="0020512F"/>
    <w:rsid w:val="00205E3E"/>
    <w:rsid w:val="00205F58"/>
    <w:rsid w:val="00205FBE"/>
    <w:rsid w:val="00206225"/>
    <w:rsid w:val="00206463"/>
    <w:rsid w:val="0020670F"/>
    <w:rsid w:val="00206878"/>
    <w:rsid w:val="00206D6A"/>
    <w:rsid w:val="00206DF4"/>
    <w:rsid w:val="00207C68"/>
    <w:rsid w:val="00207E83"/>
    <w:rsid w:val="0021007D"/>
    <w:rsid w:val="00210245"/>
    <w:rsid w:val="002103F2"/>
    <w:rsid w:val="002106DB"/>
    <w:rsid w:val="00210847"/>
    <w:rsid w:val="002109BF"/>
    <w:rsid w:val="00210A7E"/>
    <w:rsid w:val="00210B4E"/>
    <w:rsid w:val="00210C22"/>
    <w:rsid w:val="00210FA9"/>
    <w:rsid w:val="00210FD0"/>
    <w:rsid w:val="0021128A"/>
    <w:rsid w:val="00211891"/>
    <w:rsid w:val="00211948"/>
    <w:rsid w:val="00212153"/>
    <w:rsid w:val="002123E2"/>
    <w:rsid w:val="00212499"/>
    <w:rsid w:val="002125D6"/>
    <w:rsid w:val="00212626"/>
    <w:rsid w:val="002128BC"/>
    <w:rsid w:val="00212D0D"/>
    <w:rsid w:val="0021325E"/>
    <w:rsid w:val="002133B5"/>
    <w:rsid w:val="002135A1"/>
    <w:rsid w:val="002136E5"/>
    <w:rsid w:val="00213D39"/>
    <w:rsid w:val="0021405D"/>
    <w:rsid w:val="0021489D"/>
    <w:rsid w:val="002148F4"/>
    <w:rsid w:val="00214CC2"/>
    <w:rsid w:val="00214D8F"/>
    <w:rsid w:val="00214F6D"/>
    <w:rsid w:val="00215721"/>
    <w:rsid w:val="00216024"/>
    <w:rsid w:val="00216381"/>
    <w:rsid w:val="00216D6C"/>
    <w:rsid w:val="002174FC"/>
    <w:rsid w:val="00217EDD"/>
    <w:rsid w:val="00220461"/>
    <w:rsid w:val="0022053D"/>
    <w:rsid w:val="00220601"/>
    <w:rsid w:val="00220879"/>
    <w:rsid w:val="0022092C"/>
    <w:rsid w:val="00220BB9"/>
    <w:rsid w:val="002210A3"/>
    <w:rsid w:val="00221704"/>
    <w:rsid w:val="0022185E"/>
    <w:rsid w:val="00221A61"/>
    <w:rsid w:val="00221AC5"/>
    <w:rsid w:val="00222AA6"/>
    <w:rsid w:val="00222DD4"/>
    <w:rsid w:val="00223200"/>
    <w:rsid w:val="00223401"/>
    <w:rsid w:val="0022348B"/>
    <w:rsid w:val="002239A4"/>
    <w:rsid w:val="00223DBA"/>
    <w:rsid w:val="002248DF"/>
    <w:rsid w:val="00224E71"/>
    <w:rsid w:val="00224F9F"/>
    <w:rsid w:val="002253D1"/>
    <w:rsid w:val="002256FF"/>
    <w:rsid w:val="00225858"/>
    <w:rsid w:val="00225AE7"/>
    <w:rsid w:val="0022630E"/>
    <w:rsid w:val="0022633F"/>
    <w:rsid w:val="0022635C"/>
    <w:rsid w:val="002263B5"/>
    <w:rsid w:val="00226449"/>
    <w:rsid w:val="0022645A"/>
    <w:rsid w:val="0022650D"/>
    <w:rsid w:val="0022668C"/>
    <w:rsid w:val="00226B69"/>
    <w:rsid w:val="00226F25"/>
    <w:rsid w:val="002272A1"/>
    <w:rsid w:val="002277F1"/>
    <w:rsid w:val="00227B79"/>
    <w:rsid w:val="00227C54"/>
    <w:rsid w:val="0023032D"/>
    <w:rsid w:val="00230D05"/>
    <w:rsid w:val="00230DF5"/>
    <w:rsid w:val="00230E72"/>
    <w:rsid w:val="00230EDB"/>
    <w:rsid w:val="002312B3"/>
    <w:rsid w:val="002318FC"/>
    <w:rsid w:val="00231C91"/>
    <w:rsid w:val="00231F81"/>
    <w:rsid w:val="002320CF"/>
    <w:rsid w:val="002323B1"/>
    <w:rsid w:val="00232B26"/>
    <w:rsid w:val="00232BFA"/>
    <w:rsid w:val="0023313C"/>
    <w:rsid w:val="002332D5"/>
    <w:rsid w:val="00233414"/>
    <w:rsid w:val="002339C1"/>
    <w:rsid w:val="00233A31"/>
    <w:rsid w:val="00233BD9"/>
    <w:rsid w:val="00233F40"/>
    <w:rsid w:val="0023410C"/>
    <w:rsid w:val="002342DD"/>
    <w:rsid w:val="002346BF"/>
    <w:rsid w:val="002348ED"/>
    <w:rsid w:val="00234B7A"/>
    <w:rsid w:val="00234C5F"/>
    <w:rsid w:val="00234C7A"/>
    <w:rsid w:val="00234DC8"/>
    <w:rsid w:val="00234ECD"/>
    <w:rsid w:val="002350BF"/>
    <w:rsid w:val="002353CB"/>
    <w:rsid w:val="002353F1"/>
    <w:rsid w:val="0023591C"/>
    <w:rsid w:val="00235AD7"/>
    <w:rsid w:val="00235B8B"/>
    <w:rsid w:val="00235C84"/>
    <w:rsid w:val="0023642A"/>
    <w:rsid w:val="00236463"/>
    <w:rsid w:val="00236898"/>
    <w:rsid w:val="00236B0F"/>
    <w:rsid w:val="00236F35"/>
    <w:rsid w:val="002371AB"/>
    <w:rsid w:val="00237617"/>
    <w:rsid w:val="002378D1"/>
    <w:rsid w:val="00237AFF"/>
    <w:rsid w:val="00237D7B"/>
    <w:rsid w:val="00237DD4"/>
    <w:rsid w:val="00237DEB"/>
    <w:rsid w:val="002403AB"/>
    <w:rsid w:val="00240415"/>
    <w:rsid w:val="00240BDD"/>
    <w:rsid w:val="00240CCC"/>
    <w:rsid w:val="0024117C"/>
    <w:rsid w:val="00241A5C"/>
    <w:rsid w:val="00241C6A"/>
    <w:rsid w:val="00241F12"/>
    <w:rsid w:val="00242092"/>
    <w:rsid w:val="002420E8"/>
    <w:rsid w:val="002426CB"/>
    <w:rsid w:val="00242709"/>
    <w:rsid w:val="00242AF9"/>
    <w:rsid w:val="0024302E"/>
    <w:rsid w:val="002433E8"/>
    <w:rsid w:val="002434E4"/>
    <w:rsid w:val="0024369D"/>
    <w:rsid w:val="00243F0E"/>
    <w:rsid w:val="002441BE"/>
    <w:rsid w:val="00244489"/>
    <w:rsid w:val="002445C1"/>
    <w:rsid w:val="002447C1"/>
    <w:rsid w:val="002453BE"/>
    <w:rsid w:val="00245C1B"/>
    <w:rsid w:val="00245C1E"/>
    <w:rsid w:val="00246185"/>
    <w:rsid w:val="0024622C"/>
    <w:rsid w:val="00246234"/>
    <w:rsid w:val="00246550"/>
    <w:rsid w:val="0024656D"/>
    <w:rsid w:val="002467A2"/>
    <w:rsid w:val="002468E5"/>
    <w:rsid w:val="00246B28"/>
    <w:rsid w:val="00246BC2"/>
    <w:rsid w:val="00246CF3"/>
    <w:rsid w:val="00246D71"/>
    <w:rsid w:val="00246F6F"/>
    <w:rsid w:val="002501A4"/>
    <w:rsid w:val="002502A8"/>
    <w:rsid w:val="0025120C"/>
    <w:rsid w:val="0025125F"/>
    <w:rsid w:val="00251283"/>
    <w:rsid w:val="002513DE"/>
    <w:rsid w:val="00251453"/>
    <w:rsid w:val="00251587"/>
    <w:rsid w:val="002517D9"/>
    <w:rsid w:val="00251C4A"/>
    <w:rsid w:val="00251E7B"/>
    <w:rsid w:val="002522E4"/>
    <w:rsid w:val="002528CC"/>
    <w:rsid w:val="00252D16"/>
    <w:rsid w:val="00252F49"/>
    <w:rsid w:val="00253376"/>
    <w:rsid w:val="00253443"/>
    <w:rsid w:val="00253667"/>
    <w:rsid w:val="00253715"/>
    <w:rsid w:val="0025374C"/>
    <w:rsid w:val="00253ADA"/>
    <w:rsid w:val="00253C15"/>
    <w:rsid w:val="00253C52"/>
    <w:rsid w:val="00253E4E"/>
    <w:rsid w:val="002544AB"/>
    <w:rsid w:val="002544BE"/>
    <w:rsid w:val="00254BEC"/>
    <w:rsid w:val="00254E13"/>
    <w:rsid w:val="00254FBF"/>
    <w:rsid w:val="0025549D"/>
    <w:rsid w:val="0025555E"/>
    <w:rsid w:val="0025597E"/>
    <w:rsid w:val="00255BF6"/>
    <w:rsid w:val="00255DC5"/>
    <w:rsid w:val="00255E37"/>
    <w:rsid w:val="002562D1"/>
    <w:rsid w:val="002563E4"/>
    <w:rsid w:val="00256549"/>
    <w:rsid w:val="00256591"/>
    <w:rsid w:val="0025684B"/>
    <w:rsid w:val="00256A19"/>
    <w:rsid w:val="00256D6E"/>
    <w:rsid w:val="00257272"/>
    <w:rsid w:val="00257557"/>
    <w:rsid w:val="00257747"/>
    <w:rsid w:val="0025790D"/>
    <w:rsid w:val="002600ED"/>
    <w:rsid w:val="0026041B"/>
    <w:rsid w:val="00260476"/>
    <w:rsid w:val="00260586"/>
    <w:rsid w:val="00260593"/>
    <w:rsid w:val="002609CA"/>
    <w:rsid w:val="00260D71"/>
    <w:rsid w:val="00261310"/>
    <w:rsid w:val="002615B9"/>
    <w:rsid w:val="00261726"/>
    <w:rsid w:val="00261812"/>
    <w:rsid w:val="00261A24"/>
    <w:rsid w:val="00262050"/>
    <w:rsid w:val="00262145"/>
    <w:rsid w:val="00262313"/>
    <w:rsid w:val="00262804"/>
    <w:rsid w:val="00262AEF"/>
    <w:rsid w:val="00262E71"/>
    <w:rsid w:val="00262F55"/>
    <w:rsid w:val="002630F3"/>
    <w:rsid w:val="0026318C"/>
    <w:rsid w:val="002633BB"/>
    <w:rsid w:val="002634B7"/>
    <w:rsid w:val="00263CDC"/>
    <w:rsid w:val="00263F86"/>
    <w:rsid w:val="0026423B"/>
    <w:rsid w:val="00264519"/>
    <w:rsid w:val="0026457F"/>
    <w:rsid w:val="002645AA"/>
    <w:rsid w:val="002647D1"/>
    <w:rsid w:val="002647E1"/>
    <w:rsid w:val="00264E2B"/>
    <w:rsid w:val="00264FFE"/>
    <w:rsid w:val="0026598F"/>
    <w:rsid w:val="00265E46"/>
    <w:rsid w:val="0026658D"/>
    <w:rsid w:val="002674B7"/>
    <w:rsid w:val="0026774F"/>
    <w:rsid w:val="0026776F"/>
    <w:rsid w:val="00267B04"/>
    <w:rsid w:val="00267E6A"/>
    <w:rsid w:val="002704A0"/>
    <w:rsid w:val="0027076D"/>
    <w:rsid w:val="002709A1"/>
    <w:rsid w:val="00270A1B"/>
    <w:rsid w:val="00270C32"/>
    <w:rsid w:val="00271283"/>
    <w:rsid w:val="00271456"/>
    <w:rsid w:val="002714E1"/>
    <w:rsid w:val="00271797"/>
    <w:rsid w:val="0027183A"/>
    <w:rsid w:val="00271E8B"/>
    <w:rsid w:val="00272254"/>
    <w:rsid w:val="00272503"/>
    <w:rsid w:val="00272ADA"/>
    <w:rsid w:val="00272CD9"/>
    <w:rsid w:val="00273516"/>
    <w:rsid w:val="002738A4"/>
    <w:rsid w:val="0027391C"/>
    <w:rsid w:val="00273A91"/>
    <w:rsid w:val="00273FCE"/>
    <w:rsid w:val="00274B4D"/>
    <w:rsid w:val="00275002"/>
    <w:rsid w:val="00275110"/>
    <w:rsid w:val="0027516D"/>
    <w:rsid w:val="00275553"/>
    <w:rsid w:val="002755BC"/>
    <w:rsid w:val="00275963"/>
    <w:rsid w:val="00275B61"/>
    <w:rsid w:val="0027652D"/>
    <w:rsid w:val="00276EBC"/>
    <w:rsid w:val="00277141"/>
    <w:rsid w:val="00277246"/>
    <w:rsid w:val="0027768C"/>
    <w:rsid w:val="002778E6"/>
    <w:rsid w:val="00277CA8"/>
    <w:rsid w:val="00277EC2"/>
    <w:rsid w:val="0028059E"/>
    <w:rsid w:val="002808F3"/>
    <w:rsid w:val="00280E4B"/>
    <w:rsid w:val="00280E76"/>
    <w:rsid w:val="00280E9D"/>
    <w:rsid w:val="00280EB0"/>
    <w:rsid w:val="00280FDF"/>
    <w:rsid w:val="00281541"/>
    <w:rsid w:val="00281F87"/>
    <w:rsid w:val="00282221"/>
    <w:rsid w:val="002824A0"/>
    <w:rsid w:val="002824CA"/>
    <w:rsid w:val="00282762"/>
    <w:rsid w:val="00282910"/>
    <w:rsid w:val="00282A7E"/>
    <w:rsid w:val="00282B1A"/>
    <w:rsid w:val="00282DF0"/>
    <w:rsid w:val="0028343A"/>
    <w:rsid w:val="00283845"/>
    <w:rsid w:val="002839D5"/>
    <w:rsid w:val="00283A86"/>
    <w:rsid w:val="00283AE2"/>
    <w:rsid w:val="002844D6"/>
    <w:rsid w:val="002846FC"/>
    <w:rsid w:val="00284EAB"/>
    <w:rsid w:val="00284F4D"/>
    <w:rsid w:val="00284FD0"/>
    <w:rsid w:val="0028552C"/>
    <w:rsid w:val="00285894"/>
    <w:rsid w:val="00285D3A"/>
    <w:rsid w:val="00286039"/>
    <w:rsid w:val="00286ACA"/>
    <w:rsid w:val="00286E4C"/>
    <w:rsid w:val="00286FFC"/>
    <w:rsid w:val="0028715A"/>
    <w:rsid w:val="00287182"/>
    <w:rsid w:val="00287422"/>
    <w:rsid w:val="002874EA"/>
    <w:rsid w:val="00287CD3"/>
    <w:rsid w:val="00287E74"/>
    <w:rsid w:val="00290204"/>
    <w:rsid w:val="002903D6"/>
    <w:rsid w:val="00290D12"/>
    <w:rsid w:val="00290FAC"/>
    <w:rsid w:val="00291DB8"/>
    <w:rsid w:val="002922EE"/>
    <w:rsid w:val="002923E8"/>
    <w:rsid w:val="002926ED"/>
    <w:rsid w:val="00292897"/>
    <w:rsid w:val="002928D7"/>
    <w:rsid w:val="00292F1B"/>
    <w:rsid w:val="00293850"/>
    <w:rsid w:val="00293F65"/>
    <w:rsid w:val="00293FD7"/>
    <w:rsid w:val="0029409F"/>
    <w:rsid w:val="002940BC"/>
    <w:rsid w:val="0029494B"/>
    <w:rsid w:val="002951D7"/>
    <w:rsid w:val="00295200"/>
    <w:rsid w:val="0029523B"/>
    <w:rsid w:val="002956DE"/>
    <w:rsid w:val="00295B4E"/>
    <w:rsid w:val="00296A4D"/>
    <w:rsid w:val="00296B29"/>
    <w:rsid w:val="00296F7D"/>
    <w:rsid w:val="00297153"/>
    <w:rsid w:val="002973ED"/>
    <w:rsid w:val="002974C6"/>
    <w:rsid w:val="0029778E"/>
    <w:rsid w:val="00297DD4"/>
    <w:rsid w:val="00297DDF"/>
    <w:rsid w:val="002A04EC"/>
    <w:rsid w:val="002A0871"/>
    <w:rsid w:val="002A0EE6"/>
    <w:rsid w:val="002A117E"/>
    <w:rsid w:val="002A13FB"/>
    <w:rsid w:val="002A156C"/>
    <w:rsid w:val="002A1EF2"/>
    <w:rsid w:val="002A20E6"/>
    <w:rsid w:val="002A22AA"/>
    <w:rsid w:val="002A25D9"/>
    <w:rsid w:val="002A3057"/>
    <w:rsid w:val="002A3833"/>
    <w:rsid w:val="002A38F5"/>
    <w:rsid w:val="002A39A3"/>
    <w:rsid w:val="002A3BA3"/>
    <w:rsid w:val="002A3CB1"/>
    <w:rsid w:val="002A425F"/>
    <w:rsid w:val="002A43CC"/>
    <w:rsid w:val="002A44C2"/>
    <w:rsid w:val="002A46B7"/>
    <w:rsid w:val="002A483E"/>
    <w:rsid w:val="002A4A83"/>
    <w:rsid w:val="002A4ADF"/>
    <w:rsid w:val="002A503D"/>
    <w:rsid w:val="002A5D4D"/>
    <w:rsid w:val="002A6021"/>
    <w:rsid w:val="002A60B2"/>
    <w:rsid w:val="002A6120"/>
    <w:rsid w:val="002A6A6B"/>
    <w:rsid w:val="002A6B12"/>
    <w:rsid w:val="002A6D12"/>
    <w:rsid w:val="002A6E47"/>
    <w:rsid w:val="002A6EBA"/>
    <w:rsid w:val="002A72EE"/>
    <w:rsid w:val="002A79A9"/>
    <w:rsid w:val="002A7A32"/>
    <w:rsid w:val="002B0292"/>
    <w:rsid w:val="002B02BA"/>
    <w:rsid w:val="002B055D"/>
    <w:rsid w:val="002B0603"/>
    <w:rsid w:val="002B0779"/>
    <w:rsid w:val="002B0B52"/>
    <w:rsid w:val="002B0D68"/>
    <w:rsid w:val="002B0D7C"/>
    <w:rsid w:val="002B0E73"/>
    <w:rsid w:val="002B1057"/>
    <w:rsid w:val="002B116C"/>
    <w:rsid w:val="002B1A47"/>
    <w:rsid w:val="002B1B0A"/>
    <w:rsid w:val="002B1B61"/>
    <w:rsid w:val="002B1C8D"/>
    <w:rsid w:val="002B1D42"/>
    <w:rsid w:val="002B1F6E"/>
    <w:rsid w:val="002B2466"/>
    <w:rsid w:val="002B246B"/>
    <w:rsid w:val="002B270F"/>
    <w:rsid w:val="002B27BC"/>
    <w:rsid w:val="002B2CB8"/>
    <w:rsid w:val="002B2E89"/>
    <w:rsid w:val="002B2EA0"/>
    <w:rsid w:val="002B2FC1"/>
    <w:rsid w:val="002B308E"/>
    <w:rsid w:val="002B31BB"/>
    <w:rsid w:val="002B330D"/>
    <w:rsid w:val="002B3484"/>
    <w:rsid w:val="002B3C92"/>
    <w:rsid w:val="002B3F99"/>
    <w:rsid w:val="002B4073"/>
    <w:rsid w:val="002B426B"/>
    <w:rsid w:val="002B42FF"/>
    <w:rsid w:val="002B45E2"/>
    <w:rsid w:val="002B486C"/>
    <w:rsid w:val="002B4A37"/>
    <w:rsid w:val="002B4AD8"/>
    <w:rsid w:val="002B5135"/>
    <w:rsid w:val="002B519B"/>
    <w:rsid w:val="002B51D6"/>
    <w:rsid w:val="002B52E9"/>
    <w:rsid w:val="002B53D6"/>
    <w:rsid w:val="002B593C"/>
    <w:rsid w:val="002B59CC"/>
    <w:rsid w:val="002B5F9F"/>
    <w:rsid w:val="002B647A"/>
    <w:rsid w:val="002B673E"/>
    <w:rsid w:val="002B6870"/>
    <w:rsid w:val="002B6B4B"/>
    <w:rsid w:val="002B754E"/>
    <w:rsid w:val="002B779F"/>
    <w:rsid w:val="002B7E97"/>
    <w:rsid w:val="002C00D5"/>
    <w:rsid w:val="002C0149"/>
    <w:rsid w:val="002C028E"/>
    <w:rsid w:val="002C0295"/>
    <w:rsid w:val="002C07FF"/>
    <w:rsid w:val="002C0DBB"/>
    <w:rsid w:val="002C1004"/>
    <w:rsid w:val="002C1375"/>
    <w:rsid w:val="002C1E19"/>
    <w:rsid w:val="002C1F0D"/>
    <w:rsid w:val="002C209E"/>
    <w:rsid w:val="002C2153"/>
    <w:rsid w:val="002C2224"/>
    <w:rsid w:val="002C2536"/>
    <w:rsid w:val="002C2914"/>
    <w:rsid w:val="002C2B29"/>
    <w:rsid w:val="002C2B67"/>
    <w:rsid w:val="002C2B70"/>
    <w:rsid w:val="002C3EE9"/>
    <w:rsid w:val="002C4099"/>
    <w:rsid w:val="002C424A"/>
    <w:rsid w:val="002C4335"/>
    <w:rsid w:val="002C4580"/>
    <w:rsid w:val="002C4676"/>
    <w:rsid w:val="002C495E"/>
    <w:rsid w:val="002C4BC5"/>
    <w:rsid w:val="002C4D0A"/>
    <w:rsid w:val="002C5383"/>
    <w:rsid w:val="002C6171"/>
    <w:rsid w:val="002C66B5"/>
    <w:rsid w:val="002C6B47"/>
    <w:rsid w:val="002C6D53"/>
    <w:rsid w:val="002C6E0E"/>
    <w:rsid w:val="002C6E3A"/>
    <w:rsid w:val="002C6E52"/>
    <w:rsid w:val="002C6F79"/>
    <w:rsid w:val="002C73F6"/>
    <w:rsid w:val="002C7C68"/>
    <w:rsid w:val="002C7D41"/>
    <w:rsid w:val="002D02F4"/>
    <w:rsid w:val="002D0323"/>
    <w:rsid w:val="002D063F"/>
    <w:rsid w:val="002D0B40"/>
    <w:rsid w:val="002D0CC4"/>
    <w:rsid w:val="002D0E1D"/>
    <w:rsid w:val="002D0E61"/>
    <w:rsid w:val="002D0ECB"/>
    <w:rsid w:val="002D12C2"/>
    <w:rsid w:val="002D15A4"/>
    <w:rsid w:val="002D1988"/>
    <w:rsid w:val="002D19C1"/>
    <w:rsid w:val="002D232A"/>
    <w:rsid w:val="002D2506"/>
    <w:rsid w:val="002D265E"/>
    <w:rsid w:val="002D27C9"/>
    <w:rsid w:val="002D2CAE"/>
    <w:rsid w:val="002D2E7E"/>
    <w:rsid w:val="002D35BD"/>
    <w:rsid w:val="002D36C7"/>
    <w:rsid w:val="002D370A"/>
    <w:rsid w:val="002D3821"/>
    <w:rsid w:val="002D38C4"/>
    <w:rsid w:val="002D3A2C"/>
    <w:rsid w:val="002D3B54"/>
    <w:rsid w:val="002D3C4B"/>
    <w:rsid w:val="002D3DCC"/>
    <w:rsid w:val="002D3F19"/>
    <w:rsid w:val="002D3FED"/>
    <w:rsid w:val="002D42A0"/>
    <w:rsid w:val="002D510C"/>
    <w:rsid w:val="002D52F6"/>
    <w:rsid w:val="002D5555"/>
    <w:rsid w:val="002D55DE"/>
    <w:rsid w:val="002D5BA5"/>
    <w:rsid w:val="002D5BEC"/>
    <w:rsid w:val="002D5F03"/>
    <w:rsid w:val="002D695F"/>
    <w:rsid w:val="002D6981"/>
    <w:rsid w:val="002D6B1F"/>
    <w:rsid w:val="002D6CAE"/>
    <w:rsid w:val="002D7055"/>
    <w:rsid w:val="002D713F"/>
    <w:rsid w:val="002D76C8"/>
    <w:rsid w:val="002D7777"/>
    <w:rsid w:val="002D78F5"/>
    <w:rsid w:val="002E0209"/>
    <w:rsid w:val="002E0281"/>
    <w:rsid w:val="002E045E"/>
    <w:rsid w:val="002E04F8"/>
    <w:rsid w:val="002E0AA5"/>
    <w:rsid w:val="002E1021"/>
    <w:rsid w:val="002E120D"/>
    <w:rsid w:val="002E1416"/>
    <w:rsid w:val="002E1698"/>
    <w:rsid w:val="002E1C7D"/>
    <w:rsid w:val="002E2146"/>
    <w:rsid w:val="002E27A5"/>
    <w:rsid w:val="002E286E"/>
    <w:rsid w:val="002E2C4C"/>
    <w:rsid w:val="002E30D3"/>
    <w:rsid w:val="002E32B8"/>
    <w:rsid w:val="002E3507"/>
    <w:rsid w:val="002E363E"/>
    <w:rsid w:val="002E3969"/>
    <w:rsid w:val="002E39C5"/>
    <w:rsid w:val="002E3FE4"/>
    <w:rsid w:val="002E430C"/>
    <w:rsid w:val="002E4618"/>
    <w:rsid w:val="002E46BB"/>
    <w:rsid w:val="002E4723"/>
    <w:rsid w:val="002E4CAF"/>
    <w:rsid w:val="002E4DFF"/>
    <w:rsid w:val="002E50C1"/>
    <w:rsid w:val="002E5B4C"/>
    <w:rsid w:val="002E5DE0"/>
    <w:rsid w:val="002E5E2D"/>
    <w:rsid w:val="002E6E33"/>
    <w:rsid w:val="002E77B5"/>
    <w:rsid w:val="002E7DA0"/>
    <w:rsid w:val="002E7F0A"/>
    <w:rsid w:val="002F031D"/>
    <w:rsid w:val="002F066C"/>
    <w:rsid w:val="002F0B8A"/>
    <w:rsid w:val="002F0E87"/>
    <w:rsid w:val="002F13E6"/>
    <w:rsid w:val="002F148C"/>
    <w:rsid w:val="002F1590"/>
    <w:rsid w:val="002F1593"/>
    <w:rsid w:val="002F1BFC"/>
    <w:rsid w:val="002F1E2E"/>
    <w:rsid w:val="002F1FB4"/>
    <w:rsid w:val="002F2042"/>
    <w:rsid w:val="002F22A7"/>
    <w:rsid w:val="002F2C27"/>
    <w:rsid w:val="002F317A"/>
    <w:rsid w:val="002F3260"/>
    <w:rsid w:val="002F375C"/>
    <w:rsid w:val="002F37B3"/>
    <w:rsid w:val="002F39EA"/>
    <w:rsid w:val="002F3D1B"/>
    <w:rsid w:val="002F3E7D"/>
    <w:rsid w:val="002F43A6"/>
    <w:rsid w:val="002F4F60"/>
    <w:rsid w:val="002F51D4"/>
    <w:rsid w:val="002F5420"/>
    <w:rsid w:val="002F55BF"/>
    <w:rsid w:val="002F5A67"/>
    <w:rsid w:val="002F5FBD"/>
    <w:rsid w:val="002F6488"/>
    <w:rsid w:val="002F6D0E"/>
    <w:rsid w:val="002F6D92"/>
    <w:rsid w:val="002F6F4D"/>
    <w:rsid w:val="002F717F"/>
    <w:rsid w:val="002F7364"/>
    <w:rsid w:val="002F73A0"/>
    <w:rsid w:val="002F73CC"/>
    <w:rsid w:val="003000B4"/>
    <w:rsid w:val="00300449"/>
    <w:rsid w:val="0030097B"/>
    <w:rsid w:val="00300A8B"/>
    <w:rsid w:val="00300A97"/>
    <w:rsid w:val="00300F4A"/>
    <w:rsid w:val="00301C9A"/>
    <w:rsid w:val="00301CB6"/>
    <w:rsid w:val="00301F57"/>
    <w:rsid w:val="0030230E"/>
    <w:rsid w:val="003026B8"/>
    <w:rsid w:val="003026EB"/>
    <w:rsid w:val="00302969"/>
    <w:rsid w:val="00303926"/>
    <w:rsid w:val="003039DF"/>
    <w:rsid w:val="00303AB5"/>
    <w:rsid w:val="00303EBF"/>
    <w:rsid w:val="0030413D"/>
    <w:rsid w:val="00304934"/>
    <w:rsid w:val="00304DAD"/>
    <w:rsid w:val="00304DF1"/>
    <w:rsid w:val="003052AC"/>
    <w:rsid w:val="0030566A"/>
    <w:rsid w:val="003056F9"/>
    <w:rsid w:val="00305979"/>
    <w:rsid w:val="00305B81"/>
    <w:rsid w:val="00305CAB"/>
    <w:rsid w:val="00305DE0"/>
    <w:rsid w:val="00306223"/>
    <w:rsid w:val="00306285"/>
    <w:rsid w:val="0030646F"/>
    <w:rsid w:val="00306C5E"/>
    <w:rsid w:val="00306CE9"/>
    <w:rsid w:val="00306FE1"/>
    <w:rsid w:val="0030704C"/>
    <w:rsid w:val="003071FE"/>
    <w:rsid w:val="00307420"/>
    <w:rsid w:val="003074F7"/>
    <w:rsid w:val="00307662"/>
    <w:rsid w:val="00307CCD"/>
    <w:rsid w:val="00307D4A"/>
    <w:rsid w:val="003100B3"/>
    <w:rsid w:val="00310427"/>
    <w:rsid w:val="0031074F"/>
    <w:rsid w:val="0031075A"/>
    <w:rsid w:val="00310792"/>
    <w:rsid w:val="003109E2"/>
    <w:rsid w:val="00310A8E"/>
    <w:rsid w:val="00310AB1"/>
    <w:rsid w:val="00310C19"/>
    <w:rsid w:val="00310D3E"/>
    <w:rsid w:val="00310F5E"/>
    <w:rsid w:val="00310F6F"/>
    <w:rsid w:val="00310FED"/>
    <w:rsid w:val="00311611"/>
    <w:rsid w:val="00311690"/>
    <w:rsid w:val="00312D01"/>
    <w:rsid w:val="00313FF8"/>
    <w:rsid w:val="00314665"/>
    <w:rsid w:val="003146F7"/>
    <w:rsid w:val="0031489A"/>
    <w:rsid w:val="00314B45"/>
    <w:rsid w:val="00314C88"/>
    <w:rsid w:val="00314CE5"/>
    <w:rsid w:val="00315142"/>
    <w:rsid w:val="0031521D"/>
    <w:rsid w:val="00315484"/>
    <w:rsid w:val="00315B89"/>
    <w:rsid w:val="00315D61"/>
    <w:rsid w:val="00315FBD"/>
    <w:rsid w:val="0031603C"/>
    <w:rsid w:val="0031610A"/>
    <w:rsid w:val="003162A7"/>
    <w:rsid w:val="0031651E"/>
    <w:rsid w:val="003168B2"/>
    <w:rsid w:val="00316F1B"/>
    <w:rsid w:val="00317092"/>
    <w:rsid w:val="0031779C"/>
    <w:rsid w:val="003177C2"/>
    <w:rsid w:val="00317C22"/>
    <w:rsid w:val="003203CD"/>
    <w:rsid w:val="003208ED"/>
    <w:rsid w:val="00320A25"/>
    <w:rsid w:val="00320D3F"/>
    <w:rsid w:val="00321001"/>
    <w:rsid w:val="003210F0"/>
    <w:rsid w:val="00321248"/>
    <w:rsid w:val="00321946"/>
    <w:rsid w:val="003219A9"/>
    <w:rsid w:val="00321A1F"/>
    <w:rsid w:val="00321D92"/>
    <w:rsid w:val="00321EF8"/>
    <w:rsid w:val="003224C5"/>
    <w:rsid w:val="00322660"/>
    <w:rsid w:val="00322666"/>
    <w:rsid w:val="0032269C"/>
    <w:rsid w:val="003226FF"/>
    <w:rsid w:val="0032327A"/>
    <w:rsid w:val="003233C4"/>
    <w:rsid w:val="00323436"/>
    <w:rsid w:val="00323A96"/>
    <w:rsid w:val="003241F6"/>
    <w:rsid w:val="003244D5"/>
    <w:rsid w:val="00324571"/>
    <w:rsid w:val="003245EE"/>
    <w:rsid w:val="00324704"/>
    <w:rsid w:val="003248ED"/>
    <w:rsid w:val="00324B7F"/>
    <w:rsid w:val="00324D55"/>
    <w:rsid w:val="00325256"/>
    <w:rsid w:val="0032532D"/>
    <w:rsid w:val="003256E1"/>
    <w:rsid w:val="00325C7F"/>
    <w:rsid w:val="00325F85"/>
    <w:rsid w:val="0032622F"/>
    <w:rsid w:val="0032654A"/>
    <w:rsid w:val="00326855"/>
    <w:rsid w:val="00326936"/>
    <w:rsid w:val="00326C6E"/>
    <w:rsid w:val="00326FA8"/>
    <w:rsid w:val="003274E6"/>
    <w:rsid w:val="003301C6"/>
    <w:rsid w:val="0033044F"/>
    <w:rsid w:val="00330618"/>
    <w:rsid w:val="00330821"/>
    <w:rsid w:val="00330E4E"/>
    <w:rsid w:val="0033105D"/>
    <w:rsid w:val="00331A3D"/>
    <w:rsid w:val="00331F67"/>
    <w:rsid w:val="0033233A"/>
    <w:rsid w:val="0033238F"/>
    <w:rsid w:val="003330B1"/>
    <w:rsid w:val="00333957"/>
    <w:rsid w:val="00333A27"/>
    <w:rsid w:val="00333A93"/>
    <w:rsid w:val="00334507"/>
    <w:rsid w:val="00334B81"/>
    <w:rsid w:val="00334CE5"/>
    <w:rsid w:val="00334EC5"/>
    <w:rsid w:val="00335249"/>
    <w:rsid w:val="0033538C"/>
    <w:rsid w:val="00335404"/>
    <w:rsid w:val="00335C87"/>
    <w:rsid w:val="003360CD"/>
    <w:rsid w:val="0033653B"/>
    <w:rsid w:val="003365B7"/>
    <w:rsid w:val="0033692A"/>
    <w:rsid w:val="00336D41"/>
    <w:rsid w:val="0033701B"/>
    <w:rsid w:val="00337D5A"/>
    <w:rsid w:val="00337F00"/>
    <w:rsid w:val="003402D8"/>
    <w:rsid w:val="003405CA"/>
    <w:rsid w:val="003405CC"/>
    <w:rsid w:val="003408D2"/>
    <w:rsid w:val="00340A08"/>
    <w:rsid w:val="00340B21"/>
    <w:rsid w:val="00340DAB"/>
    <w:rsid w:val="00340E81"/>
    <w:rsid w:val="00341207"/>
    <w:rsid w:val="00341BF9"/>
    <w:rsid w:val="00341D48"/>
    <w:rsid w:val="00342063"/>
    <w:rsid w:val="003420D3"/>
    <w:rsid w:val="003421BD"/>
    <w:rsid w:val="00342823"/>
    <w:rsid w:val="00342BB6"/>
    <w:rsid w:val="00343144"/>
    <w:rsid w:val="00343744"/>
    <w:rsid w:val="00343C25"/>
    <w:rsid w:val="00343C61"/>
    <w:rsid w:val="00344977"/>
    <w:rsid w:val="00344D1A"/>
    <w:rsid w:val="00344DD0"/>
    <w:rsid w:val="00344F5E"/>
    <w:rsid w:val="00344FAF"/>
    <w:rsid w:val="003452DA"/>
    <w:rsid w:val="00345656"/>
    <w:rsid w:val="003458C3"/>
    <w:rsid w:val="00345C7D"/>
    <w:rsid w:val="00345F66"/>
    <w:rsid w:val="00346211"/>
    <w:rsid w:val="003463CA"/>
    <w:rsid w:val="003467A1"/>
    <w:rsid w:val="00346C07"/>
    <w:rsid w:val="00346E63"/>
    <w:rsid w:val="00347096"/>
    <w:rsid w:val="0034752B"/>
    <w:rsid w:val="003476A1"/>
    <w:rsid w:val="00347F33"/>
    <w:rsid w:val="003501E5"/>
    <w:rsid w:val="0035045F"/>
    <w:rsid w:val="00350C3D"/>
    <w:rsid w:val="00350EBD"/>
    <w:rsid w:val="003513E3"/>
    <w:rsid w:val="003514CF"/>
    <w:rsid w:val="00351506"/>
    <w:rsid w:val="0035165F"/>
    <w:rsid w:val="003516E4"/>
    <w:rsid w:val="00351731"/>
    <w:rsid w:val="00351A7E"/>
    <w:rsid w:val="00351BD6"/>
    <w:rsid w:val="003521E4"/>
    <w:rsid w:val="003524B0"/>
    <w:rsid w:val="0035250E"/>
    <w:rsid w:val="003527E7"/>
    <w:rsid w:val="00352D65"/>
    <w:rsid w:val="00352D90"/>
    <w:rsid w:val="00353588"/>
    <w:rsid w:val="0035368D"/>
    <w:rsid w:val="003536EC"/>
    <w:rsid w:val="003537F1"/>
    <w:rsid w:val="00353F78"/>
    <w:rsid w:val="00354D50"/>
    <w:rsid w:val="00355504"/>
    <w:rsid w:val="0035575F"/>
    <w:rsid w:val="003557B7"/>
    <w:rsid w:val="00355E4F"/>
    <w:rsid w:val="0035744C"/>
    <w:rsid w:val="003602E4"/>
    <w:rsid w:val="003610B2"/>
    <w:rsid w:val="00361164"/>
    <w:rsid w:val="00361299"/>
    <w:rsid w:val="003619AC"/>
    <w:rsid w:val="00361CD1"/>
    <w:rsid w:val="00361E26"/>
    <w:rsid w:val="0036201E"/>
    <w:rsid w:val="00362045"/>
    <w:rsid w:val="00362163"/>
    <w:rsid w:val="003621AD"/>
    <w:rsid w:val="0036256A"/>
    <w:rsid w:val="0036262E"/>
    <w:rsid w:val="00362BD6"/>
    <w:rsid w:val="00362EF5"/>
    <w:rsid w:val="0036300A"/>
    <w:rsid w:val="00363183"/>
    <w:rsid w:val="00363551"/>
    <w:rsid w:val="00363A57"/>
    <w:rsid w:val="00363BA2"/>
    <w:rsid w:val="00363F68"/>
    <w:rsid w:val="00364961"/>
    <w:rsid w:val="003649E9"/>
    <w:rsid w:val="00364E53"/>
    <w:rsid w:val="00365079"/>
    <w:rsid w:val="00365530"/>
    <w:rsid w:val="00365608"/>
    <w:rsid w:val="00365EA6"/>
    <w:rsid w:val="003664E8"/>
    <w:rsid w:val="003664F5"/>
    <w:rsid w:val="00366A02"/>
    <w:rsid w:val="00366E1D"/>
    <w:rsid w:val="00366FCE"/>
    <w:rsid w:val="00367154"/>
    <w:rsid w:val="0036744A"/>
    <w:rsid w:val="0036768B"/>
    <w:rsid w:val="00367A1D"/>
    <w:rsid w:val="00367B1F"/>
    <w:rsid w:val="00370076"/>
    <w:rsid w:val="00370415"/>
    <w:rsid w:val="003705F2"/>
    <w:rsid w:val="0037078C"/>
    <w:rsid w:val="00370AF1"/>
    <w:rsid w:val="00370E22"/>
    <w:rsid w:val="0037132A"/>
    <w:rsid w:val="00371991"/>
    <w:rsid w:val="00371BB4"/>
    <w:rsid w:val="00371D60"/>
    <w:rsid w:val="00371F32"/>
    <w:rsid w:val="00371F93"/>
    <w:rsid w:val="0037232A"/>
    <w:rsid w:val="00372920"/>
    <w:rsid w:val="00372AE6"/>
    <w:rsid w:val="00373063"/>
    <w:rsid w:val="00373080"/>
    <w:rsid w:val="003733A1"/>
    <w:rsid w:val="003733AE"/>
    <w:rsid w:val="003736CA"/>
    <w:rsid w:val="003737F6"/>
    <w:rsid w:val="00373911"/>
    <w:rsid w:val="003739CF"/>
    <w:rsid w:val="00373A66"/>
    <w:rsid w:val="00373ABC"/>
    <w:rsid w:val="00373AF2"/>
    <w:rsid w:val="00373AFD"/>
    <w:rsid w:val="00373B27"/>
    <w:rsid w:val="00373E25"/>
    <w:rsid w:val="00373FCA"/>
    <w:rsid w:val="00373FCC"/>
    <w:rsid w:val="003741D8"/>
    <w:rsid w:val="0037438C"/>
    <w:rsid w:val="00374407"/>
    <w:rsid w:val="003744F2"/>
    <w:rsid w:val="003746AC"/>
    <w:rsid w:val="003747C9"/>
    <w:rsid w:val="00375873"/>
    <w:rsid w:val="00375F1F"/>
    <w:rsid w:val="0037610F"/>
    <w:rsid w:val="003766E6"/>
    <w:rsid w:val="003768E2"/>
    <w:rsid w:val="00376A71"/>
    <w:rsid w:val="00376A7C"/>
    <w:rsid w:val="00376B79"/>
    <w:rsid w:val="00377036"/>
    <w:rsid w:val="003770CE"/>
    <w:rsid w:val="003772B2"/>
    <w:rsid w:val="0037744E"/>
    <w:rsid w:val="00377D7B"/>
    <w:rsid w:val="00380503"/>
    <w:rsid w:val="00380D09"/>
    <w:rsid w:val="00380F51"/>
    <w:rsid w:val="00380F81"/>
    <w:rsid w:val="0038170D"/>
    <w:rsid w:val="00381D7C"/>
    <w:rsid w:val="0038203B"/>
    <w:rsid w:val="003821FA"/>
    <w:rsid w:val="00382376"/>
    <w:rsid w:val="0038255D"/>
    <w:rsid w:val="003828BA"/>
    <w:rsid w:val="003830ED"/>
    <w:rsid w:val="00383187"/>
    <w:rsid w:val="00383241"/>
    <w:rsid w:val="003834F3"/>
    <w:rsid w:val="00383F89"/>
    <w:rsid w:val="00384025"/>
    <w:rsid w:val="00384027"/>
    <w:rsid w:val="0038404E"/>
    <w:rsid w:val="00384321"/>
    <w:rsid w:val="00384555"/>
    <w:rsid w:val="00384A20"/>
    <w:rsid w:val="00384BF3"/>
    <w:rsid w:val="00384D6A"/>
    <w:rsid w:val="0038519E"/>
    <w:rsid w:val="003852D5"/>
    <w:rsid w:val="003853FB"/>
    <w:rsid w:val="0038615B"/>
    <w:rsid w:val="003868B9"/>
    <w:rsid w:val="00386CBF"/>
    <w:rsid w:val="003870D7"/>
    <w:rsid w:val="00387186"/>
    <w:rsid w:val="00387253"/>
    <w:rsid w:val="003873DE"/>
    <w:rsid w:val="003874A6"/>
    <w:rsid w:val="00387526"/>
    <w:rsid w:val="003875BC"/>
    <w:rsid w:val="00390661"/>
    <w:rsid w:val="003906D3"/>
    <w:rsid w:val="00390D15"/>
    <w:rsid w:val="0039147A"/>
    <w:rsid w:val="00391B8E"/>
    <w:rsid w:val="00391BBA"/>
    <w:rsid w:val="00391CEA"/>
    <w:rsid w:val="0039262B"/>
    <w:rsid w:val="0039272A"/>
    <w:rsid w:val="00392C1E"/>
    <w:rsid w:val="00392D7B"/>
    <w:rsid w:val="00392E1A"/>
    <w:rsid w:val="00392F64"/>
    <w:rsid w:val="00392FAA"/>
    <w:rsid w:val="003934E6"/>
    <w:rsid w:val="003936FE"/>
    <w:rsid w:val="0039391E"/>
    <w:rsid w:val="00393A8D"/>
    <w:rsid w:val="00393B30"/>
    <w:rsid w:val="00393D55"/>
    <w:rsid w:val="00393EA4"/>
    <w:rsid w:val="00393F3F"/>
    <w:rsid w:val="00394061"/>
    <w:rsid w:val="00394116"/>
    <w:rsid w:val="003942F5"/>
    <w:rsid w:val="003949E5"/>
    <w:rsid w:val="00394CA6"/>
    <w:rsid w:val="00394F18"/>
    <w:rsid w:val="003951C1"/>
    <w:rsid w:val="003956A2"/>
    <w:rsid w:val="00395754"/>
    <w:rsid w:val="00396117"/>
    <w:rsid w:val="00396487"/>
    <w:rsid w:val="003966DC"/>
    <w:rsid w:val="00396718"/>
    <w:rsid w:val="0039679A"/>
    <w:rsid w:val="00396890"/>
    <w:rsid w:val="00396C8D"/>
    <w:rsid w:val="0039708C"/>
    <w:rsid w:val="00397264"/>
    <w:rsid w:val="0039736F"/>
    <w:rsid w:val="00397B2F"/>
    <w:rsid w:val="00397B91"/>
    <w:rsid w:val="00397F46"/>
    <w:rsid w:val="003A0987"/>
    <w:rsid w:val="003A0AA5"/>
    <w:rsid w:val="003A1464"/>
    <w:rsid w:val="003A15F0"/>
    <w:rsid w:val="003A1E87"/>
    <w:rsid w:val="003A20AA"/>
    <w:rsid w:val="003A23F9"/>
    <w:rsid w:val="003A2418"/>
    <w:rsid w:val="003A2EF8"/>
    <w:rsid w:val="003A3143"/>
    <w:rsid w:val="003A3423"/>
    <w:rsid w:val="003A3447"/>
    <w:rsid w:val="003A3513"/>
    <w:rsid w:val="003A3C7F"/>
    <w:rsid w:val="003A3D3F"/>
    <w:rsid w:val="003A3D9F"/>
    <w:rsid w:val="003A3DC3"/>
    <w:rsid w:val="003A440C"/>
    <w:rsid w:val="003A44F5"/>
    <w:rsid w:val="003A486D"/>
    <w:rsid w:val="003A4CBB"/>
    <w:rsid w:val="003A51C6"/>
    <w:rsid w:val="003A644A"/>
    <w:rsid w:val="003A6A55"/>
    <w:rsid w:val="003A6DE4"/>
    <w:rsid w:val="003A75A9"/>
    <w:rsid w:val="003A75F5"/>
    <w:rsid w:val="003A78E6"/>
    <w:rsid w:val="003B00EA"/>
    <w:rsid w:val="003B0263"/>
    <w:rsid w:val="003B02DD"/>
    <w:rsid w:val="003B038F"/>
    <w:rsid w:val="003B09C7"/>
    <w:rsid w:val="003B0B27"/>
    <w:rsid w:val="003B0BA6"/>
    <w:rsid w:val="003B123B"/>
    <w:rsid w:val="003B126D"/>
    <w:rsid w:val="003B153B"/>
    <w:rsid w:val="003B1CDD"/>
    <w:rsid w:val="003B1E6B"/>
    <w:rsid w:val="003B1ED6"/>
    <w:rsid w:val="003B1FA4"/>
    <w:rsid w:val="003B22E9"/>
    <w:rsid w:val="003B243A"/>
    <w:rsid w:val="003B248C"/>
    <w:rsid w:val="003B2A1B"/>
    <w:rsid w:val="003B2B81"/>
    <w:rsid w:val="003B3309"/>
    <w:rsid w:val="003B39F0"/>
    <w:rsid w:val="003B3A2A"/>
    <w:rsid w:val="003B3E70"/>
    <w:rsid w:val="003B447D"/>
    <w:rsid w:val="003B4980"/>
    <w:rsid w:val="003B4D2A"/>
    <w:rsid w:val="003B4F12"/>
    <w:rsid w:val="003B4F2D"/>
    <w:rsid w:val="003B558E"/>
    <w:rsid w:val="003B55DF"/>
    <w:rsid w:val="003B5799"/>
    <w:rsid w:val="003B6591"/>
    <w:rsid w:val="003B66C6"/>
    <w:rsid w:val="003B7721"/>
    <w:rsid w:val="003B773D"/>
    <w:rsid w:val="003B77DA"/>
    <w:rsid w:val="003B7A09"/>
    <w:rsid w:val="003B7FD7"/>
    <w:rsid w:val="003C0294"/>
    <w:rsid w:val="003C02FA"/>
    <w:rsid w:val="003C06CC"/>
    <w:rsid w:val="003C09A2"/>
    <w:rsid w:val="003C1032"/>
    <w:rsid w:val="003C1C19"/>
    <w:rsid w:val="003C1CFC"/>
    <w:rsid w:val="003C23CA"/>
    <w:rsid w:val="003C27A2"/>
    <w:rsid w:val="003C2C05"/>
    <w:rsid w:val="003C2FEB"/>
    <w:rsid w:val="003C35B8"/>
    <w:rsid w:val="003C380A"/>
    <w:rsid w:val="003C3850"/>
    <w:rsid w:val="003C3963"/>
    <w:rsid w:val="003C3B73"/>
    <w:rsid w:val="003C3D65"/>
    <w:rsid w:val="003C3D7B"/>
    <w:rsid w:val="003C3E20"/>
    <w:rsid w:val="003C42CE"/>
    <w:rsid w:val="003C4323"/>
    <w:rsid w:val="003C4DC9"/>
    <w:rsid w:val="003C50B9"/>
    <w:rsid w:val="003C5513"/>
    <w:rsid w:val="003C554A"/>
    <w:rsid w:val="003C562C"/>
    <w:rsid w:val="003C5635"/>
    <w:rsid w:val="003C5718"/>
    <w:rsid w:val="003C5C5B"/>
    <w:rsid w:val="003C5F6D"/>
    <w:rsid w:val="003C6664"/>
    <w:rsid w:val="003C66C2"/>
    <w:rsid w:val="003C681E"/>
    <w:rsid w:val="003C6868"/>
    <w:rsid w:val="003C7323"/>
    <w:rsid w:val="003C7534"/>
    <w:rsid w:val="003C76A1"/>
    <w:rsid w:val="003C7BBC"/>
    <w:rsid w:val="003C7E0E"/>
    <w:rsid w:val="003C7F7D"/>
    <w:rsid w:val="003D01F3"/>
    <w:rsid w:val="003D063B"/>
    <w:rsid w:val="003D06F5"/>
    <w:rsid w:val="003D0876"/>
    <w:rsid w:val="003D0E6F"/>
    <w:rsid w:val="003D0EDD"/>
    <w:rsid w:val="003D0F70"/>
    <w:rsid w:val="003D1638"/>
    <w:rsid w:val="003D173E"/>
    <w:rsid w:val="003D1E17"/>
    <w:rsid w:val="003D1E3E"/>
    <w:rsid w:val="003D2180"/>
    <w:rsid w:val="003D22B6"/>
    <w:rsid w:val="003D22D5"/>
    <w:rsid w:val="003D24D7"/>
    <w:rsid w:val="003D2615"/>
    <w:rsid w:val="003D2B4B"/>
    <w:rsid w:val="003D2BAD"/>
    <w:rsid w:val="003D2DA4"/>
    <w:rsid w:val="003D2E71"/>
    <w:rsid w:val="003D30A9"/>
    <w:rsid w:val="003D3766"/>
    <w:rsid w:val="003D3791"/>
    <w:rsid w:val="003D37B0"/>
    <w:rsid w:val="003D39BC"/>
    <w:rsid w:val="003D3D3A"/>
    <w:rsid w:val="003D3D84"/>
    <w:rsid w:val="003D3DF6"/>
    <w:rsid w:val="003D3F4C"/>
    <w:rsid w:val="003D3FE8"/>
    <w:rsid w:val="003D41FA"/>
    <w:rsid w:val="003D4203"/>
    <w:rsid w:val="003D4218"/>
    <w:rsid w:val="003D42CA"/>
    <w:rsid w:val="003D42D4"/>
    <w:rsid w:val="003D43DA"/>
    <w:rsid w:val="003D4574"/>
    <w:rsid w:val="003D4935"/>
    <w:rsid w:val="003D4F24"/>
    <w:rsid w:val="003D5083"/>
    <w:rsid w:val="003D5264"/>
    <w:rsid w:val="003D543F"/>
    <w:rsid w:val="003D5A89"/>
    <w:rsid w:val="003D5B5B"/>
    <w:rsid w:val="003D5F33"/>
    <w:rsid w:val="003D6201"/>
    <w:rsid w:val="003D6B57"/>
    <w:rsid w:val="003D6DFF"/>
    <w:rsid w:val="003D7857"/>
    <w:rsid w:val="003D7979"/>
    <w:rsid w:val="003D7E78"/>
    <w:rsid w:val="003D7F00"/>
    <w:rsid w:val="003E03FF"/>
    <w:rsid w:val="003E0595"/>
    <w:rsid w:val="003E088C"/>
    <w:rsid w:val="003E0B58"/>
    <w:rsid w:val="003E1238"/>
    <w:rsid w:val="003E15FC"/>
    <w:rsid w:val="003E199F"/>
    <w:rsid w:val="003E19E8"/>
    <w:rsid w:val="003E1B37"/>
    <w:rsid w:val="003E1E28"/>
    <w:rsid w:val="003E2189"/>
    <w:rsid w:val="003E2231"/>
    <w:rsid w:val="003E2D16"/>
    <w:rsid w:val="003E2F1C"/>
    <w:rsid w:val="003E3495"/>
    <w:rsid w:val="003E37ED"/>
    <w:rsid w:val="003E37F4"/>
    <w:rsid w:val="003E386F"/>
    <w:rsid w:val="003E3B19"/>
    <w:rsid w:val="003E3B72"/>
    <w:rsid w:val="003E3BB6"/>
    <w:rsid w:val="003E3CE2"/>
    <w:rsid w:val="003E4454"/>
    <w:rsid w:val="003E45BE"/>
    <w:rsid w:val="003E465D"/>
    <w:rsid w:val="003E468D"/>
    <w:rsid w:val="003E4D0E"/>
    <w:rsid w:val="003E522B"/>
    <w:rsid w:val="003E5358"/>
    <w:rsid w:val="003E5530"/>
    <w:rsid w:val="003E55A9"/>
    <w:rsid w:val="003E561A"/>
    <w:rsid w:val="003E574B"/>
    <w:rsid w:val="003E5938"/>
    <w:rsid w:val="003E5E80"/>
    <w:rsid w:val="003E61DA"/>
    <w:rsid w:val="003E6558"/>
    <w:rsid w:val="003E6756"/>
    <w:rsid w:val="003E6B76"/>
    <w:rsid w:val="003E6F05"/>
    <w:rsid w:val="003E6F32"/>
    <w:rsid w:val="003E707F"/>
    <w:rsid w:val="003E7176"/>
    <w:rsid w:val="003E7344"/>
    <w:rsid w:val="003E7809"/>
    <w:rsid w:val="003E7A46"/>
    <w:rsid w:val="003E7AEB"/>
    <w:rsid w:val="003E7C5C"/>
    <w:rsid w:val="003E7D55"/>
    <w:rsid w:val="003F0310"/>
    <w:rsid w:val="003F0C9D"/>
    <w:rsid w:val="003F0D84"/>
    <w:rsid w:val="003F101A"/>
    <w:rsid w:val="003F113C"/>
    <w:rsid w:val="003F18B8"/>
    <w:rsid w:val="003F1A29"/>
    <w:rsid w:val="003F1A83"/>
    <w:rsid w:val="003F2061"/>
    <w:rsid w:val="003F2356"/>
    <w:rsid w:val="003F2424"/>
    <w:rsid w:val="003F256A"/>
    <w:rsid w:val="003F2A5C"/>
    <w:rsid w:val="003F33C6"/>
    <w:rsid w:val="003F3855"/>
    <w:rsid w:val="003F3900"/>
    <w:rsid w:val="003F3BD0"/>
    <w:rsid w:val="003F3C25"/>
    <w:rsid w:val="003F3DE2"/>
    <w:rsid w:val="003F4366"/>
    <w:rsid w:val="003F4884"/>
    <w:rsid w:val="003F49DD"/>
    <w:rsid w:val="003F4AC5"/>
    <w:rsid w:val="003F4DC1"/>
    <w:rsid w:val="003F52AD"/>
    <w:rsid w:val="003F586F"/>
    <w:rsid w:val="003F58FE"/>
    <w:rsid w:val="003F5E3A"/>
    <w:rsid w:val="003F5EF7"/>
    <w:rsid w:val="003F62B2"/>
    <w:rsid w:val="003F6859"/>
    <w:rsid w:val="003F6983"/>
    <w:rsid w:val="003F6AEF"/>
    <w:rsid w:val="003F6DFE"/>
    <w:rsid w:val="003F7315"/>
    <w:rsid w:val="003F7ABB"/>
    <w:rsid w:val="003F7AE7"/>
    <w:rsid w:val="003F7D3A"/>
    <w:rsid w:val="0040015F"/>
    <w:rsid w:val="00400185"/>
    <w:rsid w:val="0040018E"/>
    <w:rsid w:val="0040077A"/>
    <w:rsid w:val="00401210"/>
    <w:rsid w:val="00401ABB"/>
    <w:rsid w:val="00401EFC"/>
    <w:rsid w:val="00401F08"/>
    <w:rsid w:val="004024B0"/>
    <w:rsid w:val="0040258E"/>
    <w:rsid w:val="00402DE3"/>
    <w:rsid w:val="00402F24"/>
    <w:rsid w:val="004032BB"/>
    <w:rsid w:val="00403474"/>
    <w:rsid w:val="004037D1"/>
    <w:rsid w:val="0040385D"/>
    <w:rsid w:val="0040391B"/>
    <w:rsid w:val="00403ADC"/>
    <w:rsid w:val="00403B32"/>
    <w:rsid w:val="00403F22"/>
    <w:rsid w:val="00404197"/>
    <w:rsid w:val="0040437D"/>
    <w:rsid w:val="0040446F"/>
    <w:rsid w:val="004044AE"/>
    <w:rsid w:val="00404868"/>
    <w:rsid w:val="004050A6"/>
    <w:rsid w:val="00405529"/>
    <w:rsid w:val="00405958"/>
    <w:rsid w:val="00405C10"/>
    <w:rsid w:val="00405E9A"/>
    <w:rsid w:val="004061AE"/>
    <w:rsid w:val="00406588"/>
    <w:rsid w:val="00406785"/>
    <w:rsid w:val="004067A3"/>
    <w:rsid w:val="004068A7"/>
    <w:rsid w:val="0040696A"/>
    <w:rsid w:val="00406EB0"/>
    <w:rsid w:val="0040790E"/>
    <w:rsid w:val="004079FB"/>
    <w:rsid w:val="004106C5"/>
    <w:rsid w:val="0041078A"/>
    <w:rsid w:val="00410CD5"/>
    <w:rsid w:val="00410F1F"/>
    <w:rsid w:val="00410F7D"/>
    <w:rsid w:val="00411200"/>
    <w:rsid w:val="004112AA"/>
    <w:rsid w:val="0041155F"/>
    <w:rsid w:val="0041191B"/>
    <w:rsid w:val="00411B8A"/>
    <w:rsid w:val="00411B9D"/>
    <w:rsid w:val="00411C4A"/>
    <w:rsid w:val="00411C7A"/>
    <w:rsid w:val="00411CD7"/>
    <w:rsid w:val="0041206F"/>
    <w:rsid w:val="0041220C"/>
    <w:rsid w:val="004124FE"/>
    <w:rsid w:val="0041263A"/>
    <w:rsid w:val="00412D71"/>
    <w:rsid w:val="00412EB5"/>
    <w:rsid w:val="0041354D"/>
    <w:rsid w:val="00413D4D"/>
    <w:rsid w:val="00414152"/>
    <w:rsid w:val="00414161"/>
    <w:rsid w:val="004142F1"/>
    <w:rsid w:val="004143A8"/>
    <w:rsid w:val="00414990"/>
    <w:rsid w:val="00414E56"/>
    <w:rsid w:val="00415211"/>
    <w:rsid w:val="004155C6"/>
    <w:rsid w:val="00415A64"/>
    <w:rsid w:val="00416526"/>
    <w:rsid w:val="00416820"/>
    <w:rsid w:val="00416A34"/>
    <w:rsid w:val="00416B07"/>
    <w:rsid w:val="00416C5B"/>
    <w:rsid w:val="00416DC3"/>
    <w:rsid w:val="00416E6C"/>
    <w:rsid w:val="00416F0A"/>
    <w:rsid w:val="004175EE"/>
    <w:rsid w:val="00417CF3"/>
    <w:rsid w:val="00417DA3"/>
    <w:rsid w:val="00417FF2"/>
    <w:rsid w:val="00420294"/>
    <w:rsid w:val="004203DC"/>
    <w:rsid w:val="004205B3"/>
    <w:rsid w:val="00420AB8"/>
    <w:rsid w:val="00420B15"/>
    <w:rsid w:val="004212E8"/>
    <w:rsid w:val="004218ED"/>
    <w:rsid w:val="00421A4C"/>
    <w:rsid w:val="00421BE8"/>
    <w:rsid w:val="00421C9C"/>
    <w:rsid w:val="00421CEE"/>
    <w:rsid w:val="00422A2D"/>
    <w:rsid w:val="00422C31"/>
    <w:rsid w:val="0042328A"/>
    <w:rsid w:val="004233B7"/>
    <w:rsid w:val="00423497"/>
    <w:rsid w:val="00423650"/>
    <w:rsid w:val="00423A79"/>
    <w:rsid w:val="004241DF"/>
    <w:rsid w:val="0042472C"/>
    <w:rsid w:val="00424A37"/>
    <w:rsid w:val="00424ABC"/>
    <w:rsid w:val="00424F84"/>
    <w:rsid w:val="00425056"/>
    <w:rsid w:val="0042506C"/>
    <w:rsid w:val="00425279"/>
    <w:rsid w:val="0042570F"/>
    <w:rsid w:val="00425B44"/>
    <w:rsid w:val="00425B55"/>
    <w:rsid w:val="00425BC4"/>
    <w:rsid w:val="00425D25"/>
    <w:rsid w:val="00425E53"/>
    <w:rsid w:val="00425E95"/>
    <w:rsid w:val="00425F38"/>
    <w:rsid w:val="00425FCD"/>
    <w:rsid w:val="00426080"/>
    <w:rsid w:val="00426D48"/>
    <w:rsid w:val="00426F09"/>
    <w:rsid w:val="004272E1"/>
    <w:rsid w:val="00427B53"/>
    <w:rsid w:val="0043080A"/>
    <w:rsid w:val="00430BED"/>
    <w:rsid w:val="004312B8"/>
    <w:rsid w:val="004318D3"/>
    <w:rsid w:val="004319D4"/>
    <w:rsid w:val="00431B0D"/>
    <w:rsid w:val="00431BBA"/>
    <w:rsid w:val="00431CEB"/>
    <w:rsid w:val="00432C69"/>
    <w:rsid w:val="00432DD6"/>
    <w:rsid w:val="00433210"/>
    <w:rsid w:val="0043340C"/>
    <w:rsid w:val="004336F0"/>
    <w:rsid w:val="00433727"/>
    <w:rsid w:val="0043374C"/>
    <w:rsid w:val="00433BEB"/>
    <w:rsid w:val="00433ECD"/>
    <w:rsid w:val="0043411B"/>
    <w:rsid w:val="004342A8"/>
    <w:rsid w:val="0043471F"/>
    <w:rsid w:val="00434C56"/>
    <w:rsid w:val="00434D61"/>
    <w:rsid w:val="00435054"/>
    <w:rsid w:val="00435454"/>
    <w:rsid w:val="004354D5"/>
    <w:rsid w:val="0043550A"/>
    <w:rsid w:val="00435E77"/>
    <w:rsid w:val="00436E4B"/>
    <w:rsid w:val="004374CD"/>
    <w:rsid w:val="004376E7"/>
    <w:rsid w:val="00437E34"/>
    <w:rsid w:val="0044073F"/>
    <w:rsid w:val="0044092C"/>
    <w:rsid w:val="004417ED"/>
    <w:rsid w:val="00442FC0"/>
    <w:rsid w:val="004431DA"/>
    <w:rsid w:val="004438A9"/>
    <w:rsid w:val="004438D2"/>
    <w:rsid w:val="0044391B"/>
    <w:rsid w:val="00443A3D"/>
    <w:rsid w:val="00443D4C"/>
    <w:rsid w:val="00443F66"/>
    <w:rsid w:val="0044435C"/>
    <w:rsid w:val="004443F4"/>
    <w:rsid w:val="004444D2"/>
    <w:rsid w:val="004448C6"/>
    <w:rsid w:val="00444917"/>
    <w:rsid w:val="0044491E"/>
    <w:rsid w:val="00444BB9"/>
    <w:rsid w:val="00444D0E"/>
    <w:rsid w:val="00445BF1"/>
    <w:rsid w:val="00445D7C"/>
    <w:rsid w:val="00445DFA"/>
    <w:rsid w:val="00445F5B"/>
    <w:rsid w:val="0044622F"/>
    <w:rsid w:val="004466E0"/>
    <w:rsid w:val="00446745"/>
    <w:rsid w:val="0044674E"/>
    <w:rsid w:val="004468A6"/>
    <w:rsid w:val="00447331"/>
    <w:rsid w:val="00447361"/>
    <w:rsid w:val="00447465"/>
    <w:rsid w:val="00447DC5"/>
    <w:rsid w:val="00447F91"/>
    <w:rsid w:val="0045013F"/>
    <w:rsid w:val="00450651"/>
    <w:rsid w:val="004506A4"/>
    <w:rsid w:val="00450AF0"/>
    <w:rsid w:val="00450C44"/>
    <w:rsid w:val="004510F4"/>
    <w:rsid w:val="0045156A"/>
    <w:rsid w:val="0045158A"/>
    <w:rsid w:val="004516B8"/>
    <w:rsid w:val="00451FE4"/>
    <w:rsid w:val="00452259"/>
    <w:rsid w:val="004524FD"/>
    <w:rsid w:val="00452AD2"/>
    <w:rsid w:val="00452DCC"/>
    <w:rsid w:val="00452EC0"/>
    <w:rsid w:val="00453477"/>
    <w:rsid w:val="00453B89"/>
    <w:rsid w:val="004544A1"/>
    <w:rsid w:val="00454507"/>
    <w:rsid w:val="00454559"/>
    <w:rsid w:val="0045457A"/>
    <w:rsid w:val="00454640"/>
    <w:rsid w:val="004548E6"/>
    <w:rsid w:val="00454AFD"/>
    <w:rsid w:val="00454F85"/>
    <w:rsid w:val="0045516D"/>
    <w:rsid w:val="00455302"/>
    <w:rsid w:val="0045554E"/>
    <w:rsid w:val="00455B1B"/>
    <w:rsid w:val="00456638"/>
    <w:rsid w:val="004566AB"/>
    <w:rsid w:val="004569E9"/>
    <w:rsid w:val="00456B21"/>
    <w:rsid w:val="00457334"/>
    <w:rsid w:val="004573BC"/>
    <w:rsid w:val="004575E6"/>
    <w:rsid w:val="00457DEA"/>
    <w:rsid w:val="00457E27"/>
    <w:rsid w:val="004601EB"/>
    <w:rsid w:val="004603B3"/>
    <w:rsid w:val="00461079"/>
    <w:rsid w:val="00461493"/>
    <w:rsid w:val="0046197E"/>
    <w:rsid w:val="00462981"/>
    <w:rsid w:val="0046298E"/>
    <w:rsid w:val="004629AB"/>
    <w:rsid w:val="00462E09"/>
    <w:rsid w:val="0046326D"/>
    <w:rsid w:val="004634A3"/>
    <w:rsid w:val="00463612"/>
    <w:rsid w:val="004639A3"/>
    <w:rsid w:val="00463DD3"/>
    <w:rsid w:val="0046410B"/>
    <w:rsid w:val="0046421C"/>
    <w:rsid w:val="0046433A"/>
    <w:rsid w:val="0046449A"/>
    <w:rsid w:val="00464D5E"/>
    <w:rsid w:val="00464F2F"/>
    <w:rsid w:val="004652F1"/>
    <w:rsid w:val="004657C4"/>
    <w:rsid w:val="00465E67"/>
    <w:rsid w:val="0046650C"/>
    <w:rsid w:val="004670B3"/>
    <w:rsid w:val="00467115"/>
    <w:rsid w:val="00467468"/>
    <w:rsid w:val="00467584"/>
    <w:rsid w:val="0046760E"/>
    <w:rsid w:val="00467859"/>
    <w:rsid w:val="00467C97"/>
    <w:rsid w:val="00467E36"/>
    <w:rsid w:val="0047007D"/>
    <w:rsid w:val="0047031F"/>
    <w:rsid w:val="004706DF"/>
    <w:rsid w:val="00470AB7"/>
    <w:rsid w:val="004710B8"/>
    <w:rsid w:val="0047123D"/>
    <w:rsid w:val="00471359"/>
    <w:rsid w:val="004719E8"/>
    <w:rsid w:val="00471A6A"/>
    <w:rsid w:val="00471D7F"/>
    <w:rsid w:val="00471DF3"/>
    <w:rsid w:val="004722BE"/>
    <w:rsid w:val="00472B8D"/>
    <w:rsid w:val="00473868"/>
    <w:rsid w:val="00474020"/>
    <w:rsid w:val="004740B1"/>
    <w:rsid w:val="0047410C"/>
    <w:rsid w:val="004747D7"/>
    <w:rsid w:val="00474A04"/>
    <w:rsid w:val="00474F96"/>
    <w:rsid w:val="00474FFA"/>
    <w:rsid w:val="00475897"/>
    <w:rsid w:val="004760DD"/>
    <w:rsid w:val="0047610D"/>
    <w:rsid w:val="004763C4"/>
    <w:rsid w:val="004767AE"/>
    <w:rsid w:val="00476940"/>
    <w:rsid w:val="00476A0C"/>
    <w:rsid w:val="00476B9B"/>
    <w:rsid w:val="00476CDE"/>
    <w:rsid w:val="00476EA1"/>
    <w:rsid w:val="00476EB8"/>
    <w:rsid w:val="00477485"/>
    <w:rsid w:val="00477661"/>
    <w:rsid w:val="00477A6A"/>
    <w:rsid w:val="00477D98"/>
    <w:rsid w:val="004802A1"/>
    <w:rsid w:val="0048054C"/>
    <w:rsid w:val="0048057C"/>
    <w:rsid w:val="00480F64"/>
    <w:rsid w:val="00480FDF"/>
    <w:rsid w:val="00481171"/>
    <w:rsid w:val="004811E0"/>
    <w:rsid w:val="00481354"/>
    <w:rsid w:val="004819DB"/>
    <w:rsid w:val="00481A39"/>
    <w:rsid w:val="00481D3F"/>
    <w:rsid w:val="00481E5B"/>
    <w:rsid w:val="0048221B"/>
    <w:rsid w:val="00482561"/>
    <w:rsid w:val="00482891"/>
    <w:rsid w:val="00482E6D"/>
    <w:rsid w:val="00483199"/>
    <w:rsid w:val="00483F5C"/>
    <w:rsid w:val="004847DC"/>
    <w:rsid w:val="004847F8"/>
    <w:rsid w:val="00484933"/>
    <w:rsid w:val="00484B2C"/>
    <w:rsid w:val="00484FB0"/>
    <w:rsid w:val="004854FE"/>
    <w:rsid w:val="004855BF"/>
    <w:rsid w:val="00485AFE"/>
    <w:rsid w:val="00486272"/>
    <w:rsid w:val="00486433"/>
    <w:rsid w:val="0048667E"/>
    <w:rsid w:val="00486A5A"/>
    <w:rsid w:val="00486D51"/>
    <w:rsid w:val="00486DC2"/>
    <w:rsid w:val="0048733A"/>
    <w:rsid w:val="004873D3"/>
    <w:rsid w:val="004876F8"/>
    <w:rsid w:val="0048793E"/>
    <w:rsid w:val="00487B07"/>
    <w:rsid w:val="004906DA"/>
    <w:rsid w:val="00490F2D"/>
    <w:rsid w:val="00490F44"/>
    <w:rsid w:val="0049127C"/>
    <w:rsid w:val="004917DE"/>
    <w:rsid w:val="00491835"/>
    <w:rsid w:val="00491AD2"/>
    <w:rsid w:val="00491CEE"/>
    <w:rsid w:val="00491D78"/>
    <w:rsid w:val="00491E78"/>
    <w:rsid w:val="00491E9E"/>
    <w:rsid w:val="004921C2"/>
    <w:rsid w:val="004924B8"/>
    <w:rsid w:val="004928B0"/>
    <w:rsid w:val="00492C0E"/>
    <w:rsid w:val="004930CC"/>
    <w:rsid w:val="004934DF"/>
    <w:rsid w:val="00493C82"/>
    <w:rsid w:val="00493EEF"/>
    <w:rsid w:val="00493F3B"/>
    <w:rsid w:val="00494185"/>
    <w:rsid w:val="004944E2"/>
    <w:rsid w:val="00494A20"/>
    <w:rsid w:val="00494A95"/>
    <w:rsid w:val="00495472"/>
    <w:rsid w:val="004954BB"/>
    <w:rsid w:val="004957DB"/>
    <w:rsid w:val="00495870"/>
    <w:rsid w:val="004958A0"/>
    <w:rsid w:val="00495A89"/>
    <w:rsid w:val="00495D17"/>
    <w:rsid w:val="0049634C"/>
    <w:rsid w:val="004963E1"/>
    <w:rsid w:val="004964D7"/>
    <w:rsid w:val="00496795"/>
    <w:rsid w:val="00496ACA"/>
    <w:rsid w:val="00496FD4"/>
    <w:rsid w:val="004970AD"/>
    <w:rsid w:val="0049717C"/>
    <w:rsid w:val="004974CF"/>
    <w:rsid w:val="004974FF"/>
    <w:rsid w:val="004975BF"/>
    <w:rsid w:val="00497806"/>
    <w:rsid w:val="004978C1"/>
    <w:rsid w:val="004A01CF"/>
    <w:rsid w:val="004A03AD"/>
    <w:rsid w:val="004A06D9"/>
    <w:rsid w:val="004A0BFD"/>
    <w:rsid w:val="004A0FE3"/>
    <w:rsid w:val="004A14E9"/>
    <w:rsid w:val="004A14F9"/>
    <w:rsid w:val="004A19B6"/>
    <w:rsid w:val="004A22F9"/>
    <w:rsid w:val="004A312D"/>
    <w:rsid w:val="004A3329"/>
    <w:rsid w:val="004A3764"/>
    <w:rsid w:val="004A3941"/>
    <w:rsid w:val="004A3B4B"/>
    <w:rsid w:val="004A3E75"/>
    <w:rsid w:val="004A4020"/>
    <w:rsid w:val="004A4188"/>
    <w:rsid w:val="004A4D99"/>
    <w:rsid w:val="004A4E60"/>
    <w:rsid w:val="004A4EC7"/>
    <w:rsid w:val="004A51D4"/>
    <w:rsid w:val="004A5483"/>
    <w:rsid w:val="004A5C74"/>
    <w:rsid w:val="004A5CA2"/>
    <w:rsid w:val="004A6327"/>
    <w:rsid w:val="004A6472"/>
    <w:rsid w:val="004A68F9"/>
    <w:rsid w:val="004A6B74"/>
    <w:rsid w:val="004A7053"/>
    <w:rsid w:val="004A7602"/>
    <w:rsid w:val="004A76DC"/>
    <w:rsid w:val="004A7BD1"/>
    <w:rsid w:val="004B01FA"/>
    <w:rsid w:val="004B058F"/>
    <w:rsid w:val="004B08B2"/>
    <w:rsid w:val="004B08C3"/>
    <w:rsid w:val="004B0E40"/>
    <w:rsid w:val="004B1166"/>
    <w:rsid w:val="004B1216"/>
    <w:rsid w:val="004B1267"/>
    <w:rsid w:val="004B17E4"/>
    <w:rsid w:val="004B194C"/>
    <w:rsid w:val="004B19B1"/>
    <w:rsid w:val="004B1CAF"/>
    <w:rsid w:val="004B1E9E"/>
    <w:rsid w:val="004B20D1"/>
    <w:rsid w:val="004B216B"/>
    <w:rsid w:val="004B22A2"/>
    <w:rsid w:val="004B2642"/>
    <w:rsid w:val="004B29D3"/>
    <w:rsid w:val="004B2CFD"/>
    <w:rsid w:val="004B3181"/>
    <w:rsid w:val="004B339C"/>
    <w:rsid w:val="004B35B3"/>
    <w:rsid w:val="004B382E"/>
    <w:rsid w:val="004B3E90"/>
    <w:rsid w:val="004B3F01"/>
    <w:rsid w:val="004B446B"/>
    <w:rsid w:val="004B459B"/>
    <w:rsid w:val="004B48C2"/>
    <w:rsid w:val="004B4A5B"/>
    <w:rsid w:val="004B4DBB"/>
    <w:rsid w:val="004B4DF5"/>
    <w:rsid w:val="004B4ED5"/>
    <w:rsid w:val="004B5527"/>
    <w:rsid w:val="004B56F9"/>
    <w:rsid w:val="004B5B01"/>
    <w:rsid w:val="004B5D69"/>
    <w:rsid w:val="004B5E42"/>
    <w:rsid w:val="004B5ED6"/>
    <w:rsid w:val="004B5F11"/>
    <w:rsid w:val="004B62C2"/>
    <w:rsid w:val="004B6742"/>
    <w:rsid w:val="004B67D0"/>
    <w:rsid w:val="004B67EA"/>
    <w:rsid w:val="004B6B96"/>
    <w:rsid w:val="004B7849"/>
    <w:rsid w:val="004B7AD8"/>
    <w:rsid w:val="004B7BDF"/>
    <w:rsid w:val="004B7DCC"/>
    <w:rsid w:val="004B7DD0"/>
    <w:rsid w:val="004B7DDC"/>
    <w:rsid w:val="004C0843"/>
    <w:rsid w:val="004C0A10"/>
    <w:rsid w:val="004C0BFB"/>
    <w:rsid w:val="004C1287"/>
    <w:rsid w:val="004C1309"/>
    <w:rsid w:val="004C17FD"/>
    <w:rsid w:val="004C1BD9"/>
    <w:rsid w:val="004C22B4"/>
    <w:rsid w:val="004C287D"/>
    <w:rsid w:val="004C30F0"/>
    <w:rsid w:val="004C33F3"/>
    <w:rsid w:val="004C3791"/>
    <w:rsid w:val="004C39E7"/>
    <w:rsid w:val="004C3B73"/>
    <w:rsid w:val="004C3E0A"/>
    <w:rsid w:val="004C3F22"/>
    <w:rsid w:val="004C3FDD"/>
    <w:rsid w:val="004C42C7"/>
    <w:rsid w:val="004C4807"/>
    <w:rsid w:val="004C4B37"/>
    <w:rsid w:val="004C4D5B"/>
    <w:rsid w:val="004C50AB"/>
    <w:rsid w:val="004C5200"/>
    <w:rsid w:val="004C525C"/>
    <w:rsid w:val="004C5AC8"/>
    <w:rsid w:val="004C5C70"/>
    <w:rsid w:val="004C615B"/>
    <w:rsid w:val="004C6341"/>
    <w:rsid w:val="004C6857"/>
    <w:rsid w:val="004C6BA0"/>
    <w:rsid w:val="004C7106"/>
    <w:rsid w:val="004C7516"/>
    <w:rsid w:val="004C7810"/>
    <w:rsid w:val="004C788B"/>
    <w:rsid w:val="004C7AD9"/>
    <w:rsid w:val="004D0354"/>
    <w:rsid w:val="004D0558"/>
    <w:rsid w:val="004D08AF"/>
    <w:rsid w:val="004D0E53"/>
    <w:rsid w:val="004D12E8"/>
    <w:rsid w:val="004D12F0"/>
    <w:rsid w:val="004D1770"/>
    <w:rsid w:val="004D1965"/>
    <w:rsid w:val="004D1978"/>
    <w:rsid w:val="004D1A88"/>
    <w:rsid w:val="004D2643"/>
    <w:rsid w:val="004D26B2"/>
    <w:rsid w:val="004D26D8"/>
    <w:rsid w:val="004D290F"/>
    <w:rsid w:val="004D2DED"/>
    <w:rsid w:val="004D2E45"/>
    <w:rsid w:val="004D3502"/>
    <w:rsid w:val="004D37A1"/>
    <w:rsid w:val="004D3A05"/>
    <w:rsid w:val="004D439C"/>
    <w:rsid w:val="004D497D"/>
    <w:rsid w:val="004D4C48"/>
    <w:rsid w:val="004D53AC"/>
    <w:rsid w:val="004D5C94"/>
    <w:rsid w:val="004D640C"/>
    <w:rsid w:val="004D6581"/>
    <w:rsid w:val="004D67F9"/>
    <w:rsid w:val="004D69B4"/>
    <w:rsid w:val="004D715C"/>
    <w:rsid w:val="004D7989"/>
    <w:rsid w:val="004D7B8D"/>
    <w:rsid w:val="004D7C30"/>
    <w:rsid w:val="004D7CD2"/>
    <w:rsid w:val="004D7D8A"/>
    <w:rsid w:val="004E00A3"/>
    <w:rsid w:val="004E0623"/>
    <w:rsid w:val="004E08B4"/>
    <w:rsid w:val="004E0A68"/>
    <w:rsid w:val="004E0B66"/>
    <w:rsid w:val="004E0E42"/>
    <w:rsid w:val="004E1024"/>
    <w:rsid w:val="004E1230"/>
    <w:rsid w:val="004E14A4"/>
    <w:rsid w:val="004E173E"/>
    <w:rsid w:val="004E1E76"/>
    <w:rsid w:val="004E23FC"/>
    <w:rsid w:val="004E2DD1"/>
    <w:rsid w:val="004E2F97"/>
    <w:rsid w:val="004E36D1"/>
    <w:rsid w:val="004E385F"/>
    <w:rsid w:val="004E38D7"/>
    <w:rsid w:val="004E3A1A"/>
    <w:rsid w:val="004E3F02"/>
    <w:rsid w:val="004E4111"/>
    <w:rsid w:val="004E4285"/>
    <w:rsid w:val="004E4AFF"/>
    <w:rsid w:val="004E5069"/>
    <w:rsid w:val="004E5634"/>
    <w:rsid w:val="004E5735"/>
    <w:rsid w:val="004E57B0"/>
    <w:rsid w:val="004E636D"/>
    <w:rsid w:val="004E6542"/>
    <w:rsid w:val="004E678D"/>
    <w:rsid w:val="004E6F84"/>
    <w:rsid w:val="004E7092"/>
    <w:rsid w:val="004E7D75"/>
    <w:rsid w:val="004E7F54"/>
    <w:rsid w:val="004E7F67"/>
    <w:rsid w:val="004F01B1"/>
    <w:rsid w:val="004F0684"/>
    <w:rsid w:val="004F075B"/>
    <w:rsid w:val="004F0966"/>
    <w:rsid w:val="004F0A00"/>
    <w:rsid w:val="004F0C0D"/>
    <w:rsid w:val="004F11EA"/>
    <w:rsid w:val="004F1A04"/>
    <w:rsid w:val="004F1BD4"/>
    <w:rsid w:val="004F1FA2"/>
    <w:rsid w:val="004F2436"/>
    <w:rsid w:val="004F26CA"/>
    <w:rsid w:val="004F2886"/>
    <w:rsid w:val="004F298E"/>
    <w:rsid w:val="004F29A9"/>
    <w:rsid w:val="004F2B9D"/>
    <w:rsid w:val="004F2DD2"/>
    <w:rsid w:val="004F31EC"/>
    <w:rsid w:val="004F3989"/>
    <w:rsid w:val="004F3AFA"/>
    <w:rsid w:val="004F3E6E"/>
    <w:rsid w:val="004F3EA0"/>
    <w:rsid w:val="004F402B"/>
    <w:rsid w:val="004F419B"/>
    <w:rsid w:val="004F444B"/>
    <w:rsid w:val="004F4518"/>
    <w:rsid w:val="004F47DE"/>
    <w:rsid w:val="004F4D91"/>
    <w:rsid w:val="004F4EA1"/>
    <w:rsid w:val="004F4EF2"/>
    <w:rsid w:val="004F5297"/>
    <w:rsid w:val="004F53AC"/>
    <w:rsid w:val="004F5CA2"/>
    <w:rsid w:val="004F6098"/>
    <w:rsid w:val="004F6397"/>
    <w:rsid w:val="004F6528"/>
    <w:rsid w:val="004F6745"/>
    <w:rsid w:val="004F69B7"/>
    <w:rsid w:val="004F6B45"/>
    <w:rsid w:val="004F6E93"/>
    <w:rsid w:val="004F72A5"/>
    <w:rsid w:val="004F760C"/>
    <w:rsid w:val="004F7834"/>
    <w:rsid w:val="004F79BB"/>
    <w:rsid w:val="004F7C41"/>
    <w:rsid w:val="004F7F1F"/>
    <w:rsid w:val="00500202"/>
    <w:rsid w:val="0050037F"/>
    <w:rsid w:val="00500568"/>
    <w:rsid w:val="005005C8"/>
    <w:rsid w:val="00500725"/>
    <w:rsid w:val="00500C9E"/>
    <w:rsid w:val="00500E98"/>
    <w:rsid w:val="00501300"/>
    <w:rsid w:val="00501313"/>
    <w:rsid w:val="0050135C"/>
    <w:rsid w:val="00501383"/>
    <w:rsid w:val="00501742"/>
    <w:rsid w:val="00501897"/>
    <w:rsid w:val="00501DA8"/>
    <w:rsid w:val="00501DCF"/>
    <w:rsid w:val="00501E7B"/>
    <w:rsid w:val="00502228"/>
    <w:rsid w:val="005023DC"/>
    <w:rsid w:val="00502560"/>
    <w:rsid w:val="0050276C"/>
    <w:rsid w:val="00502BA1"/>
    <w:rsid w:val="00502D82"/>
    <w:rsid w:val="00503127"/>
    <w:rsid w:val="00503295"/>
    <w:rsid w:val="005040F2"/>
    <w:rsid w:val="0050467C"/>
    <w:rsid w:val="005046F6"/>
    <w:rsid w:val="005048F9"/>
    <w:rsid w:val="00504DAE"/>
    <w:rsid w:val="00504E44"/>
    <w:rsid w:val="005050A8"/>
    <w:rsid w:val="005056D9"/>
    <w:rsid w:val="0050585D"/>
    <w:rsid w:val="00505880"/>
    <w:rsid w:val="00505AED"/>
    <w:rsid w:val="00505B60"/>
    <w:rsid w:val="00506C76"/>
    <w:rsid w:val="00506FAD"/>
    <w:rsid w:val="005070CD"/>
    <w:rsid w:val="0050727D"/>
    <w:rsid w:val="005072FB"/>
    <w:rsid w:val="00507462"/>
    <w:rsid w:val="00507530"/>
    <w:rsid w:val="00507CF5"/>
    <w:rsid w:val="00507D4E"/>
    <w:rsid w:val="00507E7E"/>
    <w:rsid w:val="005107EB"/>
    <w:rsid w:val="00510ACD"/>
    <w:rsid w:val="00510C03"/>
    <w:rsid w:val="00510FF0"/>
    <w:rsid w:val="005115C5"/>
    <w:rsid w:val="00511AC4"/>
    <w:rsid w:val="00511C78"/>
    <w:rsid w:val="00512083"/>
    <w:rsid w:val="00512227"/>
    <w:rsid w:val="00512380"/>
    <w:rsid w:val="005126E4"/>
    <w:rsid w:val="005126F9"/>
    <w:rsid w:val="00512C8A"/>
    <w:rsid w:val="00512C9B"/>
    <w:rsid w:val="00512FDF"/>
    <w:rsid w:val="005130AB"/>
    <w:rsid w:val="005137F0"/>
    <w:rsid w:val="00513B89"/>
    <w:rsid w:val="0051417A"/>
    <w:rsid w:val="00514815"/>
    <w:rsid w:val="00514848"/>
    <w:rsid w:val="00514A9D"/>
    <w:rsid w:val="00514C92"/>
    <w:rsid w:val="0051574E"/>
    <w:rsid w:val="0051588A"/>
    <w:rsid w:val="00515AC8"/>
    <w:rsid w:val="00515C61"/>
    <w:rsid w:val="00516056"/>
    <w:rsid w:val="00516680"/>
    <w:rsid w:val="0051694B"/>
    <w:rsid w:val="00516C94"/>
    <w:rsid w:val="00516E34"/>
    <w:rsid w:val="00516F35"/>
    <w:rsid w:val="00516F6D"/>
    <w:rsid w:val="00517089"/>
    <w:rsid w:val="005178D5"/>
    <w:rsid w:val="00517A1E"/>
    <w:rsid w:val="00517AAB"/>
    <w:rsid w:val="00517CCA"/>
    <w:rsid w:val="005204F3"/>
    <w:rsid w:val="00520692"/>
    <w:rsid w:val="0052082B"/>
    <w:rsid w:val="00520926"/>
    <w:rsid w:val="00520E32"/>
    <w:rsid w:val="00521117"/>
    <w:rsid w:val="00521419"/>
    <w:rsid w:val="00521449"/>
    <w:rsid w:val="00521745"/>
    <w:rsid w:val="005217C0"/>
    <w:rsid w:val="00521861"/>
    <w:rsid w:val="005220D6"/>
    <w:rsid w:val="0052273E"/>
    <w:rsid w:val="00522F9A"/>
    <w:rsid w:val="005230C3"/>
    <w:rsid w:val="0052340C"/>
    <w:rsid w:val="0052357C"/>
    <w:rsid w:val="00523956"/>
    <w:rsid w:val="00523CAB"/>
    <w:rsid w:val="00523FAC"/>
    <w:rsid w:val="0052423E"/>
    <w:rsid w:val="005245A2"/>
    <w:rsid w:val="005246D4"/>
    <w:rsid w:val="0052472C"/>
    <w:rsid w:val="00524A89"/>
    <w:rsid w:val="005252CC"/>
    <w:rsid w:val="005254CC"/>
    <w:rsid w:val="0052555D"/>
    <w:rsid w:val="005255F2"/>
    <w:rsid w:val="00525636"/>
    <w:rsid w:val="005256DD"/>
    <w:rsid w:val="00525FD5"/>
    <w:rsid w:val="00526021"/>
    <w:rsid w:val="0052607E"/>
    <w:rsid w:val="005264B5"/>
    <w:rsid w:val="0052676E"/>
    <w:rsid w:val="00527115"/>
    <w:rsid w:val="005275F2"/>
    <w:rsid w:val="00527A07"/>
    <w:rsid w:val="00527E60"/>
    <w:rsid w:val="0053000B"/>
    <w:rsid w:val="00530191"/>
    <w:rsid w:val="00530AC7"/>
    <w:rsid w:val="00530CE0"/>
    <w:rsid w:val="00530DE8"/>
    <w:rsid w:val="00530F9F"/>
    <w:rsid w:val="00531101"/>
    <w:rsid w:val="00531149"/>
    <w:rsid w:val="00531430"/>
    <w:rsid w:val="00531919"/>
    <w:rsid w:val="00531BC6"/>
    <w:rsid w:val="00532187"/>
    <w:rsid w:val="005325D9"/>
    <w:rsid w:val="00532644"/>
    <w:rsid w:val="00532974"/>
    <w:rsid w:val="00532F9A"/>
    <w:rsid w:val="005331A5"/>
    <w:rsid w:val="0053334C"/>
    <w:rsid w:val="00533371"/>
    <w:rsid w:val="00533414"/>
    <w:rsid w:val="005339B1"/>
    <w:rsid w:val="005341AA"/>
    <w:rsid w:val="0053435F"/>
    <w:rsid w:val="0053477E"/>
    <w:rsid w:val="005349CD"/>
    <w:rsid w:val="00535170"/>
    <w:rsid w:val="0053520D"/>
    <w:rsid w:val="00535513"/>
    <w:rsid w:val="005358B2"/>
    <w:rsid w:val="00535A8C"/>
    <w:rsid w:val="00535AE1"/>
    <w:rsid w:val="00535C35"/>
    <w:rsid w:val="00536255"/>
    <w:rsid w:val="00536365"/>
    <w:rsid w:val="0053640E"/>
    <w:rsid w:val="0053649C"/>
    <w:rsid w:val="005366B9"/>
    <w:rsid w:val="005369C1"/>
    <w:rsid w:val="00536BD7"/>
    <w:rsid w:val="00536DE0"/>
    <w:rsid w:val="00537015"/>
    <w:rsid w:val="00537138"/>
    <w:rsid w:val="00537177"/>
    <w:rsid w:val="005372C9"/>
    <w:rsid w:val="005374A3"/>
    <w:rsid w:val="005374C3"/>
    <w:rsid w:val="00537577"/>
    <w:rsid w:val="0053796A"/>
    <w:rsid w:val="00537BE6"/>
    <w:rsid w:val="00540509"/>
    <w:rsid w:val="0054053A"/>
    <w:rsid w:val="00540B54"/>
    <w:rsid w:val="00540E5D"/>
    <w:rsid w:val="00541000"/>
    <w:rsid w:val="00541674"/>
    <w:rsid w:val="00541894"/>
    <w:rsid w:val="005418EE"/>
    <w:rsid w:val="00541A07"/>
    <w:rsid w:val="00541E39"/>
    <w:rsid w:val="0054236F"/>
    <w:rsid w:val="00542A75"/>
    <w:rsid w:val="00542C2C"/>
    <w:rsid w:val="00542D45"/>
    <w:rsid w:val="00542E32"/>
    <w:rsid w:val="00542ECA"/>
    <w:rsid w:val="00542F5F"/>
    <w:rsid w:val="00543104"/>
    <w:rsid w:val="0054322B"/>
    <w:rsid w:val="00543A3F"/>
    <w:rsid w:val="00543BDB"/>
    <w:rsid w:val="00544103"/>
    <w:rsid w:val="0054450E"/>
    <w:rsid w:val="00544685"/>
    <w:rsid w:val="005447B3"/>
    <w:rsid w:val="0054495C"/>
    <w:rsid w:val="00544AC1"/>
    <w:rsid w:val="00544D90"/>
    <w:rsid w:val="00544F17"/>
    <w:rsid w:val="00544F86"/>
    <w:rsid w:val="00545599"/>
    <w:rsid w:val="0054593A"/>
    <w:rsid w:val="00545A48"/>
    <w:rsid w:val="00546369"/>
    <w:rsid w:val="0054659E"/>
    <w:rsid w:val="0054665E"/>
    <w:rsid w:val="00546753"/>
    <w:rsid w:val="005467ED"/>
    <w:rsid w:val="00546813"/>
    <w:rsid w:val="005468BC"/>
    <w:rsid w:val="005469DD"/>
    <w:rsid w:val="00546DA2"/>
    <w:rsid w:val="00547671"/>
    <w:rsid w:val="005478F2"/>
    <w:rsid w:val="00547AB6"/>
    <w:rsid w:val="00547F2A"/>
    <w:rsid w:val="005505C9"/>
    <w:rsid w:val="0055082E"/>
    <w:rsid w:val="00550941"/>
    <w:rsid w:val="00550E1C"/>
    <w:rsid w:val="00550EDA"/>
    <w:rsid w:val="00550F60"/>
    <w:rsid w:val="005511AF"/>
    <w:rsid w:val="005519BB"/>
    <w:rsid w:val="00551C5A"/>
    <w:rsid w:val="00551CC8"/>
    <w:rsid w:val="00551E8F"/>
    <w:rsid w:val="00552075"/>
    <w:rsid w:val="00552570"/>
    <w:rsid w:val="005528E4"/>
    <w:rsid w:val="00553280"/>
    <w:rsid w:val="00553377"/>
    <w:rsid w:val="00553413"/>
    <w:rsid w:val="00553943"/>
    <w:rsid w:val="00553D31"/>
    <w:rsid w:val="0055406E"/>
    <w:rsid w:val="00554341"/>
    <w:rsid w:val="00554617"/>
    <w:rsid w:val="0055467B"/>
    <w:rsid w:val="005549A9"/>
    <w:rsid w:val="00554C0C"/>
    <w:rsid w:val="00554C29"/>
    <w:rsid w:val="0055516F"/>
    <w:rsid w:val="00555840"/>
    <w:rsid w:val="00555A02"/>
    <w:rsid w:val="00555C37"/>
    <w:rsid w:val="00556140"/>
    <w:rsid w:val="0055627E"/>
    <w:rsid w:val="00556555"/>
    <w:rsid w:val="0055672C"/>
    <w:rsid w:val="00556B24"/>
    <w:rsid w:val="00556DA1"/>
    <w:rsid w:val="00556FE8"/>
    <w:rsid w:val="005571C1"/>
    <w:rsid w:val="005571DC"/>
    <w:rsid w:val="005572B5"/>
    <w:rsid w:val="005574DC"/>
    <w:rsid w:val="005574F9"/>
    <w:rsid w:val="00557553"/>
    <w:rsid w:val="005575C1"/>
    <w:rsid w:val="00557718"/>
    <w:rsid w:val="005578A4"/>
    <w:rsid w:val="00557EB5"/>
    <w:rsid w:val="00557FD7"/>
    <w:rsid w:val="0056012E"/>
    <w:rsid w:val="00560187"/>
    <w:rsid w:val="00560812"/>
    <w:rsid w:val="00560B6E"/>
    <w:rsid w:val="005621C3"/>
    <w:rsid w:val="005625D1"/>
    <w:rsid w:val="00562DAB"/>
    <w:rsid w:val="00562E2C"/>
    <w:rsid w:val="005634BF"/>
    <w:rsid w:val="00563B3E"/>
    <w:rsid w:val="00563CA3"/>
    <w:rsid w:val="0056425D"/>
    <w:rsid w:val="0056454F"/>
    <w:rsid w:val="0056467A"/>
    <w:rsid w:val="0056478C"/>
    <w:rsid w:val="00564E7A"/>
    <w:rsid w:val="00565023"/>
    <w:rsid w:val="005651F8"/>
    <w:rsid w:val="00565215"/>
    <w:rsid w:val="00565970"/>
    <w:rsid w:val="00565992"/>
    <w:rsid w:val="00565C24"/>
    <w:rsid w:val="00566020"/>
    <w:rsid w:val="0056602B"/>
    <w:rsid w:val="00566059"/>
    <w:rsid w:val="0056633E"/>
    <w:rsid w:val="005665CF"/>
    <w:rsid w:val="00566713"/>
    <w:rsid w:val="00566852"/>
    <w:rsid w:val="0056686E"/>
    <w:rsid w:val="00566D08"/>
    <w:rsid w:val="00566DE1"/>
    <w:rsid w:val="00566E3F"/>
    <w:rsid w:val="0056766B"/>
    <w:rsid w:val="0056780B"/>
    <w:rsid w:val="00567C8C"/>
    <w:rsid w:val="00567C90"/>
    <w:rsid w:val="00567EA2"/>
    <w:rsid w:val="00567F31"/>
    <w:rsid w:val="00570104"/>
    <w:rsid w:val="00570327"/>
    <w:rsid w:val="00570EF5"/>
    <w:rsid w:val="0057112A"/>
    <w:rsid w:val="005712CD"/>
    <w:rsid w:val="005718A1"/>
    <w:rsid w:val="00572382"/>
    <w:rsid w:val="005725D7"/>
    <w:rsid w:val="00572BB5"/>
    <w:rsid w:val="005731E2"/>
    <w:rsid w:val="00573354"/>
    <w:rsid w:val="005733B0"/>
    <w:rsid w:val="005735F4"/>
    <w:rsid w:val="00573699"/>
    <w:rsid w:val="0057372A"/>
    <w:rsid w:val="00573EE5"/>
    <w:rsid w:val="00574139"/>
    <w:rsid w:val="0057439A"/>
    <w:rsid w:val="00574524"/>
    <w:rsid w:val="00574930"/>
    <w:rsid w:val="00574D4F"/>
    <w:rsid w:val="005750FE"/>
    <w:rsid w:val="005751E2"/>
    <w:rsid w:val="005755A2"/>
    <w:rsid w:val="00575638"/>
    <w:rsid w:val="0057566E"/>
    <w:rsid w:val="005758EA"/>
    <w:rsid w:val="00575D09"/>
    <w:rsid w:val="00575EBB"/>
    <w:rsid w:val="005760F0"/>
    <w:rsid w:val="005765F3"/>
    <w:rsid w:val="00576B47"/>
    <w:rsid w:val="00576E67"/>
    <w:rsid w:val="00577202"/>
    <w:rsid w:val="0057730B"/>
    <w:rsid w:val="005773A7"/>
    <w:rsid w:val="00577497"/>
    <w:rsid w:val="00577D54"/>
    <w:rsid w:val="00577D8C"/>
    <w:rsid w:val="00580971"/>
    <w:rsid w:val="0058099B"/>
    <w:rsid w:val="005809BA"/>
    <w:rsid w:val="00580EC8"/>
    <w:rsid w:val="0058108C"/>
    <w:rsid w:val="005813A0"/>
    <w:rsid w:val="00581409"/>
    <w:rsid w:val="00581798"/>
    <w:rsid w:val="005817F0"/>
    <w:rsid w:val="00581A18"/>
    <w:rsid w:val="00581AA6"/>
    <w:rsid w:val="00581E3D"/>
    <w:rsid w:val="005827F3"/>
    <w:rsid w:val="00582B01"/>
    <w:rsid w:val="00582B18"/>
    <w:rsid w:val="00582B56"/>
    <w:rsid w:val="00582B7D"/>
    <w:rsid w:val="00582E32"/>
    <w:rsid w:val="00582F99"/>
    <w:rsid w:val="005831BC"/>
    <w:rsid w:val="00583241"/>
    <w:rsid w:val="00583245"/>
    <w:rsid w:val="005837D7"/>
    <w:rsid w:val="0058386C"/>
    <w:rsid w:val="0058394A"/>
    <w:rsid w:val="0058404F"/>
    <w:rsid w:val="00584743"/>
    <w:rsid w:val="00584D94"/>
    <w:rsid w:val="00584F6E"/>
    <w:rsid w:val="005854DB"/>
    <w:rsid w:val="005857A1"/>
    <w:rsid w:val="00585EFC"/>
    <w:rsid w:val="005861F5"/>
    <w:rsid w:val="00586448"/>
    <w:rsid w:val="005866BF"/>
    <w:rsid w:val="00586936"/>
    <w:rsid w:val="0058710E"/>
    <w:rsid w:val="0058742A"/>
    <w:rsid w:val="00587590"/>
    <w:rsid w:val="00587591"/>
    <w:rsid w:val="0058760A"/>
    <w:rsid w:val="0058790C"/>
    <w:rsid w:val="00587971"/>
    <w:rsid w:val="00587B00"/>
    <w:rsid w:val="00587DB7"/>
    <w:rsid w:val="00590769"/>
    <w:rsid w:val="00590AF1"/>
    <w:rsid w:val="00590C13"/>
    <w:rsid w:val="00590C5C"/>
    <w:rsid w:val="00590D80"/>
    <w:rsid w:val="00591198"/>
    <w:rsid w:val="00591284"/>
    <w:rsid w:val="00591771"/>
    <w:rsid w:val="005918CE"/>
    <w:rsid w:val="0059190C"/>
    <w:rsid w:val="00591C40"/>
    <w:rsid w:val="00592399"/>
    <w:rsid w:val="0059296C"/>
    <w:rsid w:val="00592B56"/>
    <w:rsid w:val="00593671"/>
    <w:rsid w:val="00593A00"/>
    <w:rsid w:val="00593FDC"/>
    <w:rsid w:val="005940EB"/>
    <w:rsid w:val="005941C7"/>
    <w:rsid w:val="0059456C"/>
    <w:rsid w:val="00595308"/>
    <w:rsid w:val="005954A7"/>
    <w:rsid w:val="005959AF"/>
    <w:rsid w:val="00595B9C"/>
    <w:rsid w:val="00595BCB"/>
    <w:rsid w:val="00595D57"/>
    <w:rsid w:val="00595DF2"/>
    <w:rsid w:val="005963C4"/>
    <w:rsid w:val="0059648D"/>
    <w:rsid w:val="005967F8"/>
    <w:rsid w:val="00596858"/>
    <w:rsid w:val="00596927"/>
    <w:rsid w:val="00596D1C"/>
    <w:rsid w:val="00596D54"/>
    <w:rsid w:val="00596FA2"/>
    <w:rsid w:val="00597549"/>
    <w:rsid w:val="00597674"/>
    <w:rsid w:val="00597884"/>
    <w:rsid w:val="00597EC7"/>
    <w:rsid w:val="005A002A"/>
    <w:rsid w:val="005A0212"/>
    <w:rsid w:val="005A023D"/>
    <w:rsid w:val="005A0479"/>
    <w:rsid w:val="005A079E"/>
    <w:rsid w:val="005A098A"/>
    <w:rsid w:val="005A0A75"/>
    <w:rsid w:val="005A0F7E"/>
    <w:rsid w:val="005A128F"/>
    <w:rsid w:val="005A12ED"/>
    <w:rsid w:val="005A1BCC"/>
    <w:rsid w:val="005A201E"/>
    <w:rsid w:val="005A2046"/>
    <w:rsid w:val="005A229B"/>
    <w:rsid w:val="005A24D7"/>
    <w:rsid w:val="005A2573"/>
    <w:rsid w:val="005A25DE"/>
    <w:rsid w:val="005A269B"/>
    <w:rsid w:val="005A2B52"/>
    <w:rsid w:val="005A2B76"/>
    <w:rsid w:val="005A2C84"/>
    <w:rsid w:val="005A32DD"/>
    <w:rsid w:val="005A33CD"/>
    <w:rsid w:val="005A33FA"/>
    <w:rsid w:val="005A3421"/>
    <w:rsid w:val="005A392A"/>
    <w:rsid w:val="005A3A50"/>
    <w:rsid w:val="005A3C44"/>
    <w:rsid w:val="005A3C83"/>
    <w:rsid w:val="005A3CFC"/>
    <w:rsid w:val="005A3E4B"/>
    <w:rsid w:val="005A3EBF"/>
    <w:rsid w:val="005A3FF5"/>
    <w:rsid w:val="005A4005"/>
    <w:rsid w:val="005A45AB"/>
    <w:rsid w:val="005A48B1"/>
    <w:rsid w:val="005A4BEE"/>
    <w:rsid w:val="005A4DC0"/>
    <w:rsid w:val="005A522B"/>
    <w:rsid w:val="005A55D7"/>
    <w:rsid w:val="005A5B48"/>
    <w:rsid w:val="005A5D58"/>
    <w:rsid w:val="005A5D6E"/>
    <w:rsid w:val="005A6226"/>
    <w:rsid w:val="005A6407"/>
    <w:rsid w:val="005A641F"/>
    <w:rsid w:val="005A6DA4"/>
    <w:rsid w:val="005A7284"/>
    <w:rsid w:val="005A73F8"/>
    <w:rsid w:val="005A747A"/>
    <w:rsid w:val="005A75FD"/>
    <w:rsid w:val="005A794E"/>
    <w:rsid w:val="005B0349"/>
    <w:rsid w:val="005B04AD"/>
    <w:rsid w:val="005B0C05"/>
    <w:rsid w:val="005B0FCF"/>
    <w:rsid w:val="005B0FEE"/>
    <w:rsid w:val="005B1267"/>
    <w:rsid w:val="005B12D5"/>
    <w:rsid w:val="005B1379"/>
    <w:rsid w:val="005B160A"/>
    <w:rsid w:val="005B17EB"/>
    <w:rsid w:val="005B1935"/>
    <w:rsid w:val="005B1A3B"/>
    <w:rsid w:val="005B1BB2"/>
    <w:rsid w:val="005B1C83"/>
    <w:rsid w:val="005B218D"/>
    <w:rsid w:val="005B2238"/>
    <w:rsid w:val="005B2242"/>
    <w:rsid w:val="005B2368"/>
    <w:rsid w:val="005B2569"/>
    <w:rsid w:val="005B2665"/>
    <w:rsid w:val="005B2E8F"/>
    <w:rsid w:val="005B312A"/>
    <w:rsid w:val="005B386A"/>
    <w:rsid w:val="005B38B4"/>
    <w:rsid w:val="005B398E"/>
    <w:rsid w:val="005B39A9"/>
    <w:rsid w:val="005B3E44"/>
    <w:rsid w:val="005B3F2A"/>
    <w:rsid w:val="005B3F3B"/>
    <w:rsid w:val="005B4052"/>
    <w:rsid w:val="005B4128"/>
    <w:rsid w:val="005B4208"/>
    <w:rsid w:val="005B434C"/>
    <w:rsid w:val="005B4EF6"/>
    <w:rsid w:val="005B5018"/>
    <w:rsid w:val="005B5499"/>
    <w:rsid w:val="005B56CA"/>
    <w:rsid w:val="005B5808"/>
    <w:rsid w:val="005B5B6C"/>
    <w:rsid w:val="005B5BDD"/>
    <w:rsid w:val="005B5E35"/>
    <w:rsid w:val="005B5FE1"/>
    <w:rsid w:val="005B668C"/>
    <w:rsid w:val="005B68BA"/>
    <w:rsid w:val="005B6E9D"/>
    <w:rsid w:val="005B70C6"/>
    <w:rsid w:val="005B7314"/>
    <w:rsid w:val="005B745B"/>
    <w:rsid w:val="005B77F3"/>
    <w:rsid w:val="005B7BDD"/>
    <w:rsid w:val="005C0553"/>
    <w:rsid w:val="005C0DAA"/>
    <w:rsid w:val="005C0E91"/>
    <w:rsid w:val="005C123A"/>
    <w:rsid w:val="005C13E3"/>
    <w:rsid w:val="005C140A"/>
    <w:rsid w:val="005C1437"/>
    <w:rsid w:val="005C28DB"/>
    <w:rsid w:val="005C2B05"/>
    <w:rsid w:val="005C2CC2"/>
    <w:rsid w:val="005C2D8B"/>
    <w:rsid w:val="005C2DB8"/>
    <w:rsid w:val="005C32BD"/>
    <w:rsid w:val="005C33E6"/>
    <w:rsid w:val="005C3A8D"/>
    <w:rsid w:val="005C3C67"/>
    <w:rsid w:val="005C4558"/>
    <w:rsid w:val="005C46DF"/>
    <w:rsid w:val="005C48E4"/>
    <w:rsid w:val="005C4C15"/>
    <w:rsid w:val="005C4C84"/>
    <w:rsid w:val="005C51B8"/>
    <w:rsid w:val="005C5D23"/>
    <w:rsid w:val="005C64D5"/>
    <w:rsid w:val="005C6579"/>
    <w:rsid w:val="005C751A"/>
    <w:rsid w:val="005C76DF"/>
    <w:rsid w:val="005C7786"/>
    <w:rsid w:val="005C7843"/>
    <w:rsid w:val="005C7A73"/>
    <w:rsid w:val="005C7DF1"/>
    <w:rsid w:val="005C7F8F"/>
    <w:rsid w:val="005C7FB9"/>
    <w:rsid w:val="005D0DB7"/>
    <w:rsid w:val="005D0F72"/>
    <w:rsid w:val="005D14EA"/>
    <w:rsid w:val="005D15CD"/>
    <w:rsid w:val="005D1830"/>
    <w:rsid w:val="005D1876"/>
    <w:rsid w:val="005D1B33"/>
    <w:rsid w:val="005D1B43"/>
    <w:rsid w:val="005D1DC6"/>
    <w:rsid w:val="005D207C"/>
    <w:rsid w:val="005D2653"/>
    <w:rsid w:val="005D2C7C"/>
    <w:rsid w:val="005D2E4B"/>
    <w:rsid w:val="005D2FFB"/>
    <w:rsid w:val="005D3019"/>
    <w:rsid w:val="005D3056"/>
    <w:rsid w:val="005D32F9"/>
    <w:rsid w:val="005D3AC8"/>
    <w:rsid w:val="005D3B0F"/>
    <w:rsid w:val="005D3D4B"/>
    <w:rsid w:val="005D41D6"/>
    <w:rsid w:val="005D4415"/>
    <w:rsid w:val="005D4A18"/>
    <w:rsid w:val="005D4A70"/>
    <w:rsid w:val="005D4C7C"/>
    <w:rsid w:val="005D4FBC"/>
    <w:rsid w:val="005D508A"/>
    <w:rsid w:val="005D551F"/>
    <w:rsid w:val="005D583D"/>
    <w:rsid w:val="005D589F"/>
    <w:rsid w:val="005D5E97"/>
    <w:rsid w:val="005D6D72"/>
    <w:rsid w:val="005D6EC0"/>
    <w:rsid w:val="005D764A"/>
    <w:rsid w:val="005E00BF"/>
    <w:rsid w:val="005E0170"/>
    <w:rsid w:val="005E0354"/>
    <w:rsid w:val="005E04E8"/>
    <w:rsid w:val="005E0538"/>
    <w:rsid w:val="005E079D"/>
    <w:rsid w:val="005E0C9D"/>
    <w:rsid w:val="005E13A7"/>
    <w:rsid w:val="005E16EE"/>
    <w:rsid w:val="005E17D9"/>
    <w:rsid w:val="005E1BD3"/>
    <w:rsid w:val="005E1F33"/>
    <w:rsid w:val="005E250F"/>
    <w:rsid w:val="005E28C3"/>
    <w:rsid w:val="005E2D6D"/>
    <w:rsid w:val="005E360E"/>
    <w:rsid w:val="005E3AF0"/>
    <w:rsid w:val="005E400B"/>
    <w:rsid w:val="005E43F2"/>
    <w:rsid w:val="005E4449"/>
    <w:rsid w:val="005E449C"/>
    <w:rsid w:val="005E4FBB"/>
    <w:rsid w:val="005E5412"/>
    <w:rsid w:val="005E56A9"/>
    <w:rsid w:val="005E595D"/>
    <w:rsid w:val="005E5A3A"/>
    <w:rsid w:val="005E5C21"/>
    <w:rsid w:val="005E5CC2"/>
    <w:rsid w:val="005E6106"/>
    <w:rsid w:val="005E62B7"/>
    <w:rsid w:val="005E638B"/>
    <w:rsid w:val="005E63ED"/>
    <w:rsid w:val="005E6B1F"/>
    <w:rsid w:val="005E6C46"/>
    <w:rsid w:val="005E7588"/>
    <w:rsid w:val="005E7BA5"/>
    <w:rsid w:val="005E7F3F"/>
    <w:rsid w:val="005F0447"/>
    <w:rsid w:val="005F0E9B"/>
    <w:rsid w:val="005F1055"/>
    <w:rsid w:val="005F15D1"/>
    <w:rsid w:val="005F1740"/>
    <w:rsid w:val="005F1BBE"/>
    <w:rsid w:val="005F1F0C"/>
    <w:rsid w:val="005F2018"/>
    <w:rsid w:val="005F2164"/>
    <w:rsid w:val="005F22FA"/>
    <w:rsid w:val="005F2432"/>
    <w:rsid w:val="005F26D6"/>
    <w:rsid w:val="005F2D7E"/>
    <w:rsid w:val="005F2E51"/>
    <w:rsid w:val="005F3150"/>
    <w:rsid w:val="005F37D4"/>
    <w:rsid w:val="005F3B75"/>
    <w:rsid w:val="005F3BC9"/>
    <w:rsid w:val="005F3ED1"/>
    <w:rsid w:val="005F4069"/>
    <w:rsid w:val="005F41C7"/>
    <w:rsid w:val="005F44A2"/>
    <w:rsid w:val="005F46FC"/>
    <w:rsid w:val="005F49EC"/>
    <w:rsid w:val="005F4AD7"/>
    <w:rsid w:val="005F4C58"/>
    <w:rsid w:val="005F4C7B"/>
    <w:rsid w:val="005F5AFE"/>
    <w:rsid w:val="005F5F8C"/>
    <w:rsid w:val="005F62EB"/>
    <w:rsid w:val="005F697D"/>
    <w:rsid w:val="005F6982"/>
    <w:rsid w:val="005F6ED6"/>
    <w:rsid w:val="005F7102"/>
    <w:rsid w:val="005F757C"/>
    <w:rsid w:val="005F7754"/>
    <w:rsid w:val="005F7952"/>
    <w:rsid w:val="005F7B74"/>
    <w:rsid w:val="005F7DE4"/>
    <w:rsid w:val="00600714"/>
    <w:rsid w:val="00600D04"/>
    <w:rsid w:val="00601A4B"/>
    <w:rsid w:val="00602116"/>
    <w:rsid w:val="00602171"/>
    <w:rsid w:val="006023B9"/>
    <w:rsid w:val="006023E9"/>
    <w:rsid w:val="00602441"/>
    <w:rsid w:val="00602533"/>
    <w:rsid w:val="0060319D"/>
    <w:rsid w:val="0060335F"/>
    <w:rsid w:val="00603BE1"/>
    <w:rsid w:val="00603CD7"/>
    <w:rsid w:val="00603CEE"/>
    <w:rsid w:val="006040CB"/>
    <w:rsid w:val="006044D5"/>
    <w:rsid w:val="00604532"/>
    <w:rsid w:val="00604AA1"/>
    <w:rsid w:val="00605284"/>
    <w:rsid w:val="0060551E"/>
    <w:rsid w:val="00605D73"/>
    <w:rsid w:val="00606724"/>
    <w:rsid w:val="00606890"/>
    <w:rsid w:val="00606FCB"/>
    <w:rsid w:val="00607018"/>
    <w:rsid w:val="006074A5"/>
    <w:rsid w:val="0060754D"/>
    <w:rsid w:val="00607E6C"/>
    <w:rsid w:val="0061027F"/>
    <w:rsid w:val="00610B4E"/>
    <w:rsid w:val="00610D73"/>
    <w:rsid w:val="0061134F"/>
    <w:rsid w:val="00611540"/>
    <w:rsid w:val="0061187E"/>
    <w:rsid w:val="00611E3B"/>
    <w:rsid w:val="006121FC"/>
    <w:rsid w:val="006122A8"/>
    <w:rsid w:val="0061230C"/>
    <w:rsid w:val="00612A63"/>
    <w:rsid w:val="00612F7F"/>
    <w:rsid w:val="00612F91"/>
    <w:rsid w:val="00613119"/>
    <w:rsid w:val="00613305"/>
    <w:rsid w:val="0061349A"/>
    <w:rsid w:val="0061398E"/>
    <w:rsid w:val="00613C6A"/>
    <w:rsid w:val="00613FFE"/>
    <w:rsid w:val="006144AF"/>
    <w:rsid w:val="006145E8"/>
    <w:rsid w:val="00614D10"/>
    <w:rsid w:val="00614DCB"/>
    <w:rsid w:val="00615486"/>
    <w:rsid w:val="00615839"/>
    <w:rsid w:val="006159D1"/>
    <w:rsid w:val="00615E2D"/>
    <w:rsid w:val="006160C3"/>
    <w:rsid w:val="006160CB"/>
    <w:rsid w:val="00616C51"/>
    <w:rsid w:val="0061740D"/>
    <w:rsid w:val="00617522"/>
    <w:rsid w:val="006179DA"/>
    <w:rsid w:val="00617C09"/>
    <w:rsid w:val="00617DB9"/>
    <w:rsid w:val="00620113"/>
    <w:rsid w:val="00620181"/>
    <w:rsid w:val="006203C0"/>
    <w:rsid w:val="0062080D"/>
    <w:rsid w:val="00620DDB"/>
    <w:rsid w:val="00620E0D"/>
    <w:rsid w:val="0062148A"/>
    <w:rsid w:val="00621628"/>
    <w:rsid w:val="00621AB5"/>
    <w:rsid w:val="00621DF4"/>
    <w:rsid w:val="00622769"/>
    <w:rsid w:val="00622AFF"/>
    <w:rsid w:val="00622E50"/>
    <w:rsid w:val="00623080"/>
    <w:rsid w:val="006235AB"/>
    <w:rsid w:val="00623683"/>
    <w:rsid w:val="006237B8"/>
    <w:rsid w:val="00623ADB"/>
    <w:rsid w:val="00623B78"/>
    <w:rsid w:val="00623D92"/>
    <w:rsid w:val="00623F3A"/>
    <w:rsid w:val="00624472"/>
    <w:rsid w:val="006247FC"/>
    <w:rsid w:val="00624CB6"/>
    <w:rsid w:val="00624E95"/>
    <w:rsid w:val="006252A1"/>
    <w:rsid w:val="006252BD"/>
    <w:rsid w:val="006255FD"/>
    <w:rsid w:val="006258B9"/>
    <w:rsid w:val="00625AD7"/>
    <w:rsid w:val="00625F5B"/>
    <w:rsid w:val="00625FBC"/>
    <w:rsid w:val="006260A7"/>
    <w:rsid w:val="006262FF"/>
    <w:rsid w:val="006263A1"/>
    <w:rsid w:val="0062658D"/>
    <w:rsid w:val="00626B4D"/>
    <w:rsid w:val="00626EF5"/>
    <w:rsid w:val="00627082"/>
    <w:rsid w:val="00627084"/>
    <w:rsid w:val="00627838"/>
    <w:rsid w:val="00627A52"/>
    <w:rsid w:val="00627AB6"/>
    <w:rsid w:val="00627F99"/>
    <w:rsid w:val="006308E3"/>
    <w:rsid w:val="00630EE1"/>
    <w:rsid w:val="00630F5D"/>
    <w:rsid w:val="0063184F"/>
    <w:rsid w:val="00631864"/>
    <w:rsid w:val="00631BC3"/>
    <w:rsid w:val="00631EC4"/>
    <w:rsid w:val="006325EC"/>
    <w:rsid w:val="00632639"/>
    <w:rsid w:val="00632BF5"/>
    <w:rsid w:val="00632D60"/>
    <w:rsid w:val="00633057"/>
    <w:rsid w:val="0063355B"/>
    <w:rsid w:val="0063364B"/>
    <w:rsid w:val="00633711"/>
    <w:rsid w:val="0063374D"/>
    <w:rsid w:val="00633E51"/>
    <w:rsid w:val="00634176"/>
    <w:rsid w:val="006347AA"/>
    <w:rsid w:val="00634EE4"/>
    <w:rsid w:val="00634F50"/>
    <w:rsid w:val="00635063"/>
    <w:rsid w:val="006356A1"/>
    <w:rsid w:val="006359FD"/>
    <w:rsid w:val="00635A8A"/>
    <w:rsid w:val="00635D74"/>
    <w:rsid w:val="00636055"/>
    <w:rsid w:val="00636579"/>
    <w:rsid w:val="00636C0C"/>
    <w:rsid w:val="006370CE"/>
    <w:rsid w:val="00637F05"/>
    <w:rsid w:val="00640460"/>
    <w:rsid w:val="0064060A"/>
    <w:rsid w:val="006409AE"/>
    <w:rsid w:val="00640BC2"/>
    <w:rsid w:val="00640C1A"/>
    <w:rsid w:val="00640EFA"/>
    <w:rsid w:val="00641694"/>
    <w:rsid w:val="006417DD"/>
    <w:rsid w:val="00641C8B"/>
    <w:rsid w:val="006425C6"/>
    <w:rsid w:val="006426C8"/>
    <w:rsid w:val="00642AD9"/>
    <w:rsid w:val="00642F2D"/>
    <w:rsid w:val="0064311E"/>
    <w:rsid w:val="006431D4"/>
    <w:rsid w:val="00643D31"/>
    <w:rsid w:val="00643DFF"/>
    <w:rsid w:val="00643E73"/>
    <w:rsid w:val="00643F2E"/>
    <w:rsid w:val="00644191"/>
    <w:rsid w:val="006442B1"/>
    <w:rsid w:val="00644738"/>
    <w:rsid w:val="00644870"/>
    <w:rsid w:val="006449C6"/>
    <w:rsid w:val="00644B86"/>
    <w:rsid w:val="00644F25"/>
    <w:rsid w:val="00645087"/>
    <w:rsid w:val="006450B2"/>
    <w:rsid w:val="0064511D"/>
    <w:rsid w:val="0064534A"/>
    <w:rsid w:val="00645504"/>
    <w:rsid w:val="00645869"/>
    <w:rsid w:val="00646166"/>
    <w:rsid w:val="00646251"/>
    <w:rsid w:val="0064640F"/>
    <w:rsid w:val="006464CB"/>
    <w:rsid w:val="0064683D"/>
    <w:rsid w:val="00646967"/>
    <w:rsid w:val="00646AD0"/>
    <w:rsid w:val="00646F1F"/>
    <w:rsid w:val="0064714A"/>
    <w:rsid w:val="00647317"/>
    <w:rsid w:val="00647539"/>
    <w:rsid w:val="00647A91"/>
    <w:rsid w:val="00647B41"/>
    <w:rsid w:val="00647DEC"/>
    <w:rsid w:val="00647ED1"/>
    <w:rsid w:val="00650154"/>
    <w:rsid w:val="006502F5"/>
    <w:rsid w:val="006508C5"/>
    <w:rsid w:val="006509A0"/>
    <w:rsid w:val="00650AFF"/>
    <w:rsid w:val="00650B6A"/>
    <w:rsid w:val="00650E8A"/>
    <w:rsid w:val="00651095"/>
    <w:rsid w:val="006511B5"/>
    <w:rsid w:val="006512F0"/>
    <w:rsid w:val="006513CB"/>
    <w:rsid w:val="006513F2"/>
    <w:rsid w:val="00652129"/>
    <w:rsid w:val="006523D5"/>
    <w:rsid w:val="00652470"/>
    <w:rsid w:val="00652BDC"/>
    <w:rsid w:val="00652E0D"/>
    <w:rsid w:val="006530DA"/>
    <w:rsid w:val="0065342E"/>
    <w:rsid w:val="00653A81"/>
    <w:rsid w:val="00653D48"/>
    <w:rsid w:val="0065477D"/>
    <w:rsid w:val="00654B7B"/>
    <w:rsid w:val="0065539D"/>
    <w:rsid w:val="00655630"/>
    <w:rsid w:val="00655818"/>
    <w:rsid w:val="006558B6"/>
    <w:rsid w:val="00655DE1"/>
    <w:rsid w:val="00655E5D"/>
    <w:rsid w:val="006562E6"/>
    <w:rsid w:val="00656468"/>
    <w:rsid w:val="0065674D"/>
    <w:rsid w:val="006568B3"/>
    <w:rsid w:val="0065696A"/>
    <w:rsid w:val="00656BFC"/>
    <w:rsid w:val="00656DFD"/>
    <w:rsid w:val="00656EED"/>
    <w:rsid w:val="00656F4D"/>
    <w:rsid w:val="00656FD7"/>
    <w:rsid w:val="00656FD9"/>
    <w:rsid w:val="006575F6"/>
    <w:rsid w:val="006576CE"/>
    <w:rsid w:val="0065786E"/>
    <w:rsid w:val="006578A8"/>
    <w:rsid w:val="00657C21"/>
    <w:rsid w:val="00657FBA"/>
    <w:rsid w:val="00660363"/>
    <w:rsid w:val="00660974"/>
    <w:rsid w:val="00661818"/>
    <w:rsid w:val="00662477"/>
    <w:rsid w:val="00662840"/>
    <w:rsid w:val="00662940"/>
    <w:rsid w:val="00662970"/>
    <w:rsid w:val="00663203"/>
    <w:rsid w:val="00663220"/>
    <w:rsid w:val="0066327F"/>
    <w:rsid w:val="006635F1"/>
    <w:rsid w:val="006637EB"/>
    <w:rsid w:val="006638C9"/>
    <w:rsid w:val="006639E4"/>
    <w:rsid w:val="0066402C"/>
    <w:rsid w:val="0066410F"/>
    <w:rsid w:val="006641AF"/>
    <w:rsid w:val="006644DD"/>
    <w:rsid w:val="00664998"/>
    <w:rsid w:val="00664C26"/>
    <w:rsid w:val="00664C37"/>
    <w:rsid w:val="0066501C"/>
    <w:rsid w:val="0066507F"/>
    <w:rsid w:val="006651A2"/>
    <w:rsid w:val="00665802"/>
    <w:rsid w:val="00665D02"/>
    <w:rsid w:val="00665DEB"/>
    <w:rsid w:val="00665E30"/>
    <w:rsid w:val="00665EA8"/>
    <w:rsid w:val="00666C35"/>
    <w:rsid w:val="00666C39"/>
    <w:rsid w:val="00666F6F"/>
    <w:rsid w:val="006675BD"/>
    <w:rsid w:val="00667A4B"/>
    <w:rsid w:val="00667B8F"/>
    <w:rsid w:val="00667F1D"/>
    <w:rsid w:val="00670102"/>
    <w:rsid w:val="00670191"/>
    <w:rsid w:val="006705BF"/>
    <w:rsid w:val="00670779"/>
    <w:rsid w:val="00670987"/>
    <w:rsid w:val="00670ACB"/>
    <w:rsid w:val="00671008"/>
    <w:rsid w:val="00671190"/>
    <w:rsid w:val="006716A2"/>
    <w:rsid w:val="0067176B"/>
    <w:rsid w:val="0067176F"/>
    <w:rsid w:val="00671A3F"/>
    <w:rsid w:val="00671A6D"/>
    <w:rsid w:val="00671D00"/>
    <w:rsid w:val="006720F0"/>
    <w:rsid w:val="006722E8"/>
    <w:rsid w:val="006726D2"/>
    <w:rsid w:val="00672918"/>
    <w:rsid w:val="00672A6F"/>
    <w:rsid w:val="00672C41"/>
    <w:rsid w:val="006731CB"/>
    <w:rsid w:val="0067394F"/>
    <w:rsid w:val="00673B70"/>
    <w:rsid w:val="00673D22"/>
    <w:rsid w:val="00673F46"/>
    <w:rsid w:val="00674A91"/>
    <w:rsid w:val="00674B3F"/>
    <w:rsid w:val="00674F17"/>
    <w:rsid w:val="0067518C"/>
    <w:rsid w:val="006753C7"/>
    <w:rsid w:val="006754E3"/>
    <w:rsid w:val="0067560C"/>
    <w:rsid w:val="00675A62"/>
    <w:rsid w:val="00675B8F"/>
    <w:rsid w:val="00675FAE"/>
    <w:rsid w:val="0067671A"/>
    <w:rsid w:val="00676ABE"/>
    <w:rsid w:val="00676E4D"/>
    <w:rsid w:val="00676FAC"/>
    <w:rsid w:val="006770AF"/>
    <w:rsid w:val="006773C5"/>
    <w:rsid w:val="006778DF"/>
    <w:rsid w:val="00677BC4"/>
    <w:rsid w:val="00677BD3"/>
    <w:rsid w:val="006802F3"/>
    <w:rsid w:val="006807EF"/>
    <w:rsid w:val="006808B5"/>
    <w:rsid w:val="00680B69"/>
    <w:rsid w:val="00680C9D"/>
    <w:rsid w:val="00680ED9"/>
    <w:rsid w:val="006810DF"/>
    <w:rsid w:val="0068123C"/>
    <w:rsid w:val="00681407"/>
    <w:rsid w:val="006818FD"/>
    <w:rsid w:val="00681DF3"/>
    <w:rsid w:val="006824F3"/>
    <w:rsid w:val="006825E1"/>
    <w:rsid w:val="00682697"/>
    <w:rsid w:val="006828D7"/>
    <w:rsid w:val="00682C98"/>
    <w:rsid w:val="00683577"/>
    <w:rsid w:val="00683C1B"/>
    <w:rsid w:val="00684689"/>
    <w:rsid w:val="00684829"/>
    <w:rsid w:val="00684850"/>
    <w:rsid w:val="00684B4C"/>
    <w:rsid w:val="00684DDA"/>
    <w:rsid w:val="00685218"/>
    <w:rsid w:val="00685752"/>
    <w:rsid w:val="00685930"/>
    <w:rsid w:val="00686142"/>
    <w:rsid w:val="006862D6"/>
    <w:rsid w:val="00686573"/>
    <w:rsid w:val="006872CE"/>
    <w:rsid w:val="006874B2"/>
    <w:rsid w:val="006875A6"/>
    <w:rsid w:val="00687C63"/>
    <w:rsid w:val="00687D0F"/>
    <w:rsid w:val="00687DA2"/>
    <w:rsid w:val="00687FDD"/>
    <w:rsid w:val="0069015E"/>
    <w:rsid w:val="00690391"/>
    <w:rsid w:val="0069096E"/>
    <w:rsid w:val="00690BDE"/>
    <w:rsid w:val="00691014"/>
    <w:rsid w:val="00691651"/>
    <w:rsid w:val="006916D8"/>
    <w:rsid w:val="00691709"/>
    <w:rsid w:val="00692568"/>
    <w:rsid w:val="00692AD5"/>
    <w:rsid w:val="00692BDA"/>
    <w:rsid w:val="00692D80"/>
    <w:rsid w:val="00693119"/>
    <w:rsid w:val="006931DF"/>
    <w:rsid w:val="006933AA"/>
    <w:rsid w:val="006936F8"/>
    <w:rsid w:val="0069393C"/>
    <w:rsid w:val="00693F24"/>
    <w:rsid w:val="00693F71"/>
    <w:rsid w:val="006947EC"/>
    <w:rsid w:val="00694A83"/>
    <w:rsid w:val="00694BF3"/>
    <w:rsid w:val="00694F10"/>
    <w:rsid w:val="00694FFD"/>
    <w:rsid w:val="00695177"/>
    <w:rsid w:val="00695563"/>
    <w:rsid w:val="006956E6"/>
    <w:rsid w:val="00695916"/>
    <w:rsid w:val="0069594F"/>
    <w:rsid w:val="00695976"/>
    <w:rsid w:val="00695FF9"/>
    <w:rsid w:val="00696580"/>
    <w:rsid w:val="006967BC"/>
    <w:rsid w:val="00696C44"/>
    <w:rsid w:val="00696C76"/>
    <w:rsid w:val="00696F55"/>
    <w:rsid w:val="00696FA7"/>
    <w:rsid w:val="0069741E"/>
    <w:rsid w:val="0069769E"/>
    <w:rsid w:val="00697721"/>
    <w:rsid w:val="00697754"/>
    <w:rsid w:val="00697832"/>
    <w:rsid w:val="00697CAF"/>
    <w:rsid w:val="00697D62"/>
    <w:rsid w:val="006A0655"/>
    <w:rsid w:val="006A09DF"/>
    <w:rsid w:val="006A0B64"/>
    <w:rsid w:val="006A11CB"/>
    <w:rsid w:val="006A1BB1"/>
    <w:rsid w:val="006A1C6C"/>
    <w:rsid w:val="006A1D41"/>
    <w:rsid w:val="006A1DF3"/>
    <w:rsid w:val="006A20A8"/>
    <w:rsid w:val="006A2286"/>
    <w:rsid w:val="006A22A5"/>
    <w:rsid w:val="006A242B"/>
    <w:rsid w:val="006A2515"/>
    <w:rsid w:val="006A260F"/>
    <w:rsid w:val="006A30F5"/>
    <w:rsid w:val="006A3C70"/>
    <w:rsid w:val="006A3FF8"/>
    <w:rsid w:val="006A4F1F"/>
    <w:rsid w:val="006A50D7"/>
    <w:rsid w:val="006A50E1"/>
    <w:rsid w:val="006A536D"/>
    <w:rsid w:val="006A538A"/>
    <w:rsid w:val="006A5A8A"/>
    <w:rsid w:val="006A5B14"/>
    <w:rsid w:val="006A5FCE"/>
    <w:rsid w:val="006A610C"/>
    <w:rsid w:val="006A638F"/>
    <w:rsid w:val="006A6575"/>
    <w:rsid w:val="006A6628"/>
    <w:rsid w:val="006A6C81"/>
    <w:rsid w:val="006A736C"/>
    <w:rsid w:val="006A7993"/>
    <w:rsid w:val="006A7A7F"/>
    <w:rsid w:val="006A7BB0"/>
    <w:rsid w:val="006A7D60"/>
    <w:rsid w:val="006A7E11"/>
    <w:rsid w:val="006B06D1"/>
    <w:rsid w:val="006B0954"/>
    <w:rsid w:val="006B0987"/>
    <w:rsid w:val="006B0CA0"/>
    <w:rsid w:val="006B1255"/>
    <w:rsid w:val="006B146D"/>
    <w:rsid w:val="006B1BE8"/>
    <w:rsid w:val="006B1EAF"/>
    <w:rsid w:val="006B1F6A"/>
    <w:rsid w:val="006B2517"/>
    <w:rsid w:val="006B2BF2"/>
    <w:rsid w:val="006B2C64"/>
    <w:rsid w:val="006B3007"/>
    <w:rsid w:val="006B32A2"/>
    <w:rsid w:val="006B346D"/>
    <w:rsid w:val="006B380D"/>
    <w:rsid w:val="006B3B7F"/>
    <w:rsid w:val="006B3FEA"/>
    <w:rsid w:val="006B4328"/>
    <w:rsid w:val="006B4612"/>
    <w:rsid w:val="006B483E"/>
    <w:rsid w:val="006B4898"/>
    <w:rsid w:val="006B49A3"/>
    <w:rsid w:val="006B4E0D"/>
    <w:rsid w:val="006B4E91"/>
    <w:rsid w:val="006B5041"/>
    <w:rsid w:val="006B508F"/>
    <w:rsid w:val="006B5720"/>
    <w:rsid w:val="006B5AC3"/>
    <w:rsid w:val="006B5C3C"/>
    <w:rsid w:val="006B6027"/>
    <w:rsid w:val="006B6119"/>
    <w:rsid w:val="006B656A"/>
    <w:rsid w:val="006B6761"/>
    <w:rsid w:val="006B7203"/>
    <w:rsid w:val="006B773E"/>
    <w:rsid w:val="006B7F1F"/>
    <w:rsid w:val="006C069D"/>
    <w:rsid w:val="006C06BB"/>
    <w:rsid w:val="006C098D"/>
    <w:rsid w:val="006C09D3"/>
    <w:rsid w:val="006C0BB6"/>
    <w:rsid w:val="006C0D1B"/>
    <w:rsid w:val="006C0DA4"/>
    <w:rsid w:val="006C1110"/>
    <w:rsid w:val="006C1A3C"/>
    <w:rsid w:val="006C1A99"/>
    <w:rsid w:val="006C24B2"/>
    <w:rsid w:val="006C2B2E"/>
    <w:rsid w:val="006C2CA0"/>
    <w:rsid w:val="006C2D12"/>
    <w:rsid w:val="006C2D85"/>
    <w:rsid w:val="006C33AA"/>
    <w:rsid w:val="006C33F4"/>
    <w:rsid w:val="006C3563"/>
    <w:rsid w:val="006C3599"/>
    <w:rsid w:val="006C372A"/>
    <w:rsid w:val="006C3813"/>
    <w:rsid w:val="006C3862"/>
    <w:rsid w:val="006C3B01"/>
    <w:rsid w:val="006C3D0F"/>
    <w:rsid w:val="006C3DB3"/>
    <w:rsid w:val="006C3EB1"/>
    <w:rsid w:val="006C3EC3"/>
    <w:rsid w:val="006C3F83"/>
    <w:rsid w:val="006C4103"/>
    <w:rsid w:val="006C462F"/>
    <w:rsid w:val="006C46C7"/>
    <w:rsid w:val="006C4893"/>
    <w:rsid w:val="006C4CAD"/>
    <w:rsid w:val="006C4D46"/>
    <w:rsid w:val="006C4FE1"/>
    <w:rsid w:val="006C5028"/>
    <w:rsid w:val="006C5312"/>
    <w:rsid w:val="006C54C4"/>
    <w:rsid w:val="006C6C87"/>
    <w:rsid w:val="006C6D52"/>
    <w:rsid w:val="006C7184"/>
    <w:rsid w:val="006C7821"/>
    <w:rsid w:val="006C7D8E"/>
    <w:rsid w:val="006D0015"/>
    <w:rsid w:val="006D0381"/>
    <w:rsid w:val="006D03AE"/>
    <w:rsid w:val="006D0822"/>
    <w:rsid w:val="006D08C3"/>
    <w:rsid w:val="006D0B56"/>
    <w:rsid w:val="006D0EE7"/>
    <w:rsid w:val="006D10F8"/>
    <w:rsid w:val="006D128B"/>
    <w:rsid w:val="006D14E7"/>
    <w:rsid w:val="006D150B"/>
    <w:rsid w:val="006D1641"/>
    <w:rsid w:val="006D18B7"/>
    <w:rsid w:val="006D1A15"/>
    <w:rsid w:val="006D1A62"/>
    <w:rsid w:val="006D1EE2"/>
    <w:rsid w:val="006D2147"/>
    <w:rsid w:val="006D2321"/>
    <w:rsid w:val="006D2598"/>
    <w:rsid w:val="006D282D"/>
    <w:rsid w:val="006D292A"/>
    <w:rsid w:val="006D29F5"/>
    <w:rsid w:val="006D2ACD"/>
    <w:rsid w:val="006D2C1A"/>
    <w:rsid w:val="006D2CA9"/>
    <w:rsid w:val="006D2F80"/>
    <w:rsid w:val="006D30EC"/>
    <w:rsid w:val="006D3270"/>
    <w:rsid w:val="006D37BB"/>
    <w:rsid w:val="006D3F35"/>
    <w:rsid w:val="006D40AA"/>
    <w:rsid w:val="006D43AB"/>
    <w:rsid w:val="006D443F"/>
    <w:rsid w:val="006D4569"/>
    <w:rsid w:val="006D4A72"/>
    <w:rsid w:val="006D52CB"/>
    <w:rsid w:val="006D5905"/>
    <w:rsid w:val="006D6774"/>
    <w:rsid w:val="006D67EE"/>
    <w:rsid w:val="006D6C13"/>
    <w:rsid w:val="006D714F"/>
    <w:rsid w:val="006D71A1"/>
    <w:rsid w:val="006D752C"/>
    <w:rsid w:val="006D7CB5"/>
    <w:rsid w:val="006D7D74"/>
    <w:rsid w:val="006D7F2D"/>
    <w:rsid w:val="006D7F93"/>
    <w:rsid w:val="006E0032"/>
    <w:rsid w:val="006E006D"/>
    <w:rsid w:val="006E0298"/>
    <w:rsid w:val="006E038A"/>
    <w:rsid w:val="006E0437"/>
    <w:rsid w:val="006E06B1"/>
    <w:rsid w:val="006E0CD3"/>
    <w:rsid w:val="006E15CD"/>
    <w:rsid w:val="006E16BA"/>
    <w:rsid w:val="006E1754"/>
    <w:rsid w:val="006E1767"/>
    <w:rsid w:val="006E193D"/>
    <w:rsid w:val="006E1BE1"/>
    <w:rsid w:val="006E1E53"/>
    <w:rsid w:val="006E2390"/>
    <w:rsid w:val="006E23F6"/>
    <w:rsid w:val="006E25B1"/>
    <w:rsid w:val="006E27CC"/>
    <w:rsid w:val="006E284A"/>
    <w:rsid w:val="006E2BA8"/>
    <w:rsid w:val="006E30B7"/>
    <w:rsid w:val="006E331A"/>
    <w:rsid w:val="006E36A7"/>
    <w:rsid w:val="006E36FB"/>
    <w:rsid w:val="006E3923"/>
    <w:rsid w:val="006E3A08"/>
    <w:rsid w:val="006E3D6E"/>
    <w:rsid w:val="006E439C"/>
    <w:rsid w:val="006E45E5"/>
    <w:rsid w:val="006E4977"/>
    <w:rsid w:val="006E4C6A"/>
    <w:rsid w:val="006E4EDC"/>
    <w:rsid w:val="006E503D"/>
    <w:rsid w:val="006E50AB"/>
    <w:rsid w:val="006E5AC1"/>
    <w:rsid w:val="006E5EAB"/>
    <w:rsid w:val="006E66EE"/>
    <w:rsid w:val="006E715B"/>
    <w:rsid w:val="006E738A"/>
    <w:rsid w:val="006E7456"/>
    <w:rsid w:val="006E757B"/>
    <w:rsid w:val="006E78CF"/>
    <w:rsid w:val="006F02FE"/>
    <w:rsid w:val="006F039F"/>
    <w:rsid w:val="006F08F4"/>
    <w:rsid w:val="006F14CC"/>
    <w:rsid w:val="006F1804"/>
    <w:rsid w:val="006F19C3"/>
    <w:rsid w:val="006F1AD8"/>
    <w:rsid w:val="006F1F90"/>
    <w:rsid w:val="006F21D1"/>
    <w:rsid w:val="006F2453"/>
    <w:rsid w:val="006F2891"/>
    <w:rsid w:val="006F2DCB"/>
    <w:rsid w:val="006F2E8D"/>
    <w:rsid w:val="006F31EC"/>
    <w:rsid w:val="006F3446"/>
    <w:rsid w:val="006F36D4"/>
    <w:rsid w:val="006F39C0"/>
    <w:rsid w:val="006F3B36"/>
    <w:rsid w:val="006F3B5C"/>
    <w:rsid w:val="006F3D82"/>
    <w:rsid w:val="006F3DD6"/>
    <w:rsid w:val="006F3E78"/>
    <w:rsid w:val="006F3E79"/>
    <w:rsid w:val="006F42C7"/>
    <w:rsid w:val="006F43CB"/>
    <w:rsid w:val="006F454C"/>
    <w:rsid w:val="006F49D8"/>
    <w:rsid w:val="006F4E5E"/>
    <w:rsid w:val="006F4ED1"/>
    <w:rsid w:val="006F4F9E"/>
    <w:rsid w:val="006F5049"/>
    <w:rsid w:val="006F57A3"/>
    <w:rsid w:val="006F5958"/>
    <w:rsid w:val="006F5A64"/>
    <w:rsid w:val="006F5E90"/>
    <w:rsid w:val="006F646B"/>
    <w:rsid w:val="006F6472"/>
    <w:rsid w:val="006F69EC"/>
    <w:rsid w:val="006F6BA6"/>
    <w:rsid w:val="006F6E39"/>
    <w:rsid w:val="006F6EB7"/>
    <w:rsid w:val="006F705E"/>
    <w:rsid w:val="006F7597"/>
    <w:rsid w:val="006F7F39"/>
    <w:rsid w:val="00700997"/>
    <w:rsid w:val="00700D85"/>
    <w:rsid w:val="007010EB"/>
    <w:rsid w:val="007011DE"/>
    <w:rsid w:val="0070139F"/>
    <w:rsid w:val="00701AFE"/>
    <w:rsid w:val="00701C5B"/>
    <w:rsid w:val="00701E1D"/>
    <w:rsid w:val="0070223D"/>
    <w:rsid w:val="0070260F"/>
    <w:rsid w:val="0070263F"/>
    <w:rsid w:val="00702B67"/>
    <w:rsid w:val="00702C36"/>
    <w:rsid w:val="00702E9A"/>
    <w:rsid w:val="007036D4"/>
    <w:rsid w:val="007037A0"/>
    <w:rsid w:val="0070421A"/>
    <w:rsid w:val="00704603"/>
    <w:rsid w:val="00704DCA"/>
    <w:rsid w:val="00705B67"/>
    <w:rsid w:val="00705DE6"/>
    <w:rsid w:val="00706064"/>
    <w:rsid w:val="00706119"/>
    <w:rsid w:val="00706406"/>
    <w:rsid w:val="00706568"/>
    <w:rsid w:val="00706623"/>
    <w:rsid w:val="00706C7B"/>
    <w:rsid w:val="007072DE"/>
    <w:rsid w:val="00707300"/>
    <w:rsid w:val="00707383"/>
    <w:rsid w:val="00707A6E"/>
    <w:rsid w:val="00707ADB"/>
    <w:rsid w:val="00707EB4"/>
    <w:rsid w:val="007100F6"/>
    <w:rsid w:val="007101FE"/>
    <w:rsid w:val="00710566"/>
    <w:rsid w:val="00710933"/>
    <w:rsid w:val="00710BAC"/>
    <w:rsid w:val="00710E5A"/>
    <w:rsid w:val="00710F4D"/>
    <w:rsid w:val="00711040"/>
    <w:rsid w:val="00711521"/>
    <w:rsid w:val="00711A3A"/>
    <w:rsid w:val="00711C7A"/>
    <w:rsid w:val="00711DB8"/>
    <w:rsid w:val="00711F7E"/>
    <w:rsid w:val="0071272D"/>
    <w:rsid w:val="00712F6B"/>
    <w:rsid w:val="007131E1"/>
    <w:rsid w:val="0071325D"/>
    <w:rsid w:val="00713470"/>
    <w:rsid w:val="007135FD"/>
    <w:rsid w:val="00713E89"/>
    <w:rsid w:val="0071413C"/>
    <w:rsid w:val="00714590"/>
    <w:rsid w:val="0071478D"/>
    <w:rsid w:val="007147C3"/>
    <w:rsid w:val="007148A4"/>
    <w:rsid w:val="00714C86"/>
    <w:rsid w:val="007150A2"/>
    <w:rsid w:val="0071540A"/>
    <w:rsid w:val="00715EDF"/>
    <w:rsid w:val="007169EC"/>
    <w:rsid w:val="00716A76"/>
    <w:rsid w:val="00716AA3"/>
    <w:rsid w:val="00716D9A"/>
    <w:rsid w:val="00716EFE"/>
    <w:rsid w:val="00716FE1"/>
    <w:rsid w:val="00717036"/>
    <w:rsid w:val="00717191"/>
    <w:rsid w:val="00717676"/>
    <w:rsid w:val="007176C6"/>
    <w:rsid w:val="007177CC"/>
    <w:rsid w:val="00717F73"/>
    <w:rsid w:val="00720143"/>
    <w:rsid w:val="00720235"/>
    <w:rsid w:val="00720295"/>
    <w:rsid w:val="00720751"/>
    <w:rsid w:val="007207C2"/>
    <w:rsid w:val="00720BDD"/>
    <w:rsid w:val="00720CB5"/>
    <w:rsid w:val="00720E00"/>
    <w:rsid w:val="00720E47"/>
    <w:rsid w:val="007212D6"/>
    <w:rsid w:val="007212E4"/>
    <w:rsid w:val="00721399"/>
    <w:rsid w:val="007214AD"/>
    <w:rsid w:val="007219A3"/>
    <w:rsid w:val="007219A6"/>
    <w:rsid w:val="00721BDF"/>
    <w:rsid w:val="00721C21"/>
    <w:rsid w:val="00721DE0"/>
    <w:rsid w:val="00721E46"/>
    <w:rsid w:val="00722130"/>
    <w:rsid w:val="0072278A"/>
    <w:rsid w:val="00722CA2"/>
    <w:rsid w:val="00722CE1"/>
    <w:rsid w:val="00723A2C"/>
    <w:rsid w:val="007240A9"/>
    <w:rsid w:val="007241BB"/>
    <w:rsid w:val="00724254"/>
    <w:rsid w:val="00724774"/>
    <w:rsid w:val="007247E1"/>
    <w:rsid w:val="00724A2F"/>
    <w:rsid w:val="00724B61"/>
    <w:rsid w:val="00725001"/>
    <w:rsid w:val="00725737"/>
    <w:rsid w:val="00725B83"/>
    <w:rsid w:val="00725E63"/>
    <w:rsid w:val="00726037"/>
    <w:rsid w:val="007267B8"/>
    <w:rsid w:val="00726B61"/>
    <w:rsid w:val="00726DCB"/>
    <w:rsid w:val="007270C9"/>
    <w:rsid w:val="007276E6"/>
    <w:rsid w:val="00727C21"/>
    <w:rsid w:val="00727F8B"/>
    <w:rsid w:val="0073018B"/>
    <w:rsid w:val="0073041E"/>
    <w:rsid w:val="0073055A"/>
    <w:rsid w:val="00730E54"/>
    <w:rsid w:val="00730FC2"/>
    <w:rsid w:val="0073104F"/>
    <w:rsid w:val="007312E3"/>
    <w:rsid w:val="007313C7"/>
    <w:rsid w:val="007314DA"/>
    <w:rsid w:val="0073176A"/>
    <w:rsid w:val="00731D2F"/>
    <w:rsid w:val="0073220A"/>
    <w:rsid w:val="007325CC"/>
    <w:rsid w:val="00732935"/>
    <w:rsid w:val="00732F5E"/>
    <w:rsid w:val="007332CA"/>
    <w:rsid w:val="007334B9"/>
    <w:rsid w:val="007335D4"/>
    <w:rsid w:val="007336B7"/>
    <w:rsid w:val="007337F9"/>
    <w:rsid w:val="00733CC2"/>
    <w:rsid w:val="00733F5A"/>
    <w:rsid w:val="00734404"/>
    <w:rsid w:val="007347A6"/>
    <w:rsid w:val="00734824"/>
    <w:rsid w:val="00734ACE"/>
    <w:rsid w:val="00734D59"/>
    <w:rsid w:val="00734E9A"/>
    <w:rsid w:val="00734EB9"/>
    <w:rsid w:val="007352D8"/>
    <w:rsid w:val="00735CBF"/>
    <w:rsid w:val="00736281"/>
    <w:rsid w:val="007364FA"/>
    <w:rsid w:val="0073679E"/>
    <w:rsid w:val="007367B2"/>
    <w:rsid w:val="007368C6"/>
    <w:rsid w:val="007368FB"/>
    <w:rsid w:val="00736BD8"/>
    <w:rsid w:val="00736CC4"/>
    <w:rsid w:val="00736F20"/>
    <w:rsid w:val="00737486"/>
    <w:rsid w:val="00737615"/>
    <w:rsid w:val="007377EE"/>
    <w:rsid w:val="007378E9"/>
    <w:rsid w:val="007379C2"/>
    <w:rsid w:val="007379C4"/>
    <w:rsid w:val="00737B33"/>
    <w:rsid w:val="00737CAF"/>
    <w:rsid w:val="0074004B"/>
    <w:rsid w:val="007405B7"/>
    <w:rsid w:val="00741112"/>
    <w:rsid w:val="0074142A"/>
    <w:rsid w:val="00741778"/>
    <w:rsid w:val="00741887"/>
    <w:rsid w:val="00741F10"/>
    <w:rsid w:val="007427F6"/>
    <w:rsid w:val="0074296C"/>
    <w:rsid w:val="00742974"/>
    <w:rsid w:val="00742B16"/>
    <w:rsid w:val="00742CA6"/>
    <w:rsid w:val="00742D91"/>
    <w:rsid w:val="007431DC"/>
    <w:rsid w:val="007434B9"/>
    <w:rsid w:val="007436C0"/>
    <w:rsid w:val="00743846"/>
    <w:rsid w:val="00743966"/>
    <w:rsid w:val="00743A2D"/>
    <w:rsid w:val="00743B89"/>
    <w:rsid w:val="00744423"/>
    <w:rsid w:val="0074457E"/>
    <w:rsid w:val="00744774"/>
    <w:rsid w:val="007448F0"/>
    <w:rsid w:val="00744E8D"/>
    <w:rsid w:val="00745422"/>
    <w:rsid w:val="00745430"/>
    <w:rsid w:val="00745E97"/>
    <w:rsid w:val="0074632C"/>
    <w:rsid w:val="00746595"/>
    <w:rsid w:val="0074678C"/>
    <w:rsid w:val="00746D08"/>
    <w:rsid w:val="00746E8E"/>
    <w:rsid w:val="0074711F"/>
    <w:rsid w:val="007472FF"/>
    <w:rsid w:val="00747531"/>
    <w:rsid w:val="00747705"/>
    <w:rsid w:val="0074799E"/>
    <w:rsid w:val="00747DBC"/>
    <w:rsid w:val="007502C2"/>
    <w:rsid w:val="007503FB"/>
    <w:rsid w:val="007504E6"/>
    <w:rsid w:val="00750C86"/>
    <w:rsid w:val="00750F87"/>
    <w:rsid w:val="00751111"/>
    <w:rsid w:val="007511CE"/>
    <w:rsid w:val="00751E3B"/>
    <w:rsid w:val="00751E64"/>
    <w:rsid w:val="007520B3"/>
    <w:rsid w:val="007521A1"/>
    <w:rsid w:val="00752361"/>
    <w:rsid w:val="007525CC"/>
    <w:rsid w:val="00752702"/>
    <w:rsid w:val="0075291C"/>
    <w:rsid w:val="0075301F"/>
    <w:rsid w:val="007532D7"/>
    <w:rsid w:val="007533C0"/>
    <w:rsid w:val="00753450"/>
    <w:rsid w:val="00753518"/>
    <w:rsid w:val="0075362B"/>
    <w:rsid w:val="00753D75"/>
    <w:rsid w:val="007544E1"/>
    <w:rsid w:val="0075500F"/>
    <w:rsid w:val="007551C6"/>
    <w:rsid w:val="007551F1"/>
    <w:rsid w:val="0075542F"/>
    <w:rsid w:val="00755CA9"/>
    <w:rsid w:val="00755E2E"/>
    <w:rsid w:val="00755F1A"/>
    <w:rsid w:val="00756225"/>
    <w:rsid w:val="00756549"/>
    <w:rsid w:val="00756B64"/>
    <w:rsid w:val="00756BE4"/>
    <w:rsid w:val="00756CC6"/>
    <w:rsid w:val="00756F61"/>
    <w:rsid w:val="00756FDD"/>
    <w:rsid w:val="007571FA"/>
    <w:rsid w:val="00757753"/>
    <w:rsid w:val="0075794B"/>
    <w:rsid w:val="00757D41"/>
    <w:rsid w:val="00757FF8"/>
    <w:rsid w:val="0076005E"/>
    <w:rsid w:val="0076060F"/>
    <w:rsid w:val="00760761"/>
    <w:rsid w:val="00760B54"/>
    <w:rsid w:val="00760F0D"/>
    <w:rsid w:val="0076169C"/>
    <w:rsid w:val="007616F4"/>
    <w:rsid w:val="00761CF1"/>
    <w:rsid w:val="00762398"/>
    <w:rsid w:val="00762842"/>
    <w:rsid w:val="007629DA"/>
    <w:rsid w:val="00762A03"/>
    <w:rsid w:val="00762A25"/>
    <w:rsid w:val="00762C7F"/>
    <w:rsid w:val="00762F9F"/>
    <w:rsid w:val="007631CF"/>
    <w:rsid w:val="0076325C"/>
    <w:rsid w:val="0076336E"/>
    <w:rsid w:val="00763D08"/>
    <w:rsid w:val="00763DCB"/>
    <w:rsid w:val="00763E77"/>
    <w:rsid w:val="0076469B"/>
    <w:rsid w:val="00764ADF"/>
    <w:rsid w:val="00764AE6"/>
    <w:rsid w:val="00764BDC"/>
    <w:rsid w:val="00765041"/>
    <w:rsid w:val="00765074"/>
    <w:rsid w:val="00765A63"/>
    <w:rsid w:val="00765CCC"/>
    <w:rsid w:val="00765E44"/>
    <w:rsid w:val="00765F20"/>
    <w:rsid w:val="007660BA"/>
    <w:rsid w:val="00766737"/>
    <w:rsid w:val="00766859"/>
    <w:rsid w:val="00766C4B"/>
    <w:rsid w:val="00766DA3"/>
    <w:rsid w:val="00766EB0"/>
    <w:rsid w:val="0076742C"/>
    <w:rsid w:val="00767507"/>
    <w:rsid w:val="00767BDE"/>
    <w:rsid w:val="00767BF9"/>
    <w:rsid w:val="00767CDB"/>
    <w:rsid w:val="00770207"/>
    <w:rsid w:val="00770312"/>
    <w:rsid w:val="007705AF"/>
    <w:rsid w:val="007705B5"/>
    <w:rsid w:val="00770A5D"/>
    <w:rsid w:val="00770ACC"/>
    <w:rsid w:val="00770B34"/>
    <w:rsid w:val="00770C3B"/>
    <w:rsid w:val="00770D56"/>
    <w:rsid w:val="00770DFE"/>
    <w:rsid w:val="00770F75"/>
    <w:rsid w:val="0077123A"/>
    <w:rsid w:val="0077130F"/>
    <w:rsid w:val="007717B2"/>
    <w:rsid w:val="00771B30"/>
    <w:rsid w:val="00771F9B"/>
    <w:rsid w:val="00772091"/>
    <w:rsid w:val="00772248"/>
    <w:rsid w:val="007722DF"/>
    <w:rsid w:val="007723B2"/>
    <w:rsid w:val="0077253A"/>
    <w:rsid w:val="0077260A"/>
    <w:rsid w:val="00772A0E"/>
    <w:rsid w:val="00772AFA"/>
    <w:rsid w:val="00772D3F"/>
    <w:rsid w:val="00772D64"/>
    <w:rsid w:val="007742FA"/>
    <w:rsid w:val="00774316"/>
    <w:rsid w:val="00774451"/>
    <w:rsid w:val="0077490F"/>
    <w:rsid w:val="00774C40"/>
    <w:rsid w:val="0077502F"/>
    <w:rsid w:val="007750DD"/>
    <w:rsid w:val="007755E6"/>
    <w:rsid w:val="00775F70"/>
    <w:rsid w:val="007764C8"/>
    <w:rsid w:val="00776698"/>
    <w:rsid w:val="0077770F"/>
    <w:rsid w:val="00777835"/>
    <w:rsid w:val="00777B93"/>
    <w:rsid w:val="00777BC2"/>
    <w:rsid w:val="00777C40"/>
    <w:rsid w:val="00777F89"/>
    <w:rsid w:val="007800DA"/>
    <w:rsid w:val="007801DD"/>
    <w:rsid w:val="00780780"/>
    <w:rsid w:val="007808B1"/>
    <w:rsid w:val="00780DBF"/>
    <w:rsid w:val="00780E33"/>
    <w:rsid w:val="00780E9F"/>
    <w:rsid w:val="00781095"/>
    <w:rsid w:val="0078133E"/>
    <w:rsid w:val="0078157E"/>
    <w:rsid w:val="00781C84"/>
    <w:rsid w:val="00781CCB"/>
    <w:rsid w:val="00781FA8"/>
    <w:rsid w:val="00782082"/>
    <w:rsid w:val="00782215"/>
    <w:rsid w:val="007822BA"/>
    <w:rsid w:val="00782307"/>
    <w:rsid w:val="0078273F"/>
    <w:rsid w:val="00782D05"/>
    <w:rsid w:val="00782EC7"/>
    <w:rsid w:val="0078334B"/>
    <w:rsid w:val="00783A40"/>
    <w:rsid w:val="00783C73"/>
    <w:rsid w:val="00784413"/>
    <w:rsid w:val="00784633"/>
    <w:rsid w:val="00784699"/>
    <w:rsid w:val="007846AF"/>
    <w:rsid w:val="00784C39"/>
    <w:rsid w:val="0078504A"/>
    <w:rsid w:val="00785340"/>
    <w:rsid w:val="00785873"/>
    <w:rsid w:val="00785A21"/>
    <w:rsid w:val="00785A70"/>
    <w:rsid w:val="00785D58"/>
    <w:rsid w:val="00785FBD"/>
    <w:rsid w:val="00786175"/>
    <w:rsid w:val="00786346"/>
    <w:rsid w:val="00786515"/>
    <w:rsid w:val="0078660B"/>
    <w:rsid w:val="00786A5A"/>
    <w:rsid w:val="00786F5E"/>
    <w:rsid w:val="00787052"/>
    <w:rsid w:val="00787060"/>
    <w:rsid w:val="00787388"/>
    <w:rsid w:val="0078740B"/>
    <w:rsid w:val="007874B0"/>
    <w:rsid w:val="007876AF"/>
    <w:rsid w:val="00787AC1"/>
    <w:rsid w:val="00787B6D"/>
    <w:rsid w:val="00787DE8"/>
    <w:rsid w:val="00787F9E"/>
    <w:rsid w:val="007901F5"/>
    <w:rsid w:val="00790334"/>
    <w:rsid w:val="007908A8"/>
    <w:rsid w:val="00790E3B"/>
    <w:rsid w:val="0079106E"/>
    <w:rsid w:val="007910A5"/>
    <w:rsid w:val="007912D1"/>
    <w:rsid w:val="00791AF7"/>
    <w:rsid w:val="00791CBB"/>
    <w:rsid w:val="00792046"/>
    <w:rsid w:val="00792302"/>
    <w:rsid w:val="00792355"/>
    <w:rsid w:val="00792777"/>
    <w:rsid w:val="007927D6"/>
    <w:rsid w:val="00792AEC"/>
    <w:rsid w:val="00792B27"/>
    <w:rsid w:val="00793012"/>
    <w:rsid w:val="007932E9"/>
    <w:rsid w:val="007933F3"/>
    <w:rsid w:val="0079343F"/>
    <w:rsid w:val="00793CAD"/>
    <w:rsid w:val="00793E86"/>
    <w:rsid w:val="00793F39"/>
    <w:rsid w:val="00793F86"/>
    <w:rsid w:val="007941C5"/>
    <w:rsid w:val="007941C7"/>
    <w:rsid w:val="0079515A"/>
    <w:rsid w:val="007951E9"/>
    <w:rsid w:val="007953DE"/>
    <w:rsid w:val="007957A3"/>
    <w:rsid w:val="0079588F"/>
    <w:rsid w:val="007958FD"/>
    <w:rsid w:val="007959DD"/>
    <w:rsid w:val="00795AD0"/>
    <w:rsid w:val="00795D31"/>
    <w:rsid w:val="00795DC9"/>
    <w:rsid w:val="00795EA6"/>
    <w:rsid w:val="007963AE"/>
    <w:rsid w:val="00796D19"/>
    <w:rsid w:val="00797013"/>
    <w:rsid w:val="0079718C"/>
    <w:rsid w:val="007972DC"/>
    <w:rsid w:val="00797A00"/>
    <w:rsid w:val="00797CE2"/>
    <w:rsid w:val="00797D82"/>
    <w:rsid w:val="007A0462"/>
    <w:rsid w:val="007A0A06"/>
    <w:rsid w:val="007A0EAE"/>
    <w:rsid w:val="007A11C2"/>
    <w:rsid w:val="007A15B7"/>
    <w:rsid w:val="007A17C0"/>
    <w:rsid w:val="007A1885"/>
    <w:rsid w:val="007A19C5"/>
    <w:rsid w:val="007A1AA8"/>
    <w:rsid w:val="007A1C83"/>
    <w:rsid w:val="007A28EA"/>
    <w:rsid w:val="007A2D0F"/>
    <w:rsid w:val="007A31A4"/>
    <w:rsid w:val="007A3529"/>
    <w:rsid w:val="007A3E11"/>
    <w:rsid w:val="007A4779"/>
    <w:rsid w:val="007A4FE0"/>
    <w:rsid w:val="007A5016"/>
    <w:rsid w:val="007A51A6"/>
    <w:rsid w:val="007A6181"/>
    <w:rsid w:val="007A64E6"/>
    <w:rsid w:val="007A66AA"/>
    <w:rsid w:val="007A6B2B"/>
    <w:rsid w:val="007A6B6A"/>
    <w:rsid w:val="007A6B6C"/>
    <w:rsid w:val="007A7262"/>
    <w:rsid w:val="007A7320"/>
    <w:rsid w:val="007A778C"/>
    <w:rsid w:val="007A7ACE"/>
    <w:rsid w:val="007A7FA7"/>
    <w:rsid w:val="007B0503"/>
    <w:rsid w:val="007B0B46"/>
    <w:rsid w:val="007B0BF1"/>
    <w:rsid w:val="007B10B6"/>
    <w:rsid w:val="007B14F1"/>
    <w:rsid w:val="007B1553"/>
    <w:rsid w:val="007B1D88"/>
    <w:rsid w:val="007B1F92"/>
    <w:rsid w:val="007B1FAC"/>
    <w:rsid w:val="007B1FAD"/>
    <w:rsid w:val="007B20FF"/>
    <w:rsid w:val="007B2321"/>
    <w:rsid w:val="007B2714"/>
    <w:rsid w:val="007B2CC5"/>
    <w:rsid w:val="007B31BE"/>
    <w:rsid w:val="007B38BE"/>
    <w:rsid w:val="007B3BA0"/>
    <w:rsid w:val="007B401C"/>
    <w:rsid w:val="007B4780"/>
    <w:rsid w:val="007B47D1"/>
    <w:rsid w:val="007B4969"/>
    <w:rsid w:val="007B4B51"/>
    <w:rsid w:val="007B4C0D"/>
    <w:rsid w:val="007B516F"/>
    <w:rsid w:val="007B5B51"/>
    <w:rsid w:val="007B60C1"/>
    <w:rsid w:val="007B62BF"/>
    <w:rsid w:val="007B62FE"/>
    <w:rsid w:val="007B6351"/>
    <w:rsid w:val="007B688F"/>
    <w:rsid w:val="007B6C94"/>
    <w:rsid w:val="007B745D"/>
    <w:rsid w:val="007B760F"/>
    <w:rsid w:val="007B7664"/>
    <w:rsid w:val="007B79EF"/>
    <w:rsid w:val="007B7A3F"/>
    <w:rsid w:val="007B7B02"/>
    <w:rsid w:val="007B7CCC"/>
    <w:rsid w:val="007B7CE2"/>
    <w:rsid w:val="007B7F9C"/>
    <w:rsid w:val="007C00F9"/>
    <w:rsid w:val="007C0962"/>
    <w:rsid w:val="007C0AA1"/>
    <w:rsid w:val="007C0ACF"/>
    <w:rsid w:val="007C118F"/>
    <w:rsid w:val="007C20C2"/>
    <w:rsid w:val="007C2288"/>
    <w:rsid w:val="007C2432"/>
    <w:rsid w:val="007C26CA"/>
    <w:rsid w:val="007C2A61"/>
    <w:rsid w:val="007C32FC"/>
    <w:rsid w:val="007C3656"/>
    <w:rsid w:val="007C371C"/>
    <w:rsid w:val="007C3C43"/>
    <w:rsid w:val="007C3CC2"/>
    <w:rsid w:val="007C3F58"/>
    <w:rsid w:val="007C40FC"/>
    <w:rsid w:val="007C440F"/>
    <w:rsid w:val="007C4577"/>
    <w:rsid w:val="007C45A6"/>
    <w:rsid w:val="007C45C8"/>
    <w:rsid w:val="007C48A1"/>
    <w:rsid w:val="007C4BE6"/>
    <w:rsid w:val="007C4D7F"/>
    <w:rsid w:val="007C53A3"/>
    <w:rsid w:val="007C541C"/>
    <w:rsid w:val="007C55E0"/>
    <w:rsid w:val="007C5697"/>
    <w:rsid w:val="007C5BC5"/>
    <w:rsid w:val="007C608B"/>
    <w:rsid w:val="007C62B2"/>
    <w:rsid w:val="007C6335"/>
    <w:rsid w:val="007C64B7"/>
    <w:rsid w:val="007C64EB"/>
    <w:rsid w:val="007C671A"/>
    <w:rsid w:val="007C6D8E"/>
    <w:rsid w:val="007C6E8A"/>
    <w:rsid w:val="007C6F8E"/>
    <w:rsid w:val="007C72CB"/>
    <w:rsid w:val="007C75C0"/>
    <w:rsid w:val="007C7787"/>
    <w:rsid w:val="007C785C"/>
    <w:rsid w:val="007C79A6"/>
    <w:rsid w:val="007C7BA5"/>
    <w:rsid w:val="007C7F63"/>
    <w:rsid w:val="007C7FF9"/>
    <w:rsid w:val="007D0295"/>
    <w:rsid w:val="007D0324"/>
    <w:rsid w:val="007D053C"/>
    <w:rsid w:val="007D090A"/>
    <w:rsid w:val="007D0EBF"/>
    <w:rsid w:val="007D0EC9"/>
    <w:rsid w:val="007D0F0E"/>
    <w:rsid w:val="007D129C"/>
    <w:rsid w:val="007D1728"/>
    <w:rsid w:val="007D228F"/>
    <w:rsid w:val="007D2364"/>
    <w:rsid w:val="007D2C92"/>
    <w:rsid w:val="007D2DFB"/>
    <w:rsid w:val="007D3121"/>
    <w:rsid w:val="007D34EB"/>
    <w:rsid w:val="007D36B1"/>
    <w:rsid w:val="007D380E"/>
    <w:rsid w:val="007D381E"/>
    <w:rsid w:val="007D3AC7"/>
    <w:rsid w:val="007D3BAA"/>
    <w:rsid w:val="007D430C"/>
    <w:rsid w:val="007D4EE5"/>
    <w:rsid w:val="007D4FF3"/>
    <w:rsid w:val="007D50AD"/>
    <w:rsid w:val="007D5254"/>
    <w:rsid w:val="007D5740"/>
    <w:rsid w:val="007D5772"/>
    <w:rsid w:val="007D6091"/>
    <w:rsid w:val="007D6579"/>
    <w:rsid w:val="007D682F"/>
    <w:rsid w:val="007D6B0B"/>
    <w:rsid w:val="007D6BC9"/>
    <w:rsid w:val="007D6DEF"/>
    <w:rsid w:val="007D6E20"/>
    <w:rsid w:val="007D7557"/>
    <w:rsid w:val="007D77FD"/>
    <w:rsid w:val="007D79CF"/>
    <w:rsid w:val="007D79ED"/>
    <w:rsid w:val="007E00F3"/>
    <w:rsid w:val="007E0BE8"/>
    <w:rsid w:val="007E17F4"/>
    <w:rsid w:val="007E18A7"/>
    <w:rsid w:val="007E1F10"/>
    <w:rsid w:val="007E233D"/>
    <w:rsid w:val="007E24C5"/>
    <w:rsid w:val="007E2AFC"/>
    <w:rsid w:val="007E2CBD"/>
    <w:rsid w:val="007E2EC9"/>
    <w:rsid w:val="007E3BD0"/>
    <w:rsid w:val="007E3C66"/>
    <w:rsid w:val="007E3D60"/>
    <w:rsid w:val="007E3E65"/>
    <w:rsid w:val="007E46E8"/>
    <w:rsid w:val="007E4A5B"/>
    <w:rsid w:val="007E4B91"/>
    <w:rsid w:val="007E4BDB"/>
    <w:rsid w:val="007E4CB8"/>
    <w:rsid w:val="007E4F32"/>
    <w:rsid w:val="007E5456"/>
    <w:rsid w:val="007E5796"/>
    <w:rsid w:val="007E5F1F"/>
    <w:rsid w:val="007E6150"/>
    <w:rsid w:val="007E61F2"/>
    <w:rsid w:val="007E621F"/>
    <w:rsid w:val="007E6318"/>
    <w:rsid w:val="007E6444"/>
    <w:rsid w:val="007E676C"/>
    <w:rsid w:val="007E67BB"/>
    <w:rsid w:val="007E6873"/>
    <w:rsid w:val="007E6958"/>
    <w:rsid w:val="007E6D8D"/>
    <w:rsid w:val="007E6E95"/>
    <w:rsid w:val="007E6FA4"/>
    <w:rsid w:val="007E7B27"/>
    <w:rsid w:val="007E7C24"/>
    <w:rsid w:val="007F0004"/>
    <w:rsid w:val="007F097E"/>
    <w:rsid w:val="007F0991"/>
    <w:rsid w:val="007F107C"/>
    <w:rsid w:val="007F1630"/>
    <w:rsid w:val="007F26AC"/>
    <w:rsid w:val="007F26AE"/>
    <w:rsid w:val="007F26F4"/>
    <w:rsid w:val="007F275D"/>
    <w:rsid w:val="007F330E"/>
    <w:rsid w:val="007F34D4"/>
    <w:rsid w:val="007F355F"/>
    <w:rsid w:val="007F35EC"/>
    <w:rsid w:val="007F39FD"/>
    <w:rsid w:val="007F4698"/>
    <w:rsid w:val="007F496A"/>
    <w:rsid w:val="007F5CE9"/>
    <w:rsid w:val="007F5FFC"/>
    <w:rsid w:val="007F6066"/>
    <w:rsid w:val="007F61FB"/>
    <w:rsid w:val="007F6535"/>
    <w:rsid w:val="007F67E1"/>
    <w:rsid w:val="007F6A45"/>
    <w:rsid w:val="007F6A50"/>
    <w:rsid w:val="007F6B6A"/>
    <w:rsid w:val="007F6F21"/>
    <w:rsid w:val="007F722C"/>
    <w:rsid w:val="007F75BE"/>
    <w:rsid w:val="007F7655"/>
    <w:rsid w:val="007F773A"/>
    <w:rsid w:val="007F7ED5"/>
    <w:rsid w:val="0080033E"/>
    <w:rsid w:val="00800388"/>
    <w:rsid w:val="008006EB"/>
    <w:rsid w:val="0080072A"/>
    <w:rsid w:val="008009BD"/>
    <w:rsid w:val="008009D0"/>
    <w:rsid w:val="00800AA6"/>
    <w:rsid w:val="00800B6A"/>
    <w:rsid w:val="0080103F"/>
    <w:rsid w:val="008012A6"/>
    <w:rsid w:val="00801F4D"/>
    <w:rsid w:val="0080201D"/>
    <w:rsid w:val="00802225"/>
    <w:rsid w:val="00802352"/>
    <w:rsid w:val="008023E1"/>
    <w:rsid w:val="00802513"/>
    <w:rsid w:val="008029E0"/>
    <w:rsid w:val="0080335D"/>
    <w:rsid w:val="008037B1"/>
    <w:rsid w:val="0080381C"/>
    <w:rsid w:val="00803C64"/>
    <w:rsid w:val="00804171"/>
    <w:rsid w:val="00804351"/>
    <w:rsid w:val="008044BE"/>
    <w:rsid w:val="008048D4"/>
    <w:rsid w:val="008049CB"/>
    <w:rsid w:val="008049D5"/>
    <w:rsid w:val="00804A8C"/>
    <w:rsid w:val="00804B01"/>
    <w:rsid w:val="00804D5E"/>
    <w:rsid w:val="0080507A"/>
    <w:rsid w:val="00805080"/>
    <w:rsid w:val="008052EA"/>
    <w:rsid w:val="008053EE"/>
    <w:rsid w:val="00805E7E"/>
    <w:rsid w:val="0080624F"/>
    <w:rsid w:val="00806805"/>
    <w:rsid w:val="008068C4"/>
    <w:rsid w:val="00806953"/>
    <w:rsid w:val="00806B2A"/>
    <w:rsid w:val="00806B77"/>
    <w:rsid w:val="0080742F"/>
    <w:rsid w:val="0080769F"/>
    <w:rsid w:val="00807C1B"/>
    <w:rsid w:val="00810012"/>
    <w:rsid w:val="00810515"/>
    <w:rsid w:val="00810AFF"/>
    <w:rsid w:val="00810E25"/>
    <w:rsid w:val="008115A1"/>
    <w:rsid w:val="00811B37"/>
    <w:rsid w:val="00811D5A"/>
    <w:rsid w:val="008123FA"/>
    <w:rsid w:val="008124A7"/>
    <w:rsid w:val="008137A7"/>
    <w:rsid w:val="00813EC3"/>
    <w:rsid w:val="008140E9"/>
    <w:rsid w:val="0081411A"/>
    <w:rsid w:val="00814305"/>
    <w:rsid w:val="00814834"/>
    <w:rsid w:val="008148A0"/>
    <w:rsid w:val="00814B1E"/>
    <w:rsid w:val="00814D15"/>
    <w:rsid w:val="00815062"/>
    <w:rsid w:val="0081510C"/>
    <w:rsid w:val="00815463"/>
    <w:rsid w:val="0081592A"/>
    <w:rsid w:val="008159D3"/>
    <w:rsid w:val="00815F5E"/>
    <w:rsid w:val="00815F70"/>
    <w:rsid w:val="00816013"/>
    <w:rsid w:val="008167E6"/>
    <w:rsid w:val="00816A4E"/>
    <w:rsid w:val="00817344"/>
    <w:rsid w:val="008173A8"/>
    <w:rsid w:val="0081747E"/>
    <w:rsid w:val="0081751B"/>
    <w:rsid w:val="0081769E"/>
    <w:rsid w:val="00817816"/>
    <w:rsid w:val="00817A97"/>
    <w:rsid w:val="00817B8B"/>
    <w:rsid w:val="00817FA3"/>
    <w:rsid w:val="00820138"/>
    <w:rsid w:val="00820200"/>
    <w:rsid w:val="008202CE"/>
    <w:rsid w:val="00820725"/>
    <w:rsid w:val="008208E5"/>
    <w:rsid w:val="008208F6"/>
    <w:rsid w:val="0082095E"/>
    <w:rsid w:val="008209E6"/>
    <w:rsid w:val="00820D88"/>
    <w:rsid w:val="00821402"/>
    <w:rsid w:val="00821E1B"/>
    <w:rsid w:val="00822C8A"/>
    <w:rsid w:val="00822FD0"/>
    <w:rsid w:val="008233CE"/>
    <w:rsid w:val="00823635"/>
    <w:rsid w:val="008237A2"/>
    <w:rsid w:val="00824BC8"/>
    <w:rsid w:val="00825A65"/>
    <w:rsid w:val="00825CAA"/>
    <w:rsid w:val="0082644D"/>
    <w:rsid w:val="008267E6"/>
    <w:rsid w:val="00827127"/>
    <w:rsid w:val="00827148"/>
    <w:rsid w:val="0082728A"/>
    <w:rsid w:val="0082745B"/>
    <w:rsid w:val="008274F6"/>
    <w:rsid w:val="00827A5F"/>
    <w:rsid w:val="00830495"/>
    <w:rsid w:val="00830E95"/>
    <w:rsid w:val="00830EEB"/>
    <w:rsid w:val="00830FAB"/>
    <w:rsid w:val="00830FAC"/>
    <w:rsid w:val="008311DC"/>
    <w:rsid w:val="00831301"/>
    <w:rsid w:val="008314FE"/>
    <w:rsid w:val="00831695"/>
    <w:rsid w:val="00831DD2"/>
    <w:rsid w:val="0083201D"/>
    <w:rsid w:val="00832403"/>
    <w:rsid w:val="00832546"/>
    <w:rsid w:val="00832F24"/>
    <w:rsid w:val="00833083"/>
    <w:rsid w:val="00833578"/>
    <w:rsid w:val="00833AC1"/>
    <w:rsid w:val="00833CFD"/>
    <w:rsid w:val="00833DB2"/>
    <w:rsid w:val="00834077"/>
    <w:rsid w:val="008349B1"/>
    <w:rsid w:val="00834B04"/>
    <w:rsid w:val="00834F9F"/>
    <w:rsid w:val="00835CA1"/>
    <w:rsid w:val="00835FFA"/>
    <w:rsid w:val="00836130"/>
    <w:rsid w:val="00836316"/>
    <w:rsid w:val="008365EF"/>
    <w:rsid w:val="008366E7"/>
    <w:rsid w:val="008372A3"/>
    <w:rsid w:val="00837442"/>
    <w:rsid w:val="0083748B"/>
    <w:rsid w:val="008374EB"/>
    <w:rsid w:val="00837964"/>
    <w:rsid w:val="00837D7F"/>
    <w:rsid w:val="00837E15"/>
    <w:rsid w:val="00837E70"/>
    <w:rsid w:val="00840042"/>
    <w:rsid w:val="008400F6"/>
    <w:rsid w:val="008401BF"/>
    <w:rsid w:val="0084047D"/>
    <w:rsid w:val="00840661"/>
    <w:rsid w:val="0084088A"/>
    <w:rsid w:val="00840B45"/>
    <w:rsid w:val="008410C5"/>
    <w:rsid w:val="008414FA"/>
    <w:rsid w:val="0084174A"/>
    <w:rsid w:val="00841B34"/>
    <w:rsid w:val="00841C68"/>
    <w:rsid w:val="0084294A"/>
    <w:rsid w:val="00842FBE"/>
    <w:rsid w:val="00843103"/>
    <w:rsid w:val="008431EE"/>
    <w:rsid w:val="0084362D"/>
    <w:rsid w:val="00843649"/>
    <w:rsid w:val="0084376D"/>
    <w:rsid w:val="00844269"/>
    <w:rsid w:val="00844B7E"/>
    <w:rsid w:val="00844C9B"/>
    <w:rsid w:val="00845035"/>
    <w:rsid w:val="00845221"/>
    <w:rsid w:val="00845503"/>
    <w:rsid w:val="008455D8"/>
    <w:rsid w:val="0084597C"/>
    <w:rsid w:val="00845E3E"/>
    <w:rsid w:val="0084624C"/>
    <w:rsid w:val="008462BD"/>
    <w:rsid w:val="00846578"/>
    <w:rsid w:val="0084663B"/>
    <w:rsid w:val="00846B66"/>
    <w:rsid w:val="00846C07"/>
    <w:rsid w:val="00846C7F"/>
    <w:rsid w:val="008470ED"/>
    <w:rsid w:val="00847D1D"/>
    <w:rsid w:val="008500A3"/>
    <w:rsid w:val="008500CB"/>
    <w:rsid w:val="00850155"/>
    <w:rsid w:val="00850589"/>
    <w:rsid w:val="0085063A"/>
    <w:rsid w:val="0085067E"/>
    <w:rsid w:val="00850777"/>
    <w:rsid w:val="00851A9A"/>
    <w:rsid w:val="00851DAF"/>
    <w:rsid w:val="00852604"/>
    <w:rsid w:val="00852DC6"/>
    <w:rsid w:val="008530F9"/>
    <w:rsid w:val="008531C8"/>
    <w:rsid w:val="00853397"/>
    <w:rsid w:val="0085392E"/>
    <w:rsid w:val="00854098"/>
    <w:rsid w:val="00854212"/>
    <w:rsid w:val="00854246"/>
    <w:rsid w:val="00854CFA"/>
    <w:rsid w:val="00854DE5"/>
    <w:rsid w:val="00854EBF"/>
    <w:rsid w:val="00854F31"/>
    <w:rsid w:val="008552AD"/>
    <w:rsid w:val="00855433"/>
    <w:rsid w:val="008558A5"/>
    <w:rsid w:val="00855D8E"/>
    <w:rsid w:val="00855E54"/>
    <w:rsid w:val="0085635F"/>
    <w:rsid w:val="0085678C"/>
    <w:rsid w:val="008572B6"/>
    <w:rsid w:val="00857318"/>
    <w:rsid w:val="00860011"/>
    <w:rsid w:val="00860414"/>
    <w:rsid w:val="00860490"/>
    <w:rsid w:val="008606E5"/>
    <w:rsid w:val="00860F77"/>
    <w:rsid w:val="0086141C"/>
    <w:rsid w:val="008614BC"/>
    <w:rsid w:val="00861575"/>
    <w:rsid w:val="0086222A"/>
    <w:rsid w:val="008623ED"/>
    <w:rsid w:val="00862525"/>
    <w:rsid w:val="0086275C"/>
    <w:rsid w:val="00862DD5"/>
    <w:rsid w:val="00862F26"/>
    <w:rsid w:val="008632DB"/>
    <w:rsid w:val="008634FC"/>
    <w:rsid w:val="008635AF"/>
    <w:rsid w:val="00863672"/>
    <w:rsid w:val="0086374A"/>
    <w:rsid w:val="0086388B"/>
    <w:rsid w:val="008638F1"/>
    <w:rsid w:val="00863EDC"/>
    <w:rsid w:val="0086438C"/>
    <w:rsid w:val="008643DE"/>
    <w:rsid w:val="0086457C"/>
    <w:rsid w:val="00864FF9"/>
    <w:rsid w:val="00865653"/>
    <w:rsid w:val="00865735"/>
    <w:rsid w:val="00865D3C"/>
    <w:rsid w:val="00865F1B"/>
    <w:rsid w:val="00865FEB"/>
    <w:rsid w:val="00866A88"/>
    <w:rsid w:val="00866C02"/>
    <w:rsid w:val="00866DFE"/>
    <w:rsid w:val="00866F11"/>
    <w:rsid w:val="0086702A"/>
    <w:rsid w:val="008673E0"/>
    <w:rsid w:val="00867CEC"/>
    <w:rsid w:val="00867D97"/>
    <w:rsid w:val="00870051"/>
    <w:rsid w:val="00870163"/>
    <w:rsid w:val="00870311"/>
    <w:rsid w:val="008703FE"/>
    <w:rsid w:val="008706EE"/>
    <w:rsid w:val="008708A7"/>
    <w:rsid w:val="00871000"/>
    <w:rsid w:val="0087150C"/>
    <w:rsid w:val="0087193F"/>
    <w:rsid w:val="00871BD8"/>
    <w:rsid w:val="008720AE"/>
    <w:rsid w:val="0087221D"/>
    <w:rsid w:val="008722DB"/>
    <w:rsid w:val="00872AD4"/>
    <w:rsid w:val="00872E7E"/>
    <w:rsid w:val="00872EC0"/>
    <w:rsid w:val="00873503"/>
    <w:rsid w:val="0087365B"/>
    <w:rsid w:val="00873839"/>
    <w:rsid w:val="008742DD"/>
    <w:rsid w:val="00874E61"/>
    <w:rsid w:val="008750C2"/>
    <w:rsid w:val="0087596F"/>
    <w:rsid w:val="00875C40"/>
    <w:rsid w:val="00875F1F"/>
    <w:rsid w:val="00876168"/>
    <w:rsid w:val="008762CB"/>
    <w:rsid w:val="00876446"/>
    <w:rsid w:val="00876B2A"/>
    <w:rsid w:val="00876CAE"/>
    <w:rsid w:val="00877020"/>
    <w:rsid w:val="0087761B"/>
    <w:rsid w:val="00877AF4"/>
    <w:rsid w:val="00877D2D"/>
    <w:rsid w:val="008816BA"/>
    <w:rsid w:val="00881F20"/>
    <w:rsid w:val="00882301"/>
    <w:rsid w:val="008829C7"/>
    <w:rsid w:val="00882F09"/>
    <w:rsid w:val="008832F2"/>
    <w:rsid w:val="00883BCF"/>
    <w:rsid w:val="00884A55"/>
    <w:rsid w:val="00884E7C"/>
    <w:rsid w:val="00885051"/>
    <w:rsid w:val="0088562B"/>
    <w:rsid w:val="008856DB"/>
    <w:rsid w:val="008857EF"/>
    <w:rsid w:val="0088581A"/>
    <w:rsid w:val="00885BA3"/>
    <w:rsid w:val="00885D8F"/>
    <w:rsid w:val="008861E0"/>
    <w:rsid w:val="00886762"/>
    <w:rsid w:val="00886CCF"/>
    <w:rsid w:val="00886E72"/>
    <w:rsid w:val="0088758A"/>
    <w:rsid w:val="0088783E"/>
    <w:rsid w:val="00887915"/>
    <w:rsid w:val="00887A42"/>
    <w:rsid w:val="00887D59"/>
    <w:rsid w:val="00890663"/>
    <w:rsid w:val="008906EC"/>
    <w:rsid w:val="00890792"/>
    <w:rsid w:val="0089088B"/>
    <w:rsid w:val="00890E24"/>
    <w:rsid w:val="00890F9F"/>
    <w:rsid w:val="008910B1"/>
    <w:rsid w:val="00891302"/>
    <w:rsid w:val="0089171F"/>
    <w:rsid w:val="00891FBC"/>
    <w:rsid w:val="00892128"/>
    <w:rsid w:val="008922EE"/>
    <w:rsid w:val="00892561"/>
    <w:rsid w:val="0089285D"/>
    <w:rsid w:val="008928A7"/>
    <w:rsid w:val="00892A88"/>
    <w:rsid w:val="00892C79"/>
    <w:rsid w:val="008937F2"/>
    <w:rsid w:val="00893A5F"/>
    <w:rsid w:val="008941B1"/>
    <w:rsid w:val="008941FD"/>
    <w:rsid w:val="00894307"/>
    <w:rsid w:val="008944A2"/>
    <w:rsid w:val="0089472A"/>
    <w:rsid w:val="008947EA"/>
    <w:rsid w:val="00894BAE"/>
    <w:rsid w:val="008953CB"/>
    <w:rsid w:val="008958B4"/>
    <w:rsid w:val="00895C54"/>
    <w:rsid w:val="00895DAA"/>
    <w:rsid w:val="0089606C"/>
    <w:rsid w:val="00896323"/>
    <w:rsid w:val="008963EB"/>
    <w:rsid w:val="00896590"/>
    <w:rsid w:val="0089665B"/>
    <w:rsid w:val="00896B55"/>
    <w:rsid w:val="00896B83"/>
    <w:rsid w:val="00896C23"/>
    <w:rsid w:val="008974FC"/>
    <w:rsid w:val="008975DD"/>
    <w:rsid w:val="008976DB"/>
    <w:rsid w:val="00897FEF"/>
    <w:rsid w:val="008A0236"/>
    <w:rsid w:val="008A0267"/>
    <w:rsid w:val="008A05F3"/>
    <w:rsid w:val="008A0690"/>
    <w:rsid w:val="008A092C"/>
    <w:rsid w:val="008A0C86"/>
    <w:rsid w:val="008A0EB7"/>
    <w:rsid w:val="008A0F86"/>
    <w:rsid w:val="008A125F"/>
    <w:rsid w:val="008A12C9"/>
    <w:rsid w:val="008A1F15"/>
    <w:rsid w:val="008A1F6D"/>
    <w:rsid w:val="008A209D"/>
    <w:rsid w:val="008A22E1"/>
    <w:rsid w:val="008A29D2"/>
    <w:rsid w:val="008A2DFD"/>
    <w:rsid w:val="008A307C"/>
    <w:rsid w:val="008A33A0"/>
    <w:rsid w:val="008A3C73"/>
    <w:rsid w:val="008A3ECF"/>
    <w:rsid w:val="008A406A"/>
    <w:rsid w:val="008A41FB"/>
    <w:rsid w:val="008A4314"/>
    <w:rsid w:val="008A4368"/>
    <w:rsid w:val="008A4668"/>
    <w:rsid w:val="008A54A5"/>
    <w:rsid w:val="008A5565"/>
    <w:rsid w:val="008A5602"/>
    <w:rsid w:val="008A5BE5"/>
    <w:rsid w:val="008A6085"/>
    <w:rsid w:val="008A60BE"/>
    <w:rsid w:val="008A6153"/>
    <w:rsid w:val="008A6542"/>
    <w:rsid w:val="008A66C1"/>
    <w:rsid w:val="008A756A"/>
    <w:rsid w:val="008A7A78"/>
    <w:rsid w:val="008B055C"/>
    <w:rsid w:val="008B0799"/>
    <w:rsid w:val="008B07EB"/>
    <w:rsid w:val="008B0839"/>
    <w:rsid w:val="008B09B1"/>
    <w:rsid w:val="008B0A3F"/>
    <w:rsid w:val="008B0DF1"/>
    <w:rsid w:val="008B0EC5"/>
    <w:rsid w:val="008B1176"/>
    <w:rsid w:val="008B12E9"/>
    <w:rsid w:val="008B17C8"/>
    <w:rsid w:val="008B17F0"/>
    <w:rsid w:val="008B2400"/>
    <w:rsid w:val="008B303E"/>
    <w:rsid w:val="008B3317"/>
    <w:rsid w:val="008B3678"/>
    <w:rsid w:val="008B3750"/>
    <w:rsid w:val="008B3A3C"/>
    <w:rsid w:val="008B3A54"/>
    <w:rsid w:val="008B3AB1"/>
    <w:rsid w:val="008B4371"/>
    <w:rsid w:val="008B4F2F"/>
    <w:rsid w:val="008B51D8"/>
    <w:rsid w:val="008B5674"/>
    <w:rsid w:val="008B5923"/>
    <w:rsid w:val="008B6568"/>
    <w:rsid w:val="008B697E"/>
    <w:rsid w:val="008B6D1A"/>
    <w:rsid w:val="008B7023"/>
    <w:rsid w:val="008B70F5"/>
    <w:rsid w:val="008B713C"/>
    <w:rsid w:val="008B72CC"/>
    <w:rsid w:val="008B75DA"/>
    <w:rsid w:val="008B7890"/>
    <w:rsid w:val="008B7C67"/>
    <w:rsid w:val="008B7D56"/>
    <w:rsid w:val="008B7EE5"/>
    <w:rsid w:val="008C0472"/>
    <w:rsid w:val="008C0784"/>
    <w:rsid w:val="008C08B4"/>
    <w:rsid w:val="008C0ADF"/>
    <w:rsid w:val="008C0BF8"/>
    <w:rsid w:val="008C0DAE"/>
    <w:rsid w:val="008C1B85"/>
    <w:rsid w:val="008C1FE2"/>
    <w:rsid w:val="008C22D6"/>
    <w:rsid w:val="008C2676"/>
    <w:rsid w:val="008C26CE"/>
    <w:rsid w:val="008C2827"/>
    <w:rsid w:val="008C2DFF"/>
    <w:rsid w:val="008C31B1"/>
    <w:rsid w:val="008C3527"/>
    <w:rsid w:val="008C3774"/>
    <w:rsid w:val="008C37BB"/>
    <w:rsid w:val="008C387F"/>
    <w:rsid w:val="008C3AC2"/>
    <w:rsid w:val="008C3EB9"/>
    <w:rsid w:val="008C4BA7"/>
    <w:rsid w:val="008C4C3E"/>
    <w:rsid w:val="008C50AB"/>
    <w:rsid w:val="008C52E6"/>
    <w:rsid w:val="008C52EA"/>
    <w:rsid w:val="008C57D7"/>
    <w:rsid w:val="008C597D"/>
    <w:rsid w:val="008C626E"/>
    <w:rsid w:val="008C6476"/>
    <w:rsid w:val="008C6576"/>
    <w:rsid w:val="008C671C"/>
    <w:rsid w:val="008C67DD"/>
    <w:rsid w:val="008C6A01"/>
    <w:rsid w:val="008C6BD1"/>
    <w:rsid w:val="008C6D95"/>
    <w:rsid w:val="008C729D"/>
    <w:rsid w:val="008C78E2"/>
    <w:rsid w:val="008C7AA2"/>
    <w:rsid w:val="008C7DEF"/>
    <w:rsid w:val="008C7E0E"/>
    <w:rsid w:val="008D0B9F"/>
    <w:rsid w:val="008D10D8"/>
    <w:rsid w:val="008D1461"/>
    <w:rsid w:val="008D1D42"/>
    <w:rsid w:val="008D1D87"/>
    <w:rsid w:val="008D2120"/>
    <w:rsid w:val="008D21E9"/>
    <w:rsid w:val="008D266F"/>
    <w:rsid w:val="008D275B"/>
    <w:rsid w:val="008D2B32"/>
    <w:rsid w:val="008D2BDE"/>
    <w:rsid w:val="008D2BE3"/>
    <w:rsid w:val="008D2E4D"/>
    <w:rsid w:val="008D38BF"/>
    <w:rsid w:val="008D43CC"/>
    <w:rsid w:val="008D487E"/>
    <w:rsid w:val="008D497C"/>
    <w:rsid w:val="008D4CBE"/>
    <w:rsid w:val="008D4CDE"/>
    <w:rsid w:val="008D4DB5"/>
    <w:rsid w:val="008D555A"/>
    <w:rsid w:val="008D5892"/>
    <w:rsid w:val="008D5D70"/>
    <w:rsid w:val="008D6267"/>
    <w:rsid w:val="008D6298"/>
    <w:rsid w:val="008D6689"/>
    <w:rsid w:val="008D66F6"/>
    <w:rsid w:val="008D66FE"/>
    <w:rsid w:val="008D68FF"/>
    <w:rsid w:val="008D6DFA"/>
    <w:rsid w:val="008D71A2"/>
    <w:rsid w:val="008D7350"/>
    <w:rsid w:val="008D741E"/>
    <w:rsid w:val="008D77C2"/>
    <w:rsid w:val="008D7C95"/>
    <w:rsid w:val="008E088A"/>
    <w:rsid w:val="008E10AA"/>
    <w:rsid w:val="008E1388"/>
    <w:rsid w:val="008E16ED"/>
    <w:rsid w:val="008E1704"/>
    <w:rsid w:val="008E1B57"/>
    <w:rsid w:val="008E1CB7"/>
    <w:rsid w:val="008E1D39"/>
    <w:rsid w:val="008E1DAC"/>
    <w:rsid w:val="008E2003"/>
    <w:rsid w:val="008E20BD"/>
    <w:rsid w:val="008E21B4"/>
    <w:rsid w:val="008E233E"/>
    <w:rsid w:val="008E233F"/>
    <w:rsid w:val="008E236F"/>
    <w:rsid w:val="008E23BD"/>
    <w:rsid w:val="008E287E"/>
    <w:rsid w:val="008E28E3"/>
    <w:rsid w:val="008E2C20"/>
    <w:rsid w:val="008E3055"/>
    <w:rsid w:val="008E3210"/>
    <w:rsid w:val="008E32E2"/>
    <w:rsid w:val="008E3459"/>
    <w:rsid w:val="008E392A"/>
    <w:rsid w:val="008E39DD"/>
    <w:rsid w:val="008E4176"/>
    <w:rsid w:val="008E4489"/>
    <w:rsid w:val="008E454D"/>
    <w:rsid w:val="008E4A0D"/>
    <w:rsid w:val="008E4F7C"/>
    <w:rsid w:val="008E4FE5"/>
    <w:rsid w:val="008E5604"/>
    <w:rsid w:val="008E5728"/>
    <w:rsid w:val="008E6291"/>
    <w:rsid w:val="008E65C9"/>
    <w:rsid w:val="008E683A"/>
    <w:rsid w:val="008E697F"/>
    <w:rsid w:val="008E7034"/>
    <w:rsid w:val="008E75E0"/>
    <w:rsid w:val="008E7715"/>
    <w:rsid w:val="008F00C8"/>
    <w:rsid w:val="008F019F"/>
    <w:rsid w:val="008F0245"/>
    <w:rsid w:val="008F0358"/>
    <w:rsid w:val="008F06CD"/>
    <w:rsid w:val="008F07BF"/>
    <w:rsid w:val="008F0C29"/>
    <w:rsid w:val="008F0EC9"/>
    <w:rsid w:val="008F12C2"/>
    <w:rsid w:val="008F13CE"/>
    <w:rsid w:val="008F14F2"/>
    <w:rsid w:val="008F1870"/>
    <w:rsid w:val="008F19AE"/>
    <w:rsid w:val="008F1B38"/>
    <w:rsid w:val="008F1DF4"/>
    <w:rsid w:val="008F2426"/>
    <w:rsid w:val="008F26F3"/>
    <w:rsid w:val="008F2754"/>
    <w:rsid w:val="008F2B3E"/>
    <w:rsid w:val="008F2DB4"/>
    <w:rsid w:val="008F2E46"/>
    <w:rsid w:val="008F30A8"/>
    <w:rsid w:val="008F3752"/>
    <w:rsid w:val="008F38BC"/>
    <w:rsid w:val="008F38F9"/>
    <w:rsid w:val="008F3F8D"/>
    <w:rsid w:val="008F4222"/>
    <w:rsid w:val="008F4406"/>
    <w:rsid w:val="008F48F1"/>
    <w:rsid w:val="008F4BC0"/>
    <w:rsid w:val="008F4C0A"/>
    <w:rsid w:val="008F4EB9"/>
    <w:rsid w:val="008F4FEC"/>
    <w:rsid w:val="008F5117"/>
    <w:rsid w:val="008F5318"/>
    <w:rsid w:val="008F5A86"/>
    <w:rsid w:val="008F5B0E"/>
    <w:rsid w:val="008F69CC"/>
    <w:rsid w:val="008F6BA0"/>
    <w:rsid w:val="008F6BCF"/>
    <w:rsid w:val="008F6CED"/>
    <w:rsid w:val="008F7027"/>
    <w:rsid w:val="008F762E"/>
    <w:rsid w:val="008F770B"/>
    <w:rsid w:val="008F794E"/>
    <w:rsid w:val="008F7C1D"/>
    <w:rsid w:val="008F7CF9"/>
    <w:rsid w:val="00900703"/>
    <w:rsid w:val="009007F0"/>
    <w:rsid w:val="0090095B"/>
    <w:rsid w:val="0090102C"/>
    <w:rsid w:val="00901433"/>
    <w:rsid w:val="00901520"/>
    <w:rsid w:val="0090224A"/>
    <w:rsid w:val="009023F8"/>
    <w:rsid w:val="00902655"/>
    <w:rsid w:val="00902A00"/>
    <w:rsid w:val="009030CD"/>
    <w:rsid w:val="00903798"/>
    <w:rsid w:val="00903887"/>
    <w:rsid w:val="009039D6"/>
    <w:rsid w:val="00903CF7"/>
    <w:rsid w:val="00903DFE"/>
    <w:rsid w:val="009040F1"/>
    <w:rsid w:val="00904274"/>
    <w:rsid w:val="00904A9E"/>
    <w:rsid w:val="00904C10"/>
    <w:rsid w:val="00904EE1"/>
    <w:rsid w:val="009052E3"/>
    <w:rsid w:val="009068F7"/>
    <w:rsid w:val="00906CB1"/>
    <w:rsid w:val="00906CBF"/>
    <w:rsid w:val="00907557"/>
    <w:rsid w:val="009075C4"/>
    <w:rsid w:val="009079DE"/>
    <w:rsid w:val="00907BA0"/>
    <w:rsid w:val="009104A4"/>
    <w:rsid w:val="0091089B"/>
    <w:rsid w:val="00910D84"/>
    <w:rsid w:val="00911DDA"/>
    <w:rsid w:val="00912AC1"/>
    <w:rsid w:val="00912C54"/>
    <w:rsid w:val="00912E2D"/>
    <w:rsid w:val="00912EA0"/>
    <w:rsid w:val="009130C6"/>
    <w:rsid w:val="0091355F"/>
    <w:rsid w:val="0091360A"/>
    <w:rsid w:val="009142DA"/>
    <w:rsid w:val="009147CD"/>
    <w:rsid w:val="00914897"/>
    <w:rsid w:val="00914F85"/>
    <w:rsid w:val="009150AC"/>
    <w:rsid w:val="009156FF"/>
    <w:rsid w:val="009158CE"/>
    <w:rsid w:val="00915B45"/>
    <w:rsid w:val="00916130"/>
    <w:rsid w:val="00916FA1"/>
    <w:rsid w:val="009170D0"/>
    <w:rsid w:val="009174F5"/>
    <w:rsid w:val="009177BF"/>
    <w:rsid w:val="009201A3"/>
    <w:rsid w:val="00920941"/>
    <w:rsid w:val="00920D29"/>
    <w:rsid w:val="00920D3B"/>
    <w:rsid w:val="00921137"/>
    <w:rsid w:val="0092128E"/>
    <w:rsid w:val="0092172A"/>
    <w:rsid w:val="009217ED"/>
    <w:rsid w:val="00921A86"/>
    <w:rsid w:val="00921AD5"/>
    <w:rsid w:val="00921DEE"/>
    <w:rsid w:val="00921F51"/>
    <w:rsid w:val="009224D5"/>
    <w:rsid w:val="00922505"/>
    <w:rsid w:val="009226B3"/>
    <w:rsid w:val="0092318C"/>
    <w:rsid w:val="00923B82"/>
    <w:rsid w:val="00923CFC"/>
    <w:rsid w:val="00924073"/>
    <w:rsid w:val="0092425A"/>
    <w:rsid w:val="009249EA"/>
    <w:rsid w:val="009255F3"/>
    <w:rsid w:val="00925711"/>
    <w:rsid w:val="00925918"/>
    <w:rsid w:val="00925C18"/>
    <w:rsid w:val="00925FC2"/>
    <w:rsid w:val="0092603B"/>
    <w:rsid w:val="009260F8"/>
    <w:rsid w:val="009261C2"/>
    <w:rsid w:val="00926AA4"/>
    <w:rsid w:val="00927999"/>
    <w:rsid w:val="00927BAC"/>
    <w:rsid w:val="00927D8B"/>
    <w:rsid w:val="00927EC2"/>
    <w:rsid w:val="0093032D"/>
    <w:rsid w:val="0093051A"/>
    <w:rsid w:val="009309F1"/>
    <w:rsid w:val="00930CB7"/>
    <w:rsid w:val="009310A9"/>
    <w:rsid w:val="00931153"/>
    <w:rsid w:val="0093117D"/>
    <w:rsid w:val="009312C6"/>
    <w:rsid w:val="009313A1"/>
    <w:rsid w:val="009315D1"/>
    <w:rsid w:val="009316EC"/>
    <w:rsid w:val="00931CA4"/>
    <w:rsid w:val="00931F56"/>
    <w:rsid w:val="00932206"/>
    <w:rsid w:val="00932317"/>
    <w:rsid w:val="00932347"/>
    <w:rsid w:val="0093249D"/>
    <w:rsid w:val="00932649"/>
    <w:rsid w:val="0093285E"/>
    <w:rsid w:val="0093286F"/>
    <w:rsid w:val="00933077"/>
    <w:rsid w:val="009330F9"/>
    <w:rsid w:val="00933370"/>
    <w:rsid w:val="009336FA"/>
    <w:rsid w:val="0093396A"/>
    <w:rsid w:val="00933A6F"/>
    <w:rsid w:val="00933BDE"/>
    <w:rsid w:val="00933BE3"/>
    <w:rsid w:val="00933C1A"/>
    <w:rsid w:val="00933FCD"/>
    <w:rsid w:val="0093442E"/>
    <w:rsid w:val="009344C2"/>
    <w:rsid w:val="009345C0"/>
    <w:rsid w:val="00934755"/>
    <w:rsid w:val="009348D1"/>
    <w:rsid w:val="009348D7"/>
    <w:rsid w:val="009348EF"/>
    <w:rsid w:val="009358DA"/>
    <w:rsid w:val="00935912"/>
    <w:rsid w:val="00935C93"/>
    <w:rsid w:val="009363BD"/>
    <w:rsid w:val="00936634"/>
    <w:rsid w:val="009366BF"/>
    <w:rsid w:val="00936838"/>
    <w:rsid w:val="009368B9"/>
    <w:rsid w:val="00936A8A"/>
    <w:rsid w:val="00936BE1"/>
    <w:rsid w:val="00936CBC"/>
    <w:rsid w:val="00936D53"/>
    <w:rsid w:val="00937482"/>
    <w:rsid w:val="00940D91"/>
    <w:rsid w:val="009411B9"/>
    <w:rsid w:val="0094122F"/>
    <w:rsid w:val="0094129C"/>
    <w:rsid w:val="00941B71"/>
    <w:rsid w:val="00941C8B"/>
    <w:rsid w:val="0094264B"/>
    <w:rsid w:val="009427E5"/>
    <w:rsid w:val="00942D07"/>
    <w:rsid w:val="009432DD"/>
    <w:rsid w:val="009434F1"/>
    <w:rsid w:val="009439A2"/>
    <w:rsid w:val="00943BA4"/>
    <w:rsid w:val="00943F89"/>
    <w:rsid w:val="00943FD7"/>
    <w:rsid w:val="009441D6"/>
    <w:rsid w:val="009443A4"/>
    <w:rsid w:val="00944539"/>
    <w:rsid w:val="009445BB"/>
    <w:rsid w:val="00944E3F"/>
    <w:rsid w:val="009456D4"/>
    <w:rsid w:val="00945C66"/>
    <w:rsid w:val="00945CF3"/>
    <w:rsid w:val="009461DC"/>
    <w:rsid w:val="00946257"/>
    <w:rsid w:val="0094686C"/>
    <w:rsid w:val="00946992"/>
    <w:rsid w:val="009473FE"/>
    <w:rsid w:val="009474FA"/>
    <w:rsid w:val="00947701"/>
    <w:rsid w:val="00947B90"/>
    <w:rsid w:val="00947EBC"/>
    <w:rsid w:val="00950061"/>
    <w:rsid w:val="00950063"/>
    <w:rsid w:val="00950379"/>
    <w:rsid w:val="00950551"/>
    <w:rsid w:val="00950A77"/>
    <w:rsid w:val="00951B39"/>
    <w:rsid w:val="00951DA8"/>
    <w:rsid w:val="00952CE1"/>
    <w:rsid w:val="00952D28"/>
    <w:rsid w:val="00952D2C"/>
    <w:rsid w:val="00952EFF"/>
    <w:rsid w:val="00952F1B"/>
    <w:rsid w:val="00952FE8"/>
    <w:rsid w:val="0095342F"/>
    <w:rsid w:val="0095360A"/>
    <w:rsid w:val="0095374C"/>
    <w:rsid w:val="0095387D"/>
    <w:rsid w:val="00953A65"/>
    <w:rsid w:val="00953B1D"/>
    <w:rsid w:val="00953FA1"/>
    <w:rsid w:val="009543A2"/>
    <w:rsid w:val="009544BE"/>
    <w:rsid w:val="0095469E"/>
    <w:rsid w:val="009548CA"/>
    <w:rsid w:val="009548E0"/>
    <w:rsid w:val="00954FA9"/>
    <w:rsid w:val="0095515C"/>
    <w:rsid w:val="00955C70"/>
    <w:rsid w:val="00955F6F"/>
    <w:rsid w:val="009560B3"/>
    <w:rsid w:val="009566C7"/>
    <w:rsid w:val="009569CB"/>
    <w:rsid w:val="00956B2E"/>
    <w:rsid w:val="00957999"/>
    <w:rsid w:val="00957AAC"/>
    <w:rsid w:val="00957C2C"/>
    <w:rsid w:val="00957E9B"/>
    <w:rsid w:val="00957FF7"/>
    <w:rsid w:val="009603AE"/>
    <w:rsid w:val="009604BF"/>
    <w:rsid w:val="00960698"/>
    <w:rsid w:val="00960748"/>
    <w:rsid w:val="00960E98"/>
    <w:rsid w:val="009612B1"/>
    <w:rsid w:val="00961608"/>
    <w:rsid w:val="00961B7D"/>
    <w:rsid w:val="00961CE6"/>
    <w:rsid w:val="00961D5F"/>
    <w:rsid w:val="00961D80"/>
    <w:rsid w:val="00961E59"/>
    <w:rsid w:val="00961FCA"/>
    <w:rsid w:val="009625F1"/>
    <w:rsid w:val="0096274F"/>
    <w:rsid w:val="009627E1"/>
    <w:rsid w:val="0096283B"/>
    <w:rsid w:val="00962F22"/>
    <w:rsid w:val="0096308D"/>
    <w:rsid w:val="00964267"/>
    <w:rsid w:val="0096434B"/>
    <w:rsid w:val="009644DE"/>
    <w:rsid w:val="009645C6"/>
    <w:rsid w:val="009645D8"/>
    <w:rsid w:val="00964802"/>
    <w:rsid w:val="00964BFE"/>
    <w:rsid w:val="0096514C"/>
    <w:rsid w:val="009655E9"/>
    <w:rsid w:val="00965985"/>
    <w:rsid w:val="00965C63"/>
    <w:rsid w:val="00965CED"/>
    <w:rsid w:val="00966068"/>
    <w:rsid w:val="0096610A"/>
    <w:rsid w:val="0096625A"/>
    <w:rsid w:val="0096644E"/>
    <w:rsid w:val="00966645"/>
    <w:rsid w:val="00966727"/>
    <w:rsid w:val="00966783"/>
    <w:rsid w:val="009668EB"/>
    <w:rsid w:val="00966AC6"/>
    <w:rsid w:val="00966C04"/>
    <w:rsid w:val="0096754D"/>
    <w:rsid w:val="0096754E"/>
    <w:rsid w:val="0096761E"/>
    <w:rsid w:val="00967B40"/>
    <w:rsid w:val="00970195"/>
    <w:rsid w:val="009702B3"/>
    <w:rsid w:val="009704BB"/>
    <w:rsid w:val="00970A2A"/>
    <w:rsid w:val="00970ADE"/>
    <w:rsid w:val="00970B22"/>
    <w:rsid w:val="00970E76"/>
    <w:rsid w:val="009715B3"/>
    <w:rsid w:val="009718DA"/>
    <w:rsid w:val="00971978"/>
    <w:rsid w:val="009719E5"/>
    <w:rsid w:val="00971B5C"/>
    <w:rsid w:val="00971C43"/>
    <w:rsid w:val="00971E41"/>
    <w:rsid w:val="00971E4A"/>
    <w:rsid w:val="0097223A"/>
    <w:rsid w:val="0097246C"/>
    <w:rsid w:val="0097268F"/>
    <w:rsid w:val="009727F7"/>
    <w:rsid w:val="0097287C"/>
    <w:rsid w:val="009728BA"/>
    <w:rsid w:val="00972EF0"/>
    <w:rsid w:val="00973518"/>
    <w:rsid w:val="0097378B"/>
    <w:rsid w:val="00974470"/>
    <w:rsid w:val="009746ED"/>
    <w:rsid w:val="0097497B"/>
    <w:rsid w:val="00974B1E"/>
    <w:rsid w:val="00974C2C"/>
    <w:rsid w:val="00975599"/>
    <w:rsid w:val="0097579F"/>
    <w:rsid w:val="00976376"/>
    <w:rsid w:val="009764A0"/>
    <w:rsid w:val="0097664A"/>
    <w:rsid w:val="00976669"/>
    <w:rsid w:val="009767DB"/>
    <w:rsid w:val="00976F2A"/>
    <w:rsid w:val="00976F8E"/>
    <w:rsid w:val="00977286"/>
    <w:rsid w:val="0097754D"/>
    <w:rsid w:val="00977579"/>
    <w:rsid w:val="00977875"/>
    <w:rsid w:val="00977A1F"/>
    <w:rsid w:val="00977A81"/>
    <w:rsid w:val="00977C30"/>
    <w:rsid w:val="00977D01"/>
    <w:rsid w:val="00977DEB"/>
    <w:rsid w:val="0098002B"/>
    <w:rsid w:val="00980607"/>
    <w:rsid w:val="00980B4D"/>
    <w:rsid w:val="00980CC9"/>
    <w:rsid w:val="00980E62"/>
    <w:rsid w:val="00981353"/>
    <w:rsid w:val="009818B5"/>
    <w:rsid w:val="00982B96"/>
    <w:rsid w:val="00982BDE"/>
    <w:rsid w:val="00982D14"/>
    <w:rsid w:val="00982E01"/>
    <w:rsid w:val="00982E58"/>
    <w:rsid w:val="00982EBB"/>
    <w:rsid w:val="00982F44"/>
    <w:rsid w:val="00983034"/>
    <w:rsid w:val="00983903"/>
    <w:rsid w:val="00983B67"/>
    <w:rsid w:val="00983DE9"/>
    <w:rsid w:val="0098419E"/>
    <w:rsid w:val="009843C9"/>
    <w:rsid w:val="00984A79"/>
    <w:rsid w:val="00984E03"/>
    <w:rsid w:val="0098505F"/>
    <w:rsid w:val="00985485"/>
    <w:rsid w:val="00985554"/>
    <w:rsid w:val="009857EB"/>
    <w:rsid w:val="0098580B"/>
    <w:rsid w:val="00985D22"/>
    <w:rsid w:val="00985F47"/>
    <w:rsid w:val="00985F9B"/>
    <w:rsid w:val="00986074"/>
    <w:rsid w:val="00986259"/>
    <w:rsid w:val="00986319"/>
    <w:rsid w:val="009867A3"/>
    <w:rsid w:val="0098687E"/>
    <w:rsid w:val="00986977"/>
    <w:rsid w:val="00986AAA"/>
    <w:rsid w:val="00986D05"/>
    <w:rsid w:val="0098752F"/>
    <w:rsid w:val="00987933"/>
    <w:rsid w:val="00987987"/>
    <w:rsid w:val="00987B49"/>
    <w:rsid w:val="00987F1A"/>
    <w:rsid w:val="00987FDE"/>
    <w:rsid w:val="00990158"/>
    <w:rsid w:val="00990577"/>
    <w:rsid w:val="009907BA"/>
    <w:rsid w:val="00990B19"/>
    <w:rsid w:val="00990B6B"/>
    <w:rsid w:val="0099166F"/>
    <w:rsid w:val="009916EF"/>
    <w:rsid w:val="0099181F"/>
    <w:rsid w:val="00991B9A"/>
    <w:rsid w:val="00991DBB"/>
    <w:rsid w:val="009925C9"/>
    <w:rsid w:val="009928DB"/>
    <w:rsid w:val="00992A29"/>
    <w:rsid w:val="00992FAB"/>
    <w:rsid w:val="009930DA"/>
    <w:rsid w:val="0099375D"/>
    <w:rsid w:val="00993C2D"/>
    <w:rsid w:val="00993D3C"/>
    <w:rsid w:val="00993F0F"/>
    <w:rsid w:val="0099403F"/>
    <w:rsid w:val="009941A7"/>
    <w:rsid w:val="009941F6"/>
    <w:rsid w:val="009942E0"/>
    <w:rsid w:val="0099447F"/>
    <w:rsid w:val="00994832"/>
    <w:rsid w:val="0099496D"/>
    <w:rsid w:val="00994A94"/>
    <w:rsid w:val="00994AB3"/>
    <w:rsid w:val="00994B74"/>
    <w:rsid w:val="00994EEC"/>
    <w:rsid w:val="009951FC"/>
    <w:rsid w:val="009958CF"/>
    <w:rsid w:val="009958DB"/>
    <w:rsid w:val="00995CE8"/>
    <w:rsid w:val="00995DE5"/>
    <w:rsid w:val="00996109"/>
    <w:rsid w:val="009961EC"/>
    <w:rsid w:val="0099625A"/>
    <w:rsid w:val="009966F6"/>
    <w:rsid w:val="00996CE8"/>
    <w:rsid w:val="00996D1D"/>
    <w:rsid w:val="00996E07"/>
    <w:rsid w:val="00997128"/>
    <w:rsid w:val="009972B9"/>
    <w:rsid w:val="00997475"/>
    <w:rsid w:val="00997F99"/>
    <w:rsid w:val="009A0067"/>
    <w:rsid w:val="009A00D0"/>
    <w:rsid w:val="009A01B9"/>
    <w:rsid w:val="009A0233"/>
    <w:rsid w:val="009A0920"/>
    <w:rsid w:val="009A0BA4"/>
    <w:rsid w:val="009A0D2F"/>
    <w:rsid w:val="009A0D57"/>
    <w:rsid w:val="009A1054"/>
    <w:rsid w:val="009A1062"/>
    <w:rsid w:val="009A1664"/>
    <w:rsid w:val="009A17EA"/>
    <w:rsid w:val="009A1821"/>
    <w:rsid w:val="009A2893"/>
    <w:rsid w:val="009A2ADB"/>
    <w:rsid w:val="009A2CEB"/>
    <w:rsid w:val="009A3D7C"/>
    <w:rsid w:val="009A3DC1"/>
    <w:rsid w:val="009A3F33"/>
    <w:rsid w:val="009A3F98"/>
    <w:rsid w:val="009A3FE1"/>
    <w:rsid w:val="009A42BC"/>
    <w:rsid w:val="009A44B6"/>
    <w:rsid w:val="009A4923"/>
    <w:rsid w:val="009A4DDF"/>
    <w:rsid w:val="009A4EC6"/>
    <w:rsid w:val="009A53C3"/>
    <w:rsid w:val="009A54AB"/>
    <w:rsid w:val="009A5917"/>
    <w:rsid w:val="009A60AD"/>
    <w:rsid w:val="009A640A"/>
    <w:rsid w:val="009A6958"/>
    <w:rsid w:val="009A6EDA"/>
    <w:rsid w:val="009A6F73"/>
    <w:rsid w:val="009A72B7"/>
    <w:rsid w:val="009A753E"/>
    <w:rsid w:val="009A75DD"/>
    <w:rsid w:val="009A76DC"/>
    <w:rsid w:val="009A7FA3"/>
    <w:rsid w:val="009B0433"/>
    <w:rsid w:val="009B0665"/>
    <w:rsid w:val="009B07C8"/>
    <w:rsid w:val="009B0A5A"/>
    <w:rsid w:val="009B15E6"/>
    <w:rsid w:val="009B1651"/>
    <w:rsid w:val="009B17E1"/>
    <w:rsid w:val="009B1990"/>
    <w:rsid w:val="009B1CCC"/>
    <w:rsid w:val="009B211C"/>
    <w:rsid w:val="009B286D"/>
    <w:rsid w:val="009B2B7A"/>
    <w:rsid w:val="009B2C2A"/>
    <w:rsid w:val="009B30B7"/>
    <w:rsid w:val="009B352A"/>
    <w:rsid w:val="009B3779"/>
    <w:rsid w:val="009B3917"/>
    <w:rsid w:val="009B3A05"/>
    <w:rsid w:val="009B4067"/>
    <w:rsid w:val="009B4129"/>
    <w:rsid w:val="009B46DE"/>
    <w:rsid w:val="009B49A9"/>
    <w:rsid w:val="009B4B71"/>
    <w:rsid w:val="009B5047"/>
    <w:rsid w:val="009B578F"/>
    <w:rsid w:val="009B59A7"/>
    <w:rsid w:val="009B5AFC"/>
    <w:rsid w:val="009B5B56"/>
    <w:rsid w:val="009B5DD3"/>
    <w:rsid w:val="009B6102"/>
    <w:rsid w:val="009B6287"/>
    <w:rsid w:val="009B6295"/>
    <w:rsid w:val="009B6333"/>
    <w:rsid w:val="009B67CA"/>
    <w:rsid w:val="009B690D"/>
    <w:rsid w:val="009B7419"/>
    <w:rsid w:val="009B793A"/>
    <w:rsid w:val="009B7B18"/>
    <w:rsid w:val="009C1004"/>
    <w:rsid w:val="009C115E"/>
    <w:rsid w:val="009C12B2"/>
    <w:rsid w:val="009C1A07"/>
    <w:rsid w:val="009C1C8A"/>
    <w:rsid w:val="009C1E26"/>
    <w:rsid w:val="009C1F7C"/>
    <w:rsid w:val="009C202A"/>
    <w:rsid w:val="009C203A"/>
    <w:rsid w:val="009C20FA"/>
    <w:rsid w:val="009C2110"/>
    <w:rsid w:val="009C2767"/>
    <w:rsid w:val="009C279E"/>
    <w:rsid w:val="009C27BA"/>
    <w:rsid w:val="009C28A1"/>
    <w:rsid w:val="009C2A5B"/>
    <w:rsid w:val="009C2C5D"/>
    <w:rsid w:val="009C3F0D"/>
    <w:rsid w:val="009C4015"/>
    <w:rsid w:val="009C4048"/>
    <w:rsid w:val="009C43FF"/>
    <w:rsid w:val="009C47DD"/>
    <w:rsid w:val="009C4814"/>
    <w:rsid w:val="009C4AD0"/>
    <w:rsid w:val="009C4FF7"/>
    <w:rsid w:val="009C5017"/>
    <w:rsid w:val="009C51B3"/>
    <w:rsid w:val="009C5437"/>
    <w:rsid w:val="009C5B36"/>
    <w:rsid w:val="009C5B7C"/>
    <w:rsid w:val="009C5BA4"/>
    <w:rsid w:val="009C64B4"/>
    <w:rsid w:val="009C652D"/>
    <w:rsid w:val="009C67AC"/>
    <w:rsid w:val="009C6C69"/>
    <w:rsid w:val="009C720B"/>
    <w:rsid w:val="009C7611"/>
    <w:rsid w:val="009C777A"/>
    <w:rsid w:val="009C77B2"/>
    <w:rsid w:val="009C78A9"/>
    <w:rsid w:val="009C7A90"/>
    <w:rsid w:val="009C7B74"/>
    <w:rsid w:val="009C7DB9"/>
    <w:rsid w:val="009C7DFD"/>
    <w:rsid w:val="009C7E15"/>
    <w:rsid w:val="009C7E55"/>
    <w:rsid w:val="009C7F6D"/>
    <w:rsid w:val="009D0308"/>
    <w:rsid w:val="009D03C3"/>
    <w:rsid w:val="009D0414"/>
    <w:rsid w:val="009D06C8"/>
    <w:rsid w:val="009D079B"/>
    <w:rsid w:val="009D0A37"/>
    <w:rsid w:val="009D0C9C"/>
    <w:rsid w:val="009D0D14"/>
    <w:rsid w:val="009D12FF"/>
    <w:rsid w:val="009D13AB"/>
    <w:rsid w:val="009D1A8E"/>
    <w:rsid w:val="009D1BD6"/>
    <w:rsid w:val="009D2493"/>
    <w:rsid w:val="009D251B"/>
    <w:rsid w:val="009D338F"/>
    <w:rsid w:val="009D33E7"/>
    <w:rsid w:val="009D4326"/>
    <w:rsid w:val="009D44D1"/>
    <w:rsid w:val="009D4D8C"/>
    <w:rsid w:val="009D4DD5"/>
    <w:rsid w:val="009D506C"/>
    <w:rsid w:val="009D5B53"/>
    <w:rsid w:val="009D5C20"/>
    <w:rsid w:val="009D5D3F"/>
    <w:rsid w:val="009D5ED2"/>
    <w:rsid w:val="009D6F3D"/>
    <w:rsid w:val="009D6FA9"/>
    <w:rsid w:val="009D79D4"/>
    <w:rsid w:val="009E0024"/>
    <w:rsid w:val="009E037D"/>
    <w:rsid w:val="009E0770"/>
    <w:rsid w:val="009E078E"/>
    <w:rsid w:val="009E1124"/>
    <w:rsid w:val="009E1C60"/>
    <w:rsid w:val="009E2133"/>
    <w:rsid w:val="009E2590"/>
    <w:rsid w:val="009E25E0"/>
    <w:rsid w:val="009E2639"/>
    <w:rsid w:val="009E2773"/>
    <w:rsid w:val="009E2817"/>
    <w:rsid w:val="009E2885"/>
    <w:rsid w:val="009E2BC9"/>
    <w:rsid w:val="009E2BCB"/>
    <w:rsid w:val="009E2D94"/>
    <w:rsid w:val="009E31DC"/>
    <w:rsid w:val="009E3470"/>
    <w:rsid w:val="009E364A"/>
    <w:rsid w:val="009E3745"/>
    <w:rsid w:val="009E38B1"/>
    <w:rsid w:val="009E39CF"/>
    <w:rsid w:val="009E3A6F"/>
    <w:rsid w:val="009E4360"/>
    <w:rsid w:val="009E43D7"/>
    <w:rsid w:val="009E493F"/>
    <w:rsid w:val="009E4D15"/>
    <w:rsid w:val="009E5115"/>
    <w:rsid w:val="009E5184"/>
    <w:rsid w:val="009E547B"/>
    <w:rsid w:val="009E58BD"/>
    <w:rsid w:val="009E5F69"/>
    <w:rsid w:val="009E6070"/>
    <w:rsid w:val="009E6539"/>
    <w:rsid w:val="009E6A01"/>
    <w:rsid w:val="009E6A19"/>
    <w:rsid w:val="009E6A4B"/>
    <w:rsid w:val="009E6D16"/>
    <w:rsid w:val="009E71E1"/>
    <w:rsid w:val="009E73EE"/>
    <w:rsid w:val="009F0538"/>
    <w:rsid w:val="009F0967"/>
    <w:rsid w:val="009F0A2E"/>
    <w:rsid w:val="009F0BD2"/>
    <w:rsid w:val="009F1176"/>
    <w:rsid w:val="009F160E"/>
    <w:rsid w:val="009F17C7"/>
    <w:rsid w:val="009F182D"/>
    <w:rsid w:val="009F1BEA"/>
    <w:rsid w:val="009F224C"/>
    <w:rsid w:val="009F2451"/>
    <w:rsid w:val="009F2EB3"/>
    <w:rsid w:val="009F2FDF"/>
    <w:rsid w:val="009F3440"/>
    <w:rsid w:val="009F3474"/>
    <w:rsid w:val="009F43A8"/>
    <w:rsid w:val="009F44BA"/>
    <w:rsid w:val="009F47DE"/>
    <w:rsid w:val="009F4B25"/>
    <w:rsid w:val="009F4BBA"/>
    <w:rsid w:val="009F4D49"/>
    <w:rsid w:val="009F4D6C"/>
    <w:rsid w:val="009F4DE7"/>
    <w:rsid w:val="009F4F18"/>
    <w:rsid w:val="009F54AD"/>
    <w:rsid w:val="009F5583"/>
    <w:rsid w:val="009F6027"/>
    <w:rsid w:val="009F6314"/>
    <w:rsid w:val="009F6B6B"/>
    <w:rsid w:val="009F6EBE"/>
    <w:rsid w:val="009F6F98"/>
    <w:rsid w:val="009F7E1A"/>
    <w:rsid w:val="009F7E80"/>
    <w:rsid w:val="009F7EE3"/>
    <w:rsid w:val="00A0011C"/>
    <w:rsid w:val="00A00567"/>
    <w:rsid w:val="00A00988"/>
    <w:rsid w:val="00A00CEA"/>
    <w:rsid w:val="00A00E35"/>
    <w:rsid w:val="00A01528"/>
    <w:rsid w:val="00A01BBC"/>
    <w:rsid w:val="00A01CF2"/>
    <w:rsid w:val="00A01F61"/>
    <w:rsid w:val="00A021F7"/>
    <w:rsid w:val="00A0243C"/>
    <w:rsid w:val="00A0248E"/>
    <w:rsid w:val="00A02837"/>
    <w:rsid w:val="00A028B2"/>
    <w:rsid w:val="00A02AAC"/>
    <w:rsid w:val="00A03C16"/>
    <w:rsid w:val="00A047C0"/>
    <w:rsid w:val="00A04B4C"/>
    <w:rsid w:val="00A04B52"/>
    <w:rsid w:val="00A04B65"/>
    <w:rsid w:val="00A04FAB"/>
    <w:rsid w:val="00A0503F"/>
    <w:rsid w:val="00A05089"/>
    <w:rsid w:val="00A05141"/>
    <w:rsid w:val="00A0542F"/>
    <w:rsid w:val="00A055B2"/>
    <w:rsid w:val="00A05E90"/>
    <w:rsid w:val="00A0606C"/>
    <w:rsid w:val="00A0631C"/>
    <w:rsid w:val="00A0635C"/>
    <w:rsid w:val="00A0637F"/>
    <w:rsid w:val="00A06427"/>
    <w:rsid w:val="00A06509"/>
    <w:rsid w:val="00A06848"/>
    <w:rsid w:val="00A068DA"/>
    <w:rsid w:val="00A069B4"/>
    <w:rsid w:val="00A06BB5"/>
    <w:rsid w:val="00A06D4B"/>
    <w:rsid w:val="00A077AB"/>
    <w:rsid w:val="00A07867"/>
    <w:rsid w:val="00A07A4E"/>
    <w:rsid w:val="00A07D41"/>
    <w:rsid w:val="00A07FAE"/>
    <w:rsid w:val="00A07FBD"/>
    <w:rsid w:val="00A1000C"/>
    <w:rsid w:val="00A1039E"/>
    <w:rsid w:val="00A1040F"/>
    <w:rsid w:val="00A1068D"/>
    <w:rsid w:val="00A10FDE"/>
    <w:rsid w:val="00A11010"/>
    <w:rsid w:val="00A114E3"/>
    <w:rsid w:val="00A114F1"/>
    <w:rsid w:val="00A11845"/>
    <w:rsid w:val="00A11B60"/>
    <w:rsid w:val="00A11C31"/>
    <w:rsid w:val="00A11D0D"/>
    <w:rsid w:val="00A124EC"/>
    <w:rsid w:val="00A1253A"/>
    <w:rsid w:val="00A12694"/>
    <w:rsid w:val="00A128B0"/>
    <w:rsid w:val="00A12AC0"/>
    <w:rsid w:val="00A12ED5"/>
    <w:rsid w:val="00A13083"/>
    <w:rsid w:val="00A13676"/>
    <w:rsid w:val="00A136F6"/>
    <w:rsid w:val="00A13A77"/>
    <w:rsid w:val="00A13F04"/>
    <w:rsid w:val="00A13FB7"/>
    <w:rsid w:val="00A14F11"/>
    <w:rsid w:val="00A1548A"/>
    <w:rsid w:val="00A15543"/>
    <w:rsid w:val="00A15590"/>
    <w:rsid w:val="00A1652F"/>
    <w:rsid w:val="00A16577"/>
    <w:rsid w:val="00A16607"/>
    <w:rsid w:val="00A16C3E"/>
    <w:rsid w:val="00A17558"/>
    <w:rsid w:val="00A1760F"/>
    <w:rsid w:val="00A17FCF"/>
    <w:rsid w:val="00A2000D"/>
    <w:rsid w:val="00A201DB"/>
    <w:rsid w:val="00A201E0"/>
    <w:rsid w:val="00A20577"/>
    <w:rsid w:val="00A20926"/>
    <w:rsid w:val="00A20F5D"/>
    <w:rsid w:val="00A2124E"/>
    <w:rsid w:val="00A21441"/>
    <w:rsid w:val="00A214A1"/>
    <w:rsid w:val="00A21754"/>
    <w:rsid w:val="00A21C0B"/>
    <w:rsid w:val="00A21CDB"/>
    <w:rsid w:val="00A21D9F"/>
    <w:rsid w:val="00A223A5"/>
    <w:rsid w:val="00A22D5C"/>
    <w:rsid w:val="00A22F98"/>
    <w:rsid w:val="00A230C4"/>
    <w:rsid w:val="00A231CC"/>
    <w:rsid w:val="00A23321"/>
    <w:rsid w:val="00A235CE"/>
    <w:rsid w:val="00A237E0"/>
    <w:rsid w:val="00A23A18"/>
    <w:rsid w:val="00A24008"/>
    <w:rsid w:val="00A244EE"/>
    <w:rsid w:val="00A24799"/>
    <w:rsid w:val="00A24DCE"/>
    <w:rsid w:val="00A252B8"/>
    <w:rsid w:val="00A25982"/>
    <w:rsid w:val="00A25C70"/>
    <w:rsid w:val="00A25F9B"/>
    <w:rsid w:val="00A26556"/>
    <w:rsid w:val="00A26AF7"/>
    <w:rsid w:val="00A26B34"/>
    <w:rsid w:val="00A26DD1"/>
    <w:rsid w:val="00A27339"/>
    <w:rsid w:val="00A275FA"/>
    <w:rsid w:val="00A30036"/>
    <w:rsid w:val="00A30340"/>
    <w:rsid w:val="00A30415"/>
    <w:rsid w:val="00A305A3"/>
    <w:rsid w:val="00A305B5"/>
    <w:rsid w:val="00A30E2F"/>
    <w:rsid w:val="00A30FAE"/>
    <w:rsid w:val="00A31169"/>
    <w:rsid w:val="00A313C5"/>
    <w:rsid w:val="00A3162C"/>
    <w:rsid w:val="00A31748"/>
    <w:rsid w:val="00A31789"/>
    <w:rsid w:val="00A31D81"/>
    <w:rsid w:val="00A3257A"/>
    <w:rsid w:val="00A328B9"/>
    <w:rsid w:val="00A328CA"/>
    <w:rsid w:val="00A32C54"/>
    <w:rsid w:val="00A32D66"/>
    <w:rsid w:val="00A32F32"/>
    <w:rsid w:val="00A33816"/>
    <w:rsid w:val="00A33CB0"/>
    <w:rsid w:val="00A33D95"/>
    <w:rsid w:val="00A340AF"/>
    <w:rsid w:val="00A34326"/>
    <w:rsid w:val="00A34B8F"/>
    <w:rsid w:val="00A35133"/>
    <w:rsid w:val="00A353B0"/>
    <w:rsid w:val="00A354DA"/>
    <w:rsid w:val="00A35738"/>
    <w:rsid w:val="00A35824"/>
    <w:rsid w:val="00A358F9"/>
    <w:rsid w:val="00A3619B"/>
    <w:rsid w:val="00A366AA"/>
    <w:rsid w:val="00A36B49"/>
    <w:rsid w:val="00A36C07"/>
    <w:rsid w:val="00A36F1F"/>
    <w:rsid w:val="00A37078"/>
    <w:rsid w:val="00A376CD"/>
    <w:rsid w:val="00A37B2B"/>
    <w:rsid w:val="00A40098"/>
    <w:rsid w:val="00A406B4"/>
    <w:rsid w:val="00A40CAB"/>
    <w:rsid w:val="00A41544"/>
    <w:rsid w:val="00A42246"/>
    <w:rsid w:val="00A42716"/>
    <w:rsid w:val="00A429AD"/>
    <w:rsid w:val="00A42A30"/>
    <w:rsid w:val="00A42CEC"/>
    <w:rsid w:val="00A42E1E"/>
    <w:rsid w:val="00A42ECA"/>
    <w:rsid w:val="00A42ED6"/>
    <w:rsid w:val="00A4416D"/>
    <w:rsid w:val="00A4448F"/>
    <w:rsid w:val="00A4455F"/>
    <w:rsid w:val="00A446B4"/>
    <w:rsid w:val="00A4477A"/>
    <w:rsid w:val="00A44841"/>
    <w:rsid w:val="00A44F21"/>
    <w:rsid w:val="00A451CF"/>
    <w:rsid w:val="00A45399"/>
    <w:rsid w:val="00A45C55"/>
    <w:rsid w:val="00A45D01"/>
    <w:rsid w:val="00A45FB0"/>
    <w:rsid w:val="00A4632A"/>
    <w:rsid w:val="00A46393"/>
    <w:rsid w:val="00A46611"/>
    <w:rsid w:val="00A46810"/>
    <w:rsid w:val="00A4691C"/>
    <w:rsid w:val="00A46D08"/>
    <w:rsid w:val="00A46D21"/>
    <w:rsid w:val="00A46E8F"/>
    <w:rsid w:val="00A4714A"/>
    <w:rsid w:val="00A474A1"/>
    <w:rsid w:val="00A47E4C"/>
    <w:rsid w:val="00A50081"/>
    <w:rsid w:val="00A502DD"/>
    <w:rsid w:val="00A503A0"/>
    <w:rsid w:val="00A50B02"/>
    <w:rsid w:val="00A50CD3"/>
    <w:rsid w:val="00A5201D"/>
    <w:rsid w:val="00A523CF"/>
    <w:rsid w:val="00A52525"/>
    <w:rsid w:val="00A525B8"/>
    <w:rsid w:val="00A5293B"/>
    <w:rsid w:val="00A52985"/>
    <w:rsid w:val="00A52A94"/>
    <w:rsid w:val="00A52C3C"/>
    <w:rsid w:val="00A53723"/>
    <w:rsid w:val="00A5391C"/>
    <w:rsid w:val="00A53D9A"/>
    <w:rsid w:val="00A54092"/>
    <w:rsid w:val="00A54224"/>
    <w:rsid w:val="00A54237"/>
    <w:rsid w:val="00A542E9"/>
    <w:rsid w:val="00A543B5"/>
    <w:rsid w:val="00A543D9"/>
    <w:rsid w:val="00A545BC"/>
    <w:rsid w:val="00A54912"/>
    <w:rsid w:val="00A54B05"/>
    <w:rsid w:val="00A54EC5"/>
    <w:rsid w:val="00A55A71"/>
    <w:rsid w:val="00A55BE8"/>
    <w:rsid w:val="00A55E11"/>
    <w:rsid w:val="00A560AF"/>
    <w:rsid w:val="00A56188"/>
    <w:rsid w:val="00A5696A"/>
    <w:rsid w:val="00A56C25"/>
    <w:rsid w:val="00A57157"/>
    <w:rsid w:val="00A57B80"/>
    <w:rsid w:val="00A57FDD"/>
    <w:rsid w:val="00A60184"/>
    <w:rsid w:val="00A604E9"/>
    <w:rsid w:val="00A60526"/>
    <w:rsid w:val="00A6070B"/>
    <w:rsid w:val="00A60CD0"/>
    <w:rsid w:val="00A60D88"/>
    <w:rsid w:val="00A60DE6"/>
    <w:rsid w:val="00A60EED"/>
    <w:rsid w:val="00A60FA4"/>
    <w:rsid w:val="00A610C5"/>
    <w:rsid w:val="00A61885"/>
    <w:rsid w:val="00A61CCC"/>
    <w:rsid w:val="00A622BA"/>
    <w:rsid w:val="00A6255C"/>
    <w:rsid w:val="00A62724"/>
    <w:rsid w:val="00A627AF"/>
    <w:rsid w:val="00A6281E"/>
    <w:rsid w:val="00A629E1"/>
    <w:rsid w:val="00A62BA8"/>
    <w:rsid w:val="00A62C81"/>
    <w:rsid w:val="00A62CEB"/>
    <w:rsid w:val="00A62FC4"/>
    <w:rsid w:val="00A63CDA"/>
    <w:rsid w:val="00A63EB2"/>
    <w:rsid w:val="00A641E3"/>
    <w:rsid w:val="00A647D9"/>
    <w:rsid w:val="00A64E3A"/>
    <w:rsid w:val="00A652E5"/>
    <w:rsid w:val="00A65567"/>
    <w:rsid w:val="00A655EF"/>
    <w:rsid w:val="00A658AD"/>
    <w:rsid w:val="00A659EF"/>
    <w:rsid w:val="00A65DB0"/>
    <w:rsid w:val="00A66483"/>
    <w:rsid w:val="00A66721"/>
    <w:rsid w:val="00A667A4"/>
    <w:rsid w:val="00A6710B"/>
    <w:rsid w:val="00A676E6"/>
    <w:rsid w:val="00A70219"/>
    <w:rsid w:val="00A70545"/>
    <w:rsid w:val="00A706AC"/>
    <w:rsid w:val="00A70CAB"/>
    <w:rsid w:val="00A710F5"/>
    <w:rsid w:val="00A71199"/>
    <w:rsid w:val="00A7142E"/>
    <w:rsid w:val="00A71624"/>
    <w:rsid w:val="00A7177F"/>
    <w:rsid w:val="00A71838"/>
    <w:rsid w:val="00A71C01"/>
    <w:rsid w:val="00A72324"/>
    <w:rsid w:val="00A7254A"/>
    <w:rsid w:val="00A726ED"/>
    <w:rsid w:val="00A72E97"/>
    <w:rsid w:val="00A7339E"/>
    <w:rsid w:val="00A73558"/>
    <w:rsid w:val="00A738B1"/>
    <w:rsid w:val="00A73CB4"/>
    <w:rsid w:val="00A742F1"/>
    <w:rsid w:val="00A7435B"/>
    <w:rsid w:val="00A7435E"/>
    <w:rsid w:val="00A746D7"/>
    <w:rsid w:val="00A749FD"/>
    <w:rsid w:val="00A74B13"/>
    <w:rsid w:val="00A74B2D"/>
    <w:rsid w:val="00A74B5C"/>
    <w:rsid w:val="00A750AE"/>
    <w:rsid w:val="00A750BC"/>
    <w:rsid w:val="00A750FD"/>
    <w:rsid w:val="00A755AD"/>
    <w:rsid w:val="00A766F2"/>
    <w:rsid w:val="00A76AF0"/>
    <w:rsid w:val="00A76FCE"/>
    <w:rsid w:val="00A77084"/>
    <w:rsid w:val="00A770BB"/>
    <w:rsid w:val="00A7763A"/>
    <w:rsid w:val="00A777A3"/>
    <w:rsid w:val="00A778D7"/>
    <w:rsid w:val="00A8006A"/>
    <w:rsid w:val="00A801C4"/>
    <w:rsid w:val="00A80232"/>
    <w:rsid w:val="00A8036A"/>
    <w:rsid w:val="00A80710"/>
    <w:rsid w:val="00A80902"/>
    <w:rsid w:val="00A809C0"/>
    <w:rsid w:val="00A80C9D"/>
    <w:rsid w:val="00A80F86"/>
    <w:rsid w:val="00A812E7"/>
    <w:rsid w:val="00A818BA"/>
    <w:rsid w:val="00A81FF6"/>
    <w:rsid w:val="00A821B3"/>
    <w:rsid w:val="00A82378"/>
    <w:rsid w:val="00A828E8"/>
    <w:rsid w:val="00A82EFD"/>
    <w:rsid w:val="00A8312E"/>
    <w:rsid w:val="00A8329D"/>
    <w:rsid w:val="00A838A1"/>
    <w:rsid w:val="00A83C4D"/>
    <w:rsid w:val="00A8422D"/>
    <w:rsid w:val="00A8429B"/>
    <w:rsid w:val="00A84577"/>
    <w:rsid w:val="00A84644"/>
    <w:rsid w:val="00A846BB"/>
    <w:rsid w:val="00A84B77"/>
    <w:rsid w:val="00A84DFE"/>
    <w:rsid w:val="00A850E0"/>
    <w:rsid w:val="00A85286"/>
    <w:rsid w:val="00A85462"/>
    <w:rsid w:val="00A854BF"/>
    <w:rsid w:val="00A859CD"/>
    <w:rsid w:val="00A865D2"/>
    <w:rsid w:val="00A866BC"/>
    <w:rsid w:val="00A86811"/>
    <w:rsid w:val="00A86FA3"/>
    <w:rsid w:val="00A8739B"/>
    <w:rsid w:val="00A87B27"/>
    <w:rsid w:val="00A87C24"/>
    <w:rsid w:val="00A87FFA"/>
    <w:rsid w:val="00A90161"/>
    <w:rsid w:val="00A90409"/>
    <w:rsid w:val="00A9045D"/>
    <w:rsid w:val="00A904AD"/>
    <w:rsid w:val="00A904D0"/>
    <w:rsid w:val="00A904E1"/>
    <w:rsid w:val="00A90972"/>
    <w:rsid w:val="00A90F1E"/>
    <w:rsid w:val="00A90FE2"/>
    <w:rsid w:val="00A91038"/>
    <w:rsid w:val="00A91BAD"/>
    <w:rsid w:val="00A91D2D"/>
    <w:rsid w:val="00A92616"/>
    <w:rsid w:val="00A9290F"/>
    <w:rsid w:val="00A92B47"/>
    <w:rsid w:val="00A92D36"/>
    <w:rsid w:val="00A92E26"/>
    <w:rsid w:val="00A9310F"/>
    <w:rsid w:val="00A9323B"/>
    <w:rsid w:val="00A93B61"/>
    <w:rsid w:val="00A93B8C"/>
    <w:rsid w:val="00A93F15"/>
    <w:rsid w:val="00A94905"/>
    <w:rsid w:val="00A94E7A"/>
    <w:rsid w:val="00A94EBE"/>
    <w:rsid w:val="00A957FA"/>
    <w:rsid w:val="00A95861"/>
    <w:rsid w:val="00A95A66"/>
    <w:rsid w:val="00A95BA1"/>
    <w:rsid w:val="00A95E4B"/>
    <w:rsid w:val="00A9616C"/>
    <w:rsid w:val="00A963C4"/>
    <w:rsid w:val="00A96429"/>
    <w:rsid w:val="00A965B8"/>
    <w:rsid w:val="00A96DF1"/>
    <w:rsid w:val="00A97027"/>
    <w:rsid w:val="00A9748A"/>
    <w:rsid w:val="00A977AC"/>
    <w:rsid w:val="00A97E6B"/>
    <w:rsid w:val="00AA0B93"/>
    <w:rsid w:val="00AA0CC2"/>
    <w:rsid w:val="00AA0FBC"/>
    <w:rsid w:val="00AA1174"/>
    <w:rsid w:val="00AA17F8"/>
    <w:rsid w:val="00AA1946"/>
    <w:rsid w:val="00AA1D3E"/>
    <w:rsid w:val="00AA1F6B"/>
    <w:rsid w:val="00AA262C"/>
    <w:rsid w:val="00AA2D5A"/>
    <w:rsid w:val="00AA3099"/>
    <w:rsid w:val="00AA397B"/>
    <w:rsid w:val="00AA39C8"/>
    <w:rsid w:val="00AA3BC0"/>
    <w:rsid w:val="00AA4321"/>
    <w:rsid w:val="00AA5001"/>
    <w:rsid w:val="00AA51C7"/>
    <w:rsid w:val="00AA52A3"/>
    <w:rsid w:val="00AA59A0"/>
    <w:rsid w:val="00AA5D08"/>
    <w:rsid w:val="00AA60C2"/>
    <w:rsid w:val="00AA6922"/>
    <w:rsid w:val="00AA78B5"/>
    <w:rsid w:val="00AA799C"/>
    <w:rsid w:val="00AA7AE6"/>
    <w:rsid w:val="00AB05BD"/>
    <w:rsid w:val="00AB0724"/>
    <w:rsid w:val="00AB1200"/>
    <w:rsid w:val="00AB17BC"/>
    <w:rsid w:val="00AB19C8"/>
    <w:rsid w:val="00AB1B6F"/>
    <w:rsid w:val="00AB2148"/>
    <w:rsid w:val="00AB22E6"/>
    <w:rsid w:val="00AB23D7"/>
    <w:rsid w:val="00AB273D"/>
    <w:rsid w:val="00AB2843"/>
    <w:rsid w:val="00AB2B1B"/>
    <w:rsid w:val="00AB2DCD"/>
    <w:rsid w:val="00AB351B"/>
    <w:rsid w:val="00AB38D4"/>
    <w:rsid w:val="00AB39DA"/>
    <w:rsid w:val="00AB3AF5"/>
    <w:rsid w:val="00AB4189"/>
    <w:rsid w:val="00AB41D3"/>
    <w:rsid w:val="00AB46A4"/>
    <w:rsid w:val="00AB46DC"/>
    <w:rsid w:val="00AB4B6C"/>
    <w:rsid w:val="00AB50D0"/>
    <w:rsid w:val="00AB536C"/>
    <w:rsid w:val="00AB58AC"/>
    <w:rsid w:val="00AB5929"/>
    <w:rsid w:val="00AB5A2C"/>
    <w:rsid w:val="00AB5A86"/>
    <w:rsid w:val="00AB5D62"/>
    <w:rsid w:val="00AB61A3"/>
    <w:rsid w:val="00AB6282"/>
    <w:rsid w:val="00AB675E"/>
    <w:rsid w:val="00AB6963"/>
    <w:rsid w:val="00AB6A3B"/>
    <w:rsid w:val="00AB6DB8"/>
    <w:rsid w:val="00AB7587"/>
    <w:rsid w:val="00AB7FE5"/>
    <w:rsid w:val="00AC09EC"/>
    <w:rsid w:val="00AC0D66"/>
    <w:rsid w:val="00AC14A0"/>
    <w:rsid w:val="00AC1508"/>
    <w:rsid w:val="00AC165D"/>
    <w:rsid w:val="00AC1B5B"/>
    <w:rsid w:val="00AC23A8"/>
    <w:rsid w:val="00AC2440"/>
    <w:rsid w:val="00AC25F2"/>
    <w:rsid w:val="00AC2860"/>
    <w:rsid w:val="00AC29A0"/>
    <w:rsid w:val="00AC2D19"/>
    <w:rsid w:val="00AC2DFC"/>
    <w:rsid w:val="00AC2EDD"/>
    <w:rsid w:val="00AC3009"/>
    <w:rsid w:val="00AC3035"/>
    <w:rsid w:val="00AC330F"/>
    <w:rsid w:val="00AC3401"/>
    <w:rsid w:val="00AC35AE"/>
    <w:rsid w:val="00AC36A0"/>
    <w:rsid w:val="00AC3E08"/>
    <w:rsid w:val="00AC3E40"/>
    <w:rsid w:val="00AC4010"/>
    <w:rsid w:val="00AC4185"/>
    <w:rsid w:val="00AC45DA"/>
    <w:rsid w:val="00AC46B5"/>
    <w:rsid w:val="00AC46BC"/>
    <w:rsid w:val="00AC4BEC"/>
    <w:rsid w:val="00AC53B7"/>
    <w:rsid w:val="00AC55E5"/>
    <w:rsid w:val="00AC5CE9"/>
    <w:rsid w:val="00AC5D93"/>
    <w:rsid w:val="00AC619A"/>
    <w:rsid w:val="00AC6554"/>
    <w:rsid w:val="00AC65C3"/>
    <w:rsid w:val="00AC6BAB"/>
    <w:rsid w:val="00AC7190"/>
    <w:rsid w:val="00AC71F6"/>
    <w:rsid w:val="00AC76A0"/>
    <w:rsid w:val="00AC784C"/>
    <w:rsid w:val="00AC7A4C"/>
    <w:rsid w:val="00AC7BB3"/>
    <w:rsid w:val="00AC7D5B"/>
    <w:rsid w:val="00AC7E4E"/>
    <w:rsid w:val="00AD09A7"/>
    <w:rsid w:val="00AD0FFC"/>
    <w:rsid w:val="00AD12F8"/>
    <w:rsid w:val="00AD1BF6"/>
    <w:rsid w:val="00AD1EBE"/>
    <w:rsid w:val="00AD2490"/>
    <w:rsid w:val="00AD2494"/>
    <w:rsid w:val="00AD269E"/>
    <w:rsid w:val="00AD28EF"/>
    <w:rsid w:val="00AD2DB6"/>
    <w:rsid w:val="00AD3945"/>
    <w:rsid w:val="00AD3C22"/>
    <w:rsid w:val="00AD3D7B"/>
    <w:rsid w:val="00AD47CE"/>
    <w:rsid w:val="00AD4B08"/>
    <w:rsid w:val="00AD4BDE"/>
    <w:rsid w:val="00AD4EA0"/>
    <w:rsid w:val="00AD5329"/>
    <w:rsid w:val="00AD5C35"/>
    <w:rsid w:val="00AD60DE"/>
    <w:rsid w:val="00AD616B"/>
    <w:rsid w:val="00AD632C"/>
    <w:rsid w:val="00AD632F"/>
    <w:rsid w:val="00AD6477"/>
    <w:rsid w:val="00AD650E"/>
    <w:rsid w:val="00AD6B94"/>
    <w:rsid w:val="00AD6D99"/>
    <w:rsid w:val="00AD6F66"/>
    <w:rsid w:val="00AD77D4"/>
    <w:rsid w:val="00AD7AC0"/>
    <w:rsid w:val="00AD7D30"/>
    <w:rsid w:val="00AE004A"/>
    <w:rsid w:val="00AE05C1"/>
    <w:rsid w:val="00AE086E"/>
    <w:rsid w:val="00AE0984"/>
    <w:rsid w:val="00AE1F65"/>
    <w:rsid w:val="00AE2023"/>
    <w:rsid w:val="00AE21E1"/>
    <w:rsid w:val="00AE2812"/>
    <w:rsid w:val="00AE28E9"/>
    <w:rsid w:val="00AE2D51"/>
    <w:rsid w:val="00AE2DE0"/>
    <w:rsid w:val="00AE329C"/>
    <w:rsid w:val="00AE3E59"/>
    <w:rsid w:val="00AE3F8C"/>
    <w:rsid w:val="00AE46BC"/>
    <w:rsid w:val="00AE4815"/>
    <w:rsid w:val="00AE4838"/>
    <w:rsid w:val="00AE4D1A"/>
    <w:rsid w:val="00AE5179"/>
    <w:rsid w:val="00AE5CD8"/>
    <w:rsid w:val="00AE5F3E"/>
    <w:rsid w:val="00AE6F6A"/>
    <w:rsid w:val="00AE73B8"/>
    <w:rsid w:val="00AE7455"/>
    <w:rsid w:val="00AE75FF"/>
    <w:rsid w:val="00AE778A"/>
    <w:rsid w:val="00AE795A"/>
    <w:rsid w:val="00AE79A5"/>
    <w:rsid w:val="00AE7CA1"/>
    <w:rsid w:val="00AE7E2E"/>
    <w:rsid w:val="00AF024E"/>
    <w:rsid w:val="00AF1303"/>
    <w:rsid w:val="00AF13F9"/>
    <w:rsid w:val="00AF1520"/>
    <w:rsid w:val="00AF185C"/>
    <w:rsid w:val="00AF190F"/>
    <w:rsid w:val="00AF1C63"/>
    <w:rsid w:val="00AF2927"/>
    <w:rsid w:val="00AF2C5B"/>
    <w:rsid w:val="00AF2D7A"/>
    <w:rsid w:val="00AF316C"/>
    <w:rsid w:val="00AF336C"/>
    <w:rsid w:val="00AF3A30"/>
    <w:rsid w:val="00AF3BE2"/>
    <w:rsid w:val="00AF3C64"/>
    <w:rsid w:val="00AF41DA"/>
    <w:rsid w:val="00AF47BC"/>
    <w:rsid w:val="00AF4A0C"/>
    <w:rsid w:val="00AF52A9"/>
    <w:rsid w:val="00AF5599"/>
    <w:rsid w:val="00AF59AE"/>
    <w:rsid w:val="00AF5C3B"/>
    <w:rsid w:val="00AF625A"/>
    <w:rsid w:val="00AF6827"/>
    <w:rsid w:val="00AF732E"/>
    <w:rsid w:val="00AF7CE4"/>
    <w:rsid w:val="00AF7D8F"/>
    <w:rsid w:val="00B00612"/>
    <w:rsid w:val="00B0064C"/>
    <w:rsid w:val="00B00A2A"/>
    <w:rsid w:val="00B00AD6"/>
    <w:rsid w:val="00B00BCB"/>
    <w:rsid w:val="00B00F6F"/>
    <w:rsid w:val="00B01683"/>
    <w:rsid w:val="00B016DC"/>
    <w:rsid w:val="00B019F6"/>
    <w:rsid w:val="00B01C4B"/>
    <w:rsid w:val="00B020A8"/>
    <w:rsid w:val="00B02525"/>
    <w:rsid w:val="00B02FD2"/>
    <w:rsid w:val="00B030E2"/>
    <w:rsid w:val="00B032A5"/>
    <w:rsid w:val="00B032F9"/>
    <w:rsid w:val="00B03341"/>
    <w:rsid w:val="00B033C2"/>
    <w:rsid w:val="00B03C17"/>
    <w:rsid w:val="00B03EC3"/>
    <w:rsid w:val="00B03F8F"/>
    <w:rsid w:val="00B03FAC"/>
    <w:rsid w:val="00B0452F"/>
    <w:rsid w:val="00B045D8"/>
    <w:rsid w:val="00B046AC"/>
    <w:rsid w:val="00B046D0"/>
    <w:rsid w:val="00B04B6B"/>
    <w:rsid w:val="00B04BAF"/>
    <w:rsid w:val="00B04D62"/>
    <w:rsid w:val="00B04F1E"/>
    <w:rsid w:val="00B0506C"/>
    <w:rsid w:val="00B05150"/>
    <w:rsid w:val="00B05500"/>
    <w:rsid w:val="00B05994"/>
    <w:rsid w:val="00B05CDC"/>
    <w:rsid w:val="00B06144"/>
    <w:rsid w:val="00B062F6"/>
    <w:rsid w:val="00B064AC"/>
    <w:rsid w:val="00B0652F"/>
    <w:rsid w:val="00B067F5"/>
    <w:rsid w:val="00B06B7D"/>
    <w:rsid w:val="00B06C3B"/>
    <w:rsid w:val="00B0711D"/>
    <w:rsid w:val="00B07556"/>
    <w:rsid w:val="00B076BD"/>
    <w:rsid w:val="00B078C0"/>
    <w:rsid w:val="00B10009"/>
    <w:rsid w:val="00B104B0"/>
    <w:rsid w:val="00B10564"/>
    <w:rsid w:val="00B10587"/>
    <w:rsid w:val="00B106EB"/>
    <w:rsid w:val="00B109B9"/>
    <w:rsid w:val="00B10B2B"/>
    <w:rsid w:val="00B10EC9"/>
    <w:rsid w:val="00B10F9E"/>
    <w:rsid w:val="00B1105F"/>
    <w:rsid w:val="00B11397"/>
    <w:rsid w:val="00B118F1"/>
    <w:rsid w:val="00B11B62"/>
    <w:rsid w:val="00B11BD4"/>
    <w:rsid w:val="00B11FA9"/>
    <w:rsid w:val="00B12688"/>
    <w:rsid w:val="00B1277A"/>
    <w:rsid w:val="00B12B7F"/>
    <w:rsid w:val="00B12C4F"/>
    <w:rsid w:val="00B13307"/>
    <w:rsid w:val="00B13470"/>
    <w:rsid w:val="00B13534"/>
    <w:rsid w:val="00B135E1"/>
    <w:rsid w:val="00B1399D"/>
    <w:rsid w:val="00B13CA3"/>
    <w:rsid w:val="00B14402"/>
    <w:rsid w:val="00B148B7"/>
    <w:rsid w:val="00B15A24"/>
    <w:rsid w:val="00B15C30"/>
    <w:rsid w:val="00B15E97"/>
    <w:rsid w:val="00B15FE3"/>
    <w:rsid w:val="00B168EB"/>
    <w:rsid w:val="00B1694D"/>
    <w:rsid w:val="00B16A34"/>
    <w:rsid w:val="00B16AAD"/>
    <w:rsid w:val="00B16C4A"/>
    <w:rsid w:val="00B1736C"/>
    <w:rsid w:val="00B17744"/>
    <w:rsid w:val="00B1778B"/>
    <w:rsid w:val="00B177D4"/>
    <w:rsid w:val="00B178F1"/>
    <w:rsid w:val="00B17BD2"/>
    <w:rsid w:val="00B20039"/>
    <w:rsid w:val="00B20086"/>
    <w:rsid w:val="00B203A7"/>
    <w:rsid w:val="00B2041D"/>
    <w:rsid w:val="00B20536"/>
    <w:rsid w:val="00B205F0"/>
    <w:rsid w:val="00B20651"/>
    <w:rsid w:val="00B20A46"/>
    <w:rsid w:val="00B20BEC"/>
    <w:rsid w:val="00B210D0"/>
    <w:rsid w:val="00B21234"/>
    <w:rsid w:val="00B2146A"/>
    <w:rsid w:val="00B218FC"/>
    <w:rsid w:val="00B220E0"/>
    <w:rsid w:val="00B22473"/>
    <w:rsid w:val="00B22620"/>
    <w:rsid w:val="00B227A2"/>
    <w:rsid w:val="00B22EBE"/>
    <w:rsid w:val="00B23062"/>
    <w:rsid w:val="00B23365"/>
    <w:rsid w:val="00B238F8"/>
    <w:rsid w:val="00B23EB4"/>
    <w:rsid w:val="00B23F84"/>
    <w:rsid w:val="00B23FE8"/>
    <w:rsid w:val="00B241D3"/>
    <w:rsid w:val="00B24267"/>
    <w:rsid w:val="00B245BA"/>
    <w:rsid w:val="00B246D7"/>
    <w:rsid w:val="00B24BDF"/>
    <w:rsid w:val="00B24FD8"/>
    <w:rsid w:val="00B254DE"/>
    <w:rsid w:val="00B2578A"/>
    <w:rsid w:val="00B25813"/>
    <w:rsid w:val="00B25A52"/>
    <w:rsid w:val="00B265CF"/>
    <w:rsid w:val="00B26A32"/>
    <w:rsid w:val="00B26AD4"/>
    <w:rsid w:val="00B26BD3"/>
    <w:rsid w:val="00B27037"/>
    <w:rsid w:val="00B272C7"/>
    <w:rsid w:val="00B27711"/>
    <w:rsid w:val="00B301AC"/>
    <w:rsid w:val="00B30327"/>
    <w:rsid w:val="00B3035C"/>
    <w:rsid w:val="00B304BA"/>
    <w:rsid w:val="00B30E79"/>
    <w:rsid w:val="00B30EC3"/>
    <w:rsid w:val="00B30F04"/>
    <w:rsid w:val="00B31932"/>
    <w:rsid w:val="00B31A81"/>
    <w:rsid w:val="00B31DAC"/>
    <w:rsid w:val="00B32322"/>
    <w:rsid w:val="00B3240B"/>
    <w:rsid w:val="00B325BE"/>
    <w:rsid w:val="00B33018"/>
    <w:rsid w:val="00B34257"/>
    <w:rsid w:val="00B34292"/>
    <w:rsid w:val="00B34453"/>
    <w:rsid w:val="00B34925"/>
    <w:rsid w:val="00B34A76"/>
    <w:rsid w:val="00B34ADB"/>
    <w:rsid w:val="00B34B9B"/>
    <w:rsid w:val="00B34BA7"/>
    <w:rsid w:val="00B35276"/>
    <w:rsid w:val="00B3544D"/>
    <w:rsid w:val="00B35A03"/>
    <w:rsid w:val="00B360F8"/>
    <w:rsid w:val="00B36754"/>
    <w:rsid w:val="00B3683C"/>
    <w:rsid w:val="00B36AD1"/>
    <w:rsid w:val="00B36EEB"/>
    <w:rsid w:val="00B371B9"/>
    <w:rsid w:val="00B37788"/>
    <w:rsid w:val="00B37A1C"/>
    <w:rsid w:val="00B37BDD"/>
    <w:rsid w:val="00B37D58"/>
    <w:rsid w:val="00B40024"/>
    <w:rsid w:val="00B4024C"/>
    <w:rsid w:val="00B40389"/>
    <w:rsid w:val="00B404AE"/>
    <w:rsid w:val="00B40AC0"/>
    <w:rsid w:val="00B40E65"/>
    <w:rsid w:val="00B41037"/>
    <w:rsid w:val="00B41A7F"/>
    <w:rsid w:val="00B41D60"/>
    <w:rsid w:val="00B42679"/>
    <w:rsid w:val="00B42699"/>
    <w:rsid w:val="00B42717"/>
    <w:rsid w:val="00B432C4"/>
    <w:rsid w:val="00B4343C"/>
    <w:rsid w:val="00B43762"/>
    <w:rsid w:val="00B437B1"/>
    <w:rsid w:val="00B438DF"/>
    <w:rsid w:val="00B44181"/>
    <w:rsid w:val="00B44574"/>
    <w:rsid w:val="00B44C74"/>
    <w:rsid w:val="00B44DF0"/>
    <w:rsid w:val="00B452AB"/>
    <w:rsid w:val="00B4559F"/>
    <w:rsid w:val="00B45930"/>
    <w:rsid w:val="00B461D3"/>
    <w:rsid w:val="00B461F3"/>
    <w:rsid w:val="00B46331"/>
    <w:rsid w:val="00B4696A"/>
    <w:rsid w:val="00B46FB9"/>
    <w:rsid w:val="00B47005"/>
    <w:rsid w:val="00B4714D"/>
    <w:rsid w:val="00B475B2"/>
    <w:rsid w:val="00B47A47"/>
    <w:rsid w:val="00B47A93"/>
    <w:rsid w:val="00B47D65"/>
    <w:rsid w:val="00B47E4C"/>
    <w:rsid w:val="00B5024A"/>
    <w:rsid w:val="00B50397"/>
    <w:rsid w:val="00B50762"/>
    <w:rsid w:val="00B508DF"/>
    <w:rsid w:val="00B50B28"/>
    <w:rsid w:val="00B510B0"/>
    <w:rsid w:val="00B510B7"/>
    <w:rsid w:val="00B514F7"/>
    <w:rsid w:val="00B517CC"/>
    <w:rsid w:val="00B51CF6"/>
    <w:rsid w:val="00B51D9A"/>
    <w:rsid w:val="00B51DAE"/>
    <w:rsid w:val="00B5221C"/>
    <w:rsid w:val="00B524C7"/>
    <w:rsid w:val="00B52561"/>
    <w:rsid w:val="00B527D8"/>
    <w:rsid w:val="00B5290D"/>
    <w:rsid w:val="00B52F5C"/>
    <w:rsid w:val="00B530FD"/>
    <w:rsid w:val="00B5330C"/>
    <w:rsid w:val="00B53423"/>
    <w:rsid w:val="00B537FB"/>
    <w:rsid w:val="00B53927"/>
    <w:rsid w:val="00B539C5"/>
    <w:rsid w:val="00B549CC"/>
    <w:rsid w:val="00B54D7B"/>
    <w:rsid w:val="00B54EEA"/>
    <w:rsid w:val="00B55108"/>
    <w:rsid w:val="00B555BD"/>
    <w:rsid w:val="00B560A8"/>
    <w:rsid w:val="00B5643A"/>
    <w:rsid w:val="00B56515"/>
    <w:rsid w:val="00B569DC"/>
    <w:rsid w:val="00B56CB9"/>
    <w:rsid w:val="00B57413"/>
    <w:rsid w:val="00B5759C"/>
    <w:rsid w:val="00B57B23"/>
    <w:rsid w:val="00B57E22"/>
    <w:rsid w:val="00B60309"/>
    <w:rsid w:val="00B606AA"/>
    <w:rsid w:val="00B61012"/>
    <w:rsid w:val="00B6141F"/>
    <w:rsid w:val="00B616B9"/>
    <w:rsid w:val="00B618F6"/>
    <w:rsid w:val="00B618FF"/>
    <w:rsid w:val="00B6196F"/>
    <w:rsid w:val="00B61DC7"/>
    <w:rsid w:val="00B62106"/>
    <w:rsid w:val="00B62177"/>
    <w:rsid w:val="00B62BD0"/>
    <w:rsid w:val="00B6304B"/>
    <w:rsid w:val="00B6323C"/>
    <w:rsid w:val="00B6325F"/>
    <w:rsid w:val="00B639DE"/>
    <w:rsid w:val="00B6407E"/>
    <w:rsid w:val="00B64377"/>
    <w:rsid w:val="00B64659"/>
    <w:rsid w:val="00B6497C"/>
    <w:rsid w:val="00B64A50"/>
    <w:rsid w:val="00B64A96"/>
    <w:rsid w:val="00B64BD1"/>
    <w:rsid w:val="00B64DDC"/>
    <w:rsid w:val="00B64E28"/>
    <w:rsid w:val="00B65311"/>
    <w:rsid w:val="00B65517"/>
    <w:rsid w:val="00B655AA"/>
    <w:rsid w:val="00B655F3"/>
    <w:rsid w:val="00B65A71"/>
    <w:rsid w:val="00B65D15"/>
    <w:rsid w:val="00B65E18"/>
    <w:rsid w:val="00B662AF"/>
    <w:rsid w:val="00B6641D"/>
    <w:rsid w:val="00B665BB"/>
    <w:rsid w:val="00B6685A"/>
    <w:rsid w:val="00B66A01"/>
    <w:rsid w:val="00B66B54"/>
    <w:rsid w:val="00B66C67"/>
    <w:rsid w:val="00B66F0C"/>
    <w:rsid w:val="00B6746A"/>
    <w:rsid w:val="00B678B1"/>
    <w:rsid w:val="00B67A74"/>
    <w:rsid w:val="00B67EC3"/>
    <w:rsid w:val="00B7007E"/>
    <w:rsid w:val="00B7032E"/>
    <w:rsid w:val="00B709F9"/>
    <w:rsid w:val="00B70E9F"/>
    <w:rsid w:val="00B71039"/>
    <w:rsid w:val="00B71454"/>
    <w:rsid w:val="00B71624"/>
    <w:rsid w:val="00B71860"/>
    <w:rsid w:val="00B71892"/>
    <w:rsid w:val="00B71936"/>
    <w:rsid w:val="00B71B2B"/>
    <w:rsid w:val="00B71D4C"/>
    <w:rsid w:val="00B72508"/>
    <w:rsid w:val="00B7270E"/>
    <w:rsid w:val="00B73933"/>
    <w:rsid w:val="00B7397A"/>
    <w:rsid w:val="00B73C86"/>
    <w:rsid w:val="00B73EB7"/>
    <w:rsid w:val="00B749D5"/>
    <w:rsid w:val="00B74D75"/>
    <w:rsid w:val="00B75101"/>
    <w:rsid w:val="00B7528B"/>
    <w:rsid w:val="00B75B5D"/>
    <w:rsid w:val="00B75C1C"/>
    <w:rsid w:val="00B75FBB"/>
    <w:rsid w:val="00B761B3"/>
    <w:rsid w:val="00B763A6"/>
    <w:rsid w:val="00B763D7"/>
    <w:rsid w:val="00B76CA5"/>
    <w:rsid w:val="00B76CFD"/>
    <w:rsid w:val="00B76DCE"/>
    <w:rsid w:val="00B772B1"/>
    <w:rsid w:val="00B7753A"/>
    <w:rsid w:val="00B77904"/>
    <w:rsid w:val="00B77ACD"/>
    <w:rsid w:val="00B77F88"/>
    <w:rsid w:val="00B80144"/>
    <w:rsid w:val="00B80173"/>
    <w:rsid w:val="00B8039B"/>
    <w:rsid w:val="00B805DF"/>
    <w:rsid w:val="00B80705"/>
    <w:rsid w:val="00B80803"/>
    <w:rsid w:val="00B80B25"/>
    <w:rsid w:val="00B80C80"/>
    <w:rsid w:val="00B80DFB"/>
    <w:rsid w:val="00B80E32"/>
    <w:rsid w:val="00B80F19"/>
    <w:rsid w:val="00B81004"/>
    <w:rsid w:val="00B815F5"/>
    <w:rsid w:val="00B81D66"/>
    <w:rsid w:val="00B82525"/>
    <w:rsid w:val="00B8259B"/>
    <w:rsid w:val="00B825FC"/>
    <w:rsid w:val="00B83011"/>
    <w:rsid w:val="00B8301C"/>
    <w:rsid w:val="00B83A55"/>
    <w:rsid w:val="00B840DC"/>
    <w:rsid w:val="00B8458A"/>
    <w:rsid w:val="00B84667"/>
    <w:rsid w:val="00B84980"/>
    <w:rsid w:val="00B84A87"/>
    <w:rsid w:val="00B8533F"/>
    <w:rsid w:val="00B853B4"/>
    <w:rsid w:val="00B85C4E"/>
    <w:rsid w:val="00B85D6F"/>
    <w:rsid w:val="00B861D8"/>
    <w:rsid w:val="00B86626"/>
    <w:rsid w:val="00B86D27"/>
    <w:rsid w:val="00B871E3"/>
    <w:rsid w:val="00B872D6"/>
    <w:rsid w:val="00B877B3"/>
    <w:rsid w:val="00B878EA"/>
    <w:rsid w:val="00B8790B"/>
    <w:rsid w:val="00B87C17"/>
    <w:rsid w:val="00B87E8D"/>
    <w:rsid w:val="00B900BD"/>
    <w:rsid w:val="00B900FD"/>
    <w:rsid w:val="00B90146"/>
    <w:rsid w:val="00B901F8"/>
    <w:rsid w:val="00B9063A"/>
    <w:rsid w:val="00B907C9"/>
    <w:rsid w:val="00B90998"/>
    <w:rsid w:val="00B90DB0"/>
    <w:rsid w:val="00B90DD6"/>
    <w:rsid w:val="00B91047"/>
    <w:rsid w:val="00B911D4"/>
    <w:rsid w:val="00B9172E"/>
    <w:rsid w:val="00B91E87"/>
    <w:rsid w:val="00B920BE"/>
    <w:rsid w:val="00B92E7B"/>
    <w:rsid w:val="00B92F3E"/>
    <w:rsid w:val="00B937CB"/>
    <w:rsid w:val="00B93F9A"/>
    <w:rsid w:val="00B94224"/>
    <w:rsid w:val="00B9439E"/>
    <w:rsid w:val="00B9458D"/>
    <w:rsid w:val="00B94590"/>
    <w:rsid w:val="00B94E22"/>
    <w:rsid w:val="00B950FB"/>
    <w:rsid w:val="00B95143"/>
    <w:rsid w:val="00B95175"/>
    <w:rsid w:val="00B9528E"/>
    <w:rsid w:val="00B957D6"/>
    <w:rsid w:val="00B9586C"/>
    <w:rsid w:val="00B958B7"/>
    <w:rsid w:val="00B95BA7"/>
    <w:rsid w:val="00B95E3A"/>
    <w:rsid w:val="00B960DB"/>
    <w:rsid w:val="00B96381"/>
    <w:rsid w:val="00B96586"/>
    <w:rsid w:val="00B96744"/>
    <w:rsid w:val="00B97378"/>
    <w:rsid w:val="00B9743E"/>
    <w:rsid w:val="00B97492"/>
    <w:rsid w:val="00B9776B"/>
    <w:rsid w:val="00B97864"/>
    <w:rsid w:val="00B9786A"/>
    <w:rsid w:val="00B9790D"/>
    <w:rsid w:val="00B97B23"/>
    <w:rsid w:val="00BA0C41"/>
    <w:rsid w:val="00BA0FA6"/>
    <w:rsid w:val="00BA1259"/>
    <w:rsid w:val="00BA13CD"/>
    <w:rsid w:val="00BA1440"/>
    <w:rsid w:val="00BA187E"/>
    <w:rsid w:val="00BA1AF6"/>
    <w:rsid w:val="00BA2162"/>
    <w:rsid w:val="00BA24CF"/>
    <w:rsid w:val="00BA25B0"/>
    <w:rsid w:val="00BA2B8A"/>
    <w:rsid w:val="00BA2C93"/>
    <w:rsid w:val="00BA2F81"/>
    <w:rsid w:val="00BA3053"/>
    <w:rsid w:val="00BA3295"/>
    <w:rsid w:val="00BA38AD"/>
    <w:rsid w:val="00BA392D"/>
    <w:rsid w:val="00BA3B53"/>
    <w:rsid w:val="00BA40BB"/>
    <w:rsid w:val="00BA505D"/>
    <w:rsid w:val="00BA5067"/>
    <w:rsid w:val="00BA52FA"/>
    <w:rsid w:val="00BA5573"/>
    <w:rsid w:val="00BA568B"/>
    <w:rsid w:val="00BA5962"/>
    <w:rsid w:val="00BA5C2D"/>
    <w:rsid w:val="00BA61ED"/>
    <w:rsid w:val="00BA6AEB"/>
    <w:rsid w:val="00BA6E7D"/>
    <w:rsid w:val="00BA754A"/>
    <w:rsid w:val="00BA764F"/>
    <w:rsid w:val="00BA7790"/>
    <w:rsid w:val="00BA7A07"/>
    <w:rsid w:val="00BA7E73"/>
    <w:rsid w:val="00BA7F13"/>
    <w:rsid w:val="00BB0126"/>
    <w:rsid w:val="00BB0523"/>
    <w:rsid w:val="00BB173B"/>
    <w:rsid w:val="00BB18F2"/>
    <w:rsid w:val="00BB1CA9"/>
    <w:rsid w:val="00BB1D8A"/>
    <w:rsid w:val="00BB1E8D"/>
    <w:rsid w:val="00BB1F86"/>
    <w:rsid w:val="00BB2257"/>
    <w:rsid w:val="00BB244C"/>
    <w:rsid w:val="00BB28BB"/>
    <w:rsid w:val="00BB2A3E"/>
    <w:rsid w:val="00BB2CCA"/>
    <w:rsid w:val="00BB2D53"/>
    <w:rsid w:val="00BB2E0D"/>
    <w:rsid w:val="00BB2E23"/>
    <w:rsid w:val="00BB2E5E"/>
    <w:rsid w:val="00BB331E"/>
    <w:rsid w:val="00BB358E"/>
    <w:rsid w:val="00BB3706"/>
    <w:rsid w:val="00BB38DF"/>
    <w:rsid w:val="00BB3A08"/>
    <w:rsid w:val="00BB3A53"/>
    <w:rsid w:val="00BB3F38"/>
    <w:rsid w:val="00BB43F1"/>
    <w:rsid w:val="00BB4441"/>
    <w:rsid w:val="00BB4634"/>
    <w:rsid w:val="00BB4680"/>
    <w:rsid w:val="00BB490D"/>
    <w:rsid w:val="00BB4B40"/>
    <w:rsid w:val="00BB4EB8"/>
    <w:rsid w:val="00BB4EC4"/>
    <w:rsid w:val="00BB527B"/>
    <w:rsid w:val="00BB5486"/>
    <w:rsid w:val="00BB551F"/>
    <w:rsid w:val="00BB5EB1"/>
    <w:rsid w:val="00BB61C8"/>
    <w:rsid w:val="00BB6BA3"/>
    <w:rsid w:val="00BB6D1F"/>
    <w:rsid w:val="00BB6EA6"/>
    <w:rsid w:val="00BB7132"/>
    <w:rsid w:val="00BB722D"/>
    <w:rsid w:val="00BB739E"/>
    <w:rsid w:val="00BB77DD"/>
    <w:rsid w:val="00BB7D63"/>
    <w:rsid w:val="00BB7E23"/>
    <w:rsid w:val="00BB7FB9"/>
    <w:rsid w:val="00BC006C"/>
    <w:rsid w:val="00BC097D"/>
    <w:rsid w:val="00BC0B4E"/>
    <w:rsid w:val="00BC0BDE"/>
    <w:rsid w:val="00BC1071"/>
    <w:rsid w:val="00BC154D"/>
    <w:rsid w:val="00BC1B68"/>
    <w:rsid w:val="00BC1FB9"/>
    <w:rsid w:val="00BC210E"/>
    <w:rsid w:val="00BC2286"/>
    <w:rsid w:val="00BC3107"/>
    <w:rsid w:val="00BC36A0"/>
    <w:rsid w:val="00BC3948"/>
    <w:rsid w:val="00BC45AD"/>
    <w:rsid w:val="00BC4744"/>
    <w:rsid w:val="00BC4CA5"/>
    <w:rsid w:val="00BC549D"/>
    <w:rsid w:val="00BC567F"/>
    <w:rsid w:val="00BC568F"/>
    <w:rsid w:val="00BC570E"/>
    <w:rsid w:val="00BC60F3"/>
    <w:rsid w:val="00BC66CE"/>
    <w:rsid w:val="00BC6ADD"/>
    <w:rsid w:val="00BC6C41"/>
    <w:rsid w:val="00BC6E15"/>
    <w:rsid w:val="00BC71F8"/>
    <w:rsid w:val="00BC7479"/>
    <w:rsid w:val="00BC747B"/>
    <w:rsid w:val="00BC796E"/>
    <w:rsid w:val="00BC7DF5"/>
    <w:rsid w:val="00BC7E41"/>
    <w:rsid w:val="00BC7FED"/>
    <w:rsid w:val="00BD061B"/>
    <w:rsid w:val="00BD077D"/>
    <w:rsid w:val="00BD07D4"/>
    <w:rsid w:val="00BD0842"/>
    <w:rsid w:val="00BD0AB7"/>
    <w:rsid w:val="00BD0C79"/>
    <w:rsid w:val="00BD0EB2"/>
    <w:rsid w:val="00BD0F61"/>
    <w:rsid w:val="00BD1B03"/>
    <w:rsid w:val="00BD1D69"/>
    <w:rsid w:val="00BD23DF"/>
    <w:rsid w:val="00BD2C93"/>
    <w:rsid w:val="00BD2CBE"/>
    <w:rsid w:val="00BD3EAE"/>
    <w:rsid w:val="00BD46D7"/>
    <w:rsid w:val="00BD4748"/>
    <w:rsid w:val="00BD4CCA"/>
    <w:rsid w:val="00BD4D58"/>
    <w:rsid w:val="00BD4E00"/>
    <w:rsid w:val="00BD4FC8"/>
    <w:rsid w:val="00BD529C"/>
    <w:rsid w:val="00BD5487"/>
    <w:rsid w:val="00BD5FA9"/>
    <w:rsid w:val="00BD6406"/>
    <w:rsid w:val="00BD669B"/>
    <w:rsid w:val="00BD7538"/>
    <w:rsid w:val="00BD7613"/>
    <w:rsid w:val="00BD76ED"/>
    <w:rsid w:val="00BD76F4"/>
    <w:rsid w:val="00BD78CF"/>
    <w:rsid w:val="00BD7901"/>
    <w:rsid w:val="00BD7EAC"/>
    <w:rsid w:val="00BE0648"/>
    <w:rsid w:val="00BE0668"/>
    <w:rsid w:val="00BE08AB"/>
    <w:rsid w:val="00BE0E42"/>
    <w:rsid w:val="00BE0EFD"/>
    <w:rsid w:val="00BE1513"/>
    <w:rsid w:val="00BE1591"/>
    <w:rsid w:val="00BE1E1F"/>
    <w:rsid w:val="00BE211B"/>
    <w:rsid w:val="00BE226A"/>
    <w:rsid w:val="00BE241A"/>
    <w:rsid w:val="00BE2997"/>
    <w:rsid w:val="00BE2BA6"/>
    <w:rsid w:val="00BE2FF6"/>
    <w:rsid w:val="00BE32BD"/>
    <w:rsid w:val="00BE3671"/>
    <w:rsid w:val="00BE3A25"/>
    <w:rsid w:val="00BE4581"/>
    <w:rsid w:val="00BE4A63"/>
    <w:rsid w:val="00BE56F4"/>
    <w:rsid w:val="00BE57A8"/>
    <w:rsid w:val="00BE5AF8"/>
    <w:rsid w:val="00BE5C39"/>
    <w:rsid w:val="00BE5CFA"/>
    <w:rsid w:val="00BE6123"/>
    <w:rsid w:val="00BE6202"/>
    <w:rsid w:val="00BE6DF6"/>
    <w:rsid w:val="00BE6F4C"/>
    <w:rsid w:val="00BE7A5E"/>
    <w:rsid w:val="00BF0756"/>
    <w:rsid w:val="00BF0E75"/>
    <w:rsid w:val="00BF0E89"/>
    <w:rsid w:val="00BF1352"/>
    <w:rsid w:val="00BF13BF"/>
    <w:rsid w:val="00BF149F"/>
    <w:rsid w:val="00BF14F7"/>
    <w:rsid w:val="00BF18D0"/>
    <w:rsid w:val="00BF1B71"/>
    <w:rsid w:val="00BF211E"/>
    <w:rsid w:val="00BF268D"/>
    <w:rsid w:val="00BF28F4"/>
    <w:rsid w:val="00BF2BAD"/>
    <w:rsid w:val="00BF3340"/>
    <w:rsid w:val="00BF359E"/>
    <w:rsid w:val="00BF3C66"/>
    <w:rsid w:val="00BF3CB6"/>
    <w:rsid w:val="00BF3FB4"/>
    <w:rsid w:val="00BF4FE2"/>
    <w:rsid w:val="00BF5282"/>
    <w:rsid w:val="00BF5B24"/>
    <w:rsid w:val="00BF5E73"/>
    <w:rsid w:val="00BF63BF"/>
    <w:rsid w:val="00BF6952"/>
    <w:rsid w:val="00BF72E6"/>
    <w:rsid w:val="00BF749C"/>
    <w:rsid w:val="00BF74F9"/>
    <w:rsid w:val="00BF75EB"/>
    <w:rsid w:val="00BF765A"/>
    <w:rsid w:val="00BF7692"/>
    <w:rsid w:val="00BF7C48"/>
    <w:rsid w:val="00BF7CCC"/>
    <w:rsid w:val="00C0025A"/>
    <w:rsid w:val="00C0025D"/>
    <w:rsid w:val="00C0053A"/>
    <w:rsid w:val="00C005D3"/>
    <w:rsid w:val="00C00BEC"/>
    <w:rsid w:val="00C00F48"/>
    <w:rsid w:val="00C00FF7"/>
    <w:rsid w:val="00C0127C"/>
    <w:rsid w:val="00C01361"/>
    <w:rsid w:val="00C01B4F"/>
    <w:rsid w:val="00C01F12"/>
    <w:rsid w:val="00C01F75"/>
    <w:rsid w:val="00C02467"/>
    <w:rsid w:val="00C02BE6"/>
    <w:rsid w:val="00C032F8"/>
    <w:rsid w:val="00C03400"/>
    <w:rsid w:val="00C03733"/>
    <w:rsid w:val="00C03753"/>
    <w:rsid w:val="00C03869"/>
    <w:rsid w:val="00C04330"/>
    <w:rsid w:val="00C04A1F"/>
    <w:rsid w:val="00C05032"/>
    <w:rsid w:val="00C0540E"/>
    <w:rsid w:val="00C0549D"/>
    <w:rsid w:val="00C0667D"/>
    <w:rsid w:val="00C06738"/>
    <w:rsid w:val="00C06B27"/>
    <w:rsid w:val="00C06CFF"/>
    <w:rsid w:val="00C07096"/>
    <w:rsid w:val="00C078B9"/>
    <w:rsid w:val="00C07F97"/>
    <w:rsid w:val="00C07FDF"/>
    <w:rsid w:val="00C1009D"/>
    <w:rsid w:val="00C101FB"/>
    <w:rsid w:val="00C1036A"/>
    <w:rsid w:val="00C1054F"/>
    <w:rsid w:val="00C1079D"/>
    <w:rsid w:val="00C10948"/>
    <w:rsid w:val="00C10B9A"/>
    <w:rsid w:val="00C10DAC"/>
    <w:rsid w:val="00C10DE1"/>
    <w:rsid w:val="00C10F67"/>
    <w:rsid w:val="00C112B1"/>
    <w:rsid w:val="00C11712"/>
    <w:rsid w:val="00C11F21"/>
    <w:rsid w:val="00C1230B"/>
    <w:rsid w:val="00C12322"/>
    <w:rsid w:val="00C12391"/>
    <w:rsid w:val="00C126DA"/>
    <w:rsid w:val="00C127B5"/>
    <w:rsid w:val="00C12A08"/>
    <w:rsid w:val="00C12C04"/>
    <w:rsid w:val="00C12F25"/>
    <w:rsid w:val="00C1339D"/>
    <w:rsid w:val="00C1371A"/>
    <w:rsid w:val="00C14007"/>
    <w:rsid w:val="00C14194"/>
    <w:rsid w:val="00C1485C"/>
    <w:rsid w:val="00C14B8F"/>
    <w:rsid w:val="00C14F73"/>
    <w:rsid w:val="00C151D3"/>
    <w:rsid w:val="00C1550F"/>
    <w:rsid w:val="00C15CF2"/>
    <w:rsid w:val="00C15ED0"/>
    <w:rsid w:val="00C15FEB"/>
    <w:rsid w:val="00C161EE"/>
    <w:rsid w:val="00C16358"/>
    <w:rsid w:val="00C16506"/>
    <w:rsid w:val="00C16550"/>
    <w:rsid w:val="00C1697D"/>
    <w:rsid w:val="00C16A38"/>
    <w:rsid w:val="00C16AC6"/>
    <w:rsid w:val="00C174D3"/>
    <w:rsid w:val="00C179F5"/>
    <w:rsid w:val="00C17C0F"/>
    <w:rsid w:val="00C17EC9"/>
    <w:rsid w:val="00C2024C"/>
    <w:rsid w:val="00C20271"/>
    <w:rsid w:val="00C20697"/>
    <w:rsid w:val="00C206DF"/>
    <w:rsid w:val="00C207C3"/>
    <w:rsid w:val="00C20A0E"/>
    <w:rsid w:val="00C20E42"/>
    <w:rsid w:val="00C21095"/>
    <w:rsid w:val="00C2121B"/>
    <w:rsid w:val="00C21605"/>
    <w:rsid w:val="00C216BD"/>
    <w:rsid w:val="00C219AA"/>
    <w:rsid w:val="00C219F1"/>
    <w:rsid w:val="00C223B7"/>
    <w:rsid w:val="00C22CF3"/>
    <w:rsid w:val="00C2321F"/>
    <w:rsid w:val="00C236EC"/>
    <w:rsid w:val="00C2389F"/>
    <w:rsid w:val="00C23A48"/>
    <w:rsid w:val="00C23A66"/>
    <w:rsid w:val="00C23B11"/>
    <w:rsid w:val="00C23BD2"/>
    <w:rsid w:val="00C23CAC"/>
    <w:rsid w:val="00C23FE5"/>
    <w:rsid w:val="00C242AD"/>
    <w:rsid w:val="00C2448C"/>
    <w:rsid w:val="00C248E1"/>
    <w:rsid w:val="00C24904"/>
    <w:rsid w:val="00C24D47"/>
    <w:rsid w:val="00C2516B"/>
    <w:rsid w:val="00C252FE"/>
    <w:rsid w:val="00C252FF"/>
    <w:rsid w:val="00C25511"/>
    <w:rsid w:val="00C25DC2"/>
    <w:rsid w:val="00C25E68"/>
    <w:rsid w:val="00C25FB5"/>
    <w:rsid w:val="00C26206"/>
    <w:rsid w:val="00C267F5"/>
    <w:rsid w:val="00C26B71"/>
    <w:rsid w:val="00C26DBA"/>
    <w:rsid w:val="00C26DC7"/>
    <w:rsid w:val="00C26ED9"/>
    <w:rsid w:val="00C2754F"/>
    <w:rsid w:val="00C27556"/>
    <w:rsid w:val="00C27C33"/>
    <w:rsid w:val="00C27D76"/>
    <w:rsid w:val="00C301C1"/>
    <w:rsid w:val="00C307CE"/>
    <w:rsid w:val="00C30D91"/>
    <w:rsid w:val="00C30E4F"/>
    <w:rsid w:val="00C31452"/>
    <w:rsid w:val="00C317D0"/>
    <w:rsid w:val="00C31A90"/>
    <w:rsid w:val="00C31C89"/>
    <w:rsid w:val="00C3278E"/>
    <w:rsid w:val="00C32D4B"/>
    <w:rsid w:val="00C32FFE"/>
    <w:rsid w:val="00C33043"/>
    <w:rsid w:val="00C33167"/>
    <w:rsid w:val="00C33E2C"/>
    <w:rsid w:val="00C33E9F"/>
    <w:rsid w:val="00C33F30"/>
    <w:rsid w:val="00C33FF6"/>
    <w:rsid w:val="00C34119"/>
    <w:rsid w:val="00C342C7"/>
    <w:rsid w:val="00C34739"/>
    <w:rsid w:val="00C3473E"/>
    <w:rsid w:val="00C347B3"/>
    <w:rsid w:val="00C355B0"/>
    <w:rsid w:val="00C355DD"/>
    <w:rsid w:val="00C35659"/>
    <w:rsid w:val="00C35674"/>
    <w:rsid w:val="00C357D0"/>
    <w:rsid w:val="00C3628B"/>
    <w:rsid w:val="00C363ED"/>
    <w:rsid w:val="00C36817"/>
    <w:rsid w:val="00C36840"/>
    <w:rsid w:val="00C3693D"/>
    <w:rsid w:val="00C36B14"/>
    <w:rsid w:val="00C3766B"/>
    <w:rsid w:val="00C37AE5"/>
    <w:rsid w:val="00C37CDE"/>
    <w:rsid w:val="00C37CF7"/>
    <w:rsid w:val="00C37D9E"/>
    <w:rsid w:val="00C37FB3"/>
    <w:rsid w:val="00C40331"/>
    <w:rsid w:val="00C409FD"/>
    <w:rsid w:val="00C40DA6"/>
    <w:rsid w:val="00C410EA"/>
    <w:rsid w:val="00C41BA6"/>
    <w:rsid w:val="00C41C3A"/>
    <w:rsid w:val="00C4209C"/>
    <w:rsid w:val="00C4215E"/>
    <w:rsid w:val="00C42313"/>
    <w:rsid w:val="00C427A9"/>
    <w:rsid w:val="00C42B40"/>
    <w:rsid w:val="00C42DE2"/>
    <w:rsid w:val="00C42DE7"/>
    <w:rsid w:val="00C43436"/>
    <w:rsid w:val="00C4379F"/>
    <w:rsid w:val="00C43C6B"/>
    <w:rsid w:val="00C444F6"/>
    <w:rsid w:val="00C445AC"/>
    <w:rsid w:val="00C4478A"/>
    <w:rsid w:val="00C4485B"/>
    <w:rsid w:val="00C452CB"/>
    <w:rsid w:val="00C456AC"/>
    <w:rsid w:val="00C456C5"/>
    <w:rsid w:val="00C459F8"/>
    <w:rsid w:val="00C45BF3"/>
    <w:rsid w:val="00C45D62"/>
    <w:rsid w:val="00C466C6"/>
    <w:rsid w:val="00C46879"/>
    <w:rsid w:val="00C46C99"/>
    <w:rsid w:val="00C46CDF"/>
    <w:rsid w:val="00C46FE4"/>
    <w:rsid w:val="00C47112"/>
    <w:rsid w:val="00C47482"/>
    <w:rsid w:val="00C47726"/>
    <w:rsid w:val="00C47C39"/>
    <w:rsid w:val="00C47EDC"/>
    <w:rsid w:val="00C5034B"/>
    <w:rsid w:val="00C50570"/>
    <w:rsid w:val="00C50574"/>
    <w:rsid w:val="00C50979"/>
    <w:rsid w:val="00C50A4D"/>
    <w:rsid w:val="00C50AEE"/>
    <w:rsid w:val="00C50D7F"/>
    <w:rsid w:val="00C51471"/>
    <w:rsid w:val="00C519A8"/>
    <w:rsid w:val="00C51B8B"/>
    <w:rsid w:val="00C51BD2"/>
    <w:rsid w:val="00C51F21"/>
    <w:rsid w:val="00C520FF"/>
    <w:rsid w:val="00C528CD"/>
    <w:rsid w:val="00C52911"/>
    <w:rsid w:val="00C52BE3"/>
    <w:rsid w:val="00C52C49"/>
    <w:rsid w:val="00C52F66"/>
    <w:rsid w:val="00C53647"/>
    <w:rsid w:val="00C53811"/>
    <w:rsid w:val="00C538F3"/>
    <w:rsid w:val="00C54366"/>
    <w:rsid w:val="00C545EB"/>
    <w:rsid w:val="00C547CA"/>
    <w:rsid w:val="00C549CE"/>
    <w:rsid w:val="00C54B9C"/>
    <w:rsid w:val="00C54F38"/>
    <w:rsid w:val="00C5521B"/>
    <w:rsid w:val="00C55455"/>
    <w:rsid w:val="00C55723"/>
    <w:rsid w:val="00C5572A"/>
    <w:rsid w:val="00C55B16"/>
    <w:rsid w:val="00C55DD1"/>
    <w:rsid w:val="00C5610D"/>
    <w:rsid w:val="00C56197"/>
    <w:rsid w:val="00C56732"/>
    <w:rsid w:val="00C56736"/>
    <w:rsid w:val="00C56947"/>
    <w:rsid w:val="00C56D72"/>
    <w:rsid w:val="00C57214"/>
    <w:rsid w:val="00C573BF"/>
    <w:rsid w:val="00C575D1"/>
    <w:rsid w:val="00C57734"/>
    <w:rsid w:val="00C57C04"/>
    <w:rsid w:val="00C57FE4"/>
    <w:rsid w:val="00C605F8"/>
    <w:rsid w:val="00C60709"/>
    <w:rsid w:val="00C612E4"/>
    <w:rsid w:val="00C612FF"/>
    <w:rsid w:val="00C613B6"/>
    <w:rsid w:val="00C614A2"/>
    <w:rsid w:val="00C61825"/>
    <w:rsid w:val="00C61B18"/>
    <w:rsid w:val="00C61B67"/>
    <w:rsid w:val="00C61EEC"/>
    <w:rsid w:val="00C620A4"/>
    <w:rsid w:val="00C62287"/>
    <w:rsid w:val="00C626E5"/>
    <w:rsid w:val="00C627E0"/>
    <w:rsid w:val="00C63192"/>
    <w:rsid w:val="00C633E3"/>
    <w:rsid w:val="00C63443"/>
    <w:rsid w:val="00C634FE"/>
    <w:rsid w:val="00C63803"/>
    <w:rsid w:val="00C63E68"/>
    <w:rsid w:val="00C64202"/>
    <w:rsid w:val="00C64240"/>
    <w:rsid w:val="00C64847"/>
    <w:rsid w:val="00C64A9D"/>
    <w:rsid w:val="00C64CB9"/>
    <w:rsid w:val="00C64D3A"/>
    <w:rsid w:val="00C65272"/>
    <w:rsid w:val="00C65552"/>
    <w:rsid w:val="00C65ABC"/>
    <w:rsid w:val="00C65C53"/>
    <w:rsid w:val="00C65C59"/>
    <w:rsid w:val="00C65CCB"/>
    <w:rsid w:val="00C65DFC"/>
    <w:rsid w:val="00C65FE7"/>
    <w:rsid w:val="00C6618A"/>
    <w:rsid w:val="00C66735"/>
    <w:rsid w:val="00C66763"/>
    <w:rsid w:val="00C66822"/>
    <w:rsid w:val="00C6688A"/>
    <w:rsid w:val="00C6718D"/>
    <w:rsid w:val="00C673CB"/>
    <w:rsid w:val="00C6744E"/>
    <w:rsid w:val="00C677F5"/>
    <w:rsid w:val="00C67B33"/>
    <w:rsid w:val="00C67BEF"/>
    <w:rsid w:val="00C67C7A"/>
    <w:rsid w:val="00C67D96"/>
    <w:rsid w:val="00C70059"/>
    <w:rsid w:val="00C70450"/>
    <w:rsid w:val="00C707AF"/>
    <w:rsid w:val="00C70C4D"/>
    <w:rsid w:val="00C7104B"/>
    <w:rsid w:val="00C71239"/>
    <w:rsid w:val="00C712FD"/>
    <w:rsid w:val="00C71566"/>
    <w:rsid w:val="00C71802"/>
    <w:rsid w:val="00C71EF4"/>
    <w:rsid w:val="00C72569"/>
    <w:rsid w:val="00C72BAA"/>
    <w:rsid w:val="00C72D00"/>
    <w:rsid w:val="00C72D2F"/>
    <w:rsid w:val="00C73057"/>
    <w:rsid w:val="00C732ED"/>
    <w:rsid w:val="00C73370"/>
    <w:rsid w:val="00C7344C"/>
    <w:rsid w:val="00C7345E"/>
    <w:rsid w:val="00C734D6"/>
    <w:rsid w:val="00C7357C"/>
    <w:rsid w:val="00C73A49"/>
    <w:rsid w:val="00C73AE1"/>
    <w:rsid w:val="00C73B72"/>
    <w:rsid w:val="00C7464F"/>
    <w:rsid w:val="00C748E3"/>
    <w:rsid w:val="00C74BED"/>
    <w:rsid w:val="00C74BF6"/>
    <w:rsid w:val="00C74C61"/>
    <w:rsid w:val="00C74D2F"/>
    <w:rsid w:val="00C7500E"/>
    <w:rsid w:val="00C7554E"/>
    <w:rsid w:val="00C75683"/>
    <w:rsid w:val="00C75C54"/>
    <w:rsid w:val="00C760D4"/>
    <w:rsid w:val="00C761BE"/>
    <w:rsid w:val="00C7651D"/>
    <w:rsid w:val="00C767F8"/>
    <w:rsid w:val="00C76CA8"/>
    <w:rsid w:val="00C76DEC"/>
    <w:rsid w:val="00C76E8D"/>
    <w:rsid w:val="00C76FF0"/>
    <w:rsid w:val="00C771B0"/>
    <w:rsid w:val="00C772AE"/>
    <w:rsid w:val="00C77ED6"/>
    <w:rsid w:val="00C77F3F"/>
    <w:rsid w:val="00C800B3"/>
    <w:rsid w:val="00C80165"/>
    <w:rsid w:val="00C808EE"/>
    <w:rsid w:val="00C80B19"/>
    <w:rsid w:val="00C80C46"/>
    <w:rsid w:val="00C80EE3"/>
    <w:rsid w:val="00C812CA"/>
    <w:rsid w:val="00C813AC"/>
    <w:rsid w:val="00C815D1"/>
    <w:rsid w:val="00C81709"/>
    <w:rsid w:val="00C81730"/>
    <w:rsid w:val="00C8183F"/>
    <w:rsid w:val="00C818AE"/>
    <w:rsid w:val="00C8195C"/>
    <w:rsid w:val="00C81A8D"/>
    <w:rsid w:val="00C82076"/>
    <w:rsid w:val="00C823E3"/>
    <w:rsid w:val="00C825B3"/>
    <w:rsid w:val="00C82677"/>
    <w:rsid w:val="00C82A06"/>
    <w:rsid w:val="00C82DF4"/>
    <w:rsid w:val="00C831F0"/>
    <w:rsid w:val="00C83256"/>
    <w:rsid w:val="00C8329C"/>
    <w:rsid w:val="00C8348D"/>
    <w:rsid w:val="00C83F79"/>
    <w:rsid w:val="00C8453A"/>
    <w:rsid w:val="00C84670"/>
    <w:rsid w:val="00C84716"/>
    <w:rsid w:val="00C8506B"/>
    <w:rsid w:val="00C8508C"/>
    <w:rsid w:val="00C85355"/>
    <w:rsid w:val="00C8558C"/>
    <w:rsid w:val="00C85FC9"/>
    <w:rsid w:val="00C8603F"/>
    <w:rsid w:val="00C86281"/>
    <w:rsid w:val="00C866B2"/>
    <w:rsid w:val="00C869FA"/>
    <w:rsid w:val="00C86A35"/>
    <w:rsid w:val="00C86DC0"/>
    <w:rsid w:val="00C87D28"/>
    <w:rsid w:val="00C90416"/>
    <w:rsid w:val="00C90456"/>
    <w:rsid w:val="00C90A4A"/>
    <w:rsid w:val="00C90AF1"/>
    <w:rsid w:val="00C90BB7"/>
    <w:rsid w:val="00C90CEA"/>
    <w:rsid w:val="00C90EC9"/>
    <w:rsid w:val="00C90F1D"/>
    <w:rsid w:val="00C9123D"/>
    <w:rsid w:val="00C9134C"/>
    <w:rsid w:val="00C9184E"/>
    <w:rsid w:val="00C91926"/>
    <w:rsid w:val="00C92125"/>
    <w:rsid w:val="00C92768"/>
    <w:rsid w:val="00C9310F"/>
    <w:rsid w:val="00C93141"/>
    <w:rsid w:val="00C9314B"/>
    <w:rsid w:val="00C932B3"/>
    <w:rsid w:val="00C936E0"/>
    <w:rsid w:val="00C93D32"/>
    <w:rsid w:val="00C94697"/>
    <w:rsid w:val="00C9481F"/>
    <w:rsid w:val="00C94BD9"/>
    <w:rsid w:val="00C95136"/>
    <w:rsid w:val="00C95324"/>
    <w:rsid w:val="00C95519"/>
    <w:rsid w:val="00C955FA"/>
    <w:rsid w:val="00C9570A"/>
    <w:rsid w:val="00C95E23"/>
    <w:rsid w:val="00C95FA9"/>
    <w:rsid w:val="00C96187"/>
    <w:rsid w:val="00C961B2"/>
    <w:rsid w:val="00C96715"/>
    <w:rsid w:val="00C967BC"/>
    <w:rsid w:val="00C969E9"/>
    <w:rsid w:val="00C96A65"/>
    <w:rsid w:val="00C96F27"/>
    <w:rsid w:val="00C96FC2"/>
    <w:rsid w:val="00C9764F"/>
    <w:rsid w:val="00C97882"/>
    <w:rsid w:val="00C97A31"/>
    <w:rsid w:val="00CA019B"/>
    <w:rsid w:val="00CA019E"/>
    <w:rsid w:val="00CA0213"/>
    <w:rsid w:val="00CA056E"/>
    <w:rsid w:val="00CA059D"/>
    <w:rsid w:val="00CA0CB0"/>
    <w:rsid w:val="00CA0D90"/>
    <w:rsid w:val="00CA0DC5"/>
    <w:rsid w:val="00CA0EC8"/>
    <w:rsid w:val="00CA128B"/>
    <w:rsid w:val="00CA26D6"/>
    <w:rsid w:val="00CA2A3F"/>
    <w:rsid w:val="00CA2BB2"/>
    <w:rsid w:val="00CA3572"/>
    <w:rsid w:val="00CA3BAE"/>
    <w:rsid w:val="00CA461B"/>
    <w:rsid w:val="00CA46A9"/>
    <w:rsid w:val="00CA4987"/>
    <w:rsid w:val="00CA49E1"/>
    <w:rsid w:val="00CA4CF1"/>
    <w:rsid w:val="00CA4CF2"/>
    <w:rsid w:val="00CA4E8A"/>
    <w:rsid w:val="00CA4F4D"/>
    <w:rsid w:val="00CA5043"/>
    <w:rsid w:val="00CA5058"/>
    <w:rsid w:val="00CA54F7"/>
    <w:rsid w:val="00CA56E0"/>
    <w:rsid w:val="00CA5845"/>
    <w:rsid w:val="00CA59BB"/>
    <w:rsid w:val="00CA5B6B"/>
    <w:rsid w:val="00CA5EF9"/>
    <w:rsid w:val="00CA6225"/>
    <w:rsid w:val="00CA63CD"/>
    <w:rsid w:val="00CA66C8"/>
    <w:rsid w:val="00CA68EB"/>
    <w:rsid w:val="00CA6C09"/>
    <w:rsid w:val="00CA6FE6"/>
    <w:rsid w:val="00CA745D"/>
    <w:rsid w:val="00CA7CC9"/>
    <w:rsid w:val="00CA7E01"/>
    <w:rsid w:val="00CB01BE"/>
    <w:rsid w:val="00CB054B"/>
    <w:rsid w:val="00CB05F0"/>
    <w:rsid w:val="00CB0C30"/>
    <w:rsid w:val="00CB0D8F"/>
    <w:rsid w:val="00CB13B3"/>
    <w:rsid w:val="00CB1571"/>
    <w:rsid w:val="00CB16AF"/>
    <w:rsid w:val="00CB1942"/>
    <w:rsid w:val="00CB1A9F"/>
    <w:rsid w:val="00CB1DE9"/>
    <w:rsid w:val="00CB1E61"/>
    <w:rsid w:val="00CB1F4A"/>
    <w:rsid w:val="00CB2361"/>
    <w:rsid w:val="00CB26DA"/>
    <w:rsid w:val="00CB2C30"/>
    <w:rsid w:val="00CB2DF8"/>
    <w:rsid w:val="00CB3654"/>
    <w:rsid w:val="00CB3926"/>
    <w:rsid w:val="00CB392B"/>
    <w:rsid w:val="00CB3AF4"/>
    <w:rsid w:val="00CB3FEB"/>
    <w:rsid w:val="00CB42C0"/>
    <w:rsid w:val="00CB42DF"/>
    <w:rsid w:val="00CB45AA"/>
    <w:rsid w:val="00CB45B7"/>
    <w:rsid w:val="00CB4B70"/>
    <w:rsid w:val="00CB4FAC"/>
    <w:rsid w:val="00CB5217"/>
    <w:rsid w:val="00CB5256"/>
    <w:rsid w:val="00CB56B7"/>
    <w:rsid w:val="00CB59C4"/>
    <w:rsid w:val="00CB5B5A"/>
    <w:rsid w:val="00CB5C4B"/>
    <w:rsid w:val="00CB5C55"/>
    <w:rsid w:val="00CB5DF7"/>
    <w:rsid w:val="00CB5F5D"/>
    <w:rsid w:val="00CB6122"/>
    <w:rsid w:val="00CB66D9"/>
    <w:rsid w:val="00CB6D39"/>
    <w:rsid w:val="00CB6DD8"/>
    <w:rsid w:val="00CB7102"/>
    <w:rsid w:val="00CB71C7"/>
    <w:rsid w:val="00CB76B9"/>
    <w:rsid w:val="00CB788C"/>
    <w:rsid w:val="00CB7920"/>
    <w:rsid w:val="00CC0028"/>
    <w:rsid w:val="00CC008A"/>
    <w:rsid w:val="00CC0D36"/>
    <w:rsid w:val="00CC13A6"/>
    <w:rsid w:val="00CC1740"/>
    <w:rsid w:val="00CC1A2D"/>
    <w:rsid w:val="00CC1C10"/>
    <w:rsid w:val="00CC1D26"/>
    <w:rsid w:val="00CC21C1"/>
    <w:rsid w:val="00CC22AD"/>
    <w:rsid w:val="00CC2403"/>
    <w:rsid w:val="00CC2598"/>
    <w:rsid w:val="00CC2CF3"/>
    <w:rsid w:val="00CC2D3A"/>
    <w:rsid w:val="00CC2F84"/>
    <w:rsid w:val="00CC3001"/>
    <w:rsid w:val="00CC3032"/>
    <w:rsid w:val="00CC308F"/>
    <w:rsid w:val="00CC3608"/>
    <w:rsid w:val="00CC36E5"/>
    <w:rsid w:val="00CC38F6"/>
    <w:rsid w:val="00CC410B"/>
    <w:rsid w:val="00CC47DD"/>
    <w:rsid w:val="00CC523D"/>
    <w:rsid w:val="00CC58A2"/>
    <w:rsid w:val="00CC66C1"/>
    <w:rsid w:val="00CC6747"/>
    <w:rsid w:val="00CC6DBC"/>
    <w:rsid w:val="00CC73A7"/>
    <w:rsid w:val="00CC77A1"/>
    <w:rsid w:val="00CC7972"/>
    <w:rsid w:val="00CC79A2"/>
    <w:rsid w:val="00CC7B22"/>
    <w:rsid w:val="00CC7D01"/>
    <w:rsid w:val="00CC7E01"/>
    <w:rsid w:val="00CC7E65"/>
    <w:rsid w:val="00CD0029"/>
    <w:rsid w:val="00CD096F"/>
    <w:rsid w:val="00CD0974"/>
    <w:rsid w:val="00CD0B23"/>
    <w:rsid w:val="00CD0C3C"/>
    <w:rsid w:val="00CD0DDC"/>
    <w:rsid w:val="00CD0E2B"/>
    <w:rsid w:val="00CD0ECA"/>
    <w:rsid w:val="00CD1280"/>
    <w:rsid w:val="00CD132A"/>
    <w:rsid w:val="00CD17DF"/>
    <w:rsid w:val="00CD1B16"/>
    <w:rsid w:val="00CD246A"/>
    <w:rsid w:val="00CD2506"/>
    <w:rsid w:val="00CD2698"/>
    <w:rsid w:val="00CD31F8"/>
    <w:rsid w:val="00CD3850"/>
    <w:rsid w:val="00CD3C96"/>
    <w:rsid w:val="00CD3E40"/>
    <w:rsid w:val="00CD45EB"/>
    <w:rsid w:val="00CD5136"/>
    <w:rsid w:val="00CD55EB"/>
    <w:rsid w:val="00CD57AA"/>
    <w:rsid w:val="00CD5CA5"/>
    <w:rsid w:val="00CD5D68"/>
    <w:rsid w:val="00CD5DDD"/>
    <w:rsid w:val="00CD5F97"/>
    <w:rsid w:val="00CD625E"/>
    <w:rsid w:val="00CD6579"/>
    <w:rsid w:val="00CD6666"/>
    <w:rsid w:val="00CD6B62"/>
    <w:rsid w:val="00CD6BBB"/>
    <w:rsid w:val="00CD6C73"/>
    <w:rsid w:val="00CD7332"/>
    <w:rsid w:val="00CD73B5"/>
    <w:rsid w:val="00CD7B8A"/>
    <w:rsid w:val="00CD7C40"/>
    <w:rsid w:val="00CD7D7A"/>
    <w:rsid w:val="00CD7DB5"/>
    <w:rsid w:val="00CD7E8E"/>
    <w:rsid w:val="00CE0291"/>
    <w:rsid w:val="00CE0BE2"/>
    <w:rsid w:val="00CE151A"/>
    <w:rsid w:val="00CE1533"/>
    <w:rsid w:val="00CE16E9"/>
    <w:rsid w:val="00CE1A3B"/>
    <w:rsid w:val="00CE1B09"/>
    <w:rsid w:val="00CE1ECF"/>
    <w:rsid w:val="00CE1F19"/>
    <w:rsid w:val="00CE2371"/>
    <w:rsid w:val="00CE23A4"/>
    <w:rsid w:val="00CE2418"/>
    <w:rsid w:val="00CE263B"/>
    <w:rsid w:val="00CE3421"/>
    <w:rsid w:val="00CE360B"/>
    <w:rsid w:val="00CE3659"/>
    <w:rsid w:val="00CE3B93"/>
    <w:rsid w:val="00CE3D07"/>
    <w:rsid w:val="00CE452F"/>
    <w:rsid w:val="00CE4BB8"/>
    <w:rsid w:val="00CE4D9A"/>
    <w:rsid w:val="00CE4DB0"/>
    <w:rsid w:val="00CE5171"/>
    <w:rsid w:val="00CE543D"/>
    <w:rsid w:val="00CE54FD"/>
    <w:rsid w:val="00CE5A48"/>
    <w:rsid w:val="00CE6269"/>
    <w:rsid w:val="00CE640A"/>
    <w:rsid w:val="00CE7277"/>
    <w:rsid w:val="00CE7DCD"/>
    <w:rsid w:val="00CF0032"/>
    <w:rsid w:val="00CF00F1"/>
    <w:rsid w:val="00CF0141"/>
    <w:rsid w:val="00CF0558"/>
    <w:rsid w:val="00CF061B"/>
    <w:rsid w:val="00CF08B2"/>
    <w:rsid w:val="00CF0934"/>
    <w:rsid w:val="00CF0C13"/>
    <w:rsid w:val="00CF0FAA"/>
    <w:rsid w:val="00CF1096"/>
    <w:rsid w:val="00CF10AE"/>
    <w:rsid w:val="00CF14F3"/>
    <w:rsid w:val="00CF20BF"/>
    <w:rsid w:val="00CF2383"/>
    <w:rsid w:val="00CF2511"/>
    <w:rsid w:val="00CF2692"/>
    <w:rsid w:val="00CF2751"/>
    <w:rsid w:val="00CF284F"/>
    <w:rsid w:val="00CF28FC"/>
    <w:rsid w:val="00CF31A5"/>
    <w:rsid w:val="00CF325E"/>
    <w:rsid w:val="00CF3599"/>
    <w:rsid w:val="00CF3857"/>
    <w:rsid w:val="00CF3CB2"/>
    <w:rsid w:val="00CF3DE4"/>
    <w:rsid w:val="00CF425A"/>
    <w:rsid w:val="00CF43F4"/>
    <w:rsid w:val="00CF4FB5"/>
    <w:rsid w:val="00CF547E"/>
    <w:rsid w:val="00CF5966"/>
    <w:rsid w:val="00CF6749"/>
    <w:rsid w:val="00CF68A6"/>
    <w:rsid w:val="00CF6CB3"/>
    <w:rsid w:val="00CF754C"/>
    <w:rsid w:val="00CF7D8A"/>
    <w:rsid w:val="00CF7D94"/>
    <w:rsid w:val="00CF7EA2"/>
    <w:rsid w:val="00CF7F20"/>
    <w:rsid w:val="00CF7F79"/>
    <w:rsid w:val="00D0018C"/>
    <w:rsid w:val="00D00592"/>
    <w:rsid w:val="00D006AF"/>
    <w:rsid w:val="00D00B7F"/>
    <w:rsid w:val="00D00C0D"/>
    <w:rsid w:val="00D00C19"/>
    <w:rsid w:val="00D00C88"/>
    <w:rsid w:val="00D01159"/>
    <w:rsid w:val="00D012B8"/>
    <w:rsid w:val="00D01544"/>
    <w:rsid w:val="00D01727"/>
    <w:rsid w:val="00D01A0E"/>
    <w:rsid w:val="00D01CE0"/>
    <w:rsid w:val="00D021F0"/>
    <w:rsid w:val="00D0265D"/>
    <w:rsid w:val="00D02686"/>
    <w:rsid w:val="00D027D9"/>
    <w:rsid w:val="00D028EB"/>
    <w:rsid w:val="00D029C9"/>
    <w:rsid w:val="00D02EA1"/>
    <w:rsid w:val="00D02F8F"/>
    <w:rsid w:val="00D034C6"/>
    <w:rsid w:val="00D034FE"/>
    <w:rsid w:val="00D03879"/>
    <w:rsid w:val="00D0395F"/>
    <w:rsid w:val="00D03A5A"/>
    <w:rsid w:val="00D03CD0"/>
    <w:rsid w:val="00D0426B"/>
    <w:rsid w:val="00D0498A"/>
    <w:rsid w:val="00D04A68"/>
    <w:rsid w:val="00D04DA2"/>
    <w:rsid w:val="00D05257"/>
    <w:rsid w:val="00D0561D"/>
    <w:rsid w:val="00D05AC6"/>
    <w:rsid w:val="00D05BAA"/>
    <w:rsid w:val="00D06351"/>
    <w:rsid w:val="00D0647D"/>
    <w:rsid w:val="00D06C0D"/>
    <w:rsid w:val="00D071FD"/>
    <w:rsid w:val="00D0755B"/>
    <w:rsid w:val="00D07573"/>
    <w:rsid w:val="00D0773F"/>
    <w:rsid w:val="00D077BB"/>
    <w:rsid w:val="00D10113"/>
    <w:rsid w:val="00D1054C"/>
    <w:rsid w:val="00D10551"/>
    <w:rsid w:val="00D1099F"/>
    <w:rsid w:val="00D11268"/>
    <w:rsid w:val="00D1154E"/>
    <w:rsid w:val="00D11959"/>
    <w:rsid w:val="00D11A76"/>
    <w:rsid w:val="00D11DD0"/>
    <w:rsid w:val="00D12241"/>
    <w:rsid w:val="00D122ED"/>
    <w:rsid w:val="00D1286E"/>
    <w:rsid w:val="00D12A92"/>
    <w:rsid w:val="00D12AA5"/>
    <w:rsid w:val="00D131BB"/>
    <w:rsid w:val="00D136B6"/>
    <w:rsid w:val="00D1406E"/>
    <w:rsid w:val="00D1449E"/>
    <w:rsid w:val="00D14759"/>
    <w:rsid w:val="00D14762"/>
    <w:rsid w:val="00D14C79"/>
    <w:rsid w:val="00D14F00"/>
    <w:rsid w:val="00D1550E"/>
    <w:rsid w:val="00D1553D"/>
    <w:rsid w:val="00D1563C"/>
    <w:rsid w:val="00D158D0"/>
    <w:rsid w:val="00D15B33"/>
    <w:rsid w:val="00D15C89"/>
    <w:rsid w:val="00D15E7F"/>
    <w:rsid w:val="00D15E84"/>
    <w:rsid w:val="00D15FAA"/>
    <w:rsid w:val="00D16867"/>
    <w:rsid w:val="00D16B8F"/>
    <w:rsid w:val="00D170D8"/>
    <w:rsid w:val="00D17201"/>
    <w:rsid w:val="00D17429"/>
    <w:rsid w:val="00D176B6"/>
    <w:rsid w:val="00D1796B"/>
    <w:rsid w:val="00D20001"/>
    <w:rsid w:val="00D202BD"/>
    <w:rsid w:val="00D202FD"/>
    <w:rsid w:val="00D20342"/>
    <w:rsid w:val="00D20A32"/>
    <w:rsid w:val="00D2126E"/>
    <w:rsid w:val="00D212B6"/>
    <w:rsid w:val="00D213A7"/>
    <w:rsid w:val="00D21AC2"/>
    <w:rsid w:val="00D22CFF"/>
    <w:rsid w:val="00D22E9B"/>
    <w:rsid w:val="00D23B90"/>
    <w:rsid w:val="00D23CA0"/>
    <w:rsid w:val="00D23F6F"/>
    <w:rsid w:val="00D24372"/>
    <w:rsid w:val="00D244F0"/>
    <w:rsid w:val="00D245FB"/>
    <w:rsid w:val="00D24911"/>
    <w:rsid w:val="00D25595"/>
    <w:rsid w:val="00D25B92"/>
    <w:rsid w:val="00D25BAA"/>
    <w:rsid w:val="00D25DAF"/>
    <w:rsid w:val="00D25DD2"/>
    <w:rsid w:val="00D26897"/>
    <w:rsid w:val="00D26C86"/>
    <w:rsid w:val="00D2725E"/>
    <w:rsid w:val="00D277E0"/>
    <w:rsid w:val="00D27CDB"/>
    <w:rsid w:val="00D27D19"/>
    <w:rsid w:val="00D27D7E"/>
    <w:rsid w:val="00D30678"/>
    <w:rsid w:val="00D30B00"/>
    <w:rsid w:val="00D315F4"/>
    <w:rsid w:val="00D316A3"/>
    <w:rsid w:val="00D316A5"/>
    <w:rsid w:val="00D31705"/>
    <w:rsid w:val="00D31AA0"/>
    <w:rsid w:val="00D3206F"/>
    <w:rsid w:val="00D320CE"/>
    <w:rsid w:val="00D32A4D"/>
    <w:rsid w:val="00D32B1C"/>
    <w:rsid w:val="00D33490"/>
    <w:rsid w:val="00D33916"/>
    <w:rsid w:val="00D33DFA"/>
    <w:rsid w:val="00D33EC3"/>
    <w:rsid w:val="00D3427F"/>
    <w:rsid w:val="00D34305"/>
    <w:rsid w:val="00D3430B"/>
    <w:rsid w:val="00D3454A"/>
    <w:rsid w:val="00D347F2"/>
    <w:rsid w:val="00D34BC9"/>
    <w:rsid w:val="00D35699"/>
    <w:rsid w:val="00D356DE"/>
    <w:rsid w:val="00D36056"/>
    <w:rsid w:val="00D360B1"/>
    <w:rsid w:val="00D3628C"/>
    <w:rsid w:val="00D36364"/>
    <w:rsid w:val="00D36410"/>
    <w:rsid w:val="00D36518"/>
    <w:rsid w:val="00D3683E"/>
    <w:rsid w:val="00D3698C"/>
    <w:rsid w:val="00D369CB"/>
    <w:rsid w:val="00D374CA"/>
    <w:rsid w:val="00D37565"/>
    <w:rsid w:val="00D407F3"/>
    <w:rsid w:val="00D408A3"/>
    <w:rsid w:val="00D40FB7"/>
    <w:rsid w:val="00D41086"/>
    <w:rsid w:val="00D41344"/>
    <w:rsid w:val="00D41636"/>
    <w:rsid w:val="00D41BE7"/>
    <w:rsid w:val="00D41CBD"/>
    <w:rsid w:val="00D41E50"/>
    <w:rsid w:val="00D420F1"/>
    <w:rsid w:val="00D421AA"/>
    <w:rsid w:val="00D42539"/>
    <w:rsid w:val="00D429D7"/>
    <w:rsid w:val="00D42F55"/>
    <w:rsid w:val="00D42FCA"/>
    <w:rsid w:val="00D4302B"/>
    <w:rsid w:val="00D434C2"/>
    <w:rsid w:val="00D435E4"/>
    <w:rsid w:val="00D4372B"/>
    <w:rsid w:val="00D43774"/>
    <w:rsid w:val="00D43782"/>
    <w:rsid w:val="00D43B4D"/>
    <w:rsid w:val="00D43D58"/>
    <w:rsid w:val="00D441BC"/>
    <w:rsid w:val="00D441D8"/>
    <w:rsid w:val="00D44582"/>
    <w:rsid w:val="00D45302"/>
    <w:rsid w:val="00D46080"/>
    <w:rsid w:val="00D4622E"/>
    <w:rsid w:val="00D464C9"/>
    <w:rsid w:val="00D466B5"/>
    <w:rsid w:val="00D4685A"/>
    <w:rsid w:val="00D46B00"/>
    <w:rsid w:val="00D47146"/>
    <w:rsid w:val="00D4731E"/>
    <w:rsid w:val="00D476C4"/>
    <w:rsid w:val="00D4770F"/>
    <w:rsid w:val="00D47E50"/>
    <w:rsid w:val="00D501AE"/>
    <w:rsid w:val="00D50AEC"/>
    <w:rsid w:val="00D50BAB"/>
    <w:rsid w:val="00D51594"/>
    <w:rsid w:val="00D5224A"/>
    <w:rsid w:val="00D5240F"/>
    <w:rsid w:val="00D524B0"/>
    <w:rsid w:val="00D52CC7"/>
    <w:rsid w:val="00D52D40"/>
    <w:rsid w:val="00D5385E"/>
    <w:rsid w:val="00D53CC7"/>
    <w:rsid w:val="00D53EF3"/>
    <w:rsid w:val="00D53FE7"/>
    <w:rsid w:val="00D5426A"/>
    <w:rsid w:val="00D54928"/>
    <w:rsid w:val="00D55046"/>
    <w:rsid w:val="00D55492"/>
    <w:rsid w:val="00D556FE"/>
    <w:rsid w:val="00D5570C"/>
    <w:rsid w:val="00D5576D"/>
    <w:rsid w:val="00D55F81"/>
    <w:rsid w:val="00D56000"/>
    <w:rsid w:val="00D56385"/>
    <w:rsid w:val="00D563E5"/>
    <w:rsid w:val="00D565B4"/>
    <w:rsid w:val="00D56ABF"/>
    <w:rsid w:val="00D56CC9"/>
    <w:rsid w:val="00D56E50"/>
    <w:rsid w:val="00D571DB"/>
    <w:rsid w:val="00D57A92"/>
    <w:rsid w:val="00D57B93"/>
    <w:rsid w:val="00D57DEB"/>
    <w:rsid w:val="00D60167"/>
    <w:rsid w:val="00D60BF3"/>
    <w:rsid w:val="00D60E5E"/>
    <w:rsid w:val="00D61240"/>
    <w:rsid w:val="00D612F3"/>
    <w:rsid w:val="00D615B4"/>
    <w:rsid w:val="00D617A6"/>
    <w:rsid w:val="00D61D52"/>
    <w:rsid w:val="00D625E7"/>
    <w:rsid w:val="00D62762"/>
    <w:rsid w:val="00D631A3"/>
    <w:rsid w:val="00D6320F"/>
    <w:rsid w:val="00D63323"/>
    <w:rsid w:val="00D63848"/>
    <w:rsid w:val="00D63AC0"/>
    <w:rsid w:val="00D63F58"/>
    <w:rsid w:val="00D64451"/>
    <w:rsid w:val="00D644A3"/>
    <w:rsid w:val="00D6461B"/>
    <w:rsid w:val="00D64D17"/>
    <w:rsid w:val="00D657E0"/>
    <w:rsid w:val="00D65C1A"/>
    <w:rsid w:val="00D65C61"/>
    <w:rsid w:val="00D65EF7"/>
    <w:rsid w:val="00D66088"/>
    <w:rsid w:val="00D663BE"/>
    <w:rsid w:val="00D665E7"/>
    <w:rsid w:val="00D6724F"/>
    <w:rsid w:val="00D674FF"/>
    <w:rsid w:val="00D676F4"/>
    <w:rsid w:val="00D679CC"/>
    <w:rsid w:val="00D67DB0"/>
    <w:rsid w:val="00D703C1"/>
    <w:rsid w:val="00D70FAD"/>
    <w:rsid w:val="00D716E2"/>
    <w:rsid w:val="00D7196C"/>
    <w:rsid w:val="00D71DD2"/>
    <w:rsid w:val="00D72566"/>
    <w:rsid w:val="00D7266D"/>
    <w:rsid w:val="00D728BD"/>
    <w:rsid w:val="00D7317A"/>
    <w:rsid w:val="00D7335C"/>
    <w:rsid w:val="00D73959"/>
    <w:rsid w:val="00D73C43"/>
    <w:rsid w:val="00D740D8"/>
    <w:rsid w:val="00D742DB"/>
    <w:rsid w:val="00D748B7"/>
    <w:rsid w:val="00D74980"/>
    <w:rsid w:val="00D74ABA"/>
    <w:rsid w:val="00D75B3E"/>
    <w:rsid w:val="00D75E45"/>
    <w:rsid w:val="00D76556"/>
    <w:rsid w:val="00D76EE0"/>
    <w:rsid w:val="00D77325"/>
    <w:rsid w:val="00D776BC"/>
    <w:rsid w:val="00D7775A"/>
    <w:rsid w:val="00D778E9"/>
    <w:rsid w:val="00D80171"/>
    <w:rsid w:val="00D8087B"/>
    <w:rsid w:val="00D809FF"/>
    <w:rsid w:val="00D80A1E"/>
    <w:rsid w:val="00D80A95"/>
    <w:rsid w:val="00D813AD"/>
    <w:rsid w:val="00D8185F"/>
    <w:rsid w:val="00D81CEE"/>
    <w:rsid w:val="00D821A2"/>
    <w:rsid w:val="00D8261B"/>
    <w:rsid w:val="00D8267A"/>
    <w:rsid w:val="00D826B9"/>
    <w:rsid w:val="00D8272B"/>
    <w:rsid w:val="00D82732"/>
    <w:rsid w:val="00D83B96"/>
    <w:rsid w:val="00D83C7B"/>
    <w:rsid w:val="00D843F0"/>
    <w:rsid w:val="00D848A7"/>
    <w:rsid w:val="00D84B23"/>
    <w:rsid w:val="00D85511"/>
    <w:rsid w:val="00D85525"/>
    <w:rsid w:val="00D85709"/>
    <w:rsid w:val="00D866B4"/>
    <w:rsid w:val="00D86726"/>
    <w:rsid w:val="00D875B3"/>
    <w:rsid w:val="00D87C84"/>
    <w:rsid w:val="00D901A3"/>
    <w:rsid w:val="00D903FB"/>
    <w:rsid w:val="00D9094C"/>
    <w:rsid w:val="00D90B83"/>
    <w:rsid w:val="00D90F63"/>
    <w:rsid w:val="00D91512"/>
    <w:rsid w:val="00D915A4"/>
    <w:rsid w:val="00D918DF"/>
    <w:rsid w:val="00D91A6E"/>
    <w:rsid w:val="00D92701"/>
    <w:rsid w:val="00D92FE1"/>
    <w:rsid w:val="00D9316E"/>
    <w:rsid w:val="00D932BC"/>
    <w:rsid w:val="00D93409"/>
    <w:rsid w:val="00D93BF5"/>
    <w:rsid w:val="00D9449A"/>
    <w:rsid w:val="00D9450C"/>
    <w:rsid w:val="00D946EF"/>
    <w:rsid w:val="00D94C7A"/>
    <w:rsid w:val="00D94D7E"/>
    <w:rsid w:val="00D952F9"/>
    <w:rsid w:val="00D95441"/>
    <w:rsid w:val="00D9556A"/>
    <w:rsid w:val="00D95778"/>
    <w:rsid w:val="00D958D7"/>
    <w:rsid w:val="00D959F2"/>
    <w:rsid w:val="00D95A34"/>
    <w:rsid w:val="00D95D39"/>
    <w:rsid w:val="00D95D96"/>
    <w:rsid w:val="00D962C7"/>
    <w:rsid w:val="00D963AB"/>
    <w:rsid w:val="00D964C5"/>
    <w:rsid w:val="00D96951"/>
    <w:rsid w:val="00D96A78"/>
    <w:rsid w:val="00D974BD"/>
    <w:rsid w:val="00D974DC"/>
    <w:rsid w:val="00D9772D"/>
    <w:rsid w:val="00D97FB7"/>
    <w:rsid w:val="00DA0113"/>
    <w:rsid w:val="00DA03E0"/>
    <w:rsid w:val="00DA04F1"/>
    <w:rsid w:val="00DA063D"/>
    <w:rsid w:val="00DA06DF"/>
    <w:rsid w:val="00DA07E4"/>
    <w:rsid w:val="00DA0C8B"/>
    <w:rsid w:val="00DA0E9F"/>
    <w:rsid w:val="00DA1180"/>
    <w:rsid w:val="00DA130B"/>
    <w:rsid w:val="00DA1349"/>
    <w:rsid w:val="00DA1B28"/>
    <w:rsid w:val="00DA1B5C"/>
    <w:rsid w:val="00DA1BD0"/>
    <w:rsid w:val="00DA1D11"/>
    <w:rsid w:val="00DA1E9E"/>
    <w:rsid w:val="00DA21BF"/>
    <w:rsid w:val="00DA2338"/>
    <w:rsid w:val="00DA24C0"/>
    <w:rsid w:val="00DA25F0"/>
    <w:rsid w:val="00DA2CC4"/>
    <w:rsid w:val="00DA2E4A"/>
    <w:rsid w:val="00DA3B3E"/>
    <w:rsid w:val="00DA3D47"/>
    <w:rsid w:val="00DA46D3"/>
    <w:rsid w:val="00DA4BDA"/>
    <w:rsid w:val="00DA4CAC"/>
    <w:rsid w:val="00DA4EE4"/>
    <w:rsid w:val="00DA50A5"/>
    <w:rsid w:val="00DA52E0"/>
    <w:rsid w:val="00DA530D"/>
    <w:rsid w:val="00DA5371"/>
    <w:rsid w:val="00DA5588"/>
    <w:rsid w:val="00DA5647"/>
    <w:rsid w:val="00DA5756"/>
    <w:rsid w:val="00DA57E1"/>
    <w:rsid w:val="00DA5BDE"/>
    <w:rsid w:val="00DA6040"/>
    <w:rsid w:val="00DA6275"/>
    <w:rsid w:val="00DA653A"/>
    <w:rsid w:val="00DA68D2"/>
    <w:rsid w:val="00DA72D5"/>
    <w:rsid w:val="00DA74A9"/>
    <w:rsid w:val="00DA7B14"/>
    <w:rsid w:val="00DA7FB0"/>
    <w:rsid w:val="00DB001E"/>
    <w:rsid w:val="00DB009F"/>
    <w:rsid w:val="00DB078E"/>
    <w:rsid w:val="00DB0902"/>
    <w:rsid w:val="00DB0E31"/>
    <w:rsid w:val="00DB101D"/>
    <w:rsid w:val="00DB13D7"/>
    <w:rsid w:val="00DB14FC"/>
    <w:rsid w:val="00DB1656"/>
    <w:rsid w:val="00DB1D2F"/>
    <w:rsid w:val="00DB227A"/>
    <w:rsid w:val="00DB2F66"/>
    <w:rsid w:val="00DB30B8"/>
    <w:rsid w:val="00DB3102"/>
    <w:rsid w:val="00DB33F0"/>
    <w:rsid w:val="00DB3585"/>
    <w:rsid w:val="00DB3A58"/>
    <w:rsid w:val="00DB3A7F"/>
    <w:rsid w:val="00DB44D3"/>
    <w:rsid w:val="00DB4B0D"/>
    <w:rsid w:val="00DB4B88"/>
    <w:rsid w:val="00DB4DA1"/>
    <w:rsid w:val="00DB56EA"/>
    <w:rsid w:val="00DB572D"/>
    <w:rsid w:val="00DB5AE2"/>
    <w:rsid w:val="00DB6ABE"/>
    <w:rsid w:val="00DB6E8F"/>
    <w:rsid w:val="00DB6F52"/>
    <w:rsid w:val="00DB7A4E"/>
    <w:rsid w:val="00DB7A51"/>
    <w:rsid w:val="00DB7B9A"/>
    <w:rsid w:val="00DB7DB3"/>
    <w:rsid w:val="00DC07BF"/>
    <w:rsid w:val="00DC0AD3"/>
    <w:rsid w:val="00DC0B7C"/>
    <w:rsid w:val="00DC0E6F"/>
    <w:rsid w:val="00DC0FAF"/>
    <w:rsid w:val="00DC0FDF"/>
    <w:rsid w:val="00DC1083"/>
    <w:rsid w:val="00DC1118"/>
    <w:rsid w:val="00DC1272"/>
    <w:rsid w:val="00DC14EF"/>
    <w:rsid w:val="00DC18DB"/>
    <w:rsid w:val="00DC1B1B"/>
    <w:rsid w:val="00DC1CE0"/>
    <w:rsid w:val="00DC249D"/>
    <w:rsid w:val="00DC24E5"/>
    <w:rsid w:val="00DC24FD"/>
    <w:rsid w:val="00DC28AF"/>
    <w:rsid w:val="00DC2961"/>
    <w:rsid w:val="00DC2CF2"/>
    <w:rsid w:val="00DC330F"/>
    <w:rsid w:val="00DC3485"/>
    <w:rsid w:val="00DC3716"/>
    <w:rsid w:val="00DC3E3A"/>
    <w:rsid w:val="00DC3F73"/>
    <w:rsid w:val="00DC5198"/>
    <w:rsid w:val="00DC5580"/>
    <w:rsid w:val="00DC55D5"/>
    <w:rsid w:val="00DC580F"/>
    <w:rsid w:val="00DC5AB1"/>
    <w:rsid w:val="00DC5C28"/>
    <w:rsid w:val="00DC5D62"/>
    <w:rsid w:val="00DC5F39"/>
    <w:rsid w:val="00DC62B8"/>
    <w:rsid w:val="00DC62C7"/>
    <w:rsid w:val="00DC65C0"/>
    <w:rsid w:val="00DC68EB"/>
    <w:rsid w:val="00DC708A"/>
    <w:rsid w:val="00DC70CF"/>
    <w:rsid w:val="00DC7960"/>
    <w:rsid w:val="00DC7AFF"/>
    <w:rsid w:val="00DD087F"/>
    <w:rsid w:val="00DD0914"/>
    <w:rsid w:val="00DD0AC5"/>
    <w:rsid w:val="00DD0B9F"/>
    <w:rsid w:val="00DD0D93"/>
    <w:rsid w:val="00DD15AE"/>
    <w:rsid w:val="00DD1840"/>
    <w:rsid w:val="00DD1D62"/>
    <w:rsid w:val="00DD1E60"/>
    <w:rsid w:val="00DD2245"/>
    <w:rsid w:val="00DD249E"/>
    <w:rsid w:val="00DD25D5"/>
    <w:rsid w:val="00DD26C8"/>
    <w:rsid w:val="00DD2918"/>
    <w:rsid w:val="00DD2985"/>
    <w:rsid w:val="00DD2AFC"/>
    <w:rsid w:val="00DD2C12"/>
    <w:rsid w:val="00DD3139"/>
    <w:rsid w:val="00DD31C8"/>
    <w:rsid w:val="00DD3681"/>
    <w:rsid w:val="00DD39B6"/>
    <w:rsid w:val="00DD3AFF"/>
    <w:rsid w:val="00DD3C98"/>
    <w:rsid w:val="00DD3EDB"/>
    <w:rsid w:val="00DD4059"/>
    <w:rsid w:val="00DD4828"/>
    <w:rsid w:val="00DD4837"/>
    <w:rsid w:val="00DD4957"/>
    <w:rsid w:val="00DD4FBE"/>
    <w:rsid w:val="00DD5544"/>
    <w:rsid w:val="00DD555F"/>
    <w:rsid w:val="00DD5A67"/>
    <w:rsid w:val="00DD5E5E"/>
    <w:rsid w:val="00DD5ED0"/>
    <w:rsid w:val="00DD6254"/>
    <w:rsid w:val="00DD6664"/>
    <w:rsid w:val="00DD6782"/>
    <w:rsid w:val="00DD6885"/>
    <w:rsid w:val="00DD69D3"/>
    <w:rsid w:val="00DD6D28"/>
    <w:rsid w:val="00DD7573"/>
    <w:rsid w:val="00DD7ECE"/>
    <w:rsid w:val="00DD7EF8"/>
    <w:rsid w:val="00DE026E"/>
    <w:rsid w:val="00DE0475"/>
    <w:rsid w:val="00DE05AF"/>
    <w:rsid w:val="00DE060B"/>
    <w:rsid w:val="00DE0731"/>
    <w:rsid w:val="00DE0870"/>
    <w:rsid w:val="00DE0955"/>
    <w:rsid w:val="00DE09E2"/>
    <w:rsid w:val="00DE1212"/>
    <w:rsid w:val="00DE151C"/>
    <w:rsid w:val="00DE1B1C"/>
    <w:rsid w:val="00DE1B72"/>
    <w:rsid w:val="00DE1CC9"/>
    <w:rsid w:val="00DE1E75"/>
    <w:rsid w:val="00DE2629"/>
    <w:rsid w:val="00DE2C5A"/>
    <w:rsid w:val="00DE2D2E"/>
    <w:rsid w:val="00DE3460"/>
    <w:rsid w:val="00DE3721"/>
    <w:rsid w:val="00DE37CA"/>
    <w:rsid w:val="00DE4801"/>
    <w:rsid w:val="00DE4914"/>
    <w:rsid w:val="00DE4A5C"/>
    <w:rsid w:val="00DE520E"/>
    <w:rsid w:val="00DE5872"/>
    <w:rsid w:val="00DE6105"/>
    <w:rsid w:val="00DE625D"/>
    <w:rsid w:val="00DE6989"/>
    <w:rsid w:val="00DE6D39"/>
    <w:rsid w:val="00DE6E8F"/>
    <w:rsid w:val="00DE6EF7"/>
    <w:rsid w:val="00DE726B"/>
    <w:rsid w:val="00DE77E9"/>
    <w:rsid w:val="00DE7BDE"/>
    <w:rsid w:val="00DF0E13"/>
    <w:rsid w:val="00DF112A"/>
    <w:rsid w:val="00DF1167"/>
    <w:rsid w:val="00DF1B65"/>
    <w:rsid w:val="00DF1D0D"/>
    <w:rsid w:val="00DF1D48"/>
    <w:rsid w:val="00DF1DF0"/>
    <w:rsid w:val="00DF248A"/>
    <w:rsid w:val="00DF2A17"/>
    <w:rsid w:val="00DF2C91"/>
    <w:rsid w:val="00DF3230"/>
    <w:rsid w:val="00DF34BA"/>
    <w:rsid w:val="00DF37C8"/>
    <w:rsid w:val="00DF3871"/>
    <w:rsid w:val="00DF39D1"/>
    <w:rsid w:val="00DF3C7A"/>
    <w:rsid w:val="00DF3FF4"/>
    <w:rsid w:val="00DF412D"/>
    <w:rsid w:val="00DF4693"/>
    <w:rsid w:val="00DF4CAE"/>
    <w:rsid w:val="00DF5AB2"/>
    <w:rsid w:val="00DF5CF9"/>
    <w:rsid w:val="00DF5E56"/>
    <w:rsid w:val="00DF65EC"/>
    <w:rsid w:val="00DF690E"/>
    <w:rsid w:val="00DF69EE"/>
    <w:rsid w:val="00DF6B7D"/>
    <w:rsid w:val="00DF6E02"/>
    <w:rsid w:val="00DF73F3"/>
    <w:rsid w:val="00DF76BA"/>
    <w:rsid w:val="00DF7745"/>
    <w:rsid w:val="00DF7E4E"/>
    <w:rsid w:val="00E007C8"/>
    <w:rsid w:val="00E007D0"/>
    <w:rsid w:val="00E007D4"/>
    <w:rsid w:val="00E00ADB"/>
    <w:rsid w:val="00E00EB8"/>
    <w:rsid w:val="00E01232"/>
    <w:rsid w:val="00E01559"/>
    <w:rsid w:val="00E016DC"/>
    <w:rsid w:val="00E01A54"/>
    <w:rsid w:val="00E01CDB"/>
    <w:rsid w:val="00E022ED"/>
    <w:rsid w:val="00E024DB"/>
    <w:rsid w:val="00E0259D"/>
    <w:rsid w:val="00E026D1"/>
    <w:rsid w:val="00E02893"/>
    <w:rsid w:val="00E02C04"/>
    <w:rsid w:val="00E031E8"/>
    <w:rsid w:val="00E03430"/>
    <w:rsid w:val="00E03497"/>
    <w:rsid w:val="00E03B1A"/>
    <w:rsid w:val="00E03B6E"/>
    <w:rsid w:val="00E03B77"/>
    <w:rsid w:val="00E03CF8"/>
    <w:rsid w:val="00E03E02"/>
    <w:rsid w:val="00E04531"/>
    <w:rsid w:val="00E04665"/>
    <w:rsid w:val="00E04820"/>
    <w:rsid w:val="00E04829"/>
    <w:rsid w:val="00E048E7"/>
    <w:rsid w:val="00E050AB"/>
    <w:rsid w:val="00E054A1"/>
    <w:rsid w:val="00E05812"/>
    <w:rsid w:val="00E05DAC"/>
    <w:rsid w:val="00E05E4E"/>
    <w:rsid w:val="00E06B09"/>
    <w:rsid w:val="00E06C0A"/>
    <w:rsid w:val="00E07420"/>
    <w:rsid w:val="00E0774C"/>
    <w:rsid w:val="00E07AB7"/>
    <w:rsid w:val="00E07DB6"/>
    <w:rsid w:val="00E101D7"/>
    <w:rsid w:val="00E10508"/>
    <w:rsid w:val="00E10A0D"/>
    <w:rsid w:val="00E10B32"/>
    <w:rsid w:val="00E110B0"/>
    <w:rsid w:val="00E11103"/>
    <w:rsid w:val="00E1117D"/>
    <w:rsid w:val="00E112E4"/>
    <w:rsid w:val="00E116DF"/>
    <w:rsid w:val="00E11F47"/>
    <w:rsid w:val="00E12199"/>
    <w:rsid w:val="00E1272E"/>
    <w:rsid w:val="00E12B81"/>
    <w:rsid w:val="00E12E92"/>
    <w:rsid w:val="00E12EB6"/>
    <w:rsid w:val="00E12F7C"/>
    <w:rsid w:val="00E13163"/>
    <w:rsid w:val="00E13886"/>
    <w:rsid w:val="00E13BE2"/>
    <w:rsid w:val="00E13F7B"/>
    <w:rsid w:val="00E143D4"/>
    <w:rsid w:val="00E1463E"/>
    <w:rsid w:val="00E146EF"/>
    <w:rsid w:val="00E14991"/>
    <w:rsid w:val="00E14F73"/>
    <w:rsid w:val="00E151F9"/>
    <w:rsid w:val="00E1577A"/>
    <w:rsid w:val="00E15894"/>
    <w:rsid w:val="00E15F21"/>
    <w:rsid w:val="00E168B3"/>
    <w:rsid w:val="00E174B8"/>
    <w:rsid w:val="00E17666"/>
    <w:rsid w:val="00E178A9"/>
    <w:rsid w:val="00E17945"/>
    <w:rsid w:val="00E179FF"/>
    <w:rsid w:val="00E17AF9"/>
    <w:rsid w:val="00E17B15"/>
    <w:rsid w:val="00E17D75"/>
    <w:rsid w:val="00E20332"/>
    <w:rsid w:val="00E20506"/>
    <w:rsid w:val="00E20986"/>
    <w:rsid w:val="00E209BC"/>
    <w:rsid w:val="00E209EE"/>
    <w:rsid w:val="00E20C6A"/>
    <w:rsid w:val="00E20E2F"/>
    <w:rsid w:val="00E20E4C"/>
    <w:rsid w:val="00E21489"/>
    <w:rsid w:val="00E214F0"/>
    <w:rsid w:val="00E2167E"/>
    <w:rsid w:val="00E21890"/>
    <w:rsid w:val="00E2196D"/>
    <w:rsid w:val="00E21C21"/>
    <w:rsid w:val="00E21E89"/>
    <w:rsid w:val="00E228AA"/>
    <w:rsid w:val="00E22A2E"/>
    <w:rsid w:val="00E22ADF"/>
    <w:rsid w:val="00E22C8F"/>
    <w:rsid w:val="00E22EC0"/>
    <w:rsid w:val="00E23072"/>
    <w:rsid w:val="00E23456"/>
    <w:rsid w:val="00E2360A"/>
    <w:rsid w:val="00E237B2"/>
    <w:rsid w:val="00E23ACD"/>
    <w:rsid w:val="00E23AF0"/>
    <w:rsid w:val="00E241A4"/>
    <w:rsid w:val="00E24CC0"/>
    <w:rsid w:val="00E24D18"/>
    <w:rsid w:val="00E25040"/>
    <w:rsid w:val="00E2512D"/>
    <w:rsid w:val="00E252F5"/>
    <w:rsid w:val="00E2542A"/>
    <w:rsid w:val="00E2549B"/>
    <w:rsid w:val="00E254D2"/>
    <w:rsid w:val="00E2555E"/>
    <w:rsid w:val="00E2558E"/>
    <w:rsid w:val="00E255B6"/>
    <w:rsid w:val="00E25B87"/>
    <w:rsid w:val="00E26212"/>
    <w:rsid w:val="00E26C3D"/>
    <w:rsid w:val="00E26E59"/>
    <w:rsid w:val="00E27241"/>
    <w:rsid w:val="00E27329"/>
    <w:rsid w:val="00E2764C"/>
    <w:rsid w:val="00E27B7D"/>
    <w:rsid w:val="00E27C1A"/>
    <w:rsid w:val="00E27FE8"/>
    <w:rsid w:val="00E3041B"/>
    <w:rsid w:val="00E304F4"/>
    <w:rsid w:val="00E309BC"/>
    <w:rsid w:val="00E30B0D"/>
    <w:rsid w:val="00E310D4"/>
    <w:rsid w:val="00E3141B"/>
    <w:rsid w:val="00E31A80"/>
    <w:rsid w:val="00E31AF5"/>
    <w:rsid w:val="00E31D6D"/>
    <w:rsid w:val="00E31DA0"/>
    <w:rsid w:val="00E32394"/>
    <w:rsid w:val="00E32AE3"/>
    <w:rsid w:val="00E32E06"/>
    <w:rsid w:val="00E3325B"/>
    <w:rsid w:val="00E3352F"/>
    <w:rsid w:val="00E33795"/>
    <w:rsid w:val="00E33F57"/>
    <w:rsid w:val="00E345C9"/>
    <w:rsid w:val="00E3495F"/>
    <w:rsid w:val="00E34C9D"/>
    <w:rsid w:val="00E34F3A"/>
    <w:rsid w:val="00E3530C"/>
    <w:rsid w:val="00E35767"/>
    <w:rsid w:val="00E35F62"/>
    <w:rsid w:val="00E35FC5"/>
    <w:rsid w:val="00E36269"/>
    <w:rsid w:val="00E362A4"/>
    <w:rsid w:val="00E3642D"/>
    <w:rsid w:val="00E3696F"/>
    <w:rsid w:val="00E37011"/>
    <w:rsid w:val="00E37370"/>
    <w:rsid w:val="00E373B3"/>
    <w:rsid w:val="00E37632"/>
    <w:rsid w:val="00E37E06"/>
    <w:rsid w:val="00E401A3"/>
    <w:rsid w:val="00E40504"/>
    <w:rsid w:val="00E40861"/>
    <w:rsid w:val="00E41497"/>
    <w:rsid w:val="00E416E8"/>
    <w:rsid w:val="00E41BDA"/>
    <w:rsid w:val="00E42258"/>
    <w:rsid w:val="00E425BF"/>
    <w:rsid w:val="00E42698"/>
    <w:rsid w:val="00E429B1"/>
    <w:rsid w:val="00E42C03"/>
    <w:rsid w:val="00E43285"/>
    <w:rsid w:val="00E436FC"/>
    <w:rsid w:val="00E43CE9"/>
    <w:rsid w:val="00E43D18"/>
    <w:rsid w:val="00E43DEB"/>
    <w:rsid w:val="00E43F39"/>
    <w:rsid w:val="00E44321"/>
    <w:rsid w:val="00E44642"/>
    <w:rsid w:val="00E44654"/>
    <w:rsid w:val="00E45451"/>
    <w:rsid w:val="00E45472"/>
    <w:rsid w:val="00E4564F"/>
    <w:rsid w:val="00E4566E"/>
    <w:rsid w:val="00E4589C"/>
    <w:rsid w:val="00E45931"/>
    <w:rsid w:val="00E45DCF"/>
    <w:rsid w:val="00E4674E"/>
    <w:rsid w:val="00E46E51"/>
    <w:rsid w:val="00E472E5"/>
    <w:rsid w:val="00E47564"/>
    <w:rsid w:val="00E47D0A"/>
    <w:rsid w:val="00E50807"/>
    <w:rsid w:val="00E50DF7"/>
    <w:rsid w:val="00E50E34"/>
    <w:rsid w:val="00E51243"/>
    <w:rsid w:val="00E51263"/>
    <w:rsid w:val="00E51F16"/>
    <w:rsid w:val="00E5208F"/>
    <w:rsid w:val="00E520DD"/>
    <w:rsid w:val="00E521A6"/>
    <w:rsid w:val="00E52415"/>
    <w:rsid w:val="00E52BBC"/>
    <w:rsid w:val="00E52C56"/>
    <w:rsid w:val="00E52D47"/>
    <w:rsid w:val="00E52FF2"/>
    <w:rsid w:val="00E535DA"/>
    <w:rsid w:val="00E5383C"/>
    <w:rsid w:val="00E53EE5"/>
    <w:rsid w:val="00E54388"/>
    <w:rsid w:val="00E544D1"/>
    <w:rsid w:val="00E54C6D"/>
    <w:rsid w:val="00E54E09"/>
    <w:rsid w:val="00E54E3E"/>
    <w:rsid w:val="00E553B5"/>
    <w:rsid w:val="00E55638"/>
    <w:rsid w:val="00E55B6B"/>
    <w:rsid w:val="00E55D42"/>
    <w:rsid w:val="00E56792"/>
    <w:rsid w:val="00E56CA1"/>
    <w:rsid w:val="00E57167"/>
    <w:rsid w:val="00E57602"/>
    <w:rsid w:val="00E576D8"/>
    <w:rsid w:val="00E577DE"/>
    <w:rsid w:val="00E57A4C"/>
    <w:rsid w:val="00E57DD7"/>
    <w:rsid w:val="00E57FA6"/>
    <w:rsid w:val="00E60156"/>
    <w:rsid w:val="00E603A7"/>
    <w:rsid w:val="00E60564"/>
    <w:rsid w:val="00E6068D"/>
    <w:rsid w:val="00E60787"/>
    <w:rsid w:val="00E60D23"/>
    <w:rsid w:val="00E60F93"/>
    <w:rsid w:val="00E61059"/>
    <w:rsid w:val="00E6138D"/>
    <w:rsid w:val="00E6154B"/>
    <w:rsid w:val="00E61A30"/>
    <w:rsid w:val="00E62436"/>
    <w:rsid w:val="00E62748"/>
    <w:rsid w:val="00E62795"/>
    <w:rsid w:val="00E62B77"/>
    <w:rsid w:val="00E6309A"/>
    <w:rsid w:val="00E631CF"/>
    <w:rsid w:val="00E633C7"/>
    <w:rsid w:val="00E63402"/>
    <w:rsid w:val="00E63915"/>
    <w:rsid w:val="00E639FB"/>
    <w:rsid w:val="00E63BED"/>
    <w:rsid w:val="00E63C90"/>
    <w:rsid w:val="00E63CEF"/>
    <w:rsid w:val="00E63E74"/>
    <w:rsid w:val="00E64549"/>
    <w:rsid w:val="00E64896"/>
    <w:rsid w:val="00E64FE0"/>
    <w:rsid w:val="00E6564D"/>
    <w:rsid w:val="00E65BB8"/>
    <w:rsid w:val="00E65FE6"/>
    <w:rsid w:val="00E660C9"/>
    <w:rsid w:val="00E66581"/>
    <w:rsid w:val="00E667B3"/>
    <w:rsid w:val="00E66908"/>
    <w:rsid w:val="00E673E1"/>
    <w:rsid w:val="00E6777B"/>
    <w:rsid w:val="00E67972"/>
    <w:rsid w:val="00E67BE8"/>
    <w:rsid w:val="00E67D36"/>
    <w:rsid w:val="00E70091"/>
    <w:rsid w:val="00E70499"/>
    <w:rsid w:val="00E704C4"/>
    <w:rsid w:val="00E70719"/>
    <w:rsid w:val="00E70914"/>
    <w:rsid w:val="00E70AB4"/>
    <w:rsid w:val="00E71118"/>
    <w:rsid w:val="00E713F5"/>
    <w:rsid w:val="00E71762"/>
    <w:rsid w:val="00E7190D"/>
    <w:rsid w:val="00E719C1"/>
    <w:rsid w:val="00E71A82"/>
    <w:rsid w:val="00E7213D"/>
    <w:rsid w:val="00E72BE9"/>
    <w:rsid w:val="00E72E67"/>
    <w:rsid w:val="00E72FD2"/>
    <w:rsid w:val="00E7314C"/>
    <w:rsid w:val="00E73332"/>
    <w:rsid w:val="00E73377"/>
    <w:rsid w:val="00E7358D"/>
    <w:rsid w:val="00E73803"/>
    <w:rsid w:val="00E73A82"/>
    <w:rsid w:val="00E74541"/>
    <w:rsid w:val="00E749B6"/>
    <w:rsid w:val="00E74A01"/>
    <w:rsid w:val="00E753E2"/>
    <w:rsid w:val="00E75895"/>
    <w:rsid w:val="00E75BA3"/>
    <w:rsid w:val="00E75C83"/>
    <w:rsid w:val="00E75EA9"/>
    <w:rsid w:val="00E75F7E"/>
    <w:rsid w:val="00E76A62"/>
    <w:rsid w:val="00E76A88"/>
    <w:rsid w:val="00E7710B"/>
    <w:rsid w:val="00E7725A"/>
    <w:rsid w:val="00E7739B"/>
    <w:rsid w:val="00E775AF"/>
    <w:rsid w:val="00E77F03"/>
    <w:rsid w:val="00E80127"/>
    <w:rsid w:val="00E80201"/>
    <w:rsid w:val="00E80EA6"/>
    <w:rsid w:val="00E81206"/>
    <w:rsid w:val="00E814F2"/>
    <w:rsid w:val="00E815E3"/>
    <w:rsid w:val="00E81649"/>
    <w:rsid w:val="00E816F3"/>
    <w:rsid w:val="00E81723"/>
    <w:rsid w:val="00E8180A"/>
    <w:rsid w:val="00E8186D"/>
    <w:rsid w:val="00E81CC0"/>
    <w:rsid w:val="00E82B13"/>
    <w:rsid w:val="00E82D66"/>
    <w:rsid w:val="00E8373B"/>
    <w:rsid w:val="00E83785"/>
    <w:rsid w:val="00E83A2F"/>
    <w:rsid w:val="00E8402D"/>
    <w:rsid w:val="00E84540"/>
    <w:rsid w:val="00E8495C"/>
    <w:rsid w:val="00E84A8F"/>
    <w:rsid w:val="00E84BDF"/>
    <w:rsid w:val="00E85711"/>
    <w:rsid w:val="00E85E95"/>
    <w:rsid w:val="00E867A6"/>
    <w:rsid w:val="00E86927"/>
    <w:rsid w:val="00E86D38"/>
    <w:rsid w:val="00E87336"/>
    <w:rsid w:val="00E876D3"/>
    <w:rsid w:val="00E877D6"/>
    <w:rsid w:val="00E87970"/>
    <w:rsid w:val="00E87E45"/>
    <w:rsid w:val="00E87EAF"/>
    <w:rsid w:val="00E901AC"/>
    <w:rsid w:val="00E90B62"/>
    <w:rsid w:val="00E90B81"/>
    <w:rsid w:val="00E90C0C"/>
    <w:rsid w:val="00E90CEA"/>
    <w:rsid w:val="00E91647"/>
    <w:rsid w:val="00E9186A"/>
    <w:rsid w:val="00E919AB"/>
    <w:rsid w:val="00E91CF3"/>
    <w:rsid w:val="00E9291F"/>
    <w:rsid w:val="00E9324D"/>
    <w:rsid w:val="00E9367A"/>
    <w:rsid w:val="00E93A18"/>
    <w:rsid w:val="00E93B63"/>
    <w:rsid w:val="00E93C2B"/>
    <w:rsid w:val="00E93EF5"/>
    <w:rsid w:val="00E94491"/>
    <w:rsid w:val="00E944F1"/>
    <w:rsid w:val="00E9466B"/>
    <w:rsid w:val="00E94B0C"/>
    <w:rsid w:val="00E94F86"/>
    <w:rsid w:val="00E9517F"/>
    <w:rsid w:val="00E9599D"/>
    <w:rsid w:val="00E95A50"/>
    <w:rsid w:val="00E95DB2"/>
    <w:rsid w:val="00E961A5"/>
    <w:rsid w:val="00E9624C"/>
    <w:rsid w:val="00E96567"/>
    <w:rsid w:val="00E96887"/>
    <w:rsid w:val="00E969A7"/>
    <w:rsid w:val="00E969F8"/>
    <w:rsid w:val="00E96DE5"/>
    <w:rsid w:val="00E96E29"/>
    <w:rsid w:val="00E96E81"/>
    <w:rsid w:val="00E96F38"/>
    <w:rsid w:val="00E97339"/>
    <w:rsid w:val="00E97524"/>
    <w:rsid w:val="00E97E44"/>
    <w:rsid w:val="00EA01F5"/>
    <w:rsid w:val="00EA0324"/>
    <w:rsid w:val="00EA0549"/>
    <w:rsid w:val="00EA072A"/>
    <w:rsid w:val="00EA07C0"/>
    <w:rsid w:val="00EA0FF0"/>
    <w:rsid w:val="00EA1152"/>
    <w:rsid w:val="00EA1173"/>
    <w:rsid w:val="00EA171B"/>
    <w:rsid w:val="00EA1745"/>
    <w:rsid w:val="00EA1829"/>
    <w:rsid w:val="00EA1A5B"/>
    <w:rsid w:val="00EA1C32"/>
    <w:rsid w:val="00EA2040"/>
    <w:rsid w:val="00EA2C36"/>
    <w:rsid w:val="00EA2FD3"/>
    <w:rsid w:val="00EA3676"/>
    <w:rsid w:val="00EA38FF"/>
    <w:rsid w:val="00EA3916"/>
    <w:rsid w:val="00EA3966"/>
    <w:rsid w:val="00EA3B34"/>
    <w:rsid w:val="00EA3C14"/>
    <w:rsid w:val="00EA401E"/>
    <w:rsid w:val="00EA4203"/>
    <w:rsid w:val="00EA44CA"/>
    <w:rsid w:val="00EA49F1"/>
    <w:rsid w:val="00EA4BC8"/>
    <w:rsid w:val="00EA4F92"/>
    <w:rsid w:val="00EA5014"/>
    <w:rsid w:val="00EA5D9E"/>
    <w:rsid w:val="00EA5DFC"/>
    <w:rsid w:val="00EA6074"/>
    <w:rsid w:val="00EA6AFD"/>
    <w:rsid w:val="00EA6FAB"/>
    <w:rsid w:val="00EA72C0"/>
    <w:rsid w:val="00EA790F"/>
    <w:rsid w:val="00EA7A36"/>
    <w:rsid w:val="00EA7C47"/>
    <w:rsid w:val="00EB0A58"/>
    <w:rsid w:val="00EB0D83"/>
    <w:rsid w:val="00EB12C0"/>
    <w:rsid w:val="00EB12F1"/>
    <w:rsid w:val="00EB1379"/>
    <w:rsid w:val="00EB137A"/>
    <w:rsid w:val="00EB14AC"/>
    <w:rsid w:val="00EB15BE"/>
    <w:rsid w:val="00EB16C2"/>
    <w:rsid w:val="00EB17B5"/>
    <w:rsid w:val="00EB1814"/>
    <w:rsid w:val="00EB1BC7"/>
    <w:rsid w:val="00EB1CCE"/>
    <w:rsid w:val="00EB1D28"/>
    <w:rsid w:val="00EB1D7C"/>
    <w:rsid w:val="00EB1E2E"/>
    <w:rsid w:val="00EB2552"/>
    <w:rsid w:val="00EB289E"/>
    <w:rsid w:val="00EB2910"/>
    <w:rsid w:val="00EB2A50"/>
    <w:rsid w:val="00EB323E"/>
    <w:rsid w:val="00EB343C"/>
    <w:rsid w:val="00EB35F9"/>
    <w:rsid w:val="00EB3693"/>
    <w:rsid w:val="00EB3738"/>
    <w:rsid w:val="00EB37F7"/>
    <w:rsid w:val="00EB3A37"/>
    <w:rsid w:val="00EB3CFE"/>
    <w:rsid w:val="00EB3EFA"/>
    <w:rsid w:val="00EB478A"/>
    <w:rsid w:val="00EB50B3"/>
    <w:rsid w:val="00EB5A35"/>
    <w:rsid w:val="00EB5B37"/>
    <w:rsid w:val="00EB5D50"/>
    <w:rsid w:val="00EB5FFF"/>
    <w:rsid w:val="00EB619F"/>
    <w:rsid w:val="00EB6340"/>
    <w:rsid w:val="00EB6383"/>
    <w:rsid w:val="00EB64C1"/>
    <w:rsid w:val="00EB67E7"/>
    <w:rsid w:val="00EB69E3"/>
    <w:rsid w:val="00EB6B3F"/>
    <w:rsid w:val="00EB73D4"/>
    <w:rsid w:val="00EB7C5C"/>
    <w:rsid w:val="00EC04F2"/>
    <w:rsid w:val="00EC0969"/>
    <w:rsid w:val="00EC0BF1"/>
    <w:rsid w:val="00EC0F40"/>
    <w:rsid w:val="00EC0FCE"/>
    <w:rsid w:val="00EC190A"/>
    <w:rsid w:val="00EC1ADB"/>
    <w:rsid w:val="00EC218C"/>
    <w:rsid w:val="00EC2359"/>
    <w:rsid w:val="00EC2415"/>
    <w:rsid w:val="00EC2969"/>
    <w:rsid w:val="00EC2D36"/>
    <w:rsid w:val="00EC30BC"/>
    <w:rsid w:val="00EC3A04"/>
    <w:rsid w:val="00EC3DAB"/>
    <w:rsid w:val="00EC3DCE"/>
    <w:rsid w:val="00EC3EB2"/>
    <w:rsid w:val="00EC3FA4"/>
    <w:rsid w:val="00EC411F"/>
    <w:rsid w:val="00EC429F"/>
    <w:rsid w:val="00EC4B6E"/>
    <w:rsid w:val="00EC51C6"/>
    <w:rsid w:val="00EC53C8"/>
    <w:rsid w:val="00EC5404"/>
    <w:rsid w:val="00EC640E"/>
    <w:rsid w:val="00EC6424"/>
    <w:rsid w:val="00EC64DD"/>
    <w:rsid w:val="00EC6BED"/>
    <w:rsid w:val="00EC6DB9"/>
    <w:rsid w:val="00EC6EFB"/>
    <w:rsid w:val="00EC71F1"/>
    <w:rsid w:val="00EC75A2"/>
    <w:rsid w:val="00ED0363"/>
    <w:rsid w:val="00ED03CB"/>
    <w:rsid w:val="00ED07FB"/>
    <w:rsid w:val="00ED08F7"/>
    <w:rsid w:val="00ED1761"/>
    <w:rsid w:val="00ED1946"/>
    <w:rsid w:val="00ED1B19"/>
    <w:rsid w:val="00ED1C26"/>
    <w:rsid w:val="00ED1C96"/>
    <w:rsid w:val="00ED1E9C"/>
    <w:rsid w:val="00ED2490"/>
    <w:rsid w:val="00ED2874"/>
    <w:rsid w:val="00ED29C7"/>
    <w:rsid w:val="00ED29FC"/>
    <w:rsid w:val="00ED2B36"/>
    <w:rsid w:val="00ED31A6"/>
    <w:rsid w:val="00ED34E6"/>
    <w:rsid w:val="00ED3A04"/>
    <w:rsid w:val="00ED4146"/>
    <w:rsid w:val="00ED4A08"/>
    <w:rsid w:val="00ED4B3D"/>
    <w:rsid w:val="00ED5222"/>
    <w:rsid w:val="00ED534D"/>
    <w:rsid w:val="00ED5599"/>
    <w:rsid w:val="00ED5961"/>
    <w:rsid w:val="00ED5A73"/>
    <w:rsid w:val="00ED5B48"/>
    <w:rsid w:val="00ED5C1D"/>
    <w:rsid w:val="00ED5D99"/>
    <w:rsid w:val="00ED631C"/>
    <w:rsid w:val="00ED6C80"/>
    <w:rsid w:val="00ED6F48"/>
    <w:rsid w:val="00ED70D4"/>
    <w:rsid w:val="00ED758E"/>
    <w:rsid w:val="00EE010E"/>
    <w:rsid w:val="00EE0266"/>
    <w:rsid w:val="00EE02C4"/>
    <w:rsid w:val="00EE02E8"/>
    <w:rsid w:val="00EE0747"/>
    <w:rsid w:val="00EE0B93"/>
    <w:rsid w:val="00EE0FC3"/>
    <w:rsid w:val="00EE11F6"/>
    <w:rsid w:val="00EE1649"/>
    <w:rsid w:val="00EE172E"/>
    <w:rsid w:val="00EE1B87"/>
    <w:rsid w:val="00EE1BD9"/>
    <w:rsid w:val="00EE1C1D"/>
    <w:rsid w:val="00EE1E6C"/>
    <w:rsid w:val="00EE1F0B"/>
    <w:rsid w:val="00EE1F38"/>
    <w:rsid w:val="00EE216B"/>
    <w:rsid w:val="00EE26D9"/>
    <w:rsid w:val="00EE276E"/>
    <w:rsid w:val="00EE2A03"/>
    <w:rsid w:val="00EE2BA8"/>
    <w:rsid w:val="00EE3098"/>
    <w:rsid w:val="00EE344E"/>
    <w:rsid w:val="00EE3466"/>
    <w:rsid w:val="00EE3525"/>
    <w:rsid w:val="00EE3D1D"/>
    <w:rsid w:val="00EE3DA3"/>
    <w:rsid w:val="00EE3EBF"/>
    <w:rsid w:val="00EE3FE7"/>
    <w:rsid w:val="00EE4302"/>
    <w:rsid w:val="00EE43CE"/>
    <w:rsid w:val="00EE4412"/>
    <w:rsid w:val="00EE464B"/>
    <w:rsid w:val="00EE480A"/>
    <w:rsid w:val="00EE4B3B"/>
    <w:rsid w:val="00EE4EA1"/>
    <w:rsid w:val="00EE595C"/>
    <w:rsid w:val="00EE5B78"/>
    <w:rsid w:val="00EE5EC1"/>
    <w:rsid w:val="00EE6139"/>
    <w:rsid w:val="00EE62D9"/>
    <w:rsid w:val="00EE63D7"/>
    <w:rsid w:val="00EE69CD"/>
    <w:rsid w:val="00EE69DC"/>
    <w:rsid w:val="00EE6AEC"/>
    <w:rsid w:val="00EE7AD7"/>
    <w:rsid w:val="00EF018D"/>
    <w:rsid w:val="00EF03EB"/>
    <w:rsid w:val="00EF047F"/>
    <w:rsid w:val="00EF08DB"/>
    <w:rsid w:val="00EF0F65"/>
    <w:rsid w:val="00EF0FDC"/>
    <w:rsid w:val="00EF10FF"/>
    <w:rsid w:val="00EF11D3"/>
    <w:rsid w:val="00EF1587"/>
    <w:rsid w:val="00EF1877"/>
    <w:rsid w:val="00EF1E96"/>
    <w:rsid w:val="00EF234F"/>
    <w:rsid w:val="00EF2933"/>
    <w:rsid w:val="00EF29BE"/>
    <w:rsid w:val="00EF2E94"/>
    <w:rsid w:val="00EF340A"/>
    <w:rsid w:val="00EF3510"/>
    <w:rsid w:val="00EF35EE"/>
    <w:rsid w:val="00EF3A93"/>
    <w:rsid w:val="00EF3ABA"/>
    <w:rsid w:val="00EF3C58"/>
    <w:rsid w:val="00EF40D1"/>
    <w:rsid w:val="00EF491D"/>
    <w:rsid w:val="00EF4B08"/>
    <w:rsid w:val="00EF4C12"/>
    <w:rsid w:val="00EF4D32"/>
    <w:rsid w:val="00EF4FB3"/>
    <w:rsid w:val="00EF52BD"/>
    <w:rsid w:val="00EF5A42"/>
    <w:rsid w:val="00EF5D9B"/>
    <w:rsid w:val="00EF5F73"/>
    <w:rsid w:val="00EF5F96"/>
    <w:rsid w:val="00EF6349"/>
    <w:rsid w:val="00EF69EC"/>
    <w:rsid w:val="00EF6C02"/>
    <w:rsid w:val="00EF6E6E"/>
    <w:rsid w:val="00EF6FF1"/>
    <w:rsid w:val="00EF7308"/>
    <w:rsid w:val="00EF79FA"/>
    <w:rsid w:val="00EF7CC3"/>
    <w:rsid w:val="00EF7DBA"/>
    <w:rsid w:val="00EF7F66"/>
    <w:rsid w:val="00F007BD"/>
    <w:rsid w:val="00F00A48"/>
    <w:rsid w:val="00F015E1"/>
    <w:rsid w:val="00F019B0"/>
    <w:rsid w:val="00F01DA3"/>
    <w:rsid w:val="00F01FBB"/>
    <w:rsid w:val="00F022B6"/>
    <w:rsid w:val="00F02542"/>
    <w:rsid w:val="00F02CFD"/>
    <w:rsid w:val="00F02DB5"/>
    <w:rsid w:val="00F02DC5"/>
    <w:rsid w:val="00F03294"/>
    <w:rsid w:val="00F036C7"/>
    <w:rsid w:val="00F036E9"/>
    <w:rsid w:val="00F037F5"/>
    <w:rsid w:val="00F03982"/>
    <w:rsid w:val="00F039AD"/>
    <w:rsid w:val="00F03A95"/>
    <w:rsid w:val="00F03DBE"/>
    <w:rsid w:val="00F04171"/>
    <w:rsid w:val="00F0430C"/>
    <w:rsid w:val="00F0447D"/>
    <w:rsid w:val="00F04589"/>
    <w:rsid w:val="00F0463A"/>
    <w:rsid w:val="00F048E0"/>
    <w:rsid w:val="00F04AD2"/>
    <w:rsid w:val="00F04BF9"/>
    <w:rsid w:val="00F04F89"/>
    <w:rsid w:val="00F05311"/>
    <w:rsid w:val="00F053D5"/>
    <w:rsid w:val="00F0546A"/>
    <w:rsid w:val="00F05513"/>
    <w:rsid w:val="00F0587A"/>
    <w:rsid w:val="00F059C5"/>
    <w:rsid w:val="00F065BF"/>
    <w:rsid w:val="00F06733"/>
    <w:rsid w:val="00F06826"/>
    <w:rsid w:val="00F06D32"/>
    <w:rsid w:val="00F10989"/>
    <w:rsid w:val="00F10AD3"/>
    <w:rsid w:val="00F10F9F"/>
    <w:rsid w:val="00F1108C"/>
    <w:rsid w:val="00F111A2"/>
    <w:rsid w:val="00F1121F"/>
    <w:rsid w:val="00F1133A"/>
    <w:rsid w:val="00F114D8"/>
    <w:rsid w:val="00F11AF3"/>
    <w:rsid w:val="00F11B0D"/>
    <w:rsid w:val="00F11C22"/>
    <w:rsid w:val="00F120F3"/>
    <w:rsid w:val="00F12435"/>
    <w:rsid w:val="00F1284E"/>
    <w:rsid w:val="00F12DC1"/>
    <w:rsid w:val="00F12DEB"/>
    <w:rsid w:val="00F13112"/>
    <w:rsid w:val="00F13145"/>
    <w:rsid w:val="00F13300"/>
    <w:rsid w:val="00F1332E"/>
    <w:rsid w:val="00F13523"/>
    <w:rsid w:val="00F135B8"/>
    <w:rsid w:val="00F13629"/>
    <w:rsid w:val="00F13803"/>
    <w:rsid w:val="00F138B2"/>
    <w:rsid w:val="00F13F9E"/>
    <w:rsid w:val="00F14335"/>
    <w:rsid w:val="00F14390"/>
    <w:rsid w:val="00F14676"/>
    <w:rsid w:val="00F149E6"/>
    <w:rsid w:val="00F14F06"/>
    <w:rsid w:val="00F1503B"/>
    <w:rsid w:val="00F15412"/>
    <w:rsid w:val="00F154E4"/>
    <w:rsid w:val="00F157E7"/>
    <w:rsid w:val="00F159C6"/>
    <w:rsid w:val="00F15CA8"/>
    <w:rsid w:val="00F15DBF"/>
    <w:rsid w:val="00F16597"/>
    <w:rsid w:val="00F1668C"/>
    <w:rsid w:val="00F167E8"/>
    <w:rsid w:val="00F16A94"/>
    <w:rsid w:val="00F17013"/>
    <w:rsid w:val="00F17303"/>
    <w:rsid w:val="00F173EB"/>
    <w:rsid w:val="00F17595"/>
    <w:rsid w:val="00F177EC"/>
    <w:rsid w:val="00F178BF"/>
    <w:rsid w:val="00F17A85"/>
    <w:rsid w:val="00F2015D"/>
    <w:rsid w:val="00F20170"/>
    <w:rsid w:val="00F2096F"/>
    <w:rsid w:val="00F20C76"/>
    <w:rsid w:val="00F20F44"/>
    <w:rsid w:val="00F216BC"/>
    <w:rsid w:val="00F218DF"/>
    <w:rsid w:val="00F21A33"/>
    <w:rsid w:val="00F220A0"/>
    <w:rsid w:val="00F222CA"/>
    <w:rsid w:val="00F22577"/>
    <w:rsid w:val="00F2262F"/>
    <w:rsid w:val="00F226AE"/>
    <w:rsid w:val="00F2293D"/>
    <w:rsid w:val="00F22944"/>
    <w:rsid w:val="00F22D00"/>
    <w:rsid w:val="00F22E8B"/>
    <w:rsid w:val="00F230D0"/>
    <w:rsid w:val="00F23316"/>
    <w:rsid w:val="00F23700"/>
    <w:rsid w:val="00F23AB2"/>
    <w:rsid w:val="00F23D97"/>
    <w:rsid w:val="00F23FAD"/>
    <w:rsid w:val="00F24121"/>
    <w:rsid w:val="00F2424E"/>
    <w:rsid w:val="00F2453D"/>
    <w:rsid w:val="00F24733"/>
    <w:rsid w:val="00F24A30"/>
    <w:rsid w:val="00F24A39"/>
    <w:rsid w:val="00F24C80"/>
    <w:rsid w:val="00F25165"/>
    <w:rsid w:val="00F255A1"/>
    <w:rsid w:val="00F25718"/>
    <w:rsid w:val="00F25885"/>
    <w:rsid w:val="00F25DD4"/>
    <w:rsid w:val="00F25E9D"/>
    <w:rsid w:val="00F2618E"/>
    <w:rsid w:val="00F264DD"/>
    <w:rsid w:val="00F265DA"/>
    <w:rsid w:val="00F2669E"/>
    <w:rsid w:val="00F266AB"/>
    <w:rsid w:val="00F268C7"/>
    <w:rsid w:val="00F2712C"/>
    <w:rsid w:val="00F271BD"/>
    <w:rsid w:val="00F27410"/>
    <w:rsid w:val="00F2776B"/>
    <w:rsid w:val="00F27E27"/>
    <w:rsid w:val="00F27F3B"/>
    <w:rsid w:val="00F3034B"/>
    <w:rsid w:val="00F30F11"/>
    <w:rsid w:val="00F31394"/>
    <w:rsid w:val="00F31A0D"/>
    <w:rsid w:val="00F31BFB"/>
    <w:rsid w:val="00F32148"/>
    <w:rsid w:val="00F324FD"/>
    <w:rsid w:val="00F327B2"/>
    <w:rsid w:val="00F32E0B"/>
    <w:rsid w:val="00F32FBB"/>
    <w:rsid w:val="00F33068"/>
    <w:rsid w:val="00F33218"/>
    <w:rsid w:val="00F3328F"/>
    <w:rsid w:val="00F334A3"/>
    <w:rsid w:val="00F33BBD"/>
    <w:rsid w:val="00F33D83"/>
    <w:rsid w:val="00F33F2F"/>
    <w:rsid w:val="00F34437"/>
    <w:rsid w:val="00F34444"/>
    <w:rsid w:val="00F34464"/>
    <w:rsid w:val="00F3507D"/>
    <w:rsid w:val="00F352F5"/>
    <w:rsid w:val="00F35498"/>
    <w:rsid w:val="00F354E0"/>
    <w:rsid w:val="00F35E9E"/>
    <w:rsid w:val="00F35FD8"/>
    <w:rsid w:val="00F36145"/>
    <w:rsid w:val="00F366AD"/>
    <w:rsid w:val="00F368A3"/>
    <w:rsid w:val="00F36914"/>
    <w:rsid w:val="00F36981"/>
    <w:rsid w:val="00F36BBA"/>
    <w:rsid w:val="00F3763E"/>
    <w:rsid w:val="00F37905"/>
    <w:rsid w:val="00F37947"/>
    <w:rsid w:val="00F37997"/>
    <w:rsid w:val="00F37BFC"/>
    <w:rsid w:val="00F40C39"/>
    <w:rsid w:val="00F40ED7"/>
    <w:rsid w:val="00F40F1D"/>
    <w:rsid w:val="00F41055"/>
    <w:rsid w:val="00F4129D"/>
    <w:rsid w:val="00F414B1"/>
    <w:rsid w:val="00F414C5"/>
    <w:rsid w:val="00F41582"/>
    <w:rsid w:val="00F41C3B"/>
    <w:rsid w:val="00F41F40"/>
    <w:rsid w:val="00F41FA8"/>
    <w:rsid w:val="00F42035"/>
    <w:rsid w:val="00F420E5"/>
    <w:rsid w:val="00F4268E"/>
    <w:rsid w:val="00F42A4E"/>
    <w:rsid w:val="00F42D6F"/>
    <w:rsid w:val="00F43297"/>
    <w:rsid w:val="00F43445"/>
    <w:rsid w:val="00F4367F"/>
    <w:rsid w:val="00F43AA3"/>
    <w:rsid w:val="00F43DA5"/>
    <w:rsid w:val="00F43DC7"/>
    <w:rsid w:val="00F43E5E"/>
    <w:rsid w:val="00F448D2"/>
    <w:rsid w:val="00F44BB6"/>
    <w:rsid w:val="00F45073"/>
    <w:rsid w:val="00F459A4"/>
    <w:rsid w:val="00F46513"/>
    <w:rsid w:val="00F46662"/>
    <w:rsid w:val="00F47044"/>
    <w:rsid w:val="00F4720D"/>
    <w:rsid w:val="00F47216"/>
    <w:rsid w:val="00F47376"/>
    <w:rsid w:val="00F474E9"/>
    <w:rsid w:val="00F479DD"/>
    <w:rsid w:val="00F47BC8"/>
    <w:rsid w:val="00F47CE3"/>
    <w:rsid w:val="00F500FC"/>
    <w:rsid w:val="00F5024E"/>
    <w:rsid w:val="00F508F3"/>
    <w:rsid w:val="00F50E6F"/>
    <w:rsid w:val="00F519DC"/>
    <w:rsid w:val="00F52232"/>
    <w:rsid w:val="00F527B4"/>
    <w:rsid w:val="00F52990"/>
    <w:rsid w:val="00F52A7D"/>
    <w:rsid w:val="00F52C56"/>
    <w:rsid w:val="00F531AB"/>
    <w:rsid w:val="00F538B0"/>
    <w:rsid w:val="00F53A0C"/>
    <w:rsid w:val="00F53E3A"/>
    <w:rsid w:val="00F53E5C"/>
    <w:rsid w:val="00F54A53"/>
    <w:rsid w:val="00F54C83"/>
    <w:rsid w:val="00F5518C"/>
    <w:rsid w:val="00F552FA"/>
    <w:rsid w:val="00F5586D"/>
    <w:rsid w:val="00F55AC3"/>
    <w:rsid w:val="00F55DFC"/>
    <w:rsid w:val="00F55E2C"/>
    <w:rsid w:val="00F55EF6"/>
    <w:rsid w:val="00F55F24"/>
    <w:rsid w:val="00F56098"/>
    <w:rsid w:val="00F56196"/>
    <w:rsid w:val="00F56606"/>
    <w:rsid w:val="00F56720"/>
    <w:rsid w:val="00F5681A"/>
    <w:rsid w:val="00F568F1"/>
    <w:rsid w:val="00F56997"/>
    <w:rsid w:val="00F57097"/>
    <w:rsid w:val="00F571BE"/>
    <w:rsid w:val="00F572A9"/>
    <w:rsid w:val="00F57497"/>
    <w:rsid w:val="00F57615"/>
    <w:rsid w:val="00F57650"/>
    <w:rsid w:val="00F5791F"/>
    <w:rsid w:val="00F6007E"/>
    <w:rsid w:val="00F6022E"/>
    <w:rsid w:val="00F602B0"/>
    <w:rsid w:val="00F6038A"/>
    <w:rsid w:val="00F6056B"/>
    <w:rsid w:val="00F6074F"/>
    <w:rsid w:val="00F60783"/>
    <w:rsid w:val="00F60ABD"/>
    <w:rsid w:val="00F60D35"/>
    <w:rsid w:val="00F60DEF"/>
    <w:rsid w:val="00F60F1B"/>
    <w:rsid w:val="00F61067"/>
    <w:rsid w:val="00F61655"/>
    <w:rsid w:val="00F61A5D"/>
    <w:rsid w:val="00F61E0E"/>
    <w:rsid w:val="00F61E28"/>
    <w:rsid w:val="00F6200C"/>
    <w:rsid w:val="00F6201B"/>
    <w:rsid w:val="00F62303"/>
    <w:rsid w:val="00F62374"/>
    <w:rsid w:val="00F6238D"/>
    <w:rsid w:val="00F628F9"/>
    <w:rsid w:val="00F62D78"/>
    <w:rsid w:val="00F62F26"/>
    <w:rsid w:val="00F63413"/>
    <w:rsid w:val="00F63C4D"/>
    <w:rsid w:val="00F63F13"/>
    <w:rsid w:val="00F63FC3"/>
    <w:rsid w:val="00F643AE"/>
    <w:rsid w:val="00F644F3"/>
    <w:rsid w:val="00F645A5"/>
    <w:rsid w:val="00F6461F"/>
    <w:rsid w:val="00F64E86"/>
    <w:rsid w:val="00F64F70"/>
    <w:rsid w:val="00F6564B"/>
    <w:rsid w:val="00F6564D"/>
    <w:rsid w:val="00F65E94"/>
    <w:rsid w:val="00F6627A"/>
    <w:rsid w:val="00F66367"/>
    <w:rsid w:val="00F670C0"/>
    <w:rsid w:val="00F70252"/>
    <w:rsid w:val="00F709BA"/>
    <w:rsid w:val="00F70D8C"/>
    <w:rsid w:val="00F70DF1"/>
    <w:rsid w:val="00F71183"/>
    <w:rsid w:val="00F719C0"/>
    <w:rsid w:val="00F71A93"/>
    <w:rsid w:val="00F71B86"/>
    <w:rsid w:val="00F7227F"/>
    <w:rsid w:val="00F725F3"/>
    <w:rsid w:val="00F72ED9"/>
    <w:rsid w:val="00F72F2A"/>
    <w:rsid w:val="00F73829"/>
    <w:rsid w:val="00F73A12"/>
    <w:rsid w:val="00F73ADE"/>
    <w:rsid w:val="00F73B5D"/>
    <w:rsid w:val="00F73F99"/>
    <w:rsid w:val="00F73FC6"/>
    <w:rsid w:val="00F743C6"/>
    <w:rsid w:val="00F7471C"/>
    <w:rsid w:val="00F7485F"/>
    <w:rsid w:val="00F74960"/>
    <w:rsid w:val="00F74986"/>
    <w:rsid w:val="00F74DE1"/>
    <w:rsid w:val="00F74DEB"/>
    <w:rsid w:val="00F7520D"/>
    <w:rsid w:val="00F753DD"/>
    <w:rsid w:val="00F75405"/>
    <w:rsid w:val="00F7548A"/>
    <w:rsid w:val="00F75B48"/>
    <w:rsid w:val="00F75E70"/>
    <w:rsid w:val="00F75F31"/>
    <w:rsid w:val="00F76012"/>
    <w:rsid w:val="00F7613B"/>
    <w:rsid w:val="00F767DD"/>
    <w:rsid w:val="00F768C9"/>
    <w:rsid w:val="00F76913"/>
    <w:rsid w:val="00F76A13"/>
    <w:rsid w:val="00F76A8C"/>
    <w:rsid w:val="00F76AD3"/>
    <w:rsid w:val="00F76BCD"/>
    <w:rsid w:val="00F76D7C"/>
    <w:rsid w:val="00F77462"/>
    <w:rsid w:val="00F77553"/>
    <w:rsid w:val="00F7766C"/>
    <w:rsid w:val="00F776D6"/>
    <w:rsid w:val="00F77797"/>
    <w:rsid w:val="00F77900"/>
    <w:rsid w:val="00F7795E"/>
    <w:rsid w:val="00F80004"/>
    <w:rsid w:val="00F80532"/>
    <w:rsid w:val="00F806DA"/>
    <w:rsid w:val="00F80B91"/>
    <w:rsid w:val="00F80ED3"/>
    <w:rsid w:val="00F80F64"/>
    <w:rsid w:val="00F817F1"/>
    <w:rsid w:val="00F819D1"/>
    <w:rsid w:val="00F81AD7"/>
    <w:rsid w:val="00F81B96"/>
    <w:rsid w:val="00F81BBA"/>
    <w:rsid w:val="00F820D7"/>
    <w:rsid w:val="00F820D9"/>
    <w:rsid w:val="00F827FC"/>
    <w:rsid w:val="00F82A6B"/>
    <w:rsid w:val="00F83423"/>
    <w:rsid w:val="00F835D4"/>
    <w:rsid w:val="00F83ABA"/>
    <w:rsid w:val="00F83EB2"/>
    <w:rsid w:val="00F84456"/>
    <w:rsid w:val="00F84ABA"/>
    <w:rsid w:val="00F84D0B"/>
    <w:rsid w:val="00F84DFF"/>
    <w:rsid w:val="00F84E46"/>
    <w:rsid w:val="00F84FED"/>
    <w:rsid w:val="00F850EA"/>
    <w:rsid w:val="00F861E0"/>
    <w:rsid w:val="00F8620E"/>
    <w:rsid w:val="00F866B4"/>
    <w:rsid w:val="00F86726"/>
    <w:rsid w:val="00F86B22"/>
    <w:rsid w:val="00F87247"/>
    <w:rsid w:val="00F87AF6"/>
    <w:rsid w:val="00F905D0"/>
    <w:rsid w:val="00F9072C"/>
    <w:rsid w:val="00F907A1"/>
    <w:rsid w:val="00F90B14"/>
    <w:rsid w:val="00F91BC0"/>
    <w:rsid w:val="00F92138"/>
    <w:rsid w:val="00F923E5"/>
    <w:rsid w:val="00F92596"/>
    <w:rsid w:val="00F92DB7"/>
    <w:rsid w:val="00F93349"/>
    <w:rsid w:val="00F934C2"/>
    <w:rsid w:val="00F935D9"/>
    <w:rsid w:val="00F935DA"/>
    <w:rsid w:val="00F93A6A"/>
    <w:rsid w:val="00F9439F"/>
    <w:rsid w:val="00F94805"/>
    <w:rsid w:val="00F94E89"/>
    <w:rsid w:val="00F9516F"/>
    <w:rsid w:val="00F95C4E"/>
    <w:rsid w:val="00F95F94"/>
    <w:rsid w:val="00F96018"/>
    <w:rsid w:val="00F960B0"/>
    <w:rsid w:val="00F9654C"/>
    <w:rsid w:val="00F96871"/>
    <w:rsid w:val="00F96D5B"/>
    <w:rsid w:val="00F9723A"/>
    <w:rsid w:val="00F97278"/>
    <w:rsid w:val="00F9746D"/>
    <w:rsid w:val="00F975D7"/>
    <w:rsid w:val="00F97AE5"/>
    <w:rsid w:val="00FA079E"/>
    <w:rsid w:val="00FA13D4"/>
    <w:rsid w:val="00FA1458"/>
    <w:rsid w:val="00FA15FB"/>
    <w:rsid w:val="00FA1A3E"/>
    <w:rsid w:val="00FA1B66"/>
    <w:rsid w:val="00FA1BCE"/>
    <w:rsid w:val="00FA1C41"/>
    <w:rsid w:val="00FA2122"/>
    <w:rsid w:val="00FA21D2"/>
    <w:rsid w:val="00FA22B7"/>
    <w:rsid w:val="00FA22D3"/>
    <w:rsid w:val="00FA26EC"/>
    <w:rsid w:val="00FA29F2"/>
    <w:rsid w:val="00FA2C2F"/>
    <w:rsid w:val="00FA2E13"/>
    <w:rsid w:val="00FA319B"/>
    <w:rsid w:val="00FA3669"/>
    <w:rsid w:val="00FA3746"/>
    <w:rsid w:val="00FA37B7"/>
    <w:rsid w:val="00FA3C37"/>
    <w:rsid w:val="00FA3C6C"/>
    <w:rsid w:val="00FA42BF"/>
    <w:rsid w:val="00FA4509"/>
    <w:rsid w:val="00FA4999"/>
    <w:rsid w:val="00FA49A7"/>
    <w:rsid w:val="00FA4AA0"/>
    <w:rsid w:val="00FA5312"/>
    <w:rsid w:val="00FA54DE"/>
    <w:rsid w:val="00FA587B"/>
    <w:rsid w:val="00FA5CB5"/>
    <w:rsid w:val="00FA6579"/>
    <w:rsid w:val="00FA6892"/>
    <w:rsid w:val="00FA6E6C"/>
    <w:rsid w:val="00FA6EF7"/>
    <w:rsid w:val="00FA75BE"/>
    <w:rsid w:val="00FA7741"/>
    <w:rsid w:val="00FA785D"/>
    <w:rsid w:val="00FA7DF2"/>
    <w:rsid w:val="00FA7F5A"/>
    <w:rsid w:val="00FB0199"/>
    <w:rsid w:val="00FB06AE"/>
    <w:rsid w:val="00FB0708"/>
    <w:rsid w:val="00FB1624"/>
    <w:rsid w:val="00FB1B9F"/>
    <w:rsid w:val="00FB1E2C"/>
    <w:rsid w:val="00FB20A7"/>
    <w:rsid w:val="00FB20E0"/>
    <w:rsid w:val="00FB2890"/>
    <w:rsid w:val="00FB29D8"/>
    <w:rsid w:val="00FB2BA0"/>
    <w:rsid w:val="00FB2D3D"/>
    <w:rsid w:val="00FB3624"/>
    <w:rsid w:val="00FB36D8"/>
    <w:rsid w:val="00FB36FE"/>
    <w:rsid w:val="00FB37BE"/>
    <w:rsid w:val="00FB3909"/>
    <w:rsid w:val="00FB3B0C"/>
    <w:rsid w:val="00FB41BE"/>
    <w:rsid w:val="00FB4443"/>
    <w:rsid w:val="00FB44AB"/>
    <w:rsid w:val="00FB4B5C"/>
    <w:rsid w:val="00FB4F5A"/>
    <w:rsid w:val="00FB56FE"/>
    <w:rsid w:val="00FB5B54"/>
    <w:rsid w:val="00FB5E4B"/>
    <w:rsid w:val="00FB63CF"/>
    <w:rsid w:val="00FB6883"/>
    <w:rsid w:val="00FB70B4"/>
    <w:rsid w:val="00FB7274"/>
    <w:rsid w:val="00FB78C2"/>
    <w:rsid w:val="00FB7C13"/>
    <w:rsid w:val="00FB7CFB"/>
    <w:rsid w:val="00FC093A"/>
    <w:rsid w:val="00FC0ACB"/>
    <w:rsid w:val="00FC176E"/>
    <w:rsid w:val="00FC17B1"/>
    <w:rsid w:val="00FC21BC"/>
    <w:rsid w:val="00FC2469"/>
    <w:rsid w:val="00FC259E"/>
    <w:rsid w:val="00FC2E62"/>
    <w:rsid w:val="00FC3079"/>
    <w:rsid w:val="00FC30A2"/>
    <w:rsid w:val="00FC31D7"/>
    <w:rsid w:val="00FC343C"/>
    <w:rsid w:val="00FC3F4D"/>
    <w:rsid w:val="00FC42A3"/>
    <w:rsid w:val="00FC4339"/>
    <w:rsid w:val="00FC4ED4"/>
    <w:rsid w:val="00FC5489"/>
    <w:rsid w:val="00FC5EC3"/>
    <w:rsid w:val="00FC6AE1"/>
    <w:rsid w:val="00FC7066"/>
    <w:rsid w:val="00FC70D5"/>
    <w:rsid w:val="00FC7391"/>
    <w:rsid w:val="00FC75D1"/>
    <w:rsid w:val="00FD0237"/>
    <w:rsid w:val="00FD0577"/>
    <w:rsid w:val="00FD0DDD"/>
    <w:rsid w:val="00FD0FE8"/>
    <w:rsid w:val="00FD14EA"/>
    <w:rsid w:val="00FD169E"/>
    <w:rsid w:val="00FD1BE6"/>
    <w:rsid w:val="00FD20C3"/>
    <w:rsid w:val="00FD22A4"/>
    <w:rsid w:val="00FD2544"/>
    <w:rsid w:val="00FD2B9A"/>
    <w:rsid w:val="00FD2D65"/>
    <w:rsid w:val="00FD2E07"/>
    <w:rsid w:val="00FD2EC2"/>
    <w:rsid w:val="00FD3011"/>
    <w:rsid w:val="00FD3038"/>
    <w:rsid w:val="00FD3587"/>
    <w:rsid w:val="00FD415E"/>
    <w:rsid w:val="00FD416B"/>
    <w:rsid w:val="00FD44EA"/>
    <w:rsid w:val="00FD4775"/>
    <w:rsid w:val="00FD477B"/>
    <w:rsid w:val="00FD4872"/>
    <w:rsid w:val="00FD496D"/>
    <w:rsid w:val="00FD4D32"/>
    <w:rsid w:val="00FD5128"/>
    <w:rsid w:val="00FD512A"/>
    <w:rsid w:val="00FD5403"/>
    <w:rsid w:val="00FD55D0"/>
    <w:rsid w:val="00FD57D0"/>
    <w:rsid w:val="00FD5974"/>
    <w:rsid w:val="00FD5D0B"/>
    <w:rsid w:val="00FD5F41"/>
    <w:rsid w:val="00FD5F79"/>
    <w:rsid w:val="00FD63F3"/>
    <w:rsid w:val="00FD675A"/>
    <w:rsid w:val="00FD694D"/>
    <w:rsid w:val="00FD69F0"/>
    <w:rsid w:val="00FD6BEF"/>
    <w:rsid w:val="00FD71F9"/>
    <w:rsid w:val="00FD75ED"/>
    <w:rsid w:val="00FD77BE"/>
    <w:rsid w:val="00FD78B1"/>
    <w:rsid w:val="00FD79D7"/>
    <w:rsid w:val="00FD7C18"/>
    <w:rsid w:val="00FD7E4C"/>
    <w:rsid w:val="00FD7E9C"/>
    <w:rsid w:val="00FD7F39"/>
    <w:rsid w:val="00FE0530"/>
    <w:rsid w:val="00FE054D"/>
    <w:rsid w:val="00FE063C"/>
    <w:rsid w:val="00FE0B8F"/>
    <w:rsid w:val="00FE0DB1"/>
    <w:rsid w:val="00FE0FA9"/>
    <w:rsid w:val="00FE12F4"/>
    <w:rsid w:val="00FE1E66"/>
    <w:rsid w:val="00FE2CDF"/>
    <w:rsid w:val="00FE2E16"/>
    <w:rsid w:val="00FE3263"/>
    <w:rsid w:val="00FE3642"/>
    <w:rsid w:val="00FE3F6C"/>
    <w:rsid w:val="00FE406D"/>
    <w:rsid w:val="00FE4635"/>
    <w:rsid w:val="00FE465D"/>
    <w:rsid w:val="00FE4769"/>
    <w:rsid w:val="00FE48DE"/>
    <w:rsid w:val="00FE533E"/>
    <w:rsid w:val="00FE5516"/>
    <w:rsid w:val="00FE625F"/>
    <w:rsid w:val="00FE6566"/>
    <w:rsid w:val="00FE68BC"/>
    <w:rsid w:val="00FE6C7C"/>
    <w:rsid w:val="00FE7163"/>
    <w:rsid w:val="00FE72BE"/>
    <w:rsid w:val="00FE7884"/>
    <w:rsid w:val="00FE7A44"/>
    <w:rsid w:val="00FE7BF2"/>
    <w:rsid w:val="00FE7DB4"/>
    <w:rsid w:val="00FF004B"/>
    <w:rsid w:val="00FF052D"/>
    <w:rsid w:val="00FF0A4D"/>
    <w:rsid w:val="00FF2133"/>
    <w:rsid w:val="00FF243A"/>
    <w:rsid w:val="00FF25A4"/>
    <w:rsid w:val="00FF2625"/>
    <w:rsid w:val="00FF2960"/>
    <w:rsid w:val="00FF2C14"/>
    <w:rsid w:val="00FF2D5F"/>
    <w:rsid w:val="00FF2DE3"/>
    <w:rsid w:val="00FF358A"/>
    <w:rsid w:val="00FF3743"/>
    <w:rsid w:val="00FF3C18"/>
    <w:rsid w:val="00FF40F5"/>
    <w:rsid w:val="00FF43D8"/>
    <w:rsid w:val="00FF444E"/>
    <w:rsid w:val="00FF4B5E"/>
    <w:rsid w:val="00FF4EEB"/>
    <w:rsid w:val="00FF54A0"/>
    <w:rsid w:val="00FF566D"/>
    <w:rsid w:val="00FF59EE"/>
    <w:rsid w:val="00FF5B6A"/>
    <w:rsid w:val="00FF5F39"/>
    <w:rsid w:val="00FF5FEF"/>
    <w:rsid w:val="00FF6162"/>
    <w:rsid w:val="00FF685C"/>
    <w:rsid w:val="00FF6952"/>
    <w:rsid w:val="00FF6961"/>
    <w:rsid w:val="00FF6AD6"/>
    <w:rsid w:val="00FF6ADB"/>
    <w:rsid w:val="00FF6CAC"/>
    <w:rsid w:val="00FF6D13"/>
    <w:rsid w:val="00FF6F4B"/>
    <w:rsid w:val="00FF73F1"/>
    <w:rsid w:val="00FF76F8"/>
    <w:rsid w:val="00FF77DA"/>
    <w:rsid w:val="00FF7F16"/>
    <w:rsid w:val="019D738A"/>
    <w:rsid w:val="020462ED"/>
    <w:rsid w:val="021E11D3"/>
    <w:rsid w:val="02873BB9"/>
    <w:rsid w:val="02D75414"/>
    <w:rsid w:val="02FF2C6A"/>
    <w:rsid w:val="031E3C02"/>
    <w:rsid w:val="03350A3A"/>
    <w:rsid w:val="03656A2C"/>
    <w:rsid w:val="03743A17"/>
    <w:rsid w:val="03854E2F"/>
    <w:rsid w:val="03E01199"/>
    <w:rsid w:val="044A05EF"/>
    <w:rsid w:val="047D4239"/>
    <w:rsid w:val="049727BB"/>
    <w:rsid w:val="04F63F85"/>
    <w:rsid w:val="050A3AC4"/>
    <w:rsid w:val="050F05C1"/>
    <w:rsid w:val="05174F49"/>
    <w:rsid w:val="05303C1B"/>
    <w:rsid w:val="05574F02"/>
    <w:rsid w:val="056A64D2"/>
    <w:rsid w:val="05946180"/>
    <w:rsid w:val="05D47115"/>
    <w:rsid w:val="05ED04BF"/>
    <w:rsid w:val="06777989"/>
    <w:rsid w:val="06C32EA7"/>
    <w:rsid w:val="06E74C61"/>
    <w:rsid w:val="0709141D"/>
    <w:rsid w:val="07733BF3"/>
    <w:rsid w:val="07FA0B61"/>
    <w:rsid w:val="081A1FD7"/>
    <w:rsid w:val="08372DF7"/>
    <w:rsid w:val="08607DD9"/>
    <w:rsid w:val="086546C9"/>
    <w:rsid w:val="08742BCF"/>
    <w:rsid w:val="08EF5C01"/>
    <w:rsid w:val="08FA69DB"/>
    <w:rsid w:val="09781E69"/>
    <w:rsid w:val="09BA053E"/>
    <w:rsid w:val="09DB056C"/>
    <w:rsid w:val="09ED307B"/>
    <w:rsid w:val="0A597C43"/>
    <w:rsid w:val="0A5A5398"/>
    <w:rsid w:val="0A5B04A3"/>
    <w:rsid w:val="0A913C3F"/>
    <w:rsid w:val="0AA14702"/>
    <w:rsid w:val="0AD86032"/>
    <w:rsid w:val="0AFD2B73"/>
    <w:rsid w:val="0B8D0A75"/>
    <w:rsid w:val="0BC5166E"/>
    <w:rsid w:val="0BEF6D35"/>
    <w:rsid w:val="0C597B42"/>
    <w:rsid w:val="0C6A4FEB"/>
    <w:rsid w:val="0C6F7804"/>
    <w:rsid w:val="0C7B7BBA"/>
    <w:rsid w:val="0C972783"/>
    <w:rsid w:val="0CF72B8E"/>
    <w:rsid w:val="0D4109FB"/>
    <w:rsid w:val="0D43783F"/>
    <w:rsid w:val="0D614171"/>
    <w:rsid w:val="0DA85345"/>
    <w:rsid w:val="0E5C6154"/>
    <w:rsid w:val="0E7B09CE"/>
    <w:rsid w:val="0ED10FDA"/>
    <w:rsid w:val="0F4A710C"/>
    <w:rsid w:val="0F615C11"/>
    <w:rsid w:val="0F6B4A79"/>
    <w:rsid w:val="0FCA7068"/>
    <w:rsid w:val="0FF06A72"/>
    <w:rsid w:val="10454D05"/>
    <w:rsid w:val="108E5D60"/>
    <w:rsid w:val="109758B5"/>
    <w:rsid w:val="118B2A1C"/>
    <w:rsid w:val="12047CB0"/>
    <w:rsid w:val="121E6DC4"/>
    <w:rsid w:val="125D4779"/>
    <w:rsid w:val="12854F44"/>
    <w:rsid w:val="128B1A18"/>
    <w:rsid w:val="12935F60"/>
    <w:rsid w:val="12D25402"/>
    <w:rsid w:val="12D63D30"/>
    <w:rsid w:val="13311FAF"/>
    <w:rsid w:val="13394A5B"/>
    <w:rsid w:val="1348219C"/>
    <w:rsid w:val="13502C05"/>
    <w:rsid w:val="13694F8A"/>
    <w:rsid w:val="14151C2B"/>
    <w:rsid w:val="14361B45"/>
    <w:rsid w:val="14AF537E"/>
    <w:rsid w:val="14E704E1"/>
    <w:rsid w:val="15AC1679"/>
    <w:rsid w:val="15F75DA4"/>
    <w:rsid w:val="16127AFE"/>
    <w:rsid w:val="163D1F5C"/>
    <w:rsid w:val="165E2796"/>
    <w:rsid w:val="16970684"/>
    <w:rsid w:val="16996FF2"/>
    <w:rsid w:val="169E4366"/>
    <w:rsid w:val="16B57597"/>
    <w:rsid w:val="16EB0BF1"/>
    <w:rsid w:val="17A95E0C"/>
    <w:rsid w:val="17AA5F28"/>
    <w:rsid w:val="17B423F4"/>
    <w:rsid w:val="17D0746E"/>
    <w:rsid w:val="17E26C8C"/>
    <w:rsid w:val="186276D4"/>
    <w:rsid w:val="18906A92"/>
    <w:rsid w:val="18A67F53"/>
    <w:rsid w:val="18B96DA5"/>
    <w:rsid w:val="18BE50BA"/>
    <w:rsid w:val="18BE7198"/>
    <w:rsid w:val="18D536B7"/>
    <w:rsid w:val="190B2328"/>
    <w:rsid w:val="19212258"/>
    <w:rsid w:val="19722563"/>
    <w:rsid w:val="19743984"/>
    <w:rsid w:val="1A757FC2"/>
    <w:rsid w:val="1AA46A08"/>
    <w:rsid w:val="1AB328E2"/>
    <w:rsid w:val="1AC76789"/>
    <w:rsid w:val="1ACB0549"/>
    <w:rsid w:val="1ADA1B37"/>
    <w:rsid w:val="1AE165BB"/>
    <w:rsid w:val="1AFE249D"/>
    <w:rsid w:val="1B275AED"/>
    <w:rsid w:val="1B84497F"/>
    <w:rsid w:val="1B88705D"/>
    <w:rsid w:val="1BAA36DF"/>
    <w:rsid w:val="1BE95B78"/>
    <w:rsid w:val="1C1D0557"/>
    <w:rsid w:val="1C4B6210"/>
    <w:rsid w:val="1C6070C2"/>
    <w:rsid w:val="1C6F027F"/>
    <w:rsid w:val="1CC63AF9"/>
    <w:rsid w:val="1CD0766E"/>
    <w:rsid w:val="1DA6438C"/>
    <w:rsid w:val="1DB179E9"/>
    <w:rsid w:val="1DB5464C"/>
    <w:rsid w:val="1DD51E94"/>
    <w:rsid w:val="1E991A34"/>
    <w:rsid w:val="1EEF4E63"/>
    <w:rsid w:val="1F656F4D"/>
    <w:rsid w:val="1FB24C1E"/>
    <w:rsid w:val="1FE17A01"/>
    <w:rsid w:val="204313B4"/>
    <w:rsid w:val="20C30CA9"/>
    <w:rsid w:val="211A3E43"/>
    <w:rsid w:val="2187631F"/>
    <w:rsid w:val="21A4380A"/>
    <w:rsid w:val="220C20F0"/>
    <w:rsid w:val="22574F86"/>
    <w:rsid w:val="22794E74"/>
    <w:rsid w:val="227E5704"/>
    <w:rsid w:val="231511CE"/>
    <w:rsid w:val="23A470D8"/>
    <w:rsid w:val="23B9332C"/>
    <w:rsid w:val="23F75E7E"/>
    <w:rsid w:val="2426246A"/>
    <w:rsid w:val="245826E9"/>
    <w:rsid w:val="245D400B"/>
    <w:rsid w:val="246A4A80"/>
    <w:rsid w:val="24767F32"/>
    <w:rsid w:val="24C41D56"/>
    <w:rsid w:val="24DC5EBB"/>
    <w:rsid w:val="25144DAF"/>
    <w:rsid w:val="25276F08"/>
    <w:rsid w:val="25517CE4"/>
    <w:rsid w:val="25703EC3"/>
    <w:rsid w:val="25874F28"/>
    <w:rsid w:val="25A02BF9"/>
    <w:rsid w:val="25A721CD"/>
    <w:rsid w:val="25F95F1C"/>
    <w:rsid w:val="265F1920"/>
    <w:rsid w:val="266C3528"/>
    <w:rsid w:val="269D20C2"/>
    <w:rsid w:val="26A219CE"/>
    <w:rsid w:val="274F6DD1"/>
    <w:rsid w:val="27B366BF"/>
    <w:rsid w:val="280412BD"/>
    <w:rsid w:val="288735DA"/>
    <w:rsid w:val="288E278C"/>
    <w:rsid w:val="28916651"/>
    <w:rsid w:val="28A43A43"/>
    <w:rsid w:val="293B613B"/>
    <w:rsid w:val="296E070E"/>
    <w:rsid w:val="29737B86"/>
    <w:rsid w:val="299049E8"/>
    <w:rsid w:val="29E84155"/>
    <w:rsid w:val="2A08519E"/>
    <w:rsid w:val="2A134FA1"/>
    <w:rsid w:val="2A1466DF"/>
    <w:rsid w:val="2AA17AB1"/>
    <w:rsid w:val="2ABF4C21"/>
    <w:rsid w:val="2AD60653"/>
    <w:rsid w:val="2B822211"/>
    <w:rsid w:val="2B941E8F"/>
    <w:rsid w:val="2BB802F1"/>
    <w:rsid w:val="2BB86778"/>
    <w:rsid w:val="2BCA41E5"/>
    <w:rsid w:val="2C453CB2"/>
    <w:rsid w:val="2C8C56B5"/>
    <w:rsid w:val="2D012BC6"/>
    <w:rsid w:val="2D66371B"/>
    <w:rsid w:val="2E381134"/>
    <w:rsid w:val="2EC44A97"/>
    <w:rsid w:val="2EF80714"/>
    <w:rsid w:val="2F16569A"/>
    <w:rsid w:val="2F661460"/>
    <w:rsid w:val="2F7336C7"/>
    <w:rsid w:val="2F7409FD"/>
    <w:rsid w:val="2FAC02A1"/>
    <w:rsid w:val="2FAD1F3D"/>
    <w:rsid w:val="2FBB71FA"/>
    <w:rsid w:val="2FF53F4B"/>
    <w:rsid w:val="2FF61339"/>
    <w:rsid w:val="30455DB9"/>
    <w:rsid w:val="3059610A"/>
    <w:rsid w:val="305C10FB"/>
    <w:rsid w:val="30CF0F8B"/>
    <w:rsid w:val="310421D2"/>
    <w:rsid w:val="311A52A5"/>
    <w:rsid w:val="31D57D89"/>
    <w:rsid w:val="3207341B"/>
    <w:rsid w:val="32466C35"/>
    <w:rsid w:val="32BC6F27"/>
    <w:rsid w:val="32C16E4F"/>
    <w:rsid w:val="32C83822"/>
    <w:rsid w:val="32EF4667"/>
    <w:rsid w:val="32FC18EF"/>
    <w:rsid w:val="339148A8"/>
    <w:rsid w:val="34433534"/>
    <w:rsid w:val="34DF36B3"/>
    <w:rsid w:val="350008B7"/>
    <w:rsid w:val="35287855"/>
    <w:rsid w:val="357019E1"/>
    <w:rsid w:val="35817C78"/>
    <w:rsid w:val="35EA49B6"/>
    <w:rsid w:val="35ED1FD2"/>
    <w:rsid w:val="361673E1"/>
    <w:rsid w:val="362447C7"/>
    <w:rsid w:val="36847815"/>
    <w:rsid w:val="36A0704D"/>
    <w:rsid w:val="370C36FB"/>
    <w:rsid w:val="37452302"/>
    <w:rsid w:val="37563860"/>
    <w:rsid w:val="37630940"/>
    <w:rsid w:val="376F77BB"/>
    <w:rsid w:val="37713F68"/>
    <w:rsid w:val="37A5715B"/>
    <w:rsid w:val="37AB2A7D"/>
    <w:rsid w:val="37D772E4"/>
    <w:rsid w:val="37EF67CD"/>
    <w:rsid w:val="37F26356"/>
    <w:rsid w:val="38382E81"/>
    <w:rsid w:val="386A53E3"/>
    <w:rsid w:val="38750A94"/>
    <w:rsid w:val="387576E1"/>
    <w:rsid w:val="38E80D57"/>
    <w:rsid w:val="390A2F6D"/>
    <w:rsid w:val="39115542"/>
    <w:rsid w:val="392C5CA2"/>
    <w:rsid w:val="3937066D"/>
    <w:rsid w:val="39AD452D"/>
    <w:rsid w:val="39D5598E"/>
    <w:rsid w:val="3A2C5621"/>
    <w:rsid w:val="3A5D5AD1"/>
    <w:rsid w:val="3A6A0B07"/>
    <w:rsid w:val="3ACA6209"/>
    <w:rsid w:val="3B075849"/>
    <w:rsid w:val="3B3E4288"/>
    <w:rsid w:val="3B4F3512"/>
    <w:rsid w:val="3B5F7789"/>
    <w:rsid w:val="3B6A7FB4"/>
    <w:rsid w:val="3C455F53"/>
    <w:rsid w:val="3CE448AB"/>
    <w:rsid w:val="3D4A2EE7"/>
    <w:rsid w:val="3D620ACA"/>
    <w:rsid w:val="3D693F66"/>
    <w:rsid w:val="3D7E4DC3"/>
    <w:rsid w:val="3DC172A7"/>
    <w:rsid w:val="3DCC1077"/>
    <w:rsid w:val="3E3C5DE7"/>
    <w:rsid w:val="3E713E39"/>
    <w:rsid w:val="3E8175BE"/>
    <w:rsid w:val="3EEF23D8"/>
    <w:rsid w:val="3F007DF3"/>
    <w:rsid w:val="3F125391"/>
    <w:rsid w:val="3F325A3F"/>
    <w:rsid w:val="406A3401"/>
    <w:rsid w:val="40837404"/>
    <w:rsid w:val="40875D69"/>
    <w:rsid w:val="409B412C"/>
    <w:rsid w:val="40D65E30"/>
    <w:rsid w:val="40F61EB7"/>
    <w:rsid w:val="412F3A2A"/>
    <w:rsid w:val="41D24DDF"/>
    <w:rsid w:val="41D73D23"/>
    <w:rsid w:val="41F00286"/>
    <w:rsid w:val="4335569C"/>
    <w:rsid w:val="434012B5"/>
    <w:rsid w:val="43414302"/>
    <w:rsid w:val="434D215B"/>
    <w:rsid w:val="43A546AB"/>
    <w:rsid w:val="447811D7"/>
    <w:rsid w:val="457124C5"/>
    <w:rsid w:val="45900050"/>
    <w:rsid w:val="45B500A7"/>
    <w:rsid w:val="46281D08"/>
    <w:rsid w:val="463B109C"/>
    <w:rsid w:val="46F61076"/>
    <w:rsid w:val="47343821"/>
    <w:rsid w:val="47956ADA"/>
    <w:rsid w:val="48E0721C"/>
    <w:rsid w:val="494D479C"/>
    <w:rsid w:val="49620953"/>
    <w:rsid w:val="498C2AD2"/>
    <w:rsid w:val="49EC288C"/>
    <w:rsid w:val="4A143551"/>
    <w:rsid w:val="4A2F4D54"/>
    <w:rsid w:val="4AD403C0"/>
    <w:rsid w:val="4AEB07FB"/>
    <w:rsid w:val="4BA8621E"/>
    <w:rsid w:val="4C2B5752"/>
    <w:rsid w:val="4C3517CA"/>
    <w:rsid w:val="4C3A0E8D"/>
    <w:rsid w:val="4CCB2111"/>
    <w:rsid w:val="4D4C66A4"/>
    <w:rsid w:val="4D9F367B"/>
    <w:rsid w:val="4DA41677"/>
    <w:rsid w:val="4DA66523"/>
    <w:rsid w:val="4E40044D"/>
    <w:rsid w:val="4EFB2A0C"/>
    <w:rsid w:val="4F706CEE"/>
    <w:rsid w:val="5020335E"/>
    <w:rsid w:val="5069299A"/>
    <w:rsid w:val="509F5A68"/>
    <w:rsid w:val="50BC1B24"/>
    <w:rsid w:val="50E04A65"/>
    <w:rsid w:val="515D39C6"/>
    <w:rsid w:val="51901B14"/>
    <w:rsid w:val="51A116B0"/>
    <w:rsid w:val="51AB1BA3"/>
    <w:rsid w:val="523C0A30"/>
    <w:rsid w:val="5296297B"/>
    <w:rsid w:val="52AA0C60"/>
    <w:rsid w:val="52E81FE1"/>
    <w:rsid w:val="52E90890"/>
    <w:rsid w:val="53236981"/>
    <w:rsid w:val="534433BC"/>
    <w:rsid w:val="536054BA"/>
    <w:rsid w:val="5407520C"/>
    <w:rsid w:val="54437FB7"/>
    <w:rsid w:val="549B140C"/>
    <w:rsid w:val="550726EC"/>
    <w:rsid w:val="555B50AE"/>
    <w:rsid w:val="55BC0945"/>
    <w:rsid w:val="56222B52"/>
    <w:rsid w:val="56292812"/>
    <w:rsid w:val="56564E3C"/>
    <w:rsid w:val="568224D5"/>
    <w:rsid w:val="56AA5140"/>
    <w:rsid w:val="56BA0FDC"/>
    <w:rsid w:val="56C24164"/>
    <w:rsid w:val="56C62F7F"/>
    <w:rsid w:val="571F0D65"/>
    <w:rsid w:val="574C183C"/>
    <w:rsid w:val="575A4DA5"/>
    <w:rsid w:val="579064EC"/>
    <w:rsid w:val="579F744F"/>
    <w:rsid w:val="584016E1"/>
    <w:rsid w:val="58665E4C"/>
    <w:rsid w:val="591B35A8"/>
    <w:rsid w:val="59711529"/>
    <w:rsid w:val="59BC54F3"/>
    <w:rsid w:val="59BE47E8"/>
    <w:rsid w:val="59DF76D7"/>
    <w:rsid w:val="5A076DF6"/>
    <w:rsid w:val="5A4E6848"/>
    <w:rsid w:val="5A7E5715"/>
    <w:rsid w:val="5AC800CF"/>
    <w:rsid w:val="5B0C0DCC"/>
    <w:rsid w:val="5B102E0E"/>
    <w:rsid w:val="5B144CC7"/>
    <w:rsid w:val="5B5E2576"/>
    <w:rsid w:val="5B6F6AAE"/>
    <w:rsid w:val="5B751E7C"/>
    <w:rsid w:val="5B7F270C"/>
    <w:rsid w:val="5BA04490"/>
    <w:rsid w:val="5BDB5A74"/>
    <w:rsid w:val="5C823640"/>
    <w:rsid w:val="5C857F6D"/>
    <w:rsid w:val="5D044FCA"/>
    <w:rsid w:val="5D52007F"/>
    <w:rsid w:val="5D6E2C84"/>
    <w:rsid w:val="5D8F228A"/>
    <w:rsid w:val="5DA378C7"/>
    <w:rsid w:val="5E500B92"/>
    <w:rsid w:val="5E8D4D51"/>
    <w:rsid w:val="5EBC3592"/>
    <w:rsid w:val="5EF61967"/>
    <w:rsid w:val="5F17281A"/>
    <w:rsid w:val="5F442C41"/>
    <w:rsid w:val="5F534520"/>
    <w:rsid w:val="5F566ED6"/>
    <w:rsid w:val="5FB61869"/>
    <w:rsid w:val="5FD62261"/>
    <w:rsid w:val="601D7525"/>
    <w:rsid w:val="602045B8"/>
    <w:rsid w:val="606C7575"/>
    <w:rsid w:val="60773674"/>
    <w:rsid w:val="607C3A1D"/>
    <w:rsid w:val="60C22332"/>
    <w:rsid w:val="61217CBD"/>
    <w:rsid w:val="61997363"/>
    <w:rsid w:val="61B759FD"/>
    <w:rsid w:val="62604393"/>
    <w:rsid w:val="62746BA1"/>
    <w:rsid w:val="62A96C5C"/>
    <w:rsid w:val="63337152"/>
    <w:rsid w:val="634451B5"/>
    <w:rsid w:val="6399611D"/>
    <w:rsid w:val="63A05FEC"/>
    <w:rsid w:val="63C55319"/>
    <w:rsid w:val="640B5F7D"/>
    <w:rsid w:val="641F313D"/>
    <w:rsid w:val="64695DBA"/>
    <w:rsid w:val="64DC5B21"/>
    <w:rsid w:val="64F00643"/>
    <w:rsid w:val="6518779A"/>
    <w:rsid w:val="659673E5"/>
    <w:rsid w:val="66315F88"/>
    <w:rsid w:val="666134B9"/>
    <w:rsid w:val="666C38F9"/>
    <w:rsid w:val="66EF194B"/>
    <w:rsid w:val="66F93080"/>
    <w:rsid w:val="671B715E"/>
    <w:rsid w:val="67337D6A"/>
    <w:rsid w:val="67833C30"/>
    <w:rsid w:val="67B67084"/>
    <w:rsid w:val="67CE442D"/>
    <w:rsid w:val="67F21127"/>
    <w:rsid w:val="689E69F0"/>
    <w:rsid w:val="68A10776"/>
    <w:rsid w:val="691554F3"/>
    <w:rsid w:val="694A5CDD"/>
    <w:rsid w:val="694B0634"/>
    <w:rsid w:val="69A93FDB"/>
    <w:rsid w:val="69D615DA"/>
    <w:rsid w:val="69DE5965"/>
    <w:rsid w:val="69EB6E59"/>
    <w:rsid w:val="69FC14BC"/>
    <w:rsid w:val="6A4C0060"/>
    <w:rsid w:val="6A537326"/>
    <w:rsid w:val="6A623437"/>
    <w:rsid w:val="6A8D686E"/>
    <w:rsid w:val="6AF55DB4"/>
    <w:rsid w:val="6B3358A5"/>
    <w:rsid w:val="6B475BC1"/>
    <w:rsid w:val="6B7042B9"/>
    <w:rsid w:val="6B99077F"/>
    <w:rsid w:val="6B9D0DD4"/>
    <w:rsid w:val="6BA83E8B"/>
    <w:rsid w:val="6BB06677"/>
    <w:rsid w:val="6C0375B0"/>
    <w:rsid w:val="6C1954FD"/>
    <w:rsid w:val="6C9F4566"/>
    <w:rsid w:val="6CA237C2"/>
    <w:rsid w:val="6CCB3FBE"/>
    <w:rsid w:val="6CDD5F0C"/>
    <w:rsid w:val="6D7D288C"/>
    <w:rsid w:val="6DED150A"/>
    <w:rsid w:val="6E150CAB"/>
    <w:rsid w:val="6E2A130B"/>
    <w:rsid w:val="6E712052"/>
    <w:rsid w:val="6E8D613D"/>
    <w:rsid w:val="6E8E5F23"/>
    <w:rsid w:val="6ECD63BB"/>
    <w:rsid w:val="6F0A2F03"/>
    <w:rsid w:val="6F6949BA"/>
    <w:rsid w:val="704178E7"/>
    <w:rsid w:val="70A627A4"/>
    <w:rsid w:val="70B10879"/>
    <w:rsid w:val="70F74353"/>
    <w:rsid w:val="71550659"/>
    <w:rsid w:val="716C0B5E"/>
    <w:rsid w:val="71F1664B"/>
    <w:rsid w:val="72185CC2"/>
    <w:rsid w:val="72482005"/>
    <w:rsid w:val="72660D1B"/>
    <w:rsid w:val="730A09E9"/>
    <w:rsid w:val="730F205D"/>
    <w:rsid w:val="73423CCD"/>
    <w:rsid w:val="73B766CE"/>
    <w:rsid w:val="73C26A1C"/>
    <w:rsid w:val="74317A90"/>
    <w:rsid w:val="74667E03"/>
    <w:rsid w:val="749A2585"/>
    <w:rsid w:val="749A798D"/>
    <w:rsid w:val="74A314A0"/>
    <w:rsid w:val="74A46198"/>
    <w:rsid w:val="74AA6211"/>
    <w:rsid w:val="74FB4EF0"/>
    <w:rsid w:val="751B5F13"/>
    <w:rsid w:val="7524620E"/>
    <w:rsid w:val="75370592"/>
    <w:rsid w:val="756E175A"/>
    <w:rsid w:val="7582762E"/>
    <w:rsid w:val="75981543"/>
    <w:rsid w:val="75B65537"/>
    <w:rsid w:val="75B965D3"/>
    <w:rsid w:val="76063F13"/>
    <w:rsid w:val="763359FC"/>
    <w:rsid w:val="764D09CB"/>
    <w:rsid w:val="765425D6"/>
    <w:rsid w:val="765C3110"/>
    <w:rsid w:val="76834273"/>
    <w:rsid w:val="76F64459"/>
    <w:rsid w:val="772F721B"/>
    <w:rsid w:val="773611C3"/>
    <w:rsid w:val="779C013C"/>
    <w:rsid w:val="77AE1EC0"/>
    <w:rsid w:val="77CB525B"/>
    <w:rsid w:val="78061A5D"/>
    <w:rsid w:val="783973D7"/>
    <w:rsid w:val="789902DA"/>
    <w:rsid w:val="789D015F"/>
    <w:rsid w:val="78AD0322"/>
    <w:rsid w:val="78AD53D4"/>
    <w:rsid w:val="79604594"/>
    <w:rsid w:val="79922259"/>
    <w:rsid w:val="79C92416"/>
    <w:rsid w:val="7A553AAB"/>
    <w:rsid w:val="7A7011CE"/>
    <w:rsid w:val="7AEB71DD"/>
    <w:rsid w:val="7AF67D38"/>
    <w:rsid w:val="7AF74E21"/>
    <w:rsid w:val="7B555FDE"/>
    <w:rsid w:val="7B7F6FE9"/>
    <w:rsid w:val="7BA6061C"/>
    <w:rsid w:val="7BAB400B"/>
    <w:rsid w:val="7C9C7B1E"/>
    <w:rsid w:val="7D6E294E"/>
    <w:rsid w:val="7D9636AF"/>
    <w:rsid w:val="7DC30F2F"/>
    <w:rsid w:val="7DD71893"/>
    <w:rsid w:val="7EB31E1B"/>
    <w:rsid w:val="7F3B3921"/>
    <w:rsid w:val="7F671064"/>
    <w:rsid w:val="7F9B4C14"/>
    <w:rsid w:val="7FAE623A"/>
    <w:rsid w:val="7FC6459B"/>
    <w:rsid w:val="7FF13B6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63"/>
    <w:qFormat/>
    <w:uiPriority w:val="0"/>
    <w:pPr>
      <w:keepNext/>
      <w:keepLines/>
      <w:spacing w:before="260" w:after="260" w:line="416" w:lineRule="auto"/>
      <w:outlineLvl w:val="2"/>
    </w:pPr>
    <w:rPr>
      <w:b/>
      <w:bCs/>
      <w:sz w:val="32"/>
      <w:szCs w:val="32"/>
    </w:rPr>
  </w:style>
  <w:style w:type="paragraph" w:styleId="5">
    <w:name w:val="heading 4"/>
    <w:basedOn w:val="1"/>
    <w:next w:val="1"/>
    <w:link w:val="64"/>
    <w:qFormat/>
    <w:uiPriority w:val="0"/>
    <w:pPr>
      <w:keepNext/>
      <w:keepLines/>
      <w:widowControl/>
      <w:spacing w:before="120" w:after="120" w:line="360" w:lineRule="auto"/>
      <w:ind w:firstLine="1044" w:firstLineChars="200"/>
      <w:jc w:val="center"/>
      <w:outlineLvl w:val="3"/>
    </w:pPr>
    <w:rPr>
      <w:rFonts w:ascii="Arial" w:hAnsi="Arial" w:eastAsia="黑体"/>
      <w:kern w:val="0"/>
      <w:sz w:val="28"/>
      <w:szCs w:val="20"/>
    </w:rPr>
  </w:style>
  <w:style w:type="paragraph" w:styleId="6">
    <w:name w:val="heading 5"/>
    <w:basedOn w:val="1"/>
    <w:next w:val="1"/>
    <w:link w:val="65"/>
    <w:qFormat/>
    <w:uiPriority w:val="0"/>
    <w:pPr>
      <w:keepNext/>
      <w:keepLines/>
      <w:spacing w:before="280" w:after="290" w:line="376" w:lineRule="auto"/>
      <w:ind w:firstLine="567" w:firstLineChars="200"/>
      <w:jc w:val="left"/>
      <w:outlineLvl w:val="4"/>
    </w:pPr>
    <w:rPr>
      <w:b/>
      <w:sz w:val="28"/>
    </w:rPr>
  </w:style>
  <w:style w:type="paragraph" w:styleId="7">
    <w:name w:val="heading 6"/>
    <w:basedOn w:val="1"/>
    <w:next w:val="1"/>
    <w:link w:val="66"/>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link w:val="67"/>
    <w:qFormat/>
    <w:uiPriority w:val="0"/>
    <w:pPr>
      <w:keepNext/>
      <w:keepLines/>
      <w:tabs>
        <w:tab w:val="left" w:pos="3827"/>
      </w:tabs>
      <w:spacing w:before="240" w:after="64" w:line="320" w:lineRule="auto"/>
      <w:ind w:left="3827" w:hanging="1276" w:firstLineChars="200"/>
      <w:jc w:val="left"/>
      <w:outlineLvl w:val="6"/>
    </w:pPr>
    <w:rPr>
      <w:b/>
      <w:sz w:val="24"/>
    </w:rPr>
  </w:style>
  <w:style w:type="paragraph" w:styleId="9">
    <w:name w:val="heading 8"/>
    <w:basedOn w:val="1"/>
    <w:next w:val="10"/>
    <w:link w:val="68"/>
    <w:qFormat/>
    <w:uiPriority w:val="0"/>
    <w:pPr>
      <w:keepNext/>
      <w:keepLines/>
      <w:tabs>
        <w:tab w:val="left" w:pos="4394"/>
      </w:tabs>
      <w:spacing w:before="240" w:after="64" w:line="320" w:lineRule="auto"/>
      <w:ind w:left="4394" w:hanging="1418" w:firstLineChars="200"/>
      <w:jc w:val="left"/>
      <w:outlineLvl w:val="7"/>
    </w:pPr>
    <w:rPr>
      <w:rFonts w:ascii="Arial" w:hAnsi="Arial" w:eastAsia="黑体"/>
      <w:sz w:val="24"/>
    </w:rPr>
  </w:style>
  <w:style w:type="paragraph" w:styleId="11">
    <w:name w:val="heading 9"/>
    <w:basedOn w:val="1"/>
    <w:next w:val="10"/>
    <w:link w:val="70"/>
    <w:qFormat/>
    <w:uiPriority w:val="0"/>
    <w:pPr>
      <w:keepNext/>
      <w:keepLines/>
      <w:tabs>
        <w:tab w:val="left" w:pos="5102"/>
      </w:tabs>
      <w:spacing w:before="240" w:after="64" w:line="320" w:lineRule="auto"/>
      <w:ind w:left="5102" w:hanging="1700" w:firstLineChars="200"/>
      <w:jc w:val="left"/>
      <w:outlineLvl w:val="8"/>
    </w:pPr>
    <w:rPr>
      <w:rFonts w:ascii="Arial" w:hAnsi="Arial" w:eastAsia="黑体"/>
    </w:rPr>
  </w:style>
  <w:style w:type="character" w:default="1" w:styleId="53">
    <w:name w:val="Default Paragraph Font"/>
    <w:semiHidden/>
    <w:qFormat/>
    <w:uiPriority w:val="0"/>
  </w:style>
  <w:style w:type="table" w:default="1" w:styleId="51">
    <w:name w:val="Normal Table"/>
    <w:semiHidden/>
    <w:qFormat/>
    <w:uiPriority w:val="0"/>
    <w:tblPr>
      <w:tblCellMar>
        <w:top w:w="0" w:type="dxa"/>
        <w:left w:w="108" w:type="dxa"/>
        <w:bottom w:w="0" w:type="dxa"/>
        <w:right w:w="108" w:type="dxa"/>
      </w:tblCellMar>
    </w:tblPr>
  </w:style>
  <w:style w:type="paragraph" w:styleId="10">
    <w:name w:val="Normal Indent"/>
    <w:basedOn w:val="1"/>
    <w:link w:val="69"/>
    <w:qFormat/>
    <w:uiPriority w:val="0"/>
    <w:pPr>
      <w:ind w:firstLine="420"/>
    </w:pPr>
    <w:rPr>
      <w:szCs w:val="20"/>
    </w:rPr>
  </w:style>
  <w:style w:type="paragraph" w:styleId="12">
    <w:name w:val="toc 7"/>
    <w:basedOn w:val="1"/>
    <w:next w:val="1"/>
    <w:qFormat/>
    <w:uiPriority w:val="0"/>
    <w:pPr>
      <w:tabs>
        <w:tab w:val="right" w:leader="dot" w:pos="9185"/>
      </w:tabs>
      <w:adjustRightInd w:val="0"/>
      <w:spacing w:line="312" w:lineRule="atLeast"/>
      <w:ind w:left="2520" w:firstLine="1044" w:firstLineChars="200"/>
      <w:jc w:val="left"/>
      <w:textAlignment w:val="baseline"/>
    </w:pPr>
    <w:rPr>
      <w:kern w:val="0"/>
      <w:szCs w:val="20"/>
    </w:rPr>
  </w:style>
  <w:style w:type="paragraph" w:styleId="13">
    <w:name w:val="index 8"/>
    <w:basedOn w:val="1"/>
    <w:next w:val="1"/>
    <w:qFormat/>
    <w:uiPriority w:val="0"/>
    <w:pPr>
      <w:spacing w:line="400" w:lineRule="exact"/>
      <w:ind w:left="2940" w:firstLine="1044" w:firstLineChars="200"/>
      <w:jc w:val="left"/>
    </w:pPr>
  </w:style>
  <w:style w:type="paragraph" w:styleId="14">
    <w:name w:val="List Number"/>
    <w:basedOn w:val="1"/>
    <w:qFormat/>
    <w:uiPriority w:val="0"/>
    <w:pPr>
      <w:widowControl/>
      <w:tabs>
        <w:tab w:val="left" w:pos="454"/>
        <w:tab w:val="left" w:pos="720"/>
        <w:tab w:val="left" w:pos="840"/>
      </w:tabs>
      <w:spacing w:afterLines="50" w:line="400" w:lineRule="exact"/>
      <w:ind w:left="454" w:hanging="284" w:firstLineChars="200"/>
      <w:jc w:val="left"/>
    </w:pPr>
    <w:rPr>
      <w:kern w:val="0"/>
      <w:sz w:val="24"/>
      <w:szCs w:val="20"/>
    </w:rPr>
  </w:style>
  <w:style w:type="paragraph" w:styleId="15">
    <w:name w:val="caption"/>
    <w:basedOn w:val="1"/>
    <w:next w:val="1"/>
    <w:qFormat/>
    <w:uiPriority w:val="0"/>
    <w:pPr>
      <w:spacing w:before="152" w:after="160" w:line="400" w:lineRule="exact"/>
      <w:ind w:firstLine="1044" w:firstLineChars="200"/>
      <w:jc w:val="left"/>
    </w:pPr>
    <w:rPr>
      <w:rFonts w:ascii="Arial" w:hAnsi="Arial" w:eastAsia="黑体" w:cs="Arial"/>
      <w:sz w:val="20"/>
      <w:szCs w:val="20"/>
    </w:rPr>
  </w:style>
  <w:style w:type="paragraph" w:styleId="16">
    <w:name w:val="Document Map"/>
    <w:basedOn w:val="1"/>
    <w:link w:val="71"/>
    <w:qFormat/>
    <w:uiPriority w:val="0"/>
    <w:pPr>
      <w:shd w:val="clear" w:color="auto" w:fill="000080"/>
      <w:adjustRightInd w:val="0"/>
      <w:spacing w:line="312" w:lineRule="atLeast"/>
      <w:ind w:firstLine="1044" w:firstLineChars="200"/>
      <w:jc w:val="left"/>
      <w:textAlignment w:val="baseline"/>
    </w:pPr>
    <w:rPr>
      <w:kern w:val="0"/>
      <w:szCs w:val="20"/>
    </w:rPr>
  </w:style>
  <w:style w:type="paragraph" w:styleId="17">
    <w:name w:val="annotation text"/>
    <w:basedOn w:val="1"/>
    <w:link w:val="72"/>
    <w:qFormat/>
    <w:uiPriority w:val="99"/>
    <w:pPr>
      <w:jc w:val="left"/>
    </w:pPr>
  </w:style>
  <w:style w:type="paragraph" w:styleId="18">
    <w:name w:val="Body Text 3"/>
    <w:basedOn w:val="1"/>
    <w:link w:val="73"/>
    <w:qFormat/>
    <w:uiPriority w:val="0"/>
    <w:pPr>
      <w:spacing w:line="240" w:lineRule="exact"/>
    </w:pPr>
    <w:rPr>
      <w:rFonts w:ascii="宋体" w:hAnsi="宋体"/>
      <w:color w:val="000000"/>
      <w:szCs w:val="21"/>
    </w:rPr>
  </w:style>
  <w:style w:type="paragraph" w:styleId="19">
    <w:name w:val="Body Text"/>
    <w:basedOn w:val="1"/>
    <w:link w:val="74"/>
    <w:qFormat/>
    <w:uiPriority w:val="99"/>
    <w:pPr>
      <w:spacing w:line="380" w:lineRule="exact"/>
      <w:ind w:firstLine="1044" w:firstLineChars="200"/>
      <w:jc w:val="left"/>
    </w:pPr>
    <w:rPr>
      <w:sz w:val="24"/>
    </w:rPr>
  </w:style>
  <w:style w:type="paragraph" w:styleId="20">
    <w:name w:val="Body Text Indent"/>
    <w:basedOn w:val="1"/>
    <w:next w:val="21"/>
    <w:link w:val="75"/>
    <w:qFormat/>
    <w:uiPriority w:val="0"/>
    <w:pPr>
      <w:spacing w:line="400" w:lineRule="exact"/>
      <w:ind w:firstLine="830" w:firstLineChars="352"/>
      <w:jc w:val="left"/>
    </w:pPr>
    <w:rPr>
      <w:rFonts w:ascii="仿宋_GB2312" w:eastAsia="仿宋_GB2312"/>
      <w:sz w:val="32"/>
      <w:szCs w:val="20"/>
    </w:rPr>
  </w:style>
  <w:style w:type="paragraph" w:styleId="21">
    <w:name w:val="envelope return"/>
    <w:basedOn w:val="1"/>
    <w:qFormat/>
    <w:uiPriority w:val="0"/>
    <w:pPr>
      <w:snapToGrid w:val="0"/>
      <w:spacing w:line="400" w:lineRule="exact"/>
      <w:ind w:firstLine="1044" w:firstLineChars="200"/>
      <w:jc w:val="left"/>
    </w:pPr>
    <w:rPr>
      <w:rFonts w:ascii="Arial" w:hAnsi="Arial" w:cs="Arial"/>
    </w:rPr>
  </w:style>
  <w:style w:type="paragraph" w:styleId="22">
    <w:name w:val="List Number 3"/>
    <w:basedOn w:val="1"/>
    <w:qFormat/>
    <w:uiPriority w:val="0"/>
    <w:pPr>
      <w:numPr>
        <w:ilvl w:val="0"/>
        <w:numId w:val="1"/>
      </w:numPr>
      <w:spacing w:line="400" w:lineRule="exact"/>
      <w:ind w:firstLineChars="200"/>
      <w:jc w:val="left"/>
    </w:pPr>
  </w:style>
  <w:style w:type="paragraph" w:styleId="23">
    <w:name w:val="List 2"/>
    <w:basedOn w:val="1"/>
    <w:qFormat/>
    <w:uiPriority w:val="0"/>
    <w:pPr>
      <w:spacing w:line="400" w:lineRule="exact"/>
      <w:ind w:left="100" w:leftChars="200" w:hanging="200" w:hangingChars="200"/>
      <w:jc w:val="left"/>
    </w:pPr>
    <w:rPr>
      <w:sz w:val="28"/>
    </w:rPr>
  </w:style>
  <w:style w:type="paragraph" w:styleId="24">
    <w:name w:val="Block Text"/>
    <w:basedOn w:val="1"/>
    <w:qFormat/>
    <w:uiPriority w:val="0"/>
    <w:pPr>
      <w:adjustRightInd w:val="0"/>
      <w:spacing w:line="400" w:lineRule="exact"/>
      <w:ind w:left="420" w:right="33" w:firstLine="1044" w:firstLineChars="200"/>
      <w:jc w:val="left"/>
      <w:textAlignment w:val="baseline"/>
    </w:pPr>
    <w:rPr>
      <w:kern w:val="0"/>
      <w:sz w:val="24"/>
      <w:szCs w:val="20"/>
    </w:rPr>
  </w:style>
  <w:style w:type="paragraph" w:styleId="25">
    <w:name w:val="toc 5"/>
    <w:basedOn w:val="1"/>
    <w:next w:val="1"/>
    <w:qFormat/>
    <w:uiPriority w:val="0"/>
    <w:pPr>
      <w:tabs>
        <w:tab w:val="right" w:leader="dot" w:pos="9185"/>
      </w:tabs>
      <w:adjustRightInd w:val="0"/>
      <w:spacing w:line="312" w:lineRule="atLeast"/>
      <w:ind w:left="1680" w:firstLine="1044" w:firstLineChars="200"/>
      <w:jc w:val="left"/>
      <w:textAlignment w:val="baseline"/>
    </w:pPr>
    <w:rPr>
      <w:kern w:val="0"/>
      <w:szCs w:val="20"/>
    </w:rPr>
  </w:style>
  <w:style w:type="paragraph" w:styleId="26">
    <w:name w:val="toc 3"/>
    <w:basedOn w:val="1"/>
    <w:next w:val="1"/>
    <w:qFormat/>
    <w:uiPriority w:val="0"/>
    <w:pPr>
      <w:spacing w:line="400" w:lineRule="exact"/>
      <w:ind w:left="840" w:leftChars="400" w:firstLine="1044" w:firstLineChars="200"/>
      <w:jc w:val="left"/>
    </w:pPr>
  </w:style>
  <w:style w:type="paragraph" w:styleId="27">
    <w:name w:val="Plain Text"/>
    <w:basedOn w:val="1"/>
    <w:next w:val="13"/>
    <w:link w:val="76"/>
    <w:qFormat/>
    <w:uiPriority w:val="99"/>
    <w:rPr>
      <w:rFonts w:ascii="宋体" w:hAnsi="Courier New"/>
      <w:szCs w:val="20"/>
    </w:rPr>
  </w:style>
  <w:style w:type="paragraph" w:styleId="28">
    <w:name w:val="toc 8"/>
    <w:basedOn w:val="1"/>
    <w:next w:val="1"/>
    <w:qFormat/>
    <w:uiPriority w:val="0"/>
    <w:pPr>
      <w:tabs>
        <w:tab w:val="right" w:leader="dot" w:pos="9185"/>
      </w:tabs>
      <w:adjustRightInd w:val="0"/>
      <w:spacing w:line="312" w:lineRule="atLeast"/>
      <w:ind w:left="2940" w:firstLine="1044" w:firstLineChars="200"/>
      <w:jc w:val="left"/>
      <w:textAlignment w:val="baseline"/>
    </w:pPr>
    <w:rPr>
      <w:kern w:val="0"/>
      <w:szCs w:val="20"/>
    </w:rPr>
  </w:style>
  <w:style w:type="paragraph" w:styleId="29">
    <w:name w:val="Date"/>
    <w:basedOn w:val="1"/>
    <w:next w:val="1"/>
    <w:link w:val="77"/>
    <w:qFormat/>
    <w:uiPriority w:val="0"/>
    <w:pPr>
      <w:ind w:left="100" w:leftChars="2500"/>
    </w:pPr>
  </w:style>
  <w:style w:type="paragraph" w:styleId="30">
    <w:name w:val="Body Text Indent 2"/>
    <w:basedOn w:val="1"/>
    <w:link w:val="78"/>
    <w:qFormat/>
    <w:uiPriority w:val="0"/>
    <w:pPr>
      <w:spacing w:line="400" w:lineRule="exact"/>
      <w:ind w:firstLine="630" w:firstLineChars="200"/>
      <w:jc w:val="left"/>
    </w:pPr>
    <w:rPr>
      <w:sz w:val="32"/>
      <w:szCs w:val="20"/>
    </w:rPr>
  </w:style>
  <w:style w:type="paragraph" w:styleId="31">
    <w:name w:val="Balloon Text"/>
    <w:basedOn w:val="1"/>
    <w:link w:val="79"/>
    <w:qFormat/>
    <w:uiPriority w:val="0"/>
    <w:rPr>
      <w:sz w:val="18"/>
      <w:szCs w:val="18"/>
    </w:rPr>
  </w:style>
  <w:style w:type="paragraph" w:styleId="32">
    <w:name w:val="footer"/>
    <w:basedOn w:val="1"/>
    <w:link w:val="80"/>
    <w:qFormat/>
    <w:uiPriority w:val="99"/>
    <w:pPr>
      <w:tabs>
        <w:tab w:val="center" w:pos="4153"/>
        <w:tab w:val="right" w:pos="8306"/>
      </w:tabs>
      <w:snapToGrid w:val="0"/>
      <w:jc w:val="left"/>
    </w:pPr>
    <w:rPr>
      <w:sz w:val="18"/>
      <w:szCs w:val="18"/>
    </w:rPr>
  </w:style>
  <w:style w:type="paragraph" w:styleId="33">
    <w:name w:val="header"/>
    <w:basedOn w:val="1"/>
    <w:link w:val="81"/>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tabs>
        <w:tab w:val="right" w:leader="dot" w:pos="8398"/>
      </w:tabs>
      <w:spacing w:before="120" w:after="120" w:line="400" w:lineRule="exact"/>
      <w:ind w:firstLine="240" w:firstLineChars="100"/>
      <w:jc w:val="left"/>
    </w:pPr>
    <w:rPr>
      <w:rFonts w:ascii="宋体" w:hAnsi="宋体"/>
      <w:b/>
      <w:bCs/>
      <w:caps/>
      <w:sz w:val="24"/>
    </w:rPr>
  </w:style>
  <w:style w:type="paragraph" w:styleId="35">
    <w:name w:val="toc 4"/>
    <w:basedOn w:val="1"/>
    <w:next w:val="1"/>
    <w:qFormat/>
    <w:uiPriority w:val="0"/>
    <w:pPr>
      <w:tabs>
        <w:tab w:val="right" w:leader="dot" w:pos="9185"/>
      </w:tabs>
      <w:adjustRightInd w:val="0"/>
      <w:spacing w:line="312" w:lineRule="atLeast"/>
      <w:ind w:left="1260" w:firstLine="1044" w:firstLineChars="200"/>
      <w:jc w:val="left"/>
      <w:textAlignment w:val="baseline"/>
    </w:pPr>
    <w:rPr>
      <w:kern w:val="0"/>
      <w:szCs w:val="20"/>
    </w:rPr>
  </w:style>
  <w:style w:type="paragraph" w:styleId="36">
    <w:name w:val="List"/>
    <w:basedOn w:val="1"/>
    <w:qFormat/>
    <w:uiPriority w:val="0"/>
    <w:pPr>
      <w:spacing w:line="400" w:lineRule="exact"/>
      <w:ind w:left="200" w:hanging="200" w:hangingChars="200"/>
      <w:jc w:val="left"/>
    </w:pPr>
    <w:rPr>
      <w:sz w:val="28"/>
    </w:rPr>
  </w:style>
  <w:style w:type="paragraph" w:styleId="37">
    <w:name w:val="toc 6"/>
    <w:basedOn w:val="1"/>
    <w:next w:val="1"/>
    <w:qFormat/>
    <w:uiPriority w:val="0"/>
    <w:pPr>
      <w:tabs>
        <w:tab w:val="right" w:leader="dot" w:pos="9185"/>
      </w:tabs>
      <w:adjustRightInd w:val="0"/>
      <w:spacing w:line="312" w:lineRule="atLeast"/>
      <w:ind w:left="2100" w:firstLine="1044" w:firstLineChars="200"/>
      <w:jc w:val="left"/>
      <w:textAlignment w:val="baseline"/>
    </w:pPr>
    <w:rPr>
      <w:kern w:val="0"/>
      <w:szCs w:val="20"/>
    </w:rPr>
  </w:style>
  <w:style w:type="paragraph" w:styleId="38">
    <w:name w:val="List 5"/>
    <w:basedOn w:val="1"/>
    <w:qFormat/>
    <w:uiPriority w:val="0"/>
    <w:pPr>
      <w:spacing w:line="400" w:lineRule="exact"/>
      <w:ind w:left="2100" w:hanging="420" w:firstLineChars="200"/>
      <w:jc w:val="left"/>
    </w:pPr>
    <w:rPr>
      <w:szCs w:val="20"/>
    </w:rPr>
  </w:style>
  <w:style w:type="paragraph" w:styleId="39">
    <w:name w:val="Body Text Indent 3"/>
    <w:basedOn w:val="1"/>
    <w:link w:val="82"/>
    <w:qFormat/>
    <w:uiPriority w:val="0"/>
    <w:pPr>
      <w:spacing w:after="120" w:line="400" w:lineRule="exact"/>
      <w:ind w:left="420" w:leftChars="200" w:firstLine="1044" w:firstLineChars="200"/>
      <w:jc w:val="left"/>
    </w:pPr>
    <w:rPr>
      <w:sz w:val="16"/>
      <w:szCs w:val="16"/>
    </w:rPr>
  </w:style>
  <w:style w:type="paragraph" w:styleId="40">
    <w:name w:val="table of figures"/>
    <w:basedOn w:val="1"/>
    <w:next w:val="1"/>
    <w:qFormat/>
    <w:uiPriority w:val="0"/>
    <w:pPr>
      <w:spacing w:line="400" w:lineRule="exact"/>
      <w:ind w:left="200" w:leftChars="200" w:hanging="200" w:hangingChars="200"/>
      <w:jc w:val="left"/>
    </w:pPr>
  </w:style>
  <w:style w:type="paragraph" w:styleId="41">
    <w:name w:val="toc 2"/>
    <w:basedOn w:val="1"/>
    <w:next w:val="1"/>
    <w:qFormat/>
    <w:uiPriority w:val="39"/>
    <w:pPr>
      <w:spacing w:line="400" w:lineRule="exact"/>
      <w:ind w:left="420" w:leftChars="200" w:firstLine="1044" w:firstLineChars="200"/>
      <w:jc w:val="left"/>
    </w:pPr>
  </w:style>
  <w:style w:type="paragraph" w:styleId="42">
    <w:name w:val="toc 9"/>
    <w:basedOn w:val="1"/>
    <w:next w:val="1"/>
    <w:qFormat/>
    <w:uiPriority w:val="0"/>
    <w:pPr>
      <w:tabs>
        <w:tab w:val="right" w:leader="dot" w:pos="9185"/>
      </w:tabs>
      <w:adjustRightInd w:val="0"/>
      <w:spacing w:line="312" w:lineRule="atLeast"/>
      <w:ind w:left="3360" w:firstLine="1044" w:firstLineChars="200"/>
      <w:jc w:val="left"/>
      <w:textAlignment w:val="baseline"/>
    </w:pPr>
    <w:rPr>
      <w:kern w:val="0"/>
      <w:szCs w:val="20"/>
    </w:rPr>
  </w:style>
  <w:style w:type="paragraph" w:styleId="43">
    <w:name w:val="Body Text 2"/>
    <w:basedOn w:val="1"/>
    <w:link w:val="83"/>
    <w:qFormat/>
    <w:uiPriority w:val="0"/>
    <w:pPr>
      <w:spacing w:after="120" w:line="480" w:lineRule="auto"/>
      <w:ind w:firstLine="1044" w:firstLineChars="200"/>
      <w:jc w:val="left"/>
    </w:pPr>
  </w:style>
  <w:style w:type="paragraph" w:styleId="44">
    <w:name w:val="HTML Preformatted"/>
    <w:basedOn w:val="1"/>
    <w:link w:val="8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6">
    <w:name w:val="index 1"/>
    <w:basedOn w:val="1"/>
    <w:next w:val="1"/>
    <w:qFormat/>
    <w:uiPriority w:val="0"/>
    <w:pPr>
      <w:spacing w:line="400" w:lineRule="exact"/>
      <w:ind w:firstLine="420" w:firstLineChars="200"/>
      <w:jc w:val="left"/>
    </w:pPr>
    <w:rPr>
      <w:rFonts w:ascii="宋体" w:hAnsi="Courier New"/>
      <w:b/>
      <w:szCs w:val="20"/>
    </w:rPr>
  </w:style>
  <w:style w:type="paragraph" w:styleId="47">
    <w:name w:val="Title"/>
    <w:basedOn w:val="1"/>
    <w:next w:val="1"/>
    <w:link w:val="85"/>
    <w:qFormat/>
    <w:uiPriority w:val="0"/>
    <w:pPr>
      <w:spacing w:before="240" w:after="60" w:line="400" w:lineRule="exact"/>
      <w:ind w:firstLine="1044" w:firstLineChars="200"/>
      <w:jc w:val="center"/>
      <w:outlineLvl w:val="0"/>
    </w:pPr>
    <w:rPr>
      <w:rFonts w:ascii="Cambria" w:hAnsi="Cambria"/>
      <w:b/>
      <w:bCs/>
      <w:sz w:val="32"/>
      <w:szCs w:val="32"/>
    </w:rPr>
  </w:style>
  <w:style w:type="paragraph" w:styleId="48">
    <w:name w:val="annotation subject"/>
    <w:basedOn w:val="17"/>
    <w:next w:val="17"/>
    <w:link w:val="86"/>
    <w:qFormat/>
    <w:uiPriority w:val="0"/>
    <w:rPr>
      <w:b/>
      <w:bCs/>
      <w:kern w:val="0"/>
      <w:sz w:val="20"/>
      <w:szCs w:val="20"/>
    </w:rPr>
  </w:style>
  <w:style w:type="paragraph" w:styleId="49">
    <w:name w:val="Body Text First Indent"/>
    <w:basedOn w:val="19"/>
    <w:link w:val="87"/>
    <w:qFormat/>
    <w:uiPriority w:val="99"/>
    <w:pPr>
      <w:spacing w:beforeLines="50" w:afterLines="50" w:line="360" w:lineRule="auto"/>
      <w:ind w:firstLine="420" w:firstLineChars="100"/>
    </w:pPr>
  </w:style>
  <w:style w:type="paragraph" w:styleId="50">
    <w:name w:val="Body Text First Indent 2"/>
    <w:basedOn w:val="20"/>
    <w:link w:val="88"/>
    <w:unhideWhenUsed/>
    <w:qFormat/>
    <w:uiPriority w:val="99"/>
    <w:pPr>
      <w:ind w:firstLine="420" w:firstLineChars="200"/>
    </w:p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0"/>
    <w:rPr>
      <w:b/>
      <w:bCs/>
    </w:rPr>
  </w:style>
  <w:style w:type="character" w:styleId="55">
    <w:name w:val="page number"/>
    <w:qFormat/>
    <w:uiPriority w:val="0"/>
  </w:style>
  <w:style w:type="character" w:styleId="56">
    <w:name w:val="FollowedHyperlink"/>
    <w:qFormat/>
    <w:uiPriority w:val="99"/>
    <w:rPr>
      <w:rFonts w:ascii="Times New Roman" w:hAnsi="Times New Roman" w:eastAsia="宋体" w:cs="Times New Roman"/>
      <w:color w:val="800080"/>
      <w:u w:val="single"/>
    </w:rPr>
  </w:style>
  <w:style w:type="character" w:styleId="57">
    <w:name w:val="Emphasis"/>
    <w:qFormat/>
    <w:uiPriority w:val="0"/>
    <w:rPr>
      <w:rFonts w:ascii="Times New Roman" w:hAnsi="Times New Roman" w:eastAsia="宋体" w:cs="Times New Roman"/>
      <w:color w:val="CC0000"/>
    </w:rPr>
  </w:style>
  <w:style w:type="character" w:styleId="58">
    <w:name w:val="HTML Typewriter"/>
    <w:qFormat/>
    <w:uiPriority w:val="0"/>
    <w:rPr>
      <w:rFonts w:hint="eastAsia" w:ascii="宋体" w:hAnsi="宋体" w:eastAsia="宋体" w:cs="宋体"/>
      <w:sz w:val="24"/>
      <w:szCs w:val="24"/>
    </w:rPr>
  </w:style>
  <w:style w:type="character" w:styleId="59">
    <w:name w:val="Hyperlink"/>
    <w:qFormat/>
    <w:uiPriority w:val="0"/>
    <w:rPr>
      <w:color w:val="0000FF"/>
      <w:u w:val="single"/>
    </w:rPr>
  </w:style>
  <w:style w:type="character" w:styleId="60">
    <w:name w:val="annotation reference"/>
    <w:qFormat/>
    <w:uiPriority w:val="99"/>
    <w:rPr>
      <w:sz w:val="21"/>
      <w:szCs w:val="21"/>
    </w:rPr>
  </w:style>
  <w:style w:type="character" w:customStyle="1" w:styleId="61">
    <w:name w:val="标题 1 字符"/>
    <w:link w:val="2"/>
    <w:qFormat/>
    <w:uiPriority w:val="0"/>
    <w:rPr>
      <w:b/>
      <w:bCs/>
      <w:kern w:val="44"/>
      <w:sz w:val="44"/>
      <w:szCs w:val="44"/>
    </w:rPr>
  </w:style>
  <w:style w:type="character" w:customStyle="1" w:styleId="62">
    <w:name w:val="标题 2 字符"/>
    <w:link w:val="3"/>
    <w:qFormat/>
    <w:uiPriority w:val="0"/>
    <w:rPr>
      <w:rFonts w:ascii="Cambria" w:hAnsi="Cambria" w:eastAsia="宋体" w:cs="Times New Roman"/>
      <w:b/>
      <w:bCs/>
      <w:kern w:val="2"/>
      <w:sz w:val="32"/>
      <w:szCs w:val="32"/>
    </w:rPr>
  </w:style>
  <w:style w:type="character" w:customStyle="1" w:styleId="63">
    <w:name w:val="标题 3 字符"/>
    <w:link w:val="4"/>
    <w:qFormat/>
    <w:uiPriority w:val="0"/>
    <w:rPr>
      <w:b/>
      <w:bCs/>
      <w:kern w:val="2"/>
      <w:sz w:val="32"/>
      <w:szCs w:val="32"/>
    </w:rPr>
  </w:style>
  <w:style w:type="character" w:customStyle="1" w:styleId="64">
    <w:name w:val="标题 4 字符"/>
    <w:link w:val="5"/>
    <w:qFormat/>
    <w:uiPriority w:val="0"/>
    <w:rPr>
      <w:rFonts w:ascii="Arial" w:hAnsi="Arial" w:eastAsia="黑体"/>
      <w:sz w:val="28"/>
    </w:rPr>
  </w:style>
  <w:style w:type="character" w:customStyle="1" w:styleId="65">
    <w:name w:val="标题 5 字符"/>
    <w:link w:val="6"/>
    <w:qFormat/>
    <w:uiPriority w:val="0"/>
    <w:rPr>
      <w:b/>
      <w:kern w:val="2"/>
      <w:sz w:val="28"/>
      <w:szCs w:val="24"/>
    </w:rPr>
  </w:style>
  <w:style w:type="character" w:customStyle="1" w:styleId="66">
    <w:name w:val="标题 6 字符"/>
    <w:link w:val="7"/>
    <w:qFormat/>
    <w:uiPriority w:val="0"/>
    <w:rPr>
      <w:rFonts w:ascii="Arial" w:hAnsi="Arial" w:eastAsia="黑体"/>
      <w:b/>
      <w:bCs/>
      <w:kern w:val="2"/>
      <w:sz w:val="24"/>
      <w:szCs w:val="24"/>
      <w:lang w:val="en-US" w:eastAsia="zh-CN" w:bidi="ar-SA"/>
    </w:rPr>
  </w:style>
  <w:style w:type="character" w:customStyle="1" w:styleId="67">
    <w:name w:val="标题 7 字符"/>
    <w:link w:val="8"/>
    <w:qFormat/>
    <w:uiPriority w:val="0"/>
    <w:rPr>
      <w:b/>
      <w:kern w:val="2"/>
      <w:sz w:val="24"/>
      <w:szCs w:val="24"/>
    </w:rPr>
  </w:style>
  <w:style w:type="character" w:customStyle="1" w:styleId="68">
    <w:name w:val="标题 8 字符"/>
    <w:link w:val="9"/>
    <w:qFormat/>
    <w:uiPriority w:val="0"/>
    <w:rPr>
      <w:rFonts w:ascii="Arial" w:hAnsi="Arial" w:eastAsia="黑体"/>
      <w:kern w:val="2"/>
      <w:sz w:val="24"/>
      <w:szCs w:val="24"/>
    </w:rPr>
  </w:style>
  <w:style w:type="character" w:customStyle="1" w:styleId="69">
    <w:name w:val="正文缩进 字符"/>
    <w:link w:val="10"/>
    <w:qFormat/>
    <w:locked/>
    <w:uiPriority w:val="0"/>
    <w:rPr>
      <w:rFonts w:eastAsia="宋体"/>
      <w:kern w:val="2"/>
      <w:sz w:val="21"/>
      <w:lang w:val="en-US" w:eastAsia="zh-CN" w:bidi="ar-SA"/>
    </w:rPr>
  </w:style>
  <w:style w:type="character" w:customStyle="1" w:styleId="70">
    <w:name w:val="标题 9 字符"/>
    <w:link w:val="11"/>
    <w:qFormat/>
    <w:uiPriority w:val="0"/>
    <w:rPr>
      <w:rFonts w:ascii="Arial" w:hAnsi="Arial" w:eastAsia="黑体"/>
      <w:kern w:val="2"/>
      <w:sz w:val="21"/>
      <w:szCs w:val="24"/>
    </w:rPr>
  </w:style>
  <w:style w:type="character" w:customStyle="1" w:styleId="71">
    <w:name w:val="文档结构图 字符"/>
    <w:link w:val="16"/>
    <w:qFormat/>
    <w:uiPriority w:val="0"/>
    <w:rPr>
      <w:sz w:val="21"/>
      <w:shd w:val="clear" w:color="auto" w:fill="000080"/>
    </w:rPr>
  </w:style>
  <w:style w:type="character" w:customStyle="1" w:styleId="72">
    <w:name w:val="批注文字 字符1"/>
    <w:link w:val="17"/>
    <w:qFormat/>
    <w:uiPriority w:val="99"/>
    <w:rPr>
      <w:rFonts w:eastAsia="宋体"/>
      <w:kern w:val="2"/>
      <w:sz w:val="21"/>
      <w:szCs w:val="24"/>
      <w:lang w:val="en-US" w:eastAsia="zh-CN" w:bidi="ar-SA"/>
    </w:rPr>
  </w:style>
  <w:style w:type="character" w:customStyle="1" w:styleId="73">
    <w:name w:val="正文文本 3 字符"/>
    <w:link w:val="18"/>
    <w:qFormat/>
    <w:uiPriority w:val="0"/>
    <w:rPr>
      <w:rFonts w:ascii="宋体" w:hAnsi="宋体"/>
      <w:color w:val="000000"/>
      <w:kern w:val="2"/>
      <w:sz w:val="21"/>
      <w:szCs w:val="21"/>
    </w:rPr>
  </w:style>
  <w:style w:type="character" w:customStyle="1" w:styleId="74">
    <w:name w:val="正文文本 字符"/>
    <w:link w:val="19"/>
    <w:qFormat/>
    <w:uiPriority w:val="99"/>
    <w:rPr>
      <w:kern w:val="2"/>
      <w:sz w:val="24"/>
      <w:szCs w:val="24"/>
    </w:rPr>
  </w:style>
  <w:style w:type="character" w:customStyle="1" w:styleId="75">
    <w:name w:val="正文文本缩进 字符"/>
    <w:link w:val="20"/>
    <w:qFormat/>
    <w:uiPriority w:val="0"/>
    <w:rPr>
      <w:rFonts w:ascii="仿宋_GB2312" w:eastAsia="仿宋_GB2312"/>
      <w:kern w:val="2"/>
      <w:sz w:val="32"/>
    </w:rPr>
  </w:style>
  <w:style w:type="character" w:customStyle="1" w:styleId="76">
    <w:name w:val="纯文本 字符"/>
    <w:link w:val="27"/>
    <w:qFormat/>
    <w:uiPriority w:val="99"/>
    <w:rPr>
      <w:rFonts w:ascii="宋体" w:hAnsi="Courier New" w:eastAsia="宋体"/>
      <w:kern w:val="2"/>
      <w:sz w:val="21"/>
      <w:lang w:val="en-US" w:eastAsia="zh-CN" w:bidi="ar-SA"/>
    </w:rPr>
  </w:style>
  <w:style w:type="character" w:customStyle="1" w:styleId="77">
    <w:name w:val="日期 字符"/>
    <w:link w:val="29"/>
    <w:qFormat/>
    <w:uiPriority w:val="0"/>
    <w:rPr>
      <w:kern w:val="2"/>
      <w:sz w:val="21"/>
      <w:szCs w:val="24"/>
    </w:rPr>
  </w:style>
  <w:style w:type="character" w:customStyle="1" w:styleId="78">
    <w:name w:val="正文文本缩进 2 字符"/>
    <w:link w:val="30"/>
    <w:qFormat/>
    <w:uiPriority w:val="0"/>
    <w:rPr>
      <w:kern w:val="2"/>
      <w:sz w:val="32"/>
    </w:rPr>
  </w:style>
  <w:style w:type="character" w:customStyle="1" w:styleId="79">
    <w:name w:val="批注框文本 字符"/>
    <w:link w:val="31"/>
    <w:qFormat/>
    <w:uiPriority w:val="0"/>
    <w:rPr>
      <w:kern w:val="2"/>
      <w:sz w:val="18"/>
      <w:szCs w:val="18"/>
    </w:rPr>
  </w:style>
  <w:style w:type="character" w:customStyle="1" w:styleId="80">
    <w:name w:val="页脚 字符"/>
    <w:link w:val="32"/>
    <w:qFormat/>
    <w:uiPriority w:val="99"/>
    <w:rPr>
      <w:kern w:val="2"/>
      <w:sz w:val="18"/>
      <w:szCs w:val="18"/>
    </w:rPr>
  </w:style>
  <w:style w:type="character" w:customStyle="1" w:styleId="81">
    <w:name w:val="页眉 字符"/>
    <w:link w:val="33"/>
    <w:qFormat/>
    <w:uiPriority w:val="0"/>
    <w:rPr>
      <w:kern w:val="2"/>
      <w:sz w:val="18"/>
      <w:szCs w:val="18"/>
    </w:rPr>
  </w:style>
  <w:style w:type="character" w:customStyle="1" w:styleId="82">
    <w:name w:val="正文文本缩进 3 字符"/>
    <w:link w:val="39"/>
    <w:qFormat/>
    <w:uiPriority w:val="0"/>
    <w:rPr>
      <w:kern w:val="2"/>
      <w:sz w:val="16"/>
      <w:szCs w:val="16"/>
    </w:rPr>
  </w:style>
  <w:style w:type="character" w:customStyle="1" w:styleId="83">
    <w:name w:val="正文文本 2 字符"/>
    <w:link w:val="43"/>
    <w:qFormat/>
    <w:uiPriority w:val="0"/>
    <w:rPr>
      <w:kern w:val="2"/>
      <w:sz w:val="21"/>
      <w:szCs w:val="24"/>
    </w:rPr>
  </w:style>
  <w:style w:type="character" w:customStyle="1" w:styleId="84">
    <w:name w:val="HTML 预设格式 字符"/>
    <w:link w:val="44"/>
    <w:qFormat/>
    <w:uiPriority w:val="0"/>
    <w:rPr>
      <w:rFonts w:ascii="黑体" w:hAnsi="Courier New" w:eastAsia="黑体"/>
    </w:rPr>
  </w:style>
  <w:style w:type="character" w:customStyle="1" w:styleId="85">
    <w:name w:val="标题 字符"/>
    <w:link w:val="47"/>
    <w:qFormat/>
    <w:uiPriority w:val="0"/>
    <w:rPr>
      <w:rFonts w:ascii="Cambria" w:hAnsi="Cambria"/>
      <w:b/>
      <w:bCs/>
      <w:kern w:val="2"/>
      <w:sz w:val="32"/>
      <w:szCs w:val="32"/>
    </w:rPr>
  </w:style>
  <w:style w:type="character" w:customStyle="1" w:styleId="86">
    <w:name w:val="批注主题 字符"/>
    <w:link w:val="48"/>
    <w:qFormat/>
    <w:uiPriority w:val="0"/>
    <w:rPr>
      <w:b/>
      <w:bCs/>
      <w:lang w:val="en-US" w:eastAsia="zh-CN" w:bidi="ar-SA"/>
    </w:rPr>
  </w:style>
  <w:style w:type="character" w:customStyle="1" w:styleId="87">
    <w:name w:val="正文首行缩进 字符"/>
    <w:link w:val="49"/>
    <w:qFormat/>
    <w:uiPriority w:val="99"/>
  </w:style>
  <w:style w:type="character" w:customStyle="1" w:styleId="88">
    <w:name w:val="正文首行缩进 2 字符"/>
    <w:link w:val="50"/>
    <w:qFormat/>
    <w:uiPriority w:val="99"/>
  </w:style>
  <w:style w:type="character" w:customStyle="1" w:styleId="89">
    <w:name w:val=" Char Char3"/>
    <w:qFormat/>
    <w:uiPriority w:val="0"/>
    <w:rPr>
      <w:rFonts w:ascii="宋体" w:hAnsi="Courier New" w:eastAsia="宋体"/>
      <w:kern w:val="2"/>
      <w:sz w:val="21"/>
      <w:lang w:val="en-US" w:eastAsia="zh-CN" w:bidi="ar-SA"/>
    </w:rPr>
  </w:style>
  <w:style w:type="character" w:customStyle="1" w:styleId="90">
    <w:name w:val="font112"/>
    <w:qFormat/>
    <w:uiPriority w:val="0"/>
    <w:rPr>
      <w:rFonts w:hint="eastAsia" w:ascii="宋体" w:hAnsi="宋体" w:eastAsia="宋体" w:cs="宋体"/>
      <w:color w:val="000000"/>
      <w:sz w:val="20"/>
      <w:szCs w:val="20"/>
      <w:u w:val="none"/>
    </w:rPr>
  </w:style>
  <w:style w:type="character" w:customStyle="1" w:styleId="91">
    <w:name w:val="批注文字 字符"/>
    <w:qFormat/>
    <w:uiPriority w:val="99"/>
    <w:rPr>
      <w:rFonts w:hint="eastAsia" w:ascii="宋体" w:hAnsi="宋体" w:eastAsia="宋体"/>
      <w:kern w:val="2"/>
      <w:sz w:val="21"/>
      <w:szCs w:val="24"/>
      <w:lang w:val="en-US" w:eastAsia="zh-CN" w:bidi="ar-SA"/>
    </w:rPr>
  </w:style>
  <w:style w:type="character" w:customStyle="1" w:styleId="92">
    <w:name w:val="Plain Text Char"/>
    <w:qFormat/>
    <w:uiPriority w:val="0"/>
    <w:rPr>
      <w:rFonts w:ascii="宋体" w:hAnsi="Courier New" w:eastAsia="宋体" w:cs="Times New Roman"/>
    </w:rPr>
  </w:style>
  <w:style w:type="character" w:customStyle="1" w:styleId="93">
    <w:name w:val="param-name"/>
    <w:qFormat/>
    <w:uiPriority w:val="0"/>
    <w:rPr>
      <w:rFonts w:ascii="Times New Roman" w:hAnsi="Times New Roman" w:eastAsia="宋体" w:cs="Times New Roman"/>
    </w:rPr>
  </w:style>
  <w:style w:type="character" w:customStyle="1" w:styleId="94">
    <w:name w:val="text11"/>
    <w:qFormat/>
    <w:uiPriority w:val="0"/>
    <w:rPr>
      <w:rFonts w:hint="default" w:ascii="Verdana" w:hAnsi="Verdana" w:eastAsia="宋体" w:cs="Times New Roman"/>
      <w:color w:val="4E4E4E"/>
      <w:sz w:val="18"/>
      <w:szCs w:val="18"/>
    </w:rPr>
  </w:style>
  <w:style w:type="character" w:customStyle="1" w:styleId="95">
    <w:name w:val="Char Char3"/>
    <w:qFormat/>
    <w:uiPriority w:val="0"/>
    <w:rPr>
      <w:rFonts w:hint="eastAsia" w:ascii="宋体" w:hAnsi="Courier New" w:eastAsia="宋体"/>
      <w:kern w:val="2"/>
      <w:sz w:val="21"/>
      <w:lang w:val="en-US" w:eastAsia="zh-CN" w:bidi="ar-SA"/>
    </w:rPr>
  </w:style>
  <w:style w:type="character" w:customStyle="1" w:styleId="96">
    <w:name w:val="font31"/>
    <w:qFormat/>
    <w:uiPriority w:val="0"/>
    <w:rPr>
      <w:rFonts w:ascii="AvantGarde Bk BT" w:hAnsi="AvantGarde Bk BT" w:eastAsia="AvantGarde Bk BT" w:cs="AvantGarde Bk BT"/>
      <w:color w:val="FF0000"/>
      <w:sz w:val="24"/>
      <w:szCs w:val="24"/>
      <w:u w:val="none"/>
    </w:rPr>
  </w:style>
  <w:style w:type="character" w:customStyle="1" w:styleId="97">
    <w:name w:val="font241"/>
    <w:qFormat/>
    <w:uiPriority w:val="0"/>
    <w:rPr>
      <w:rFonts w:hint="default" w:ascii="Times New Roman" w:hAnsi="Times New Roman" w:eastAsia="宋体" w:cs="Times New Roman"/>
      <w:color w:val="000000"/>
      <w:sz w:val="22"/>
      <w:szCs w:val="22"/>
      <w:u w:val="none"/>
    </w:rPr>
  </w:style>
  <w:style w:type="character" w:customStyle="1" w:styleId="98">
    <w:name w:val="列出段落 字符1"/>
    <w:link w:val="99"/>
    <w:qFormat/>
    <w:locked/>
    <w:uiPriority w:val="34"/>
    <w:rPr>
      <w:rFonts w:ascii="Calibri" w:hAnsi="Calibri" w:cs="宋体"/>
      <w:kern w:val="2"/>
      <w:sz w:val="21"/>
      <w:szCs w:val="22"/>
    </w:rPr>
  </w:style>
  <w:style w:type="paragraph" w:styleId="99">
    <w:name w:val="List Paragraph"/>
    <w:basedOn w:val="1"/>
    <w:link w:val="98"/>
    <w:qFormat/>
    <w:uiPriority w:val="34"/>
    <w:pPr>
      <w:ind w:firstLine="420" w:firstLineChars="200"/>
    </w:pPr>
    <w:rPr>
      <w:rFonts w:ascii="Calibri" w:hAnsi="Calibri"/>
      <w:szCs w:val="22"/>
    </w:rPr>
  </w:style>
  <w:style w:type="character" w:customStyle="1" w:styleId="100">
    <w:name w:val="graytext1"/>
    <w:qFormat/>
    <w:uiPriority w:val="0"/>
    <w:rPr>
      <w:rFonts w:ascii="Calibri" w:hAnsi="Calibri" w:eastAsia="宋体" w:cs="Times New Roman"/>
      <w:color w:val="666666"/>
    </w:rPr>
  </w:style>
  <w:style w:type="character" w:customStyle="1" w:styleId="101">
    <w:name w:val="llyf92"/>
    <w:qFormat/>
    <w:uiPriority w:val="0"/>
    <w:rPr>
      <w:rFonts w:ascii="Calibri" w:hAnsi="Calibri" w:eastAsia="宋体" w:cs="Times New Roman"/>
      <w:sz w:val="18"/>
      <w:szCs w:val="18"/>
    </w:rPr>
  </w:style>
  <w:style w:type="character" w:customStyle="1" w:styleId="102">
    <w:name w:val="white"/>
    <w:qFormat/>
    <w:uiPriority w:val="0"/>
    <w:rPr>
      <w:rFonts w:ascii="Calibri" w:hAnsi="Calibri" w:eastAsia="宋体" w:cs="Times New Roman"/>
    </w:rPr>
  </w:style>
  <w:style w:type="character" w:customStyle="1" w:styleId="103">
    <w:name w:val="样式1 Char"/>
    <w:link w:val="104"/>
    <w:qFormat/>
    <w:locked/>
    <w:uiPriority w:val="0"/>
    <w:rPr>
      <w:rFonts w:ascii="Cambria" w:hAnsi="Cambria"/>
      <w:b/>
      <w:bCs/>
      <w:i/>
      <w:iCs/>
      <w:sz w:val="21"/>
      <w:szCs w:val="28"/>
    </w:rPr>
  </w:style>
  <w:style w:type="paragraph" w:customStyle="1" w:styleId="104">
    <w:name w:val="样式1"/>
    <w:basedOn w:val="3"/>
    <w:next w:val="1"/>
    <w:link w:val="103"/>
    <w:qFormat/>
    <w:uiPriority w:val="0"/>
    <w:pPr>
      <w:keepLines w:val="0"/>
      <w:widowControl/>
      <w:numPr>
        <w:ilvl w:val="1"/>
        <w:numId w:val="2"/>
      </w:numPr>
      <w:spacing w:before="100" w:beforeAutospacing="1" w:after="100" w:afterAutospacing="1" w:line="240" w:lineRule="auto"/>
      <w:ind w:left="1152" w:right="100" w:rightChars="100"/>
      <w:jc w:val="left"/>
    </w:pPr>
    <w:rPr>
      <w:i/>
      <w:iCs/>
      <w:kern w:val="0"/>
      <w:sz w:val="21"/>
      <w:szCs w:val="28"/>
    </w:rPr>
  </w:style>
  <w:style w:type="character" w:customStyle="1" w:styleId="105">
    <w:name w:val="font231"/>
    <w:qFormat/>
    <w:uiPriority w:val="0"/>
    <w:rPr>
      <w:rFonts w:hint="default" w:ascii="Times New Roman" w:hAnsi="Times New Roman" w:eastAsia="宋体" w:cs="Times New Roman"/>
      <w:b/>
      <w:bCs/>
      <w:color w:val="000000"/>
      <w:sz w:val="22"/>
      <w:szCs w:val="22"/>
      <w:u w:val="none"/>
    </w:rPr>
  </w:style>
  <w:style w:type="character" w:customStyle="1" w:styleId="106">
    <w:name w:val="small"/>
    <w:qFormat/>
    <w:uiPriority w:val="0"/>
    <w:rPr>
      <w:rFonts w:ascii="Calibri" w:hAnsi="Calibri" w:eastAsia="宋体" w:cs="Times New Roman"/>
    </w:rPr>
  </w:style>
  <w:style w:type="character" w:customStyle="1" w:styleId="107">
    <w:name w:val="font191"/>
    <w:qFormat/>
    <w:uiPriority w:val="0"/>
    <w:rPr>
      <w:rFonts w:hint="default" w:ascii="Times New Roman" w:hAnsi="Times New Roman" w:eastAsia="宋体" w:cs="Times New Roman"/>
      <w:color w:val="000000"/>
      <w:sz w:val="22"/>
      <w:szCs w:val="22"/>
      <w:u w:val="none"/>
    </w:rPr>
  </w:style>
  <w:style w:type="character" w:customStyle="1" w:styleId="108">
    <w:name w:val="1ji Char"/>
    <w:qFormat/>
    <w:uiPriority w:val="0"/>
    <w:rPr>
      <w:rFonts w:ascii="宋体" w:hAnsi="宋体" w:eastAsia="宋体" w:cs="Times New Roman"/>
      <w:b/>
      <w:bCs/>
      <w:kern w:val="44"/>
      <w:sz w:val="36"/>
      <w:szCs w:val="44"/>
    </w:rPr>
  </w:style>
  <w:style w:type="character" w:customStyle="1" w:styleId="109">
    <w:name w:val="普通文字 Char Char1"/>
    <w:qFormat/>
    <w:uiPriority w:val="0"/>
    <w:rPr>
      <w:rFonts w:ascii="宋体" w:hAnsi="Courier New" w:eastAsia="宋体" w:cs="Courier New"/>
      <w:kern w:val="2"/>
      <w:sz w:val="21"/>
      <w:szCs w:val="21"/>
      <w:lang w:val="en-US" w:eastAsia="zh-CN" w:bidi="ar-SA"/>
    </w:rPr>
  </w:style>
  <w:style w:type="character" w:customStyle="1" w:styleId="110">
    <w:name w:val="font121"/>
    <w:qFormat/>
    <w:uiPriority w:val="0"/>
    <w:rPr>
      <w:rFonts w:hint="default" w:ascii="Times New Roman" w:hAnsi="Times New Roman" w:eastAsia="宋体" w:cs="Times New Roman"/>
      <w:color w:val="000000"/>
      <w:sz w:val="22"/>
      <w:szCs w:val="22"/>
      <w:u w:val="none"/>
    </w:rPr>
  </w:style>
  <w:style w:type="character" w:customStyle="1" w:styleId="111">
    <w:name w:val="font01"/>
    <w:qFormat/>
    <w:uiPriority w:val="0"/>
    <w:rPr>
      <w:rFonts w:hint="eastAsia" w:ascii="宋体" w:hAnsi="宋体" w:eastAsia="宋体" w:cs="宋体"/>
      <w:color w:val="000000"/>
      <w:sz w:val="28"/>
      <w:szCs w:val="28"/>
      <w:u w:val="none"/>
    </w:rPr>
  </w:style>
  <w:style w:type="character" w:customStyle="1" w:styleId="112">
    <w:name w:val="普通文字 Char Char5"/>
    <w:qFormat/>
    <w:uiPriority w:val="0"/>
    <w:rPr>
      <w:rFonts w:ascii="宋体" w:hAnsi="Courier New" w:eastAsia="宋体"/>
      <w:szCs w:val="21"/>
      <w:lang w:bidi="ar-SA"/>
    </w:rPr>
  </w:style>
  <w:style w:type="character" w:customStyle="1" w:styleId="113">
    <w:name w:val="font301"/>
    <w:qFormat/>
    <w:uiPriority w:val="0"/>
    <w:rPr>
      <w:rFonts w:hint="default" w:ascii="Times New Roman" w:hAnsi="Times New Roman" w:eastAsia="宋体" w:cs="Times New Roman"/>
      <w:color w:val="000000"/>
      <w:sz w:val="22"/>
      <w:szCs w:val="22"/>
      <w:u w:val="none"/>
      <w:vertAlign w:val="superscript"/>
    </w:rPr>
  </w:style>
  <w:style w:type="character" w:customStyle="1" w:styleId="114">
    <w:name w:val="标题 2 + 宋体 四号 非加粗 Char Char Char Char"/>
    <w:qFormat/>
    <w:uiPriority w:val="0"/>
    <w:rPr>
      <w:rFonts w:hint="eastAsia" w:ascii="宋体" w:hAnsi="宋体" w:eastAsia="宋体"/>
      <w:b/>
      <w:color w:val="000000"/>
      <w:kern w:val="2"/>
      <w:sz w:val="24"/>
      <w:szCs w:val="24"/>
      <w:lang w:val="en-US" w:eastAsia="zh-CN" w:bidi="ar-SA"/>
    </w:rPr>
  </w:style>
  <w:style w:type="character" w:customStyle="1" w:styleId="115">
    <w:name w:val="font21"/>
    <w:qFormat/>
    <w:uiPriority w:val="0"/>
    <w:rPr>
      <w:rFonts w:ascii="AvantGarde Bk BT" w:hAnsi="AvantGarde Bk BT" w:eastAsia="AvantGarde Bk BT" w:cs="AvantGarde Bk BT"/>
      <w:color w:val="FF0000"/>
      <w:sz w:val="24"/>
      <w:szCs w:val="24"/>
      <w:u w:val="none"/>
    </w:rPr>
  </w:style>
  <w:style w:type="character" w:customStyle="1" w:styleId="116">
    <w:name w:val="普通文字 Char Char3"/>
    <w:qFormat/>
    <w:uiPriority w:val="0"/>
    <w:rPr>
      <w:rFonts w:hint="eastAsia" w:ascii="宋体" w:hAnsi="Courier New" w:eastAsia="宋体"/>
      <w:kern w:val="2"/>
      <w:sz w:val="21"/>
    </w:rPr>
  </w:style>
  <w:style w:type="character" w:customStyle="1" w:styleId="117">
    <w:name w:val="批注文字 Char1"/>
    <w:semiHidden/>
    <w:qFormat/>
    <w:locked/>
    <w:uiPriority w:val="99"/>
    <w:rPr>
      <w:kern w:val="2"/>
      <w:sz w:val="21"/>
      <w:szCs w:val="24"/>
    </w:rPr>
  </w:style>
  <w:style w:type="character" w:customStyle="1" w:styleId="118">
    <w:name w:val="纯文本 Char2"/>
    <w:qFormat/>
    <w:uiPriority w:val="0"/>
    <w:rPr>
      <w:rFonts w:ascii="宋体" w:hAnsi="Courier New" w:eastAsia="宋体" w:cs="Courier New"/>
      <w:szCs w:val="21"/>
    </w:rPr>
  </w:style>
  <w:style w:type="character" w:customStyle="1" w:styleId="119">
    <w:name w:val="font312"/>
    <w:qFormat/>
    <w:uiPriority w:val="0"/>
    <w:rPr>
      <w:rFonts w:hint="default" w:ascii="Times New Roman" w:hAnsi="Times New Roman" w:eastAsia="宋体" w:cs="Times New Roman"/>
      <w:color w:val="000000"/>
      <w:sz w:val="22"/>
      <w:szCs w:val="22"/>
      <w:u w:val="none"/>
      <w:vertAlign w:val="superscript"/>
    </w:rPr>
  </w:style>
  <w:style w:type="character" w:customStyle="1" w:styleId="120">
    <w:name w:val="font101"/>
    <w:qFormat/>
    <w:uiPriority w:val="0"/>
    <w:rPr>
      <w:rFonts w:hint="eastAsia" w:ascii="宋体" w:hAnsi="宋体" w:eastAsia="宋体" w:cs="宋体"/>
      <w:color w:val="000000"/>
      <w:sz w:val="22"/>
      <w:szCs w:val="22"/>
      <w:u w:val="none"/>
    </w:rPr>
  </w:style>
  <w:style w:type="character" w:customStyle="1" w:styleId="121">
    <w:name w:val="doc-header-title"/>
    <w:qFormat/>
    <w:uiPriority w:val="0"/>
  </w:style>
  <w:style w:type="character" w:customStyle="1" w:styleId="122">
    <w:name w:val="textcontents"/>
    <w:qFormat/>
    <w:uiPriority w:val="0"/>
    <w:rPr>
      <w:rFonts w:ascii="Times New Roman" w:hAnsi="Times New Roman" w:eastAsia="宋体" w:cs="Times New Roman"/>
    </w:rPr>
  </w:style>
  <w:style w:type="character" w:customStyle="1" w:styleId="123">
    <w:name w:val="font61"/>
    <w:qFormat/>
    <w:uiPriority w:val="0"/>
    <w:rPr>
      <w:rFonts w:hint="eastAsia" w:ascii="宋体" w:hAnsi="宋体" w:eastAsia="宋体" w:cs="宋体"/>
      <w:color w:val="000000"/>
      <w:sz w:val="24"/>
      <w:szCs w:val="24"/>
      <w:u w:val="none"/>
    </w:rPr>
  </w:style>
  <w:style w:type="character" w:customStyle="1" w:styleId="124">
    <w:name w:val="font141"/>
    <w:qFormat/>
    <w:uiPriority w:val="0"/>
    <w:rPr>
      <w:rFonts w:hint="eastAsia" w:ascii="宋体" w:hAnsi="宋体" w:eastAsia="宋体" w:cs="宋体"/>
      <w:color w:val="000000"/>
      <w:sz w:val="22"/>
      <w:szCs w:val="22"/>
      <w:u w:val="none"/>
    </w:rPr>
  </w:style>
  <w:style w:type="character" w:customStyle="1" w:styleId="125">
    <w:name w:val="apple-converted-space"/>
    <w:qFormat/>
    <w:uiPriority w:val="0"/>
  </w:style>
  <w:style w:type="character" w:customStyle="1" w:styleId="126">
    <w:name w:val="NormalCharacter"/>
    <w:qFormat/>
    <w:uiPriority w:val="0"/>
    <w:rPr>
      <w:rFonts w:ascii="Times New Roman" w:hAnsi="Times New Roman" w:eastAsia="宋体" w:cs="Times New Roman"/>
    </w:rPr>
  </w:style>
  <w:style w:type="character" w:customStyle="1" w:styleId="127">
    <w:name w:val="bookmark-item"/>
    <w:qFormat/>
    <w:uiPriority w:val="0"/>
  </w:style>
  <w:style w:type="character" w:customStyle="1" w:styleId="128">
    <w:name w:val="纯文本 字符1"/>
    <w:qFormat/>
    <w:uiPriority w:val="0"/>
    <w:rPr>
      <w:rFonts w:ascii="宋体" w:hAnsi="Courier New" w:eastAsia="宋体" w:cs="Times New Roman"/>
    </w:rPr>
  </w:style>
  <w:style w:type="character" w:customStyle="1" w:styleId="129">
    <w:name w:val="case31"/>
    <w:qFormat/>
    <w:uiPriority w:val="0"/>
    <w:rPr>
      <w:rFonts w:hint="default" w:eastAsia="宋体" w:cs="Times New Roman"/>
      <w:sz w:val="21"/>
      <w:szCs w:val="21"/>
    </w:rPr>
  </w:style>
  <w:style w:type="character" w:customStyle="1" w:styleId="130">
    <w:name w:val="font11"/>
    <w:qFormat/>
    <w:uiPriority w:val="0"/>
    <w:rPr>
      <w:rFonts w:hint="eastAsia" w:ascii="宋体" w:hAnsi="宋体" w:eastAsia="宋体" w:cs="宋体"/>
      <w:color w:val="000000"/>
      <w:sz w:val="22"/>
      <w:szCs w:val="22"/>
      <w:u w:val="none"/>
    </w:rPr>
  </w:style>
  <w:style w:type="character" w:customStyle="1" w:styleId="131">
    <w:name w:val=" Char Char1"/>
    <w:qFormat/>
    <w:uiPriority w:val="0"/>
    <w:rPr>
      <w:rFonts w:eastAsia="宋体"/>
      <w:kern w:val="2"/>
      <w:sz w:val="21"/>
      <w:szCs w:val="24"/>
      <w:lang w:val="en-US" w:eastAsia="zh-CN" w:bidi="ar-SA"/>
    </w:rPr>
  </w:style>
  <w:style w:type="character" w:customStyle="1" w:styleId="132">
    <w:name w:val="style11"/>
    <w:qFormat/>
    <w:uiPriority w:val="0"/>
    <w:rPr>
      <w:rFonts w:hint="default" w:ascii="Arial" w:hAnsi="Arial" w:eastAsia="宋体" w:cs="Arial"/>
    </w:rPr>
  </w:style>
  <w:style w:type="character" w:customStyle="1" w:styleId="133">
    <w:name w:val="Char Char10"/>
    <w:qFormat/>
    <w:locked/>
    <w:uiPriority w:val="0"/>
    <w:rPr>
      <w:rFonts w:ascii="宋体" w:hAnsi="宋体" w:eastAsia="宋体"/>
      <w:kern w:val="2"/>
      <w:sz w:val="21"/>
      <w:szCs w:val="24"/>
      <w:lang w:val="en-US" w:eastAsia="zh-CN" w:bidi="ar-SA"/>
    </w:rPr>
  </w:style>
  <w:style w:type="character" w:customStyle="1" w:styleId="134">
    <w:name w:val="UserStyle_9"/>
    <w:link w:val="135"/>
    <w:qFormat/>
    <w:locked/>
    <w:uiPriority w:val="0"/>
    <w:rPr>
      <w:kern w:val="2"/>
      <w:sz w:val="21"/>
      <w:szCs w:val="24"/>
    </w:rPr>
  </w:style>
  <w:style w:type="paragraph" w:customStyle="1" w:styleId="135">
    <w:name w:val="AnnotationText"/>
    <w:basedOn w:val="1"/>
    <w:link w:val="134"/>
    <w:qFormat/>
    <w:uiPriority w:val="0"/>
    <w:pPr>
      <w:widowControl/>
      <w:jc w:val="left"/>
    </w:pPr>
  </w:style>
  <w:style w:type="character" w:customStyle="1" w:styleId="136">
    <w:name w:val="font41"/>
    <w:qFormat/>
    <w:uiPriority w:val="0"/>
    <w:rPr>
      <w:rFonts w:hint="eastAsia" w:ascii="宋体" w:hAnsi="宋体" w:eastAsia="宋体" w:cs="宋体"/>
      <w:color w:val="000000"/>
      <w:sz w:val="24"/>
      <w:szCs w:val="24"/>
      <w:u w:val="none"/>
    </w:rPr>
  </w:style>
  <w:style w:type="character" w:customStyle="1" w:styleId="137">
    <w:name w:val="1ji Char Char"/>
    <w:link w:val="138"/>
    <w:qFormat/>
    <w:uiPriority w:val="0"/>
    <w:rPr>
      <w:rFonts w:ascii="宋体" w:hAnsi="宋体"/>
      <w:b/>
      <w:bCs/>
      <w:kern w:val="44"/>
      <w:sz w:val="36"/>
      <w:szCs w:val="44"/>
    </w:rPr>
  </w:style>
  <w:style w:type="paragraph" w:customStyle="1" w:styleId="138">
    <w:name w:val="1ji"/>
    <w:basedOn w:val="2"/>
    <w:link w:val="137"/>
    <w:qFormat/>
    <w:uiPriority w:val="0"/>
    <w:pPr>
      <w:keepLines w:val="0"/>
      <w:widowControl/>
      <w:spacing w:before="0" w:after="0" w:line="240" w:lineRule="auto"/>
      <w:jc w:val="center"/>
    </w:pPr>
    <w:rPr>
      <w:rFonts w:ascii="宋体" w:hAnsi="宋体"/>
      <w:sz w:val="36"/>
    </w:rPr>
  </w:style>
  <w:style w:type="character" w:customStyle="1" w:styleId="139">
    <w:name w:val="纯文本 Char1"/>
    <w:qFormat/>
    <w:locked/>
    <w:uiPriority w:val="0"/>
    <w:rPr>
      <w:rFonts w:ascii="宋体" w:hAnsi="Courier New" w:cs="Courier New"/>
      <w:szCs w:val="21"/>
    </w:rPr>
  </w:style>
  <w:style w:type="character" w:customStyle="1" w:styleId="140">
    <w:name w:val="font71"/>
    <w:qFormat/>
    <w:uiPriority w:val="0"/>
    <w:rPr>
      <w:rFonts w:ascii="AvantGarde Bk BT" w:hAnsi="AvantGarde Bk BT" w:eastAsia="AvantGarde Bk BT" w:cs="AvantGarde Bk BT"/>
      <w:color w:val="000000"/>
      <w:sz w:val="28"/>
      <w:szCs w:val="28"/>
      <w:u w:val="none"/>
    </w:rPr>
  </w:style>
  <w:style w:type="character" w:customStyle="1" w:styleId="141">
    <w:name w:val="正文文本 Char1"/>
    <w:qFormat/>
    <w:uiPriority w:val="0"/>
    <w:rPr>
      <w:kern w:val="2"/>
      <w:sz w:val="21"/>
      <w:szCs w:val="24"/>
    </w:rPr>
  </w:style>
  <w:style w:type="character" w:customStyle="1" w:styleId="142">
    <w:name w:val="1051"/>
    <w:qFormat/>
    <w:uiPriority w:val="0"/>
    <w:rPr>
      <w:rFonts w:ascii="Calibri" w:hAnsi="Calibri" w:eastAsia="宋体" w:cs="Times New Roman"/>
      <w:sz w:val="21"/>
      <w:szCs w:val="21"/>
    </w:rPr>
  </w:style>
  <w:style w:type="character" w:customStyle="1" w:styleId="143">
    <w:name w:val="font91"/>
    <w:qFormat/>
    <w:uiPriority w:val="0"/>
    <w:rPr>
      <w:rFonts w:hint="default" w:ascii="AvantGarde Bk BT" w:hAnsi="AvantGarde Bk BT" w:eastAsia="AvantGarde Bk BT" w:cs="AvantGarde Bk BT"/>
      <w:color w:val="000000"/>
      <w:sz w:val="28"/>
      <w:szCs w:val="28"/>
      <w:u w:val="none"/>
    </w:rPr>
  </w:style>
  <w:style w:type="character" w:customStyle="1" w:styleId="144">
    <w:name w:val="style21"/>
    <w:qFormat/>
    <w:uiPriority w:val="0"/>
    <w:rPr>
      <w:rFonts w:ascii="Times New Roman" w:hAnsi="Times New Roman" w:eastAsia="宋体" w:cs="Times New Roman"/>
      <w:color w:val="595959"/>
    </w:rPr>
  </w:style>
  <w:style w:type="character" w:customStyle="1" w:styleId="145">
    <w:name w:val="style5"/>
    <w:qFormat/>
    <w:uiPriority w:val="0"/>
    <w:rPr>
      <w:rFonts w:ascii="Calibri" w:hAnsi="Calibri" w:eastAsia="宋体" w:cs="Times New Roman"/>
    </w:rPr>
  </w:style>
  <w:style w:type="character" w:customStyle="1" w:styleId="146">
    <w:name w:val="Char Char"/>
    <w:qFormat/>
    <w:locked/>
    <w:uiPriority w:val="0"/>
    <w:rPr>
      <w:rFonts w:ascii="宋体" w:hAnsi="宋体" w:eastAsia="宋体"/>
      <w:kern w:val="2"/>
      <w:sz w:val="21"/>
      <w:szCs w:val="24"/>
      <w:lang w:val="en-US" w:eastAsia="zh-CN" w:bidi="ar-SA"/>
    </w:rPr>
  </w:style>
  <w:style w:type="character" w:customStyle="1" w:styleId="147">
    <w:name w:val="062"/>
    <w:qFormat/>
    <w:uiPriority w:val="0"/>
    <w:rPr>
      <w:rFonts w:ascii="宋体" w:hAnsi="宋体" w:eastAsia="宋体" w:cs="Times New Roman"/>
      <w:b/>
      <w:bCs/>
      <w:sz w:val="32"/>
    </w:rPr>
  </w:style>
  <w:style w:type="character" w:customStyle="1" w:styleId="148">
    <w:name w:val="font51"/>
    <w:qFormat/>
    <w:uiPriority w:val="0"/>
    <w:rPr>
      <w:rFonts w:ascii="AvantGarde Bk BT" w:hAnsi="AvantGarde Bk BT" w:eastAsia="AvantGarde Bk BT" w:cs="AvantGarde Bk BT"/>
      <w:color w:val="000000"/>
      <w:sz w:val="24"/>
      <w:szCs w:val="24"/>
      <w:u w:val="none"/>
    </w:rPr>
  </w:style>
  <w:style w:type="character" w:customStyle="1" w:styleId="149">
    <w:name w:val="font81"/>
    <w:qFormat/>
    <w:uiPriority w:val="0"/>
    <w:rPr>
      <w:rFonts w:ascii="AvantGarde Bk BT" w:hAnsi="AvantGarde Bk BT" w:eastAsia="AvantGarde Bk BT" w:cs="AvantGarde Bk BT"/>
      <w:color w:val="000000"/>
      <w:sz w:val="24"/>
      <w:szCs w:val="24"/>
      <w:u w:val="none"/>
    </w:rPr>
  </w:style>
  <w:style w:type="character" w:customStyle="1" w:styleId="150">
    <w:name w:val="apple-style-span"/>
    <w:qFormat/>
    <w:uiPriority w:val="0"/>
    <w:rPr>
      <w:rFonts w:ascii="Times New Roman" w:hAnsi="Times New Roman" w:eastAsia="宋体" w:cs="Times New Roman"/>
    </w:rPr>
  </w:style>
  <w:style w:type="character" w:customStyle="1" w:styleId="151">
    <w:name w:val="font131"/>
    <w:qFormat/>
    <w:uiPriority w:val="0"/>
    <w:rPr>
      <w:rFonts w:ascii="Arial" w:hAnsi="Arial" w:eastAsia="宋体" w:cs="Arial"/>
      <w:color w:val="000000"/>
      <w:sz w:val="22"/>
      <w:szCs w:val="22"/>
      <w:u w:val="none"/>
    </w:rPr>
  </w:style>
  <w:style w:type="character" w:customStyle="1" w:styleId="152">
    <w:name w:val="普通文字 Char Char2"/>
    <w:qFormat/>
    <w:uiPriority w:val="99"/>
    <w:rPr>
      <w:rFonts w:ascii="宋体" w:hAnsi="Courier New" w:eastAsia="宋体" w:cs="Courier New"/>
      <w:szCs w:val="21"/>
    </w:rPr>
  </w:style>
  <w:style w:type="paragraph" w:customStyle="1" w:styleId="153">
    <w:name w:val="默认段落字体 Para Char Char Char Char Char Char Char"/>
    <w:basedOn w:val="1"/>
    <w:qFormat/>
    <w:uiPriority w:val="0"/>
    <w:pPr>
      <w:adjustRightInd w:val="0"/>
      <w:spacing w:line="360" w:lineRule="auto"/>
    </w:pPr>
    <w:rPr>
      <w:kern w:val="0"/>
      <w:sz w:val="24"/>
      <w:szCs w:val="20"/>
    </w:rPr>
  </w:style>
  <w:style w:type="paragraph" w:customStyle="1" w:styleId="154">
    <w:name w:val="列出段落2"/>
    <w:basedOn w:val="1"/>
    <w:qFormat/>
    <w:uiPriority w:val="0"/>
    <w:pPr>
      <w:autoSpaceDE w:val="0"/>
      <w:autoSpaceDN w:val="0"/>
      <w:ind w:firstLine="420" w:firstLineChars="200"/>
      <w:jc w:val="left"/>
    </w:pPr>
    <w:rPr>
      <w:rFonts w:ascii="Calibri" w:hAnsi="Calibri" w:cs="宋体"/>
      <w:kern w:val="0"/>
      <w:sz w:val="22"/>
      <w:szCs w:val="22"/>
      <w:lang w:val="zh-CN" w:bidi="zh-CN"/>
    </w:rPr>
  </w:style>
  <w:style w:type="paragraph" w:customStyle="1" w:styleId="155">
    <w:name w:val="Char"/>
    <w:basedOn w:val="1"/>
    <w:qFormat/>
    <w:uiPriority w:val="0"/>
  </w:style>
  <w:style w:type="paragraph" w:customStyle="1" w:styleId="156">
    <w:name w:val="reader-word-layer reader-word-s4-7"/>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57">
    <w:name w:val="Char Char Char Char Char Char Char"/>
    <w:basedOn w:val="1"/>
    <w:qFormat/>
    <w:uiPriority w:val="0"/>
    <w:rPr>
      <w:rFonts w:ascii="Calibri" w:hAnsi="Calibri"/>
    </w:rPr>
  </w:style>
  <w:style w:type="paragraph" w:customStyle="1" w:styleId="158">
    <w:name w:val="_Style 30"/>
    <w:basedOn w:val="1"/>
    <w:qFormat/>
    <w:uiPriority w:val="0"/>
    <w:rPr>
      <w:rFonts w:ascii="仿宋_GB2312" w:hAnsi="Calibri" w:eastAsia="仿宋_GB2312"/>
      <w:b/>
      <w:sz w:val="32"/>
      <w:szCs w:val="32"/>
    </w:rPr>
  </w:style>
  <w:style w:type="paragraph" w:customStyle="1" w:styleId="159">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160">
    <w:name w:val="表内文字"/>
    <w:basedOn w:val="1"/>
    <w:qFormat/>
    <w:uiPriority w:val="0"/>
    <w:pPr>
      <w:snapToGrid w:val="0"/>
      <w:spacing w:before="50" w:after="50" w:line="400" w:lineRule="exact"/>
      <w:ind w:firstLine="1044" w:firstLineChars="200"/>
      <w:jc w:val="center"/>
    </w:pPr>
    <w:rPr>
      <w:rFonts w:ascii="仿宋_GB2312" w:hAnsi="宋体" w:eastAsia="仿宋_GB2312"/>
      <w:b/>
      <w:color w:val="000000"/>
      <w:sz w:val="32"/>
      <w:szCs w:val="32"/>
    </w:rPr>
  </w:style>
  <w:style w:type="paragraph" w:customStyle="1" w:styleId="161">
    <w:name w:val="表格"/>
    <w:basedOn w:val="1"/>
    <w:qFormat/>
    <w:uiPriority w:val="0"/>
    <w:pPr>
      <w:spacing w:line="400" w:lineRule="exact"/>
      <w:ind w:firstLine="1044" w:firstLineChars="200"/>
      <w:jc w:val="left"/>
    </w:pPr>
    <w:rPr>
      <w:sz w:val="24"/>
    </w:rPr>
  </w:style>
  <w:style w:type="paragraph" w:customStyle="1" w:styleId="16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63">
    <w:name w:val="01 正文-首行缩进2字符"/>
    <w:basedOn w:val="1"/>
    <w:qFormat/>
    <w:uiPriority w:val="99"/>
    <w:pPr>
      <w:spacing w:beforeLines="50" w:line="400" w:lineRule="exact"/>
      <w:ind w:firstLine="964" w:firstLineChars="200"/>
      <w:jc w:val="left"/>
    </w:pPr>
    <w:rPr>
      <w:rFonts w:ascii="Arial" w:hAnsi="Arial"/>
      <w:color w:val="000000"/>
      <w:sz w:val="28"/>
    </w:rPr>
  </w:style>
  <w:style w:type="paragraph" w:customStyle="1" w:styleId="164">
    <w:name w:val="p16"/>
    <w:basedOn w:val="1"/>
    <w:qFormat/>
    <w:uiPriority w:val="0"/>
    <w:pPr>
      <w:widowControl/>
    </w:pPr>
    <w:rPr>
      <w:rFonts w:ascii="宋体" w:hAnsi="宋体" w:cs="宋体"/>
      <w:kern w:val="0"/>
      <w:szCs w:val="21"/>
    </w:rPr>
  </w:style>
  <w:style w:type="paragraph" w:customStyle="1" w:styleId="165">
    <w:name w:val="Char Char1"/>
    <w:basedOn w:val="1"/>
    <w:qFormat/>
    <w:uiPriority w:val="0"/>
    <w:pPr>
      <w:widowControl/>
      <w:spacing w:after="160" w:line="240" w:lineRule="exact"/>
      <w:ind w:firstLine="1044" w:firstLineChars="200"/>
      <w:jc w:val="left"/>
    </w:pPr>
    <w:rPr>
      <w:rFonts w:ascii="Verdana" w:hAnsi="Verdana" w:eastAsia="楷体_GB2312"/>
      <w:b/>
      <w:i/>
      <w:iCs/>
      <w:color w:val="000000"/>
      <w:kern w:val="0"/>
      <w:sz w:val="20"/>
      <w:szCs w:val="20"/>
      <w:lang w:eastAsia="en-US"/>
    </w:rPr>
  </w:style>
  <w:style w:type="paragraph" w:customStyle="1" w:styleId="166">
    <w:name w:val="样式 首行缩进:  2 字符"/>
    <w:basedOn w:val="1"/>
    <w:qFormat/>
    <w:uiPriority w:val="0"/>
    <w:pPr>
      <w:spacing w:line="400" w:lineRule="exact"/>
      <w:ind w:firstLine="200" w:firstLineChars="200"/>
      <w:jc w:val="left"/>
    </w:pPr>
    <w:rPr>
      <w:rFonts w:cs="宋体"/>
      <w:sz w:val="24"/>
    </w:rPr>
  </w:style>
  <w:style w:type="paragraph" w:customStyle="1" w:styleId="167">
    <w:name w:val="reader-word-layer reader-word-s3-14"/>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68">
    <w:name w:val="列出段落11"/>
    <w:basedOn w:val="1"/>
    <w:qFormat/>
    <w:uiPriority w:val="0"/>
    <w:pPr>
      <w:spacing w:line="400" w:lineRule="exact"/>
      <w:ind w:firstLine="420" w:firstLineChars="200"/>
      <w:jc w:val="left"/>
    </w:pPr>
    <w:rPr>
      <w:rFonts w:ascii="Calibri" w:hAnsi="Calibri"/>
      <w:szCs w:val="22"/>
    </w:rPr>
  </w:style>
  <w:style w:type="paragraph" w:customStyle="1" w:styleId="169">
    <w:name w:val="F2"/>
    <w:basedOn w:val="1"/>
    <w:qFormat/>
    <w:uiPriority w:val="0"/>
    <w:pPr>
      <w:autoSpaceDE w:val="0"/>
      <w:autoSpaceDN w:val="0"/>
      <w:adjustRightInd w:val="0"/>
      <w:spacing w:line="400" w:lineRule="exact"/>
      <w:ind w:firstLine="601" w:firstLineChars="200"/>
      <w:jc w:val="left"/>
      <w:textAlignment w:val="baseline"/>
    </w:pPr>
    <w:rPr>
      <w:kern w:val="0"/>
      <w:sz w:val="24"/>
      <w:szCs w:val="20"/>
    </w:rPr>
  </w:style>
  <w:style w:type="paragraph" w:customStyle="1" w:styleId="170">
    <w:name w:val="Char Char Char1"/>
    <w:basedOn w:val="1"/>
    <w:qFormat/>
    <w:uiPriority w:val="0"/>
    <w:pPr>
      <w:spacing w:line="400" w:lineRule="exact"/>
      <w:ind w:firstLine="1044" w:firstLineChars="200"/>
      <w:jc w:val="left"/>
    </w:pPr>
  </w:style>
  <w:style w:type="paragraph" w:customStyle="1" w:styleId="171">
    <w:name w:val="正文 A"/>
    <w:qFormat/>
    <w:uiPriority w:val="0"/>
    <w:pPr>
      <w:framePr w:wrap="around" w:vAnchor="margin" w:hAnchor="text" w:yAlign="top"/>
      <w:widowControl w:val="0"/>
      <w:jc w:val="both"/>
    </w:pPr>
    <w:rPr>
      <w:rFonts w:ascii="Times New Roman" w:hAnsi="Times New Roman" w:eastAsia="Arial Unicode MS" w:cs="Arial Unicode MS"/>
      <w:color w:val="000000"/>
      <w:kern w:val="2"/>
      <w:sz w:val="21"/>
      <w:szCs w:val="21"/>
      <w:u w:val="none" w:color="000000"/>
      <w:lang w:val="en-US" w:eastAsia="zh-CN" w:bidi="ar-SA"/>
    </w:rPr>
  </w:style>
  <w:style w:type="paragraph" w:styleId="172">
    <w:name w:val="No Spacing"/>
    <w:basedOn w:val="1"/>
    <w:qFormat/>
    <w:uiPriority w:val="0"/>
    <w:rPr>
      <w:rFonts w:ascii="Calibri" w:hAnsi="Calibri"/>
      <w:szCs w:val="21"/>
    </w:rPr>
  </w:style>
  <w:style w:type="paragraph" w:customStyle="1" w:styleId="173">
    <w:name w:val="Char2"/>
    <w:basedOn w:val="1"/>
    <w:qFormat/>
    <w:uiPriority w:val="0"/>
    <w:pPr>
      <w:widowControl/>
      <w:spacing w:after="160" w:line="240" w:lineRule="exact"/>
      <w:ind w:firstLine="1044" w:firstLineChars="200"/>
      <w:jc w:val="left"/>
    </w:pPr>
    <w:rPr>
      <w:rFonts w:ascii="Verdana" w:hAnsi="Verdana"/>
      <w:kern w:val="0"/>
      <w:szCs w:val="20"/>
      <w:lang w:eastAsia="en-US"/>
    </w:rPr>
  </w:style>
  <w:style w:type="paragraph" w:customStyle="1" w:styleId="174">
    <w:name w:val="BodyText"/>
    <w:basedOn w:val="1"/>
    <w:qFormat/>
    <w:uiPriority w:val="0"/>
    <w:pPr>
      <w:spacing w:line="380" w:lineRule="exact"/>
      <w:ind w:firstLine="1044" w:firstLineChars="200"/>
      <w:textAlignment w:val="baseline"/>
    </w:pPr>
    <w:rPr>
      <w:kern w:val="0"/>
      <w:sz w:val="24"/>
    </w:rPr>
  </w:style>
  <w:style w:type="paragraph" w:customStyle="1" w:styleId="175">
    <w:name w:val="reader-word-layer reader-word-s4-6"/>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6">
    <w:name w:val="reader-word-layer reader-word-s4-10"/>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7">
    <w:name w:val="默认段落字体 Para Char Char Char Char Char Char Char Char Char1 Char Char Char Char Char Char Char"/>
    <w:basedOn w:val="16"/>
    <w:qFormat/>
    <w:uiPriority w:val="0"/>
    <w:pPr>
      <w:adjustRightInd/>
      <w:spacing w:line="240" w:lineRule="auto"/>
      <w:ind w:firstLine="0" w:firstLineChars="0"/>
      <w:jc w:val="both"/>
      <w:textAlignment w:val="auto"/>
    </w:pPr>
    <w:rPr>
      <w:rFonts w:ascii="宋体" w:hAnsi="宋体" w:cs="Arial"/>
      <w:kern w:val="2"/>
      <w:szCs w:val="21"/>
    </w:rPr>
  </w:style>
  <w:style w:type="paragraph" w:customStyle="1" w:styleId="178">
    <w:name w:val="444"/>
    <w:basedOn w:val="1"/>
    <w:qFormat/>
    <w:uiPriority w:val="0"/>
    <w:pPr>
      <w:adjustRightInd w:val="0"/>
      <w:spacing w:line="312" w:lineRule="atLeast"/>
      <w:ind w:firstLine="1044" w:firstLineChars="200"/>
      <w:jc w:val="center"/>
      <w:textAlignment w:val="baseline"/>
    </w:pPr>
    <w:rPr>
      <w:b/>
      <w:kern w:val="0"/>
      <w:sz w:val="36"/>
      <w:szCs w:val="36"/>
    </w:rPr>
  </w:style>
  <w:style w:type="paragraph" w:customStyle="1" w:styleId="179">
    <w:name w:val=" Char Char8"/>
    <w:basedOn w:val="1"/>
    <w:qFormat/>
    <w:uiPriority w:val="0"/>
    <w:rPr>
      <w:rFonts w:ascii="Tahoma" w:hAnsi="Tahoma" w:eastAsia="Times New Roman"/>
      <w:kern w:val="0"/>
      <w:sz w:val="24"/>
      <w:szCs w:val="20"/>
    </w:rPr>
  </w:style>
  <w:style w:type="paragraph" w:customStyle="1" w:styleId="180">
    <w:name w:val="_Style 36"/>
    <w:basedOn w:val="1"/>
    <w:qFormat/>
    <w:uiPriority w:val="0"/>
    <w:rPr>
      <w:rFonts w:ascii="Tahoma" w:hAnsi="Tahoma"/>
      <w:sz w:val="24"/>
      <w:szCs w:val="20"/>
    </w:rPr>
  </w:style>
  <w:style w:type="paragraph" w:customStyle="1" w:styleId="181">
    <w:name w:val="正文首行缩进两字符"/>
    <w:basedOn w:val="1"/>
    <w:qFormat/>
    <w:uiPriority w:val="0"/>
    <w:pPr>
      <w:spacing w:line="360" w:lineRule="auto"/>
      <w:ind w:firstLine="200" w:firstLineChars="200"/>
      <w:jc w:val="left"/>
    </w:pPr>
  </w:style>
  <w:style w:type="paragraph" w:customStyle="1" w:styleId="182">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83">
    <w:name w:val="标题 71"/>
    <w:next w:val="171"/>
    <w:qFormat/>
    <w:uiPriority w:val="0"/>
    <w:pPr>
      <w:keepNext/>
      <w:framePr w:wrap="around" w:vAnchor="margin" w:hAnchor="text" w:yAlign="top"/>
      <w:spacing w:before="80" w:after="60" w:line="440" w:lineRule="atLeast"/>
      <w:jc w:val="both"/>
      <w:outlineLvl w:val="6"/>
    </w:pPr>
    <w:rPr>
      <w:rFonts w:hint="eastAsia" w:ascii="Arial Unicode MS" w:hAnsi="Arial Unicode MS" w:eastAsia="Times New Roman" w:cs="Arial Unicode MS"/>
      <w:b/>
      <w:bCs/>
      <w:color w:val="000000"/>
      <w:kern w:val="28"/>
      <w:sz w:val="28"/>
      <w:szCs w:val="28"/>
      <w:u w:val="none" w:color="000000"/>
      <w:lang w:val="en-US" w:eastAsia="zh-CN" w:bidi="ar-SA"/>
    </w:rPr>
  </w:style>
  <w:style w:type="paragraph" w:customStyle="1" w:styleId="184">
    <w:name w:val="引用1"/>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185">
    <w:name w:val="Char Char Char"/>
    <w:basedOn w:val="1"/>
    <w:qFormat/>
    <w:uiPriority w:val="0"/>
    <w:pPr>
      <w:spacing w:line="400" w:lineRule="exact"/>
      <w:ind w:firstLine="1044" w:firstLineChars="200"/>
      <w:jc w:val="left"/>
    </w:pPr>
    <w:rPr>
      <w:rFonts w:ascii="Tahoma" w:hAnsi="Tahoma"/>
      <w:sz w:val="24"/>
      <w:szCs w:val="20"/>
    </w:rPr>
  </w:style>
  <w:style w:type="paragraph" w:customStyle="1" w:styleId="186">
    <w:name w:val="列出段落1"/>
    <w:basedOn w:val="1"/>
    <w:link w:val="187"/>
    <w:qFormat/>
    <w:uiPriority w:val="34"/>
    <w:pPr>
      <w:spacing w:line="400" w:lineRule="exact"/>
      <w:ind w:firstLine="420" w:firstLineChars="200"/>
      <w:jc w:val="left"/>
    </w:pPr>
    <w:rPr>
      <w:rFonts w:ascii="Calibri" w:hAnsi="Calibri"/>
      <w:szCs w:val="22"/>
    </w:rPr>
  </w:style>
  <w:style w:type="character" w:customStyle="1" w:styleId="187">
    <w:name w:val="列出段落 字符"/>
    <w:link w:val="186"/>
    <w:qFormat/>
    <w:locked/>
    <w:uiPriority w:val="34"/>
    <w:rPr>
      <w:rFonts w:ascii="Calibri" w:hAnsi="Calibri"/>
      <w:kern w:val="2"/>
      <w:sz w:val="21"/>
      <w:szCs w:val="22"/>
    </w:rPr>
  </w:style>
  <w:style w:type="paragraph" w:customStyle="1" w:styleId="188">
    <w:name w:val="Default"/>
    <w:basedOn w:val="47"/>
    <w:next w:val="2"/>
    <w:qFormat/>
    <w:uiPriority w:val="0"/>
    <w:pPr>
      <w:autoSpaceDE w:val="0"/>
      <w:autoSpaceDN w:val="0"/>
      <w:adjustRightInd w:val="0"/>
    </w:pPr>
    <w:rPr>
      <w:rFonts w:ascii="宋体" w:cs="宋体"/>
      <w:color w:val="000000"/>
      <w:sz w:val="24"/>
      <w:szCs w:val="24"/>
    </w:rPr>
  </w:style>
  <w:style w:type="paragraph" w:customStyle="1" w:styleId="189">
    <w:name w:val="默认段落字体 Para Char Char Char Char Char Char Char Char Char Char"/>
    <w:basedOn w:val="1"/>
    <w:qFormat/>
    <w:uiPriority w:val="0"/>
    <w:pPr>
      <w:widowControl/>
      <w:snapToGrid w:val="0"/>
      <w:spacing w:before="80" w:after="80"/>
      <w:ind w:left="1701"/>
    </w:pPr>
    <w:rPr>
      <w:rFonts w:ascii="Arial" w:hAnsi="Arial" w:cs="Arial"/>
    </w:rPr>
  </w:style>
  <w:style w:type="paragraph" w:customStyle="1" w:styleId="190">
    <w:name w:val="reader-word-layer reader-word-s3-13"/>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1">
    <w:name w:val="正文_0"/>
    <w:qFormat/>
    <w:uiPriority w:val="0"/>
    <w:rPr>
      <w:rFonts w:ascii="Times New Roman" w:hAnsi="Times New Roman" w:eastAsia="宋体" w:cs="Times New Roman"/>
      <w:sz w:val="21"/>
      <w:szCs w:val="22"/>
      <w:lang w:val="en-US" w:eastAsia="zh-CN" w:bidi="ar-SA"/>
    </w:rPr>
  </w:style>
  <w:style w:type="paragraph" w:customStyle="1" w:styleId="192">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3">
    <w:name w:val="_Style 15"/>
    <w:basedOn w:val="16"/>
    <w:qFormat/>
    <w:uiPriority w:val="0"/>
    <w:pPr>
      <w:adjustRightInd/>
      <w:spacing w:line="240" w:lineRule="auto"/>
      <w:ind w:firstLine="0" w:firstLineChars="0"/>
      <w:jc w:val="both"/>
      <w:textAlignment w:val="auto"/>
    </w:pPr>
    <w:rPr>
      <w:rFonts w:ascii="Tahoma" w:hAnsi="Tahoma"/>
      <w:kern w:val="2"/>
      <w:sz w:val="24"/>
      <w:szCs w:val="24"/>
    </w:rPr>
  </w:style>
  <w:style w:type="paragraph" w:customStyle="1" w:styleId="194">
    <w:name w:val="BodyTextIndent"/>
    <w:basedOn w:val="1"/>
    <w:qFormat/>
    <w:uiPriority w:val="0"/>
    <w:pPr>
      <w:ind w:firstLine="830" w:firstLineChars="352"/>
      <w:textAlignment w:val="baseline"/>
    </w:pPr>
    <w:rPr>
      <w:rFonts w:ascii="仿宋_GB2312" w:eastAsia="仿宋_GB2312"/>
      <w:kern w:val="0"/>
      <w:sz w:val="32"/>
      <w:szCs w:val="20"/>
    </w:rPr>
  </w:style>
  <w:style w:type="paragraph" w:customStyle="1" w:styleId="195">
    <w:name w:val="reader-word-layer reader-word-s4-8 reader-word-s4-10"/>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6">
    <w:name w:val="缺省文本"/>
    <w:basedOn w:val="1"/>
    <w:qFormat/>
    <w:uiPriority w:val="0"/>
    <w:pPr>
      <w:autoSpaceDE w:val="0"/>
      <w:autoSpaceDN w:val="0"/>
      <w:adjustRightInd w:val="0"/>
      <w:spacing w:line="360" w:lineRule="auto"/>
      <w:jc w:val="left"/>
    </w:pPr>
    <w:rPr>
      <w:rFonts w:ascii="Calibri" w:hAnsi="Calibri"/>
      <w:kern w:val="0"/>
      <w:sz w:val="24"/>
      <w:szCs w:val="20"/>
    </w:rPr>
  </w:style>
  <w:style w:type="paragraph" w:customStyle="1" w:styleId="197">
    <w:name w:val="Char Char2"/>
    <w:basedOn w:val="1"/>
    <w:qFormat/>
    <w:uiPriority w:val="0"/>
    <w:pPr>
      <w:widowControl/>
      <w:spacing w:line="400" w:lineRule="exact"/>
      <w:ind w:firstLine="1044" w:firstLineChars="200"/>
      <w:jc w:val="left"/>
    </w:pPr>
    <w:rPr>
      <w:sz w:val="28"/>
      <w:szCs w:val="20"/>
    </w:rPr>
  </w:style>
  <w:style w:type="paragraph" w:customStyle="1" w:styleId="198">
    <w:name w:val="_Style 2"/>
    <w:basedOn w:val="1"/>
    <w:qFormat/>
    <w:uiPriority w:val="0"/>
    <w:pPr>
      <w:ind w:firstLine="420" w:firstLineChars="200"/>
    </w:pPr>
    <w:rPr>
      <w:rFonts w:ascii="Calibri" w:hAnsi="Calibri"/>
      <w:szCs w:val="22"/>
    </w:rPr>
  </w:style>
  <w:style w:type="paragraph" w:customStyle="1" w:styleId="199">
    <w:name w:val="样式 Verdana 首行缩进:  0.74 厘米"/>
    <w:basedOn w:val="1"/>
    <w:qFormat/>
    <w:uiPriority w:val="0"/>
    <w:pPr>
      <w:spacing w:line="360" w:lineRule="auto"/>
      <w:ind w:firstLine="420" w:firstLineChars="200"/>
      <w:jc w:val="left"/>
    </w:pPr>
    <w:rPr>
      <w:rFonts w:ascii="Verdana" w:hAnsi="Verdana"/>
      <w:sz w:val="24"/>
      <w:szCs w:val="20"/>
    </w:rPr>
  </w:style>
  <w:style w:type="paragraph" w:customStyle="1" w:styleId="200">
    <w:name w:val="Char3"/>
    <w:basedOn w:val="1"/>
    <w:qFormat/>
    <w:uiPriority w:val="0"/>
    <w:pPr>
      <w:widowControl/>
      <w:spacing w:after="160" w:line="240" w:lineRule="exact"/>
      <w:ind w:firstLine="1044" w:firstLineChars="200"/>
      <w:jc w:val="left"/>
    </w:pPr>
    <w:rPr>
      <w:rFonts w:ascii="Arial" w:hAnsi="Arial" w:eastAsia="Times New Roman" w:cs="Verdana"/>
      <w:b/>
      <w:kern w:val="0"/>
      <w:sz w:val="24"/>
      <w:szCs w:val="20"/>
      <w:lang w:eastAsia="en-US"/>
    </w:rPr>
  </w:style>
  <w:style w:type="paragraph" w:customStyle="1" w:styleId="201">
    <w:name w:val="msolistparagraph"/>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02">
    <w:name w:val="普通(网站)1"/>
    <w:basedOn w:val="1"/>
    <w:qFormat/>
    <w:uiPriority w:val="99"/>
    <w:pPr>
      <w:widowControl/>
      <w:autoSpaceDE w:val="0"/>
      <w:autoSpaceDN w:val="0"/>
      <w:spacing w:before="100" w:beforeAutospacing="1" w:after="100" w:afterAutospacing="1"/>
      <w:jc w:val="left"/>
    </w:pPr>
    <w:rPr>
      <w:rFonts w:ascii="宋体" w:hAnsi="宋体" w:cs="宋体"/>
      <w:kern w:val="0"/>
      <w:sz w:val="24"/>
      <w:szCs w:val="22"/>
      <w:lang w:val="zh-CN" w:bidi="zh-CN"/>
    </w:rPr>
  </w:style>
  <w:style w:type="paragraph" w:customStyle="1" w:styleId="203">
    <w:name w:val="次小点说明 Char"/>
    <w:basedOn w:val="10"/>
    <w:qFormat/>
    <w:uiPriority w:val="0"/>
    <w:pPr>
      <w:ind w:firstLine="0"/>
    </w:pPr>
    <w:rPr>
      <w:rFonts w:ascii="Calibri" w:hAnsi="Calibri"/>
      <w:sz w:val="24"/>
      <w:szCs w:val="24"/>
    </w:rPr>
  </w:style>
  <w:style w:type="paragraph" w:customStyle="1" w:styleId="204">
    <w:name w:val="表格文字"/>
    <w:basedOn w:val="1"/>
    <w:qFormat/>
    <w:uiPriority w:val="99"/>
    <w:pPr>
      <w:spacing w:before="25" w:after="25" w:line="400" w:lineRule="exact"/>
      <w:ind w:firstLine="1044" w:firstLineChars="200"/>
      <w:jc w:val="left"/>
    </w:pPr>
    <w:rPr>
      <w:bCs/>
      <w:spacing w:val="10"/>
      <w:kern w:val="0"/>
      <w:sz w:val="24"/>
    </w:rPr>
  </w:style>
  <w:style w:type="paragraph" w:customStyle="1" w:styleId="205">
    <w:name w:val="Char Char8"/>
    <w:basedOn w:val="1"/>
    <w:qFormat/>
    <w:uiPriority w:val="0"/>
    <w:rPr>
      <w:rFonts w:ascii="Tahoma" w:hAnsi="Tahoma" w:eastAsia="Times New Roman"/>
      <w:kern w:val="0"/>
      <w:sz w:val="24"/>
      <w:szCs w:val="20"/>
    </w:rPr>
  </w:style>
  <w:style w:type="paragraph" w:customStyle="1" w:styleId="206">
    <w:name w:val="Char1"/>
    <w:basedOn w:val="1"/>
    <w:qFormat/>
    <w:uiPriority w:val="0"/>
    <w:pPr>
      <w:spacing w:line="400" w:lineRule="exact"/>
      <w:ind w:firstLine="1044" w:firstLineChars="200"/>
      <w:jc w:val="left"/>
    </w:pPr>
    <w:rPr>
      <w:szCs w:val="21"/>
    </w:rPr>
  </w:style>
  <w:style w:type="paragraph" w:customStyle="1" w:styleId="207">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08">
    <w:name w:val="_Style 5"/>
    <w:qFormat/>
    <w:uiPriority w:val="1"/>
    <w:rPr>
      <w:rFonts w:ascii="Times New Roman" w:hAnsi="Times New Roman" w:eastAsia="宋体" w:cs="Times New Roman"/>
      <w:sz w:val="22"/>
      <w:szCs w:val="22"/>
      <w:lang w:val="en-US" w:eastAsia="zh-CN" w:bidi="ar-SA"/>
    </w:rPr>
  </w:style>
  <w:style w:type="paragraph" w:customStyle="1" w:styleId="209">
    <w:name w:val="样式 标题 3 + (中文) 黑体 小四 非加粗 段前: 7.8 磅 段后: 0 磅 行距: 固定值 20 磅"/>
    <w:basedOn w:val="4"/>
    <w:qFormat/>
    <w:uiPriority w:val="0"/>
    <w:pPr>
      <w:spacing w:before="0" w:after="0" w:line="400" w:lineRule="exact"/>
      <w:ind w:firstLine="1044" w:firstLineChars="200"/>
      <w:jc w:val="left"/>
    </w:pPr>
    <w:rPr>
      <w:rFonts w:eastAsia="黑体" w:cs="宋体"/>
      <w:b w:val="0"/>
      <w:bCs w:val="0"/>
      <w:sz w:val="24"/>
      <w:szCs w:val="20"/>
    </w:rPr>
  </w:style>
  <w:style w:type="paragraph" w:customStyle="1" w:styleId="210">
    <w:name w:val="reader-word-layer reader-word-s4-1"/>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1">
    <w:name w:val="List Paragraph1"/>
    <w:basedOn w:val="1"/>
    <w:qFormat/>
    <w:uiPriority w:val="99"/>
    <w:pPr>
      <w:ind w:firstLine="420" w:firstLineChars="200"/>
    </w:pPr>
    <w:rPr>
      <w:rFonts w:ascii="Calibri" w:hAnsi="Calibri"/>
      <w:szCs w:val="22"/>
    </w:rPr>
  </w:style>
  <w:style w:type="paragraph" w:customStyle="1" w:styleId="212">
    <w:name w:val="一级条标题"/>
    <w:basedOn w:val="1"/>
    <w:next w:val="1"/>
    <w:qFormat/>
    <w:uiPriority w:val="0"/>
    <w:pPr>
      <w:widowControl/>
      <w:numPr>
        <w:ilvl w:val="2"/>
        <w:numId w:val="3"/>
      </w:numPr>
      <w:spacing w:line="400" w:lineRule="exact"/>
      <w:ind w:firstLineChars="200"/>
      <w:jc w:val="left"/>
    </w:pPr>
    <w:rPr>
      <w:rFonts w:ascii="黑体" w:eastAsia="黑体"/>
      <w:kern w:val="0"/>
      <w:szCs w:val="20"/>
    </w:rPr>
  </w:style>
  <w:style w:type="paragraph" w:customStyle="1" w:styleId="213">
    <w:name w:val="2ji"/>
    <w:basedOn w:val="3"/>
    <w:qFormat/>
    <w:uiPriority w:val="0"/>
    <w:pPr>
      <w:adjustRightInd w:val="0"/>
      <w:spacing w:before="0" w:after="0" w:line="360" w:lineRule="auto"/>
      <w:ind w:firstLine="1044" w:firstLineChars="200"/>
      <w:jc w:val="left"/>
      <w:textAlignment w:val="baseline"/>
    </w:pPr>
    <w:rPr>
      <w:rFonts w:ascii="宋体" w:hAnsi="宋体"/>
      <w:kern w:val="0"/>
      <w:sz w:val="21"/>
      <w:szCs w:val="21"/>
    </w:rPr>
  </w:style>
  <w:style w:type="paragraph" w:customStyle="1" w:styleId="214">
    <w:name w:val="正文段"/>
    <w:basedOn w:val="1"/>
    <w:qFormat/>
    <w:uiPriority w:val="0"/>
    <w:pPr>
      <w:widowControl/>
      <w:snapToGrid w:val="0"/>
      <w:spacing w:afterLines="50" w:line="400" w:lineRule="exact"/>
      <w:ind w:firstLine="200" w:firstLineChars="200"/>
      <w:jc w:val="left"/>
    </w:pPr>
    <w:rPr>
      <w:kern w:val="0"/>
      <w:sz w:val="24"/>
      <w:szCs w:val="20"/>
    </w:rPr>
  </w:style>
  <w:style w:type="paragraph" w:customStyle="1" w:styleId="215">
    <w:name w:val="默认段落字体 Para Char Char Char Char Char Char Char Char Char1 Char Char Char Char"/>
    <w:basedOn w:val="1"/>
    <w:qFormat/>
    <w:uiPriority w:val="0"/>
    <w:pPr>
      <w:spacing w:line="400" w:lineRule="exact"/>
      <w:ind w:firstLine="1044" w:firstLineChars="200"/>
      <w:jc w:val="left"/>
    </w:pPr>
    <w:rPr>
      <w:rFonts w:ascii="Tahoma" w:hAnsi="Tahoma"/>
      <w:sz w:val="24"/>
      <w:szCs w:val="20"/>
    </w:rPr>
  </w:style>
  <w:style w:type="paragraph" w:customStyle="1" w:styleId="216">
    <w:name w:val="Body text|3"/>
    <w:basedOn w:val="1"/>
    <w:qFormat/>
    <w:uiPriority w:val="0"/>
    <w:pPr>
      <w:spacing w:after="680"/>
    </w:pPr>
    <w:rPr>
      <w:rFonts w:ascii="宋体" w:hAnsi="宋体" w:cs="宋体"/>
      <w:sz w:val="30"/>
      <w:szCs w:val="30"/>
      <w:u w:val="single"/>
      <w:lang w:val="zh-TW" w:eastAsia="zh-TW" w:bidi="zh-TW"/>
    </w:rPr>
  </w:style>
  <w:style w:type="paragraph" w:customStyle="1" w:styleId="217">
    <w:name w:val="reader-word-layer reader-word-s4-9"/>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8">
    <w:name w:val="首行缩进"/>
    <w:basedOn w:val="1"/>
    <w:qFormat/>
    <w:uiPriority w:val="0"/>
    <w:pPr>
      <w:spacing w:line="400" w:lineRule="exact"/>
      <w:ind w:firstLine="480" w:firstLineChars="200"/>
      <w:jc w:val="left"/>
    </w:pPr>
    <w:rPr>
      <w:lang w:val="zh-CN"/>
    </w:rPr>
  </w:style>
  <w:style w:type="paragraph" w:customStyle="1" w:styleId="219">
    <w:name w:val="PlainText"/>
    <w:basedOn w:val="1"/>
    <w:next w:val="220"/>
    <w:qFormat/>
    <w:uiPriority w:val="0"/>
    <w:pPr>
      <w:ind w:firstLine="1044" w:firstLineChars="200"/>
      <w:textAlignment w:val="baseline"/>
    </w:pPr>
    <w:rPr>
      <w:rFonts w:ascii="宋体" w:hAnsi="Courier New"/>
      <w:kern w:val="0"/>
      <w:sz w:val="20"/>
      <w:szCs w:val="21"/>
    </w:rPr>
  </w:style>
  <w:style w:type="paragraph" w:customStyle="1" w:styleId="220">
    <w:name w:val="Heading4"/>
    <w:basedOn w:val="1"/>
    <w:next w:val="1"/>
    <w:qFormat/>
    <w:uiPriority w:val="0"/>
    <w:pPr>
      <w:keepNext/>
      <w:keepLines/>
      <w:spacing w:before="280" w:after="290" w:line="376" w:lineRule="atLeast"/>
      <w:ind w:firstLine="1044" w:firstLineChars="200"/>
      <w:textAlignment w:val="baseline"/>
    </w:pPr>
    <w:rPr>
      <w:rFonts w:ascii="Cambria" w:hAnsi="Cambria"/>
      <w:b/>
      <w:bCs/>
      <w:sz w:val="28"/>
      <w:szCs w:val="28"/>
    </w:rPr>
  </w:style>
  <w:style w:type="paragraph" w:customStyle="1" w:styleId="221">
    <w:name w:val="p0"/>
    <w:basedOn w:val="1"/>
    <w:qFormat/>
    <w:uiPriority w:val="0"/>
    <w:pPr>
      <w:widowControl/>
      <w:spacing w:line="400" w:lineRule="exact"/>
      <w:ind w:firstLine="1044" w:firstLineChars="200"/>
      <w:jc w:val="left"/>
    </w:pPr>
    <w:rPr>
      <w:kern w:val="0"/>
      <w:szCs w:val="21"/>
    </w:rPr>
  </w:style>
  <w:style w:type="paragraph" w:customStyle="1" w:styleId="222">
    <w:name w:val="样式 标题 2 + Times New Roman 四号 非加粗 段前: 5 磅 段后: 0 磅 行距: 固定值 20..."/>
    <w:basedOn w:val="3"/>
    <w:qFormat/>
    <w:uiPriority w:val="0"/>
    <w:pPr>
      <w:spacing w:before="100" w:after="0" w:line="400" w:lineRule="exact"/>
      <w:ind w:firstLine="1044" w:firstLineChars="200"/>
      <w:jc w:val="left"/>
    </w:pPr>
    <w:rPr>
      <w:rFonts w:ascii="Times New Roman" w:hAnsi="Times New Roman" w:cs="宋体"/>
      <w:b w:val="0"/>
      <w:bCs w:val="0"/>
      <w:kern w:val="0"/>
      <w:sz w:val="28"/>
      <w:szCs w:val="20"/>
    </w:rPr>
  </w:style>
  <w:style w:type="paragraph" w:customStyle="1" w:styleId="223">
    <w:name w:val="Table Paragraph"/>
    <w:basedOn w:val="1"/>
    <w:qFormat/>
    <w:uiPriority w:val="1"/>
    <w:pPr>
      <w:spacing w:line="400" w:lineRule="exact"/>
      <w:ind w:firstLine="1044" w:firstLineChars="200"/>
      <w:jc w:val="left"/>
    </w:pPr>
    <w:rPr>
      <w:sz w:val="24"/>
    </w:rPr>
  </w:style>
  <w:style w:type="paragraph" w:customStyle="1" w:styleId="224">
    <w:name w:val="1"/>
    <w:basedOn w:val="1"/>
    <w:next w:val="27"/>
    <w:qFormat/>
    <w:uiPriority w:val="0"/>
    <w:rPr>
      <w:rFonts w:ascii="宋体" w:hAnsi="Courier New"/>
      <w:szCs w:val="20"/>
    </w:rPr>
  </w:style>
  <w:style w:type="paragraph" w:customStyle="1" w:styleId="225">
    <w:name w:val="2-2ji"/>
    <w:basedOn w:val="3"/>
    <w:qFormat/>
    <w:uiPriority w:val="0"/>
    <w:pPr>
      <w:adjustRightInd w:val="0"/>
      <w:spacing w:before="0" w:after="0" w:line="360" w:lineRule="auto"/>
      <w:ind w:firstLine="1044" w:firstLineChars="200"/>
      <w:jc w:val="center"/>
      <w:textAlignment w:val="baseline"/>
    </w:pPr>
    <w:rPr>
      <w:rFonts w:ascii="宋体" w:hAnsi="宋体"/>
      <w:bCs w:val="0"/>
      <w:kern w:val="0"/>
      <w:sz w:val="36"/>
    </w:rPr>
  </w:style>
  <w:style w:type="paragraph" w:customStyle="1" w:styleId="226">
    <w:name w:val="_Style 225"/>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59</Pages>
  <Words>22520</Words>
  <Characters>24133</Characters>
  <Lines>390</Lines>
  <Paragraphs>109</Paragraphs>
  <TotalTime>3</TotalTime>
  <ScaleCrop>false</ScaleCrop>
  <LinksUpToDate>false</LinksUpToDate>
  <CharactersWithSpaces>26984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2022-12-09T07:18:00Z</dcterms:created>
  <dc:creator>微软用户</dc:creator>
  <cp:lastModifiedBy>用户</cp:lastModifiedBy>
  <cp:lastPrinted>2025-06-12T10:57:00Z</cp:lastPrinted>
  <dcterms:modified xsi:type="dcterms:W3CDTF">2025-07-02T06:45:28Z</dcterms:modified>
  <dc:title>医疗设备采购</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64C82D317E85441D9C8D27F76B47F8F8</vt:lpwstr>
  </property>
  <property fmtid="{D5CDD505-2E9C-101B-9397-08002B2CF9AE}" pid="4" name="KSOTemplateDocerSaveRecord">
    <vt:lpwstr>eyJoZGlkIjoiNjYxNGMxOWE1NmJmNjE2NWUxMWZiOTdlYWFjMjI2YjIiLCJ1c2VySWQiOiIyNDA5MzM3NzAifQ==</vt:lpwstr>
  </property>
</Properties>
</file>