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13835">
      <w:pPr>
        <w:spacing w:before="312" w:beforeLines="100" w:after="156" w:afterLines="50" w:line="600" w:lineRule="exact"/>
        <w:jc w:val="center"/>
        <w:rPr>
          <w:rFonts w:ascii="方正小标宋简体" w:hAnsi="宋体" w:eastAsia="方正小标宋简体"/>
          <w:color w:val="auto"/>
          <w:sz w:val="28"/>
          <w:szCs w:val="28"/>
          <w:highlight w:val="none"/>
        </w:rPr>
      </w:pPr>
    </w:p>
    <w:p w14:paraId="764487CB">
      <w:pPr>
        <w:spacing w:line="360" w:lineRule="auto"/>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bookmarkStart w:id="86" w:name="_GoBack"/>
      <w:bookmarkEnd w:id="86"/>
    </w:p>
    <w:p w14:paraId="1682ED6F">
      <w:pPr>
        <w:spacing w:before="156" w:beforeLines="50" w:line="360" w:lineRule="auto"/>
        <w:jc w:val="center"/>
        <w:rPr>
          <w:rFonts w:ascii="宋体"/>
          <w:i/>
          <w:color w:val="auto"/>
          <w:sz w:val="52"/>
          <w:szCs w:val="52"/>
          <w:highlight w:val="none"/>
        </w:rPr>
      </w:pPr>
    </w:p>
    <w:p w14:paraId="01FD8AD0">
      <w:pPr>
        <w:tabs>
          <w:tab w:val="left" w:pos="3720"/>
          <w:tab w:val="center" w:pos="4439"/>
        </w:tabs>
        <w:spacing w:line="360" w:lineRule="auto"/>
        <w:rPr>
          <w:rFonts w:ascii="方正小标宋简体" w:hAnsi="方正小标宋简体" w:eastAsia="方正小标宋简体" w:cs="方正小标宋简体"/>
          <w:b/>
          <w:color w:val="auto"/>
          <w:sz w:val="44"/>
          <w:szCs w:val="44"/>
          <w:highlight w:val="none"/>
        </w:rPr>
      </w:pPr>
      <w:r>
        <w:rPr>
          <w:rFonts w:ascii="方正小标宋简体" w:hAnsi="方正小标宋简体" w:eastAsia="方正小标宋简体" w:cs="方正小标宋简体"/>
          <w:b/>
          <w:color w:val="auto"/>
          <w:sz w:val="44"/>
          <w:szCs w:val="44"/>
          <w:highlight w:val="none"/>
        </w:rPr>
        <w:tab/>
      </w:r>
      <w:r>
        <w:rPr>
          <w:rFonts w:ascii="方正小标宋简体" w:hAnsi="方正小标宋简体" w:eastAsia="方正小标宋简体" w:cs="方正小标宋简体"/>
          <w:b/>
          <w:color w:val="auto"/>
          <w:sz w:val="44"/>
          <w:szCs w:val="44"/>
          <w:highlight w:val="none"/>
        </w:rPr>
        <w:tab/>
      </w:r>
    </w:p>
    <w:p w14:paraId="5C2664AE">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4DB89EDE">
      <w:pPr>
        <w:snapToGrid w:val="0"/>
        <w:spacing w:before="156" w:beforeLines="50" w:line="360" w:lineRule="auto"/>
        <w:jc w:val="center"/>
        <w:rPr>
          <w:rFonts w:ascii="仿宋" w:hAnsi="仿宋" w:eastAsia="仿宋"/>
          <w:b/>
          <w:color w:val="auto"/>
          <w:sz w:val="30"/>
          <w:szCs w:val="72"/>
          <w:highlight w:val="none"/>
        </w:rPr>
      </w:pPr>
      <w:r>
        <w:rPr>
          <w:rFonts w:hint="eastAsia" w:ascii="仿宋" w:hAnsi="仿宋" w:eastAsia="仿宋"/>
          <w:b/>
          <w:color w:val="auto"/>
          <w:sz w:val="48"/>
          <w:szCs w:val="48"/>
          <w:highlight w:val="none"/>
        </w:rPr>
        <w:t>（全流程电子化采购）</w:t>
      </w:r>
    </w:p>
    <w:p w14:paraId="17A17842">
      <w:pPr>
        <w:snapToGrid w:val="0"/>
        <w:spacing w:line="360" w:lineRule="auto"/>
        <w:rPr>
          <w:rFonts w:ascii="仿宋" w:hAnsi="仿宋" w:eastAsia="仿宋"/>
          <w:color w:val="auto"/>
          <w:sz w:val="30"/>
          <w:szCs w:val="72"/>
          <w:highlight w:val="none"/>
        </w:rPr>
      </w:pPr>
    </w:p>
    <w:p w14:paraId="4586B8CC">
      <w:pPr>
        <w:pStyle w:val="15"/>
        <w:snapToGrid w:val="0"/>
        <w:spacing w:line="360" w:lineRule="auto"/>
        <w:ind w:firstLine="1193" w:firstLineChars="396"/>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项目名称：环境学院实验教学中心仪器设备采购</w:t>
      </w:r>
    </w:p>
    <w:p w14:paraId="5C15AA79">
      <w:pPr>
        <w:pStyle w:val="15"/>
        <w:snapToGrid w:val="0"/>
        <w:spacing w:line="360" w:lineRule="auto"/>
        <w:ind w:firstLine="1193" w:firstLineChars="396"/>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项目编号：GXZC2025-J1-001715-YZLZ</w:t>
      </w:r>
    </w:p>
    <w:p w14:paraId="097E4FD7">
      <w:pPr>
        <w:pStyle w:val="15"/>
        <w:snapToGrid w:val="0"/>
        <w:spacing w:line="360" w:lineRule="auto"/>
        <w:ind w:firstLine="1193" w:firstLineChars="396"/>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采购人：广西师范大学</w:t>
      </w:r>
    </w:p>
    <w:p w14:paraId="52DEE7A0">
      <w:pPr>
        <w:pStyle w:val="15"/>
        <w:snapToGrid w:val="0"/>
        <w:spacing w:line="360" w:lineRule="auto"/>
        <w:ind w:firstLine="1133" w:firstLineChars="396"/>
        <w:rPr>
          <w:rFonts w:ascii="仿宋" w:hAnsi="仿宋" w:eastAsia="仿宋"/>
          <w:b/>
          <w:bCs/>
          <w:color w:val="auto"/>
          <w:sz w:val="30"/>
          <w:szCs w:val="30"/>
          <w:highlight w:val="none"/>
        </w:rPr>
      </w:pPr>
      <w:r>
        <w:rPr>
          <w:rFonts w:hint="eastAsia" w:ascii="仿宋" w:hAnsi="仿宋" w:eastAsia="仿宋"/>
          <w:b/>
          <w:bCs/>
          <w:color w:val="auto"/>
          <w:w w:val="95"/>
          <w:sz w:val="30"/>
          <w:szCs w:val="30"/>
          <w:highlight w:val="none"/>
        </w:rPr>
        <w:t>采购代理机构：云之龙咨询集团有限公司</w:t>
      </w:r>
    </w:p>
    <w:p w14:paraId="10D3B1AB">
      <w:pPr>
        <w:pStyle w:val="15"/>
        <w:snapToGrid w:val="0"/>
        <w:spacing w:line="360" w:lineRule="auto"/>
        <w:ind w:firstLine="1125" w:firstLineChars="393"/>
        <w:rPr>
          <w:rFonts w:ascii="仿宋_GB2312" w:hAnsi="宋体" w:eastAsia="仿宋_GB2312"/>
          <w:b/>
          <w:bCs/>
          <w:color w:val="auto"/>
          <w:w w:val="95"/>
          <w:sz w:val="30"/>
          <w:szCs w:val="30"/>
          <w:highlight w:val="none"/>
        </w:rPr>
      </w:pPr>
    </w:p>
    <w:p w14:paraId="1F39945E">
      <w:pPr>
        <w:pStyle w:val="15"/>
        <w:snapToGrid w:val="0"/>
        <w:spacing w:line="360" w:lineRule="auto"/>
        <w:ind w:firstLine="1125" w:firstLineChars="393"/>
        <w:rPr>
          <w:rFonts w:ascii="仿宋_GB2312" w:hAnsi="宋体" w:eastAsia="仿宋_GB2312"/>
          <w:b/>
          <w:bCs/>
          <w:color w:val="auto"/>
          <w:w w:val="95"/>
          <w:sz w:val="30"/>
          <w:szCs w:val="30"/>
          <w:highlight w:val="none"/>
        </w:rPr>
      </w:pPr>
    </w:p>
    <w:p w14:paraId="3A00DA12">
      <w:pPr>
        <w:pStyle w:val="15"/>
        <w:snapToGrid w:val="0"/>
        <w:spacing w:line="360" w:lineRule="auto"/>
        <w:ind w:firstLine="841" w:firstLineChars="294"/>
        <w:jc w:val="center"/>
        <w:rPr>
          <w:rFonts w:ascii="仿宋" w:hAnsi="仿宋" w:eastAsia="仿宋"/>
          <w:color w:val="auto"/>
          <w:szCs w:val="20"/>
          <w:highlight w:val="none"/>
        </w:rPr>
      </w:pPr>
      <w:r>
        <w:rPr>
          <w:rFonts w:hint="eastAsia" w:ascii="仿宋" w:hAnsi="仿宋" w:eastAsia="仿宋"/>
          <w:b/>
          <w:bCs/>
          <w:color w:val="auto"/>
          <w:w w:val="95"/>
          <w:sz w:val="30"/>
          <w:szCs w:val="30"/>
          <w:highlight w:val="none"/>
        </w:rPr>
        <w:t>2025年</w:t>
      </w:r>
      <w:r>
        <w:rPr>
          <w:rFonts w:hint="eastAsia" w:ascii="仿宋" w:hAnsi="仿宋" w:eastAsia="仿宋"/>
          <w:b/>
          <w:bCs/>
          <w:color w:val="auto"/>
          <w:w w:val="95"/>
          <w:sz w:val="30"/>
          <w:szCs w:val="30"/>
          <w:highlight w:val="none"/>
          <w:lang w:val="en-US" w:eastAsia="zh-CN"/>
        </w:rPr>
        <w:t>6</w:t>
      </w:r>
      <w:r>
        <w:rPr>
          <w:rFonts w:hint="eastAsia" w:ascii="仿宋" w:hAnsi="仿宋" w:eastAsia="仿宋"/>
          <w:b/>
          <w:bCs/>
          <w:color w:val="auto"/>
          <w:w w:val="95"/>
          <w:sz w:val="30"/>
          <w:szCs w:val="30"/>
          <w:highlight w:val="none"/>
        </w:rPr>
        <w:t>月</w:t>
      </w:r>
      <w:r>
        <w:rPr>
          <w:rFonts w:hint="eastAsia" w:ascii="仿宋" w:hAnsi="仿宋" w:eastAsia="仿宋"/>
          <w:b/>
          <w:bCs/>
          <w:color w:val="auto"/>
          <w:w w:val="95"/>
          <w:sz w:val="30"/>
          <w:szCs w:val="30"/>
          <w:highlight w:val="none"/>
          <w:lang w:val="en-US" w:eastAsia="zh-CN"/>
        </w:rPr>
        <w:t>20</w:t>
      </w:r>
      <w:r>
        <w:rPr>
          <w:rFonts w:hint="eastAsia" w:ascii="仿宋" w:hAnsi="仿宋" w:eastAsia="仿宋"/>
          <w:b/>
          <w:bCs/>
          <w:color w:val="auto"/>
          <w:w w:val="95"/>
          <w:sz w:val="30"/>
          <w:szCs w:val="30"/>
          <w:highlight w:val="none"/>
        </w:rPr>
        <w:t>日</w:t>
      </w:r>
    </w:p>
    <w:p w14:paraId="11619427">
      <w:pPr>
        <w:pStyle w:val="9"/>
        <w:ind w:firstLine="803"/>
        <w:jc w:val="center"/>
        <w:rPr>
          <w:rFonts w:ascii="宋体"/>
          <w:b/>
          <w:color w:val="auto"/>
          <w:sz w:val="44"/>
          <w:szCs w:val="44"/>
          <w:highlight w:val="none"/>
        </w:rPr>
      </w:pPr>
      <w:r>
        <w:rPr>
          <w:rFonts w:ascii="仿宋_GB2312" w:hAnsi="宋体" w:eastAsia="仿宋_GB2312"/>
          <w:b/>
          <w:color w:val="auto"/>
          <w:sz w:val="30"/>
          <w:szCs w:val="30"/>
          <w:highlight w:val="none"/>
        </w:rPr>
        <w:br w:type="page"/>
      </w:r>
    </w:p>
    <w:p w14:paraId="100E8C0D">
      <w:pPr>
        <w:spacing w:line="360" w:lineRule="auto"/>
        <w:jc w:val="center"/>
        <w:rPr>
          <w:rFonts w:ascii="宋体"/>
          <w:b/>
          <w:color w:val="auto"/>
          <w:sz w:val="44"/>
          <w:szCs w:val="44"/>
          <w:highlight w:val="none"/>
        </w:rPr>
      </w:pPr>
      <w:r>
        <w:rPr>
          <w:rFonts w:hint="eastAsia" w:ascii="宋体" w:hAnsi="宋体"/>
          <w:b/>
          <w:color w:val="auto"/>
          <w:sz w:val="44"/>
          <w:szCs w:val="44"/>
          <w:highlight w:val="none"/>
        </w:rPr>
        <w:t>目录</w:t>
      </w:r>
    </w:p>
    <w:p w14:paraId="7D97DCE1">
      <w:pPr>
        <w:spacing w:line="400" w:lineRule="exact"/>
        <w:jc w:val="center"/>
        <w:rPr>
          <w:rFonts w:ascii="宋体"/>
          <w:b/>
          <w:color w:val="auto"/>
          <w:sz w:val="44"/>
          <w:szCs w:val="44"/>
          <w:highlight w:val="none"/>
        </w:rPr>
      </w:pPr>
    </w:p>
    <w:p w14:paraId="366257D1">
      <w:pPr>
        <w:pStyle w:val="20"/>
        <w:tabs>
          <w:tab w:val="right" w:leader="dot" w:pos="8869"/>
        </w:tabs>
        <w:snapToGrid w:val="0"/>
        <w:spacing w:line="500" w:lineRule="atLeast"/>
        <w:rPr>
          <w:rFonts w:asci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TOC \o "1-3" \h \z \u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Style w:val="31"/>
          <w:rFonts w:hint="eastAsia" w:ascii="宋体" w:hAnsi="宋体"/>
          <w:b/>
          <w:color w:val="auto"/>
          <w:sz w:val="24"/>
          <w:highlight w:val="none"/>
        </w:rPr>
        <w:t>第一章 竞争性谈判公告</w:t>
      </w:r>
      <w:r>
        <w:rPr>
          <w:rFonts w:asci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50EE7FA6">
      <w:pPr>
        <w:pStyle w:val="20"/>
        <w:tabs>
          <w:tab w:val="right" w:leader="dot" w:pos="8869"/>
        </w:tabs>
        <w:snapToGrid w:val="0"/>
        <w:spacing w:line="500" w:lineRule="atLeast"/>
        <w:rPr>
          <w:rStyle w:val="31"/>
          <w:color w:val="auto"/>
          <w:highlight w:val="none"/>
          <w:u w:val="none"/>
        </w:rPr>
      </w:pPr>
      <w:r>
        <w:rPr>
          <w:rStyle w:val="31"/>
          <w:rFonts w:hint="eastAsia" w:ascii="宋体" w:hAnsi="宋体"/>
          <w:b/>
          <w:color w:val="auto"/>
          <w:sz w:val="24"/>
          <w:highlight w:val="none"/>
          <w:u w:val="none"/>
        </w:rPr>
        <w:t xml:space="preserve">第二章 </w:t>
      </w:r>
      <w:r>
        <w:rPr>
          <w:rStyle w:val="31"/>
          <w:rFonts w:hint="eastAsia"/>
          <w:b/>
          <w:color w:val="auto"/>
          <w:sz w:val="24"/>
          <w:highlight w:val="none"/>
          <w:u w:val="none"/>
        </w:rPr>
        <w:t>供应商须知</w:t>
      </w:r>
      <w:r>
        <w:rPr>
          <w:rStyle w:val="31"/>
          <w:rFonts w:ascii="宋体"/>
          <w:b/>
          <w:color w:val="auto"/>
          <w:sz w:val="24"/>
          <w:highlight w:val="none"/>
          <w:u w:val="none"/>
        </w:rPr>
        <w:tab/>
      </w:r>
      <w:r>
        <w:rPr>
          <w:rStyle w:val="31"/>
          <w:rFonts w:hint="eastAsia" w:ascii="宋体" w:hAnsi="宋体"/>
          <w:b/>
          <w:color w:val="auto"/>
          <w:sz w:val="24"/>
          <w:highlight w:val="none"/>
          <w:u w:val="none"/>
        </w:rPr>
        <w:t>5</w:t>
      </w:r>
    </w:p>
    <w:p w14:paraId="1917CF78">
      <w:pPr>
        <w:pStyle w:val="20"/>
        <w:tabs>
          <w:tab w:val="right" w:leader="dot" w:pos="8869"/>
        </w:tabs>
        <w:snapToGrid w:val="0"/>
        <w:spacing w:line="500" w:lineRule="atLeast"/>
        <w:rPr>
          <w:rFonts w:ascii="宋体"/>
          <w:b/>
          <w:color w:val="auto"/>
          <w:sz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Style w:val="31"/>
          <w:rFonts w:hint="eastAsia" w:ascii="宋体" w:hAnsi="宋体"/>
          <w:b/>
          <w:color w:val="auto"/>
          <w:sz w:val="24"/>
          <w:highlight w:val="none"/>
        </w:rPr>
        <w:t>第三章 采购</w:t>
      </w:r>
      <w:bookmarkStart w:id="0" w:name="_Hlt100220159"/>
      <w:r>
        <w:rPr>
          <w:rStyle w:val="31"/>
          <w:rFonts w:hint="eastAsia" w:ascii="宋体" w:hAnsi="宋体"/>
          <w:b/>
          <w:color w:val="auto"/>
          <w:sz w:val="24"/>
          <w:highlight w:val="none"/>
        </w:rPr>
        <w:t>需</w:t>
      </w:r>
      <w:bookmarkEnd w:id="0"/>
      <w:r>
        <w:rPr>
          <w:rStyle w:val="31"/>
          <w:rFonts w:hint="eastAsia" w:ascii="宋体" w:hAnsi="宋体"/>
          <w:b/>
          <w:color w:val="auto"/>
          <w:sz w:val="24"/>
          <w:highlight w:val="none"/>
        </w:rPr>
        <w:t>求</w:t>
      </w:r>
      <w:bookmarkStart w:id="1" w:name="_Hlt82166985"/>
      <w:r>
        <w:rPr>
          <w:rFonts w:ascii="宋体"/>
          <w:b/>
          <w:color w:val="auto"/>
          <w:sz w:val="24"/>
          <w:highlight w:val="none"/>
        </w:rPr>
        <w:tab/>
      </w:r>
      <w:bookmarkEnd w:id="1"/>
      <w:r>
        <w:rPr>
          <w:rFonts w:hint="eastAsia" w:ascii="宋体" w:hAnsi="宋体"/>
          <w:b/>
          <w:color w:val="auto"/>
          <w:sz w:val="24"/>
          <w:highlight w:val="none"/>
        </w:rPr>
        <w:t>23</w:t>
      </w:r>
      <w:r>
        <w:rPr>
          <w:rFonts w:hint="eastAsia" w:ascii="宋体" w:hAnsi="宋体"/>
          <w:b/>
          <w:color w:val="auto"/>
          <w:sz w:val="24"/>
          <w:highlight w:val="none"/>
        </w:rPr>
        <w:fldChar w:fldCharType="end"/>
      </w:r>
    </w:p>
    <w:p w14:paraId="7EA4D04C">
      <w:pPr>
        <w:pStyle w:val="20"/>
        <w:tabs>
          <w:tab w:val="right" w:leader="dot" w:pos="8869"/>
        </w:tabs>
        <w:snapToGrid w:val="0"/>
        <w:spacing w:line="500" w:lineRule="atLeast"/>
        <w:rPr>
          <w:rFonts w:hint="eastAsia" w:ascii="宋体" w:eastAsia="宋体"/>
          <w:b/>
          <w:color w:val="auto"/>
          <w:sz w:val="24"/>
          <w:highlight w:val="none"/>
          <w:lang w:eastAsia="zh-CN"/>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Style w:val="31"/>
          <w:rFonts w:hint="eastAsia" w:ascii="宋体" w:hAnsi="宋体"/>
          <w:b/>
          <w:color w:val="auto"/>
          <w:sz w:val="24"/>
          <w:highlight w:val="none"/>
        </w:rPr>
        <w:t>第四章 评审程序和评定成交的标准</w:t>
      </w:r>
      <w:r>
        <w:rPr>
          <w:rFonts w:ascii="宋体"/>
          <w:b/>
          <w:color w:val="auto"/>
          <w:sz w:val="24"/>
          <w:highlight w:val="none"/>
        </w:rPr>
        <w:tab/>
      </w:r>
      <w:r>
        <w:rPr>
          <w:rFonts w:ascii="宋体"/>
          <w:b/>
          <w:color w:val="auto"/>
          <w:sz w:val="24"/>
          <w:highlight w:val="none"/>
        </w:rPr>
        <w:fldChar w:fldCharType="end"/>
      </w:r>
      <w:r>
        <w:rPr>
          <w:rFonts w:hint="eastAsia" w:ascii="宋体" w:hAnsi="宋体"/>
          <w:b/>
          <w:color w:val="auto"/>
          <w:sz w:val="24"/>
          <w:highlight w:val="none"/>
        </w:rPr>
        <w:t>5</w:t>
      </w:r>
      <w:r>
        <w:rPr>
          <w:rFonts w:hint="eastAsia" w:ascii="宋体" w:hAnsi="宋体"/>
          <w:b/>
          <w:color w:val="auto"/>
          <w:sz w:val="24"/>
          <w:highlight w:val="none"/>
          <w:lang w:val="en-US" w:eastAsia="zh-CN"/>
        </w:rPr>
        <w:t>6</w:t>
      </w:r>
    </w:p>
    <w:p w14:paraId="020FB741">
      <w:pPr>
        <w:pStyle w:val="20"/>
        <w:tabs>
          <w:tab w:val="right" w:leader="dot" w:pos="8869"/>
        </w:tabs>
        <w:snapToGrid w:val="0"/>
        <w:spacing w:line="500" w:lineRule="atLeast"/>
        <w:rPr>
          <w:rFonts w:hint="eastAsia" w:ascii="宋体" w:eastAsia="宋体"/>
          <w:b/>
          <w:color w:val="auto"/>
          <w:sz w:val="24"/>
          <w:highlight w:val="none"/>
          <w:lang w:eastAsia="zh-CN"/>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Style w:val="31"/>
          <w:rFonts w:hint="eastAsia" w:ascii="宋体" w:hAnsi="宋体"/>
          <w:b/>
          <w:color w:val="auto"/>
          <w:sz w:val="24"/>
          <w:highlight w:val="none"/>
        </w:rPr>
        <w:t>第五章 响应文件格式</w:t>
      </w:r>
      <w:r>
        <w:rPr>
          <w:rFonts w:ascii="宋体"/>
          <w:b/>
          <w:color w:val="auto"/>
          <w:sz w:val="24"/>
          <w:highlight w:val="none"/>
        </w:rPr>
        <w:tab/>
      </w:r>
      <w:r>
        <w:rPr>
          <w:rFonts w:ascii="宋体"/>
          <w:b/>
          <w:color w:val="auto"/>
          <w:sz w:val="24"/>
          <w:highlight w:val="none"/>
        </w:rPr>
        <w:fldChar w:fldCharType="end"/>
      </w:r>
      <w:r>
        <w:rPr>
          <w:rFonts w:hint="eastAsia" w:ascii="宋体" w:hAnsi="宋体"/>
          <w:b/>
          <w:color w:val="auto"/>
          <w:sz w:val="24"/>
          <w:highlight w:val="none"/>
        </w:rPr>
        <w:t>6</w:t>
      </w:r>
      <w:r>
        <w:rPr>
          <w:rFonts w:hint="eastAsia" w:ascii="宋体" w:hAnsi="宋体"/>
          <w:b/>
          <w:color w:val="auto"/>
          <w:sz w:val="24"/>
          <w:highlight w:val="none"/>
          <w:lang w:val="en-US" w:eastAsia="zh-CN"/>
        </w:rPr>
        <w:t>1</w:t>
      </w:r>
    </w:p>
    <w:p w14:paraId="79F38F3B">
      <w:pPr>
        <w:pStyle w:val="20"/>
        <w:tabs>
          <w:tab w:val="right" w:leader="dot" w:pos="8869"/>
        </w:tabs>
        <w:snapToGrid w:val="0"/>
        <w:spacing w:line="500" w:lineRule="atLeast"/>
        <w:rPr>
          <w:rFonts w:hint="eastAsia" w:ascii="宋体" w:eastAsia="宋体"/>
          <w:b/>
          <w:color w:val="auto"/>
          <w:sz w:val="24"/>
          <w:highlight w:val="none"/>
          <w:lang w:val="en-US" w:eastAsia="zh-CN"/>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Style w:val="31"/>
          <w:rFonts w:hint="eastAsia" w:ascii="宋体" w:hAnsi="宋体"/>
          <w:b/>
          <w:color w:val="auto"/>
          <w:sz w:val="24"/>
          <w:highlight w:val="none"/>
        </w:rPr>
        <w:t>第六章 合同文</w:t>
      </w:r>
      <w:bookmarkStart w:id="2" w:name="_Hlt100220162"/>
      <w:r>
        <w:rPr>
          <w:rStyle w:val="31"/>
          <w:rFonts w:hint="eastAsia" w:ascii="宋体" w:hAnsi="宋体"/>
          <w:b/>
          <w:color w:val="auto"/>
          <w:sz w:val="24"/>
          <w:highlight w:val="none"/>
        </w:rPr>
        <w:t>本</w:t>
      </w:r>
      <w:bookmarkEnd w:id="2"/>
      <w:r>
        <w:rPr>
          <w:rFonts w:ascii="宋体"/>
          <w:b/>
          <w:color w:val="auto"/>
          <w:sz w:val="24"/>
          <w:highlight w:val="none"/>
        </w:rPr>
        <w:tab/>
      </w:r>
      <w:r>
        <w:rPr>
          <w:rFonts w:ascii="宋体"/>
          <w:b/>
          <w:color w:val="auto"/>
          <w:sz w:val="24"/>
          <w:highlight w:val="none"/>
        </w:rPr>
        <w:fldChar w:fldCharType="end"/>
      </w:r>
      <w:r>
        <w:rPr>
          <w:rFonts w:hint="eastAsia" w:ascii="宋体"/>
          <w:b/>
          <w:color w:val="auto"/>
          <w:sz w:val="24"/>
          <w:highlight w:val="none"/>
        </w:rPr>
        <w:t>8</w:t>
      </w:r>
      <w:r>
        <w:rPr>
          <w:rFonts w:hint="eastAsia" w:ascii="宋体"/>
          <w:b/>
          <w:color w:val="auto"/>
          <w:sz w:val="24"/>
          <w:highlight w:val="none"/>
          <w:lang w:val="en-US" w:eastAsia="zh-CN"/>
        </w:rPr>
        <w:t>8</w:t>
      </w:r>
    </w:p>
    <w:p w14:paraId="76042FB0">
      <w:pPr>
        <w:pStyle w:val="22"/>
        <w:tabs>
          <w:tab w:val="right" w:leader="dot" w:pos="8931"/>
          <w:tab w:val="clear" w:pos="8296"/>
        </w:tabs>
        <w:snapToGrid w:val="0"/>
        <w:spacing w:line="500" w:lineRule="atLeast"/>
        <w:ind w:left="0" w:leftChars="0"/>
        <w:rPr>
          <w:rFonts w:ascii="宋体"/>
          <w:b/>
          <w:color w:val="auto"/>
          <w:sz w:val="24"/>
          <w:highlight w:val="none"/>
        </w:rPr>
      </w:pPr>
      <w:r>
        <w:rPr>
          <w:rFonts w:ascii="宋体" w:hAnsi="宋体"/>
          <w:b/>
          <w:color w:val="auto"/>
          <w:sz w:val="24"/>
          <w:highlight w:val="none"/>
        </w:rPr>
        <w:fldChar w:fldCharType="end"/>
      </w:r>
    </w:p>
    <w:p w14:paraId="364D84B1">
      <w:pPr>
        <w:spacing w:line="400" w:lineRule="exact"/>
        <w:jc w:val="left"/>
        <w:rPr>
          <w:rFonts w:ascii="宋体"/>
          <w:b/>
          <w:color w:val="auto"/>
          <w:sz w:val="32"/>
          <w:szCs w:val="32"/>
          <w:highlight w:val="none"/>
        </w:rPr>
      </w:pPr>
    </w:p>
    <w:p w14:paraId="07594650">
      <w:pPr>
        <w:spacing w:line="400" w:lineRule="exact"/>
        <w:jc w:val="center"/>
        <w:rPr>
          <w:rFonts w:ascii="宋体"/>
          <w:b/>
          <w:color w:val="auto"/>
          <w:sz w:val="32"/>
          <w:szCs w:val="32"/>
          <w:highlight w:val="none"/>
        </w:rPr>
      </w:pPr>
    </w:p>
    <w:p w14:paraId="614DC1FA">
      <w:pPr>
        <w:spacing w:line="400" w:lineRule="exact"/>
        <w:jc w:val="center"/>
        <w:rPr>
          <w:rFonts w:ascii="宋体"/>
          <w:b/>
          <w:color w:val="auto"/>
          <w:sz w:val="32"/>
          <w:szCs w:val="32"/>
          <w:highlight w:val="none"/>
        </w:rPr>
      </w:pPr>
    </w:p>
    <w:p w14:paraId="5B312D9A">
      <w:pPr>
        <w:spacing w:line="400" w:lineRule="exact"/>
        <w:jc w:val="center"/>
        <w:rPr>
          <w:rFonts w:ascii="宋体"/>
          <w:b/>
          <w:color w:val="auto"/>
          <w:sz w:val="32"/>
          <w:szCs w:val="32"/>
          <w:highlight w:val="none"/>
        </w:rPr>
      </w:pPr>
    </w:p>
    <w:p w14:paraId="608D3AAA">
      <w:pPr>
        <w:spacing w:line="400" w:lineRule="exact"/>
        <w:jc w:val="center"/>
        <w:rPr>
          <w:rFonts w:ascii="宋体"/>
          <w:b/>
          <w:color w:val="auto"/>
          <w:sz w:val="32"/>
          <w:szCs w:val="32"/>
          <w:highlight w:val="none"/>
        </w:rPr>
      </w:pPr>
    </w:p>
    <w:p w14:paraId="23140D10">
      <w:pPr>
        <w:spacing w:line="400" w:lineRule="exact"/>
        <w:rPr>
          <w:rFonts w:ascii="宋体"/>
          <w:b/>
          <w:color w:val="auto"/>
          <w:sz w:val="32"/>
          <w:szCs w:val="32"/>
          <w:highlight w:val="none"/>
        </w:rPr>
        <w:sectPr>
          <w:headerReference r:id="rId5"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0C2FBDEF">
      <w:pPr>
        <w:pStyle w:val="2"/>
        <w:spacing w:after="100" w:line="480" w:lineRule="auto"/>
        <w:jc w:val="center"/>
        <w:rPr>
          <w:color w:val="auto"/>
          <w:highlight w:val="none"/>
        </w:rPr>
      </w:pPr>
      <w:bookmarkStart w:id="3" w:name="_Toc74322008"/>
      <w:r>
        <w:rPr>
          <w:rFonts w:hint="eastAsia"/>
          <w:color w:val="auto"/>
          <w:highlight w:val="none"/>
        </w:rPr>
        <w:t>第一章 竞争性谈判公告</w:t>
      </w:r>
      <w:bookmarkEnd w:id="3"/>
    </w:p>
    <w:p w14:paraId="633B270B">
      <w:pPr>
        <w:spacing w:line="400" w:lineRule="exact"/>
        <w:jc w:val="center"/>
        <w:rPr>
          <w:rFonts w:ascii="宋体"/>
          <w:b/>
          <w:bCs/>
          <w:color w:val="auto"/>
          <w:sz w:val="32"/>
          <w:szCs w:val="32"/>
          <w:highlight w:val="none"/>
        </w:rPr>
      </w:pPr>
      <w:r>
        <w:rPr>
          <w:rFonts w:hint="eastAsia" w:ascii="宋体" w:hAnsi="宋体"/>
          <w:b/>
          <w:bCs/>
          <w:color w:val="auto"/>
          <w:sz w:val="32"/>
          <w:szCs w:val="32"/>
          <w:highlight w:val="none"/>
        </w:rPr>
        <w:t>竞争性谈判公告</w:t>
      </w:r>
    </w:p>
    <w:p w14:paraId="6D47FDBA">
      <w:pPr>
        <w:spacing w:line="360" w:lineRule="auto"/>
        <w:rPr>
          <w:rFonts w:ascii="宋体"/>
          <w:color w:val="auto"/>
          <w:szCs w:val="21"/>
          <w:highlight w:val="none"/>
        </w:rPr>
      </w:pPr>
    </w:p>
    <w:p w14:paraId="570E4A9F">
      <w:pPr>
        <w:pBdr>
          <w:top w:val="single" w:color="auto" w:sz="4" w:space="1"/>
          <w:left w:val="single" w:color="auto" w:sz="4" w:space="4"/>
          <w:bottom w:val="single" w:color="auto" w:sz="4" w:space="1"/>
          <w:right w:val="single" w:color="auto" w:sz="4" w:space="4"/>
        </w:pBdr>
        <w:tabs>
          <w:tab w:val="left" w:pos="3068"/>
        </w:tabs>
        <w:spacing w:line="360" w:lineRule="auto"/>
        <w:ind w:firstLine="420" w:firstLineChars="200"/>
        <w:rPr>
          <w:rFonts w:ascii="宋体"/>
          <w:color w:val="auto"/>
          <w:szCs w:val="21"/>
          <w:highlight w:val="none"/>
        </w:rPr>
      </w:pPr>
      <w:bookmarkStart w:id="4" w:name="_Hlk37430271"/>
      <w:r>
        <w:rPr>
          <w:rFonts w:hint="eastAsia" w:ascii="宋体" w:hAnsi="宋体"/>
          <w:color w:val="auto"/>
          <w:szCs w:val="21"/>
          <w:highlight w:val="none"/>
        </w:rPr>
        <w:t>项目概况</w:t>
      </w:r>
      <w:r>
        <w:rPr>
          <w:rFonts w:ascii="宋体" w:hAnsi="宋体"/>
          <w:color w:val="auto"/>
          <w:szCs w:val="21"/>
          <w:highlight w:val="none"/>
        </w:rPr>
        <w:tab/>
      </w:r>
    </w:p>
    <w:p w14:paraId="5E81D57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highlight w:val="none"/>
        </w:rPr>
      </w:pPr>
      <w:r>
        <w:rPr>
          <w:rFonts w:hint="eastAsia" w:ascii="宋体" w:hAnsi="宋体"/>
          <w:color w:val="auto"/>
          <w:szCs w:val="21"/>
          <w:highlight w:val="none"/>
        </w:rPr>
        <w:t>环境学院实验教学中心仪器设备采购项目的潜在供应商应在广西政府采购云平台（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）获取（下载）竞争性谈判文件，并于2025年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w:t>
      </w:r>
      <w:r>
        <w:rPr>
          <w:rFonts w:hint="eastAsia" w:ascii="宋体" w:hAnsi="宋体"/>
          <w:bCs/>
          <w:color w:val="auto"/>
          <w:szCs w:val="21"/>
          <w:highlight w:val="none"/>
        </w:rPr>
        <w:t>上午9时</w:t>
      </w:r>
      <w:r>
        <w:rPr>
          <w:rFonts w:hint="eastAsia" w:ascii="宋体"/>
          <w:bCs/>
          <w:color w:val="auto"/>
          <w:szCs w:val="21"/>
          <w:highlight w:val="none"/>
        </w:rPr>
        <w:t>3</w:t>
      </w:r>
      <w:r>
        <w:rPr>
          <w:rFonts w:ascii="宋体"/>
          <w:bCs/>
          <w:color w:val="auto"/>
          <w:szCs w:val="21"/>
          <w:highlight w:val="none"/>
        </w:rPr>
        <w:t>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1127D93E">
      <w:pPr>
        <w:spacing w:line="380" w:lineRule="exact"/>
        <w:ind w:firstLine="360" w:firstLineChars="150"/>
        <w:rPr>
          <w:rFonts w:ascii="黑体" w:hAnsi="黑体" w:eastAsia="黑体"/>
          <w:color w:val="auto"/>
          <w:sz w:val="24"/>
          <w:highlight w:val="none"/>
        </w:rPr>
      </w:pPr>
      <w:bookmarkStart w:id="5" w:name="_Toc71366040"/>
      <w:bookmarkStart w:id="6" w:name="_Toc35393798"/>
      <w:bookmarkStart w:id="7" w:name="_Toc35393629"/>
      <w:bookmarkStart w:id="8" w:name="_Toc71365362"/>
      <w:bookmarkStart w:id="9" w:name="_Toc28359089"/>
      <w:bookmarkStart w:id="10" w:name="_Toc28359012"/>
      <w:r>
        <w:rPr>
          <w:rFonts w:hint="eastAsia" w:ascii="黑体" w:hAnsi="黑体" w:eastAsia="黑体"/>
          <w:color w:val="auto"/>
          <w:sz w:val="24"/>
          <w:highlight w:val="none"/>
        </w:rPr>
        <w:t>一、项目基本情况</w:t>
      </w:r>
      <w:bookmarkEnd w:id="5"/>
      <w:bookmarkEnd w:id="6"/>
      <w:bookmarkEnd w:id="7"/>
      <w:bookmarkEnd w:id="8"/>
      <w:bookmarkEnd w:id="9"/>
      <w:bookmarkEnd w:id="10"/>
    </w:p>
    <w:p w14:paraId="7F778D65">
      <w:pPr>
        <w:spacing w:line="380" w:lineRule="exact"/>
        <w:ind w:firstLine="420" w:firstLineChars="200"/>
        <w:rPr>
          <w:rFonts w:ascii="宋体"/>
          <w:color w:val="auto"/>
          <w:szCs w:val="21"/>
          <w:highlight w:val="none"/>
        </w:rPr>
      </w:pPr>
      <w:r>
        <w:rPr>
          <w:rFonts w:hint="eastAsia" w:ascii="宋体" w:hAnsi="宋体"/>
          <w:color w:val="auto"/>
          <w:szCs w:val="21"/>
          <w:highlight w:val="none"/>
        </w:rPr>
        <w:t>项目编号：GXZC2025-J1-001715-YZLZ（代理编号：YZLGL2025-J1-019-GXZC）</w:t>
      </w:r>
    </w:p>
    <w:p w14:paraId="5476819D">
      <w:pPr>
        <w:spacing w:line="380" w:lineRule="exact"/>
        <w:ind w:firstLine="420" w:firstLineChars="200"/>
        <w:rPr>
          <w:rFonts w:ascii="宋体"/>
          <w:color w:val="auto"/>
          <w:szCs w:val="21"/>
          <w:highlight w:val="none"/>
        </w:rPr>
      </w:pPr>
      <w:r>
        <w:rPr>
          <w:rFonts w:hint="eastAsia" w:ascii="宋体" w:hAnsi="宋体"/>
          <w:color w:val="auto"/>
          <w:szCs w:val="21"/>
          <w:highlight w:val="none"/>
        </w:rPr>
        <w:t>项目名称：环境学院实验教学中心仪器设备采购</w:t>
      </w:r>
    </w:p>
    <w:p w14:paraId="42CD1D41">
      <w:pPr>
        <w:spacing w:line="380" w:lineRule="exact"/>
        <w:ind w:firstLine="420" w:firstLineChars="200"/>
        <w:rPr>
          <w:rFonts w:ascii="宋体"/>
          <w:color w:val="auto"/>
          <w:szCs w:val="21"/>
          <w:highlight w:val="none"/>
        </w:rPr>
      </w:pPr>
      <w:r>
        <w:rPr>
          <w:rFonts w:hint="eastAsia" w:ascii="宋体" w:hAnsi="宋体"/>
          <w:color w:val="auto"/>
          <w:szCs w:val="21"/>
          <w:highlight w:val="none"/>
        </w:rPr>
        <w:t>采购方式：竞争性谈判</w:t>
      </w:r>
    </w:p>
    <w:p w14:paraId="2A02C77A">
      <w:pPr>
        <w:tabs>
          <w:tab w:val="left" w:pos="5880"/>
        </w:tabs>
        <w:spacing w:line="380" w:lineRule="exact"/>
        <w:ind w:firstLine="420" w:firstLineChars="200"/>
        <w:rPr>
          <w:rFonts w:ascii="宋体"/>
          <w:color w:val="auto"/>
          <w:szCs w:val="21"/>
          <w:highlight w:val="none"/>
        </w:rPr>
      </w:pPr>
      <w:r>
        <w:rPr>
          <w:rFonts w:hint="eastAsia" w:ascii="宋体" w:hAnsi="宋体"/>
          <w:color w:val="auto"/>
          <w:szCs w:val="21"/>
          <w:highlight w:val="none"/>
        </w:rPr>
        <w:t>预算金额：人民币</w:t>
      </w:r>
      <w:r>
        <w:rPr>
          <w:rFonts w:hint="eastAsia" w:ascii="宋体" w:hAnsi="宋体"/>
          <w:color w:val="auto"/>
          <w:szCs w:val="21"/>
          <w:highlight w:val="none"/>
          <w:lang w:eastAsia="zh-CN"/>
        </w:rPr>
        <w:t>壹佰陆拾肆万贰仟捌佰元整（¥1642800.00）</w:t>
      </w:r>
    </w:p>
    <w:p w14:paraId="41651898">
      <w:pPr>
        <w:spacing w:line="380" w:lineRule="exact"/>
        <w:ind w:firstLine="420" w:firstLineChars="200"/>
        <w:rPr>
          <w:rFonts w:ascii="宋体"/>
          <w:color w:val="auto"/>
          <w:szCs w:val="21"/>
          <w:highlight w:val="none"/>
        </w:rPr>
      </w:pPr>
      <w:r>
        <w:rPr>
          <w:rFonts w:hint="eastAsia" w:ascii="宋体" w:hAnsi="宋体"/>
          <w:color w:val="auto"/>
          <w:szCs w:val="21"/>
          <w:highlight w:val="none"/>
        </w:rPr>
        <w:t>最高限价（如有）：无</w:t>
      </w:r>
    </w:p>
    <w:p w14:paraId="1ADA2D6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p w14:paraId="758F158C">
      <w:pPr>
        <w:spacing w:line="380" w:lineRule="exact"/>
        <w:ind w:firstLine="420" w:firstLineChars="200"/>
        <w:rPr>
          <w:rFonts w:asciiTheme="majorEastAsia" w:hAnsiTheme="majorEastAsia" w:eastAsiaTheme="majorEastAsia" w:cstheme="majorEastAsia"/>
          <w:color w:val="auto"/>
          <w:szCs w:val="21"/>
          <w:highlight w:val="none"/>
        </w:rPr>
      </w:pPr>
      <w:r>
        <w:rPr>
          <w:rFonts w:hint="eastAsia" w:ascii="宋体" w:hAnsi="宋体"/>
          <w:color w:val="auto"/>
          <w:szCs w:val="21"/>
          <w:highlight w:val="none"/>
        </w:rPr>
        <w:t>（1）标的的名称、数量：海绵城市实训软件1套、蠕动泵泵头10台、多通道蠕动泵5台、压片机1台、液液萃取塔实验3D虚拟仿真软件1套、静电除尘实验3D仿真软件1套、碱液吸收3D仿真软件1套、袋式除尘器1台、电子天平2台、图形工作站6台、移动工作站1台、分光光度计8台、便携式溶解氧分析仪1台、大气综合采样器3台、积分声级计4台、COD标准消解器1台、智能一体化蒸馏仪1台、低速台式离心机3台、低速台式离心机1台、无人机遥感实验教学软件平台1套、模式模拟教学软件系统1套、</w:t>
      </w:r>
      <w:r>
        <w:rPr>
          <w:rFonts w:hint="eastAsia" w:asciiTheme="majorEastAsia" w:hAnsiTheme="majorEastAsia" w:eastAsiaTheme="majorEastAsia" w:cstheme="majorEastAsia"/>
          <w:color w:val="auto"/>
          <w:szCs w:val="21"/>
          <w:highlight w:val="none"/>
        </w:rPr>
        <w:t>图形工作站15台</w:t>
      </w:r>
      <w:r>
        <w:rPr>
          <w:rFonts w:hint="eastAsia" w:asciiTheme="majorEastAsia" w:hAnsiTheme="majorEastAsia" w:eastAsiaTheme="majorEastAsia" w:cstheme="majorEastAsia"/>
          <w:color w:val="auto"/>
          <w:szCs w:val="21"/>
          <w:highlight w:val="none"/>
          <w:lang w:eastAsia="zh-CN"/>
        </w:rPr>
        <w:t>、</w:t>
      </w:r>
      <w:r>
        <w:rPr>
          <w:rFonts w:hint="eastAsia" w:ascii="宋体" w:hAnsi="宋体"/>
          <w:color w:val="auto"/>
          <w:szCs w:val="21"/>
          <w:highlight w:val="none"/>
        </w:rPr>
        <w:t>激光雷达校正标准漫反射板10块、无人机电池</w:t>
      </w:r>
      <w:r>
        <w:rPr>
          <w:rFonts w:hint="eastAsia" w:ascii="宋体" w:hAnsi="宋体"/>
          <w:color w:val="auto"/>
          <w:szCs w:val="21"/>
          <w:highlight w:val="none"/>
        </w:rPr>
        <w:t>4个、双面</w:t>
      </w:r>
      <w:r>
        <w:rPr>
          <w:rFonts w:hint="eastAsia" w:ascii="宋体" w:hAnsi="宋体"/>
          <w:color w:val="auto"/>
          <w:szCs w:val="21"/>
          <w:highlight w:val="none"/>
        </w:rPr>
        <w:t>尺5个、卷尺10个、雨量筒2个、显微镜柜5台、电子天平8台、土壤消化炉2台、油浴锅2台、数控加热超声波清洗机1台、循环水多用真空泵3台、除湿机3台、振荡式机械筛分仪2台、新风系统1套；（2）简要技术需求或者服务要求：</w:t>
      </w:r>
      <w:r>
        <w:rPr>
          <w:rFonts w:hint="eastAsia" w:asciiTheme="majorEastAsia" w:hAnsiTheme="majorEastAsia" w:eastAsiaTheme="majorEastAsia" w:cstheme="majorEastAsia"/>
          <w:color w:val="auto"/>
          <w:szCs w:val="21"/>
          <w:highlight w:val="none"/>
        </w:rPr>
        <w:t>按国家有关产品“三包”规定执行“三包”，第10</w:t>
      </w:r>
      <w:r>
        <w:rPr>
          <w:rFonts w:hint="eastAsia" w:asciiTheme="majorEastAsia" w:hAnsiTheme="majorEastAsia" w:eastAsiaTheme="majorEastAsia" w:cstheme="majorEastAsia"/>
          <w:color w:val="auto"/>
          <w:kern w:val="0"/>
          <w:szCs w:val="21"/>
          <w:highlight w:val="none"/>
          <w:lang w:bidi="ar"/>
        </w:rPr>
        <w:t>、</w:t>
      </w:r>
      <w:r>
        <w:rPr>
          <w:rFonts w:hint="eastAsia" w:asciiTheme="majorEastAsia" w:hAnsiTheme="majorEastAsia" w:eastAsiaTheme="majorEastAsia" w:cstheme="majorEastAsia"/>
          <w:color w:val="auto"/>
          <w:szCs w:val="21"/>
          <w:highlight w:val="none"/>
        </w:rPr>
        <w:t>22项号标的“图形工作站”质保（保修、维护、升级）期自验收合格之日起不</w:t>
      </w:r>
      <w:r>
        <w:rPr>
          <w:rFonts w:hint="eastAsia" w:asciiTheme="majorEastAsia" w:hAnsiTheme="majorEastAsia" w:eastAsiaTheme="majorEastAsia" w:cstheme="majorEastAsia"/>
          <w:color w:val="auto"/>
          <w:kern w:val="0"/>
          <w:szCs w:val="21"/>
          <w:highlight w:val="none"/>
          <w:lang w:bidi="ar"/>
        </w:rPr>
        <w:t>少于</w:t>
      </w:r>
      <w:r>
        <w:rPr>
          <w:rFonts w:hint="eastAsia" w:asciiTheme="majorEastAsia" w:hAnsiTheme="majorEastAsia" w:eastAsiaTheme="majorEastAsia" w:cstheme="majorEastAsia"/>
          <w:color w:val="auto"/>
          <w:kern w:val="0"/>
          <w:szCs w:val="21"/>
          <w:highlight w:val="none"/>
          <w:u w:val="single"/>
          <w:lang w:bidi="ar"/>
        </w:rPr>
        <w:t>3</w:t>
      </w:r>
      <w:r>
        <w:rPr>
          <w:rFonts w:hint="eastAsia" w:asciiTheme="majorEastAsia" w:hAnsiTheme="majorEastAsia" w:eastAsiaTheme="majorEastAsia" w:cstheme="majorEastAsia"/>
          <w:color w:val="auto"/>
          <w:kern w:val="0"/>
          <w:szCs w:val="21"/>
          <w:highlight w:val="none"/>
          <w:lang w:bidi="ar"/>
        </w:rPr>
        <w:t>年，其余各项号标的</w:t>
      </w:r>
      <w:r>
        <w:rPr>
          <w:rFonts w:hint="eastAsia" w:asciiTheme="majorEastAsia" w:hAnsiTheme="majorEastAsia" w:eastAsiaTheme="majorEastAsia" w:cstheme="majorEastAsia"/>
          <w:color w:val="auto"/>
          <w:szCs w:val="21"/>
          <w:highlight w:val="none"/>
        </w:rPr>
        <w:t>质保（保修、维护、升级）期自验收合格之日起不少于</w:t>
      </w:r>
      <w:r>
        <w:rPr>
          <w:rFonts w:hint="eastAsia" w:asciiTheme="majorEastAsia" w:hAnsiTheme="majorEastAsia" w:eastAsiaTheme="majorEastAsia" w:cstheme="majorEastAsia"/>
          <w:color w:val="auto"/>
          <w:szCs w:val="21"/>
          <w:highlight w:val="none"/>
          <w:u w:val="single"/>
        </w:rPr>
        <w:t>1</w:t>
      </w:r>
      <w:r>
        <w:rPr>
          <w:rFonts w:hint="eastAsia" w:asciiTheme="majorEastAsia" w:hAnsiTheme="majorEastAsia" w:eastAsiaTheme="majorEastAsia" w:cstheme="majorEastAsia"/>
          <w:color w:val="auto"/>
          <w:szCs w:val="21"/>
          <w:highlight w:val="none"/>
        </w:rPr>
        <w:t>年。</w:t>
      </w:r>
    </w:p>
    <w:p w14:paraId="1469FBED">
      <w:pPr>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合同履行期限：自签订合同之日起</w:t>
      </w:r>
      <w:r>
        <w:rPr>
          <w:rFonts w:hint="eastAsia" w:ascii="宋体" w:hAnsi="宋体"/>
          <w:b/>
          <w:bCs/>
          <w:color w:val="auto"/>
          <w:szCs w:val="21"/>
          <w:highlight w:val="none"/>
          <w:u w:val="single"/>
        </w:rPr>
        <w:t>60</w:t>
      </w:r>
      <w:r>
        <w:rPr>
          <w:rFonts w:hint="eastAsia" w:ascii="宋体" w:hAnsi="宋体"/>
          <w:b/>
          <w:bCs/>
          <w:color w:val="auto"/>
          <w:szCs w:val="21"/>
          <w:highlight w:val="none"/>
        </w:rPr>
        <w:t>个日历日内到货并全部安装调试合格完毕。</w:t>
      </w:r>
    </w:p>
    <w:p w14:paraId="28293A18">
      <w:pPr>
        <w:spacing w:line="380" w:lineRule="exact"/>
        <w:ind w:firstLine="426" w:firstLineChars="202"/>
        <w:rPr>
          <w:rFonts w:ascii="宋体" w:hAnsi="宋体"/>
          <w:b/>
          <w:bCs/>
          <w:color w:val="auto"/>
          <w:szCs w:val="21"/>
          <w:highlight w:val="none"/>
        </w:rPr>
      </w:pPr>
      <w:r>
        <w:rPr>
          <w:rFonts w:hint="eastAsia" w:ascii="宋体" w:hAnsi="宋体"/>
          <w:b/>
          <w:bCs/>
          <w:color w:val="auto"/>
          <w:szCs w:val="21"/>
          <w:highlight w:val="none"/>
        </w:rPr>
        <w:t>本项目不接受联合体。</w:t>
      </w:r>
    </w:p>
    <w:p w14:paraId="3E51D155">
      <w:pPr>
        <w:spacing w:line="380" w:lineRule="exact"/>
        <w:ind w:firstLine="420"/>
        <w:rPr>
          <w:rFonts w:ascii="黑体" w:hAnsi="黑体" w:eastAsia="黑体"/>
          <w:color w:val="auto"/>
          <w:sz w:val="24"/>
          <w:highlight w:val="none"/>
        </w:rPr>
      </w:pPr>
      <w:bookmarkStart w:id="11" w:name="_Toc35393799"/>
      <w:bookmarkStart w:id="12" w:name="_Toc28359090"/>
      <w:bookmarkStart w:id="13" w:name="_Toc35393630"/>
      <w:bookmarkStart w:id="14" w:name="_Toc71366041"/>
      <w:bookmarkStart w:id="15" w:name="_Toc71365363"/>
      <w:bookmarkStart w:id="16" w:name="_Toc28359013"/>
      <w:r>
        <w:rPr>
          <w:rFonts w:hint="eastAsia" w:ascii="黑体" w:hAnsi="黑体" w:eastAsia="黑体"/>
          <w:color w:val="auto"/>
          <w:sz w:val="24"/>
          <w:highlight w:val="none"/>
        </w:rPr>
        <w:t>二、供应商的资格条件：</w:t>
      </w:r>
      <w:bookmarkEnd w:id="11"/>
      <w:bookmarkEnd w:id="12"/>
      <w:bookmarkEnd w:id="13"/>
      <w:bookmarkEnd w:id="14"/>
      <w:bookmarkEnd w:id="15"/>
      <w:bookmarkEnd w:id="16"/>
    </w:p>
    <w:p w14:paraId="2DE0E7DF">
      <w:pPr>
        <w:spacing w:line="380" w:lineRule="exact"/>
        <w:ind w:firstLine="420" w:firstLineChars="200"/>
        <w:rPr>
          <w:rFonts w:ascii="宋体"/>
          <w:color w:val="auto"/>
          <w:szCs w:val="21"/>
          <w:highlight w:val="none"/>
        </w:rPr>
      </w:pPr>
      <w:bookmarkStart w:id="17" w:name="_Toc28359091"/>
      <w:bookmarkStart w:id="18" w:name="_Toc28359014"/>
      <w:r>
        <w:rPr>
          <w:rFonts w:ascii="宋体" w:hAnsi="宋体"/>
          <w:color w:val="auto"/>
          <w:szCs w:val="21"/>
          <w:highlight w:val="none"/>
        </w:rPr>
        <w:t>1.</w:t>
      </w:r>
      <w:r>
        <w:rPr>
          <w:rFonts w:hint="eastAsia" w:ascii="宋体" w:hAnsi="宋体"/>
          <w:color w:val="auto"/>
          <w:szCs w:val="21"/>
          <w:highlight w:val="none"/>
        </w:rPr>
        <w:t>满足《中华人民共和国政府采购法》第二十二条规定；</w:t>
      </w:r>
    </w:p>
    <w:p w14:paraId="32C95D53">
      <w:pPr>
        <w:spacing w:line="380" w:lineRule="exact"/>
        <w:ind w:firstLine="420" w:firstLineChars="200"/>
        <w:rPr>
          <w:rFonts w:ascii="宋体"/>
          <w:color w:val="auto"/>
          <w:szCs w:val="21"/>
          <w:highlight w:val="none"/>
        </w:rPr>
      </w:pPr>
      <w:r>
        <w:rPr>
          <w:rFonts w:ascii="宋体" w:hAnsi="宋体"/>
          <w:color w:val="auto"/>
          <w:szCs w:val="21"/>
          <w:highlight w:val="none"/>
        </w:rPr>
        <w:t>2</w:t>
      </w:r>
      <w:r>
        <w:rPr>
          <w:rFonts w:ascii="宋体"/>
          <w:color w:val="auto"/>
          <w:szCs w:val="21"/>
          <w:highlight w:val="none"/>
        </w:rPr>
        <w:t>.</w:t>
      </w:r>
      <w:r>
        <w:rPr>
          <w:rFonts w:hint="eastAsia" w:ascii="宋体" w:hAnsi="宋体"/>
          <w:color w:val="auto"/>
          <w:szCs w:val="21"/>
          <w:highlight w:val="none"/>
        </w:rPr>
        <w:t>落实政府采购政策需满足的资格要求：无；</w:t>
      </w:r>
    </w:p>
    <w:p w14:paraId="10F1AA78">
      <w:pPr>
        <w:spacing w:line="38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本项目的特定资格要求：</w:t>
      </w:r>
      <w:r>
        <w:rPr>
          <w:rFonts w:hint="eastAsia" w:ascii="宋体" w:hAnsi="宋体"/>
          <w:color w:val="auto"/>
          <w:szCs w:val="21"/>
          <w:highlight w:val="none"/>
          <w:lang w:eastAsia="zh-CN"/>
        </w:rPr>
        <w:t>无</w:t>
      </w:r>
      <w:r>
        <w:rPr>
          <w:rFonts w:hint="eastAsia" w:ascii="宋体" w:hAnsi="宋体"/>
          <w:color w:val="auto"/>
          <w:szCs w:val="21"/>
          <w:highlight w:val="none"/>
        </w:rPr>
        <w:t>。</w:t>
      </w:r>
    </w:p>
    <w:p w14:paraId="3E24D40D">
      <w:pPr>
        <w:spacing w:line="380" w:lineRule="exact"/>
        <w:ind w:firstLine="480" w:firstLineChars="200"/>
        <w:rPr>
          <w:rFonts w:ascii="黑体" w:hAnsi="黑体" w:eastAsia="黑体"/>
          <w:color w:val="auto"/>
          <w:sz w:val="24"/>
          <w:highlight w:val="none"/>
        </w:rPr>
      </w:pPr>
      <w:bookmarkStart w:id="19" w:name="_Toc35393631"/>
      <w:bookmarkStart w:id="20" w:name="_Toc71366042"/>
      <w:bookmarkStart w:id="21" w:name="_Toc71365364"/>
      <w:bookmarkStart w:id="22" w:name="_Toc35393800"/>
      <w:r>
        <w:rPr>
          <w:rFonts w:hint="eastAsia" w:ascii="黑体" w:hAnsi="黑体" w:eastAsia="黑体"/>
          <w:color w:val="auto"/>
          <w:sz w:val="24"/>
          <w:highlight w:val="none"/>
        </w:rPr>
        <w:t>三、获取竞争性谈判文件</w:t>
      </w:r>
      <w:bookmarkEnd w:id="17"/>
      <w:bookmarkEnd w:id="18"/>
      <w:bookmarkEnd w:id="19"/>
      <w:bookmarkEnd w:id="20"/>
      <w:bookmarkEnd w:id="21"/>
      <w:bookmarkEnd w:id="22"/>
    </w:p>
    <w:p w14:paraId="6C9B3394">
      <w:pPr>
        <w:spacing w:line="380" w:lineRule="exact"/>
        <w:ind w:firstLine="424" w:firstLineChars="202"/>
        <w:rPr>
          <w:rFonts w:asci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日，每天上午</w:t>
      </w:r>
      <w:r>
        <w:rPr>
          <w:rFonts w:ascii="宋体" w:hAnsi="宋体" w:cs="宋体"/>
          <w:bCs/>
          <w:color w:val="auto"/>
          <w:kern w:val="0"/>
          <w:szCs w:val="21"/>
          <w:highlight w:val="none"/>
        </w:rPr>
        <w:t>00:00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11:59</w:t>
      </w:r>
      <w:r>
        <w:rPr>
          <w:rFonts w:hint="eastAsia" w:ascii="宋体" w:hAnsi="宋体" w:cs="宋体"/>
          <w:bCs/>
          <w:color w:val="auto"/>
          <w:kern w:val="0"/>
          <w:szCs w:val="21"/>
          <w:highlight w:val="none"/>
        </w:rPr>
        <w:t>，下午</w:t>
      </w:r>
      <w:r>
        <w:rPr>
          <w:rFonts w:ascii="宋体" w:hAnsi="宋体" w:cs="宋体"/>
          <w:bCs/>
          <w:color w:val="auto"/>
          <w:kern w:val="0"/>
          <w:szCs w:val="21"/>
          <w:highlight w:val="none"/>
        </w:rPr>
        <w:t>12:00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23:59</w:t>
      </w:r>
      <w:r>
        <w:rPr>
          <w:rFonts w:hint="eastAsia" w:ascii="宋体" w:hAnsi="宋体" w:cs="宋体"/>
          <w:bCs/>
          <w:color w:val="auto"/>
          <w:kern w:val="0"/>
          <w:szCs w:val="21"/>
          <w:highlight w:val="none"/>
        </w:rPr>
        <w:t>（北京时间，法定节假日除外）</w:t>
      </w:r>
    </w:p>
    <w:p w14:paraId="32A8976D">
      <w:pPr>
        <w:spacing w:line="380" w:lineRule="exact"/>
        <w:ind w:firstLine="424" w:firstLineChars="202"/>
        <w:rPr>
          <w:rFonts w:ascii="宋体" w:hAnsi="宋体"/>
          <w:color w:val="auto"/>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31"/>
          <w:rFonts w:hint="eastAsia" w:ascii="宋体" w:hAnsi="宋体"/>
          <w:bCs/>
          <w:color w:val="auto"/>
          <w:szCs w:val="21"/>
          <w:highlight w:val="none"/>
          <w:u w:val="none"/>
        </w:rPr>
        <w:t>https://www.gcy.zfcg.gxzf.gov.cn/</w:t>
      </w:r>
      <w:r>
        <w:rPr>
          <w:rStyle w:val="31"/>
          <w:rFonts w:hint="eastAsia" w:ascii="宋体" w:hAnsi="宋体"/>
          <w:bCs/>
          <w:color w:val="auto"/>
          <w:szCs w:val="21"/>
          <w:highlight w:val="none"/>
          <w:u w:val="none"/>
        </w:rPr>
        <w:fldChar w:fldCharType="end"/>
      </w:r>
      <w:r>
        <w:rPr>
          <w:rFonts w:hint="eastAsia" w:ascii="宋体" w:hAnsi="宋体"/>
          <w:color w:val="auto"/>
          <w:szCs w:val="21"/>
          <w:highlight w:val="none"/>
        </w:rPr>
        <w:t>）</w:t>
      </w:r>
    </w:p>
    <w:p w14:paraId="2FC5221D">
      <w:pPr>
        <w:spacing w:line="380" w:lineRule="exact"/>
        <w:ind w:firstLine="424" w:firstLineChars="202"/>
        <w:rPr>
          <w:rFonts w:asci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ascii="宋体" w:cs="宋体"/>
          <w:bCs/>
          <w:color w:val="auto"/>
          <w:kern w:val="0"/>
          <w:szCs w:val="21"/>
          <w:highlight w:val="none"/>
        </w:rPr>
        <w:t>-</w:t>
      </w:r>
      <w:r>
        <w:rPr>
          <w:rFonts w:hint="eastAsia" w:ascii="宋体" w:hAnsi="宋体" w:cs="宋体"/>
          <w:bCs/>
          <w:color w:val="auto"/>
          <w:kern w:val="0"/>
          <w:szCs w:val="21"/>
          <w:highlight w:val="none"/>
        </w:rPr>
        <w:t>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7A59D819">
      <w:pPr>
        <w:spacing w:line="380" w:lineRule="exact"/>
        <w:ind w:firstLine="424" w:firstLineChars="202"/>
        <w:rPr>
          <w:rFonts w:ascii="宋体" w:cs="宋体"/>
          <w:bCs/>
          <w:color w:val="auto"/>
          <w:kern w:val="0"/>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14:paraId="4833F2D1">
      <w:pPr>
        <w:spacing w:line="380" w:lineRule="exact"/>
        <w:ind w:firstLine="360" w:firstLineChars="150"/>
        <w:rPr>
          <w:rFonts w:ascii="黑体" w:hAnsi="黑体" w:eastAsia="黑体"/>
          <w:color w:val="auto"/>
          <w:sz w:val="24"/>
          <w:highlight w:val="none"/>
        </w:rPr>
      </w:pPr>
      <w:bookmarkStart w:id="23" w:name="_Toc35393632"/>
      <w:bookmarkStart w:id="24" w:name="_Toc28359015"/>
      <w:bookmarkStart w:id="25" w:name="_Toc35393801"/>
      <w:bookmarkStart w:id="26" w:name="_Toc71365365"/>
      <w:bookmarkStart w:id="27" w:name="_Toc71366043"/>
      <w:bookmarkStart w:id="28" w:name="_Toc28359092"/>
      <w:r>
        <w:rPr>
          <w:rFonts w:hint="eastAsia" w:ascii="黑体" w:hAnsi="黑体" w:eastAsia="黑体"/>
          <w:color w:val="auto"/>
          <w:sz w:val="24"/>
          <w:highlight w:val="none"/>
        </w:rPr>
        <w:t>四、响应文件提交</w:t>
      </w:r>
      <w:bookmarkEnd w:id="23"/>
      <w:bookmarkEnd w:id="24"/>
      <w:bookmarkEnd w:id="25"/>
      <w:bookmarkEnd w:id="26"/>
      <w:bookmarkEnd w:id="27"/>
      <w:bookmarkEnd w:id="28"/>
    </w:p>
    <w:p w14:paraId="3A4D7417">
      <w:pPr>
        <w:spacing w:line="380" w:lineRule="exact"/>
        <w:ind w:firstLine="420" w:firstLineChars="200"/>
        <w:rPr>
          <w:rFonts w:ascii="宋体"/>
          <w:bCs/>
          <w:color w:val="auto"/>
          <w:szCs w:val="21"/>
          <w:highlight w:val="none"/>
          <w:u w:val="single"/>
        </w:rPr>
      </w:pPr>
      <w:r>
        <w:rPr>
          <w:rFonts w:hint="eastAsia" w:ascii="宋体" w:hAnsi="宋体"/>
          <w:color w:val="auto"/>
          <w:szCs w:val="21"/>
          <w:highlight w:val="none"/>
        </w:rPr>
        <w:t>截止时间：2025年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日上午9时30分（北京时间</w:t>
      </w:r>
      <w:r>
        <w:rPr>
          <w:rFonts w:hint="eastAsia" w:ascii="宋体" w:hAnsi="宋体"/>
          <w:bCs/>
          <w:color w:val="auto"/>
          <w:szCs w:val="21"/>
          <w:highlight w:val="none"/>
        </w:rPr>
        <w:t>）</w:t>
      </w:r>
    </w:p>
    <w:p w14:paraId="08FBF65F">
      <w:pPr>
        <w:spacing w:line="380" w:lineRule="exact"/>
        <w:ind w:left="422"/>
        <w:rPr>
          <w:rFonts w:ascii="宋体"/>
          <w:bCs/>
          <w:color w:val="auto"/>
          <w:szCs w:val="21"/>
          <w:highlight w:val="none"/>
          <w:u w:val="singl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7F3066DD">
      <w:pPr>
        <w:spacing w:line="380" w:lineRule="exact"/>
        <w:ind w:firstLine="360" w:firstLineChars="150"/>
        <w:rPr>
          <w:rFonts w:ascii="黑体" w:hAnsi="黑体" w:eastAsia="黑体"/>
          <w:color w:val="auto"/>
          <w:sz w:val="24"/>
          <w:highlight w:val="none"/>
        </w:rPr>
      </w:pPr>
      <w:bookmarkStart w:id="29" w:name="_Toc35393802"/>
      <w:bookmarkStart w:id="30" w:name="_Toc71365366"/>
      <w:bookmarkStart w:id="31" w:name="_Toc28359093"/>
      <w:bookmarkStart w:id="32" w:name="_Toc35393633"/>
      <w:bookmarkStart w:id="33" w:name="_Toc71366044"/>
      <w:bookmarkStart w:id="34" w:name="_Toc28359016"/>
      <w:r>
        <w:rPr>
          <w:rFonts w:hint="eastAsia" w:ascii="黑体" w:hAnsi="黑体" w:eastAsia="黑体"/>
          <w:color w:val="auto"/>
          <w:sz w:val="24"/>
          <w:highlight w:val="none"/>
        </w:rPr>
        <w:t>五、开启</w:t>
      </w:r>
      <w:bookmarkEnd w:id="29"/>
      <w:bookmarkEnd w:id="30"/>
      <w:bookmarkEnd w:id="31"/>
      <w:bookmarkEnd w:id="32"/>
      <w:bookmarkEnd w:id="33"/>
      <w:bookmarkEnd w:id="34"/>
    </w:p>
    <w:p w14:paraId="0D620D98">
      <w:pPr>
        <w:spacing w:line="380" w:lineRule="exact"/>
        <w:ind w:firstLine="420" w:firstLineChars="200"/>
        <w:rPr>
          <w:rFonts w:ascii="宋体"/>
          <w:bCs/>
          <w:color w:val="auto"/>
          <w:szCs w:val="21"/>
          <w:highlight w:val="none"/>
          <w:u w:val="single"/>
        </w:rPr>
      </w:pPr>
      <w:r>
        <w:rPr>
          <w:rFonts w:hint="eastAsia" w:ascii="宋体" w:hAnsi="宋体"/>
          <w:color w:val="auto"/>
          <w:szCs w:val="21"/>
          <w:highlight w:val="none"/>
        </w:rPr>
        <w:t>时间：2025年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日上午9时30分（北京时间）</w:t>
      </w:r>
    </w:p>
    <w:p w14:paraId="5FC15F68">
      <w:pPr>
        <w:spacing w:line="380" w:lineRule="exact"/>
        <w:ind w:firstLine="420" w:firstLineChars="200"/>
        <w:rPr>
          <w:rFonts w:ascii="宋体"/>
          <w:bCs/>
          <w:color w:val="auto"/>
          <w:szCs w:val="21"/>
          <w:highlight w:val="none"/>
          <w:u w:val="singl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683C704E">
      <w:pPr>
        <w:spacing w:line="380" w:lineRule="exact"/>
        <w:ind w:firstLine="360" w:firstLineChars="150"/>
        <w:rPr>
          <w:rFonts w:ascii="黑体" w:hAnsi="黑体" w:eastAsia="黑体"/>
          <w:color w:val="auto"/>
          <w:sz w:val="24"/>
          <w:highlight w:val="none"/>
        </w:rPr>
      </w:pPr>
      <w:bookmarkStart w:id="35" w:name="_Toc35393803"/>
      <w:bookmarkStart w:id="36" w:name="_Toc71365367"/>
      <w:bookmarkStart w:id="37" w:name="_Toc35393634"/>
      <w:bookmarkStart w:id="38" w:name="_Toc28359094"/>
      <w:bookmarkStart w:id="39" w:name="_Toc71366045"/>
      <w:bookmarkStart w:id="40" w:name="_Toc28359017"/>
      <w:r>
        <w:rPr>
          <w:rFonts w:hint="eastAsia" w:ascii="黑体" w:hAnsi="黑体" w:eastAsia="黑体"/>
          <w:color w:val="auto"/>
          <w:sz w:val="24"/>
          <w:highlight w:val="none"/>
        </w:rPr>
        <w:t>六、公告期限</w:t>
      </w:r>
      <w:bookmarkEnd w:id="35"/>
      <w:bookmarkEnd w:id="36"/>
      <w:bookmarkEnd w:id="37"/>
      <w:bookmarkEnd w:id="38"/>
      <w:bookmarkEnd w:id="39"/>
      <w:bookmarkEnd w:id="40"/>
    </w:p>
    <w:p w14:paraId="0883AECA">
      <w:pPr>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3</w:t>
      </w:r>
      <w:r>
        <w:rPr>
          <w:rFonts w:hint="eastAsia" w:ascii="宋体" w:hAnsi="宋体" w:cs="宋体"/>
          <w:color w:val="auto"/>
          <w:kern w:val="0"/>
          <w:szCs w:val="21"/>
          <w:highlight w:val="none"/>
        </w:rPr>
        <w:t>个工作日。</w:t>
      </w:r>
    </w:p>
    <w:p w14:paraId="3A40BC14">
      <w:pPr>
        <w:spacing w:line="380" w:lineRule="exact"/>
        <w:ind w:firstLine="360" w:firstLineChars="150"/>
        <w:rPr>
          <w:rFonts w:ascii="黑体" w:hAnsi="黑体" w:eastAsia="黑体"/>
          <w:color w:val="auto"/>
          <w:sz w:val="24"/>
          <w:highlight w:val="none"/>
        </w:rPr>
      </w:pPr>
      <w:bookmarkStart w:id="41" w:name="_Toc35393804"/>
      <w:bookmarkStart w:id="42" w:name="_Toc71366046"/>
      <w:bookmarkStart w:id="43" w:name="_Toc35393635"/>
      <w:bookmarkStart w:id="44" w:name="_Toc71365368"/>
      <w:r>
        <w:rPr>
          <w:rFonts w:hint="eastAsia" w:ascii="黑体" w:hAnsi="黑体" w:eastAsia="黑体"/>
          <w:color w:val="auto"/>
          <w:sz w:val="24"/>
          <w:highlight w:val="none"/>
        </w:rPr>
        <w:t>七、其他补充事宜</w:t>
      </w:r>
      <w:bookmarkEnd w:id="41"/>
      <w:bookmarkEnd w:id="42"/>
      <w:bookmarkEnd w:id="43"/>
      <w:bookmarkEnd w:id="44"/>
    </w:p>
    <w:p w14:paraId="238553B9">
      <w:pPr>
        <w:spacing w:line="38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ascii="宋体" w:cs="宋体"/>
          <w:color w:val="auto"/>
          <w:kern w:val="0"/>
          <w:szCs w:val="21"/>
          <w:highlight w:val="none"/>
        </w:rPr>
        <w:t>.</w:t>
      </w:r>
      <w:r>
        <w:rPr>
          <w:rFonts w:hint="eastAsia" w:ascii="宋体" w:hAnsi="宋体" w:cs="宋体"/>
          <w:color w:val="auto"/>
          <w:kern w:val="0"/>
          <w:szCs w:val="21"/>
          <w:highlight w:val="none"/>
        </w:rPr>
        <w:t>网上查询地址</w:t>
      </w:r>
    </w:p>
    <w:p w14:paraId="4EBB1F01">
      <w:pPr>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）、广西壮族自治区政府采购网（</w:t>
      </w:r>
      <w:r>
        <w:rPr>
          <w:rFonts w:ascii="宋体" w:hAnsi="宋体" w:cs="宋体"/>
          <w:color w:val="auto"/>
          <w:kern w:val="0"/>
          <w:szCs w:val="21"/>
          <w:highlight w:val="none"/>
        </w:rPr>
        <w:t>zfcg.gxzf.gov.cn</w:t>
      </w:r>
      <w:r>
        <w:rPr>
          <w:rFonts w:hint="eastAsia" w:ascii="宋体" w:hAnsi="宋体" w:cs="宋体"/>
          <w:color w:val="auto"/>
          <w:kern w:val="0"/>
          <w:szCs w:val="21"/>
          <w:highlight w:val="none"/>
        </w:rPr>
        <w:t>）。</w:t>
      </w:r>
    </w:p>
    <w:p w14:paraId="7D3B9295">
      <w:pPr>
        <w:spacing w:line="380" w:lineRule="exact"/>
        <w:ind w:firstLine="424" w:firstLineChars="202"/>
        <w:rPr>
          <w:rFonts w:ascii="宋体" w:cs="宋体"/>
          <w:color w:val="auto"/>
          <w:kern w:val="0"/>
          <w:szCs w:val="21"/>
          <w:highlight w:val="none"/>
        </w:rPr>
      </w:pPr>
      <w:bookmarkStart w:id="45" w:name="_Hlk37429674"/>
      <w:bookmarkStart w:id="46" w:name="_Toc71365369"/>
      <w:bookmarkStart w:id="47" w:name="_Toc35393805"/>
      <w:bookmarkStart w:id="48" w:name="_Toc35393636"/>
      <w:bookmarkStart w:id="49" w:name="_Toc71366047"/>
      <w:bookmarkStart w:id="50" w:name="_Toc28359018"/>
      <w:bookmarkStart w:id="51" w:name="_Toc28359095"/>
      <w:r>
        <w:rPr>
          <w:rFonts w:ascii="宋体" w:hAnsi="宋体"/>
          <w:color w:val="auto"/>
          <w:szCs w:val="21"/>
          <w:highlight w:val="none"/>
        </w:rPr>
        <w:t>2</w:t>
      </w:r>
      <w:r>
        <w:rPr>
          <w:rFonts w:ascii="宋体"/>
          <w:color w:val="auto"/>
          <w:szCs w:val="21"/>
          <w:highlight w:val="none"/>
        </w:rPr>
        <w:t>.</w:t>
      </w:r>
      <w:r>
        <w:rPr>
          <w:rFonts w:hint="eastAsia" w:ascii="宋体" w:hAnsi="宋体" w:cs="宋体"/>
          <w:color w:val="auto"/>
          <w:kern w:val="0"/>
          <w:szCs w:val="21"/>
          <w:highlight w:val="none"/>
        </w:rPr>
        <w:t>本项目需要落实的政府采购政策</w:t>
      </w:r>
    </w:p>
    <w:p w14:paraId="62CD65AB">
      <w:pPr>
        <w:spacing w:line="38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1</w:t>
      </w:r>
      <w:r>
        <w:rPr>
          <w:rFonts w:hint="eastAsia" w:ascii="宋体" w:hAnsi="宋体" w:cs="宋体"/>
          <w:iCs/>
          <w:color w:val="auto"/>
          <w:kern w:val="0"/>
          <w:szCs w:val="21"/>
          <w:highlight w:val="none"/>
        </w:rPr>
        <w:t>）政府采购促进中小企业发展</w:t>
      </w:r>
      <w:r>
        <w:rPr>
          <w:rFonts w:hint="eastAsia" w:ascii="宋体" w:hAnsi="宋体" w:cs="宋体"/>
          <w:bCs/>
          <w:color w:val="auto"/>
          <w:szCs w:val="21"/>
          <w:highlight w:val="none"/>
        </w:rPr>
        <w:t>（</w:t>
      </w:r>
      <w:r>
        <w:rPr>
          <w:rFonts w:hint="eastAsia" w:ascii="宋体" w:hAnsi="宋体" w:cs="宋体"/>
          <w:color w:val="auto"/>
          <w:szCs w:val="21"/>
          <w:highlight w:val="none"/>
        </w:rPr>
        <w:t>本项目非专门面向中小企业采购）</w:t>
      </w:r>
      <w:r>
        <w:rPr>
          <w:rFonts w:hint="eastAsia" w:ascii="宋体" w:hAnsi="宋体" w:cs="宋体"/>
          <w:iCs/>
          <w:color w:val="auto"/>
          <w:kern w:val="0"/>
          <w:szCs w:val="21"/>
          <w:highlight w:val="none"/>
        </w:rPr>
        <w:t>。</w:t>
      </w:r>
    </w:p>
    <w:p w14:paraId="6BC71AAC">
      <w:pPr>
        <w:spacing w:line="38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2</w:t>
      </w:r>
      <w:r>
        <w:rPr>
          <w:rFonts w:hint="eastAsia" w:ascii="宋体" w:hAnsi="宋体" w:cs="宋体"/>
          <w:iCs/>
          <w:color w:val="auto"/>
          <w:kern w:val="0"/>
          <w:szCs w:val="21"/>
          <w:highlight w:val="none"/>
        </w:rPr>
        <w:t>）政府采购支持采用本国产品的政策。</w:t>
      </w:r>
    </w:p>
    <w:p w14:paraId="0D0E6FE0">
      <w:pPr>
        <w:spacing w:line="38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3</w:t>
      </w:r>
      <w:r>
        <w:rPr>
          <w:rFonts w:hint="eastAsia" w:ascii="宋体" w:hAnsi="宋体" w:cs="宋体"/>
          <w:iCs/>
          <w:color w:val="auto"/>
          <w:kern w:val="0"/>
          <w:szCs w:val="21"/>
          <w:highlight w:val="none"/>
        </w:rPr>
        <w:t>）强制采购节能产品；优先采购节能产品、环境标志产品。</w:t>
      </w:r>
    </w:p>
    <w:p w14:paraId="74EB324F">
      <w:pPr>
        <w:spacing w:line="38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4</w:t>
      </w:r>
      <w:r>
        <w:rPr>
          <w:rFonts w:hint="eastAsia" w:ascii="宋体" w:hAnsi="宋体" w:cs="宋体"/>
          <w:iCs/>
          <w:color w:val="auto"/>
          <w:kern w:val="0"/>
          <w:szCs w:val="21"/>
          <w:highlight w:val="none"/>
        </w:rPr>
        <w:t>）政府采购促进残疾人就业政策。</w:t>
      </w:r>
    </w:p>
    <w:p w14:paraId="7A121BA6">
      <w:pPr>
        <w:spacing w:line="38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5</w:t>
      </w:r>
      <w:r>
        <w:rPr>
          <w:rFonts w:hint="eastAsia" w:ascii="宋体" w:hAnsi="宋体" w:cs="宋体"/>
          <w:iCs/>
          <w:color w:val="auto"/>
          <w:kern w:val="0"/>
          <w:szCs w:val="21"/>
          <w:highlight w:val="none"/>
        </w:rPr>
        <w:t>）政府采购支持监狱企业发展。</w:t>
      </w:r>
    </w:p>
    <w:p w14:paraId="749A12A5">
      <w:pPr>
        <w:widowControl/>
        <w:spacing w:line="380" w:lineRule="exact"/>
        <w:ind w:firstLine="420" w:firstLineChars="200"/>
        <w:jc w:val="left"/>
        <w:rPr>
          <w:rFonts w:ascii="宋体"/>
          <w:color w:val="auto"/>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供应商</w:t>
      </w:r>
      <w:r>
        <w:rPr>
          <w:rFonts w:hint="eastAsia" w:ascii="宋体" w:hAnsi="宋体"/>
          <w:color w:val="auto"/>
          <w:szCs w:val="21"/>
          <w:highlight w:val="none"/>
        </w:rPr>
        <w:t>竞标注意事项</w:t>
      </w:r>
    </w:p>
    <w:p w14:paraId="21347BE9">
      <w:pPr>
        <w:widowControl/>
        <w:spacing w:line="380" w:lineRule="exact"/>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）实行在线电子竞标，并按照本项目竞争性谈判文件和广西政府采购云平台的要求编制、加密后在提交响应文件截止时间前通过网络上传至广西政府采购云平台（加密的电子响应文件是指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w:t>
      </w:r>
      <w:r>
        <w:rPr>
          <w:rFonts w:ascii="宋体"/>
          <w:color w:val="auto"/>
          <w:szCs w:val="21"/>
          <w:highlight w:val="none"/>
        </w:rPr>
        <w:t>-</w:t>
      </w:r>
      <w:r>
        <w:rPr>
          <w:rFonts w:hint="eastAsia" w:ascii="宋体" w:hAnsi="宋体"/>
          <w:color w:val="auto"/>
          <w:szCs w:val="21"/>
          <w:highlight w:val="none"/>
        </w:rPr>
        <w:t>项目采购</w:t>
      </w:r>
      <w:r>
        <w:rPr>
          <w:rFonts w:ascii="宋体"/>
          <w:color w:val="auto"/>
          <w:szCs w:val="21"/>
          <w:highlight w:val="none"/>
        </w:rPr>
        <w:t>-</w:t>
      </w:r>
      <w:r>
        <w:rPr>
          <w:rFonts w:hint="eastAsia" w:ascii="宋体" w:hAnsi="宋体"/>
          <w:color w:val="auto"/>
          <w:szCs w:val="21"/>
          <w:highlight w:val="none"/>
        </w:rPr>
        <w:t>操作流程</w:t>
      </w:r>
      <w:r>
        <w:rPr>
          <w:rFonts w:ascii="宋体"/>
          <w:color w:val="auto"/>
          <w:szCs w:val="21"/>
          <w:highlight w:val="none"/>
        </w:rPr>
        <w:t>-</w:t>
      </w:r>
      <w:r>
        <w:rPr>
          <w:rFonts w:hint="eastAsia" w:ascii="宋体" w:hAnsi="宋体"/>
          <w:color w:val="auto"/>
          <w:szCs w:val="21"/>
          <w:highlight w:val="none"/>
        </w:rPr>
        <w:t>电子招投标</w:t>
      </w:r>
      <w:r>
        <w:rPr>
          <w:rFonts w:ascii="宋体"/>
          <w:color w:val="auto"/>
          <w:szCs w:val="21"/>
          <w:highlight w:val="none"/>
        </w:rPr>
        <w:t>-</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091D7CF3">
      <w:pPr>
        <w:widowControl/>
        <w:spacing w:line="380" w:lineRule="exact"/>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）未进行网上注册并办理数字证书（</w:t>
      </w:r>
      <w:r>
        <w:rPr>
          <w:rFonts w:ascii="宋体" w:hAnsi="宋体"/>
          <w:color w:val="auto"/>
          <w:szCs w:val="21"/>
          <w:highlight w:val="none"/>
        </w:rPr>
        <w:t>CA</w:t>
      </w:r>
      <w:r>
        <w:rPr>
          <w:rFonts w:hint="eastAsia" w:ascii="宋体" w:hAnsi="宋体"/>
          <w:color w:val="auto"/>
          <w:szCs w:val="21"/>
          <w:highlight w:val="none"/>
        </w:rPr>
        <w:t>认证）的供应商将无法参与本项目政府采购活动，供应商应当在提交响应文件截止时间前，完成电子交易平台上的</w:t>
      </w:r>
      <w:r>
        <w:rPr>
          <w:rFonts w:ascii="宋体" w:hAnsi="宋体"/>
          <w:color w:val="auto"/>
          <w:szCs w:val="21"/>
          <w:highlight w:val="none"/>
        </w:rPr>
        <w:t>CA</w:t>
      </w:r>
      <w:r>
        <w:rPr>
          <w:rFonts w:hint="eastAsia" w:ascii="宋体" w:hAnsi="宋体"/>
          <w:color w:val="auto"/>
          <w:szCs w:val="21"/>
          <w:highlight w:val="none"/>
        </w:rPr>
        <w:t>数字证书办理及响应文件的提交（供应商可登录“广西政府采购网”，依次进入“办事服务</w:t>
      </w:r>
      <w:r>
        <w:rPr>
          <w:rFonts w:ascii="宋体"/>
          <w:color w:val="auto"/>
          <w:szCs w:val="21"/>
          <w:highlight w:val="none"/>
        </w:rPr>
        <w:t>-</w:t>
      </w:r>
      <w:r>
        <w:rPr>
          <w:rFonts w:hint="eastAsia" w:ascii="宋体" w:hAnsi="宋体"/>
          <w:color w:val="auto"/>
          <w:szCs w:val="21"/>
          <w:highlight w:val="none"/>
        </w:rPr>
        <w:t>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w:t>
      </w:r>
      <w:r>
        <w:rPr>
          <w:rFonts w:ascii="宋体"/>
          <w:color w:val="auto"/>
          <w:szCs w:val="21"/>
          <w:highlight w:val="none"/>
        </w:rPr>
        <w:t>-</w:t>
      </w:r>
      <w:r>
        <w:rPr>
          <w:rFonts w:hint="eastAsia" w:ascii="宋体" w:hAnsi="宋体"/>
          <w:color w:val="auto"/>
          <w:szCs w:val="21"/>
          <w:highlight w:val="none"/>
        </w:rPr>
        <w:t>入驻与配置”中查看</w:t>
      </w:r>
      <w:r>
        <w:rPr>
          <w:rFonts w:ascii="宋体" w:hAnsi="宋体"/>
          <w:color w:val="auto"/>
          <w:szCs w:val="21"/>
          <w:highlight w:val="none"/>
        </w:rPr>
        <w:t>CA</w:t>
      </w:r>
      <w:r>
        <w:rPr>
          <w:rFonts w:hint="eastAsia" w:ascii="宋体" w:hAnsi="宋体"/>
          <w:color w:val="auto"/>
          <w:szCs w:val="21"/>
          <w:highlight w:val="none"/>
        </w:rPr>
        <w:t>数字证书办理操作流程。</w:t>
      </w:r>
      <w:r>
        <w:rPr>
          <w:rFonts w:hint="eastAsia" w:ascii="宋体" w:hAnsi="宋体" w:cs="宋体"/>
          <w:bCs/>
          <w:color w:val="auto"/>
          <w:kern w:val="0"/>
          <w:szCs w:val="21"/>
          <w:highlight w:val="none"/>
        </w:rPr>
        <w:t>如在操作过程中遇到问题或者需要技术支持，请致电客服热线：</w:t>
      </w:r>
      <w:r>
        <w:rPr>
          <w:rFonts w:ascii="宋体" w:hAnsi="宋体" w:cs="宋体"/>
          <w:bCs/>
          <w:color w:val="auto"/>
          <w:kern w:val="0"/>
          <w:szCs w:val="21"/>
          <w:highlight w:val="none"/>
        </w:rPr>
        <w:t>95763</w:t>
      </w:r>
      <w:r>
        <w:rPr>
          <w:rFonts w:hint="eastAsia" w:ascii="宋体" w:hAnsi="宋体" w:cs="宋体"/>
          <w:bCs/>
          <w:color w:val="auto"/>
          <w:kern w:val="0"/>
          <w:szCs w:val="21"/>
          <w:highlight w:val="none"/>
        </w:rPr>
        <w:t>、</w:t>
      </w:r>
      <w:r>
        <w:rPr>
          <w:rFonts w:hint="eastAsia" w:ascii="宋体" w:hAnsi="宋体"/>
          <w:color w:val="auto"/>
          <w:szCs w:val="21"/>
          <w:highlight w:val="none"/>
        </w:rPr>
        <w:t>0771-3381253）。</w:t>
      </w:r>
    </w:p>
    <w:p w14:paraId="7CECC784">
      <w:pPr>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CA</w:t>
      </w:r>
      <w:r>
        <w:rPr>
          <w:rFonts w:hint="eastAsia" w:ascii="宋体" w:hAnsi="宋体" w:cs="宋体"/>
          <w:color w:val="auto"/>
          <w:kern w:val="0"/>
          <w:szCs w:val="21"/>
          <w:highlight w:val="none"/>
        </w:rPr>
        <w:t>证书在线解密：首次响应文件开启时，需携带制作响应文件时用来加密的有效数字证书（</w:t>
      </w:r>
      <w:r>
        <w:rPr>
          <w:rFonts w:ascii="宋体" w:hAnsi="宋体" w:cs="宋体"/>
          <w:color w:val="auto"/>
          <w:kern w:val="0"/>
          <w:szCs w:val="21"/>
          <w:highlight w:val="none"/>
        </w:rPr>
        <w:t>CA</w:t>
      </w:r>
      <w:r>
        <w:rPr>
          <w:rFonts w:hint="eastAsia" w:ascii="宋体" w:hAnsi="宋体" w:cs="宋体"/>
          <w:color w:val="auto"/>
          <w:kern w:val="0"/>
          <w:szCs w:val="21"/>
          <w:highlight w:val="none"/>
        </w:rPr>
        <w:t>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电子开标大厅现场按规定时间对加密的响应文件进行解密，否则后果自负。</w:t>
      </w:r>
    </w:p>
    <w:p w14:paraId="29EED2B1">
      <w:pPr>
        <w:widowControl/>
        <w:spacing w:line="380" w:lineRule="exact"/>
        <w:ind w:firstLine="420" w:firstLineChars="200"/>
        <w:jc w:val="left"/>
        <w:rPr>
          <w:rFonts w:ascii="宋体"/>
          <w:bCs/>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）为确保网上操作合法、有效和安全，请供应商确保在电子竞标过程中能够对相关数据电文进行加密和使用电子签章，妥善保管</w:t>
      </w:r>
      <w:r>
        <w:rPr>
          <w:rFonts w:ascii="宋体" w:hAnsi="宋体"/>
          <w:color w:val="auto"/>
          <w:szCs w:val="21"/>
          <w:highlight w:val="none"/>
        </w:rPr>
        <w:t>CA</w:t>
      </w:r>
      <w:r>
        <w:rPr>
          <w:rFonts w:hint="eastAsia" w:ascii="宋体" w:hAnsi="宋体"/>
          <w:color w:val="auto"/>
          <w:szCs w:val="21"/>
          <w:highlight w:val="none"/>
        </w:rPr>
        <w:t>数字证书并使用有效的</w:t>
      </w:r>
      <w:r>
        <w:rPr>
          <w:rFonts w:ascii="宋体" w:hAnsi="宋体"/>
          <w:color w:val="auto"/>
          <w:szCs w:val="21"/>
          <w:highlight w:val="none"/>
        </w:rPr>
        <w:t>CA</w:t>
      </w:r>
      <w:r>
        <w:rPr>
          <w:rFonts w:hint="eastAsia" w:ascii="宋体" w:hAnsi="宋体"/>
          <w:color w:val="auto"/>
          <w:szCs w:val="21"/>
          <w:highlight w:val="none"/>
        </w:rPr>
        <w:t>数字证书参与整个采购活动。</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7F41C750">
      <w:pPr>
        <w:snapToGrid w:val="0"/>
        <w:spacing w:line="38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）供应商需要在具备摄像头及语音功能且互联网网络状况良好的电脑登录</w:t>
      </w:r>
      <w:r>
        <w:rPr>
          <w:rFonts w:hint="eastAsia" w:ascii="宋体" w:hAnsi="宋体"/>
          <w:bCs/>
          <w:color w:val="auto"/>
          <w:szCs w:val="21"/>
          <w:highlight w:val="none"/>
        </w:rPr>
        <w:t>广西政府采购云平台</w:t>
      </w:r>
      <w:r>
        <w:rPr>
          <w:rFonts w:hint="eastAsia" w:ascii="宋体" w:hAnsi="宋体" w:cs="宋体"/>
          <w:color w:val="auto"/>
          <w:kern w:val="0"/>
          <w:szCs w:val="21"/>
          <w:highlight w:val="none"/>
        </w:rPr>
        <w:t>远程开标大厅参与本次谈判，否则后果自负。</w:t>
      </w:r>
    </w:p>
    <w:p w14:paraId="2C68DD89">
      <w:pPr>
        <w:widowControl/>
        <w:spacing w:line="38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供应商认为竞争性谈判文件使自己的合法权益受到损害的，应当在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bookmarkEnd w:id="45"/>
    <w:p w14:paraId="61188D35">
      <w:pPr>
        <w:spacing w:line="38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八、凡对本次采购提出询问，请按以下方式联系。</w:t>
      </w:r>
      <w:bookmarkEnd w:id="46"/>
      <w:bookmarkEnd w:id="47"/>
      <w:bookmarkEnd w:id="48"/>
      <w:bookmarkEnd w:id="49"/>
      <w:bookmarkEnd w:id="50"/>
      <w:bookmarkEnd w:id="51"/>
    </w:p>
    <w:p w14:paraId="2909FC9C">
      <w:pPr>
        <w:spacing w:line="380" w:lineRule="exact"/>
        <w:ind w:firstLine="420" w:firstLineChars="200"/>
        <w:rPr>
          <w:rFonts w:ascii="宋体" w:cs="宋体"/>
          <w:color w:val="auto"/>
          <w:kern w:val="0"/>
          <w:szCs w:val="21"/>
          <w:highlight w:val="none"/>
        </w:rPr>
      </w:pPr>
      <w:bookmarkStart w:id="52" w:name="_Toc35393637"/>
      <w:bookmarkStart w:id="53" w:name="_Toc35393806"/>
      <w:bookmarkStart w:id="54" w:name="_Toc28359019"/>
      <w:bookmarkStart w:id="55" w:name="_Toc28359096"/>
      <w:r>
        <w:rPr>
          <w:rFonts w:ascii="宋体" w:hAnsi="宋体" w:cs="宋体"/>
          <w:color w:val="auto"/>
          <w:kern w:val="0"/>
          <w:szCs w:val="21"/>
          <w:highlight w:val="none"/>
        </w:rPr>
        <w:t>1.</w:t>
      </w:r>
      <w:r>
        <w:rPr>
          <w:rFonts w:hint="eastAsia" w:ascii="宋体" w:hAnsi="宋体" w:cs="宋体"/>
          <w:color w:val="auto"/>
          <w:kern w:val="0"/>
          <w:szCs w:val="21"/>
          <w:highlight w:val="none"/>
        </w:rPr>
        <w:t>采购人信息</w:t>
      </w:r>
      <w:bookmarkEnd w:id="52"/>
      <w:bookmarkEnd w:id="53"/>
      <w:bookmarkEnd w:id="54"/>
      <w:bookmarkEnd w:id="55"/>
    </w:p>
    <w:p w14:paraId="61D3F8C6">
      <w:pPr>
        <w:spacing w:line="380" w:lineRule="exact"/>
        <w:ind w:firstLine="420" w:firstLineChars="200"/>
        <w:jc w:val="left"/>
        <w:rPr>
          <w:rFonts w:ascii="宋体"/>
          <w:color w:val="auto"/>
          <w:szCs w:val="21"/>
          <w:highlight w:val="none"/>
        </w:rPr>
      </w:pPr>
      <w:r>
        <w:rPr>
          <w:rFonts w:hint="eastAsia" w:ascii="宋体" w:hAnsi="宋体"/>
          <w:color w:val="auto"/>
          <w:szCs w:val="21"/>
          <w:highlight w:val="none"/>
        </w:rPr>
        <w:t>名称：广西师范大学</w:t>
      </w:r>
    </w:p>
    <w:p w14:paraId="41838189">
      <w:pPr>
        <w:spacing w:line="380" w:lineRule="exact"/>
        <w:ind w:firstLine="420" w:firstLineChars="200"/>
        <w:jc w:val="left"/>
        <w:rPr>
          <w:rFonts w:ascii="宋体"/>
          <w:color w:val="auto"/>
          <w:szCs w:val="21"/>
          <w:highlight w:val="none"/>
        </w:rPr>
      </w:pPr>
      <w:r>
        <w:rPr>
          <w:rFonts w:hint="eastAsia" w:ascii="宋体" w:hAnsi="宋体"/>
          <w:color w:val="auto"/>
          <w:szCs w:val="21"/>
          <w:highlight w:val="none"/>
        </w:rPr>
        <w:t>地址：广西桂林市雁山区雁中路</w:t>
      </w:r>
      <w:r>
        <w:rPr>
          <w:rFonts w:ascii="宋体" w:hAnsi="宋体"/>
          <w:color w:val="auto"/>
          <w:szCs w:val="21"/>
          <w:highlight w:val="none"/>
        </w:rPr>
        <w:t>1</w:t>
      </w:r>
      <w:r>
        <w:rPr>
          <w:rFonts w:hint="eastAsia" w:ascii="宋体" w:hAnsi="宋体"/>
          <w:color w:val="auto"/>
          <w:szCs w:val="21"/>
          <w:highlight w:val="none"/>
        </w:rPr>
        <w:t>号</w:t>
      </w:r>
    </w:p>
    <w:p w14:paraId="4A67C7B9">
      <w:pPr>
        <w:spacing w:line="380" w:lineRule="exact"/>
        <w:ind w:firstLine="420" w:firstLineChars="200"/>
        <w:jc w:val="left"/>
        <w:rPr>
          <w:rFonts w:asci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rPr>
        <w:t>0773-3696563</w:t>
      </w:r>
    </w:p>
    <w:p w14:paraId="178D567A">
      <w:pPr>
        <w:spacing w:line="380" w:lineRule="exact"/>
        <w:ind w:firstLine="420" w:firstLineChars="200"/>
        <w:rPr>
          <w:rFonts w:ascii="宋体" w:hAnsi="宋体" w:cs="宋体"/>
          <w:color w:val="auto"/>
          <w:kern w:val="0"/>
          <w:szCs w:val="21"/>
          <w:highlight w:val="none"/>
        </w:rPr>
      </w:pPr>
      <w:bookmarkStart w:id="56" w:name="_Toc35393807"/>
      <w:bookmarkStart w:id="57" w:name="_Toc35393638"/>
      <w:bookmarkStart w:id="58" w:name="_Toc28359097"/>
      <w:bookmarkStart w:id="59" w:name="_Toc28359020"/>
      <w:r>
        <w:rPr>
          <w:rFonts w:hint="eastAsia" w:ascii="宋体" w:hAnsi="宋体" w:cs="宋体"/>
          <w:color w:val="auto"/>
          <w:kern w:val="0"/>
          <w:szCs w:val="21"/>
          <w:highlight w:val="none"/>
        </w:rPr>
        <w:t>2.采购代理机构信息</w:t>
      </w:r>
      <w:bookmarkEnd w:id="56"/>
      <w:bookmarkEnd w:id="57"/>
      <w:bookmarkEnd w:id="58"/>
      <w:bookmarkEnd w:id="59"/>
    </w:p>
    <w:p w14:paraId="793C8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名    称：云之龙咨询集团有限公司</w:t>
      </w:r>
    </w:p>
    <w:p w14:paraId="4A23344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地　　址：广西桂林市临桂区西城北路2号耀辉•美好家园2幢12层</w:t>
      </w:r>
    </w:p>
    <w:p w14:paraId="106DCA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联系方式：0773-2887388  2887399</w:t>
      </w:r>
    </w:p>
    <w:p w14:paraId="385B9665">
      <w:pPr>
        <w:spacing w:line="380" w:lineRule="exact"/>
        <w:ind w:firstLine="420" w:firstLineChars="200"/>
        <w:rPr>
          <w:rFonts w:ascii="宋体" w:hAnsi="宋体" w:cs="宋体"/>
          <w:color w:val="auto"/>
          <w:kern w:val="0"/>
          <w:szCs w:val="21"/>
          <w:highlight w:val="none"/>
        </w:rPr>
      </w:pPr>
      <w:bookmarkStart w:id="60" w:name="_Toc35393639"/>
      <w:bookmarkStart w:id="61" w:name="_Toc35393808"/>
      <w:bookmarkStart w:id="62" w:name="_Toc28359021"/>
      <w:bookmarkStart w:id="63" w:name="_Toc28359098"/>
      <w:r>
        <w:rPr>
          <w:rFonts w:hint="eastAsia" w:ascii="宋体" w:hAnsi="宋体" w:cs="宋体"/>
          <w:color w:val="auto"/>
          <w:kern w:val="0"/>
          <w:szCs w:val="21"/>
          <w:highlight w:val="none"/>
        </w:rPr>
        <w:t>3.项目联系方式</w:t>
      </w:r>
      <w:bookmarkEnd w:id="60"/>
      <w:bookmarkEnd w:id="61"/>
      <w:bookmarkEnd w:id="62"/>
      <w:bookmarkEnd w:id="63"/>
    </w:p>
    <w:p w14:paraId="1A97D3CC">
      <w:pPr>
        <w:spacing w:line="380" w:lineRule="exact"/>
        <w:ind w:firstLine="420" w:firstLineChars="200"/>
        <w:rPr>
          <w:rFonts w:hint="eastAsia" w:ascii="宋体" w:hAnsi="宋体" w:eastAsia="宋体"/>
          <w:color w:val="auto"/>
          <w:szCs w:val="21"/>
          <w:highlight w:val="none"/>
          <w:lang w:eastAsia="zh-CN"/>
        </w:rPr>
      </w:pPr>
      <w:r>
        <w:rPr>
          <w:rFonts w:hint="eastAsia" w:hAnsi="宋体"/>
          <w:color w:val="auto"/>
          <w:highlight w:val="none"/>
        </w:rPr>
        <w:t>项目</w:t>
      </w:r>
      <w:r>
        <w:rPr>
          <w:rFonts w:hint="eastAsia" w:ascii="宋体" w:hAnsi="宋体"/>
          <w:color w:val="auto"/>
          <w:szCs w:val="21"/>
          <w:highlight w:val="none"/>
        </w:rPr>
        <w:t>联系人：</w:t>
      </w:r>
      <w:r>
        <w:rPr>
          <w:rFonts w:hint="eastAsia" w:ascii="宋体" w:hAnsi="宋体"/>
          <w:color w:val="auto"/>
          <w:szCs w:val="21"/>
          <w:highlight w:val="none"/>
          <w:lang w:eastAsia="zh-CN"/>
        </w:rPr>
        <w:t>李贞</w:t>
      </w:r>
    </w:p>
    <w:p w14:paraId="42DD0641">
      <w:pPr>
        <w:spacing w:line="380" w:lineRule="exact"/>
        <w:ind w:firstLine="420" w:firstLineChars="200"/>
        <w:rPr>
          <w:rFonts w:asci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rPr>
        <w:t>0773-2887388  2887399</w:t>
      </w:r>
    </w:p>
    <w:bookmarkEnd w:id="4"/>
    <w:p w14:paraId="785DB1F8">
      <w:pPr>
        <w:widowControl/>
        <w:jc w:val="left"/>
        <w:rPr>
          <w:color w:val="auto"/>
          <w:spacing w:val="-3"/>
          <w:kern w:val="0"/>
          <w:sz w:val="24"/>
          <w:szCs w:val="20"/>
          <w:highlight w:val="none"/>
        </w:rPr>
      </w:pPr>
      <w:bookmarkStart w:id="64" w:name="_Toc74322009"/>
      <w:r>
        <w:rPr>
          <w:color w:val="auto"/>
          <w:spacing w:val="-3"/>
          <w:kern w:val="0"/>
          <w:sz w:val="24"/>
          <w:szCs w:val="20"/>
          <w:highlight w:val="none"/>
        </w:rPr>
        <w:br w:type="page"/>
      </w:r>
    </w:p>
    <w:p w14:paraId="005282FD">
      <w:pPr>
        <w:spacing w:line="400" w:lineRule="exact"/>
        <w:jc w:val="center"/>
        <w:rPr>
          <w:rFonts w:ascii="宋体"/>
          <w:b/>
          <w:color w:val="auto"/>
          <w:sz w:val="32"/>
          <w:szCs w:val="32"/>
          <w:highlight w:val="none"/>
        </w:rPr>
      </w:pPr>
      <w:r>
        <w:rPr>
          <w:rFonts w:hint="eastAsia" w:ascii="宋体" w:hAnsi="宋体"/>
          <w:b/>
          <w:color w:val="auto"/>
          <w:sz w:val="32"/>
          <w:szCs w:val="32"/>
          <w:highlight w:val="none"/>
        </w:rPr>
        <w:t>第二章 供应商须知</w:t>
      </w:r>
      <w:bookmarkEnd w:id="64"/>
    </w:p>
    <w:p w14:paraId="12B2C014">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供应商须知前附表</w:t>
      </w:r>
    </w:p>
    <w:p w14:paraId="2B3A096E">
      <w:pPr>
        <w:spacing w:line="400" w:lineRule="exact"/>
        <w:jc w:val="center"/>
        <w:rPr>
          <w:rFonts w:ascii="宋体"/>
          <w:b/>
          <w:color w:val="auto"/>
          <w:sz w:val="32"/>
          <w:szCs w:val="32"/>
          <w:highlight w:val="none"/>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13E3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tcPr>
          <w:p w14:paraId="7ACB4A55">
            <w:pPr>
              <w:spacing w:line="340" w:lineRule="exact"/>
              <w:jc w:val="center"/>
              <w:rPr>
                <w:rFonts w:ascii="宋体" w:cs="宋体"/>
                <w:b/>
                <w:bCs/>
                <w:color w:val="auto"/>
                <w:szCs w:val="21"/>
                <w:highlight w:val="none"/>
              </w:rPr>
            </w:pPr>
            <w:r>
              <w:rPr>
                <w:rFonts w:hint="eastAsia" w:ascii="宋体" w:hAnsi="宋体" w:cs="宋体"/>
                <w:b/>
                <w:bCs/>
                <w:color w:val="auto"/>
                <w:szCs w:val="21"/>
                <w:highlight w:val="none"/>
              </w:rPr>
              <w:t>条款号</w:t>
            </w:r>
          </w:p>
        </w:tc>
        <w:tc>
          <w:tcPr>
            <w:tcW w:w="7912" w:type="dxa"/>
          </w:tcPr>
          <w:p w14:paraId="1A22D1B5">
            <w:pPr>
              <w:spacing w:line="340" w:lineRule="exact"/>
              <w:jc w:val="center"/>
              <w:rPr>
                <w:rFonts w:ascii="宋体" w:cs="宋体"/>
                <w:b/>
                <w:bCs/>
                <w:color w:val="auto"/>
                <w:szCs w:val="21"/>
                <w:highlight w:val="none"/>
              </w:rPr>
            </w:pPr>
            <w:r>
              <w:rPr>
                <w:rFonts w:hint="eastAsia" w:ascii="宋体" w:hAnsi="宋体" w:cs="宋体"/>
                <w:b/>
                <w:bCs/>
                <w:color w:val="auto"/>
                <w:szCs w:val="21"/>
                <w:highlight w:val="none"/>
              </w:rPr>
              <w:t>内容</w:t>
            </w:r>
          </w:p>
        </w:tc>
      </w:tr>
      <w:tr w14:paraId="6C38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BCF124">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7912" w:type="dxa"/>
            <w:vAlign w:val="center"/>
          </w:tcPr>
          <w:p w14:paraId="6D0B10C4">
            <w:pPr>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供应商的资格条件：详见竞争性谈判公告</w:t>
            </w:r>
          </w:p>
          <w:p w14:paraId="1B788673">
            <w:pPr>
              <w:spacing w:line="34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DCA9DC2">
            <w:pPr>
              <w:spacing w:line="340" w:lineRule="exact"/>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单位负责人为同一人或者存在直接控股、管理关系的不同供应商，不得参加同一合同项下的政府采购活动。</w:t>
            </w:r>
            <w:r>
              <w:rPr>
                <w:rFonts w:ascii="Arial" w:hAnsi="Arial" w:cs="Arial"/>
                <w:color w:val="auto"/>
                <w:highlight w:val="none"/>
              </w:rPr>
              <w:t>为采购项目提供整体设计、规范编制或者项目管理、监理、检测等服务的供应商，不得再参加该采购项目的其他采购活动</w:t>
            </w:r>
            <w:r>
              <w:rPr>
                <w:rFonts w:hint="eastAsia" w:ascii="宋体" w:hAnsi="宋体" w:cs="宋体"/>
                <w:color w:val="auto"/>
                <w:szCs w:val="21"/>
                <w:highlight w:val="none"/>
              </w:rPr>
              <w:t>。</w:t>
            </w:r>
          </w:p>
          <w:p w14:paraId="170E8C4E">
            <w:pPr>
              <w:spacing w:line="340" w:lineRule="exac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对在“信用中国”网站（</w:t>
            </w:r>
            <w:r>
              <w:rPr>
                <w:rFonts w:ascii="宋体" w:hAnsi="宋体" w:cs="宋体"/>
                <w:color w:val="auto"/>
                <w:szCs w:val="21"/>
                <w:highlight w:val="none"/>
              </w:rPr>
              <w:t>http://www.creditchina.gov.cn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http://www.ccgp.gov.cn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5D634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0FF86956">
            <w:pPr>
              <w:spacing w:line="340" w:lineRule="exact"/>
              <w:jc w:val="center"/>
              <w:rPr>
                <w:rFonts w:ascii="宋体" w:cs="宋体"/>
                <w:color w:val="auto"/>
                <w:szCs w:val="21"/>
                <w:highlight w:val="none"/>
              </w:rPr>
            </w:pPr>
            <w:r>
              <w:rPr>
                <w:rFonts w:ascii="宋体" w:hAnsi="宋体" w:cs="宋体"/>
                <w:color w:val="auto"/>
                <w:szCs w:val="21"/>
                <w:highlight w:val="none"/>
              </w:rPr>
              <w:t>5.1</w:t>
            </w:r>
          </w:p>
        </w:tc>
        <w:tc>
          <w:tcPr>
            <w:tcW w:w="7912" w:type="dxa"/>
            <w:vAlign w:val="center"/>
          </w:tcPr>
          <w:p w14:paraId="0FFE221A">
            <w:pPr>
              <w:spacing w:line="340" w:lineRule="exact"/>
              <w:jc w:val="left"/>
              <w:rPr>
                <w:rFonts w:ascii="宋体" w:cs="宋体"/>
                <w:color w:val="auto"/>
                <w:szCs w:val="21"/>
                <w:highlight w:val="none"/>
              </w:rPr>
            </w:pPr>
            <w:r>
              <w:rPr>
                <w:rFonts w:hint="eastAsia" w:ascii="宋体" w:hAnsi="宋体" w:cs="宋体"/>
                <w:color w:val="auto"/>
                <w:szCs w:val="21"/>
                <w:highlight w:val="none"/>
              </w:rPr>
              <w:t>是否接受联合体竞标</w:t>
            </w:r>
            <w:r>
              <w:rPr>
                <w:rFonts w:ascii="宋体" w:hAnsi="宋体" w:cs="宋体"/>
                <w:color w:val="auto"/>
                <w:szCs w:val="21"/>
                <w:highlight w:val="none"/>
              </w:rPr>
              <w:t xml:space="preserve">: </w:t>
            </w:r>
            <w:r>
              <w:rPr>
                <w:rFonts w:hint="eastAsia" w:ascii="宋体" w:hAnsi="宋体" w:cs="宋体"/>
                <w:color w:val="auto"/>
                <w:szCs w:val="21"/>
                <w:highlight w:val="none"/>
              </w:rPr>
              <w:t>详见竞争性谈判公告</w:t>
            </w:r>
          </w:p>
        </w:tc>
      </w:tr>
      <w:tr w14:paraId="258AA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573B8E4">
            <w:pPr>
              <w:spacing w:line="360" w:lineRule="auto"/>
              <w:jc w:val="center"/>
              <w:rPr>
                <w:rFonts w:ascii="宋体" w:cs="宋体"/>
                <w:color w:val="auto"/>
                <w:szCs w:val="21"/>
                <w:highlight w:val="none"/>
              </w:rPr>
            </w:pPr>
            <w:r>
              <w:rPr>
                <w:rFonts w:ascii="宋体" w:hAnsi="宋体" w:cs="宋体"/>
                <w:color w:val="auto"/>
                <w:szCs w:val="21"/>
                <w:highlight w:val="none"/>
              </w:rPr>
              <w:t>5.2</w:t>
            </w:r>
          </w:p>
        </w:tc>
        <w:tc>
          <w:tcPr>
            <w:tcW w:w="7912" w:type="dxa"/>
            <w:vAlign w:val="center"/>
          </w:tcPr>
          <w:p w14:paraId="624ADCEB">
            <w:pPr>
              <w:spacing w:line="340" w:lineRule="exact"/>
              <w:rPr>
                <w:rFonts w:ascii="宋体" w:cs="宋体"/>
                <w:color w:val="auto"/>
                <w:szCs w:val="21"/>
                <w:highlight w:val="none"/>
              </w:rPr>
            </w:pPr>
            <w:r>
              <w:rPr>
                <w:rFonts w:hint="eastAsia" w:ascii="宋体" w:hAnsi="宋体"/>
                <w:color w:val="auto"/>
                <w:szCs w:val="21"/>
                <w:highlight w:val="none"/>
              </w:rPr>
              <w:t>如接受联合体竞标，联合体竞标要求如下（如不接受联合体竞标的，此条忽略）：</w:t>
            </w:r>
          </w:p>
          <w:p w14:paraId="599CB6A8">
            <w:pPr>
              <w:spacing w:line="340" w:lineRule="exact"/>
              <w:rPr>
                <w:rFonts w:ascii="宋体" w:cs="宋体"/>
                <w:color w:val="auto"/>
                <w:szCs w:val="21"/>
                <w:highlight w:val="none"/>
              </w:rPr>
            </w:pPr>
            <w:r>
              <w:rPr>
                <w:rFonts w:ascii="宋体" w:hAnsi="宋体" w:cs="宋体"/>
                <w:color w:val="auto"/>
                <w:szCs w:val="21"/>
                <w:highlight w:val="none"/>
              </w:rPr>
              <w:t>1</w:t>
            </w:r>
            <w:r>
              <w:rPr>
                <w:rFonts w:asci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53955ECB">
            <w:pPr>
              <w:spacing w:line="340" w:lineRule="exact"/>
              <w:rPr>
                <w:rFonts w:ascii="宋体" w:cs="宋体"/>
                <w:color w:val="auto"/>
                <w:szCs w:val="21"/>
                <w:highlight w:val="none"/>
              </w:rPr>
            </w:pPr>
            <w:r>
              <w:rPr>
                <w:rFonts w:ascii="宋体" w:hAnsi="宋体" w:cs="宋体"/>
                <w:color w:val="auto"/>
                <w:szCs w:val="21"/>
                <w:highlight w:val="none"/>
              </w:rPr>
              <w:t>2</w:t>
            </w:r>
            <w:r>
              <w:rPr>
                <w:rFonts w:asci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31A32CDE">
            <w:pPr>
              <w:spacing w:line="340" w:lineRule="exact"/>
              <w:rPr>
                <w:rFonts w:ascii="宋体" w:cs="宋体"/>
                <w:color w:val="auto"/>
                <w:szCs w:val="21"/>
                <w:highlight w:val="none"/>
              </w:rPr>
            </w:pPr>
            <w:r>
              <w:rPr>
                <w:rFonts w:ascii="宋体" w:hAnsi="宋体" w:cs="宋体"/>
                <w:color w:val="auto"/>
                <w:szCs w:val="21"/>
                <w:highlight w:val="none"/>
              </w:rPr>
              <w:t>3</w:t>
            </w:r>
            <w:r>
              <w:rPr>
                <w:rFonts w:asci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0FC0B144">
            <w:pPr>
              <w:spacing w:line="340" w:lineRule="exact"/>
              <w:rPr>
                <w:rFonts w:ascii="宋体" w:cs="宋体"/>
                <w:color w:val="auto"/>
                <w:szCs w:val="21"/>
                <w:highlight w:val="none"/>
              </w:rPr>
            </w:pPr>
            <w:r>
              <w:rPr>
                <w:rFonts w:ascii="宋体" w:hAnsi="宋体" w:cs="宋体"/>
                <w:color w:val="auto"/>
                <w:szCs w:val="21"/>
                <w:highlight w:val="none"/>
              </w:rPr>
              <w:t>4</w:t>
            </w:r>
            <w:r>
              <w:rPr>
                <w:rFonts w:asci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1C847BEB">
            <w:pPr>
              <w:spacing w:line="340" w:lineRule="exact"/>
              <w:rPr>
                <w:rFonts w:ascii="宋体" w:cs="宋体"/>
                <w:color w:val="auto"/>
                <w:szCs w:val="21"/>
                <w:highlight w:val="none"/>
              </w:rPr>
            </w:pPr>
            <w:r>
              <w:rPr>
                <w:rFonts w:ascii="宋体" w:hAnsi="宋体" w:cs="宋体"/>
                <w:color w:val="auto"/>
                <w:szCs w:val="21"/>
                <w:highlight w:val="none"/>
              </w:rPr>
              <w:t>5</w:t>
            </w:r>
            <w:r>
              <w:rPr>
                <w:rFonts w:asci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0E95DBCC">
            <w:pPr>
              <w:spacing w:line="340" w:lineRule="exact"/>
              <w:rPr>
                <w:rFonts w:ascii="宋体" w:cs="宋体"/>
                <w:color w:val="auto"/>
                <w:szCs w:val="21"/>
                <w:highlight w:val="none"/>
              </w:rPr>
            </w:pPr>
            <w:r>
              <w:rPr>
                <w:rFonts w:ascii="宋体" w:hAnsi="宋体" w:cs="宋体"/>
                <w:color w:val="auto"/>
                <w:szCs w:val="21"/>
                <w:highlight w:val="none"/>
              </w:rPr>
              <w:t>6</w:t>
            </w:r>
            <w:r>
              <w:rPr>
                <w:rFonts w:asci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14:paraId="2610D4F9">
            <w:pPr>
              <w:spacing w:line="340" w:lineRule="exact"/>
              <w:rPr>
                <w:rFonts w:ascii="宋体" w:cs="宋体"/>
                <w:color w:val="auto"/>
                <w:szCs w:val="21"/>
                <w:highlight w:val="none"/>
              </w:rPr>
            </w:pPr>
            <w:r>
              <w:rPr>
                <w:rFonts w:ascii="宋体" w:hAnsi="宋体" w:cs="宋体"/>
                <w:color w:val="auto"/>
                <w:szCs w:val="21"/>
                <w:highlight w:val="none"/>
              </w:rPr>
              <w:t>7</w:t>
            </w:r>
            <w:r>
              <w:rPr>
                <w:rFonts w:asci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供应商为联合体的，可以由联合体中的一方或者多方共同交纳保证金，其交纳的保证金对联合体各方均具有约束力。</w:t>
            </w:r>
          </w:p>
          <w:p w14:paraId="0CAB60B4">
            <w:pPr>
              <w:spacing w:line="340" w:lineRule="exact"/>
              <w:rPr>
                <w:rFonts w:ascii="宋体" w:cs="宋体"/>
                <w:color w:val="auto"/>
                <w:szCs w:val="21"/>
                <w:highlight w:val="none"/>
              </w:rPr>
            </w:pPr>
            <w:r>
              <w:rPr>
                <w:rFonts w:ascii="宋体" w:hAnsi="宋体" w:cs="宋体"/>
                <w:color w:val="auto"/>
                <w:szCs w:val="21"/>
                <w:highlight w:val="none"/>
              </w:rPr>
              <w:t>8</w:t>
            </w:r>
            <w:r>
              <w:rPr>
                <w:rFonts w:asci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14:paraId="1CE16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FDFA3C">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7912" w:type="dxa"/>
            <w:vAlign w:val="center"/>
          </w:tcPr>
          <w:p w14:paraId="70698E48">
            <w:pPr>
              <w:pStyle w:val="9"/>
              <w:spacing w:line="340" w:lineRule="exact"/>
              <w:rPr>
                <w:color w:val="auto"/>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rFonts w:hint="eastAsia"/>
                <w:color w:val="auto"/>
                <w:highlight w:val="none"/>
                <w:lang w:eastAsia="zh-CN"/>
              </w:rPr>
              <w:instrText xml:space="preserve">,</w:instrText>
            </w:r>
            <w:r>
              <w:rPr>
                <w:rFonts w:hint="eastAsia"/>
                <w:color w:val="auto"/>
                <w:position w:val="2"/>
                <w:sz w:val="13"/>
                <w:highlight w:val="none"/>
                <w:lang w:eastAsia="zh-CN"/>
              </w:rPr>
              <w:instrText xml:space="preserve">√</w:instrText>
            </w:r>
            <w:r>
              <w:rPr>
                <w:color w:val="auto"/>
                <w:highlight w:val="none"/>
              </w:rPr>
              <w:instrText xml:space="preserve">)</w:instrText>
            </w:r>
            <w:r>
              <w:rPr>
                <w:color w:val="auto"/>
                <w:highlight w:val="none"/>
              </w:rPr>
              <w:fldChar w:fldCharType="end"/>
            </w:r>
            <w:r>
              <w:rPr>
                <w:rFonts w:hint="eastAsia"/>
                <w:color w:val="auto"/>
                <w:highlight w:val="none"/>
              </w:rPr>
              <w:t>不允许分包</w:t>
            </w:r>
          </w:p>
          <w:p w14:paraId="1B992B99">
            <w:pPr>
              <w:pStyle w:val="9"/>
              <w:spacing w:line="340" w:lineRule="exact"/>
              <w:rPr>
                <w:color w:val="auto"/>
                <w:highlight w:val="none"/>
              </w:rPr>
            </w:pPr>
            <w:r>
              <w:rPr>
                <w:rFonts w:hint="eastAsia"/>
                <w:color w:val="auto"/>
                <w:highlight w:val="none"/>
                <w:lang w:eastAsia="zh-CN"/>
              </w:rPr>
              <w:t>□</w:t>
            </w:r>
            <w:r>
              <w:rPr>
                <w:rFonts w:hint="eastAsia"/>
                <w:color w:val="auto"/>
                <w:highlight w:val="none"/>
              </w:rPr>
              <w:t>允许分包</w:t>
            </w:r>
          </w:p>
          <w:p w14:paraId="04499F6C">
            <w:pPr>
              <w:pStyle w:val="9"/>
              <w:spacing w:line="340" w:lineRule="exact"/>
              <w:rPr>
                <w:color w:val="auto"/>
                <w:highlight w:val="none"/>
                <w:u w:val="single"/>
              </w:rPr>
            </w:pPr>
            <w:r>
              <w:rPr>
                <w:rFonts w:hint="eastAsia"/>
                <w:color w:val="auto"/>
                <w:highlight w:val="none"/>
              </w:rPr>
              <w:t>分包内容：</w:t>
            </w:r>
            <w:r>
              <w:rPr>
                <w:rFonts w:hint="eastAsia"/>
                <w:color w:val="auto"/>
                <w:highlight w:val="none"/>
                <w:u w:val="single"/>
                <w:lang w:val="en-US" w:eastAsia="zh-CN"/>
              </w:rPr>
              <w:t>/</w:t>
            </w:r>
            <w:r>
              <w:rPr>
                <w:rFonts w:hint="eastAsia"/>
                <w:color w:val="auto"/>
                <w:highlight w:val="none"/>
                <w:u w:val="single"/>
              </w:rPr>
              <w:t xml:space="preserve"> </w:t>
            </w:r>
          </w:p>
          <w:p w14:paraId="1BB17CB3">
            <w:pPr>
              <w:pStyle w:val="9"/>
              <w:spacing w:line="340" w:lineRule="exact"/>
              <w:rPr>
                <w:rFonts w:hint="eastAsia" w:eastAsia="宋体"/>
                <w:color w:val="auto"/>
                <w:highlight w:val="none"/>
                <w:u w:val="single"/>
                <w:lang w:eastAsia="zh-CN"/>
              </w:rPr>
            </w:pPr>
            <w:r>
              <w:rPr>
                <w:rFonts w:hint="eastAsia"/>
                <w:color w:val="auto"/>
                <w:highlight w:val="none"/>
              </w:rPr>
              <w:t>分包金额或者比例：</w:t>
            </w:r>
            <w:r>
              <w:rPr>
                <w:rFonts w:hint="eastAsia"/>
                <w:color w:val="auto"/>
                <w:highlight w:val="none"/>
                <w:u w:val="single"/>
                <w:lang w:val="en-US" w:eastAsia="zh-CN"/>
              </w:rPr>
              <w:t>/</w:t>
            </w:r>
          </w:p>
          <w:p w14:paraId="74A36CBE">
            <w:pPr>
              <w:pStyle w:val="9"/>
              <w:spacing w:line="340" w:lineRule="exact"/>
              <w:rPr>
                <w:color w:val="auto"/>
                <w:highlight w:val="none"/>
                <w:u w:val="single"/>
              </w:rPr>
            </w:pPr>
            <w:r>
              <w:rPr>
                <w:rFonts w:hint="eastAsia" w:ascii="宋体" w:hAnsi="宋体"/>
                <w:color w:val="auto"/>
                <w:highlight w:val="none"/>
              </w:rPr>
              <w:t>分包供应商必须具备的资质：</w:t>
            </w:r>
            <w:r>
              <w:rPr>
                <w:rFonts w:hint="eastAsia"/>
                <w:color w:val="auto"/>
                <w:highlight w:val="none"/>
                <w:u w:val="single"/>
                <w:lang w:val="en-US" w:eastAsia="zh-CN"/>
              </w:rPr>
              <w:t>/</w:t>
            </w:r>
          </w:p>
        </w:tc>
      </w:tr>
      <w:tr w14:paraId="0A58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E5AA2D">
            <w:pPr>
              <w:spacing w:line="360" w:lineRule="auto"/>
              <w:jc w:val="center"/>
              <w:rPr>
                <w:rFonts w:ascii="宋体" w:cs="宋体"/>
                <w:color w:val="auto"/>
                <w:szCs w:val="21"/>
                <w:highlight w:val="none"/>
              </w:rPr>
            </w:pPr>
            <w:r>
              <w:rPr>
                <w:rFonts w:ascii="宋体" w:hAnsi="宋体" w:cs="宋体"/>
                <w:color w:val="auto"/>
                <w:szCs w:val="21"/>
                <w:highlight w:val="none"/>
              </w:rPr>
              <w:t>7.1</w:t>
            </w:r>
          </w:p>
        </w:tc>
        <w:tc>
          <w:tcPr>
            <w:tcW w:w="7912" w:type="dxa"/>
            <w:vAlign w:val="center"/>
          </w:tcPr>
          <w:p w14:paraId="243AABE1">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提供相同品牌产品（非单一产品采购项目的，指核心产品）的不同供应商最后报价相同时，按照下列方式确定一个供应商获得成交供应商推荐资格：</w:t>
            </w:r>
          </w:p>
          <w:p w14:paraId="613A49E8">
            <w:pPr>
              <w:autoSpaceDE w:val="0"/>
              <w:autoSpaceDN w:val="0"/>
              <w:snapToGrid w:val="0"/>
              <w:spacing w:line="340" w:lineRule="exact"/>
              <w:textAlignment w:val="bottom"/>
              <w:rPr>
                <w:rFonts w:ascii="宋体"/>
                <w:color w:val="auto"/>
                <w:szCs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ascii="宋体"/>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rFonts w:hint="eastAsia" w:ascii="宋体" w:hAnsi="宋体"/>
                <w:color w:val="auto"/>
                <w:szCs w:val="21"/>
                <w:highlight w:val="none"/>
              </w:rPr>
              <w:t>随机抽取；</w:t>
            </w:r>
          </w:p>
          <w:p w14:paraId="69ABFB1F">
            <w:pPr>
              <w:pStyle w:val="9"/>
              <w:spacing w:line="340" w:lineRule="exact"/>
              <w:rPr>
                <w:rFonts w:ascii="宋体"/>
                <w:color w:val="auto"/>
                <w:highlight w:val="none"/>
              </w:rPr>
            </w:pPr>
            <w:r>
              <w:rPr>
                <w:rFonts w:hint="eastAsia" w:ascii="宋体" w:hAnsi="宋体"/>
                <w:color w:val="auto"/>
                <w:highlight w:val="none"/>
              </w:rPr>
              <w:t>□……</w:t>
            </w:r>
          </w:p>
        </w:tc>
      </w:tr>
      <w:tr w14:paraId="3D8D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A74DB9">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7912" w:type="dxa"/>
            <w:vAlign w:val="center"/>
          </w:tcPr>
          <w:p w14:paraId="6FCB3682">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rPr>
              <w:t>资格证明文件</w:t>
            </w:r>
          </w:p>
          <w:p w14:paraId="566622C4">
            <w:pPr>
              <w:snapToGrid w:val="0"/>
              <w:spacing w:line="340" w:lineRule="exact"/>
              <w:jc w:val="left"/>
              <w:rPr>
                <w:rFonts w:ascii="宋体" w:hAnsi="宋体" w:cs="宋体"/>
                <w:b/>
                <w:bCs/>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bCs/>
                <w:color w:val="auto"/>
                <w:szCs w:val="21"/>
                <w:highlight w:val="none"/>
              </w:rPr>
              <w:t>（必须提供，否则响应文件按无效响应处理）</w:t>
            </w:r>
          </w:p>
          <w:p w14:paraId="1DEFD8EC">
            <w:pPr>
              <w:snapToGrid w:val="0"/>
              <w:spacing w:line="34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依法缴纳税收的相关材料（2025年1月以来任意1个月的依法缴纳税收的证明材料复印件；依法免税的供应商，必须提供符合免税条件的证明材料。从成立之日起到响应文件提交截止时间止不足要求月数的，则无需提供）；</w:t>
            </w:r>
            <w:r>
              <w:rPr>
                <w:rFonts w:hint="eastAsia" w:ascii="宋体" w:hAnsi="宋体" w:cs="宋体"/>
                <w:b/>
                <w:bCs/>
                <w:color w:val="auto"/>
                <w:szCs w:val="21"/>
                <w:highlight w:val="none"/>
              </w:rPr>
              <w:t>（必须提供，否则响应文件按无效处理）</w:t>
            </w:r>
          </w:p>
          <w:p w14:paraId="156190EE">
            <w:pPr>
              <w:snapToGrid w:val="0"/>
              <w:spacing w:line="34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[2025年1月以来任意1个月的依法缴纳社会保障资金的缴费证明材料（专用收据、社会保险缴纳清单或社保部门的证明）复印件；依法不需要缴纳社会保障资金的供应商，必须提供相应文件证明不需要缴纳社会保障资金。从成立之日起到响应文件提交截止时间止不足要求月数的，则无需提供]；</w:t>
            </w:r>
            <w:r>
              <w:rPr>
                <w:rFonts w:hint="eastAsia" w:ascii="宋体" w:hAnsi="宋体" w:cs="宋体"/>
                <w:b/>
                <w:bCs/>
                <w:color w:val="auto"/>
                <w:szCs w:val="21"/>
                <w:highlight w:val="none"/>
              </w:rPr>
              <w:t>（必须提供，否则响应文件按无效处理）</w:t>
            </w:r>
          </w:p>
          <w:p w14:paraId="5B01C0F8">
            <w:pPr>
              <w:snapToGrid w:val="0"/>
              <w:spacing w:line="34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财务状况报告【2024年度的财务报表复印件，或者2025年以来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w:t>
            </w:r>
            <w:r>
              <w:rPr>
                <w:rFonts w:hint="eastAsia" w:ascii="宋体" w:hAnsi="宋体" w:cs="宋体"/>
                <w:b/>
                <w:bCs/>
                <w:color w:val="auto"/>
                <w:szCs w:val="21"/>
                <w:highlight w:val="none"/>
              </w:rPr>
              <w:t>（必须提供，否则响应文件按无效处理）</w:t>
            </w:r>
          </w:p>
          <w:p w14:paraId="0E9CEDB0">
            <w:pPr>
              <w:snapToGrid w:val="0"/>
              <w:spacing w:line="34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.供应商直接控股、管理关系信息表（格式后附）；</w:t>
            </w:r>
            <w:r>
              <w:rPr>
                <w:rFonts w:hint="eastAsia" w:ascii="宋体" w:hAnsi="宋体" w:cs="宋体"/>
                <w:b/>
                <w:bCs/>
                <w:color w:val="auto"/>
                <w:szCs w:val="21"/>
                <w:highlight w:val="none"/>
              </w:rPr>
              <w:t>（必须提供，否则响应文件按无效处理）</w:t>
            </w:r>
          </w:p>
          <w:p w14:paraId="2CE8106F">
            <w:pPr>
              <w:snapToGrid w:val="0"/>
              <w:spacing w:line="34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.竞标声明（格式后附）；</w:t>
            </w:r>
            <w:r>
              <w:rPr>
                <w:rFonts w:hint="eastAsia" w:ascii="宋体" w:hAnsi="宋体" w:cs="宋体"/>
                <w:b/>
                <w:bCs/>
                <w:color w:val="auto"/>
                <w:szCs w:val="21"/>
                <w:highlight w:val="none"/>
              </w:rPr>
              <w:t>（必须提供，否则响应文件按无效处理）</w:t>
            </w:r>
          </w:p>
          <w:p w14:paraId="31825DEB">
            <w:pPr>
              <w:snapToGrid w:val="0"/>
              <w:spacing w:line="34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.联合体竞标协议书（格式后附）；</w:t>
            </w:r>
            <w:r>
              <w:rPr>
                <w:rFonts w:hint="eastAsia" w:ascii="宋体" w:hAnsi="宋体" w:cs="宋体"/>
                <w:b/>
                <w:bCs/>
                <w:color w:val="auto"/>
                <w:szCs w:val="21"/>
                <w:highlight w:val="none"/>
              </w:rPr>
              <w:t>（联合体竞标时必须提供，否则响应文件按无效处理）</w:t>
            </w:r>
          </w:p>
          <w:p w14:paraId="12EA739F">
            <w:pPr>
              <w:snapToGrid w:val="0"/>
              <w:spacing w:line="340" w:lineRule="exact"/>
              <w:jc w:val="left"/>
              <w:rPr>
                <w:rFonts w:ascii="宋体"/>
                <w:i/>
                <w:color w:val="auto"/>
                <w:szCs w:val="21"/>
                <w:highlight w:val="none"/>
              </w:rPr>
            </w:pP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s="宋体"/>
                <w:color w:val="auto"/>
                <w:szCs w:val="21"/>
                <w:highlight w:val="none"/>
              </w:rPr>
              <w:t>除谈判文件规定必须提供以外，供应商认为需要提供的其他证明材料；</w:t>
            </w:r>
          </w:p>
          <w:p w14:paraId="6A591FD8">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rPr>
              <w:t>注：</w:t>
            </w:r>
          </w:p>
          <w:p w14:paraId="3159F612">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lang w:eastAsia="zh-CN"/>
              </w:rPr>
              <w:t>（</w:t>
            </w:r>
            <w:r>
              <w:rPr>
                <w:rFonts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p w14:paraId="312F53B1">
            <w:pPr>
              <w:snapToGrid w:val="0"/>
              <w:spacing w:line="3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联合体竞标时，第</w:t>
            </w:r>
            <w:r>
              <w:rPr>
                <w:rFonts w:ascii="宋体" w:hAnsi="宋体" w:cs="宋体"/>
                <w:b/>
                <w:color w:val="auto"/>
                <w:szCs w:val="21"/>
                <w:highlight w:val="none"/>
              </w:rPr>
              <w:t>1-5</w:t>
            </w:r>
            <w:r>
              <w:rPr>
                <w:rFonts w:hint="eastAsia" w:ascii="宋体" w:hAnsi="宋体" w:cs="宋体"/>
                <w:b/>
                <w:color w:val="auto"/>
                <w:szCs w:val="21"/>
                <w:highlight w:val="none"/>
              </w:rPr>
              <w:t>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p w14:paraId="42096DDB">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lang w:eastAsia="zh-CN"/>
              </w:rPr>
              <w:t>（</w:t>
            </w:r>
            <w:r>
              <w:rPr>
                <w:rFonts w:ascii="宋体" w:hAnsi="宋体"/>
                <w:b/>
                <w:bCs/>
                <w:color w:val="auto"/>
                <w:szCs w:val="21"/>
                <w:highlight w:val="none"/>
              </w:rPr>
              <w:t>3</w:t>
            </w:r>
            <w:r>
              <w:rPr>
                <w:rFonts w:hint="eastAsia" w:ascii="宋体" w:hAnsi="宋体"/>
                <w:b/>
                <w:bCs/>
                <w:color w:val="auto"/>
                <w:szCs w:val="21"/>
                <w:highlight w:val="none"/>
                <w:lang w:eastAsia="zh-CN"/>
              </w:rPr>
              <w:t>）</w:t>
            </w:r>
            <w:r>
              <w:rPr>
                <w:rFonts w:hint="eastAsia" w:ascii="宋体" w:hAnsi="宋体"/>
                <w:b/>
                <w:bCs/>
                <w:color w:val="auto"/>
                <w:szCs w:val="21"/>
                <w:highlight w:val="none"/>
              </w:rPr>
              <w:t>分公司参加竞标的，应当取得总公司授权。</w:t>
            </w:r>
          </w:p>
        </w:tc>
      </w:tr>
      <w:tr w14:paraId="233D9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483C13">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7912" w:type="dxa"/>
            <w:vAlign w:val="center"/>
          </w:tcPr>
          <w:p w14:paraId="4B3E745C">
            <w:pPr>
              <w:spacing w:line="340" w:lineRule="exact"/>
              <w:rPr>
                <w:rFonts w:ascii="宋体" w:cs="宋体"/>
                <w:color w:val="auto"/>
                <w:szCs w:val="21"/>
                <w:highlight w:val="none"/>
              </w:rPr>
            </w:pPr>
            <w:r>
              <w:rPr>
                <w:rFonts w:hint="eastAsia" w:ascii="宋体" w:hAnsi="宋体" w:cs="宋体"/>
                <w:color w:val="auto"/>
                <w:szCs w:val="21"/>
                <w:highlight w:val="none"/>
              </w:rPr>
              <w:t>报价文件</w:t>
            </w:r>
          </w:p>
          <w:p w14:paraId="2D2FFEBD">
            <w:pPr>
              <w:spacing w:line="340" w:lineRule="exact"/>
              <w:rPr>
                <w:rFonts w:asci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p>
          <w:p w14:paraId="41D99E0E">
            <w:pPr>
              <w:spacing w:line="34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供应商认为需要提供的其他有关资料。</w:t>
            </w:r>
          </w:p>
          <w:p w14:paraId="30BF93D1">
            <w:pPr>
              <w:spacing w:line="340" w:lineRule="exact"/>
              <w:rPr>
                <w:rFonts w:ascii="宋体" w:cs="宋体"/>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2F81B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2631F7">
            <w:pPr>
              <w:spacing w:line="360" w:lineRule="auto"/>
              <w:jc w:val="center"/>
              <w:rPr>
                <w:rFonts w:ascii="宋体" w:cs="宋体"/>
                <w:color w:val="auto"/>
                <w:szCs w:val="21"/>
                <w:highlight w:val="none"/>
              </w:rPr>
            </w:pPr>
            <w:r>
              <w:rPr>
                <w:rFonts w:ascii="宋体" w:hAnsi="宋体" w:cs="宋体"/>
                <w:color w:val="auto"/>
                <w:szCs w:val="21"/>
                <w:highlight w:val="none"/>
              </w:rPr>
              <w:t>12.1.3</w:t>
            </w:r>
          </w:p>
        </w:tc>
        <w:tc>
          <w:tcPr>
            <w:tcW w:w="7912" w:type="dxa"/>
            <w:vAlign w:val="center"/>
          </w:tcPr>
          <w:p w14:paraId="21B0095D">
            <w:pPr>
              <w:spacing w:line="340" w:lineRule="exact"/>
              <w:rPr>
                <w:rFonts w:ascii="宋体" w:cs="宋体"/>
                <w:color w:val="auto"/>
                <w:szCs w:val="21"/>
                <w:highlight w:val="none"/>
              </w:rPr>
            </w:pPr>
            <w:r>
              <w:rPr>
                <w:rFonts w:hint="eastAsia" w:ascii="宋体" w:hAnsi="宋体" w:cs="宋体"/>
                <w:color w:val="auto"/>
                <w:szCs w:val="21"/>
                <w:highlight w:val="none"/>
              </w:rPr>
              <w:t>商务技术文件</w:t>
            </w:r>
          </w:p>
          <w:p w14:paraId="0AF0F9B8">
            <w:pPr>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（必须提供，否则响应文件按无效处理）</w:t>
            </w:r>
          </w:p>
          <w:p w14:paraId="17096C05">
            <w:pPr>
              <w:snapToGrid w:val="0"/>
              <w:spacing w:line="340" w:lineRule="exact"/>
              <w:jc w:val="left"/>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color w:val="auto"/>
                <w:szCs w:val="21"/>
                <w:highlight w:val="none"/>
              </w:rPr>
              <w:t>（必须提供，否则响应文件按无效处理）</w:t>
            </w:r>
          </w:p>
          <w:p w14:paraId="1A3376C9">
            <w:pPr>
              <w:spacing w:line="340" w:lineRule="exact"/>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（委托时必须提供，否则响应文件按无效处理）</w:t>
            </w:r>
          </w:p>
          <w:p w14:paraId="0F13121E">
            <w:pPr>
              <w:spacing w:line="340" w:lineRule="exac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竞标保证金提交凭证；</w:t>
            </w:r>
            <w:r>
              <w:rPr>
                <w:rFonts w:hint="eastAsia" w:ascii="宋体" w:hAnsi="宋体" w:cs="宋体"/>
                <w:b/>
                <w:color w:val="auto"/>
                <w:szCs w:val="21"/>
                <w:highlight w:val="none"/>
              </w:rPr>
              <w:t>（</w:t>
            </w:r>
            <w:r>
              <w:rPr>
                <w:rFonts w:hint="eastAsia"/>
                <w:b/>
                <w:bCs/>
                <w:color w:val="auto"/>
                <w:highlight w:val="none"/>
              </w:rPr>
              <w:t>必须提供</w:t>
            </w:r>
            <w:r>
              <w:rPr>
                <w:rFonts w:hint="eastAsia" w:ascii="宋体" w:hAnsi="宋体" w:cs="宋体"/>
                <w:b/>
                <w:color w:val="auto"/>
                <w:szCs w:val="21"/>
                <w:highlight w:val="none"/>
              </w:rPr>
              <w:t>，否则响应文件按无效处理）</w:t>
            </w:r>
          </w:p>
          <w:p w14:paraId="2A7EFDD4">
            <w:pPr>
              <w:spacing w:line="340" w:lineRule="exact"/>
              <w:rPr>
                <w:rFonts w:ascii="宋体" w:cs="宋体"/>
                <w:b/>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商务要求响应承诺表（格式后附）；</w:t>
            </w:r>
            <w:r>
              <w:rPr>
                <w:rFonts w:hint="eastAsia" w:ascii="宋体" w:hAnsi="宋体" w:cs="宋体"/>
                <w:b/>
                <w:color w:val="auto"/>
                <w:szCs w:val="21"/>
                <w:highlight w:val="none"/>
              </w:rPr>
              <w:t>（必须提供，否则响应文件按无效处理）</w:t>
            </w:r>
          </w:p>
          <w:p w14:paraId="4EA8FC68">
            <w:pPr>
              <w:spacing w:line="340" w:lineRule="exac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售后服务承诺书（格式后附）；</w:t>
            </w:r>
            <w:r>
              <w:rPr>
                <w:rFonts w:hint="eastAsia" w:ascii="宋体" w:hAnsi="宋体" w:cs="宋体"/>
                <w:b/>
                <w:color w:val="auto"/>
                <w:szCs w:val="21"/>
                <w:highlight w:val="none"/>
              </w:rPr>
              <w:t>（必须提供，否则响应文件按无效处理）</w:t>
            </w:r>
          </w:p>
          <w:p w14:paraId="12BD1044">
            <w:pPr>
              <w:spacing w:line="340" w:lineRule="exact"/>
              <w:rPr>
                <w:rFonts w:ascii="宋体" w:hAnsi="宋体" w:cs="宋体"/>
                <w:b/>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技术要求响应承诺表（格式后附）；</w:t>
            </w:r>
            <w:r>
              <w:rPr>
                <w:rFonts w:hint="eastAsia" w:ascii="宋体" w:hAnsi="宋体" w:cs="宋体"/>
                <w:b/>
                <w:color w:val="auto"/>
                <w:szCs w:val="21"/>
                <w:highlight w:val="none"/>
              </w:rPr>
              <w:t>（必须提供，否则响应文件按无效处理）</w:t>
            </w:r>
          </w:p>
          <w:p w14:paraId="3AB67C69">
            <w:pPr>
              <w:spacing w:line="340" w:lineRule="exact"/>
              <w:rPr>
                <w:rFonts w:ascii="宋体" w:cs="宋体"/>
                <w:color w:val="auto"/>
                <w:szCs w:val="21"/>
                <w:highlight w:val="none"/>
              </w:rPr>
            </w:pPr>
            <w:r>
              <w:rPr>
                <w:rFonts w:hint="eastAsia" w:ascii="宋体" w:cs="宋体"/>
                <w:color w:val="auto"/>
                <w:szCs w:val="21"/>
                <w:highlight w:val="none"/>
              </w:rPr>
              <w:t>8.</w:t>
            </w:r>
            <w:r>
              <w:rPr>
                <w:rFonts w:hint="eastAsia" w:ascii="宋体" w:hAnsi="宋体" w:cs="宋体"/>
                <w:color w:val="auto"/>
                <w:szCs w:val="21"/>
                <w:highlight w:val="none"/>
              </w:rPr>
              <w:t>货物配置清单（均不含报价）（格式后附）；</w:t>
            </w:r>
          </w:p>
          <w:p w14:paraId="38558C95">
            <w:pPr>
              <w:spacing w:line="340" w:lineRule="exact"/>
              <w:rPr>
                <w:rFonts w:asci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s="宋体"/>
                <w:color w:val="auto"/>
                <w:szCs w:val="21"/>
                <w:highlight w:val="none"/>
              </w:rPr>
              <w:t>对应采购需求的技术要求、商务要求提供的其他文件资料（格式自拟）；</w:t>
            </w:r>
          </w:p>
          <w:p w14:paraId="5A696B0D">
            <w:pPr>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rPr>
              <w:t>供应商认为需要提供的其他有关资料。</w:t>
            </w:r>
          </w:p>
          <w:p w14:paraId="11649F5E">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2E2C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CC3F20">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7912" w:type="dxa"/>
            <w:vAlign w:val="center"/>
          </w:tcPr>
          <w:p w14:paraId="6152AE26">
            <w:pPr>
              <w:snapToGrid w:val="0"/>
              <w:spacing w:line="340" w:lineRule="exact"/>
              <w:jc w:val="left"/>
              <w:rPr>
                <w:rFonts w:ascii="宋体" w:cs="宋体"/>
                <w:color w:val="auto"/>
                <w:szCs w:val="21"/>
                <w:highlight w:val="none"/>
              </w:rPr>
            </w:pPr>
            <w:r>
              <w:rPr>
                <w:rFonts w:hint="eastAsia" w:ascii="宋体" w:hAnsi="宋体" w:cs="宋体"/>
                <w:color w:val="auto"/>
                <w:szCs w:val="21"/>
                <w:highlight w:val="none"/>
              </w:rPr>
              <w:t>竞标报价包括竞标货物（包括货物标准附件、备品备件、专用工具等）的价格，竞标货物包装运输（含保险）、安装、调试、检验、技术服务、</w:t>
            </w:r>
            <w:r>
              <w:rPr>
                <w:rFonts w:hint="eastAsia" w:ascii="宋体" w:hAnsi="宋体" w:cs="宋体"/>
                <w:color w:val="auto"/>
                <w:szCs w:val="21"/>
                <w:highlight w:val="none"/>
                <w:lang w:eastAsia="zh-CN"/>
              </w:rPr>
              <w:t>售后服务、</w:t>
            </w:r>
            <w:r>
              <w:rPr>
                <w:rFonts w:hint="eastAsia" w:ascii="宋体" w:hAnsi="宋体" w:cs="宋体"/>
                <w:color w:val="auto"/>
                <w:szCs w:val="21"/>
                <w:highlight w:val="none"/>
              </w:rPr>
              <w:t>培训和</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相伴随</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费用和税费。</w:t>
            </w:r>
          </w:p>
        </w:tc>
      </w:tr>
      <w:tr w14:paraId="76DA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2" w:type="dxa"/>
            <w:vAlign w:val="center"/>
          </w:tcPr>
          <w:p w14:paraId="594624B8">
            <w:pPr>
              <w:spacing w:line="340" w:lineRule="exact"/>
              <w:jc w:val="center"/>
              <w:rPr>
                <w:rFonts w:ascii="宋体" w:cs="宋体"/>
                <w:color w:val="auto"/>
                <w:szCs w:val="21"/>
                <w:highlight w:val="none"/>
              </w:rPr>
            </w:pPr>
            <w:r>
              <w:rPr>
                <w:rFonts w:ascii="宋体" w:hAnsi="宋体" w:cs="宋体"/>
                <w:color w:val="auto"/>
                <w:szCs w:val="21"/>
                <w:highlight w:val="none"/>
              </w:rPr>
              <w:t>16.2</w:t>
            </w:r>
          </w:p>
        </w:tc>
        <w:tc>
          <w:tcPr>
            <w:tcW w:w="7912" w:type="dxa"/>
            <w:vAlign w:val="center"/>
          </w:tcPr>
          <w:p w14:paraId="57166FD6">
            <w:pPr>
              <w:spacing w:line="340" w:lineRule="exact"/>
              <w:jc w:val="left"/>
              <w:rPr>
                <w:rFonts w:ascii="宋体" w:cs="宋体"/>
                <w:color w:val="auto"/>
                <w:szCs w:val="21"/>
                <w:highlight w:val="none"/>
              </w:rPr>
            </w:pPr>
            <w:r>
              <w:rPr>
                <w:rFonts w:hint="eastAsia" w:ascii="宋体" w:hAnsi="宋体" w:cs="宋体"/>
                <w:color w:val="auto"/>
                <w:szCs w:val="21"/>
                <w:highlight w:val="none"/>
              </w:rPr>
              <w:t>竞标有效期：自首次响应文件提交截止之日起</w:t>
            </w:r>
            <w:r>
              <w:rPr>
                <w:rFonts w:ascii="宋体" w:hAnsi="宋体" w:cs="宋体"/>
                <w:color w:val="auto"/>
                <w:szCs w:val="21"/>
                <w:highlight w:val="none"/>
              </w:rPr>
              <w:t>90</w:t>
            </w:r>
            <w:r>
              <w:rPr>
                <w:rFonts w:hint="eastAsia" w:ascii="宋体" w:hAnsi="宋体" w:cs="宋体"/>
                <w:color w:val="auto"/>
                <w:szCs w:val="21"/>
                <w:highlight w:val="none"/>
              </w:rPr>
              <w:t>日。</w:t>
            </w:r>
          </w:p>
        </w:tc>
      </w:tr>
      <w:tr w14:paraId="1ABFB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69EC77">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7912" w:type="dxa"/>
            <w:vAlign w:val="center"/>
          </w:tcPr>
          <w:p w14:paraId="2FE82E34">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□本项目不收取竞标保证金。</w:t>
            </w:r>
          </w:p>
          <w:p w14:paraId="20516DC9">
            <w:pPr>
              <w:snapToGrid w:val="0"/>
              <w:spacing w:line="340" w:lineRule="exact"/>
              <w:rPr>
                <w:rFonts w:ascii="宋体"/>
                <w:color w:val="auto"/>
                <w:szCs w:val="21"/>
                <w:highlight w:val="none"/>
              </w:rPr>
            </w:pPr>
            <w:r>
              <w:rPr>
                <w:b/>
                <w:color w:val="auto"/>
                <w:highlight w:val="none"/>
              </w:rPr>
              <w:fldChar w:fldCharType="begin"/>
            </w:r>
            <w:r>
              <w:rPr>
                <w:b/>
                <w:color w:val="auto"/>
                <w:highlight w:val="none"/>
              </w:rPr>
              <w:instrText xml:space="preserve"> eq \o\ac(</w:instrText>
            </w:r>
            <w:r>
              <w:rPr>
                <w:rFonts w:hint="eastAsia"/>
                <w:b/>
                <w:color w:val="auto"/>
                <w:highlight w:val="none"/>
              </w:rPr>
              <w:instrText xml:space="preserve">□</w:instrText>
            </w:r>
            <w:r>
              <w:rPr>
                <w:b/>
                <w:color w:val="auto"/>
                <w:highlight w:val="none"/>
              </w:rPr>
              <w:instrText xml:space="preserve">,</w:instrText>
            </w:r>
            <w:r>
              <w:rPr>
                <w:rFonts w:hint="eastAsia" w:ascii="宋体"/>
                <w:b/>
                <w:color w:val="auto"/>
                <w:position w:val="1"/>
                <w:sz w:val="14"/>
                <w:highlight w:val="none"/>
              </w:rPr>
              <w:instrText xml:space="preserve">√</w:instrText>
            </w:r>
            <w:r>
              <w:rPr>
                <w:b/>
                <w:color w:val="auto"/>
                <w:highlight w:val="none"/>
              </w:rPr>
              <w:instrText xml:space="preserve">)</w:instrText>
            </w:r>
            <w:r>
              <w:rPr>
                <w:b/>
                <w:color w:val="auto"/>
                <w:highlight w:val="none"/>
              </w:rPr>
              <w:fldChar w:fldCharType="end"/>
            </w:r>
            <w:r>
              <w:rPr>
                <w:rFonts w:hint="eastAsia" w:ascii="宋体" w:hAnsi="宋体"/>
                <w:color w:val="auto"/>
                <w:szCs w:val="21"/>
                <w:highlight w:val="none"/>
              </w:rPr>
              <w:t>本项目收取竞标保证金，具体规定如下：</w:t>
            </w:r>
          </w:p>
          <w:p w14:paraId="3C517FC4">
            <w:pPr>
              <w:snapToGrid w:val="0"/>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竞标保证金人民币壹万元整（¥10000.00）。</w:t>
            </w:r>
          </w:p>
          <w:p w14:paraId="6AEF1220">
            <w:pPr>
              <w:snapToGrid w:val="0"/>
              <w:spacing w:line="340" w:lineRule="exact"/>
              <w:rPr>
                <w:rFonts w:asci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cs="宋体"/>
                <w:b/>
                <w:color w:val="auto"/>
                <w:kern w:val="0"/>
                <w:szCs w:val="21"/>
                <w:highlight w:val="none"/>
              </w:rPr>
              <w:t>（开户名称：云之龙咨询集团有限公司桂林分公司；开户银行：中信银行股份有限公司南宁东葛支行；银行账号：8113001013100074449）</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采用支票、汇票、本票或者保函（包含电子保函）等方式的，在响应文件提交截止时间前，供应商必须提交单独密封的支票、汇票、本票或者保函原件。否则视为无效竞标保证金。</w:t>
            </w:r>
          </w:p>
          <w:p w14:paraId="45BB5434">
            <w:pPr>
              <w:snapToGrid w:val="0"/>
              <w:spacing w:line="340" w:lineRule="exact"/>
              <w:rPr>
                <w:rFonts w:ascii="宋体" w:cs="宋体"/>
                <w:color w:val="auto"/>
                <w:szCs w:val="21"/>
                <w:highlight w:val="none"/>
              </w:rPr>
            </w:pPr>
            <w:r>
              <w:rPr>
                <w:rFonts w:hint="eastAsia" w:ascii="宋体" w:hAnsi="宋体" w:cs="宋体"/>
                <w:color w:val="auto"/>
                <w:szCs w:val="21"/>
                <w:highlight w:val="none"/>
              </w:rPr>
              <w:t>相关要求：</w:t>
            </w:r>
          </w:p>
          <w:p w14:paraId="21F53F5B">
            <w:pPr>
              <w:snapToGrid w:val="0"/>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53867A5B">
            <w:pPr>
              <w:snapToGrid w:val="0"/>
              <w:spacing w:line="340" w:lineRule="exac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竞标保证金采用支票、汇票、本票或者</w:t>
            </w:r>
            <w:r>
              <w:rPr>
                <w:rFonts w:hint="eastAsia" w:ascii="宋体" w:hAnsi="宋体" w:cs="宋体"/>
                <w:color w:val="auto"/>
                <w:kern w:val="0"/>
                <w:szCs w:val="21"/>
                <w:highlight w:val="none"/>
              </w:rPr>
              <w:t>金融、担保</w:t>
            </w:r>
            <w:r>
              <w:rPr>
                <w:rFonts w:hint="eastAsia" w:ascii="宋体" w:hAnsi="宋体"/>
                <w:color w:val="auto"/>
                <w:szCs w:val="21"/>
                <w:highlight w:val="none"/>
              </w:rPr>
              <w:t>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w:t>
            </w:r>
            <w:r>
              <w:rPr>
                <w:rFonts w:hint="eastAsia" w:ascii="宋体" w:hAnsi="宋体" w:cs="宋体"/>
                <w:color w:val="auto"/>
                <w:kern w:val="0"/>
                <w:szCs w:val="21"/>
                <w:highlight w:val="none"/>
              </w:rPr>
              <w:t>金融、担保</w:t>
            </w:r>
            <w:r>
              <w:rPr>
                <w:rFonts w:hint="eastAsia" w:ascii="宋体" w:hAnsi="宋体"/>
                <w:color w:val="auto"/>
                <w:szCs w:val="21"/>
                <w:highlight w:val="none"/>
              </w:rPr>
              <w:t>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w:t>
            </w:r>
            <w:r>
              <w:rPr>
                <w:rFonts w:hint="eastAsia"/>
                <w:color w:val="auto"/>
                <w:highlight w:val="none"/>
              </w:rPr>
              <w:t>【现场提交地址：云之龙咨询集团有限公司开标大厅（广西桂林市临桂区西城北路</w:t>
            </w:r>
            <w:r>
              <w:rPr>
                <w:color w:val="auto"/>
                <w:highlight w:val="none"/>
              </w:rPr>
              <w:t>2</w:t>
            </w:r>
            <w:r>
              <w:rPr>
                <w:rFonts w:hint="eastAsia"/>
                <w:color w:val="auto"/>
                <w:highlight w:val="none"/>
              </w:rPr>
              <w:t>号耀辉•美好家园</w:t>
            </w:r>
            <w:r>
              <w:rPr>
                <w:color w:val="auto"/>
                <w:highlight w:val="none"/>
              </w:rPr>
              <w:t>2</w:t>
            </w:r>
            <w:r>
              <w:rPr>
                <w:rFonts w:hint="eastAsia"/>
                <w:color w:val="auto"/>
                <w:highlight w:val="none"/>
              </w:rPr>
              <w:t>幢</w:t>
            </w:r>
            <w:r>
              <w:rPr>
                <w:color w:val="auto"/>
                <w:highlight w:val="none"/>
              </w:rPr>
              <w:t>12</w:t>
            </w:r>
            <w:r>
              <w:rPr>
                <w:rFonts w:hint="eastAsia"/>
                <w:color w:val="auto"/>
                <w:highlight w:val="none"/>
              </w:rPr>
              <w:t>层）；邮寄地址：云之龙咨询集团有限公司（广西桂林市临桂区西城北路</w:t>
            </w:r>
            <w:r>
              <w:rPr>
                <w:color w:val="auto"/>
                <w:highlight w:val="none"/>
              </w:rPr>
              <w:t>2</w:t>
            </w:r>
            <w:r>
              <w:rPr>
                <w:rFonts w:hint="eastAsia"/>
                <w:color w:val="auto"/>
                <w:highlight w:val="none"/>
              </w:rPr>
              <w:t>号耀辉•美好家园</w:t>
            </w:r>
            <w:r>
              <w:rPr>
                <w:color w:val="auto"/>
                <w:highlight w:val="none"/>
              </w:rPr>
              <w:t>2</w:t>
            </w:r>
            <w:r>
              <w:rPr>
                <w:rFonts w:hint="eastAsia"/>
                <w:color w:val="auto"/>
                <w:highlight w:val="none"/>
              </w:rPr>
              <w:t>幢</w:t>
            </w:r>
            <w:r>
              <w:rPr>
                <w:color w:val="auto"/>
                <w:highlight w:val="none"/>
              </w:rPr>
              <w:t>12</w:t>
            </w:r>
            <w:r>
              <w:rPr>
                <w:rFonts w:hint="eastAsia"/>
                <w:color w:val="auto"/>
                <w:highlight w:val="none"/>
              </w:rPr>
              <w:t>层），收件人：李贞，联系方式：</w:t>
            </w:r>
            <w:r>
              <w:rPr>
                <w:color w:val="auto"/>
                <w:highlight w:val="none"/>
              </w:rPr>
              <w:t>0773-2887388</w:t>
            </w:r>
            <w:r>
              <w:rPr>
                <w:rFonts w:hint="eastAsia"/>
                <w:color w:val="auto"/>
                <w:highlight w:val="none"/>
              </w:rPr>
              <w:t>、</w:t>
            </w:r>
            <w:r>
              <w:rPr>
                <w:color w:val="auto"/>
                <w:highlight w:val="none"/>
              </w:rPr>
              <w:t>2887399</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w:t>
            </w:r>
            <w:r>
              <w:rPr>
                <w:rFonts w:hint="eastAsia" w:ascii="宋体" w:hAnsi="宋体" w:cs="宋体"/>
                <w:color w:val="auto"/>
                <w:kern w:val="0"/>
                <w:szCs w:val="21"/>
                <w:highlight w:val="none"/>
              </w:rPr>
              <w:t>金融、担保机构</w:t>
            </w:r>
            <w:r>
              <w:rPr>
                <w:rFonts w:hint="eastAsia" w:ascii="宋体" w:hAnsi="宋体"/>
                <w:color w:val="auto"/>
                <w:szCs w:val="21"/>
                <w:highlight w:val="none"/>
              </w:rPr>
              <w:t>出具的保函原件提交给采购人或者采购代理机构，由采购人或者采购代理机构向供应商出具回执（邮寄方式的除外），并妥善保管。</w:t>
            </w:r>
          </w:p>
          <w:p w14:paraId="08927E71">
            <w:pPr>
              <w:snapToGrid w:val="0"/>
              <w:spacing w:line="340" w:lineRule="exact"/>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供应商为联合体的，可以由联合体中的一方或者多方共同交纳谈判保证金，其交纳的保证金对联合体各方均具有约束力。</w:t>
            </w:r>
          </w:p>
          <w:p w14:paraId="7C50623E">
            <w:pPr>
              <w:snapToGrid w:val="0"/>
              <w:spacing w:line="340" w:lineRule="exact"/>
              <w:rPr>
                <w:rFonts w:ascii="宋体" w:cs="宋体"/>
                <w:b/>
                <w:color w:val="auto"/>
                <w:szCs w:val="21"/>
                <w:highlight w:val="none"/>
              </w:rPr>
            </w:pPr>
            <w:r>
              <w:rPr>
                <w:rFonts w:hint="eastAsia" w:ascii="宋体" w:hAnsi="宋体" w:cs="宋体"/>
                <w:b/>
                <w:color w:val="auto"/>
                <w:szCs w:val="21"/>
                <w:highlight w:val="none"/>
              </w:rPr>
              <w:t>备注：</w:t>
            </w:r>
          </w:p>
          <w:p w14:paraId="268B8E41">
            <w:pPr>
              <w:snapToGrid w:val="0"/>
              <w:spacing w:line="340" w:lineRule="exac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竞标保证金在响应文件提交截止时间后提交的，或者不按规定交纳方式交纳的，或者未足额交纳的（包含保函、电子保函额度不足的），视为无效竞标保证金。</w:t>
            </w:r>
          </w:p>
          <w:p w14:paraId="3577D2F3">
            <w:pPr>
              <w:snapToGrid w:val="0"/>
              <w:spacing w:line="340" w:lineRule="exac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供应商采用现钞方式或者从个人账户（自然人竞标除外）转出的竞标保证金，视为无效竞标保证金。</w:t>
            </w:r>
          </w:p>
          <w:p w14:paraId="1AD532E4">
            <w:pPr>
              <w:snapToGrid w:val="0"/>
              <w:spacing w:line="340" w:lineRule="exac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支票、汇票或者本票出现无效或者背书情形的，视为无效竞标保证金。</w:t>
            </w:r>
          </w:p>
          <w:p w14:paraId="116A5814">
            <w:pPr>
              <w:snapToGrid w:val="0"/>
              <w:spacing w:line="340" w:lineRule="exact"/>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保函（包含电子保函）有效期低于竞标有效期的，视为无效竞标保证金。</w:t>
            </w:r>
          </w:p>
        </w:tc>
      </w:tr>
      <w:tr w14:paraId="0E208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68EB391B">
            <w:pPr>
              <w:spacing w:line="340" w:lineRule="exact"/>
              <w:jc w:val="center"/>
              <w:rPr>
                <w:rFonts w:ascii="宋体" w:cs="宋体"/>
                <w:color w:val="auto"/>
                <w:szCs w:val="21"/>
                <w:highlight w:val="none"/>
              </w:rPr>
            </w:pPr>
            <w:r>
              <w:rPr>
                <w:rFonts w:ascii="宋体" w:hAnsi="宋体" w:cs="宋体"/>
                <w:color w:val="auto"/>
                <w:szCs w:val="21"/>
                <w:highlight w:val="none"/>
              </w:rPr>
              <w:t>19</w:t>
            </w:r>
          </w:p>
        </w:tc>
        <w:tc>
          <w:tcPr>
            <w:tcW w:w="7912" w:type="dxa"/>
            <w:vAlign w:val="center"/>
          </w:tcPr>
          <w:p w14:paraId="5E9F7EC3">
            <w:pPr>
              <w:spacing w:line="340" w:lineRule="exact"/>
              <w:jc w:val="left"/>
              <w:rPr>
                <w:rFonts w:ascii="宋体" w:cs="宋体"/>
                <w:color w:val="auto"/>
                <w:szCs w:val="21"/>
                <w:highlight w:val="none"/>
              </w:rPr>
            </w:pPr>
            <w:r>
              <w:rPr>
                <w:rFonts w:hint="eastAsia" w:ascii="宋体" w:hAnsi="宋体" w:cs="宋体"/>
                <w:color w:val="auto"/>
                <w:szCs w:val="21"/>
                <w:highlight w:val="none"/>
              </w:rPr>
              <w:t>本项目不接受电子备份响应文件</w:t>
            </w:r>
          </w:p>
        </w:tc>
      </w:tr>
      <w:tr w14:paraId="6B87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4B0E9F">
            <w:pPr>
              <w:spacing w:line="340" w:lineRule="exact"/>
              <w:jc w:val="center"/>
              <w:rPr>
                <w:rFonts w:ascii="宋体" w:cs="宋体"/>
                <w:color w:val="auto"/>
                <w:szCs w:val="21"/>
                <w:highlight w:val="none"/>
              </w:rPr>
            </w:pPr>
            <w:r>
              <w:rPr>
                <w:rFonts w:ascii="宋体" w:hAnsi="宋体" w:cs="宋体"/>
                <w:color w:val="auto"/>
                <w:szCs w:val="21"/>
                <w:highlight w:val="none"/>
              </w:rPr>
              <w:t>20.1</w:t>
            </w:r>
          </w:p>
        </w:tc>
        <w:tc>
          <w:tcPr>
            <w:tcW w:w="7912" w:type="dxa"/>
            <w:vAlign w:val="center"/>
          </w:tcPr>
          <w:p w14:paraId="591CB282">
            <w:pPr>
              <w:spacing w:line="340" w:lineRule="exact"/>
              <w:jc w:val="left"/>
              <w:rPr>
                <w:rFonts w:ascii="宋体" w:cs="宋体"/>
                <w:color w:val="auto"/>
                <w:szCs w:val="21"/>
                <w:highlight w:val="none"/>
              </w:rPr>
            </w:pPr>
            <w:r>
              <w:rPr>
                <w:rFonts w:hint="eastAsia" w:ascii="宋体" w:hAnsi="宋体" w:cs="宋体"/>
                <w:color w:val="auto"/>
                <w:szCs w:val="21"/>
                <w:highlight w:val="none"/>
              </w:rPr>
              <w:t>响应文件提交截止时间：详见竞争性谈判公告。</w:t>
            </w:r>
          </w:p>
          <w:p w14:paraId="222231A0">
            <w:pPr>
              <w:spacing w:line="340" w:lineRule="exact"/>
              <w:jc w:val="left"/>
              <w:rPr>
                <w:rFonts w:asci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04609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92" w:type="dxa"/>
            <w:vAlign w:val="center"/>
          </w:tcPr>
          <w:p w14:paraId="47986898">
            <w:pPr>
              <w:spacing w:line="340" w:lineRule="exact"/>
              <w:jc w:val="center"/>
              <w:rPr>
                <w:rFonts w:ascii="宋体" w:cs="宋体"/>
                <w:color w:val="auto"/>
                <w:szCs w:val="21"/>
                <w:highlight w:val="none"/>
              </w:rPr>
            </w:pPr>
            <w:r>
              <w:rPr>
                <w:rFonts w:ascii="宋体" w:hAnsi="宋体" w:cs="宋体"/>
                <w:color w:val="auto"/>
                <w:szCs w:val="21"/>
                <w:highlight w:val="none"/>
              </w:rPr>
              <w:t>24.1</w:t>
            </w:r>
          </w:p>
        </w:tc>
        <w:tc>
          <w:tcPr>
            <w:tcW w:w="7912" w:type="dxa"/>
            <w:vAlign w:val="center"/>
          </w:tcPr>
          <w:p w14:paraId="7028C0EC">
            <w:pPr>
              <w:spacing w:line="340" w:lineRule="exact"/>
              <w:jc w:val="left"/>
              <w:rPr>
                <w:rFonts w:ascii="宋体" w:cs="宋体"/>
                <w:color w:val="auto"/>
                <w:szCs w:val="21"/>
                <w:highlight w:val="none"/>
              </w:rPr>
            </w:pPr>
            <w:r>
              <w:rPr>
                <w:rFonts w:hint="eastAsia" w:ascii="宋体" w:hAnsi="宋体" w:cs="宋体"/>
                <w:color w:val="auto"/>
                <w:szCs w:val="21"/>
                <w:highlight w:val="none"/>
              </w:rPr>
              <w:t>谈判小组的人数：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55234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6F4DEB">
            <w:pPr>
              <w:spacing w:line="340" w:lineRule="exact"/>
              <w:jc w:val="center"/>
              <w:rPr>
                <w:rFonts w:ascii="宋体" w:cs="宋体"/>
                <w:color w:val="auto"/>
                <w:szCs w:val="21"/>
                <w:highlight w:val="none"/>
              </w:rPr>
            </w:pPr>
            <w:r>
              <w:rPr>
                <w:rFonts w:ascii="宋体" w:hAnsi="宋体" w:cs="宋体"/>
                <w:color w:val="auto"/>
                <w:szCs w:val="21"/>
                <w:highlight w:val="none"/>
              </w:rPr>
              <w:t>25</w:t>
            </w:r>
          </w:p>
        </w:tc>
        <w:tc>
          <w:tcPr>
            <w:tcW w:w="7912" w:type="dxa"/>
            <w:vAlign w:val="center"/>
          </w:tcPr>
          <w:p w14:paraId="7534F352">
            <w:pPr>
              <w:spacing w:line="340" w:lineRule="exact"/>
              <w:jc w:val="left"/>
              <w:rPr>
                <w:rFonts w:ascii="宋体" w:cs="宋体"/>
                <w:color w:val="auto"/>
                <w:szCs w:val="21"/>
                <w:highlight w:val="none"/>
              </w:rPr>
            </w:pPr>
            <w:r>
              <w:rPr>
                <w:rFonts w:hint="eastAsia" w:ascii="宋体" w:hAnsi="宋体" w:cs="宋体"/>
                <w:color w:val="auto"/>
                <w:szCs w:val="21"/>
                <w:highlight w:val="none"/>
              </w:rPr>
              <w:t>首次响应文件开启时间详见“竞争性谈判公告”</w:t>
            </w:r>
          </w:p>
          <w:p w14:paraId="3BC6D63F">
            <w:pPr>
              <w:spacing w:line="340" w:lineRule="exact"/>
              <w:jc w:val="left"/>
              <w:rPr>
                <w:rFonts w:ascii="宋体" w:cs="宋体"/>
                <w:color w:val="auto"/>
                <w:szCs w:val="21"/>
                <w:highlight w:val="none"/>
              </w:rPr>
            </w:pPr>
            <w:r>
              <w:rPr>
                <w:rFonts w:hint="eastAsia" w:ascii="宋体" w:hAnsi="宋体" w:cs="宋体"/>
                <w:color w:val="auto"/>
                <w:szCs w:val="21"/>
                <w:highlight w:val="none"/>
              </w:rPr>
              <w:t>首次响应文件解密时间：</w:t>
            </w:r>
            <w:r>
              <w:rPr>
                <w:rFonts w:ascii="宋体" w:hAnsi="宋体" w:cs="宋体"/>
                <w:color w:val="auto"/>
                <w:szCs w:val="21"/>
                <w:highlight w:val="none"/>
              </w:rPr>
              <w:t>30</w:t>
            </w:r>
            <w:r>
              <w:rPr>
                <w:rFonts w:hint="eastAsia" w:ascii="宋体" w:hAnsi="宋体" w:cs="宋体"/>
                <w:color w:val="auto"/>
                <w:szCs w:val="21"/>
                <w:highlight w:val="none"/>
              </w:rPr>
              <w:t>分钟</w:t>
            </w:r>
          </w:p>
        </w:tc>
      </w:tr>
      <w:tr w14:paraId="0362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tcBorders>
              <w:bottom w:val="single" w:color="auto" w:sz="4" w:space="0"/>
            </w:tcBorders>
            <w:vAlign w:val="center"/>
          </w:tcPr>
          <w:p w14:paraId="4C31DF85">
            <w:pPr>
              <w:spacing w:line="360" w:lineRule="auto"/>
              <w:jc w:val="center"/>
              <w:rPr>
                <w:rFonts w:ascii="宋体" w:cs="宋体"/>
                <w:color w:val="auto"/>
                <w:szCs w:val="21"/>
                <w:highlight w:val="none"/>
              </w:rPr>
            </w:pPr>
            <w:r>
              <w:rPr>
                <w:rFonts w:ascii="宋体" w:hAnsi="宋体" w:cs="宋体"/>
                <w:color w:val="auto"/>
                <w:szCs w:val="21"/>
                <w:highlight w:val="none"/>
              </w:rPr>
              <w:t>26.1</w:t>
            </w:r>
          </w:p>
        </w:tc>
        <w:tc>
          <w:tcPr>
            <w:tcW w:w="7912" w:type="dxa"/>
            <w:vAlign w:val="center"/>
          </w:tcPr>
          <w:p w14:paraId="73080B84">
            <w:pPr>
              <w:spacing w:line="340" w:lineRule="exact"/>
              <w:contextualSpacing/>
              <w:rPr>
                <w:rFonts w:asci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50EC1AFD">
            <w:pPr>
              <w:spacing w:line="340" w:lineRule="exact"/>
              <w:contextualSpacing/>
              <w:rPr>
                <w:rFonts w:ascii="宋体" w:cs="宋体"/>
                <w:color w:val="auto"/>
                <w:szCs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rFonts w:hint="eastAsia"/>
                <w:color w:val="auto"/>
                <w:highlight w:val="none"/>
                <w:lang w:eastAsia="zh-CN"/>
              </w:rPr>
              <w:instrText xml:space="preserve">,</w:instrText>
            </w:r>
            <w:r>
              <w:rPr>
                <w:rFonts w:hint="eastAsia"/>
                <w:color w:val="auto"/>
                <w:position w:val="2"/>
                <w:sz w:val="13"/>
                <w:highlight w:val="none"/>
                <w:lang w:eastAsia="zh-CN"/>
              </w:rPr>
              <w:instrText xml:space="preserve">√</w:instrText>
            </w:r>
            <w:r>
              <w:rPr>
                <w:color w:val="auto"/>
                <w:highlight w:val="none"/>
              </w:rPr>
              <w:instrText xml:space="preserve">)</w:instrText>
            </w:r>
            <w:r>
              <w:rPr>
                <w:color w:val="auto"/>
                <w:highlight w:val="none"/>
              </w:rPr>
              <w:fldChar w:fldCharType="end"/>
            </w:r>
            <w:r>
              <w:rPr>
                <w:rFonts w:hint="eastAsia" w:ascii="宋体" w:hAnsi="宋体" w:cs="宋体"/>
                <w:color w:val="auto"/>
                <w:szCs w:val="21"/>
                <w:highlight w:val="none"/>
              </w:rPr>
              <w:t>实质性要求正偏离项数多的优先、</w:t>
            </w:r>
            <w:r>
              <w:rPr>
                <w:rFonts w:hint="eastAsia" w:asciiTheme="majorEastAsia" w:hAnsiTheme="majorEastAsia" w:eastAsiaTheme="majorEastAsia" w:cstheme="majorEastAsia"/>
                <w:color w:val="auto"/>
                <w:szCs w:val="21"/>
                <w:highlight w:val="none"/>
              </w:rPr>
              <w:t>质保（保修、维护、升级）期</w:t>
            </w:r>
            <w:r>
              <w:rPr>
                <w:rFonts w:hint="eastAsia" w:ascii="宋体" w:hAnsi="宋体" w:cs="宋体"/>
                <w:color w:val="auto"/>
                <w:szCs w:val="21"/>
                <w:highlight w:val="none"/>
              </w:rPr>
              <w:t>长优先、交付时间短优先、</w:t>
            </w:r>
            <w:r>
              <w:rPr>
                <w:rFonts w:hint="eastAsia" w:ascii="宋体" w:hAnsi="宋体" w:cs="宋体"/>
                <w:color w:val="auto"/>
                <w:szCs w:val="21"/>
                <w:highlight w:val="none"/>
                <w:lang w:eastAsia="zh-CN"/>
              </w:rPr>
              <w:t>维修通知</w:t>
            </w:r>
            <w:r>
              <w:rPr>
                <w:rFonts w:hint="eastAsia" w:ascii="宋体" w:hAnsi="宋体" w:cs="宋体"/>
                <w:color w:val="auto"/>
                <w:szCs w:val="21"/>
                <w:highlight w:val="none"/>
              </w:rPr>
              <w:t>响应时间短优先的顺序推荐。</w:t>
            </w:r>
          </w:p>
          <w:p w14:paraId="3FF1EBE3">
            <w:pPr>
              <w:snapToGrid w:val="0"/>
              <w:spacing w:line="340" w:lineRule="exact"/>
              <w:rPr>
                <w:rFonts w:ascii="宋体" w:cs="宋体"/>
                <w:color w:val="auto"/>
                <w:szCs w:val="21"/>
                <w:highlight w:val="none"/>
              </w:rPr>
            </w:pPr>
            <w:r>
              <w:rPr>
                <w:rFonts w:hint="eastAsia" w:ascii="宋体" w:hAnsi="宋体" w:cs="宋体"/>
                <w:color w:val="auto"/>
                <w:szCs w:val="21"/>
                <w:highlight w:val="none"/>
              </w:rPr>
              <w:t>□由谈判小组推荐代表随机抽取。</w:t>
            </w:r>
          </w:p>
        </w:tc>
      </w:tr>
      <w:tr w14:paraId="3EE72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auto" w:sz="4" w:space="0"/>
            </w:tcBorders>
            <w:vAlign w:val="center"/>
          </w:tcPr>
          <w:p w14:paraId="36CC2E3C">
            <w:pPr>
              <w:spacing w:line="360" w:lineRule="auto"/>
              <w:jc w:val="center"/>
              <w:rPr>
                <w:rFonts w:ascii="宋体" w:cs="宋体"/>
                <w:color w:val="auto"/>
                <w:szCs w:val="21"/>
                <w:highlight w:val="none"/>
              </w:rPr>
            </w:pPr>
            <w:r>
              <w:rPr>
                <w:rFonts w:ascii="宋体" w:hAnsi="宋体" w:cs="宋体"/>
                <w:color w:val="auto"/>
                <w:szCs w:val="21"/>
                <w:highlight w:val="none"/>
              </w:rPr>
              <w:t>26.2</w:t>
            </w:r>
          </w:p>
        </w:tc>
        <w:tc>
          <w:tcPr>
            <w:tcW w:w="7912" w:type="dxa"/>
            <w:vAlign w:val="center"/>
          </w:tcPr>
          <w:p w14:paraId="19ADB7E6">
            <w:pPr>
              <w:snapToGrid w:val="0"/>
              <w:spacing w:line="340" w:lineRule="exact"/>
              <w:rPr>
                <w:rFonts w:asci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p w14:paraId="100D8208">
            <w:pPr>
              <w:snapToGrid w:val="0"/>
              <w:spacing w:line="340" w:lineRule="exact"/>
              <w:rPr>
                <w:rFonts w:ascii="宋体" w:cs="宋体"/>
                <w:color w:val="auto"/>
                <w:szCs w:val="21"/>
                <w:highlight w:val="none"/>
              </w:rPr>
            </w:pPr>
            <w:r>
              <w:rPr>
                <w:rFonts w:hint="eastAsia" w:ascii="宋体" w:hAnsi="宋体" w:cs="宋体"/>
                <w:color w:val="auto"/>
                <w:szCs w:val="21"/>
                <w:highlight w:val="none"/>
              </w:rPr>
              <w:t>技术要求评审中允许负偏离的条款数为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tc>
      </w:tr>
      <w:tr w14:paraId="14045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EC50E0">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7912" w:type="dxa"/>
            <w:vAlign w:val="center"/>
          </w:tcPr>
          <w:p w14:paraId="46070B82">
            <w:pPr>
              <w:autoSpaceDE w:val="0"/>
              <w:autoSpaceDN w:val="0"/>
              <w:snapToGrid w:val="0"/>
              <w:spacing w:line="380" w:lineRule="exact"/>
              <w:textAlignment w:val="bottom"/>
              <w:rPr>
                <w:rFonts w:ascii="宋体"/>
                <w:color w:val="auto"/>
                <w:szCs w:val="21"/>
                <w:highlight w:val="none"/>
              </w:rPr>
            </w:pPr>
            <w:r>
              <w:rPr>
                <w:rFonts w:hint="eastAsia" w:ascii="宋体" w:hAnsi="宋体"/>
                <w:color w:val="auto"/>
                <w:szCs w:val="21"/>
                <w:highlight w:val="none"/>
              </w:rPr>
              <w:t>□本项目不收取履约保证金。</w:t>
            </w:r>
          </w:p>
          <w:p w14:paraId="3C1314EC">
            <w:pPr>
              <w:autoSpaceDE w:val="0"/>
              <w:autoSpaceDN w:val="0"/>
              <w:snapToGrid w:val="0"/>
              <w:spacing w:line="380" w:lineRule="exact"/>
              <w:textAlignment w:val="bottom"/>
              <w:rPr>
                <w:rFonts w:asciiTheme="minorEastAsia" w:hAnsiTheme="minorEastAsia" w:eastAsiaTheme="minorEastAsia"/>
                <w:color w:val="auto"/>
                <w:szCs w:val="21"/>
                <w:highlight w:val="none"/>
              </w:rPr>
            </w:pPr>
            <w:r>
              <w:rPr>
                <w:rFonts w:asciiTheme="minorEastAsia" w:hAnsiTheme="minorEastAsia" w:eastAsiaTheme="minorEastAsia"/>
                <w:b/>
                <w:color w:val="auto"/>
                <w:highlight w:val="none"/>
              </w:rPr>
              <w:fldChar w:fldCharType="begin"/>
            </w:r>
            <w:r>
              <w:rPr>
                <w:rFonts w:asciiTheme="minorEastAsia" w:hAnsiTheme="minorEastAsia" w:eastAsiaTheme="minorEastAsia"/>
                <w:b/>
                <w:color w:val="auto"/>
                <w:highlight w:val="none"/>
              </w:rPr>
              <w:instrText xml:space="preserve"> eq \o\ac(</w:instrText>
            </w:r>
            <w:r>
              <w:rPr>
                <w:rFonts w:hint="eastAsia" w:asciiTheme="minorEastAsia" w:hAnsiTheme="minorEastAsia" w:eastAsiaTheme="minorEastAsia"/>
                <w:b/>
                <w:color w:val="auto"/>
                <w:highlight w:val="none"/>
              </w:rPr>
              <w:instrText xml:space="preserve">□</w:instrText>
            </w:r>
            <w:r>
              <w:rPr>
                <w:rFonts w:asciiTheme="minorEastAsia" w:hAnsiTheme="minorEastAsia" w:eastAsiaTheme="minorEastAsia"/>
                <w:b/>
                <w:color w:val="auto"/>
                <w:highlight w:val="none"/>
              </w:rPr>
              <w:instrText xml:space="preserve">,</w:instrText>
            </w:r>
            <w:r>
              <w:rPr>
                <w:rFonts w:hint="eastAsia" w:asciiTheme="minorEastAsia" w:hAnsiTheme="minorEastAsia" w:eastAsiaTheme="minorEastAsia"/>
                <w:b/>
                <w:color w:val="auto"/>
                <w:position w:val="1"/>
                <w:sz w:val="14"/>
                <w:highlight w:val="none"/>
              </w:rPr>
              <w:instrText xml:space="preserve">√</w:instrText>
            </w:r>
            <w:r>
              <w:rPr>
                <w:rFonts w:asciiTheme="minorEastAsia" w:hAnsiTheme="minorEastAsia" w:eastAsiaTheme="minorEastAsia"/>
                <w:b/>
                <w:color w:val="auto"/>
                <w:highlight w:val="none"/>
              </w:rPr>
              <w:instrText xml:space="preserve">)</w:instrText>
            </w:r>
            <w:r>
              <w:rPr>
                <w:rFonts w:asciiTheme="minorEastAsia" w:hAnsiTheme="minorEastAsia" w:eastAsiaTheme="minorEastAsia"/>
                <w:b/>
                <w:color w:val="auto"/>
                <w:highlight w:val="none"/>
              </w:rPr>
              <w:fldChar w:fldCharType="end"/>
            </w:r>
            <w:r>
              <w:rPr>
                <w:rFonts w:hint="eastAsia" w:asciiTheme="minorEastAsia" w:hAnsiTheme="minorEastAsia" w:eastAsiaTheme="minorEastAsia"/>
                <w:color w:val="auto"/>
                <w:szCs w:val="21"/>
                <w:highlight w:val="none"/>
              </w:rPr>
              <w:t>本项目收取履约保证金，具体规定如下：</w:t>
            </w:r>
          </w:p>
          <w:p w14:paraId="09E4F1A1">
            <w:pPr>
              <w:autoSpaceDE w:val="0"/>
              <w:autoSpaceDN w:val="0"/>
              <w:snapToGrid w:val="0"/>
              <w:spacing w:line="38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履约保证金金额：履约保证金按成交金额的</w:t>
            </w:r>
            <w:r>
              <w:rPr>
                <w:rFonts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，如成交供应商为中小企业的，履约保证金按成交金额的</w:t>
            </w:r>
            <w:r>
              <w:rPr>
                <w:rFonts w:asciiTheme="minorEastAsia" w:hAnsiTheme="minorEastAsia" w:eastAsiaTheme="minorEastAsia"/>
                <w:color w:val="auto"/>
                <w:szCs w:val="21"/>
                <w:highlight w:val="none"/>
                <w:u w:val="singl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11AA7881">
            <w:pPr>
              <w:autoSpaceDE w:val="0"/>
              <w:autoSpaceDN w:val="0"/>
              <w:snapToGrid w:val="0"/>
              <w:spacing w:line="380" w:lineRule="exact"/>
              <w:textAlignment w:val="bottom"/>
              <w:rPr>
                <w:color w:val="auto"/>
                <w:szCs w:val="21"/>
                <w:highlight w:val="none"/>
              </w:rPr>
            </w:pPr>
            <w:r>
              <w:rPr>
                <w:rFonts w:hint="eastAsia" w:asciiTheme="minorEastAsia" w:hAnsiTheme="minorEastAsia" w:eastAsiaTheme="minorEastAsia"/>
                <w:color w:val="auto"/>
                <w:szCs w:val="21"/>
                <w:highlight w:val="none"/>
              </w:rPr>
              <w:t>履约保证金递交方式及时限：供应商必须在成交通知书发出后25日内且必须在签订合同前以银行转账、支票、汇票、本票或者金融、担保机构出具的保函（包含电子保函）等非现金方式向采购人交纳履约保证金，否则，不予签订合同。</w:t>
            </w:r>
          </w:p>
          <w:p w14:paraId="21D0FDA3">
            <w:pPr>
              <w:autoSpaceDE w:val="0"/>
              <w:autoSpaceDN w:val="0"/>
              <w:snapToGrid w:val="0"/>
              <w:spacing w:line="380" w:lineRule="exact"/>
              <w:textAlignment w:val="bottom"/>
              <w:rPr>
                <w:color w:val="auto"/>
                <w:szCs w:val="21"/>
                <w:highlight w:val="none"/>
              </w:rPr>
            </w:pPr>
            <w:r>
              <w:rPr>
                <w:rFonts w:hint="eastAsia" w:hAnsi="宋体"/>
                <w:color w:val="auto"/>
                <w:szCs w:val="21"/>
                <w:highlight w:val="none"/>
              </w:rPr>
              <w:t>履约保证金退付方式、时间及条件：</w:t>
            </w:r>
          </w:p>
          <w:p w14:paraId="7D21F3A7">
            <w:pPr>
              <w:autoSpaceDE w:val="0"/>
              <w:autoSpaceDN w:val="0"/>
              <w:snapToGrid w:val="0"/>
              <w:spacing w:line="380" w:lineRule="exact"/>
              <w:textAlignment w:val="bottom"/>
              <w:rPr>
                <w:rFonts w:asciiTheme="minorEastAsia" w:hAnsiTheme="minorEastAsia" w:eastAsiaTheme="minorEastAsia"/>
                <w:color w:val="auto"/>
                <w:szCs w:val="21"/>
                <w:highlight w:val="none"/>
              </w:rPr>
            </w:pPr>
            <w:r>
              <w:rPr>
                <w:rFonts w:hint="eastAsia" w:hAnsi="宋体"/>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履约保证金在成交供应商按合同约定履行合同后，由成交供应商凭《广西壮族自治区政府采购项目合同验收书》（详见附表1）向采购人申请办理履约保证金退还手续，采购人在收到合格材料后5个工作日内以银行转账方式如数退还（不计利息）。</w:t>
            </w:r>
          </w:p>
          <w:p w14:paraId="210D7BF4">
            <w:pPr>
              <w:autoSpaceDE w:val="0"/>
              <w:autoSpaceDN w:val="0"/>
              <w:snapToGrid w:val="0"/>
              <w:spacing w:line="380" w:lineRule="exact"/>
              <w:textAlignment w:val="bottom"/>
              <w:rPr>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）在履约保证金</w:t>
            </w:r>
            <w:r>
              <w:rPr>
                <w:rFonts w:hint="eastAsia" w:hAnsi="宋体"/>
                <w:color w:val="auto"/>
                <w:szCs w:val="21"/>
                <w:highlight w:val="none"/>
              </w:rPr>
              <w:t>退还日期前，若成交供应商的开户名称、开户银行、账号有变动的，请以书面形式通知履约保证金收取单位，否则由此产生的后果由成交供应商自负。</w:t>
            </w:r>
          </w:p>
          <w:p w14:paraId="1360F5EA">
            <w:pPr>
              <w:autoSpaceDE w:val="0"/>
              <w:autoSpaceDN w:val="0"/>
              <w:snapToGrid w:val="0"/>
              <w:spacing w:line="380" w:lineRule="exact"/>
              <w:textAlignment w:val="bottom"/>
              <w:rPr>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）成</w:t>
            </w:r>
            <w:r>
              <w:rPr>
                <w:rFonts w:hint="eastAsia" w:hAnsi="宋体"/>
                <w:color w:val="auto"/>
                <w:szCs w:val="21"/>
                <w:highlight w:val="none"/>
              </w:rPr>
              <w:t>交供应商在签订合同后存在违约情形的，履约保证金不予退还。履约保证金不足以赔偿损失的，按实际损失赔偿。</w:t>
            </w:r>
          </w:p>
          <w:p w14:paraId="0E4DDF11">
            <w:pPr>
              <w:autoSpaceDE w:val="0"/>
              <w:autoSpaceDN w:val="0"/>
              <w:snapToGrid w:val="0"/>
              <w:spacing w:line="380" w:lineRule="exact"/>
              <w:textAlignment w:val="bottom"/>
              <w:rPr>
                <w:color w:val="auto"/>
                <w:szCs w:val="21"/>
                <w:highlight w:val="none"/>
              </w:rPr>
            </w:pPr>
            <w:r>
              <w:rPr>
                <w:rFonts w:hint="eastAsia" w:hAnsi="宋体"/>
                <w:color w:val="auto"/>
                <w:szCs w:val="21"/>
                <w:highlight w:val="none"/>
              </w:rPr>
              <w:t>履约保证金指定账户：</w:t>
            </w:r>
          </w:p>
          <w:p w14:paraId="6E5AF20E">
            <w:pPr>
              <w:autoSpaceDE w:val="0"/>
              <w:autoSpaceDN w:val="0"/>
              <w:snapToGrid w:val="0"/>
              <w:spacing w:line="380" w:lineRule="exact"/>
              <w:textAlignment w:val="bottom"/>
              <w:rPr>
                <w:color w:val="auto"/>
                <w:szCs w:val="21"/>
                <w:highlight w:val="none"/>
              </w:rPr>
            </w:pPr>
            <w:r>
              <w:rPr>
                <w:rFonts w:hint="eastAsia" w:hAnsi="宋体"/>
                <w:color w:val="auto"/>
                <w:szCs w:val="21"/>
                <w:highlight w:val="none"/>
              </w:rPr>
              <w:t>开户名称：广西师范大学</w:t>
            </w:r>
          </w:p>
          <w:p w14:paraId="5DF3012D">
            <w:pPr>
              <w:autoSpaceDE w:val="0"/>
              <w:autoSpaceDN w:val="0"/>
              <w:snapToGrid w:val="0"/>
              <w:spacing w:line="380" w:lineRule="exact"/>
              <w:textAlignment w:val="bottom"/>
              <w:rPr>
                <w:rFonts w:hAnsi="宋体"/>
                <w:color w:val="auto"/>
                <w:szCs w:val="21"/>
                <w:highlight w:val="none"/>
              </w:rPr>
            </w:pPr>
            <w:r>
              <w:rPr>
                <w:rFonts w:hint="eastAsia" w:hAnsi="宋体"/>
                <w:color w:val="auto"/>
                <w:szCs w:val="21"/>
                <w:highlight w:val="none"/>
              </w:rPr>
              <w:t>开户银行：中国工商银行股份有限公司桂林市高新科技支行</w:t>
            </w:r>
          </w:p>
          <w:p w14:paraId="1CB1F9C1">
            <w:pPr>
              <w:autoSpaceDE w:val="0"/>
              <w:autoSpaceDN w:val="0"/>
              <w:snapToGrid w:val="0"/>
              <w:spacing w:line="380" w:lineRule="exact"/>
              <w:textAlignment w:val="bottom"/>
              <w:rPr>
                <w:rFonts w:asciiTheme="minorEastAsia" w:hAnsiTheme="minorEastAsia" w:eastAsiaTheme="minorEastAsia"/>
                <w:color w:val="auto"/>
                <w:szCs w:val="21"/>
                <w:highlight w:val="none"/>
              </w:rPr>
            </w:pPr>
            <w:r>
              <w:rPr>
                <w:rFonts w:hint="eastAsia" w:hAnsi="宋体"/>
                <w:color w:val="auto"/>
                <w:szCs w:val="21"/>
                <w:highlight w:val="none"/>
              </w:rPr>
              <w:t>账号：</w:t>
            </w:r>
            <w:r>
              <w:rPr>
                <w:rFonts w:asciiTheme="minorEastAsia" w:hAnsiTheme="minorEastAsia" w:eastAsiaTheme="minorEastAsia"/>
                <w:color w:val="auto"/>
                <w:szCs w:val="21"/>
                <w:highlight w:val="none"/>
              </w:rPr>
              <w:t>2103215109264004618</w:t>
            </w:r>
          </w:p>
          <w:p w14:paraId="764A3946">
            <w:pPr>
              <w:adjustRightInd w:val="0"/>
              <w:spacing w:line="380" w:lineRule="exact"/>
              <w:jc w:val="left"/>
              <w:rPr>
                <w:rFonts w:hAnsi="宋体"/>
                <w:color w:val="auto"/>
                <w:szCs w:val="21"/>
                <w:highlight w:val="none"/>
              </w:rPr>
            </w:pPr>
            <w:r>
              <w:rPr>
                <w:rFonts w:hint="eastAsia" w:hAnsi="宋体"/>
                <w:b/>
                <w:bCs/>
                <w:color w:val="auto"/>
                <w:szCs w:val="21"/>
                <w:highlight w:val="none"/>
              </w:rPr>
              <w:t>备注</w:t>
            </w:r>
            <w:r>
              <w:rPr>
                <w:rFonts w:hint="eastAsia" w:hAnsi="宋体"/>
                <w:color w:val="auto"/>
                <w:szCs w:val="21"/>
                <w:highlight w:val="none"/>
              </w:rPr>
              <w:t>：</w:t>
            </w:r>
          </w:p>
          <w:p w14:paraId="6C8070A2">
            <w:pPr>
              <w:snapToGrid w:val="0"/>
              <w:spacing w:line="380" w:lineRule="exact"/>
              <w:rPr>
                <w:rFonts w:ascii="宋体" w:cs="宋体"/>
                <w:color w:val="auto"/>
                <w:szCs w:val="21"/>
                <w:highlight w:val="none"/>
              </w:rPr>
            </w:pPr>
            <w:r>
              <w:rPr>
                <w:rFonts w:hint="eastAsia" w:hAnsi="宋体"/>
                <w:b/>
                <w:color w:val="auto"/>
                <w:szCs w:val="21"/>
                <w:highlight w:val="none"/>
              </w:rPr>
              <w:t>履约保证金不足额缴纳的（包含保函、电子保函额度不足的），或者不按规定提交方式提交的，或者保函（包含电子保函）有效期低于合同履行期限（即合同中规定的当事人履行自己的义务，如交付标的物、价款或者报酬，履行劳务、完成工作的时间界限）的，不予签订合同。</w:t>
            </w:r>
          </w:p>
        </w:tc>
      </w:tr>
      <w:tr w14:paraId="7C5AC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AFA1A6">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7912" w:type="dxa"/>
            <w:vAlign w:val="center"/>
          </w:tcPr>
          <w:p w14:paraId="02332CB1">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签订合同携带的证明材料：</w:t>
            </w:r>
          </w:p>
          <w:p w14:paraId="7108B276">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4486893D">
            <w:pPr>
              <w:snapToGrid w:val="0"/>
              <w:spacing w:line="340" w:lineRule="exact"/>
              <w:rPr>
                <w:rFonts w:ascii="宋体" w:cs="宋体"/>
                <w:color w:val="auto"/>
                <w:szCs w:val="21"/>
                <w:highlight w:val="none"/>
              </w:rPr>
            </w:pPr>
            <w:r>
              <w:rPr>
                <w:rFonts w:hint="eastAsia" w:ascii="宋体" w:hAnsi="宋体"/>
                <w:color w:val="auto"/>
                <w:szCs w:val="21"/>
                <w:highlight w:val="none"/>
              </w:rPr>
              <w:t>法定代表人负责签订合同的，须携带法定代表人身份证明原件及身份证原件等其他证明材料。</w:t>
            </w:r>
          </w:p>
        </w:tc>
      </w:tr>
      <w:tr w14:paraId="66DB4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044218">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7912" w:type="dxa"/>
            <w:vAlign w:val="center"/>
          </w:tcPr>
          <w:p w14:paraId="5B38FA91">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接收质疑函方式：以书面形式。</w:t>
            </w:r>
          </w:p>
          <w:p w14:paraId="610DC2AF">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质疑联系部门及联系方式：云之龙咨询集团有限公司桂林分公司，联系电话：李贞，通讯地址：云之龙咨询集团有限公司（广西桂林市临桂区西城北路2号耀辉•美好家园2幢12层</w:t>
            </w:r>
            <w:r>
              <w:rPr>
                <w:rFonts w:hint="eastAsia" w:ascii="宋体" w:hAnsi="宋体"/>
                <w:color w:val="auto"/>
                <w:szCs w:val="21"/>
                <w:highlight w:val="none"/>
                <w:lang w:val="en-US" w:eastAsia="zh-CN"/>
              </w:rPr>
              <w:t>1号房</w:t>
            </w:r>
            <w:r>
              <w:rPr>
                <w:rFonts w:hint="eastAsia" w:ascii="宋体" w:hAnsi="宋体"/>
                <w:color w:val="auto"/>
                <w:szCs w:val="21"/>
                <w:highlight w:val="none"/>
              </w:rPr>
              <w:t>）</w:t>
            </w:r>
          </w:p>
          <w:p w14:paraId="3C67DDE1">
            <w:pPr>
              <w:autoSpaceDE w:val="0"/>
              <w:autoSpaceDN w:val="0"/>
              <w:snapToGrid w:val="0"/>
              <w:spacing w:line="340" w:lineRule="exact"/>
              <w:textAlignment w:val="bottom"/>
              <w:rPr>
                <w:rFonts w:hAnsi="宋体" w:cs="宋体"/>
                <w:color w:val="auto"/>
                <w:highlight w:val="none"/>
              </w:rPr>
            </w:pPr>
            <w:r>
              <w:rPr>
                <w:rFonts w:hint="eastAsia" w:ascii="宋体" w:hAnsi="宋体"/>
                <w:color w:val="auto"/>
                <w:szCs w:val="21"/>
                <w:highlight w:val="none"/>
              </w:rPr>
              <w:t>业务时间：上午9时00分到12时00分，下午1时00分到5时00分，双休日和法定节假日不办理业务。</w:t>
            </w:r>
          </w:p>
        </w:tc>
      </w:tr>
      <w:tr w14:paraId="72DF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C40133">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7912" w:type="dxa"/>
            <w:vAlign w:val="center"/>
          </w:tcPr>
          <w:p w14:paraId="37D966FE">
            <w:pPr>
              <w:pStyle w:val="15"/>
              <w:snapToGrid w:val="0"/>
              <w:spacing w:line="340" w:lineRule="exact"/>
              <w:rPr>
                <w:rFonts w:hAnsi="宋体"/>
                <w:color w:val="auto"/>
                <w:sz w:val="21"/>
                <w:highlight w:val="none"/>
              </w:rPr>
            </w:pPr>
            <w:r>
              <w:rPr>
                <w:rFonts w:hAnsi="宋体"/>
                <w:color w:val="auto"/>
                <w:sz w:val="21"/>
                <w:highlight w:val="none"/>
              </w:rPr>
              <w:t>1.</w:t>
            </w:r>
            <w:r>
              <w:rPr>
                <w:rFonts w:hint="eastAsia" w:hAnsi="宋体"/>
                <w:color w:val="auto"/>
                <w:sz w:val="21"/>
                <w:highlight w:val="none"/>
                <w:lang w:eastAsia="zh-CN"/>
              </w:rPr>
              <w:t>采购代理服务费</w:t>
            </w:r>
            <w:r>
              <w:rPr>
                <w:rFonts w:hint="eastAsia" w:hAnsi="宋体"/>
                <w:color w:val="auto"/>
                <w:sz w:val="21"/>
                <w:highlight w:val="none"/>
              </w:rPr>
              <w:t>支付方式：</w:t>
            </w:r>
          </w:p>
          <w:p w14:paraId="1DA23915">
            <w:pPr>
              <w:pStyle w:val="15"/>
              <w:snapToGrid w:val="0"/>
              <w:spacing w:line="340" w:lineRule="exact"/>
              <w:rPr>
                <w:rFonts w:hAnsi="宋体"/>
                <w:color w:val="auto"/>
                <w:sz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rFonts w:hint="eastAsia" w:hAnsi="宋体"/>
                <w:color w:val="auto"/>
                <w:sz w:val="21"/>
                <w:highlight w:val="none"/>
              </w:rPr>
              <w:t>本项目</w:t>
            </w:r>
            <w:r>
              <w:rPr>
                <w:rFonts w:hint="eastAsia" w:hAnsi="宋体"/>
                <w:color w:val="auto"/>
                <w:sz w:val="21"/>
                <w:highlight w:val="none"/>
                <w:lang w:eastAsia="zh-CN"/>
              </w:rPr>
              <w:t>采购</w:t>
            </w:r>
            <w:r>
              <w:rPr>
                <w:rFonts w:hint="eastAsia" w:hAnsi="宋体"/>
                <w:color w:val="auto"/>
                <w:sz w:val="21"/>
                <w:highlight w:val="none"/>
              </w:rPr>
              <w:t>代理服务费由成交供应商</w:t>
            </w:r>
            <w:r>
              <w:rPr>
                <w:rFonts w:hint="eastAsia" w:hAnsi="宋体" w:cs="宋体"/>
                <w:color w:val="auto"/>
                <w:sz w:val="21"/>
                <w:highlight w:val="none"/>
              </w:rPr>
              <w:t>在</w:t>
            </w:r>
            <w:r>
              <w:rPr>
                <w:rFonts w:hint="eastAsia" w:hAnsi="宋体" w:cs="宋体"/>
                <w:color w:val="auto"/>
                <w:sz w:val="21"/>
                <w:highlight w:val="none"/>
                <w:lang w:eastAsia="zh-CN"/>
              </w:rPr>
              <w:t>获取成交通知书前</w:t>
            </w:r>
            <w:r>
              <w:rPr>
                <w:rFonts w:hint="eastAsia" w:hAnsi="宋体"/>
                <w:color w:val="auto"/>
                <w:sz w:val="21"/>
                <w:highlight w:val="none"/>
              </w:rPr>
              <w:t>，一次性向采购代理机构支付。</w:t>
            </w:r>
          </w:p>
          <w:p w14:paraId="2CA8AA46">
            <w:pPr>
              <w:pStyle w:val="15"/>
              <w:snapToGrid w:val="0"/>
              <w:spacing w:line="340" w:lineRule="exact"/>
              <w:rPr>
                <w:rFonts w:hAnsi="宋体"/>
                <w:color w:val="auto"/>
                <w:sz w:val="21"/>
                <w:highlight w:val="none"/>
              </w:rPr>
            </w:pPr>
            <w:r>
              <w:rPr>
                <w:rFonts w:hint="eastAsia" w:hAnsi="宋体"/>
                <w:color w:val="auto"/>
                <w:sz w:val="21"/>
                <w:highlight w:val="none"/>
              </w:rPr>
              <w:t>□采购人支付。</w:t>
            </w:r>
          </w:p>
          <w:p w14:paraId="41BE37CE">
            <w:pPr>
              <w:pStyle w:val="15"/>
              <w:snapToGrid w:val="0"/>
              <w:spacing w:line="340" w:lineRule="exact"/>
              <w:rPr>
                <w:rFonts w:hAnsi="宋体"/>
                <w:color w:val="auto"/>
                <w:sz w:val="21"/>
                <w:highlight w:val="none"/>
              </w:rPr>
            </w:pPr>
            <w:r>
              <w:rPr>
                <w:rFonts w:hAnsi="宋体"/>
                <w:color w:val="auto"/>
                <w:sz w:val="21"/>
                <w:highlight w:val="none"/>
              </w:rPr>
              <w:t>2.</w:t>
            </w:r>
            <w:r>
              <w:rPr>
                <w:rFonts w:hint="eastAsia" w:hAnsi="宋体"/>
                <w:color w:val="auto"/>
                <w:sz w:val="21"/>
                <w:highlight w:val="none"/>
              </w:rPr>
              <w:t>采购代理服务费收取标准：</w:t>
            </w:r>
          </w:p>
          <w:p w14:paraId="54335578">
            <w:pPr>
              <w:pStyle w:val="15"/>
              <w:snapToGrid w:val="0"/>
              <w:spacing w:line="340" w:lineRule="exact"/>
              <w:rPr>
                <w:rFonts w:hAnsi="宋体"/>
                <w:color w:val="auto"/>
                <w:sz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rFonts w:hint="eastAsia" w:hAnsi="宋体"/>
                <w:color w:val="auto"/>
                <w:sz w:val="21"/>
                <w:highlight w:val="none"/>
              </w:rPr>
              <w:t>按成交金额为计费额，以费率</w:t>
            </w:r>
            <w:r>
              <w:rPr>
                <w:rFonts w:hAnsi="宋体"/>
                <w:color w:val="auto"/>
                <w:sz w:val="21"/>
                <w:highlight w:val="none"/>
              </w:rPr>
              <w:t>1.5%</w:t>
            </w:r>
            <w:r>
              <w:rPr>
                <w:rFonts w:hint="eastAsia" w:hAnsi="宋体"/>
                <w:color w:val="auto"/>
                <w:sz w:val="21"/>
                <w:highlight w:val="none"/>
              </w:rPr>
              <w:t>为基数下浮</w:t>
            </w:r>
            <w:r>
              <w:rPr>
                <w:rFonts w:hAnsi="宋体"/>
                <w:color w:val="auto"/>
                <w:sz w:val="21"/>
                <w:highlight w:val="none"/>
              </w:rPr>
              <w:t>50%</w:t>
            </w:r>
            <w:r>
              <w:rPr>
                <w:rFonts w:hint="eastAsia" w:hAnsi="宋体"/>
                <w:color w:val="auto"/>
                <w:sz w:val="21"/>
                <w:highlight w:val="none"/>
              </w:rPr>
              <w:t>计算【计算公式即：成交金额×</w:t>
            </w:r>
            <w:r>
              <w:rPr>
                <w:rFonts w:hAnsi="宋体"/>
                <w:color w:val="auto"/>
                <w:sz w:val="21"/>
                <w:highlight w:val="none"/>
              </w:rPr>
              <w:t>1.5%</w:t>
            </w:r>
            <w:r>
              <w:rPr>
                <w:rFonts w:hint="eastAsia" w:hAnsi="宋体"/>
                <w:color w:val="auto"/>
                <w:sz w:val="21"/>
                <w:highlight w:val="none"/>
              </w:rPr>
              <w:t>×（</w:t>
            </w:r>
            <w:r>
              <w:rPr>
                <w:rFonts w:hAnsi="宋体"/>
                <w:color w:val="auto"/>
                <w:sz w:val="21"/>
                <w:highlight w:val="none"/>
              </w:rPr>
              <w:t>1-50%</w:t>
            </w:r>
            <w:r>
              <w:rPr>
                <w:rFonts w:hint="eastAsia" w:hAnsi="宋体"/>
                <w:color w:val="auto"/>
                <w:sz w:val="21"/>
                <w:highlight w:val="none"/>
              </w:rPr>
              <w:t>）】。</w:t>
            </w:r>
          </w:p>
          <w:p w14:paraId="77628F1D">
            <w:pPr>
              <w:pStyle w:val="15"/>
              <w:snapToGrid w:val="0"/>
              <w:spacing w:line="340" w:lineRule="exact"/>
              <w:rPr>
                <w:rFonts w:hAnsi="宋体"/>
                <w:color w:val="auto"/>
                <w:sz w:val="21"/>
                <w:highlight w:val="none"/>
                <w:u w:val="single"/>
              </w:rPr>
            </w:pPr>
            <w:r>
              <w:rPr>
                <w:rFonts w:hint="eastAsia" w:hAnsi="宋体"/>
                <w:color w:val="auto"/>
                <w:sz w:val="21"/>
                <w:highlight w:val="none"/>
              </w:rPr>
              <w:t>□固定采购代理收费。</w:t>
            </w:r>
          </w:p>
          <w:p w14:paraId="718A86B1">
            <w:pPr>
              <w:pStyle w:val="15"/>
              <w:snapToGrid w:val="0"/>
              <w:spacing w:line="340" w:lineRule="exact"/>
              <w:rPr>
                <w:rFonts w:hAnsi="宋体"/>
                <w:color w:val="auto"/>
                <w:sz w:val="21"/>
                <w:highlight w:val="none"/>
              </w:rPr>
            </w:pPr>
            <w:r>
              <w:rPr>
                <w:rFonts w:hAnsi="宋体"/>
                <w:color w:val="auto"/>
                <w:sz w:val="21"/>
                <w:highlight w:val="none"/>
              </w:rPr>
              <w:t>3.</w:t>
            </w:r>
            <w:r>
              <w:rPr>
                <w:rFonts w:hint="eastAsia" w:hAnsi="宋体"/>
                <w:color w:val="auto"/>
                <w:sz w:val="21"/>
                <w:highlight w:val="none"/>
                <w:lang w:eastAsia="zh-CN"/>
              </w:rPr>
              <w:t>采购代理服务费</w:t>
            </w:r>
            <w:r>
              <w:rPr>
                <w:rFonts w:hint="eastAsia" w:hAnsi="宋体"/>
                <w:color w:val="auto"/>
                <w:sz w:val="21"/>
                <w:highlight w:val="none"/>
              </w:rPr>
              <w:t>收取银行账户</w:t>
            </w:r>
          </w:p>
          <w:p w14:paraId="4ED265DB">
            <w:pPr>
              <w:pStyle w:val="15"/>
              <w:snapToGrid w:val="0"/>
              <w:spacing w:line="340" w:lineRule="exact"/>
              <w:rPr>
                <w:rFonts w:hAnsi="宋体"/>
                <w:b/>
                <w:bCs/>
                <w:color w:val="auto"/>
                <w:highlight w:val="none"/>
              </w:rPr>
            </w:pPr>
            <w:r>
              <w:rPr>
                <w:rFonts w:hint="eastAsia" w:hAnsi="宋体"/>
                <w:b/>
                <w:bCs/>
                <w:color w:val="auto"/>
                <w:highlight w:val="none"/>
              </w:rPr>
              <w:t xml:space="preserve">开户名称：云之龙咨询集团有限公司桂林分公司 </w:t>
            </w:r>
          </w:p>
          <w:p w14:paraId="0978A3E9">
            <w:pPr>
              <w:pStyle w:val="15"/>
              <w:snapToGrid w:val="0"/>
              <w:spacing w:line="340" w:lineRule="exact"/>
              <w:rPr>
                <w:rFonts w:hAnsi="宋体"/>
                <w:b/>
                <w:bCs/>
                <w:color w:val="auto"/>
                <w:highlight w:val="none"/>
              </w:rPr>
            </w:pPr>
            <w:r>
              <w:rPr>
                <w:rFonts w:hint="eastAsia" w:hAnsi="宋体"/>
                <w:b/>
                <w:bCs/>
                <w:color w:val="auto"/>
                <w:highlight w:val="none"/>
              </w:rPr>
              <w:t>开户银行：中信银行股份有限公司南宁东葛支行</w:t>
            </w:r>
          </w:p>
          <w:p w14:paraId="650E8BFD">
            <w:pPr>
              <w:pStyle w:val="15"/>
              <w:snapToGrid w:val="0"/>
              <w:spacing w:line="340" w:lineRule="exact"/>
              <w:rPr>
                <w:rFonts w:hAnsi="宋体"/>
                <w:color w:val="auto"/>
                <w:sz w:val="21"/>
                <w:highlight w:val="none"/>
                <w:u w:val="single"/>
              </w:rPr>
            </w:pPr>
            <w:r>
              <w:rPr>
                <w:rFonts w:hint="eastAsia" w:hAnsi="宋体"/>
                <w:b/>
                <w:bCs/>
                <w:color w:val="auto"/>
                <w:highlight w:val="none"/>
              </w:rPr>
              <w:t>银行账号：</w:t>
            </w:r>
            <w:r>
              <w:rPr>
                <w:rFonts w:hAnsi="宋体"/>
                <w:b/>
                <w:bCs/>
                <w:color w:val="auto"/>
                <w:highlight w:val="none"/>
              </w:rPr>
              <w:t>8113001014300158041</w:t>
            </w:r>
          </w:p>
        </w:tc>
      </w:tr>
      <w:tr w14:paraId="54C07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DE891E">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7912" w:type="dxa"/>
            <w:vAlign w:val="center"/>
          </w:tcPr>
          <w:p w14:paraId="27F06CAF">
            <w:pPr>
              <w:pStyle w:val="15"/>
              <w:snapToGrid w:val="0"/>
              <w:spacing w:line="340" w:lineRule="exact"/>
              <w:rPr>
                <w:rFonts w:hAnsi="宋体"/>
                <w:color w:val="auto"/>
                <w:sz w:val="21"/>
                <w:highlight w:val="none"/>
              </w:rPr>
            </w:pPr>
            <w:r>
              <w:rPr>
                <w:rFonts w:hint="eastAsia" w:hAnsi="宋体"/>
                <w:color w:val="auto"/>
                <w:sz w:val="21"/>
                <w:highlight w:val="none"/>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3D12C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DDFD9B">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7912" w:type="dxa"/>
            <w:vAlign w:val="center"/>
          </w:tcPr>
          <w:p w14:paraId="3A512FFE">
            <w:pPr>
              <w:pStyle w:val="15"/>
              <w:snapToGrid w:val="0"/>
              <w:spacing w:line="340" w:lineRule="exact"/>
              <w:rPr>
                <w:rFonts w:hAnsi="宋体"/>
                <w:color w:val="auto"/>
                <w:sz w:val="21"/>
                <w:highlight w:val="none"/>
              </w:rPr>
            </w:pPr>
            <w:r>
              <w:rPr>
                <w:rFonts w:hAnsi="宋体"/>
                <w:color w:val="auto"/>
                <w:sz w:val="21"/>
                <w:highlight w:val="none"/>
              </w:rPr>
              <w:t>1.</w:t>
            </w:r>
            <w:r>
              <w:rPr>
                <w:rFonts w:hint="eastAsia" w:hAnsi="宋体"/>
                <w:color w:val="auto"/>
                <w:sz w:val="21"/>
                <w:highlight w:val="none"/>
              </w:rPr>
              <w:t>本谈判文件中描述供应商的“公章”是指根据我国对公章的管理规定，用供应商法定主体行为名称制作的印章，除本谈判文件有特殊规定外，供应商的其他形式印章均不能代替公章。</w:t>
            </w:r>
          </w:p>
          <w:p w14:paraId="28D82CBB">
            <w:pPr>
              <w:pStyle w:val="15"/>
              <w:snapToGrid w:val="0"/>
              <w:spacing w:line="340" w:lineRule="exact"/>
              <w:rPr>
                <w:rFonts w:hAnsi="宋体"/>
                <w:color w:val="auto"/>
                <w:sz w:val="21"/>
                <w:highlight w:val="none"/>
              </w:rPr>
            </w:pPr>
            <w:r>
              <w:rPr>
                <w:rFonts w:hint="eastAsia" w:hAnsi="宋体"/>
                <w:color w:val="auto"/>
                <w:sz w:val="21"/>
                <w:highlight w:val="none"/>
              </w:rPr>
              <w:t>2.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14:paraId="4A8B9FD6">
            <w:pPr>
              <w:pStyle w:val="15"/>
              <w:snapToGrid w:val="0"/>
              <w:spacing w:line="340" w:lineRule="exact"/>
              <w:rPr>
                <w:rFonts w:hAnsi="宋体"/>
                <w:color w:val="auto"/>
                <w:sz w:val="21"/>
                <w:highlight w:val="none"/>
              </w:rPr>
            </w:pPr>
            <w:r>
              <w:rPr>
                <w:rFonts w:hint="eastAsia" w:hAnsi="宋体"/>
                <w:color w:val="auto"/>
                <w:sz w:val="21"/>
                <w:highlight w:val="none"/>
              </w:rPr>
              <w:t>3.本谈判文件所称的“电子签章”、“电子签名”，是指经广西政府采购云平台认可的CA认证的电子签名数据为表现形式的印章，可用于签署电子响应文件，电子印章与实物印章、手写签名具有同等法律效力，不因其采用电子化表现形式而否定其法律效力。</w:t>
            </w:r>
          </w:p>
          <w:p w14:paraId="5AF14797">
            <w:pPr>
              <w:pStyle w:val="15"/>
              <w:snapToGrid w:val="0"/>
              <w:spacing w:line="340" w:lineRule="exact"/>
              <w:rPr>
                <w:rFonts w:hAnsi="宋体"/>
                <w:color w:val="auto"/>
                <w:sz w:val="21"/>
                <w:highlight w:val="none"/>
              </w:rPr>
            </w:pPr>
            <w:r>
              <w:rPr>
                <w:rFonts w:hint="eastAsia" w:hAnsi="宋体"/>
                <w:color w:val="auto"/>
                <w:sz w:val="21"/>
                <w:highlight w:val="none"/>
              </w:rPr>
              <w:t>4.本谈判文件中描述供应商的“签字”是指供应商的法定代表人或者委托代理人亲自在文件规定签署处亲笔写上个人的名字的行为。</w:t>
            </w:r>
          </w:p>
          <w:p w14:paraId="75128A54">
            <w:pPr>
              <w:pStyle w:val="15"/>
              <w:snapToGrid w:val="0"/>
              <w:spacing w:line="340" w:lineRule="exact"/>
              <w:rPr>
                <w:rFonts w:hAnsi="宋体"/>
                <w:color w:val="auto"/>
                <w:sz w:val="21"/>
                <w:highlight w:val="none"/>
              </w:rPr>
            </w:pPr>
            <w:r>
              <w:rPr>
                <w:rFonts w:hint="eastAsia" w:hAnsi="宋体"/>
                <w:color w:val="auto"/>
                <w:sz w:val="21"/>
                <w:highlight w:val="none"/>
              </w:rPr>
              <w:t>5.本谈判文件所称的“以上”“以下”“以内”“届满”，包括本数；所称的“不满”“超过”“以外”，不包括本数。</w:t>
            </w:r>
          </w:p>
        </w:tc>
      </w:tr>
    </w:tbl>
    <w:p w14:paraId="026ABDA5">
      <w:pPr>
        <w:spacing w:line="400" w:lineRule="exact"/>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供应商须知正文</w:t>
      </w:r>
    </w:p>
    <w:p w14:paraId="32C72A33">
      <w:pPr>
        <w:spacing w:line="400" w:lineRule="exact"/>
        <w:jc w:val="center"/>
        <w:rPr>
          <w:rFonts w:ascii="宋体"/>
          <w:b/>
          <w:color w:val="auto"/>
          <w:sz w:val="32"/>
          <w:szCs w:val="32"/>
          <w:highlight w:val="none"/>
        </w:rPr>
      </w:pPr>
    </w:p>
    <w:p w14:paraId="6306428D">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一、总则</w:t>
      </w:r>
    </w:p>
    <w:p w14:paraId="37B7C25F">
      <w:pPr>
        <w:spacing w:line="400" w:lineRule="exact"/>
        <w:rPr>
          <w:rFonts w:ascii="宋体"/>
          <w:color w:val="auto"/>
          <w:szCs w:val="21"/>
          <w:highlight w:val="none"/>
        </w:rPr>
      </w:pPr>
    </w:p>
    <w:p w14:paraId="364DBA6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1. </w:t>
      </w:r>
      <w:r>
        <w:rPr>
          <w:rFonts w:hint="eastAsia" w:ascii="黑体" w:hAnsi="黑体" w:eastAsia="黑体" w:cs="宋体"/>
          <w:b/>
          <w:bCs/>
          <w:color w:val="auto"/>
          <w:sz w:val="24"/>
          <w:highlight w:val="none"/>
        </w:rPr>
        <w:t>适用范围</w:t>
      </w:r>
    </w:p>
    <w:p w14:paraId="22929D8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1D9D66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2E485EF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2. </w:t>
      </w:r>
      <w:r>
        <w:rPr>
          <w:rFonts w:hint="eastAsia" w:ascii="黑体" w:hAnsi="黑体" w:eastAsia="黑体" w:cs="宋体"/>
          <w:b/>
          <w:bCs/>
          <w:color w:val="auto"/>
          <w:sz w:val="24"/>
          <w:highlight w:val="none"/>
        </w:rPr>
        <w:t>定义</w:t>
      </w:r>
    </w:p>
    <w:p w14:paraId="4D0734D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“采购人”是指依法进行采购的国家机关、事业单位、团体组织。</w:t>
      </w:r>
    </w:p>
    <w:p w14:paraId="24BD7EB9">
      <w:pPr>
        <w:spacing w:line="360" w:lineRule="auto"/>
        <w:ind w:firstLine="420" w:firstLineChars="200"/>
        <w:rPr>
          <w:rFonts w:ascii="宋体"/>
          <w:b/>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“采购代理机构”</w:t>
      </w:r>
      <w:r>
        <w:rPr>
          <w:rFonts w:hint="eastAsia" w:ascii="宋体" w:hAnsi="宋体"/>
          <w:bCs/>
          <w:color w:val="auto"/>
          <w:szCs w:val="21"/>
          <w:highlight w:val="none"/>
        </w:rPr>
        <w:t>是指政府采购集中采购机构和集中采购机构以外的采购代理机构。</w:t>
      </w:r>
    </w:p>
    <w:p w14:paraId="2427096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7680264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14:paraId="1B990B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“竞标”是指按照本项目竞争性谈判公告或者邀请函规定的方式供应商获取谈判文件、提交响应文件并希望获得标的的行为。</w:t>
      </w:r>
    </w:p>
    <w:p w14:paraId="519AB27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“售后服务”是指包含但不限于供应商须承担的备品备件、包装、运输、装卸、保险、货到就位以及安装、调试、培训、保修和其他类似的义务。</w:t>
      </w:r>
    </w:p>
    <w:p w14:paraId="473C6EB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3A4BFAF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54504E33">
      <w:pPr>
        <w:spacing w:line="360" w:lineRule="auto"/>
        <w:ind w:firstLine="420" w:firstLineChars="200"/>
        <w:rPr>
          <w:rFonts w:ascii="宋体" w:cs="宋体"/>
          <w:b/>
          <w:bCs/>
          <w:color w:val="auto"/>
          <w:szCs w:val="21"/>
          <w:highlight w:val="none"/>
        </w:rPr>
      </w:pPr>
      <w:r>
        <w:rPr>
          <w:rFonts w:ascii="宋体" w:hAnsi="宋体" w:cs="宋体"/>
          <w:color w:val="auto"/>
          <w:szCs w:val="21"/>
          <w:highlight w:val="none"/>
        </w:rPr>
        <w:t xml:space="preserve">2.9 </w:t>
      </w:r>
      <w:r>
        <w:rPr>
          <w:rFonts w:hint="eastAsia" w:ascii="宋体" w:hAnsi="宋体" w:cs="宋体"/>
          <w:b/>
          <w:bCs/>
          <w:color w:val="auto"/>
          <w:szCs w:val="21"/>
          <w:highlight w:val="none"/>
        </w:rPr>
        <w:t>“实质性要求”是指采购需求中所有条款或者不能负偏离的条款或者已经指明不满足按响应文件无效处理的条款。</w:t>
      </w:r>
    </w:p>
    <w:p w14:paraId="6CD3B4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“正偏离”，是指响应文件对谈判文件“采购需求”中有关条款作出优于条款要求并有利于采购人的响应情形；</w:t>
      </w:r>
    </w:p>
    <w:p w14:paraId="1D61C7C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“负偏离”，是指响应文件对谈判文件“采购需求”中有关条款作出的响应不满足条款要求，导致采购人要求不能得到满足的情形。</w:t>
      </w:r>
    </w:p>
    <w:p w14:paraId="15C6614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“允许负偏离的条款”是指采购需求中的不属于“实质性要求”的条款。</w:t>
      </w:r>
    </w:p>
    <w:p w14:paraId="186C57F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2.13</w:t>
      </w:r>
      <w:r>
        <w:rPr>
          <w:rFonts w:hint="eastAsia" w:ascii="宋体" w:hAnsi="宋体" w:cs="宋体"/>
          <w:color w:val="auto"/>
          <w:szCs w:val="21"/>
          <w:highlight w:val="none"/>
        </w:rPr>
        <w:t>“首次报价”是指供应商提交的首次响应文件中的竞标报价。</w:t>
      </w:r>
    </w:p>
    <w:p w14:paraId="787043CB">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 xml:space="preserve">3. </w:t>
      </w:r>
      <w:r>
        <w:rPr>
          <w:rFonts w:hint="eastAsia" w:ascii="黑体" w:hAnsi="黑体" w:eastAsia="黑体" w:cs="宋体"/>
          <w:b/>
          <w:bCs/>
          <w:color w:val="auto"/>
          <w:sz w:val="24"/>
          <w:highlight w:val="none"/>
        </w:rPr>
        <w:t>供应商的资格条件</w:t>
      </w:r>
    </w:p>
    <w:p w14:paraId="30CAB7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3.1供应商的资格条件详见“供应商须知前附表”。</w:t>
      </w:r>
    </w:p>
    <w:p w14:paraId="76A73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3.2供应商出现下列情形之一的，不得参加政府采购活动：</w:t>
      </w:r>
    </w:p>
    <w:p w14:paraId="429132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r>
        <w:rPr>
          <w:rFonts w:ascii="Arial" w:hAnsi="Arial" w:cs="Arial"/>
          <w:color w:val="auto"/>
          <w:highlight w:val="none"/>
        </w:rPr>
        <w:t>为采购项目提供整体设计、规范编制或者项目管理、监理、检测等服务的供应商，不得再参加该采购项目的其他采购活动</w:t>
      </w:r>
      <w:r>
        <w:rPr>
          <w:rFonts w:hint="eastAsia" w:ascii="宋体" w:hAnsi="宋体" w:cs="宋体"/>
          <w:color w:val="auto"/>
          <w:szCs w:val="21"/>
          <w:highlight w:val="none"/>
        </w:rPr>
        <w:t>。</w:t>
      </w:r>
    </w:p>
    <w:p w14:paraId="7F57C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在“信用中国”网站（http://www.creditchina.gov.cn）、中国政府采购网（http://www.ccgp.gov.cn）被列入失信被执行人、重大税收违法失信主体、政府采购严重违法失信行为记录名单及其他不符合《中华人民共和国政府采购法》第二十二条规定条件的供应商，不得参与政府采购活动。</w:t>
      </w:r>
    </w:p>
    <w:p w14:paraId="769EE5B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竞标费用</w:t>
      </w:r>
    </w:p>
    <w:p w14:paraId="60CD605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1625529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5.</w:t>
      </w:r>
      <w:r>
        <w:rPr>
          <w:rFonts w:hint="eastAsia" w:ascii="黑体" w:hAnsi="黑体" w:eastAsia="黑体" w:cs="宋体"/>
          <w:b/>
          <w:bCs/>
          <w:color w:val="auto"/>
          <w:sz w:val="24"/>
          <w:highlight w:val="none"/>
        </w:rPr>
        <w:t>联合体竞标</w:t>
      </w:r>
    </w:p>
    <w:p w14:paraId="47E951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08C619A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0FA6AF2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bookmarkStart w:id="65" w:name="_Hlk65857072"/>
      <w:r>
        <w:rPr>
          <w:rFonts w:hint="eastAsia" w:ascii="宋体" w:hAnsi="宋体"/>
          <w:bCs/>
          <w:color w:val="auto"/>
          <w:szCs w:val="21"/>
          <w:highlight w:val="none"/>
        </w:rPr>
        <w:t>根据《政府采购促进中小企业发展管理办法》（财库〔</w:t>
      </w:r>
      <w:r>
        <w:rPr>
          <w:rFonts w:ascii="宋体" w:hAnsi="宋体"/>
          <w:bCs/>
          <w:color w:val="auto"/>
          <w:szCs w:val="21"/>
          <w:highlight w:val="none"/>
        </w:rPr>
        <w:t>2020</w:t>
      </w:r>
      <w:r>
        <w:rPr>
          <w:rFonts w:hint="eastAsia" w:ascii="宋体" w:hAnsi="宋体"/>
          <w:bCs/>
          <w:color w:val="auto"/>
          <w:szCs w:val="21"/>
          <w:highlight w:val="none"/>
        </w:rPr>
        <w:t>〕</w:t>
      </w:r>
      <w:r>
        <w:rPr>
          <w:rFonts w:ascii="宋体" w:hAnsi="宋体"/>
          <w:bCs/>
          <w:color w:val="auto"/>
          <w:szCs w:val="21"/>
          <w:highlight w:val="none"/>
        </w:rPr>
        <w:t>46</w:t>
      </w:r>
      <w:r>
        <w:rPr>
          <w:rFonts w:hint="eastAsia" w:ascii="宋体" w:hAnsi="宋体"/>
          <w:bCs/>
          <w:color w:val="auto"/>
          <w:szCs w:val="21"/>
          <w:highlight w:val="none"/>
        </w:rPr>
        <w:t>号）第九条第二款及</w:t>
      </w:r>
      <w:r>
        <w:rPr>
          <w:rFonts w:hint="eastAsia" w:ascii="宋体" w:hAnsi="宋体" w:cs="宋体"/>
          <w:color w:val="auto"/>
          <w:kern w:val="0"/>
          <w:szCs w:val="21"/>
          <w:highlight w:val="none"/>
        </w:rPr>
        <w:t>《广西壮族自治区财政厅关于持续优化政府采购营商环境推动高质量发展的通知》（桂财采〔2024〕55号）</w:t>
      </w:r>
      <w:r>
        <w:rPr>
          <w:rFonts w:hint="eastAsia" w:ascii="宋体" w:hAnsi="宋体"/>
          <w:bCs/>
          <w:color w:val="auto"/>
          <w:szCs w:val="21"/>
          <w:highlight w:val="none"/>
        </w:rPr>
        <w:t>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bCs/>
          <w:color w:val="auto"/>
          <w:szCs w:val="21"/>
          <w:highlight w:val="none"/>
        </w:rPr>
        <w:t>30%</w:t>
      </w:r>
      <w:r>
        <w:rPr>
          <w:rFonts w:hint="eastAsia" w:ascii="宋体" w:hAnsi="宋体"/>
          <w:bCs/>
          <w:color w:val="auto"/>
          <w:szCs w:val="21"/>
          <w:highlight w:val="none"/>
        </w:rPr>
        <w:t>以上的，采购人、采购代理机构应当对联合体或者大中型企业的报价给予</w:t>
      </w:r>
      <w:r>
        <w:rPr>
          <w:rFonts w:ascii="宋体" w:hAnsi="宋体"/>
          <w:bCs/>
          <w:color w:val="auto"/>
          <w:szCs w:val="21"/>
          <w:highlight w:val="none"/>
        </w:rPr>
        <w:t>4%-6%</w:t>
      </w:r>
      <w:r>
        <w:rPr>
          <w:rFonts w:hint="eastAsia" w:ascii="宋体" w:hAnsi="宋体"/>
          <w:bCs/>
          <w:color w:val="auto"/>
          <w:szCs w:val="21"/>
          <w:highlight w:val="none"/>
        </w:rPr>
        <w:t>的扣除，用扣除后的价格参加评审。</w:t>
      </w:r>
      <w:bookmarkEnd w:id="65"/>
    </w:p>
    <w:p w14:paraId="6FA1F6A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转包与分包</w:t>
      </w:r>
    </w:p>
    <w:p w14:paraId="191A247F">
      <w:pPr>
        <w:pStyle w:val="5"/>
        <w:keepNext w:val="0"/>
        <w:keepLines w:val="0"/>
        <w:spacing w:before="0" w:after="0" w:line="360" w:lineRule="auto"/>
        <w:ind w:left="420" w:leftChars="200"/>
        <w:rPr>
          <w:rFonts w:ascii="宋体"/>
          <w:b w:val="0"/>
          <w:color w:val="auto"/>
          <w:sz w:val="21"/>
          <w:szCs w:val="21"/>
          <w:highlight w:val="none"/>
        </w:rPr>
      </w:pPr>
      <w:bookmarkStart w:id="66" w:name="_Toc254970673"/>
      <w:bookmarkStart w:id="67" w:name="_Toc254970532"/>
      <w:r>
        <w:rPr>
          <w:rFonts w:ascii="宋体" w:hAnsi="宋体"/>
          <w:b w:val="0"/>
          <w:color w:val="auto"/>
          <w:sz w:val="21"/>
          <w:szCs w:val="21"/>
          <w:highlight w:val="none"/>
        </w:rPr>
        <w:t>6.1</w:t>
      </w:r>
      <w:r>
        <w:rPr>
          <w:rFonts w:hint="eastAsia" w:ascii="宋体" w:hAnsi="宋体"/>
          <w:b w:val="0"/>
          <w:color w:val="auto"/>
          <w:sz w:val="21"/>
          <w:szCs w:val="21"/>
          <w:highlight w:val="none"/>
        </w:rPr>
        <w:t>本项目不允许转包。</w:t>
      </w:r>
    </w:p>
    <w:p w14:paraId="57CAF472">
      <w:pPr>
        <w:pStyle w:val="5"/>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6.2</w:t>
      </w:r>
      <w:r>
        <w:rPr>
          <w:rFonts w:hint="eastAsia" w:ascii="宋体" w:hAnsi="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9E05597">
      <w:pPr>
        <w:pStyle w:val="5"/>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6.3</w:t>
      </w:r>
      <w:r>
        <w:rPr>
          <w:rFonts w:hint="eastAsia" w:ascii="宋体" w:hAnsi="宋体"/>
          <w:b w:val="0"/>
          <w:color w:val="auto"/>
          <w:sz w:val="21"/>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157B505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特别说明</w:t>
      </w:r>
      <w:bookmarkEnd w:id="66"/>
      <w:bookmarkEnd w:id="67"/>
    </w:p>
    <w:p w14:paraId="4F06B017">
      <w:pPr>
        <w:spacing w:line="360" w:lineRule="auto"/>
        <w:ind w:firstLine="420" w:firstLineChars="200"/>
        <w:rPr>
          <w:rFonts w:ascii="宋体" w:cs="宋体"/>
          <w:color w:val="auto"/>
          <w:szCs w:val="21"/>
          <w:highlight w:val="none"/>
        </w:rPr>
      </w:pPr>
      <w:bookmarkStart w:id="68" w:name="_8.1提供相同品牌产品且通过资格审查、符合性审查的不同投标人参加同一合"/>
      <w:bookmarkEnd w:id="68"/>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\l "_8.1"</w:instrText>
      </w:r>
      <w:r>
        <w:rPr>
          <w:rFonts w:ascii="宋体" w:hAnsi="宋体" w:cs="宋体"/>
          <w:color w:val="auto"/>
          <w:szCs w:val="21"/>
          <w:highlight w:val="none"/>
        </w:rPr>
        <w:fldChar w:fldCharType="separate"/>
      </w:r>
      <w:r>
        <w:rPr>
          <w:rFonts w:ascii="宋体" w:hAnsi="宋体" w:cs="宋体"/>
          <w:color w:val="auto"/>
          <w:szCs w:val="21"/>
          <w:highlight w:val="none"/>
        </w:rPr>
        <w:t>7.1</w:t>
      </w:r>
      <w:r>
        <w:rPr>
          <w:rFonts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09E3622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29C6FF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olor w:val="auto"/>
          <w:szCs w:val="21"/>
          <w:highlight w:val="none"/>
        </w:rPr>
        <w:t>如果本谈判文件要求提供供应商或制造商的资格、信誉、荣誉、业绩与企业认证等材料的，资格、信誉、荣誉、业绩与企业认证等必须为供应商或者制造商所拥有或自身获得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p w14:paraId="41E31F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供应商应仔细阅读谈判文件的所有内容，按照谈判文件的要求提交响应文件，并对所提供的全部资料的真实性承担法律责任。</w:t>
      </w:r>
    </w:p>
    <w:p w14:paraId="0FC8605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3F36EF1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在政府采购活动中，采购人员及相关人员与供应商有下列利害关系之一的，应当回避：</w:t>
      </w:r>
    </w:p>
    <w:p w14:paraId="4BF2813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0E5F0D6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55DD10F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71A0858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40D820E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660523A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B5480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有下列情形之一的视为供应商相互串通竞标，响应文件将被视为无效：</w:t>
      </w:r>
    </w:p>
    <w:p w14:paraId="647F2DD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p>
    <w:p w14:paraId="70AFAFB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3FA3F57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4948523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6D018B6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）不同供应商的响应文件相互混装；</w:t>
      </w:r>
    </w:p>
    <w:p w14:paraId="24D000A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）不同供应商的竞标保证金从同一单位或者个人账户转出。</w:t>
      </w:r>
    </w:p>
    <w:p w14:paraId="09F5464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7.7</w:t>
      </w:r>
      <w:r>
        <w:rPr>
          <w:rFonts w:hint="eastAsia" w:ascii="宋体" w:hAnsi="宋体" w:cs="宋体"/>
          <w:color w:val="auto"/>
          <w:szCs w:val="21"/>
          <w:highlight w:val="none"/>
        </w:rPr>
        <w:t>供应商有下列情形之一的，属于恶意串通行为</w:t>
      </w:r>
      <w:bookmarkStart w:id="69" w:name="_Hlk54682620"/>
      <w:r>
        <w:rPr>
          <w:rFonts w:hint="eastAsia" w:ascii="宋体" w:hAnsi="宋体" w:cs="宋体"/>
          <w:color w:val="auto"/>
          <w:szCs w:val="21"/>
          <w:highlight w:val="none"/>
        </w:rPr>
        <w:t>，将报同级监督管理部门</w:t>
      </w:r>
      <w:bookmarkEnd w:id="69"/>
      <w:r>
        <w:rPr>
          <w:rFonts w:hint="eastAsia" w:ascii="宋体" w:hAnsi="宋体" w:cs="宋体"/>
          <w:color w:val="auto"/>
          <w:szCs w:val="21"/>
          <w:highlight w:val="none"/>
        </w:rPr>
        <w:t>：</w:t>
      </w:r>
    </w:p>
    <w:p w14:paraId="704203E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2AC9581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07B4330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47822848">
      <w:pPr>
        <w:spacing w:line="360" w:lineRule="auto"/>
        <w:ind w:firstLine="420" w:firstLineChars="200"/>
        <w:rPr>
          <w:rFonts w:ascii="宋体" w:cs="宋体"/>
          <w:color w:val="auto"/>
          <w:spacing w:val="-4"/>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spacing w:val="-4"/>
          <w:szCs w:val="21"/>
          <w:highlight w:val="none"/>
        </w:rPr>
        <w:t>属于同一集团、协会、商会等组织成员的供应商按照该组织要求协同参加政府采购活动；</w:t>
      </w:r>
    </w:p>
    <w:p w14:paraId="52AF5C2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35202B5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34F70B1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62202738">
      <w:pPr>
        <w:spacing w:line="360" w:lineRule="auto"/>
        <w:ind w:left="1" w:firstLine="417" w:firstLineChars="199"/>
        <w:jc w:val="center"/>
        <w:rPr>
          <w:rFonts w:ascii="宋体"/>
          <w:color w:val="auto"/>
          <w:highlight w:val="none"/>
        </w:rPr>
      </w:pPr>
      <w:bookmarkStart w:id="70" w:name="_Toc254970675"/>
      <w:bookmarkStart w:id="71" w:name="_Toc254970534"/>
    </w:p>
    <w:p w14:paraId="75F81515">
      <w:pPr>
        <w:spacing w:line="360" w:lineRule="auto"/>
        <w:jc w:val="center"/>
        <w:rPr>
          <w:rFonts w:ascii="宋体"/>
          <w:b/>
          <w:color w:val="auto"/>
          <w:sz w:val="32"/>
          <w:szCs w:val="32"/>
          <w:highlight w:val="none"/>
        </w:rPr>
      </w:pPr>
      <w:r>
        <w:rPr>
          <w:rFonts w:hint="eastAsia" w:ascii="宋体" w:hAnsi="宋体"/>
          <w:b/>
          <w:color w:val="auto"/>
          <w:sz w:val="32"/>
          <w:szCs w:val="32"/>
          <w:highlight w:val="none"/>
        </w:rPr>
        <w:t>二、谈判文件</w:t>
      </w:r>
      <w:bookmarkEnd w:id="70"/>
      <w:bookmarkEnd w:id="71"/>
    </w:p>
    <w:p w14:paraId="22C565E9">
      <w:pPr>
        <w:spacing w:line="360" w:lineRule="auto"/>
        <w:jc w:val="center"/>
        <w:rPr>
          <w:rFonts w:ascii="宋体"/>
          <w:color w:val="auto"/>
          <w:szCs w:val="21"/>
          <w:highlight w:val="none"/>
        </w:rPr>
      </w:pPr>
    </w:p>
    <w:p w14:paraId="0C77CFA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8.</w:t>
      </w:r>
      <w:r>
        <w:rPr>
          <w:rFonts w:hint="eastAsia" w:ascii="黑体" w:hAnsi="黑体" w:eastAsia="黑体" w:cs="宋体"/>
          <w:b/>
          <w:bCs/>
          <w:color w:val="auto"/>
          <w:sz w:val="24"/>
          <w:highlight w:val="none"/>
        </w:rPr>
        <w:t>谈判文件的构成</w:t>
      </w:r>
    </w:p>
    <w:p w14:paraId="720FA697">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）竞争性谈判公告；</w:t>
      </w:r>
    </w:p>
    <w:p w14:paraId="0A1B9D19">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）供应商须知；</w:t>
      </w:r>
    </w:p>
    <w:p w14:paraId="247635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）采购需求；</w:t>
      </w:r>
    </w:p>
    <w:p w14:paraId="15202BBC">
      <w:pPr>
        <w:pStyle w:val="11"/>
        <w:ind w:firstLine="420" w:firstLineChars="200"/>
        <w:rPr>
          <w:color w:val="auto"/>
          <w:highlight w:val="none"/>
        </w:rPr>
      </w:pPr>
      <w:r>
        <w:rPr>
          <w:rFonts w:hint="eastAsia" w:ascii="宋体" w:hAnsi="宋体"/>
          <w:color w:val="auto"/>
          <w:szCs w:val="21"/>
          <w:highlight w:val="none"/>
        </w:rPr>
        <w:t>（4）评审程序和评定成交的标准；</w:t>
      </w:r>
    </w:p>
    <w:p w14:paraId="7AA20356">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（5）响应文件格式</w:t>
      </w:r>
    </w:p>
    <w:p w14:paraId="185BC896">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（6）合同文本。</w:t>
      </w:r>
    </w:p>
    <w:p w14:paraId="64B69EA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9.</w:t>
      </w:r>
      <w:r>
        <w:rPr>
          <w:rFonts w:hint="eastAsia" w:ascii="黑体" w:hAnsi="黑体" w:eastAsia="黑体" w:cs="宋体"/>
          <w:b/>
          <w:bCs/>
          <w:color w:val="auto"/>
          <w:sz w:val="24"/>
          <w:highlight w:val="none"/>
        </w:rPr>
        <w:t>供应商的询问</w:t>
      </w:r>
    </w:p>
    <w:p w14:paraId="314BE800">
      <w:pPr>
        <w:spacing w:line="360" w:lineRule="auto"/>
        <w:ind w:firstLine="420" w:firstLineChars="200"/>
        <w:rPr>
          <w:rFonts w:asci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供应商应认真阅读谈判文件的采购需求，如供应商对谈判文件有疑问的，如要求采购人作出澄清或者修改的，供应商尽可能在提交首次响应文件截止之日前，以书面形式向采购人、采购代理机构提出。</w:t>
      </w:r>
    </w:p>
    <w:p w14:paraId="270CA00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10.</w:t>
      </w:r>
      <w:r>
        <w:rPr>
          <w:rFonts w:hint="eastAsia" w:ascii="黑体" w:hAnsi="黑体" w:eastAsia="黑体" w:cs="宋体"/>
          <w:b/>
          <w:bCs/>
          <w:color w:val="auto"/>
          <w:sz w:val="24"/>
          <w:highlight w:val="none"/>
        </w:rPr>
        <w:t>谈判文件的澄清和修改</w:t>
      </w:r>
    </w:p>
    <w:p w14:paraId="7346CE11">
      <w:pPr>
        <w:spacing w:line="360" w:lineRule="auto"/>
        <w:ind w:firstLine="420" w:firstLineChars="200"/>
        <w:rPr>
          <w:rFonts w:ascii="宋体"/>
          <w:color w:val="auto"/>
          <w:szCs w:val="21"/>
          <w:highlight w:val="none"/>
        </w:rPr>
      </w:pPr>
      <w:r>
        <w:rPr>
          <w:rFonts w:hint="eastAsia"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olor w:val="auto"/>
          <w:szCs w:val="21"/>
          <w:highlight w:val="none"/>
        </w:rPr>
        <w:t>3</w:t>
      </w:r>
      <w:r>
        <w:rPr>
          <w:rFonts w:hint="eastAsia" w:ascii="宋体" w:hAnsi="宋体"/>
          <w:color w:val="auto"/>
          <w:szCs w:val="21"/>
          <w:highlight w:val="none"/>
        </w:rPr>
        <w:t>个工作日前，以书面形式通知所有接收谈判文件的供应商，不足</w:t>
      </w:r>
      <w:r>
        <w:rPr>
          <w:rFonts w:ascii="宋体" w:hAnsi="宋体"/>
          <w:color w:val="auto"/>
          <w:szCs w:val="21"/>
          <w:highlight w:val="none"/>
        </w:rPr>
        <w:t>3</w:t>
      </w:r>
      <w:r>
        <w:rPr>
          <w:rFonts w:hint="eastAsia" w:ascii="宋体" w:hAnsi="宋体"/>
          <w:color w:val="auto"/>
          <w:szCs w:val="21"/>
          <w:highlight w:val="none"/>
        </w:rPr>
        <w:t>个工作日的，应当顺延提交首次响应文件截止之日。</w:t>
      </w:r>
    </w:p>
    <w:p w14:paraId="54324178">
      <w:pPr>
        <w:spacing w:line="360" w:lineRule="auto"/>
        <w:rPr>
          <w:rFonts w:ascii="宋体"/>
          <w:color w:val="auto"/>
          <w:szCs w:val="21"/>
          <w:highlight w:val="none"/>
        </w:rPr>
      </w:pPr>
    </w:p>
    <w:p w14:paraId="77AF0788">
      <w:pPr>
        <w:spacing w:line="360" w:lineRule="auto"/>
        <w:jc w:val="center"/>
        <w:rPr>
          <w:rFonts w:ascii="宋体"/>
          <w:b/>
          <w:color w:val="auto"/>
          <w:szCs w:val="21"/>
          <w:highlight w:val="none"/>
        </w:rPr>
      </w:pPr>
      <w:r>
        <w:rPr>
          <w:rFonts w:hint="eastAsia" w:ascii="宋体" w:hAnsi="宋体"/>
          <w:b/>
          <w:color w:val="auto"/>
          <w:sz w:val="32"/>
          <w:szCs w:val="32"/>
          <w:highlight w:val="none"/>
        </w:rPr>
        <w:t>三、响应文件的编制</w:t>
      </w:r>
    </w:p>
    <w:p w14:paraId="41F9B8CA">
      <w:pPr>
        <w:spacing w:line="360" w:lineRule="auto"/>
        <w:rPr>
          <w:rFonts w:ascii="宋体"/>
          <w:color w:val="auto"/>
          <w:szCs w:val="21"/>
          <w:highlight w:val="none"/>
        </w:rPr>
      </w:pPr>
    </w:p>
    <w:p w14:paraId="67D0316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11.</w:t>
      </w:r>
      <w:r>
        <w:rPr>
          <w:rFonts w:hint="eastAsia" w:ascii="黑体" w:hAnsi="黑体" w:eastAsia="黑体" w:cs="宋体"/>
          <w:b/>
          <w:bCs/>
          <w:color w:val="auto"/>
          <w:sz w:val="24"/>
          <w:highlight w:val="none"/>
        </w:rPr>
        <w:t>响应文件的编制原则</w:t>
      </w:r>
    </w:p>
    <w:p w14:paraId="0C88DE3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38F5A7D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12.</w:t>
      </w:r>
      <w:r>
        <w:rPr>
          <w:rFonts w:hint="eastAsia" w:ascii="黑体" w:hAnsi="黑体" w:eastAsia="黑体" w:cs="宋体"/>
          <w:b/>
          <w:bCs/>
          <w:color w:val="auto"/>
          <w:sz w:val="24"/>
          <w:highlight w:val="none"/>
        </w:rPr>
        <w:t>响应文件的组成</w:t>
      </w:r>
    </w:p>
    <w:p w14:paraId="1F5631A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响应文件由资格证明文件、报价文件、商务技术文件三部分组成。</w:t>
      </w:r>
    </w:p>
    <w:p w14:paraId="69E27732">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资格证明文件：详见“供应商须知前附表”</w:t>
      </w:r>
    </w:p>
    <w:p w14:paraId="3CA2EF01">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报价文件：详见“供应商须知前附表”</w:t>
      </w:r>
    </w:p>
    <w:p w14:paraId="75A38EB2">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12.1.3</w:t>
      </w:r>
      <w:r>
        <w:rPr>
          <w:rFonts w:hint="eastAsia" w:ascii="宋体" w:hAnsi="宋体" w:cs="宋体"/>
          <w:color w:val="auto"/>
          <w:szCs w:val="21"/>
          <w:highlight w:val="none"/>
        </w:rPr>
        <w:t>商务技术文件：详见“供应商须知前附表”</w:t>
      </w:r>
    </w:p>
    <w:p w14:paraId="4AC0E5D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13.</w:t>
      </w:r>
      <w:r>
        <w:rPr>
          <w:rFonts w:hint="eastAsia" w:ascii="黑体" w:hAnsi="黑体" w:eastAsia="黑体" w:cs="宋体"/>
          <w:b/>
          <w:bCs/>
          <w:color w:val="auto"/>
          <w:sz w:val="24"/>
          <w:highlight w:val="none"/>
        </w:rPr>
        <w:t>计量单位</w:t>
      </w:r>
    </w:p>
    <w:p w14:paraId="27E3C70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04FC3B0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14.</w:t>
      </w:r>
      <w:r>
        <w:rPr>
          <w:rFonts w:hint="eastAsia" w:ascii="黑体" w:hAnsi="黑体" w:eastAsia="黑体" w:cs="宋体"/>
          <w:b/>
          <w:bCs/>
          <w:color w:val="auto"/>
          <w:sz w:val="24"/>
          <w:highlight w:val="none"/>
        </w:rPr>
        <w:t>竞标的风险</w:t>
      </w:r>
    </w:p>
    <w:p w14:paraId="09289FA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57058D2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15.</w:t>
      </w:r>
      <w:r>
        <w:rPr>
          <w:rFonts w:hint="eastAsia" w:ascii="黑体" w:hAnsi="黑体" w:eastAsia="黑体" w:cs="宋体"/>
          <w:b/>
          <w:bCs/>
          <w:color w:val="auto"/>
          <w:sz w:val="24"/>
          <w:highlight w:val="none"/>
        </w:rPr>
        <w:t>竞标报价</w:t>
      </w:r>
    </w:p>
    <w:p w14:paraId="173C20E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竞标报价应按谈判文件中“竞标报价表”格式填写。</w:t>
      </w:r>
    </w:p>
    <w:p w14:paraId="1D8140CB">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竞标报价的内容详见“供应商须知前附表”。</w:t>
      </w:r>
    </w:p>
    <w:p w14:paraId="15D0B844">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14:paraId="4B02939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15.3.1</w:t>
      </w:r>
      <w:r>
        <w:rPr>
          <w:rFonts w:hint="eastAsia" w:ascii="宋体" w:hAnsi="宋体" w:cs="宋体"/>
          <w:color w:val="auto"/>
          <w:szCs w:val="21"/>
          <w:highlight w:val="none"/>
        </w:rPr>
        <w:t>供应商的竞标报价应符合以下要求，否则响应文件按无效响应处理：</w:t>
      </w:r>
    </w:p>
    <w:p w14:paraId="6725ABE8">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）供应商必须就“采购需求”中全部内容作完整唯一总价报价，</w:t>
      </w:r>
    </w:p>
    <w:p w14:paraId="35856AEA">
      <w:pPr>
        <w:spacing w:line="360" w:lineRule="auto"/>
        <w:rPr>
          <w:rFonts w:ascii="宋体" w:cs="宋体"/>
          <w:color w:val="auto"/>
          <w:szCs w:val="21"/>
          <w:highlight w:val="none"/>
        </w:rPr>
      </w:pPr>
      <w:r>
        <w:rPr>
          <w:rFonts w:hint="eastAsia" w:ascii="宋体" w:hAnsi="宋体" w:cs="宋体"/>
          <w:color w:val="auto"/>
          <w:szCs w:val="21"/>
          <w:highlight w:val="none"/>
        </w:rPr>
        <w:t>不得存在漏项报价；</w:t>
      </w:r>
    </w:p>
    <w:p w14:paraId="1E58BE2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）供应商必须就本项目单项内容作唯一报价。</w:t>
      </w:r>
    </w:p>
    <w:p w14:paraId="0951AC6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竞标报价（包含首次报价、最后报价）超过本项目规定的采购预算金额或者最高限价的，其响应文件将按无效处理。</w:t>
      </w:r>
    </w:p>
    <w:p w14:paraId="2F5D640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15.3.3</w:t>
      </w:r>
      <w:r>
        <w:rPr>
          <w:rFonts w:hint="eastAsia" w:ascii="宋体" w:hAnsi="宋体" w:cs="宋体"/>
          <w:color w:val="auto"/>
          <w:szCs w:val="21"/>
          <w:highlight w:val="none"/>
        </w:rPr>
        <w:t>竞标报价（包含首次报价、最后报价）超过分项采购预算金额或者最高限价的，其响应文件将按无效处理。</w:t>
      </w:r>
    </w:p>
    <w:p w14:paraId="19F2476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16.</w:t>
      </w:r>
      <w:r>
        <w:rPr>
          <w:rFonts w:hint="eastAsia" w:ascii="黑体" w:hAnsi="黑体" w:eastAsia="黑体" w:cs="宋体"/>
          <w:b/>
          <w:bCs/>
          <w:color w:val="auto"/>
          <w:sz w:val="24"/>
          <w:highlight w:val="none"/>
        </w:rPr>
        <w:t>竞标有效期</w:t>
      </w:r>
    </w:p>
    <w:p w14:paraId="229230E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5881857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70EA091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6564069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17.</w:t>
      </w:r>
      <w:r>
        <w:rPr>
          <w:rFonts w:hint="eastAsia" w:ascii="黑体" w:hAnsi="黑体" w:eastAsia="黑体" w:cs="宋体"/>
          <w:b/>
          <w:bCs/>
          <w:color w:val="auto"/>
          <w:sz w:val="24"/>
          <w:highlight w:val="none"/>
        </w:rPr>
        <w:t>竞标保证金</w:t>
      </w:r>
    </w:p>
    <w:p w14:paraId="33A1E2BB">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供应商须按“供应商须知前附表”的规定提交竞标保证金。</w:t>
      </w:r>
    </w:p>
    <w:p w14:paraId="078EC518">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竞标保证金的退还</w:t>
      </w:r>
    </w:p>
    <w:p w14:paraId="051122F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成交供应商的竞标保证金自签订合同之日起5个工作日内退还。</w:t>
      </w:r>
    </w:p>
    <w:p w14:paraId="507F0C6A">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竞标保证金不计息。</w:t>
      </w:r>
    </w:p>
    <w:p w14:paraId="78852027">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供应商有下列情形之一的，竞标保证金将不予退还：</w:t>
      </w:r>
    </w:p>
    <w:p w14:paraId="433CC250">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）供应商在提交响应文件截止时间后撤回响应文件的；</w:t>
      </w:r>
    </w:p>
    <w:p w14:paraId="4C5254D2">
      <w:pPr>
        <w:spacing w:line="360" w:lineRule="auto"/>
        <w:ind w:left="420" w:leftChars="200"/>
        <w:rPr>
          <w:rFonts w:asci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）未按规定提交履约保证金的；</w:t>
      </w:r>
    </w:p>
    <w:p w14:paraId="57F9D1F7">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068033E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）除因不可抗力或者谈判文件认可的情形以外，成交供应商不与采购人签订合同的；</w:t>
      </w:r>
    </w:p>
    <w:p w14:paraId="4C94C55F">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366A66BA">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2619321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18.</w:t>
      </w:r>
      <w:r>
        <w:rPr>
          <w:rFonts w:hint="eastAsia" w:ascii="黑体" w:hAnsi="黑体" w:eastAsia="黑体" w:cs="宋体"/>
          <w:b/>
          <w:bCs/>
          <w:color w:val="auto"/>
          <w:sz w:val="24"/>
          <w:highlight w:val="none"/>
        </w:rPr>
        <w:t>响应文件编制的要求</w:t>
      </w:r>
    </w:p>
    <w:p w14:paraId="5DD9FD0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按照本项目竞争性谈判文件规定的格式和顺序和广西政府采购云平台的要求编制并加密。响应文件内容不完整、编排混乱导致响应文件被误读、漏读或者查找不到相关内容的，由此引发的后果由供应商承担。</w:t>
      </w:r>
    </w:p>
    <w:p w14:paraId="6DBB9FE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为确保网上操作合法、有效和安全，供应商应当在提交响应文件截止时间前完成在广西政府采购云平台的身份认证，确保在电子竞标过程中能够对相关数据电文进行加密和使用电子签章。</w:t>
      </w:r>
    </w:p>
    <w:p w14:paraId="09E6B27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响应文件须由供应商在规定位置签字、盖章（具体以供应商须知前附表或响应文件格式规定为准），否则按无效响应处理。</w:t>
      </w:r>
    </w:p>
    <w:p w14:paraId="7D5BE2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主体资格证明（如营业执照或者事业单位法人证书或者执业许可证或者登记证书等）及公章一致，并与广西政府采购云平台中获取竞争性谈判文件的供应商名称一致，供应商为自然人的，标注的供应商名称应与身份证姓名及签名一致，否则其响应文件按无效响应处理。</w:t>
      </w:r>
    </w:p>
    <w:p w14:paraId="6E836E3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7D8AF6E">
      <w:pPr>
        <w:spacing w:line="360" w:lineRule="auto"/>
        <w:ind w:firstLine="482" w:firstLineChars="200"/>
        <w:rPr>
          <w:rFonts w:ascii="黑体" w:hAnsi="黑体" w:eastAsia="黑体"/>
          <w:color w:val="auto"/>
          <w:sz w:val="24"/>
          <w:highlight w:val="none"/>
        </w:rPr>
      </w:pPr>
      <w:r>
        <w:rPr>
          <w:rFonts w:ascii="黑体" w:hAnsi="黑体" w:eastAsia="黑体" w:cs="宋体"/>
          <w:b/>
          <w:bCs/>
          <w:color w:val="auto"/>
          <w:sz w:val="24"/>
          <w:highlight w:val="none"/>
        </w:rPr>
        <w:t>19.</w:t>
      </w:r>
      <w:r>
        <w:rPr>
          <w:rFonts w:hint="eastAsia" w:ascii="黑体" w:hAnsi="黑体" w:eastAsia="黑体" w:cs="宋体"/>
          <w:b/>
          <w:bCs/>
          <w:color w:val="auto"/>
          <w:sz w:val="24"/>
          <w:highlight w:val="none"/>
        </w:rPr>
        <w:t>电子</w:t>
      </w:r>
      <w:r>
        <w:rPr>
          <w:rFonts w:hint="eastAsia" w:ascii="黑体" w:hAnsi="黑体" w:eastAsia="黑体"/>
          <w:b/>
          <w:color w:val="auto"/>
          <w:sz w:val="24"/>
          <w:highlight w:val="none"/>
        </w:rPr>
        <w:t>备份响应文件</w:t>
      </w:r>
    </w:p>
    <w:p w14:paraId="32D7237D">
      <w:pPr>
        <w:spacing w:line="360" w:lineRule="auto"/>
        <w:ind w:firstLine="420" w:firstLineChars="200"/>
        <w:rPr>
          <w:rFonts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3E7AED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20.</w:t>
      </w:r>
      <w:r>
        <w:rPr>
          <w:rFonts w:hint="eastAsia" w:ascii="黑体" w:hAnsi="黑体" w:eastAsia="黑体" w:cs="宋体"/>
          <w:b/>
          <w:bCs/>
          <w:color w:val="auto"/>
          <w:sz w:val="24"/>
          <w:highlight w:val="none"/>
        </w:rPr>
        <w:t>响应文件的提交</w:t>
      </w:r>
    </w:p>
    <w:p w14:paraId="731E8EE6">
      <w:pPr>
        <w:spacing w:line="360" w:lineRule="auto"/>
        <w:ind w:firstLine="420" w:firstLineChars="200"/>
        <w:rPr>
          <w:rFonts w:asciiTheme="minorEastAsia" w:hAnsiTheme="minorEastAsia" w:eastAsiaTheme="minorEastAsia"/>
          <w:b/>
          <w:color w:val="auto"/>
          <w:highlight w:val="none"/>
        </w:rPr>
      </w:pPr>
      <w:r>
        <w:rPr>
          <w:rFonts w:asciiTheme="minorEastAsia" w:hAnsiTheme="minorEastAsia" w:eastAsiaTheme="minorEastAsia"/>
          <w:bCs/>
          <w:color w:val="auto"/>
          <w:szCs w:val="21"/>
          <w:highlight w:val="none"/>
        </w:rPr>
        <w:t>20.1</w:t>
      </w:r>
      <w:r>
        <w:rPr>
          <w:rFonts w:hint="eastAsia" w:asciiTheme="minorEastAsia" w:hAnsiTheme="minorEastAsia" w:eastAsiaTheme="minorEastAsia"/>
          <w:bCs/>
          <w:color w:val="auto"/>
          <w:szCs w:val="21"/>
          <w:highlight w:val="none"/>
        </w:rPr>
        <w:t>供应商必须按“供应商须知前附表”规定的</w:t>
      </w:r>
      <w:r>
        <w:rPr>
          <w:rFonts w:hint="eastAsia" w:cs="宋体" w:asciiTheme="minorEastAsia" w:hAnsiTheme="minorEastAsia" w:eastAsiaTheme="minorEastAsia"/>
          <w:color w:val="auto"/>
          <w:szCs w:val="21"/>
          <w:highlight w:val="none"/>
        </w:rPr>
        <w:t>时间</w:t>
      </w:r>
      <w:r>
        <w:rPr>
          <w:rFonts w:hint="eastAsia" w:asciiTheme="minorEastAsia" w:hAnsiTheme="minorEastAsia" w:eastAsiaTheme="minorEastAsia"/>
          <w:color w:val="auto"/>
          <w:szCs w:val="21"/>
          <w:highlight w:val="none"/>
        </w:rPr>
        <w:t>及</w:t>
      </w:r>
      <w:r>
        <w:rPr>
          <w:rFonts w:hint="eastAsia" w:asciiTheme="minorEastAsia" w:hAnsiTheme="minorEastAsia" w:eastAsiaTheme="minorEastAsia"/>
          <w:bCs/>
          <w:color w:val="auto"/>
          <w:szCs w:val="21"/>
          <w:highlight w:val="none"/>
        </w:rPr>
        <w:t>地点提交响应文件。电子响应文件应在制作完成后，在提交响应文件截止时间前通过有效数字证书（</w:t>
      </w:r>
      <w:r>
        <w:rPr>
          <w:rFonts w:asciiTheme="minorEastAsia" w:hAnsiTheme="minorEastAsia" w:eastAsiaTheme="minorEastAsia"/>
          <w:bCs/>
          <w:color w:val="auto"/>
          <w:szCs w:val="21"/>
          <w:highlight w:val="none"/>
        </w:rPr>
        <w:t>CA</w:t>
      </w:r>
      <w:r>
        <w:rPr>
          <w:rFonts w:hint="eastAsia" w:asciiTheme="minorEastAsia" w:hAnsiTheme="minorEastAsia" w:eastAsiaTheme="minorEastAsia"/>
          <w:bCs/>
          <w:color w:val="auto"/>
          <w:szCs w:val="21"/>
          <w:highlight w:val="none"/>
        </w:rPr>
        <w:t>认证锁）进行电子签章、加密，然后通过网络将加密的电子响应文件提交至</w:t>
      </w:r>
      <w:r>
        <w:rPr>
          <w:rFonts w:hint="eastAsia" w:ascii="宋体" w:hAnsi="宋体"/>
          <w:bCs/>
          <w:color w:val="auto"/>
          <w:szCs w:val="21"/>
          <w:highlight w:val="none"/>
        </w:rPr>
        <w:t>广西政府采购云平台</w:t>
      </w:r>
      <w:r>
        <w:rPr>
          <w:rFonts w:hint="eastAsia" w:asciiTheme="minorEastAsia" w:hAnsiTheme="minorEastAsia" w:eastAsiaTheme="minorEastAsia"/>
          <w:bCs/>
          <w:color w:val="auto"/>
          <w:szCs w:val="21"/>
          <w:highlight w:val="none"/>
        </w:rPr>
        <w:t>。</w:t>
      </w:r>
    </w:p>
    <w:p w14:paraId="43F824F5">
      <w:pPr>
        <w:spacing w:line="360" w:lineRule="auto"/>
        <w:ind w:firstLine="422" w:firstLineChars="200"/>
        <w:rPr>
          <w:rFonts w:ascii="宋体"/>
          <w:b/>
          <w:color w:val="auto"/>
          <w:szCs w:val="20"/>
          <w:highlight w:val="none"/>
        </w:rPr>
      </w:pPr>
      <w:r>
        <w:rPr>
          <w:rFonts w:ascii="宋体" w:hAnsi="宋体"/>
          <w:b/>
          <w:color w:val="auto"/>
          <w:szCs w:val="21"/>
          <w:highlight w:val="none"/>
        </w:rPr>
        <w:t>20.2</w:t>
      </w:r>
      <w:r>
        <w:rPr>
          <w:rFonts w:hint="eastAsia" w:ascii="宋体" w:hAnsi="宋体"/>
          <w:b/>
          <w:color w:val="auto"/>
          <w:szCs w:val="21"/>
          <w:highlight w:val="none"/>
        </w:rPr>
        <w:t>未在规定时间内提交或者未按照谈判文件要求加密的电子响应文件，广西政府采购云平台将拒收。</w:t>
      </w:r>
    </w:p>
    <w:p w14:paraId="6A23F84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21.</w:t>
      </w:r>
      <w:r>
        <w:rPr>
          <w:rFonts w:hint="eastAsia" w:ascii="黑体" w:hAnsi="黑体" w:eastAsia="黑体" w:cs="宋体"/>
          <w:b/>
          <w:bCs/>
          <w:color w:val="auto"/>
          <w:sz w:val="24"/>
          <w:highlight w:val="none"/>
        </w:rPr>
        <w:t>首次响应文件的补充、修改与撤回</w:t>
      </w:r>
    </w:p>
    <w:p w14:paraId="7A57F452">
      <w:pPr>
        <w:snapToGrid w:val="0"/>
        <w:spacing w:line="360" w:lineRule="auto"/>
        <w:ind w:firstLine="420"/>
        <w:jc w:val="left"/>
        <w:rPr>
          <w:rFonts w:ascii="宋体"/>
          <w:color w:val="auto"/>
          <w:szCs w:val="21"/>
          <w:highlight w:val="none"/>
        </w:rPr>
      </w:pPr>
      <w:bookmarkStart w:id="72" w:name="_Toc254970543"/>
      <w:bookmarkStart w:id="73" w:name="_Toc254970684"/>
      <w:r>
        <w:rPr>
          <w:rFonts w:ascii="宋体" w:hAnsi="宋体" w:cs="宋体"/>
          <w:color w:val="auto"/>
          <w:szCs w:val="21"/>
          <w:highlight w:val="none"/>
        </w:rPr>
        <w:t>21.1</w:t>
      </w:r>
      <w:r>
        <w:rPr>
          <w:rFonts w:hint="eastAsia" w:ascii="宋体" w:hAnsi="宋体"/>
          <w:bCs/>
          <w:color w:val="auto"/>
          <w:szCs w:val="21"/>
          <w:highlight w:val="none"/>
        </w:rPr>
        <w:t>供应商应当在</w:t>
      </w:r>
      <w:r>
        <w:rPr>
          <w:rFonts w:hint="eastAsia" w:hAnsi="宋体"/>
          <w:bCs/>
          <w:color w:val="auto"/>
          <w:szCs w:val="21"/>
          <w:highlight w:val="none"/>
        </w:rPr>
        <w:t>提交响应文件截止时间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提交响应文件截止时间前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提交响应文件截止时间止</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bCs/>
          <w:color w:val="auto"/>
          <w:szCs w:val="21"/>
          <w:highlight w:val="none"/>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进入“服务中心”中查看</w:t>
      </w:r>
      <w:r>
        <w:rPr>
          <w:rFonts w:hint="eastAsia" w:ascii="宋体" w:hAnsi="宋体" w:cs="宋体"/>
          <w:color w:val="auto"/>
          <w:szCs w:val="21"/>
          <w:highlight w:val="none"/>
        </w:rPr>
        <w:t>“电子响应文件制作与投送教程”）</w:t>
      </w:r>
    </w:p>
    <w:bookmarkEnd w:id="72"/>
    <w:bookmarkEnd w:id="73"/>
    <w:p w14:paraId="205789BB">
      <w:pPr>
        <w:pStyle w:val="51"/>
        <w:spacing w:before="0"/>
        <w:ind w:firstLine="420"/>
        <w:rPr>
          <w:rFonts w:ascii="宋体" w:cs="宋体"/>
          <w:color w:val="auto"/>
          <w:sz w:val="21"/>
          <w:szCs w:val="21"/>
          <w:highlight w:val="none"/>
        </w:rPr>
      </w:pPr>
      <w:r>
        <w:rPr>
          <w:rFonts w:ascii="宋体" w:hAnsi="宋体" w:cs="宋体"/>
          <w:color w:val="auto"/>
          <w:sz w:val="21"/>
          <w:szCs w:val="21"/>
          <w:highlight w:val="none"/>
        </w:rPr>
        <w:t>21</w:t>
      </w:r>
      <w:r>
        <w:rPr>
          <w:rFonts w:asci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在提交响应文件截止时间前，除供应商补充、修改或者撤回响应文件外，任何单位和个人不得解密或提取响应文件。</w:t>
      </w:r>
    </w:p>
    <w:p w14:paraId="0B78855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22.</w:t>
      </w:r>
      <w:r>
        <w:rPr>
          <w:rFonts w:hint="eastAsia" w:ascii="黑体" w:hAnsi="黑体" w:eastAsia="黑体" w:cs="宋体"/>
          <w:b/>
          <w:bCs/>
          <w:color w:val="auto"/>
          <w:sz w:val="24"/>
          <w:highlight w:val="none"/>
        </w:rPr>
        <w:t>响应文件的退回</w:t>
      </w:r>
    </w:p>
    <w:p w14:paraId="2AFD97A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373187A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23.</w:t>
      </w:r>
      <w:r>
        <w:rPr>
          <w:rFonts w:hint="eastAsia" w:ascii="黑体" w:hAnsi="黑体" w:eastAsia="黑体" w:cs="宋体"/>
          <w:b/>
          <w:bCs/>
          <w:color w:val="auto"/>
          <w:sz w:val="24"/>
          <w:highlight w:val="none"/>
        </w:rPr>
        <w:t>截止时间后的撤回</w:t>
      </w:r>
    </w:p>
    <w:p w14:paraId="7CC43B4E">
      <w:pPr>
        <w:spacing w:line="360" w:lineRule="auto"/>
        <w:ind w:firstLine="420" w:firstLineChars="200"/>
        <w:rPr>
          <w:rFonts w:asci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w:t>
      </w:r>
      <w:r>
        <w:rPr>
          <w:rFonts w:ascii="宋体" w:hAnsi="宋体" w:cs="宋体"/>
          <w:color w:val="auto"/>
          <w:szCs w:val="21"/>
          <w:highlight w:val="none"/>
        </w:rPr>
        <w:t>17.4</w:t>
      </w:r>
      <w:r>
        <w:rPr>
          <w:rFonts w:hint="eastAsia" w:ascii="宋体" w:hAnsi="宋体" w:cs="宋体"/>
          <w:color w:val="auto"/>
          <w:szCs w:val="21"/>
          <w:highlight w:val="none"/>
        </w:rPr>
        <w:t>条的规定不予退还其竞标保证金。</w:t>
      </w:r>
    </w:p>
    <w:p w14:paraId="4DB2C553">
      <w:pPr>
        <w:spacing w:line="360" w:lineRule="auto"/>
        <w:jc w:val="center"/>
        <w:rPr>
          <w:rFonts w:ascii="宋体" w:hAnsi="宋体"/>
          <w:b/>
          <w:color w:val="auto"/>
          <w:sz w:val="32"/>
          <w:szCs w:val="32"/>
          <w:highlight w:val="none"/>
        </w:rPr>
      </w:pPr>
    </w:p>
    <w:p w14:paraId="67C932E6">
      <w:pPr>
        <w:spacing w:line="360" w:lineRule="auto"/>
        <w:jc w:val="center"/>
        <w:rPr>
          <w:rFonts w:ascii="宋体"/>
          <w:b/>
          <w:color w:val="auto"/>
          <w:sz w:val="32"/>
          <w:szCs w:val="32"/>
          <w:highlight w:val="none"/>
        </w:rPr>
      </w:pPr>
      <w:r>
        <w:rPr>
          <w:rFonts w:hint="eastAsia" w:ascii="宋体" w:hAnsi="宋体"/>
          <w:b/>
          <w:color w:val="auto"/>
          <w:sz w:val="32"/>
          <w:szCs w:val="32"/>
          <w:highlight w:val="none"/>
        </w:rPr>
        <w:t>四、评审及谈判</w:t>
      </w:r>
    </w:p>
    <w:p w14:paraId="101A4E9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24.</w:t>
      </w:r>
      <w:r>
        <w:rPr>
          <w:rFonts w:hint="eastAsia" w:ascii="黑体" w:hAnsi="黑体" w:eastAsia="黑体" w:cs="宋体"/>
          <w:b/>
          <w:bCs/>
          <w:color w:val="auto"/>
          <w:sz w:val="24"/>
          <w:highlight w:val="none"/>
        </w:rPr>
        <w:t>谈判小组成立</w:t>
      </w:r>
    </w:p>
    <w:p w14:paraId="4660C59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谈判小组由采购人代表和评审专家共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人以上单数组成，具体人数详见“供应商须知前附表”，其中评审专家人数不得少于竞争性谈判小组成员总数的</w:t>
      </w:r>
      <w:r>
        <w:rPr>
          <w:rFonts w:ascii="宋体" w:hAnsi="宋体" w:cs="宋体"/>
          <w:color w:val="auto"/>
          <w:szCs w:val="21"/>
          <w:highlight w:val="none"/>
        </w:rPr>
        <w:t>2/3</w:t>
      </w:r>
      <w:r>
        <w:rPr>
          <w:rFonts w:hint="eastAsia" w:ascii="宋体" w:hAnsi="宋体" w:cs="宋体"/>
          <w:color w:val="auto"/>
          <w:szCs w:val="21"/>
          <w:highlight w:val="none"/>
        </w:rPr>
        <w:t>。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4EAF3C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4DC38F4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ascii="宋体" w:hAnsi="宋体"/>
          <w:bCs/>
          <w:color w:val="auto"/>
          <w:szCs w:val="21"/>
          <w:highlight w:val="none"/>
        </w:rPr>
        <w:t>广西政府采购云平台</w:t>
      </w:r>
      <w:r>
        <w:rPr>
          <w:rFonts w:hint="eastAsia" w:hAnsi="宋体"/>
          <w:bCs/>
          <w:color w:val="auto"/>
          <w:highlight w:val="none"/>
        </w:rPr>
        <w:t>抽（选）取</w:t>
      </w:r>
      <w:r>
        <w:rPr>
          <w:rFonts w:hint="eastAsia" w:hAnsi="宋体"/>
          <w:bCs/>
          <w:color w:val="auto"/>
          <w:szCs w:val="21"/>
          <w:highlight w:val="none"/>
        </w:rPr>
        <w:t>评审专家。</w:t>
      </w:r>
    </w:p>
    <w:p w14:paraId="1EF1440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70C13E8E">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w:t>
      </w:r>
      <w:r>
        <w:rPr>
          <w:rFonts w:hint="eastAsia" w:asciiTheme="minorEastAsia" w:hAnsiTheme="minorEastAsia" w:eastAsiaTheme="minorEastAsia"/>
          <w:bCs/>
          <w:color w:val="auto"/>
          <w:highlight w:val="none"/>
        </w:rPr>
        <w:t>定的时</w:t>
      </w:r>
      <w:r>
        <w:rPr>
          <w:rFonts w:hint="eastAsia" w:asciiTheme="minorEastAsia" w:hAnsiTheme="minorEastAsia" w:eastAsiaTheme="minorEastAsia"/>
          <w:color w:val="auto"/>
          <w:highlight w:val="none"/>
        </w:rPr>
        <w:t>间通过电子交易平台组织响应文件开启，供应商的法定代表人或其委托代理人须携带加密时所用的</w:t>
      </w:r>
      <w:r>
        <w:rPr>
          <w:rFonts w:asciiTheme="minorEastAsia" w:hAnsiTheme="minorEastAsia" w:eastAsiaTheme="minorEastAsia"/>
          <w:color w:val="auto"/>
          <w:highlight w:val="none"/>
        </w:rPr>
        <w:t>CA</w:t>
      </w:r>
      <w:r>
        <w:rPr>
          <w:rFonts w:hint="eastAsia" w:asciiTheme="minorEastAsia" w:hAnsiTheme="minorEastAsia" w:eastAsiaTheme="minorEastAsia"/>
          <w:color w:val="auto"/>
          <w:highlight w:val="none"/>
        </w:rPr>
        <w:t>锁，按</w:t>
      </w:r>
      <w:r>
        <w:rPr>
          <w:rFonts w:hint="eastAsia" w:hAnsi="宋体"/>
          <w:color w:val="auto"/>
          <w:highlight w:val="none"/>
        </w:rPr>
        <w:t>平台提示和谈判文件的规定登录到</w:t>
      </w:r>
      <w:r>
        <w:rPr>
          <w:rFonts w:hint="eastAsia" w:ascii="宋体" w:hAnsi="宋体"/>
          <w:bCs/>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bCs/>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供应商未在规定的时间内解密响应文件或者解密失败的，供应商</w:t>
      </w:r>
      <w:r>
        <w:rPr>
          <w:rFonts w:hint="eastAsia" w:ascii="宋体" w:hAnsi="宋体"/>
          <w:b/>
          <w:color w:val="auto"/>
          <w:szCs w:val="21"/>
          <w:highlight w:val="none"/>
        </w:rPr>
        <w:t>的响应文件作无效处理</w:t>
      </w:r>
      <w:r>
        <w:rPr>
          <w:rFonts w:hint="eastAsia"/>
          <w:b/>
          <w:color w:val="auto"/>
          <w:highlight w:val="none"/>
        </w:rPr>
        <w:t>。</w:t>
      </w:r>
    </w:p>
    <w:p w14:paraId="5DF792D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评审程序和评定成交的标准</w:t>
      </w:r>
    </w:p>
    <w:p w14:paraId="5D111B39">
      <w:pPr>
        <w:spacing w:line="360" w:lineRule="auto"/>
        <w:ind w:firstLine="420" w:firstLineChars="200"/>
        <w:rPr>
          <w:color w:val="auto"/>
          <w:highlight w:val="none"/>
        </w:rPr>
      </w:pPr>
      <w:r>
        <w:rPr>
          <w:rFonts w:ascii="宋体" w:hAnsi="宋体"/>
          <w:color w:val="auto"/>
          <w:szCs w:val="21"/>
          <w:highlight w:val="none"/>
        </w:rPr>
        <w:t>26.1</w:t>
      </w:r>
      <w:r>
        <w:rPr>
          <w:rFonts w:hint="eastAsia"/>
          <w:color w:val="auto"/>
          <w:highlight w:val="none"/>
        </w:rPr>
        <w:t>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6067336B">
      <w:pPr>
        <w:spacing w:line="360" w:lineRule="auto"/>
        <w:ind w:firstLine="420" w:firstLineChars="200"/>
        <w:rPr>
          <w:rFonts w:ascii="宋体"/>
          <w:color w:val="auto"/>
          <w:szCs w:val="21"/>
          <w:highlight w:val="none"/>
        </w:rPr>
      </w:pPr>
      <w:r>
        <w:rPr>
          <w:rFonts w:ascii="宋体" w:hAnsi="宋体"/>
          <w:color w:val="auto"/>
          <w:szCs w:val="21"/>
          <w:highlight w:val="none"/>
        </w:rPr>
        <w:t xml:space="preserve">26.2 </w:t>
      </w:r>
      <w:r>
        <w:rPr>
          <w:rFonts w:hint="eastAsia" w:ascii="宋体" w:hAnsi="宋体"/>
          <w:color w:val="auto"/>
          <w:szCs w:val="21"/>
          <w:highlight w:val="none"/>
        </w:rPr>
        <w:t>商务</w:t>
      </w:r>
      <w:r>
        <w:rPr>
          <w:rFonts w:ascii="宋体" w:hAnsi="宋体"/>
          <w:color w:val="auto"/>
          <w:szCs w:val="21"/>
          <w:highlight w:val="none"/>
        </w:rPr>
        <w:t>/</w:t>
      </w:r>
      <w:r>
        <w:rPr>
          <w:rFonts w:hint="eastAsia" w:ascii="宋体" w:hAnsi="宋体"/>
          <w:color w:val="auto"/>
          <w:szCs w:val="21"/>
          <w:highlight w:val="none"/>
        </w:rPr>
        <w:t>技术要求允许负偏离的条款数详见“供应商须知前附表”。</w:t>
      </w:r>
    </w:p>
    <w:p w14:paraId="0CB23669">
      <w:pPr>
        <w:spacing w:line="360" w:lineRule="auto"/>
        <w:ind w:firstLine="420" w:firstLineChars="200"/>
        <w:rPr>
          <w:rFonts w:ascii="宋体"/>
          <w:color w:val="auto"/>
          <w:szCs w:val="21"/>
          <w:highlight w:val="none"/>
        </w:rPr>
      </w:pPr>
      <w:r>
        <w:rPr>
          <w:rFonts w:ascii="宋体" w:hAnsi="宋体" w:cs="宋体"/>
          <w:color w:val="auto"/>
          <w:highlight w:val="none"/>
        </w:rPr>
        <w:t>26.3</w:t>
      </w:r>
      <w:r>
        <w:rPr>
          <w:rFonts w:hint="eastAsia" w:ascii="宋体" w:hAnsi="宋体" w:cs="宋体"/>
          <w:color w:val="auto"/>
          <w:highlight w:val="none"/>
        </w:rPr>
        <w:t>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812B640">
      <w:pPr>
        <w:spacing w:line="360" w:lineRule="auto"/>
        <w:ind w:firstLine="420" w:firstLineChars="200"/>
        <w:rPr>
          <w:rFonts w:hAnsi="宋体"/>
          <w:color w:val="auto"/>
          <w:highlight w:val="none"/>
        </w:rPr>
      </w:pPr>
      <w:r>
        <w:rPr>
          <w:rFonts w:ascii="宋体" w:hAnsi="宋体"/>
          <w:color w:val="auto"/>
          <w:highlight w:val="none"/>
        </w:rPr>
        <w:t>26.4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94F23C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p>
    <w:p w14:paraId="62FAA6B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1FB4A5B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4D7AB41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p>
    <w:p w14:paraId="590A88D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）其他无法保证电子交易的公平、公正和安全的情况。</w:t>
      </w:r>
    </w:p>
    <w:p w14:paraId="0FAA5681">
      <w:pPr>
        <w:spacing w:line="360" w:lineRule="auto"/>
        <w:ind w:firstLine="420" w:firstLineChars="200"/>
        <w:rPr>
          <w:rFonts w:hAnsi="宋体"/>
          <w:color w:val="auto"/>
          <w:highlight w:val="none"/>
        </w:rPr>
      </w:pPr>
      <w:r>
        <w:rPr>
          <w:rFonts w:ascii="宋体" w:hAnsi="宋体"/>
          <w:color w:val="auto"/>
          <w:highlight w:val="none"/>
        </w:rPr>
        <w:t>26.5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2BA52F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CAD384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hint="eastAsia" w:ascii="宋体" w:hAnsi="宋体" w:cs="宋体"/>
          <w:color w:val="auto"/>
          <w:kern w:val="0"/>
          <w:szCs w:val="21"/>
          <w:highlight w:val="none"/>
        </w:rPr>
        <w:t>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w:t>
      </w:r>
      <w:r>
        <w:rPr>
          <w:rFonts w:ascii="宋体" w:hAnsi="宋体" w:cs="宋体"/>
          <w:color w:val="auto"/>
          <w:kern w:val="0"/>
          <w:szCs w:val="21"/>
          <w:highlight w:val="none"/>
        </w:rPr>
        <w:t>2</w:t>
      </w:r>
      <w:r>
        <w:rPr>
          <w:rFonts w:hint="eastAsia" w:ascii="宋体" w:hAnsi="宋体" w:cs="宋体"/>
          <w:color w:val="auto"/>
          <w:kern w:val="0"/>
          <w:szCs w:val="21"/>
          <w:highlight w:val="none"/>
        </w:rPr>
        <w:t>个工作日内将评审报告送采购人确认。采购人应当在收到评审报告后</w:t>
      </w:r>
      <w:r>
        <w:rPr>
          <w:rFonts w:ascii="宋体" w:hAnsi="宋体" w:cs="宋体"/>
          <w:color w:val="auto"/>
          <w:kern w:val="0"/>
          <w:szCs w:val="21"/>
          <w:highlight w:val="none"/>
        </w:rPr>
        <w:t>5</w:t>
      </w:r>
      <w:r>
        <w:rPr>
          <w:rFonts w:hint="eastAsia" w:ascii="宋体" w:hAnsi="宋体" w:cs="宋体"/>
          <w:color w:val="auto"/>
          <w:kern w:val="0"/>
          <w:szCs w:val="21"/>
          <w:highlight w:val="none"/>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7B59FDCA">
      <w:pPr>
        <w:pStyle w:val="9"/>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27.2</w:t>
      </w:r>
      <w:r>
        <w:rPr>
          <w:rFonts w:hint="eastAsia" w:ascii="宋体" w:hAnsi="宋体" w:cs="宋体"/>
          <w:color w:val="auto"/>
          <w:kern w:val="0"/>
          <w:szCs w:val="21"/>
          <w:highlight w:val="none"/>
        </w:rPr>
        <w:t>采购代理机构应当在成交供应商确定后</w:t>
      </w:r>
      <w:r>
        <w:rPr>
          <w:rFonts w:ascii="宋体" w:hAnsi="宋体" w:cs="宋体"/>
          <w:color w:val="auto"/>
          <w:kern w:val="0"/>
          <w:szCs w:val="21"/>
          <w:highlight w:val="none"/>
        </w:rPr>
        <w:t>2</w:t>
      </w:r>
      <w:r>
        <w:rPr>
          <w:rFonts w:hint="eastAsia" w:ascii="宋体" w:hAnsi="宋体" w:cs="宋体"/>
          <w:color w:val="auto"/>
          <w:kern w:val="0"/>
          <w:szCs w:val="21"/>
          <w:highlight w:val="none"/>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w:t>
      </w:r>
      <w:r>
        <w:rPr>
          <w:rFonts w:ascii="宋体" w:hAnsi="宋体" w:cs="Courier New"/>
          <w:color w:val="auto"/>
          <w:szCs w:val="21"/>
          <w:highlight w:val="none"/>
        </w:rPr>
        <w:t>2020</w:t>
      </w:r>
      <w:r>
        <w:rPr>
          <w:rFonts w:hint="eastAsia" w:ascii="宋体" w:hAnsi="宋体" w:cs="Courier New"/>
          <w:color w:val="auto"/>
          <w:szCs w:val="21"/>
          <w:highlight w:val="none"/>
        </w:rPr>
        <w:t>〕</w:t>
      </w:r>
      <w:r>
        <w:rPr>
          <w:rFonts w:ascii="宋体" w:hAnsi="宋体" w:cs="Courier New"/>
          <w:color w:val="auto"/>
          <w:szCs w:val="21"/>
          <w:highlight w:val="none"/>
        </w:rPr>
        <w:t>46</w:t>
      </w:r>
      <w:r>
        <w:rPr>
          <w:rFonts w:hint="eastAsia" w:ascii="宋体" w:hAnsi="宋体" w:cs="Courier New"/>
          <w:color w:val="auto"/>
          <w:szCs w:val="21"/>
          <w:highlight w:val="none"/>
        </w:rPr>
        <w:t>号）规定的中小企业扶持政策的，采购人、采购代理机构应当随成交结果公开成交供应商的《中小企业声明函》。</w:t>
      </w:r>
    </w:p>
    <w:p w14:paraId="024BEA87">
      <w:pPr>
        <w:pStyle w:val="9"/>
        <w:spacing w:line="360" w:lineRule="auto"/>
        <w:ind w:firstLine="420" w:firstLineChars="200"/>
        <w:rPr>
          <w:rFonts w:ascii="宋体"/>
          <w:bCs/>
          <w:color w:val="auto"/>
          <w:szCs w:val="21"/>
          <w:highlight w:val="none"/>
        </w:rPr>
      </w:pPr>
      <w:r>
        <w:rPr>
          <w:rFonts w:ascii="宋体" w:hAnsi="宋体"/>
          <w:bCs/>
          <w:color w:val="auto"/>
          <w:szCs w:val="21"/>
          <w:highlight w:val="none"/>
        </w:rPr>
        <w:t>27.3</w:t>
      </w:r>
      <w:r>
        <w:rPr>
          <w:rFonts w:hint="eastAsia" w:ascii="宋体" w:hAnsi="宋体"/>
          <w:bCs/>
          <w:color w:val="auto"/>
          <w:szCs w:val="21"/>
          <w:highlight w:val="none"/>
        </w:rPr>
        <w:t>出现下列情形之一的，采购人或者采购代理机构应当终止竞争性谈判采购活动，发布项目终止公告并说明原因，重新开展采购活动：</w:t>
      </w:r>
    </w:p>
    <w:p w14:paraId="23121ABE">
      <w:pPr>
        <w:pStyle w:val="9"/>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）因情况变化，不再符合规定的竞争性谈判采购方式适用情形的；</w:t>
      </w:r>
    </w:p>
    <w:p w14:paraId="4130C872">
      <w:pPr>
        <w:pStyle w:val="9"/>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）出现影响采购公正的违法、违规行为的；</w:t>
      </w:r>
    </w:p>
    <w:p w14:paraId="6865372F">
      <w:pPr>
        <w:pStyle w:val="9"/>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）在采购过程中符合竞争要求的供应商或者报价未超过采购预算的供应商不足</w:t>
      </w:r>
      <w:r>
        <w:rPr>
          <w:rFonts w:ascii="宋体" w:hAnsi="宋体"/>
          <w:bCs/>
          <w:color w:val="auto"/>
          <w:szCs w:val="21"/>
          <w:highlight w:val="none"/>
        </w:rPr>
        <w:t>3</w:t>
      </w:r>
      <w:r>
        <w:rPr>
          <w:rFonts w:hint="eastAsia" w:ascii="宋体" w:hAnsi="宋体"/>
          <w:bCs/>
          <w:color w:val="auto"/>
          <w:szCs w:val="21"/>
          <w:highlight w:val="none"/>
        </w:rPr>
        <w:t>家的，但“第四章评审程序和评定成交的标准”第</w:t>
      </w:r>
      <w:r>
        <w:rPr>
          <w:rFonts w:ascii="宋体" w:hAnsi="宋体"/>
          <w:bCs/>
          <w:color w:val="auto"/>
          <w:szCs w:val="21"/>
          <w:highlight w:val="none"/>
        </w:rPr>
        <w:t>3.7</w:t>
      </w:r>
      <w:r>
        <w:rPr>
          <w:rFonts w:hint="eastAsia" w:ascii="宋体" w:hAnsi="宋体"/>
          <w:bCs/>
          <w:color w:val="auto"/>
          <w:szCs w:val="21"/>
          <w:highlight w:val="none"/>
        </w:rPr>
        <w:t>条规定的情形除外。</w:t>
      </w:r>
    </w:p>
    <w:p w14:paraId="04F75B69">
      <w:pPr>
        <w:pStyle w:val="9"/>
        <w:spacing w:line="360" w:lineRule="auto"/>
        <w:ind w:firstLine="420" w:firstLineChars="200"/>
        <w:rPr>
          <w:rFonts w:ascii="宋体"/>
          <w:bCs/>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71843A4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1AE91097">
      <w:pPr>
        <w:pStyle w:val="9"/>
        <w:spacing w:line="360" w:lineRule="auto"/>
        <w:ind w:firstLine="420" w:firstLineChars="200"/>
        <w:rPr>
          <w:color w:val="auto"/>
          <w:highlight w:val="none"/>
        </w:rPr>
      </w:pPr>
      <w:r>
        <w:rPr>
          <w:rFonts w:ascii="宋体" w:hAnsi="宋体" w:cs="宋体"/>
          <w:color w:val="auto"/>
          <w:szCs w:val="21"/>
          <w:highlight w:val="none"/>
        </w:rPr>
        <w:t>28.1</w:t>
      </w:r>
      <w:r>
        <w:rPr>
          <w:rFonts w:hint="eastAsia" w:ascii="宋体" w:hAnsi="宋体" w:cs="宋体"/>
          <w:color w:val="auto"/>
          <w:szCs w:val="21"/>
          <w:highlight w:val="none"/>
        </w:rPr>
        <w:t>履约保证金的金额、提交方式、退付的时间和条件详见“供应商须知前附表”。成交供应商未按规定提交履约保证金的，视为拒绝</w:t>
      </w:r>
      <w:r>
        <w:rPr>
          <w:rFonts w:hint="eastAsia"/>
          <w:color w:val="auto"/>
          <w:highlight w:val="none"/>
        </w:rPr>
        <w:t>与采购人</w:t>
      </w:r>
      <w:r>
        <w:rPr>
          <w:rFonts w:hint="eastAsia" w:ascii="宋体" w:hAnsi="宋体" w:cs="宋体"/>
          <w:color w:val="auto"/>
          <w:szCs w:val="21"/>
          <w:highlight w:val="none"/>
        </w:rPr>
        <w:t>签订合同。</w:t>
      </w:r>
    </w:p>
    <w:p w14:paraId="1B9A3566">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在履约保证金退还日期前，若成交供应商的开户名称、开户银行、账号有变动的，请以书面形式通知履约保证金收取单位，否则由此产生的后果由成交供应商自负。</w:t>
      </w:r>
    </w:p>
    <w:p w14:paraId="1440DCA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610346CB">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签订电子采购合同：成交供应商</w:t>
      </w:r>
      <w:r>
        <w:rPr>
          <w:rFonts w:hint="eastAsia" w:ascii="宋体" w:hAnsi="宋体" w:cs="宋体"/>
          <w:color w:val="auto"/>
          <w:szCs w:val="21"/>
          <w:highlight w:val="none"/>
          <w:lang w:eastAsia="zh-CN"/>
        </w:rPr>
        <w:t>获取</w:t>
      </w:r>
      <w:r>
        <w:rPr>
          <w:rFonts w:hint="eastAsia" w:ascii="宋体" w:hAnsi="宋体" w:cs="宋体"/>
          <w:color w:val="auto"/>
          <w:szCs w:val="21"/>
          <w:highlight w:val="none"/>
        </w:rPr>
        <w:t>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1CEAA09">
      <w:pPr>
        <w:spacing w:line="360" w:lineRule="auto"/>
        <w:ind w:firstLine="424" w:firstLineChars="202"/>
        <w:rPr>
          <w:rFonts w:ascii="宋体" w:cs="宋体"/>
          <w:color w:val="auto"/>
          <w:szCs w:val="21"/>
          <w:highlight w:val="none"/>
        </w:rPr>
      </w:pPr>
      <w:r>
        <w:rPr>
          <w:rFonts w:hint="eastAsia" w:ascii="宋体" w:hAnsi="宋体" w:cs="宋体"/>
          <w:color w:val="auto"/>
          <w:szCs w:val="21"/>
          <w:highlight w:val="none"/>
        </w:rPr>
        <w:t>线下签订纸质合同：</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获取</w:t>
      </w:r>
      <w:r>
        <w:rPr>
          <w:rFonts w:hint="eastAsia" w:ascii="宋体" w:hAnsi="宋体" w:cs="宋体"/>
          <w:color w:val="auto"/>
          <w:szCs w:val="21"/>
          <w:highlight w:val="none"/>
        </w:rPr>
        <w:t>成交通知书后，按“供应商须知前附表”规定向采购人出示相关证明材料，经采购人核验合格后方可签订合同。</w:t>
      </w:r>
    </w:p>
    <w:p w14:paraId="3589DE78">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29.2</w:t>
      </w:r>
      <w:r>
        <w:rPr>
          <w:rFonts w:hint="eastAsia" w:ascii="宋体" w:hAnsi="宋体" w:cs="宋体"/>
          <w:color w:val="auto"/>
          <w:szCs w:val="21"/>
          <w:highlight w:val="none"/>
        </w:rPr>
        <w:t>签订合同时间：按成交通知书规定的时间与采购人签订合同。</w:t>
      </w:r>
    </w:p>
    <w:p w14:paraId="4984C4EB">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148BF8F">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29.4</w:t>
      </w:r>
      <w:r>
        <w:rPr>
          <w:rFonts w:hint="eastAsia" w:ascii="宋体" w:hAnsi="宋体" w:cs="宋体"/>
          <w:color w:val="auto"/>
          <w:szCs w:val="21"/>
          <w:highlight w:val="none"/>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90B9E85">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29.5</w:t>
      </w:r>
      <w:r>
        <w:rPr>
          <w:rFonts w:hint="eastAsia" w:ascii="宋体" w:hAnsi="宋体" w:cs="宋体"/>
          <w:color w:val="auto"/>
          <w:szCs w:val="21"/>
          <w:highlight w:val="none"/>
        </w:rPr>
        <w:t>采购人或成交供应商不得单方面向合同另一方提出任何谈判文件没有约定的条件或不合理的要求，作为签订合同的条件；也不得协商另行订立背离谈判文件和合同实质性内容的协议。</w:t>
      </w:r>
    </w:p>
    <w:p w14:paraId="065584F9">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29.6</w:t>
      </w:r>
      <w:r>
        <w:rPr>
          <w:rFonts w:hint="eastAsia" w:ascii="宋体" w:hAnsi="宋体" w:cs="宋体"/>
          <w:color w:val="auto"/>
          <w:szCs w:val="21"/>
          <w:highlight w:val="none"/>
        </w:rPr>
        <w:t>如签订合同并生效后，供应商无故拒绝或延期，除按照合同条款处理外，将承担相应的法律责任。</w:t>
      </w:r>
    </w:p>
    <w:p w14:paraId="699E4D8D">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auto"/>
          <w:szCs w:val="21"/>
          <w:highlight w:val="none"/>
        </w:rPr>
        <w:t>10%</w:t>
      </w:r>
      <w:r>
        <w:rPr>
          <w:rFonts w:hint="eastAsia" w:ascii="宋体" w:hAnsi="宋体" w:cs="宋体"/>
          <w:color w:val="auto"/>
          <w:szCs w:val="21"/>
          <w:highlight w:val="none"/>
        </w:rPr>
        <w:t>。</w:t>
      </w:r>
    </w:p>
    <w:p w14:paraId="2B3BEF6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2E0A9EB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1E0A9B0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询问、质疑和投诉</w:t>
      </w:r>
    </w:p>
    <w:p w14:paraId="7D4C141D">
      <w:pPr>
        <w:pStyle w:val="6"/>
        <w:spacing w:after="120" w:line="360" w:lineRule="auto"/>
        <w:rPr>
          <w:rFonts w:ascii="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olor w:val="auto"/>
          <w:szCs w:val="21"/>
          <w:highlight w:val="none"/>
        </w:rPr>
        <w:t>但答复的内容不得涉及商业秘密。</w:t>
      </w:r>
    </w:p>
    <w:p w14:paraId="543C3D6E">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供应商认为谈判文件、采购过程或者成交结果使自己的合法权益受到损害的，应当在知道或者应知其权益受到损害之日起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个工作日内，以书面形式向采购人、采购代理机构提出质疑，</w:t>
      </w:r>
      <w:r>
        <w:rPr>
          <w:rFonts w:hint="eastAsia"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2832524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）对可以质疑的谈判文件提出质疑的，为获取谈判文件之日；</w:t>
      </w:r>
    </w:p>
    <w:p w14:paraId="2A081C2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158B50B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25EA780F">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56A42FB2">
      <w:pPr>
        <w:spacing w:line="360" w:lineRule="auto"/>
        <w:ind w:firstLine="420" w:firstLineChars="200"/>
        <w:rPr>
          <w:rFonts w:ascii="宋体" w:cs="宋体"/>
          <w:color w:val="auto"/>
          <w:highlight w:val="none"/>
        </w:rPr>
      </w:pPr>
      <w:r>
        <w:rPr>
          <w:rFonts w:ascii="宋体" w:hAnsi="宋体" w:cs="宋体"/>
          <w:color w:val="auto"/>
          <w:highlight w:val="none"/>
        </w:rPr>
        <w:t>31.4</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6C9706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05904F6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42E4170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63E808A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4F97C099">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0771D15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6A78A0B2">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E4C341B">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ED1020A">
      <w:pPr>
        <w:spacing w:line="360" w:lineRule="auto"/>
        <w:ind w:firstLine="420" w:firstLineChars="200"/>
        <w:rPr>
          <w:rFonts w:asci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46A8EE8">
      <w:pPr>
        <w:spacing w:line="360" w:lineRule="auto"/>
        <w:ind w:firstLine="420" w:firstLineChars="200"/>
        <w:rPr>
          <w:rFonts w:asci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8A9A404">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D1E2021">
      <w:pPr>
        <w:spacing w:line="360" w:lineRule="auto"/>
        <w:ind w:firstLine="420" w:firstLineChars="200"/>
        <w:rPr>
          <w:rFonts w:ascii="宋体" w:cs="宋体"/>
          <w:b/>
          <w:bCs/>
          <w:color w:val="auto"/>
          <w:szCs w:val="21"/>
          <w:highlight w:val="none"/>
        </w:rPr>
      </w:pPr>
      <w:r>
        <w:rPr>
          <w:rFonts w:ascii="宋体" w:hAnsi="宋体" w:cs="宋体"/>
          <w:color w:val="auto"/>
          <w:highlight w:val="none"/>
        </w:rPr>
        <w:t>31</w:t>
      </w:r>
      <w:r>
        <w:rPr>
          <w:rFonts w:asci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43E1AB6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326A4B4B">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代理服务</w:t>
      </w:r>
      <w:r>
        <w:rPr>
          <w:rFonts w:hint="eastAsia" w:ascii="宋体" w:hAnsi="宋体" w:cs="宋体"/>
          <w:color w:val="auto"/>
          <w:szCs w:val="21"/>
          <w:highlight w:val="none"/>
          <w:lang w:eastAsia="zh-CN"/>
        </w:rPr>
        <w:t>费</w:t>
      </w:r>
      <w:r>
        <w:rPr>
          <w:rFonts w:hint="eastAsia" w:ascii="宋体" w:hAnsi="宋体" w:cs="宋体"/>
          <w:color w:val="auto"/>
          <w:szCs w:val="21"/>
          <w:highlight w:val="none"/>
        </w:rPr>
        <w:t>收取标准详见“供应商须知前附表”。</w:t>
      </w:r>
    </w:p>
    <w:p w14:paraId="16445CF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33.</w:t>
      </w:r>
      <w:r>
        <w:rPr>
          <w:rFonts w:hint="eastAsia" w:ascii="黑体" w:hAnsi="黑体" w:eastAsia="黑体" w:cs="宋体"/>
          <w:b/>
          <w:bCs/>
          <w:color w:val="auto"/>
          <w:sz w:val="24"/>
          <w:highlight w:val="none"/>
        </w:rPr>
        <w:t>需要补充的其他内容</w:t>
      </w:r>
    </w:p>
    <w:p w14:paraId="08C029EB">
      <w:pPr>
        <w:spacing w:line="360" w:lineRule="auto"/>
        <w:ind w:firstLine="420" w:firstLineChars="200"/>
        <w:rPr>
          <w:rFonts w:ascii="宋体" w:hAnsi="宋体" w:cs="宋体"/>
          <w:color w:val="auto"/>
          <w:highlight w:val="none"/>
        </w:rPr>
      </w:pPr>
      <w:r>
        <w:rPr>
          <w:rFonts w:ascii="宋体" w:hAnsi="宋体" w:cs="宋体"/>
          <w:color w:val="auto"/>
          <w:highlight w:val="none"/>
        </w:rPr>
        <w:t>33.1</w:t>
      </w:r>
      <w:r>
        <w:rPr>
          <w:rFonts w:hint="eastAsia" w:ascii="宋体" w:hAnsi="宋体" w:cs="宋体"/>
          <w:color w:val="auto"/>
          <w:highlight w:val="none"/>
        </w:rPr>
        <w:t>本谈判文件解释规则详见“供应商须知前附表”。</w:t>
      </w:r>
    </w:p>
    <w:p w14:paraId="7BB5D5C8">
      <w:pPr>
        <w:spacing w:line="360" w:lineRule="auto"/>
        <w:ind w:firstLine="420" w:firstLineChars="200"/>
        <w:rPr>
          <w:rFonts w:ascii="宋体" w:hAnsi="宋体" w:cs="宋体"/>
          <w:color w:val="auto"/>
          <w:highlight w:val="none"/>
        </w:rPr>
      </w:pPr>
      <w:r>
        <w:rPr>
          <w:rFonts w:ascii="宋体" w:hAnsi="宋体" w:cs="宋体"/>
          <w:color w:val="auto"/>
          <w:highlight w:val="none"/>
        </w:rPr>
        <w:t xml:space="preserve">33.2 </w:t>
      </w:r>
      <w:r>
        <w:rPr>
          <w:rFonts w:hint="eastAsia" w:ascii="宋体" w:hAnsi="宋体" w:cs="宋体"/>
          <w:color w:val="auto"/>
          <w:highlight w:val="none"/>
        </w:rPr>
        <w:t>其他事项详见“供应商须知前附表”。</w:t>
      </w:r>
    </w:p>
    <w:p w14:paraId="3CA1D4DB">
      <w:pPr>
        <w:spacing w:line="360" w:lineRule="auto"/>
        <w:ind w:firstLine="420" w:firstLineChars="200"/>
        <w:rPr>
          <w:rFonts w:ascii="宋体" w:hAnsi="宋体" w:cs="宋体"/>
          <w:color w:val="auto"/>
          <w:highlight w:val="none"/>
        </w:rPr>
      </w:pPr>
      <w:r>
        <w:rPr>
          <w:rFonts w:ascii="宋体" w:hAnsi="宋体" w:cs="宋体"/>
          <w:color w:val="auto"/>
          <w:highlight w:val="none"/>
        </w:rPr>
        <w:t>33.3</w:t>
      </w:r>
      <w:bookmarkStart w:id="74" w:name="_Hlk65857140"/>
      <w:r>
        <w:rPr>
          <w:rFonts w:hint="eastAsia" w:ascii="宋体" w:hAnsi="宋体" w:cs="宋体"/>
          <w:color w:val="auto"/>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3624FC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）在货物采购项目中，货物由中小企业制造，即货物由中小企业生产且使用该中小企业商号或者注册商标，不对其中涉及的工程承建商和服务的承接商作出要求；</w:t>
      </w:r>
    </w:p>
    <w:p w14:paraId="0285EA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）在工程采购项目中，工程由中小企业承建，即工程施工单位为中小企业，不对其中涉及的货物的制造商和服务的承接商作出要求；</w:t>
      </w:r>
    </w:p>
    <w:p w14:paraId="1A3749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5AA406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5AE78D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74"/>
    </w:p>
    <w:p w14:paraId="59144AB9">
      <w:pPr>
        <w:widowControl/>
        <w:jc w:val="left"/>
        <w:rPr>
          <w:rFonts w:ascii="黑体" w:hAnsi="黑体" w:eastAsia="黑体" w:cs="宋体"/>
          <w:b/>
          <w:bCs/>
          <w:color w:val="auto"/>
          <w:sz w:val="24"/>
          <w:highlight w:val="none"/>
        </w:rPr>
      </w:pPr>
      <w:r>
        <w:rPr>
          <w:rFonts w:ascii="黑体" w:hAnsi="黑体" w:eastAsia="黑体" w:cs="宋体"/>
          <w:b/>
          <w:bCs/>
          <w:color w:val="auto"/>
          <w:sz w:val="24"/>
          <w:highlight w:val="none"/>
        </w:rPr>
        <w:br w:type="page"/>
      </w:r>
    </w:p>
    <w:p w14:paraId="1EBA3CEB">
      <w:pPr>
        <w:spacing w:line="360" w:lineRule="auto"/>
        <w:ind w:firstLine="482" w:firstLineChars="200"/>
        <w:rPr>
          <w:rFonts w:ascii="宋体" w:hAnsi="宋体" w:cs="宋体"/>
          <w:color w:val="auto"/>
          <w:highlight w:val="none"/>
        </w:rPr>
      </w:pPr>
      <w:r>
        <w:rPr>
          <w:rFonts w:hint="eastAsia"/>
          <w:b/>
          <w:color w:val="auto"/>
          <w:sz w:val="24"/>
          <w:highlight w:val="none"/>
        </w:rPr>
        <w:t>附</w:t>
      </w:r>
      <w:r>
        <w:rPr>
          <w:rFonts w:hint="eastAsia" w:asciiTheme="minorEastAsia" w:hAnsiTheme="minorEastAsia" w:eastAsiaTheme="minorEastAsia"/>
          <w:b/>
          <w:color w:val="auto"/>
          <w:sz w:val="24"/>
          <w:highlight w:val="none"/>
        </w:rPr>
        <w:t>表1</w:t>
      </w:r>
      <w:r>
        <w:rPr>
          <w:rFonts w:hint="eastAsia"/>
          <w:b/>
          <w:color w:val="auto"/>
          <w:sz w:val="24"/>
          <w:highlight w:val="none"/>
        </w:rPr>
        <w:t>：</w:t>
      </w:r>
    </w:p>
    <w:p w14:paraId="4287741E">
      <w:pPr>
        <w:spacing w:line="360" w:lineRule="auto"/>
        <w:ind w:left="25" w:leftChars="12" w:firstLine="472" w:firstLineChars="147"/>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76DFF24A">
      <w:pPr>
        <w:pStyle w:val="11"/>
        <w:rPr>
          <w:color w:val="auto"/>
          <w:highlight w:val="none"/>
        </w:rPr>
      </w:pPr>
    </w:p>
    <w:p w14:paraId="4336AA91">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 xml:space="preserve">采购合同编号：      </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5B1007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27D5190">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E89A892">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w:t>
            </w:r>
            <w:r>
              <w:rPr>
                <w:rFonts w:hint="eastAsia" w:ascii="Verdana" w:hAnsi="Verdana" w:cs="宋体"/>
                <w:color w:val="auto"/>
                <w:kern w:val="0"/>
                <w:szCs w:val="21"/>
                <w:highlight w:val="none"/>
              </w:rPr>
              <w:t>自行验收</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委托验收</w:t>
            </w:r>
          </w:p>
        </w:tc>
      </w:tr>
      <w:tr w14:paraId="193BA17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2F11E5F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302723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0824D084">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6CFA45A">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5391991">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金额</w:t>
            </w:r>
          </w:p>
        </w:tc>
      </w:tr>
      <w:tr w14:paraId="6980D63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A64EDB3">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D164290">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AA52C43">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52BE60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B9AB61D">
            <w:pPr>
              <w:widowControl/>
              <w:spacing w:before="100" w:beforeAutospacing="1" w:after="100" w:afterAutospacing="1" w:line="240" w:lineRule="atLeast"/>
              <w:jc w:val="center"/>
              <w:rPr>
                <w:rFonts w:ascii="Verdana" w:hAnsi="Verdana" w:cs="宋体"/>
                <w:color w:val="auto"/>
                <w:kern w:val="0"/>
                <w:szCs w:val="21"/>
                <w:highlight w:val="none"/>
              </w:rPr>
            </w:pPr>
          </w:p>
        </w:tc>
      </w:tr>
      <w:tr w14:paraId="5B0F3CE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F2967B5">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E6AD0E8">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F8C0654">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568AC4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AB44F64">
            <w:pPr>
              <w:widowControl/>
              <w:spacing w:before="100" w:beforeAutospacing="1" w:after="100" w:afterAutospacing="1" w:line="240" w:lineRule="atLeast"/>
              <w:jc w:val="center"/>
              <w:rPr>
                <w:rFonts w:ascii="Verdana" w:hAnsi="Verdana" w:cs="宋体"/>
                <w:color w:val="auto"/>
                <w:kern w:val="0"/>
                <w:szCs w:val="21"/>
                <w:highlight w:val="none"/>
              </w:rPr>
            </w:pPr>
          </w:p>
        </w:tc>
      </w:tr>
      <w:tr w14:paraId="171AD5E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81152CF">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E55CDE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ED09DCE">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2397BF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ACFB49E">
            <w:pPr>
              <w:widowControl/>
              <w:spacing w:before="100" w:beforeAutospacing="1" w:after="100" w:afterAutospacing="1" w:line="240" w:lineRule="atLeast"/>
              <w:jc w:val="center"/>
              <w:rPr>
                <w:rFonts w:ascii="Verdana" w:hAnsi="Verdana" w:cs="宋体"/>
                <w:color w:val="auto"/>
                <w:kern w:val="0"/>
                <w:szCs w:val="21"/>
                <w:highlight w:val="none"/>
              </w:rPr>
            </w:pPr>
          </w:p>
        </w:tc>
      </w:tr>
      <w:tr w14:paraId="5BFC4967">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68614C7">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57AEED3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F763042">
            <w:pPr>
              <w:widowControl/>
              <w:spacing w:before="100" w:beforeAutospacing="1" w:after="100" w:afterAutospacing="1" w:line="240" w:lineRule="atLeast"/>
              <w:jc w:val="center"/>
              <w:rPr>
                <w:rFonts w:ascii="Verdana" w:hAnsi="Verdana" w:cs="宋体"/>
                <w:color w:val="auto"/>
                <w:kern w:val="0"/>
                <w:szCs w:val="21"/>
                <w:highlight w:val="none"/>
              </w:rPr>
            </w:pPr>
          </w:p>
        </w:tc>
      </w:tr>
      <w:tr w14:paraId="25A2555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3CCC47F">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合计大写金额：仟佰拾万仟佰拾元</w:t>
            </w:r>
          </w:p>
        </w:tc>
      </w:tr>
      <w:tr w14:paraId="7A7ED9E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9363ACF">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36AA1CD8">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7428B32">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FCEBB68">
            <w:pPr>
              <w:widowControl/>
              <w:spacing w:before="100" w:beforeAutospacing="1" w:after="100" w:afterAutospacing="1" w:line="240" w:lineRule="atLeast"/>
              <w:jc w:val="center"/>
              <w:rPr>
                <w:rFonts w:ascii="Verdana" w:hAnsi="Verdana" w:cs="宋体"/>
                <w:color w:val="auto"/>
                <w:kern w:val="0"/>
                <w:szCs w:val="21"/>
                <w:highlight w:val="none"/>
              </w:rPr>
            </w:pPr>
          </w:p>
        </w:tc>
      </w:tr>
      <w:tr w14:paraId="3AEBD25B">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D99A81D">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268980DD">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646C6D6">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4513C7CE">
            <w:pPr>
              <w:widowControl/>
              <w:spacing w:before="100" w:beforeAutospacing="1" w:after="100" w:afterAutospacing="1" w:line="240" w:lineRule="atLeast"/>
              <w:jc w:val="center"/>
              <w:rPr>
                <w:rFonts w:ascii="Verdana" w:hAnsi="Verdana" w:cs="宋体"/>
                <w:color w:val="auto"/>
                <w:kern w:val="0"/>
                <w:szCs w:val="21"/>
                <w:highlight w:val="none"/>
              </w:rPr>
            </w:pPr>
          </w:p>
        </w:tc>
      </w:tr>
      <w:tr w14:paraId="31AB31C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AF8FC8">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4D2E503">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0DDE38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356C68">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448836D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验收结论性意见：</w:t>
            </w:r>
          </w:p>
        </w:tc>
      </w:tr>
      <w:tr w14:paraId="3522AFD2">
        <w:tblPrEx>
          <w:tblCellMar>
            <w:top w:w="0" w:type="dxa"/>
            <w:left w:w="0" w:type="dxa"/>
            <w:bottom w:w="0" w:type="dxa"/>
            <w:right w:w="0" w:type="dxa"/>
          </w:tblCellMar>
        </w:tblPrEx>
        <w:trPr>
          <w:trHeight w:val="607" w:hRule="atLeast"/>
          <w:jc w:val="center"/>
        </w:trPr>
        <w:tc>
          <w:tcPr>
            <w:tcW w:w="600" w:type="dxa"/>
            <w:gridSpan w:val="2"/>
            <w:vMerge w:val="continue"/>
            <w:tcBorders>
              <w:top w:val="nil"/>
              <w:left w:val="single" w:color="auto" w:sz="8" w:space="0"/>
              <w:bottom w:val="single" w:color="auto" w:sz="8" w:space="0"/>
              <w:right w:val="single" w:color="auto" w:sz="8" w:space="0"/>
            </w:tcBorders>
            <w:vAlign w:val="center"/>
          </w:tcPr>
          <w:p w14:paraId="54A2A5D1">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1DD5481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有异议的意见和说明理由：</w:t>
            </w:r>
          </w:p>
          <w:p w14:paraId="7793A03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签字：</w:t>
            </w:r>
          </w:p>
        </w:tc>
      </w:tr>
      <w:tr w14:paraId="7A2E6607">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5DC81B">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验收小组成员签字：</w:t>
            </w:r>
          </w:p>
        </w:tc>
      </w:tr>
      <w:tr w14:paraId="53F7D9AA">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8720E6">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监督人员或者其他相关人员签字：</w:t>
            </w:r>
          </w:p>
          <w:p w14:paraId="6A176CAA">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或者受邀机构的意见（盖章）：</w:t>
            </w:r>
          </w:p>
        </w:tc>
      </w:tr>
      <w:tr w14:paraId="3D9E1A5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6F1DA8B">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成交供应商负责人签字或者盖章：</w:t>
            </w:r>
          </w:p>
          <w:p w14:paraId="7EE52A13">
            <w:pPr>
              <w:widowControl/>
              <w:spacing w:before="100" w:beforeAutospacing="1" w:after="100" w:afterAutospacing="1" w:line="320" w:lineRule="atLeast"/>
              <w:jc w:val="left"/>
              <w:rPr>
                <w:rFonts w:ascii="Verdana" w:hAnsi="Verdana" w:cs="宋体"/>
                <w:color w:val="auto"/>
                <w:kern w:val="0"/>
                <w:szCs w:val="21"/>
                <w:highlight w:val="none"/>
              </w:rPr>
            </w:pPr>
          </w:p>
          <w:p w14:paraId="2008D69D">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5C0AA06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采购人或者受托机构的意见（盖章）：</w:t>
            </w:r>
          </w:p>
          <w:p w14:paraId="2CF7EBD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0639784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   年   月   日</w:t>
            </w:r>
          </w:p>
        </w:tc>
      </w:tr>
    </w:tbl>
    <w:p w14:paraId="5FEBC2F6">
      <w:pPr>
        <w:spacing w:line="360" w:lineRule="auto"/>
        <w:ind w:firstLine="420" w:firstLineChars="200"/>
        <w:rPr>
          <w:rFonts w:ascii="宋体" w:hAnsi="宋体" w:cs="宋体"/>
          <w:color w:val="auto"/>
          <w:highlight w:val="none"/>
        </w:rPr>
      </w:pPr>
    </w:p>
    <w:p w14:paraId="68C4C0CF">
      <w:pPr>
        <w:pStyle w:val="11"/>
        <w:rPr>
          <w:color w:val="auto"/>
          <w:highlight w:val="none"/>
        </w:rPr>
      </w:pPr>
      <w:r>
        <w:rPr>
          <w:color w:val="auto"/>
          <w:highlight w:val="none"/>
        </w:rPr>
        <w:br w:type="page"/>
      </w:r>
    </w:p>
    <w:p w14:paraId="391F68F8">
      <w:pPr>
        <w:pStyle w:val="11"/>
        <w:ind w:left="1" w:firstLine="3" w:firstLineChars="1"/>
        <w:jc w:val="center"/>
        <w:rPr>
          <w:color w:val="auto"/>
          <w:highlight w:val="none"/>
        </w:rPr>
      </w:pPr>
      <w:bookmarkStart w:id="75" w:name="_Toc74322010"/>
      <w:bookmarkStart w:id="76" w:name="_Hlk48036094"/>
      <w:r>
        <w:rPr>
          <w:rFonts w:hint="eastAsia" w:ascii="宋体" w:hAnsi="宋体"/>
          <w:b/>
          <w:color w:val="auto"/>
          <w:sz w:val="32"/>
          <w:szCs w:val="32"/>
          <w:highlight w:val="none"/>
        </w:rPr>
        <w:t>第三章 采购需求</w:t>
      </w:r>
      <w:bookmarkEnd w:id="75"/>
    </w:p>
    <w:p w14:paraId="4A5B4953">
      <w:pPr>
        <w:spacing w:line="440" w:lineRule="exact"/>
        <w:jc w:val="center"/>
        <w:rPr>
          <w:rFonts w:ascii="宋体"/>
          <w:b/>
          <w:color w:val="auto"/>
          <w:sz w:val="32"/>
          <w:szCs w:val="32"/>
          <w:highlight w:val="none"/>
        </w:rPr>
      </w:pPr>
      <w:r>
        <w:rPr>
          <w:rFonts w:hint="eastAsia" w:ascii="宋体" w:hAnsi="宋体"/>
          <w:b/>
          <w:color w:val="auto"/>
          <w:sz w:val="32"/>
          <w:szCs w:val="32"/>
          <w:highlight w:val="none"/>
        </w:rPr>
        <w:t>采购项目技术规格、参数及要求</w:t>
      </w:r>
    </w:p>
    <w:p w14:paraId="3557CA1C">
      <w:pPr>
        <w:spacing w:line="380" w:lineRule="exact"/>
        <w:jc w:val="left"/>
        <w:rPr>
          <w:b/>
          <w:bCs/>
          <w:color w:val="auto"/>
          <w:highlight w:val="none"/>
        </w:rPr>
      </w:pPr>
      <w:r>
        <w:rPr>
          <w:rFonts w:hint="eastAsia" w:ascii="宋体" w:hAnsi="宋体" w:cs="宋体"/>
          <w:b/>
          <w:bCs/>
          <w:color w:val="auto"/>
          <w:szCs w:val="21"/>
          <w:highlight w:val="none"/>
        </w:rPr>
        <w:t>一、说明：</w:t>
      </w:r>
    </w:p>
    <w:p w14:paraId="32421AE8">
      <w:pPr>
        <w:spacing w:line="380" w:lineRule="exact"/>
        <w:ind w:firstLine="424" w:firstLineChars="202"/>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为落实政府采购政策需满足的要求</w:t>
      </w:r>
    </w:p>
    <w:p w14:paraId="4868CF13">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）本竞争性谈判采购文件所称中小企业必须符合《政府采购促进中小企业发展管理办法》（财库〔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号）及</w:t>
      </w:r>
      <w:r>
        <w:rPr>
          <w:rFonts w:hint="eastAsia" w:ascii="宋体" w:hAnsi="宋体" w:cs="宋体"/>
          <w:color w:val="auto"/>
          <w:kern w:val="0"/>
          <w:szCs w:val="21"/>
          <w:highlight w:val="none"/>
        </w:rPr>
        <w:t>《广西壮族自治区财政厅关于持续优化政府采购营商环境推动高质量发展的通知》（桂财采〔2024〕55号）</w:t>
      </w:r>
      <w:r>
        <w:rPr>
          <w:rFonts w:hint="eastAsia" w:ascii="宋体" w:hAnsi="宋体" w:cs="宋体"/>
          <w:color w:val="auto"/>
          <w:szCs w:val="21"/>
          <w:highlight w:val="none"/>
        </w:rPr>
        <w:t>的规定。供应商提供的货物全部由符合政策要求的小型或者微型企业生产，响应文件中提供《中小企业声明函》的，其最后报价给予</w:t>
      </w:r>
      <w:r>
        <w:rPr>
          <w:rFonts w:hint="eastAsia" w:ascii="宋体" w:hAnsi="宋体" w:cs="宋体"/>
          <w:color w:val="auto"/>
          <w:szCs w:val="21"/>
          <w:highlight w:val="none"/>
        </w:rPr>
        <w:t>10</w:t>
      </w:r>
      <w:r>
        <w:rPr>
          <w:rFonts w:ascii="宋体" w:hAnsi="宋体" w:cs="宋体"/>
          <w:color w:val="auto"/>
          <w:szCs w:val="21"/>
          <w:highlight w:val="none"/>
        </w:rPr>
        <w:t>%</w:t>
      </w:r>
      <w:r>
        <w:rPr>
          <w:rFonts w:hint="eastAsia" w:ascii="宋体" w:hAnsi="宋体" w:cs="宋体"/>
          <w:color w:val="auto"/>
          <w:szCs w:val="21"/>
          <w:highlight w:val="none"/>
        </w:rPr>
        <w:t>的扣除。本项目非专门面向中小微企业采购。</w:t>
      </w:r>
    </w:p>
    <w:p w14:paraId="64919742">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）根据财政部、司法部关于政府采购支持监狱企业发展有关问题的通知（财库</w:t>
      </w:r>
      <w:r>
        <w:rPr>
          <w:rFonts w:ascii="宋体" w:hAnsi="宋体" w:cs="宋体"/>
          <w:color w:val="auto"/>
          <w:szCs w:val="21"/>
          <w:highlight w:val="none"/>
        </w:rPr>
        <w:t>[2014]68</w:t>
      </w:r>
      <w:r>
        <w:rPr>
          <w:rFonts w:hint="eastAsia" w:ascii="宋体" w:hAnsi="宋体" w:cs="宋体"/>
          <w:color w:val="auto"/>
          <w:szCs w:val="21"/>
          <w:highlight w:val="none"/>
        </w:rPr>
        <w:t>号），监狱企业视同小型、微型企业，享受预留份额等政府采购政策。</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p>
    <w:p w14:paraId="0EB7A1B5">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）按照《关于促进残疾人就业政府采购政策的通知》（财库〔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号）的规定，残疾人福利性单位视同小型、微型企业，享受预留份额等促进中小企业发展的政府采购政策。残疾人福利性单位属于小型、微型企业的，不重复享受政策。</w:t>
      </w:r>
    </w:p>
    <w:p w14:paraId="356672BE">
      <w:pPr>
        <w:spacing w:line="380" w:lineRule="exact"/>
        <w:ind w:firstLine="422" w:firstLineChars="200"/>
        <w:jc w:val="left"/>
        <w:rPr>
          <w:rFonts w:ascii="宋体" w:hAnsi="宋体"/>
          <w:b/>
          <w:bCs/>
          <w:color w:val="auto"/>
          <w:highlight w:val="none"/>
        </w:rPr>
      </w:pPr>
      <w:r>
        <w:rPr>
          <w:rFonts w:hint="eastAsia" w:ascii="宋体" w:hAnsi="宋体" w:cs="宋体"/>
          <w:b/>
          <w:color w:val="auto"/>
          <w:szCs w:val="21"/>
          <w:highlight w:val="none"/>
        </w:rPr>
        <w:t>（</w:t>
      </w:r>
      <w:r>
        <w:rPr>
          <w:rFonts w:ascii="宋体" w:hAnsi="宋体" w:cs="宋体"/>
          <w:b/>
          <w:color w:val="auto"/>
          <w:szCs w:val="21"/>
          <w:highlight w:val="none"/>
        </w:rPr>
        <w:t>4</w:t>
      </w:r>
      <w:r>
        <w:rPr>
          <w:rFonts w:hint="eastAsia" w:ascii="宋体" w:hAnsi="宋体" w:cs="宋体"/>
          <w:b/>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所提供货物必须使用政府强制采购的节能产品，供应商必须在响应文件中提供所竞产品的节能产品认证证书复印件（加盖供应商电子签章），</w:t>
      </w:r>
      <w:r>
        <w:rPr>
          <w:rFonts w:hint="eastAsia" w:ascii="宋体" w:hAnsi="宋体" w:cs="宋体"/>
          <w:b/>
          <w:bCs/>
          <w:color w:val="auto"/>
          <w:szCs w:val="21"/>
          <w:highlight w:val="none"/>
        </w:rPr>
        <w:t>否则响应文件按无效处理</w:t>
      </w:r>
      <w:r>
        <w:rPr>
          <w:rFonts w:hint="eastAsia" w:ascii="宋体" w:hAnsi="宋体" w:cs="宋体"/>
          <w:b/>
          <w:color w:val="auto"/>
          <w:szCs w:val="21"/>
          <w:highlight w:val="none"/>
        </w:rPr>
        <w:t>。如本项目包含的货物属于品目清单内非标注“★”的产品时，应优先采购</w:t>
      </w:r>
      <w:r>
        <w:rPr>
          <w:rFonts w:hint="eastAsia" w:ascii="宋体" w:hAnsi="宋体"/>
          <w:b/>
          <w:bCs/>
          <w:color w:val="auto"/>
          <w:highlight w:val="none"/>
        </w:rPr>
        <w:t>。</w:t>
      </w:r>
    </w:p>
    <w:p w14:paraId="60B0DE94">
      <w:pPr>
        <w:spacing w:line="38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w:t>
      </w:r>
      <w:r>
        <w:rPr>
          <w:rFonts w:ascii="宋体" w:hAnsi="宋体" w:cs="宋体"/>
          <w:b/>
          <w:color w:val="auto"/>
          <w:szCs w:val="21"/>
          <w:highlight w:val="none"/>
        </w:rPr>
        <w:t>根据《关于调整网络安全专用产品安全管理有关事项的公告》（2023年</w:t>
      </w:r>
      <w:r>
        <w:rPr>
          <w:rFonts w:hint="eastAsia" w:ascii="宋体" w:hAnsi="宋体" w:cs="宋体"/>
          <w:b/>
          <w:color w:val="auto"/>
          <w:szCs w:val="21"/>
          <w:highlight w:val="none"/>
          <w:lang w:eastAsia="zh-CN"/>
        </w:rPr>
        <w:t>第</w:t>
      </w:r>
      <w:r>
        <w:rPr>
          <w:rFonts w:ascii="宋体" w:hAnsi="宋体" w:cs="宋体"/>
          <w:b/>
          <w:color w:val="auto"/>
          <w:szCs w:val="21"/>
          <w:highlight w:val="none"/>
        </w:rPr>
        <w:t>1号）规定，本项目采购需求中的产品如果包括《网络关键设备和网络安全专用产品目录》的网络安全专用产品，供应商在</w:t>
      </w:r>
      <w:r>
        <w:rPr>
          <w:rFonts w:hint="eastAsia" w:ascii="宋体" w:hAnsi="宋体" w:cs="宋体"/>
          <w:b/>
          <w:color w:val="auto"/>
          <w:szCs w:val="21"/>
          <w:highlight w:val="none"/>
        </w:rPr>
        <w:t>响应</w:t>
      </w:r>
      <w:r>
        <w:rPr>
          <w:rFonts w:ascii="宋体" w:hAnsi="宋体" w:cs="宋体"/>
          <w:b/>
          <w:color w:val="auto"/>
          <w:szCs w:val="21"/>
          <w:highlight w:val="none"/>
        </w:rPr>
        <w:t>文件中应主动列明供货范围中属于网络安全专用产品的</w:t>
      </w:r>
      <w:r>
        <w:rPr>
          <w:rFonts w:hint="eastAsia" w:ascii="宋体" w:hAnsi="宋体" w:cs="宋体"/>
          <w:b/>
          <w:color w:val="auto"/>
          <w:szCs w:val="21"/>
          <w:highlight w:val="none"/>
        </w:rPr>
        <w:t>竞标</w:t>
      </w:r>
      <w:r>
        <w:rPr>
          <w:rFonts w:ascii="宋体" w:hAnsi="宋体" w:cs="宋体"/>
          <w:b/>
          <w:color w:val="auto"/>
          <w:szCs w:val="21"/>
          <w:highlight w:val="none"/>
        </w:rPr>
        <w:t>产品，并在</w:t>
      </w:r>
      <w:r>
        <w:rPr>
          <w:rFonts w:hint="eastAsia" w:ascii="宋体" w:hAnsi="宋体" w:cs="宋体"/>
          <w:b/>
          <w:color w:val="auto"/>
          <w:szCs w:val="21"/>
          <w:highlight w:val="none"/>
        </w:rPr>
        <w:t>响应</w:t>
      </w:r>
      <w:r>
        <w:rPr>
          <w:rFonts w:ascii="宋体" w:hAnsi="宋体" w:cs="宋体"/>
          <w:b/>
          <w:color w:val="auto"/>
          <w:szCs w:val="21"/>
          <w:highlight w:val="none"/>
        </w:rPr>
        <w:t>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Pr>
          <w:rFonts w:hint="eastAsia" w:ascii="宋体" w:hAnsi="宋体" w:cs="宋体"/>
          <w:b/>
          <w:bCs/>
          <w:color w:val="auto"/>
          <w:szCs w:val="21"/>
          <w:highlight w:val="none"/>
        </w:rPr>
        <w:t>响应文件按无效处理</w:t>
      </w:r>
      <w:r>
        <w:rPr>
          <w:rFonts w:ascii="宋体" w:hAnsi="宋体" w:cs="宋体"/>
          <w:b/>
          <w:color w:val="auto"/>
          <w:szCs w:val="21"/>
          <w:highlight w:val="none"/>
        </w:rPr>
        <w:t>。如属于《网络关键设备和网络安全专用产品目录》中“二、网络安全专用产品”内“产品类别”中的所描述的产品，但不属于所列“产品描述”情形的，应提供相应的说明及证明材料。</w:t>
      </w:r>
    </w:p>
    <w:p w14:paraId="2FE0FE77">
      <w:pPr>
        <w:spacing w:line="38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采购需求中出现的品牌、型号或者生产供应商仅起参考作用，不属于指定品牌、型号或者生产供应商的情形。供应商可参照或者选用其他相当的品牌、型号或者生产供应商替代。</w:t>
      </w:r>
    </w:p>
    <w:p w14:paraId="62173457">
      <w:pPr>
        <w:spacing w:line="380" w:lineRule="exact"/>
        <w:ind w:firstLine="424" w:firstLineChars="202"/>
        <w:jc w:val="left"/>
        <w:rPr>
          <w:rFonts w:ascii="宋体" w:hAnsi="宋体" w:cs="宋体"/>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highlight w:val="none"/>
        </w:rPr>
        <w:t>供应商必须自行为其竞标产品侵犯他人的知识产权或者专利成果的行为承担相应法律责任。</w:t>
      </w:r>
    </w:p>
    <w:p w14:paraId="34413D7C">
      <w:pPr>
        <w:spacing w:line="380" w:lineRule="exact"/>
        <w:ind w:firstLine="426" w:firstLineChars="202"/>
        <w:jc w:val="left"/>
        <w:rPr>
          <w:rFonts w:ascii="宋体" w:hAnsi="宋体" w:cs="宋体"/>
          <w:color w:val="auto"/>
          <w:highlight w:val="none"/>
        </w:rPr>
      </w:pPr>
      <w:r>
        <w:rPr>
          <w:rFonts w:hint="eastAsia" w:ascii="宋体" w:hAnsi="宋体" w:cs="宋体"/>
          <w:b/>
          <w:bCs/>
          <w:color w:val="auto"/>
          <w:highlight w:val="none"/>
        </w:rPr>
        <w:t>4.</w:t>
      </w:r>
      <w:r>
        <w:rPr>
          <w:rFonts w:hint="eastAsia" w:ascii="宋体" w:hAnsi="宋体" w:cs="宋体"/>
          <w:b/>
          <w:bCs/>
          <w:color w:val="auto"/>
          <w:highlight w:val="none"/>
          <w:lang w:eastAsia="zh-CN"/>
        </w:rPr>
        <w:t>设备</w:t>
      </w:r>
      <w:r>
        <w:rPr>
          <w:rFonts w:hint="eastAsia" w:ascii="宋体" w:hAnsi="宋体" w:cs="宋体"/>
          <w:b/>
          <w:bCs/>
          <w:color w:val="auto"/>
          <w:highlight w:val="none"/>
        </w:rPr>
        <w:t>用途说明：本项目所采购的标的用于教学科研实验使用。</w:t>
      </w:r>
    </w:p>
    <w:p w14:paraId="6F7C25D9">
      <w:pPr>
        <w:spacing w:line="380" w:lineRule="exact"/>
        <w:ind w:firstLine="426" w:firstLineChars="202"/>
        <w:jc w:val="left"/>
        <w:rPr>
          <w:rFonts w:ascii="宋体" w:hAnsi="宋体" w:cs="宋体"/>
          <w:b/>
          <w:color w:val="auto"/>
          <w:highlight w:val="none"/>
        </w:rPr>
      </w:pPr>
      <w:r>
        <w:rPr>
          <w:rFonts w:hint="eastAsia" w:ascii="宋体" w:hAnsi="宋体" w:cs="宋体"/>
          <w:b/>
          <w:color w:val="auto"/>
          <w:highlight w:val="none"/>
        </w:rPr>
        <w:t>5</w:t>
      </w:r>
      <w:r>
        <w:rPr>
          <w:rFonts w:ascii="宋体" w:hAnsi="宋体" w:cs="宋体"/>
          <w:b/>
          <w:color w:val="auto"/>
          <w:highlight w:val="none"/>
        </w:rPr>
        <w:t>.</w:t>
      </w:r>
      <w:r>
        <w:rPr>
          <w:rFonts w:hint="eastAsia" w:ascii="宋体" w:hAnsi="宋体" w:cs="宋体"/>
          <w:b/>
          <w:color w:val="auto"/>
          <w:highlight w:val="none"/>
        </w:rPr>
        <w:t>“</w:t>
      </w:r>
      <w:r>
        <w:rPr>
          <w:rFonts w:hint="eastAsia" w:ascii="宋体" w:hAnsi="宋体" w:cs="宋体"/>
          <w:b/>
          <w:bCs/>
          <w:color w:val="auto"/>
          <w:szCs w:val="21"/>
          <w:highlight w:val="none"/>
        </w:rPr>
        <w:t>实质性要求”是指采购需求中所有条款或者不能负偏离的条款或者已经指明不满足按响应文件无效处理的条款。</w:t>
      </w:r>
    </w:p>
    <w:p w14:paraId="3E0F6967">
      <w:pPr>
        <w:spacing w:line="380" w:lineRule="exact"/>
        <w:jc w:val="left"/>
        <w:rPr>
          <w:rFonts w:ascii="宋体" w:hAnsi="宋体"/>
          <w:b/>
          <w:color w:val="auto"/>
          <w:szCs w:val="21"/>
          <w:highlight w:val="none"/>
        </w:rPr>
      </w:pPr>
      <w:r>
        <w:rPr>
          <w:rFonts w:hint="eastAsia" w:ascii="宋体" w:hAnsi="宋体"/>
          <w:b/>
          <w:color w:val="auto"/>
          <w:szCs w:val="21"/>
          <w:highlight w:val="none"/>
        </w:rPr>
        <w:t>二、本项目采购预算：人民币</w:t>
      </w:r>
      <w:r>
        <w:rPr>
          <w:rFonts w:hint="eastAsia" w:ascii="宋体" w:hAnsi="宋体"/>
          <w:b/>
          <w:color w:val="auto"/>
          <w:szCs w:val="21"/>
          <w:highlight w:val="none"/>
        </w:rPr>
        <w:t>壹佰陆拾肆万贰仟捌佰元整（¥1642800.00）</w:t>
      </w:r>
      <w:r>
        <w:rPr>
          <w:rFonts w:hint="eastAsia" w:ascii="宋体" w:hAnsi="宋体"/>
          <w:b/>
          <w:color w:val="auto"/>
          <w:szCs w:val="21"/>
          <w:highlight w:val="none"/>
        </w:rPr>
        <w:t>，报价超出采购预算金额的，响应文件作无效处理。</w:t>
      </w:r>
    </w:p>
    <w:p w14:paraId="26D812BF">
      <w:pPr>
        <w:pStyle w:val="11"/>
        <w:rPr>
          <w:rFonts w:ascii="宋体" w:hAnsi="宋体"/>
          <w:b/>
          <w:color w:val="auto"/>
          <w:szCs w:val="21"/>
          <w:highlight w:val="none"/>
        </w:rPr>
      </w:pPr>
      <w:r>
        <w:rPr>
          <w:rFonts w:hint="eastAsia" w:ascii="宋体" w:hAnsi="宋体"/>
          <w:b/>
          <w:color w:val="auto"/>
          <w:szCs w:val="21"/>
          <w:highlight w:val="none"/>
        </w:rPr>
        <w:t>三、核心产品：本项目的核心产品为</w:t>
      </w:r>
      <w:r>
        <w:rPr>
          <w:rFonts w:hint="eastAsia" w:ascii="宋体" w:hAnsi="宋体"/>
          <w:b/>
          <w:color w:val="auto"/>
          <w:szCs w:val="21"/>
          <w:highlight w:val="none"/>
        </w:rPr>
        <w:t>第1项号标的“海绵城市实训软件”。</w:t>
      </w:r>
    </w:p>
    <w:p w14:paraId="38A3BB2D">
      <w:pPr>
        <w:spacing w:line="380" w:lineRule="exact"/>
        <w:jc w:val="left"/>
        <w:rPr>
          <w:rFonts w:ascii="宋体" w:hAnsi="宋体"/>
          <w:b/>
          <w:color w:val="auto"/>
          <w:szCs w:val="21"/>
          <w:highlight w:val="none"/>
        </w:rPr>
      </w:pPr>
      <w:r>
        <w:rPr>
          <w:rFonts w:hint="eastAsia" w:ascii="宋体" w:hAnsi="宋体"/>
          <w:b/>
          <w:color w:val="auto"/>
          <w:szCs w:val="21"/>
          <w:highlight w:val="none"/>
        </w:rPr>
        <w:t>四、采购需求一览表</w:t>
      </w:r>
    </w:p>
    <w:tbl>
      <w:tblPr>
        <w:tblStyle w:val="2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34"/>
        <w:gridCol w:w="875"/>
        <w:gridCol w:w="468"/>
        <w:gridCol w:w="368"/>
        <w:gridCol w:w="814"/>
        <w:gridCol w:w="1179"/>
        <w:gridCol w:w="4277"/>
      </w:tblGrid>
      <w:tr w14:paraId="3B9A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8515" w:type="dxa"/>
            <w:gridSpan w:val="7"/>
            <w:shd w:val="clear" w:color="auto" w:fill="FFFFFF" w:themeFill="background1"/>
            <w:vAlign w:val="center"/>
          </w:tcPr>
          <w:p w14:paraId="0319EE0F">
            <w:pP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bCs/>
                <w:color w:val="auto"/>
                <w:szCs w:val="21"/>
                <w:highlight w:val="none"/>
              </w:rPr>
              <w:t>（一）采购内容</w:t>
            </w:r>
          </w:p>
        </w:tc>
      </w:tr>
      <w:tr w14:paraId="1F50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83BA570">
            <w:pPr>
              <w:snapToGrid w:val="0"/>
              <w:spacing w:line="320" w:lineRule="exact"/>
              <w:jc w:val="center"/>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项号</w:t>
            </w:r>
          </w:p>
        </w:tc>
        <w:tc>
          <w:tcPr>
            <w:tcW w:w="875" w:type="dxa"/>
            <w:shd w:val="clear" w:color="auto" w:fill="FFFFFF" w:themeFill="background1"/>
            <w:vAlign w:val="center"/>
          </w:tcPr>
          <w:p w14:paraId="149BC344">
            <w:pPr>
              <w:snapToGrid w:val="0"/>
              <w:spacing w:line="320" w:lineRule="exact"/>
              <w:jc w:val="center"/>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标的的名称</w:t>
            </w:r>
          </w:p>
        </w:tc>
        <w:tc>
          <w:tcPr>
            <w:tcW w:w="836" w:type="dxa"/>
            <w:gridSpan w:val="2"/>
            <w:shd w:val="clear" w:color="auto" w:fill="FFFFFF" w:themeFill="background1"/>
            <w:vAlign w:val="center"/>
          </w:tcPr>
          <w:p w14:paraId="77936768">
            <w:pPr>
              <w:snapToGrid w:val="0"/>
              <w:spacing w:line="320" w:lineRule="exact"/>
              <w:jc w:val="center"/>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数量</w:t>
            </w:r>
          </w:p>
        </w:tc>
        <w:tc>
          <w:tcPr>
            <w:tcW w:w="814" w:type="dxa"/>
            <w:shd w:val="clear" w:color="auto" w:fill="FFFFFF" w:themeFill="background1"/>
            <w:vAlign w:val="center"/>
          </w:tcPr>
          <w:p w14:paraId="0359D77D">
            <w:pPr>
              <w:snapToGrid w:val="0"/>
              <w:spacing w:line="320" w:lineRule="exact"/>
              <w:jc w:val="center"/>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单位</w:t>
            </w:r>
          </w:p>
        </w:tc>
        <w:tc>
          <w:tcPr>
            <w:tcW w:w="1179" w:type="dxa"/>
            <w:shd w:val="clear" w:color="auto" w:fill="FFFFFF" w:themeFill="background1"/>
            <w:vAlign w:val="center"/>
          </w:tcPr>
          <w:p w14:paraId="45644F00">
            <w:pPr>
              <w:snapToGrid w:val="0"/>
              <w:spacing w:line="320" w:lineRule="exact"/>
              <w:jc w:val="center"/>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所属行业</w:t>
            </w:r>
          </w:p>
        </w:tc>
        <w:tc>
          <w:tcPr>
            <w:tcW w:w="4277" w:type="dxa"/>
            <w:shd w:val="clear" w:color="auto" w:fill="FFFFFF" w:themeFill="background1"/>
            <w:vAlign w:val="center"/>
          </w:tcPr>
          <w:p w14:paraId="6E03E074">
            <w:pPr>
              <w:snapToGrid w:val="0"/>
              <w:spacing w:line="320" w:lineRule="exact"/>
              <w:jc w:val="center"/>
              <w:rPr>
                <w:rFonts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技术要求</w:t>
            </w:r>
          </w:p>
        </w:tc>
      </w:tr>
      <w:tr w14:paraId="10FA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B4B028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75" w:type="dxa"/>
            <w:shd w:val="clear" w:color="auto" w:fill="FFFFFF" w:themeFill="background1"/>
            <w:vAlign w:val="center"/>
          </w:tcPr>
          <w:p w14:paraId="0B5DCCC8">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海绵城市实训软件</w:t>
            </w:r>
          </w:p>
        </w:tc>
        <w:tc>
          <w:tcPr>
            <w:tcW w:w="836" w:type="dxa"/>
            <w:gridSpan w:val="2"/>
            <w:shd w:val="clear" w:color="auto" w:fill="FFFFFF" w:themeFill="background1"/>
            <w:vAlign w:val="center"/>
          </w:tcPr>
          <w:p w14:paraId="4D73E12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3AD374E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627BE368">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6EFD958">
            <w:pPr>
              <w:wordWrap w:val="0"/>
              <w:rPr>
                <w:rFonts w:ascii="宋体" w:hAnsi="宋体" w:cs="宋体"/>
                <w:bCs/>
                <w:color w:val="auto"/>
                <w:szCs w:val="21"/>
                <w:highlight w:val="none"/>
              </w:rPr>
            </w:pPr>
            <w:r>
              <w:rPr>
                <w:rFonts w:hint="eastAsia" w:ascii="宋体" w:hAnsi="宋体" w:cs="宋体"/>
                <w:bCs/>
                <w:color w:val="auto"/>
                <w:szCs w:val="21"/>
                <w:highlight w:val="none"/>
              </w:rPr>
              <w:t>1.软件培训内容</w:t>
            </w:r>
          </w:p>
          <w:p w14:paraId="4DAED5AC">
            <w:pPr>
              <w:wordWrap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海绵城市综合虚拟仿真软件包括基础教学系统及海绵区域搭建模块两个模块，可通过 PC端进行互动式教学。</w:t>
            </w:r>
          </w:p>
          <w:p w14:paraId="5AF18CBA">
            <w:pPr>
              <w:wordWrap w:val="0"/>
              <w:rPr>
                <w:rFonts w:ascii="宋体" w:hAnsi="宋体" w:cs="宋体"/>
                <w:bCs/>
                <w:color w:val="auto"/>
                <w:szCs w:val="21"/>
                <w:highlight w:val="none"/>
              </w:rPr>
            </w:pPr>
            <w:r>
              <w:rPr>
                <w:rFonts w:hint="eastAsia" w:ascii="宋体" w:hAnsi="宋体" w:cs="宋体"/>
                <w:bCs/>
                <w:color w:val="auto"/>
                <w:szCs w:val="21"/>
                <w:highlight w:val="none"/>
              </w:rPr>
              <w:t>1.1基础教学系统模块</w:t>
            </w:r>
          </w:p>
          <w:p w14:paraId="7076E3DD">
            <w:pPr>
              <w:wordWrap w:val="0"/>
              <w:rPr>
                <w:rFonts w:ascii="宋体" w:hAnsi="宋体" w:cs="宋体"/>
                <w:bCs/>
                <w:color w:val="auto"/>
                <w:szCs w:val="21"/>
                <w:highlight w:val="none"/>
              </w:rPr>
            </w:pPr>
            <w:r>
              <w:rPr>
                <w:rFonts w:hint="eastAsia" w:ascii="宋体" w:hAnsi="宋体" w:cs="宋体"/>
                <w:bCs/>
                <w:color w:val="auto"/>
                <w:szCs w:val="21"/>
                <w:highlight w:val="none"/>
              </w:rPr>
              <w:t>基础教学系统：以文字形式展现海绵城市及相关海绵设施相应知识点内容，包含雨水花园，植草沟，绿色屋顶，蓄水池，透明铺装相关设施。同时以二维动画+语音+交互的形式展示海绵设施的施工教学过程，全面讲解海绵城市基础知识、海绵理论、海绵规划等基础内容。施工教学部分流程如下：</w:t>
            </w:r>
          </w:p>
          <w:p w14:paraId="55D4934B">
            <w:pPr>
              <w:wordWrap w:val="0"/>
              <w:rPr>
                <w:rFonts w:ascii="宋体" w:hAnsi="宋体" w:cs="宋体"/>
                <w:bCs/>
                <w:color w:val="auto"/>
                <w:szCs w:val="21"/>
                <w:highlight w:val="none"/>
              </w:rPr>
            </w:pPr>
            <w:r>
              <w:rPr>
                <w:rFonts w:hint="eastAsia" w:ascii="宋体" w:hAnsi="宋体" w:cs="宋体"/>
                <w:bCs/>
                <w:color w:val="auto"/>
                <w:szCs w:val="21"/>
                <w:highlight w:val="none"/>
              </w:rPr>
              <w:t>（1）绿色屋顶：防水层处理—保护层处理—排（蓄）水层处理—过滤层（过滤布）铺设—生长介质或土壤基质—植被铺设；</w:t>
            </w:r>
          </w:p>
          <w:p w14:paraId="406DD6E6">
            <w:pPr>
              <w:wordWrap w:val="0"/>
              <w:rPr>
                <w:rFonts w:ascii="宋体" w:hAnsi="宋体" w:cs="宋体"/>
                <w:bCs/>
                <w:color w:val="auto"/>
                <w:szCs w:val="21"/>
                <w:highlight w:val="none"/>
              </w:rPr>
            </w:pPr>
            <w:r>
              <w:rPr>
                <w:rFonts w:hint="eastAsia" w:ascii="宋体" w:hAnsi="宋体" w:cs="宋体"/>
                <w:bCs/>
                <w:color w:val="auto"/>
                <w:szCs w:val="21"/>
                <w:highlight w:val="none"/>
              </w:rPr>
              <w:t>（2）透水铺装：摊铺—找平—磨光压实—薄膜养护—喷涂封闭剂；</w:t>
            </w:r>
          </w:p>
          <w:p w14:paraId="07E69D51">
            <w:pPr>
              <w:wordWrap w:val="0"/>
              <w:rPr>
                <w:rFonts w:ascii="宋体" w:hAnsi="宋体" w:cs="宋体"/>
                <w:bCs/>
                <w:color w:val="auto"/>
                <w:szCs w:val="21"/>
                <w:highlight w:val="none"/>
              </w:rPr>
            </w:pPr>
            <w:r>
              <w:rPr>
                <w:rFonts w:hint="eastAsia" w:ascii="宋体" w:hAnsi="宋体" w:cs="宋体"/>
                <w:bCs/>
                <w:color w:val="auto"/>
                <w:szCs w:val="21"/>
                <w:highlight w:val="none"/>
              </w:rPr>
              <w:t>（3）雨水花园：测量放线—土方开挖—溢流井安装—土工布衬垫—回填砾石—回填土壤—植物种植—卵石散铺—覆盖层摊铺；</w:t>
            </w:r>
          </w:p>
          <w:p w14:paraId="6D757F4A">
            <w:pPr>
              <w:wordWrap w:val="0"/>
              <w:rPr>
                <w:rFonts w:ascii="宋体" w:hAnsi="宋体" w:cs="宋体"/>
                <w:bCs/>
                <w:color w:val="auto"/>
                <w:szCs w:val="21"/>
                <w:highlight w:val="none"/>
              </w:rPr>
            </w:pPr>
            <w:r>
              <w:rPr>
                <w:rFonts w:hint="eastAsia" w:ascii="宋体" w:hAnsi="宋体" w:cs="宋体"/>
                <w:bCs/>
                <w:color w:val="auto"/>
                <w:szCs w:val="21"/>
                <w:highlight w:val="none"/>
              </w:rPr>
              <w:t>（4）植草沟：测量放线—基槽开挖—土工布安装—碎石垫层施工—种植土施工—草坪播种。</w:t>
            </w:r>
          </w:p>
          <w:p w14:paraId="522CB4C0">
            <w:pPr>
              <w:wordWrap w:val="0"/>
              <w:rPr>
                <w:rFonts w:ascii="宋体" w:hAnsi="宋体" w:cs="宋体"/>
                <w:bCs/>
                <w:color w:val="auto"/>
                <w:szCs w:val="21"/>
                <w:highlight w:val="none"/>
              </w:rPr>
            </w:pPr>
            <w:r>
              <w:rPr>
                <w:rFonts w:hint="eastAsia" w:ascii="宋体" w:hAnsi="宋体" w:cs="宋体"/>
                <w:bCs/>
                <w:color w:val="auto"/>
                <w:szCs w:val="21"/>
                <w:highlight w:val="none"/>
              </w:rPr>
              <w:t>1.2海绵区域搭建模块</w:t>
            </w:r>
          </w:p>
          <w:p w14:paraId="024090C8">
            <w:pPr>
              <w:wordWrap w:val="0"/>
              <w:rPr>
                <w:rFonts w:ascii="宋体" w:hAnsi="宋体" w:cs="宋体"/>
                <w:bCs/>
                <w:color w:val="auto"/>
                <w:szCs w:val="21"/>
                <w:highlight w:val="none"/>
              </w:rPr>
            </w:pPr>
            <w:r>
              <w:rPr>
                <w:rFonts w:hint="eastAsia" w:ascii="宋体" w:hAnsi="宋体" w:cs="宋体"/>
                <w:bCs/>
                <w:color w:val="auto"/>
                <w:szCs w:val="21"/>
                <w:highlight w:val="none"/>
              </w:rPr>
              <w:t>1.2.1海绵设施搭建区域和功能：软件要求提供完整的三维场景，包括小区区域及周围的道路设施。用户可以在此场景中搭建不少于五种海绵设施，包括雨水花园、植草沟、透水铺装、绿色屋顶等常见海绵设施。用户可以在三维场景中进行全程操作，并具有搭建、移动、删除等功能。此外，软件要求对搭建数据进行数据统计，包括已搭建海绵设施的面积及未处理部分的面积，并根据汇水面的不同分类统计。</w:t>
            </w:r>
          </w:p>
          <w:p w14:paraId="1611A635">
            <w:pPr>
              <w:wordWrap w:val="0"/>
              <w:rPr>
                <w:rFonts w:ascii="宋体" w:hAnsi="宋体" w:cs="宋体"/>
                <w:bCs/>
                <w:color w:val="auto"/>
                <w:szCs w:val="21"/>
                <w:highlight w:val="none"/>
              </w:rPr>
            </w:pPr>
            <w:r>
              <w:rPr>
                <w:rFonts w:hint="eastAsia" w:ascii="宋体" w:hAnsi="宋体" w:cs="宋体"/>
                <w:bCs/>
                <w:color w:val="auto"/>
                <w:szCs w:val="21"/>
                <w:highlight w:val="none"/>
              </w:rPr>
              <w:t>1.2.2</w:t>
            </w:r>
            <w:r>
              <w:rPr>
                <w:rFonts w:hint="eastAsia" w:ascii="宋体" w:hAnsi="宋体" w:cs="宋体"/>
                <w:bCs/>
                <w:color w:val="auto"/>
                <w:szCs w:val="21"/>
                <w:highlight w:val="none"/>
              </w:rPr>
              <w:t>模拟地区降雨功能</w:t>
            </w:r>
            <w:r>
              <w:rPr>
                <w:rFonts w:hint="eastAsia" w:ascii="宋体" w:hAnsi="宋体" w:cs="宋体"/>
                <w:bCs/>
                <w:color w:val="auto"/>
                <w:szCs w:val="21"/>
                <w:highlight w:val="none"/>
              </w:rPr>
              <w:t>：</w:t>
            </w:r>
          </w:p>
          <w:p w14:paraId="56801B84">
            <w:pPr>
              <w:wordWrap w:val="0"/>
              <w:rPr>
                <w:rFonts w:ascii="宋体" w:hAnsi="宋体" w:cs="宋体"/>
                <w:bCs/>
                <w:color w:val="auto"/>
                <w:szCs w:val="21"/>
                <w:highlight w:val="none"/>
              </w:rPr>
            </w:pPr>
            <w:r>
              <w:rPr>
                <w:rFonts w:hint="eastAsia" w:ascii="宋体" w:hAnsi="宋体" w:cs="宋体"/>
                <w:bCs/>
                <w:color w:val="auto"/>
                <w:szCs w:val="21"/>
                <w:highlight w:val="none"/>
              </w:rPr>
              <w:t>（1）用户可以在已搭建的区域内自由选择模拟地区，并根据划分的全国不同的控制率区域自由选择代表性的城市。选择完成后，软件要求根据选择的地区及控制率目标对三维模拟场景进行不同的降雨模拟。降雨模拟结果应以三维形式展现，并根据海绵城市搭建情况及降雨控制率目标展现不同的场地积水状况。</w:t>
            </w:r>
          </w:p>
          <w:p w14:paraId="248DE318">
            <w:pPr>
              <w:wordWrap w:val="0"/>
              <w:rPr>
                <w:rFonts w:ascii="宋体" w:hAnsi="宋体" w:cs="宋体"/>
                <w:bCs/>
                <w:color w:val="auto"/>
                <w:szCs w:val="21"/>
                <w:highlight w:val="none"/>
              </w:rPr>
            </w:pPr>
            <w:r>
              <w:rPr>
                <w:rFonts w:hint="eastAsia" w:ascii="宋体" w:hAnsi="宋体" w:cs="宋体"/>
                <w:bCs/>
                <w:color w:val="auto"/>
                <w:szCs w:val="21"/>
                <w:highlight w:val="none"/>
              </w:rPr>
              <w:t>（2）至少两款PLC编程软件可通过软件中间件直接与虚拟仿真软件进行数据通讯，PLC编程软件通过虚拟I/O点位配置与协议转换实现PLC编程软件与虚拟PLC信号通讯，进而控制虚拟场景内的对象，同时支持PLC编程软件在线实时监控后台数据相关控制数据的变化</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6EFC34C9">
            <w:pPr>
              <w:wordWrap w:val="0"/>
              <w:rPr>
                <w:rFonts w:ascii="宋体" w:hAnsi="宋体" w:cs="宋体"/>
                <w:bCs/>
                <w:color w:val="auto"/>
                <w:szCs w:val="21"/>
                <w:highlight w:val="none"/>
              </w:rPr>
            </w:pPr>
            <w:r>
              <w:rPr>
                <w:rFonts w:hint="eastAsia" w:ascii="宋体" w:hAnsi="宋体" w:cs="宋体"/>
                <w:bCs/>
                <w:color w:val="auto"/>
                <w:szCs w:val="21"/>
                <w:highlight w:val="none"/>
              </w:rPr>
              <w:t>1.2.3实验报告导出功能：软件要求提供实验报告导出功能，报告应包含相应的海绵城市计算数据。相关数据以三维场景设计为准，并以Word形式展现。</w:t>
            </w:r>
          </w:p>
          <w:p w14:paraId="0AF23598">
            <w:pPr>
              <w:wordWrap w:val="0"/>
              <w:rPr>
                <w:rFonts w:ascii="宋体" w:hAnsi="宋体" w:cs="宋体"/>
                <w:bCs/>
                <w:color w:val="auto"/>
                <w:szCs w:val="21"/>
                <w:highlight w:val="none"/>
              </w:rPr>
            </w:pPr>
            <w:r>
              <w:rPr>
                <w:rFonts w:hint="eastAsia" w:ascii="宋体" w:hAnsi="宋体" w:cs="宋体"/>
                <w:bCs/>
                <w:color w:val="auto"/>
                <w:szCs w:val="21"/>
                <w:highlight w:val="none"/>
              </w:rPr>
              <w:t>2.课程培训和考核</w:t>
            </w:r>
          </w:p>
          <w:p w14:paraId="4C267708">
            <w:pPr>
              <w:wordWrap w:val="0"/>
              <w:rPr>
                <w:rFonts w:ascii="宋体" w:hAnsi="宋体" w:cs="宋体"/>
                <w:bCs/>
                <w:color w:val="auto"/>
                <w:szCs w:val="21"/>
                <w:highlight w:val="none"/>
              </w:rPr>
            </w:pPr>
            <w:r>
              <w:rPr>
                <w:rFonts w:hint="eastAsia" w:ascii="宋体" w:hAnsi="宋体" w:cs="宋体"/>
                <w:bCs/>
                <w:color w:val="auto"/>
                <w:szCs w:val="21"/>
                <w:highlight w:val="none"/>
              </w:rPr>
              <w:t>2.1培训系统规格</w:t>
            </w:r>
          </w:p>
          <w:p w14:paraId="5646FA46">
            <w:pPr>
              <w:wordWrap w:val="0"/>
              <w:rPr>
                <w:rFonts w:ascii="宋体" w:hAnsi="宋体" w:cs="宋体"/>
                <w:bCs/>
                <w:color w:val="auto"/>
                <w:szCs w:val="21"/>
                <w:highlight w:val="none"/>
              </w:rPr>
            </w:pPr>
            <w:r>
              <w:rPr>
                <w:rFonts w:hint="eastAsia" w:ascii="宋体" w:hAnsi="宋体" w:cs="宋体"/>
                <w:bCs/>
                <w:color w:val="auto"/>
                <w:szCs w:val="21"/>
                <w:highlight w:val="none"/>
              </w:rPr>
              <w:t>2.1.1规格：多用户协同安装版</w:t>
            </w:r>
          </w:p>
          <w:p w14:paraId="39C7A8CD">
            <w:pPr>
              <w:wordWrap w:val="0"/>
              <w:rPr>
                <w:rFonts w:ascii="宋体" w:hAnsi="宋体" w:cs="宋体"/>
                <w:bCs/>
                <w:color w:val="auto"/>
                <w:szCs w:val="21"/>
                <w:highlight w:val="none"/>
              </w:rPr>
            </w:pPr>
            <w:r>
              <w:rPr>
                <w:rFonts w:hint="eastAsia" w:ascii="宋体" w:hAnsi="宋体" w:cs="宋体"/>
                <w:bCs/>
                <w:color w:val="auto"/>
                <w:szCs w:val="21"/>
                <w:highlight w:val="none"/>
              </w:rPr>
              <w:t>2.1.2系列软件包括内容：通用教师站，通过局域网连接可安装的多台学员操作站。</w:t>
            </w:r>
          </w:p>
          <w:p w14:paraId="1BB42347">
            <w:pPr>
              <w:wordWrap w:val="0"/>
              <w:rPr>
                <w:rFonts w:ascii="宋体" w:hAnsi="宋体" w:cs="宋体"/>
                <w:bCs/>
                <w:color w:val="auto"/>
                <w:szCs w:val="21"/>
                <w:highlight w:val="none"/>
              </w:rPr>
            </w:pPr>
            <w:r>
              <w:rPr>
                <w:rFonts w:hint="eastAsia" w:ascii="宋体" w:hAnsi="宋体" w:cs="宋体"/>
                <w:bCs/>
                <w:color w:val="auto"/>
                <w:szCs w:val="21"/>
                <w:highlight w:val="none"/>
              </w:rPr>
              <w:t>2.2培训系统功能</w:t>
            </w:r>
          </w:p>
          <w:p w14:paraId="77E04CB4">
            <w:pPr>
              <w:wordWrap w:val="0"/>
              <w:rPr>
                <w:rFonts w:ascii="宋体" w:hAnsi="宋体" w:cs="宋体"/>
                <w:bCs/>
                <w:color w:val="auto"/>
                <w:szCs w:val="21"/>
                <w:highlight w:val="none"/>
              </w:rPr>
            </w:pPr>
            <w:r>
              <w:rPr>
                <w:rFonts w:hint="eastAsia" w:ascii="宋体" w:hAnsi="宋体" w:cs="宋体"/>
                <w:bCs/>
                <w:color w:val="auto"/>
                <w:szCs w:val="21"/>
                <w:highlight w:val="none"/>
              </w:rPr>
              <w:t>2.2.1 数学模型：要求为软件提供后台逻辑支撑运算，前端利用虚拟现实技术搭建可视化的场景、物品。前端虚拟仿真结合后台数学模型，要求达到交互、实验于一体化的环境。</w:t>
            </w:r>
          </w:p>
          <w:p w14:paraId="50A49791">
            <w:pPr>
              <w:wordWrap w:val="0"/>
              <w:rPr>
                <w:rFonts w:ascii="宋体" w:hAnsi="宋体" w:cs="宋体"/>
                <w:bCs/>
                <w:color w:val="auto"/>
                <w:szCs w:val="21"/>
                <w:highlight w:val="none"/>
              </w:rPr>
            </w:pPr>
            <w:r>
              <w:rPr>
                <w:rFonts w:hint="eastAsia" w:ascii="宋体" w:hAnsi="宋体" w:cs="宋体"/>
                <w:bCs/>
                <w:color w:val="auto"/>
                <w:szCs w:val="21"/>
                <w:highlight w:val="none"/>
              </w:rPr>
              <w:t>2.2.2软件3D场景：模拟真实场景的现象和过程。</w:t>
            </w:r>
          </w:p>
          <w:p w14:paraId="3E4F68F8">
            <w:pPr>
              <w:wordWrap w:val="0"/>
              <w:rPr>
                <w:rFonts w:ascii="宋体" w:hAnsi="宋体" w:cs="宋体"/>
                <w:bCs/>
                <w:color w:val="auto"/>
                <w:szCs w:val="21"/>
                <w:highlight w:val="none"/>
              </w:rPr>
            </w:pPr>
            <w:r>
              <w:rPr>
                <w:rFonts w:hint="eastAsia" w:ascii="宋体" w:hAnsi="宋体" w:cs="宋体"/>
                <w:bCs/>
                <w:color w:val="auto"/>
                <w:szCs w:val="21"/>
                <w:highlight w:val="none"/>
              </w:rPr>
              <w:t>2.2.3 评分系统：虚拟现实场景中的操作进行实时评定，可导出、打印成绩。</w:t>
            </w:r>
          </w:p>
          <w:p w14:paraId="72404354">
            <w:pPr>
              <w:wordWrap w:val="0"/>
              <w:rPr>
                <w:rFonts w:ascii="宋体" w:hAnsi="宋体" w:cs="宋体"/>
                <w:bCs/>
                <w:color w:val="auto"/>
                <w:szCs w:val="21"/>
                <w:highlight w:val="none"/>
              </w:rPr>
            </w:pPr>
            <w:r>
              <w:rPr>
                <w:rFonts w:hint="eastAsia" w:ascii="宋体" w:hAnsi="宋体" w:cs="宋体"/>
                <w:bCs/>
                <w:color w:val="auto"/>
                <w:szCs w:val="21"/>
                <w:highlight w:val="none"/>
              </w:rPr>
              <w:t>2.3 软件操作及功能</w:t>
            </w:r>
          </w:p>
          <w:p w14:paraId="269F57B7">
            <w:pPr>
              <w:wordWrap w:val="0"/>
              <w:rPr>
                <w:rFonts w:ascii="宋体" w:hAnsi="宋体" w:cs="宋体"/>
                <w:bCs/>
                <w:color w:val="auto"/>
                <w:szCs w:val="21"/>
                <w:highlight w:val="none"/>
              </w:rPr>
            </w:pPr>
            <w:r>
              <w:rPr>
                <w:rFonts w:hint="eastAsia" w:ascii="宋体" w:hAnsi="宋体" w:cs="宋体"/>
                <w:bCs/>
                <w:color w:val="auto"/>
                <w:szCs w:val="21"/>
                <w:highlight w:val="none"/>
              </w:rPr>
              <w:t>2.3.1场景互动：鼠标左键进行点击操作。</w:t>
            </w:r>
          </w:p>
          <w:p w14:paraId="70474D6B">
            <w:pPr>
              <w:wordWrap w:val="0"/>
              <w:rPr>
                <w:rFonts w:ascii="宋体" w:hAnsi="宋体" w:cs="宋体"/>
                <w:bCs/>
                <w:color w:val="auto"/>
                <w:szCs w:val="21"/>
                <w:highlight w:val="none"/>
              </w:rPr>
            </w:pPr>
            <w:r>
              <w:rPr>
                <w:rFonts w:hint="eastAsia" w:ascii="宋体" w:hAnsi="宋体" w:cs="宋体"/>
                <w:bCs/>
                <w:color w:val="auto"/>
                <w:szCs w:val="21"/>
                <w:highlight w:val="none"/>
              </w:rPr>
              <w:t>2.3.2视角旋转：长按住鼠标右键，左右滑动鼠标人物视角可以进行旋转。</w:t>
            </w:r>
          </w:p>
          <w:p w14:paraId="43A85438">
            <w:pPr>
              <w:wordWrap w:val="0"/>
              <w:rPr>
                <w:rFonts w:ascii="宋体" w:hAnsi="宋体" w:cs="宋体"/>
                <w:b/>
                <w:strike/>
                <w:color w:val="auto"/>
                <w:szCs w:val="21"/>
                <w:highlight w:val="none"/>
              </w:rPr>
            </w:pPr>
            <w:r>
              <w:rPr>
                <w:rFonts w:hint="eastAsia" w:ascii="宋体" w:hAnsi="宋体" w:cs="宋体"/>
                <w:bCs/>
                <w:color w:val="auto"/>
                <w:szCs w:val="21"/>
                <w:highlight w:val="none"/>
              </w:rPr>
              <w:t>2.3.3新手引导：要求为新手用户提</w:t>
            </w:r>
            <w:r>
              <w:rPr>
                <w:rFonts w:hint="eastAsia" w:ascii="宋体" w:hAnsi="宋体" w:cs="宋体"/>
                <w:bCs/>
                <w:color w:val="auto"/>
                <w:szCs w:val="21"/>
                <w:highlight w:val="none"/>
              </w:rPr>
              <w:t>供引导</w:t>
            </w:r>
            <w:r>
              <w:rPr>
                <w:rFonts w:hint="eastAsia" w:ascii="宋体" w:hAnsi="宋体" w:cs="宋体"/>
                <w:bCs/>
                <w:color w:val="auto"/>
                <w:szCs w:val="21"/>
                <w:highlight w:val="none"/>
              </w:rPr>
              <w:t>过程，减少使用门槛。引导过程要求采用开放式设计，允许用户自由选择跳过引导。</w:t>
            </w:r>
          </w:p>
          <w:p w14:paraId="4568D276">
            <w:pPr>
              <w:wordWrap w:val="0"/>
              <w:rPr>
                <w:color w:val="auto"/>
                <w:highlight w:val="none"/>
              </w:rPr>
            </w:pPr>
            <w:r>
              <w:rPr>
                <w:rFonts w:hint="eastAsia" w:ascii="宋体" w:hAnsi="宋体" w:cs="宋体"/>
                <w:bCs/>
                <w:color w:val="auto"/>
                <w:szCs w:val="21"/>
                <w:highlight w:val="none"/>
              </w:rPr>
              <w:t>2.3.4海绵</w:t>
            </w:r>
            <w:r>
              <w:rPr>
                <w:rFonts w:hint="eastAsia" w:asciiTheme="majorEastAsia" w:hAnsiTheme="majorEastAsia" w:eastAsiaTheme="majorEastAsia" w:cstheme="majorEastAsia"/>
                <w:color w:val="auto"/>
                <w:szCs w:val="21"/>
                <w:highlight w:val="none"/>
              </w:rPr>
              <w:t>城市实训软件</w:t>
            </w:r>
            <w:r>
              <w:rPr>
                <w:rFonts w:hint="eastAsia"/>
                <w:color w:val="auto"/>
                <w:highlight w:val="none"/>
              </w:rPr>
              <w:t>支持以下功能</w:t>
            </w:r>
            <w:r>
              <w:rPr>
                <w:rFonts w:hint="eastAsia" w:ascii="宋体" w:hAnsi="宋体" w:cs="宋体"/>
                <w:b/>
                <w:color w:val="auto"/>
                <w:szCs w:val="21"/>
                <w:highlight w:val="none"/>
              </w:rPr>
              <w:t>【供应商于响应文件中必须提供所竞产品满足以下（1）-（5）项功能的截图证明，并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color w:val="auto"/>
                <w:highlight w:val="none"/>
              </w:rPr>
              <w:t>：</w:t>
            </w:r>
          </w:p>
          <w:p w14:paraId="1876E953">
            <w:pPr>
              <w:wordWrap w:val="0"/>
              <w:rPr>
                <w:rFonts w:ascii="宋体" w:hAnsi="宋体" w:cs="宋体"/>
                <w:bCs/>
                <w:color w:val="auto"/>
                <w:szCs w:val="21"/>
                <w:highlight w:val="none"/>
              </w:rPr>
            </w:pPr>
            <w:r>
              <w:rPr>
                <w:rFonts w:hint="eastAsia" w:ascii="宋体" w:hAnsi="宋体" w:cs="宋体"/>
                <w:bCs/>
                <w:color w:val="auto"/>
                <w:szCs w:val="21"/>
                <w:highlight w:val="none"/>
              </w:rPr>
              <w:t>（1）支持展示海绵设施施工交互式动画过程，海绵设施交互步骤不少于四步，海绵设施施工包括绿色屋顶，透水铺装，雨水花园，植草沟；</w:t>
            </w:r>
          </w:p>
          <w:p w14:paraId="7002AE79">
            <w:pPr>
              <w:wordWrap w:val="0"/>
              <w:rPr>
                <w:rFonts w:ascii="宋体" w:hAnsi="宋体" w:cs="宋体"/>
                <w:bCs/>
                <w:color w:val="auto"/>
                <w:szCs w:val="21"/>
                <w:highlight w:val="none"/>
              </w:rPr>
            </w:pPr>
            <w:r>
              <w:rPr>
                <w:rFonts w:hint="eastAsia" w:ascii="宋体" w:hAnsi="宋体" w:cs="宋体"/>
                <w:bCs/>
                <w:color w:val="auto"/>
                <w:szCs w:val="21"/>
                <w:highlight w:val="none"/>
              </w:rPr>
              <w:t>（2）软件支持不少于以下5种海绵设施的搭建过程（包含但不限于雨水花园，植草沟，透水铺装，绿色屋顶</w:t>
            </w:r>
            <w:r>
              <w:rPr>
                <w:rFonts w:hint="eastAsia"/>
                <w:color w:val="auto"/>
                <w:highlight w:val="none"/>
              </w:rPr>
              <w:t>、</w:t>
            </w:r>
            <w:r>
              <w:rPr>
                <w:rFonts w:hint="eastAsia" w:ascii="宋体" w:hAnsi="宋体" w:cs="宋体"/>
                <w:bCs/>
                <w:color w:val="auto"/>
                <w:szCs w:val="21"/>
                <w:highlight w:val="none"/>
              </w:rPr>
              <w:t>蓄水池），全程在三维场景中进行搭建设计，并可在三维场景中对海绵设施进行操作，包括但不限于移动，旋转，删除等操作；</w:t>
            </w:r>
          </w:p>
          <w:p w14:paraId="706C64A0">
            <w:pPr>
              <w:wordWrap w:val="0"/>
              <w:rPr>
                <w:rFonts w:ascii="宋体" w:hAnsi="宋体" w:cs="宋体"/>
                <w:bCs/>
                <w:color w:val="auto"/>
                <w:szCs w:val="21"/>
                <w:highlight w:val="none"/>
              </w:rPr>
            </w:pPr>
            <w:r>
              <w:rPr>
                <w:rFonts w:hint="eastAsia" w:ascii="宋体" w:hAnsi="宋体" w:cs="宋体"/>
                <w:bCs/>
                <w:color w:val="auto"/>
                <w:szCs w:val="21"/>
                <w:highlight w:val="none"/>
              </w:rPr>
              <w:t>（3）具有数据统计界面，并根据不同的汇水面进行分类统计，统计数据包括面积，雨量径流系数等相关设计数据；</w:t>
            </w:r>
          </w:p>
          <w:p w14:paraId="2F414DBD">
            <w:pPr>
              <w:wordWrap w:val="0"/>
              <w:rPr>
                <w:rFonts w:ascii="宋体" w:hAnsi="宋体" w:cs="宋体"/>
                <w:bCs/>
                <w:color w:val="auto"/>
                <w:szCs w:val="21"/>
                <w:highlight w:val="none"/>
              </w:rPr>
            </w:pPr>
            <w:r>
              <w:rPr>
                <w:rFonts w:hint="eastAsia" w:ascii="宋体" w:hAnsi="宋体" w:cs="宋体"/>
                <w:bCs/>
                <w:color w:val="auto"/>
                <w:szCs w:val="21"/>
                <w:highlight w:val="none"/>
              </w:rPr>
              <w:t>（4）支持自由选择不同的目标城市及不同控制率目标；</w:t>
            </w:r>
          </w:p>
          <w:p w14:paraId="64CABC34">
            <w:pPr>
              <w:wordWrap w:val="0"/>
              <w:rPr>
                <w:rFonts w:ascii="宋体" w:hAnsi="宋体" w:cs="宋体"/>
                <w:bCs/>
                <w:color w:val="auto"/>
                <w:szCs w:val="21"/>
                <w:highlight w:val="none"/>
              </w:rPr>
            </w:pPr>
            <w:r>
              <w:rPr>
                <w:rFonts w:hint="eastAsia" w:ascii="宋体" w:hAnsi="宋体" w:cs="宋体"/>
                <w:bCs/>
                <w:color w:val="auto"/>
                <w:szCs w:val="21"/>
                <w:highlight w:val="none"/>
              </w:rPr>
              <w:t>（5）支持在区域场景中根据选择的城市及控制率展现不同的三维降雨场景（支持至少三种不同的降雨状况），场景要求根据设计及目标的不同有相应的区别。</w:t>
            </w:r>
          </w:p>
          <w:p w14:paraId="63E1F912">
            <w:pPr>
              <w:wordWrap w:val="0"/>
              <w:rPr>
                <w:rFonts w:ascii="宋体" w:hAnsi="宋体" w:cs="宋体"/>
                <w:bCs/>
                <w:color w:val="auto"/>
                <w:szCs w:val="21"/>
                <w:highlight w:val="none"/>
              </w:rPr>
            </w:pPr>
            <w:r>
              <w:rPr>
                <w:rFonts w:hint="eastAsia" w:ascii="宋体" w:hAnsi="宋体" w:cs="宋体"/>
                <w:bCs/>
                <w:color w:val="auto"/>
                <w:szCs w:val="21"/>
                <w:highlight w:val="none"/>
              </w:rPr>
              <w:t>3.教学管理</w:t>
            </w:r>
          </w:p>
          <w:p w14:paraId="6C589F0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3.1</w:t>
            </w:r>
            <w:r>
              <w:rPr>
                <w:rFonts w:hint="eastAsia" w:ascii="宋体" w:hAnsi="宋体" w:cs="宋体"/>
                <w:bCs/>
                <w:color w:val="auto"/>
                <w:szCs w:val="21"/>
                <w:highlight w:val="none"/>
              </w:rPr>
              <w:t>用户端（PC&amp;小程序）</w:t>
            </w:r>
          </w:p>
          <w:p w14:paraId="2D7CA3CE">
            <w:pPr>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登录：支持账号密码登录，支持数字安全验证功能，支持微信登录。</w:t>
            </w:r>
          </w:p>
          <w:p w14:paraId="7E5343CB">
            <w:pPr>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个人中心：支持课程开课、考试通知等消息推送；支持学生自行完善个人信息。</w:t>
            </w:r>
          </w:p>
          <w:p w14:paraId="5855CA47">
            <w:pPr>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学习中心：支持平台所有学习内容，包含已分配给该学员的题库练习、考试、培训、课程学习、仿真练习（仅PC端）等内容。</w:t>
            </w:r>
          </w:p>
          <w:p w14:paraId="008AC772">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3.2</w:t>
            </w:r>
            <w:r>
              <w:rPr>
                <w:rFonts w:hint="eastAsia" w:ascii="宋体" w:hAnsi="宋体" w:cs="宋体"/>
                <w:bCs/>
                <w:color w:val="auto"/>
                <w:szCs w:val="21"/>
                <w:highlight w:val="none"/>
              </w:rPr>
              <w:t>管理员端（PC）</w:t>
            </w:r>
          </w:p>
          <w:p w14:paraId="5BC6C8A4">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3.2.1</w:t>
            </w:r>
            <w:r>
              <w:rPr>
                <w:rFonts w:hint="eastAsia" w:ascii="宋体" w:hAnsi="宋体" w:cs="宋体"/>
                <w:bCs/>
                <w:color w:val="auto"/>
                <w:szCs w:val="21"/>
                <w:highlight w:val="none"/>
              </w:rPr>
              <w:t>组织架构管理：</w:t>
            </w:r>
          </w:p>
          <w:p w14:paraId="1A18AED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组织及角色管理：支持修改学校基本信息，支持创建无限级组织节点（院系/班级）；支持用户自定义创建角色，为角色进行授权。</w:t>
            </w:r>
          </w:p>
          <w:p w14:paraId="209B83A8">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人员管理：包括用户信息的添加、删除、编辑、查询、excel批量导入导出、修改密码。</w:t>
            </w:r>
          </w:p>
          <w:p w14:paraId="56A11CE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3.2.2</w:t>
            </w:r>
            <w:r>
              <w:rPr>
                <w:rFonts w:hint="eastAsia" w:ascii="宋体" w:hAnsi="宋体" w:cs="宋体"/>
                <w:bCs/>
                <w:color w:val="auto"/>
                <w:szCs w:val="21"/>
                <w:highlight w:val="none"/>
              </w:rPr>
              <w:t>考试管理</w:t>
            </w:r>
          </w:p>
          <w:p w14:paraId="72077C7F">
            <w:pPr>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题库管理：支持题库设置多级分类；支持单个添加、编辑、预览、删除题目；支持批量导入题库题目，批量导入题目实现题目查重功能；题目类型支持单选、多选、判断、填空、简答题，题目属性包括所属知识点、难度系数，要求便于用户对题目进行分类管理。</w:t>
            </w:r>
          </w:p>
          <w:p w14:paraId="1ACADF8B">
            <w:pPr>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试卷管理：用户可以创建试卷，填写试卷设置、内容设置信息；配置各类题型数量、分数、占比等。</w:t>
            </w:r>
          </w:p>
          <w:p w14:paraId="68E669E0">
            <w:pPr>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考试管理：用户可以根据需要创建、编辑理论考试，考试信息包含：基本信息、试卷、考试时间、考试次数、得分规则、防作弊（人脸识别、定时抓拍、防切屏）、成绩发放规则、阅卷人、参与人等；支持对客观题进行自动评分；支持成绩发放及成绩导出；</w:t>
            </w:r>
          </w:p>
          <w:p w14:paraId="00791C50">
            <w:pPr>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考试分析：完成率、应考人员、参考人员、最高分、平均分、最低分、成绩分段人员统计、成绩分段人员占比、题型占比、题型正确率统计、成绩排名、参考时间统计、考试时长统计、错题统计TOP5、缺考统计、平台统计、操作系统。</w:t>
            </w:r>
          </w:p>
          <w:p w14:paraId="77841ED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课程管理</w:t>
            </w:r>
          </w:p>
          <w:p w14:paraId="39A2D43E">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.1课程资源：可根据不同资源进行分类管理；可批量上传/下载/删除资源；可编辑资源基础信息以及预览资源。</w:t>
            </w:r>
          </w:p>
          <w:p w14:paraId="24BAFDED">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.2课程制作：用户可以根据需要创建、编辑课程，课程信息包含：基本信息、课程介绍、章节内容（知识点、理论题库、测验、仿真考试、仿真练习等内容）、课程学时、总分、合格分数等。</w:t>
            </w:r>
          </w:p>
          <w:p w14:paraId="0D3D6587">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3开课管理：可将课程进行开课：输入开课名称、选择开课开始和结束日期，合格方式、成绩发放方式、是否开启人脸验证、是否开启定时抓拍、选择对应班级或者组织范围。开课完成后可在开课列表查看开课设置页面以及开课详情。</w:t>
            </w:r>
          </w:p>
          <w:p w14:paraId="2E0452F7">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4开课详情：开课详情默认显示开课列表及对应课程学习人员情况列表；学习人员详情列表包含学员信息、是否参与课程、参与时长、完成度、学时、自动抓拍、分数、课程状态、课程证书等，可进行姓名、学号、参与课程状态筛选，点击查看详情可进行对应人员学习记录明细查询，成绩列表可导出；课程学习过程中可针对学习情况自动统计分析（每日0点），统计分析内容包含：参与统计情况、参与时长统计、完成度、参与人员趋势、课程分数统计、各组织参课及合格情况统计。</w:t>
            </w:r>
          </w:p>
          <w:p w14:paraId="01EAD9F2">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.5电机学课程学习账号（账号数量不少于1个，使用期限自项目验收合格之日起不少于12个月），具体使用权限包含但不限于以下内容：</w:t>
            </w:r>
          </w:p>
          <w:p w14:paraId="4EAD822E">
            <w:pPr>
              <w:wordWrap w:val="0"/>
              <w:rPr>
                <w:rFonts w:ascii="宋体" w:hAnsi="宋体" w:cs="宋体"/>
                <w:bCs/>
                <w:color w:val="auto"/>
                <w:szCs w:val="21"/>
                <w:highlight w:val="none"/>
              </w:rPr>
            </w:pPr>
            <w:r>
              <w:rPr>
                <w:rFonts w:hint="eastAsia" w:ascii="宋体" w:hAnsi="宋体" w:cs="宋体"/>
                <w:bCs/>
                <w:color w:val="auto"/>
                <w:szCs w:val="21"/>
                <w:highlight w:val="none"/>
              </w:rPr>
              <w:t>（1）题库建设依托培训管理平台，依据培训体系构建题库细目表，形成各岗位知识技能覆盖完备、分布科学的题库资源。线上题库平台，题目类型包含判断题、单选题，题库内容涵盖变压器、直流电机、异步电机、同步电机等题目数量不少于170道。</w:t>
            </w:r>
          </w:p>
          <w:p w14:paraId="3E683D16">
            <w:pPr>
              <w:wordWrap w:val="0"/>
              <w:rPr>
                <w:rFonts w:ascii="宋体" w:hAnsi="宋体" w:cs="宋体"/>
                <w:bCs/>
                <w:color w:val="auto"/>
                <w:szCs w:val="21"/>
                <w:highlight w:val="none"/>
              </w:rPr>
            </w:pPr>
            <w:r>
              <w:rPr>
                <w:rFonts w:hint="eastAsia" w:ascii="宋体" w:hAnsi="宋体" w:cs="宋体"/>
                <w:bCs/>
                <w:color w:val="auto"/>
                <w:szCs w:val="21"/>
                <w:highlight w:val="none"/>
              </w:rPr>
              <w:t>（2）视频课件资源：具有不少于4个电机学知识点视频资源以及不少于600页PPT课件资源，视频课件资源应采用MG动画或3D动画等技术形式，覆盖变压器的工作原理、直流电机的工作原理、异步电机的工作原理、同步电机的工作原理等内容；PPT课件资源应涵盖电机的基本原理、变压器、直流电机、交流电机的共同理论、异步电机、同步电机等章节内容。</w:t>
            </w:r>
          </w:p>
          <w:p w14:paraId="479CB062">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4.6</w:t>
            </w:r>
            <w:r>
              <w:rPr>
                <w:rFonts w:hint="eastAsia" w:ascii="宋体" w:hAnsi="宋体" w:cs="宋体"/>
                <w:bCs/>
                <w:color w:val="auto"/>
                <w:szCs w:val="21"/>
                <w:highlight w:val="none"/>
              </w:rPr>
              <w:t>配套设备3D视频素材库学习账号（账号数量不少于1个，使用期限自项目验收合格之日起不少于12个月），具体使用权限包含但不限于以下内容：</w:t>
            </w:r>
          </w:p>
          <w:p w14:paraId="7E1ECA47">
            <w:pPr>
              <w:wordWrap w:val="0"/>
              <w:rPr>
                <w:rFonts w:ascii="宋体" w:hAnsi="宋体" w:cs="宋体"/>
                <w:bCs/>
                <w:color w:val="auto"/>
                <w:szCs w:val="21"/>
                <w:highlight w:val="none"/>
              </w:rPr>
            </w:pPr>
            <w:r>
              <w:rPr>
                <w:rFonts w:hint="eastAsia" w:ascii="宋体" w:hAnsi="宋体" w:cs="宋体"/>
                <w:bCs/>
                <w:color w:val="auto"/>
                <w:szCs w:val="21"/>
                <w:highlight w:val="none"/>
              </w:rPr>
              <w:t>（1）配套设备3D视频素材库，对真实设备进行3D建模，并通过视频的形式进行三维展示，利用动画、特效等形式展示设备的内外部各个结构以及工作原理。用户可通过移动端设备扫码查看所有设备知识点，也可以通过PC版客户端进行学习使用，包含但不限于阀门、换热器、泵、塔、压缩机、分离设备、测量仪表等类型常见设备不少于90个，阀门包含但不限于闸阀、自力式调节阀、电磁阀、升降式止回阀、气动薄膜三通调节阀、气动活塞式球阀、旋塞阀等；换热器包含但不限于螺旋绕管式换热器、热虹吸式换热器、蒸发式冷凝器、釜式换热器、填料函式换热器、板翅式换热器等；分离设备包含但不限于沉降槽、静电除尘器、丝网分离式气液分离器、压滤机、填料分离式气液分离器等。</w:t>
            </w:r>
          </w:p>
          <w:p w14:paraId="1995671E">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4.7</w:t>
            </w:r>
            <w:r>
              <w:rPr>
                <w:rFonts w:hint="eastAsia" w:ascii="宋体" w:hAnsi="宋体" w:cs="宋体"/>
                <w:bCs/>
                <w:color w:val="auto"/>
                <w:szCs w:val="21"/>
                <w:highlight w:val="none"/>
              </w:rPr>
              <w:t>环境类设备拆装素材库学习账号（账号数量不少于1个，使用期限自项目验收合格之日起不少于12个月），具体使用权限包含但不限于以下内容：</w:t>
            </w:r>
          </w:p>
          <w:p w14:paraId="52A8C333">
            <w:pPr>
              <w:wordWrap w:val="0"/>
              <w:rPr>
                <w:rFonts w:ascii="宋体" w:hAnsi="宋体" w:cs="宋体"/>
                <w:bCs/>
                <w:color w:val="auto"/>
                <w:szCs w:val="21"/>
                <w:highlight w:val="none"/>
              </w:rPr>
            </w:pPr>
            <w:r>
              <w:rPr>
                <w:rFonts w:hint="eastAsia" w:ascii="宋体" w:hAnsi="宋体" w:cs="宋体"/>
                <w:bCs/>
                <w:color w:val="auto"/>
                <w:szCs w:val="21"/>
                <w:highlight w:val="none"/>
              </w:rPr>
              <w:t>（1）虹吸滤池；</w:t>
            </w:r>
          </w:p>
          <w:p w14:paraId="559C11B3">
            <w:pPr>
              <w:wordWrap w:val="0"/>
              <w:rPr>
                <w:rFonts w:ascii="宋体" w:hAnsi="宋体" w:cs="宋体"/>
                <w:bCs/>
                <w:color w:val="auto"/>
                <w:szCs w:val="21"/>
                <w:highlight w:val="none"/>
              </w:rPr>
            </w:pPr>
            <w:r>
              <w:rPr>
                <w:rFonts w:hint="eastAsia" w:ascii="宋体" w:hAnsi="宋体" w:cs="宋体"/>
                <w:bCs/>
                <w:color w:val="auto"/>
                <w:szCs w:val="21"/>
                <w:highlight w:val="none"/>
              </w:rPr>
              <w:t>（2）重力无阀滤池；</w:t>
            </w:r>
          </w:p>
          <w:p w14:paraId="7DA7DCCD">
            <w:pPr>
              <w:wordWrap w:val="0"/>
              <w:rPr>
                <w:rFonts w:ascii="宋体" w:hAnsi="宋体" w:cs="宋体"/>
                <w:bCs/>
                <w:color w:val="auto"/>
                <w:szCs w:val="21"/>
                <w:highlight w:val="none"/>
              </w:rPr>
            </w:pPr>
            <w:r>
              <w:rPr>
                <w:rFonts w:hint="eastAsia" w:ascii="宋体" w:hAnsi="宋体" w:cs="宋体"/>
                <w:bCs/>
                <w:color w:val="auto"/>
                <w:szCs w:val="21"/>
                <w:highlight w:val="none"/>
              </w:rPr>
              <w:t>（3）机械搅拌澄清池；</w:t>
            </w:r>
          </w:p>
          <w:p w14:paraId="466041E8">
            <w:pPr>
              <w:wordWrap w:val="0"/>
              <w:rPr>
                <w:rFonts w:ascii="宋体" w:hAnsi="宋体" w:cs="宋体"/>
                <w:bCs/>
                <w:color w:val="auto"/>
                <w:szCs w:val="21"/>
                <w:highlight w:val="none"/>
              </w:rPr>
            </w:pPr>
            <w:r>
              <w:rPr>
                <w:rFonts w:hint="eastAsia" w:ascii="宋体" w:hAnsi="宋体" w:cs="宋体"/>
                <w:bCs/>
                <w:color w:val="auto"/>
                <w:szCs w:val="21"/>
                <w:highlight w:val="none"/>
              </w:rPr>
              <w:t>（4）V型滤池；</w:t>
            </w:r>
          </w:p>
          <w:p w14:paraId="2489ED1B">
            <w:pPr>
              <w:wordWrap w:val="0"/>
              <w:rPr>
                <w:rFonts w:ascii="宋体" w:hAnsi="宋体" w:cs="宋体"/>
                <w:bCs/>
                <w:color w:val="auto"/>
                <w:szCs w:val="21"/>
                <w:highlight w:val="none"/>
              </w:rPr>
            </w:pPr>
            <w:r>
              <w:rPr>
                <w:rFonts w:hint="eastAsia" w:ascii="宋体" w:hAnsi="宋体" w:cs="宋体"/>
                <w:bCs/>
                <w:color w:val="auto"/>
                <w:szCs w:val="21"/>
                <w:highlight w:val="none"/>
              </w:rPr>
              <w:t>（5）曝气沉砂池；</w:t>
            </w:r>
          </w:p>
          <w:p w14:paraId="1DAFFD20">
            <w:pPr>
              <w:wordWrap w:val="0"/>
              <w:rPr>
                <w:rFonts w:ascii="宋体" w:hAnsi="宋体" w:cs="宋体"/>
                <w:bCs/>
                <w:color w:val="auto"/>
                <w:szCs w:val="21"/>
                <w:highlight w:val="none"/>
              </w:rPr>
            </w:pPr>
            <w:r>
              <w:rPr>
                <w:rFonts w:hint="eastAsia" w:ascii="宋体" w:hAnsi="宋体" w:cs="宋体"/>
                <w:bCs/>
                <w:color w:val="auto"/>
                <w:szCs w:val="21"/>
                <w:highlight w:val="none"/>
              </w:rPr>
              <w:t>（6）AAO池；</w:t>
            </w:r>
          </w:p>
          <w:p w14:paraId="33C05CA7">
            <w:pPr>
              <w:wordWrap w:val="0"/>
              <w:rPr>
                <w:rFonts w:ascii="宋体" w:hAnsi="宋体" w:cs="宋体"/>
                <w:bCs/>
                <w:color w:val="auto"/>
                <w:szCs w:val="21"/>
                <w:highlight w:val="none"/>
              </w:rPr>
            </w:pPr>
            <w:r>
              <w:rPr>
                <w:rFonts w:hint="eastAsia" w:ascii="宋体" w:hAnsi="宋体" w:cs="宋体"/>
                <w:bCs/>
                <w:color w:val="auto"/>
                <w:szCs w:val="21"/>
                <w:highlight w:val="none"/>
              </w:rPr>
              <w:t>（7）平流沉淀池；</w:t>
            </w:r>
          </w:p>
          <w:p w14:paraId="53908290">
            <w:pPr>
              <w:wordWrap w:val="0"/>
              <w:rPr>
                <w:rFonts w:ascii="宋体" w:hAnsi="宋体" w:cs="宋体"/>
                <w:bCs/>
                <w:color w:val="auto"/>
                <w:szCs w:val="21"/>
                <w:highlight w:val="none"/>
              </w:rPr>
            </w:pPr>
            <w:r>
              <w:rPr>
                <w:rFonts w:hint="eastAsia" w:ascii="宋体" w:hAnsi="宋体" w:cs="宋体"/>
                <w:bCs/>
                <w:color w:val="auto"/>
                <w:szCs w:val="21"/>
                <w:highlight w:val="none"/>
              </w:rPr>
              <w:t>（8）辐流沉淀池；</w:t>
            </w:r>
          </w:p>
          <w:p w14:paraId="5BEAB856">
            <w:pPr>
              <w:wordWrap w:val="0"/>
              <w:rPr>
                <w:rFonts w:ascii="宋体" w:hAnsi="宋体" w:cs="宋体"/>
                <w:bCs/>
                <w:color w:val="auto"/>
                <w:szCs w:val="21"/>
                <w:highlight w:val="none"/>
              </w:rPr>
            </w:pPr>
            <w:r>
              <w:rPr>
                <w:rFonts w:hint="eastAsia" w:ascii="宋体" w:hAnsi="宋体" w:cs="宋体"/>
                <w:bCs/>
                <w:color w:val="auto"/>
                <w:szCs w:val="21"/>
                <w:highlight w:val="none"/>
              </w:rPr>
              <w:t>（9）旋流沉砂池；</w:t>
            </w:r>
          </w:p>
          <w:p w14:paraId="632704CB">
            <w:pPr>
              <w:wordWrap w:val="0"/>
              <w:rPr>
                <w:rFonts w:ascii="宋体" w:hAnsi="宋体" w:cs="宋体"/>
                <w:bCs/>
                <w:color w:val="auto"/>
                <w:szCs w:val="21"/>
                <w:highlight w:val="none"/>
              </w:rPr>
            </w:pPr>
            <w:r>
              <w:rPr>
                <w:rFonts w:hint="eastAsia" w:ascii="宋体" w:hAnsi="宋体" w:cs="宋体"/>
                <w:bCs/>
                <w:color w:val="auto"/>
                <w:szCs w:val="21"/>
                <w:highlight w:val="none"/>
              </w:rPr>
              <w:t>（10）多级泵；</w:t>
            </w:r>
          </w:p>
          <w:p w14:paraId="217D2A43">
            <w:pPr>
              <w:wordWrap w:val="0"/>
              <w:rPr>
                <w:rFonts w:ascii="宋体" w:hAnsi="宋体" w:cs="宋体"/>
                <w:bCs/>
                <w:color w:val="auto"/>
                <w:szCs w:val="21"/>
                <w:highlight w:val="none"/>
              </w:rPr>
            </w:pPr>
            <w:r>
              <w:rPr>
                <w:rFonts w:hint="eastAsia" w:ascii="宋体" w:hAnsi="宋体" w:cs="宋体"/>
                <w:bCs/>
                <w:color w:val="auto"/>
                <w:szCs w:val="21"/>
                <w:highlight w:val="none"/>
              </w:rPr>
              <w:t>（11）离心泵；</w:t>
            </w:r>
          </w:p>
          <w:p w14:paraId="16AD0ACF">
            <w:pPr>
              <w:wordWrap w:val="0"/>
              <w:rPr>
                <w:rFonts w:ascii="宋体" w:hAnsi="宋体" w:cs="宋体"/>
                <w:bCs/>
                <w:color w:val="auto"/>
                <w:szCs w:val="21"/>
                <w:highlight w:val="none"/>
              </w:rPr>
            </w:pPr>
            <w:r>
              <w:rPr>
                <w:rFonts w:hint="eastAsia" w:ascii="宋体" w:hAnsi="宋体" w:cs="宋体"/>
                <w:bCs/>
                <w:color w:val="auto"/>
                <w:szCs w:val="21"/>
                <w:highlight w:val="none"/>
              </w:rPr>
              <w:t>（12）隔膜计量泵；</w:t>
            </w:r>
          </w:p>
          <w:p w14:paraId="3597C1FF">
            <w:pPr>
              <w:wordWrap w:val="0"/>
              <w:rPr>
                <w:rFonts w:ascii="宋体" w:hAnsi="宋体" w:cs="宋体"/>
                <w:bCs/>
                <w:color w:val="auto"/>
                <w:szCs w:val="21"/>
                <w:highlight w:val="none"/>
              </w:rPr>
            </w:pPr>
            <w:r>
              <w:rPr>
                <w:rFonts w:hint="eastAsia" w:ascii="宋体" w:hAnsi="宋体" w:cs="宋体"/>
                <w:bCs/>
                <w:color w:val="auto"/>
                <w:szCs w:val="21"/>
                <w:highlight w:val="none"/>
              </w:rPr>
              <w:t>（13）潜水泵；</w:t>
            </w:r>
          </w:p>
          <w:p w14:paraId="4D3E563A">
            <w:pPr>
              <w:wordWrap w:val="0"/>
              <w:rPr>
                <w:rFonts w:ascii="宋体" w:hAnsi="宋体" w:cs="宋体"/>
                <w:bCs/>
                <w:color w:val="auto"/>
                <w:szCs w:val="21"/>
                <w:highlight w:val="none"/>
              </w:rPr>
            </w:pPr>
            <w:r>
              <w:rPr>
                <w:rFonts w:hint="eastAsia" w:ascii="宋体" w:hAnsi="宋体" w:cs="宋体"/>
                <w:bCs/>
                <w:color w:val="auto"/>
                <w:szCs w:val="21"/>
                <w:highlight w:val="none"/>
              </w:rPr>
              <w:t>（14）卧式单级双吸离心泵；</w:t>
            </w:r>
          </w:p>
          <w:p w14:paraId="39C7C736">
            <w:pPr>
              <w:wordWrap w:val="0"/>
              <w:rPr>
                <w:rFonts w:ascii="宋体" w:hAnsi="宋体" w:cs="宋体"/>
                <w:bCs/>
                <w:color w:val="auto"/>
                <w:szCs w:val="21"/>
                <w:highlight w:val="none"/>
              </w:rPr>
            </w:pPr>
            <w:r>
              <w:rPr>
                <w:rFonts w:hint="eastAsia" w:ascii="宋体" w:hAnsi="宋体" w:cs="宋体"/>
                <w:bCs/>
                <w:color w:val="auto"/>
                <w:szCs w:val="21"/>
                <w:highlight w:val="none"/>
              </w:rPr>
              <w:t>（15）射流曝气池；</w:t>
            </w:r>
          </w:p>
          <w:p w14:paraId="0E0C223B">
            <w:pPr>
              <w:wordWrap w:val="0"/>
              <w:rPr>
                <w:rFonts w:ascii="宋体" w:hAnsi="宋体" w:cs="宋体"/>
                <w:bCs/>
                <w:color w:val="auto"/>
                <w:szCs w:val="21"/>
                <w:highlight w:val="none"/>
              </w:rPr>
            </w:pPr>
            <w:r>
              <w:rPr>
                <w:rFonts w:hint="eastAsia" w:ascii="宋体" w:hAnsi="宋体" w:cs="宋体"/>
                <w:bCs/>
                <w:color w:val="auto"/>
                <w:szCs w:val="21"/>
                <w:highlight w:val="none"/>
              </w:rPr>
              <w:t>（16）EDI设备；</w:t>
            </w:r>
          </w:p>
          <w:p w14:paraId="674C0C7F">
            <w:pPr>
              <w:wordWrap w:val="0"/>
              <w:rPr>
                <w:rFonts w:ascii="宋体" w:hAnsi="宋体" w:cs="宋体"/>
                <w:bCs/>
                <w:color w:val="auto"/>
                <w:szCs w:val="21"/>
                <w:highlight w:val="none"/>
              </w:rPr>
            </w:pPr>
            <w:r>
              <w:rPr>
                <w:rFonts w:hint="eastAsia" w:ascii="宋体" w:hAnsi="宋体" w:cs="宋体"/>
                <w:bCs/>
                <w:color w:val="auto"/>
                <w:szCs w:val="21"/>
                <w:highlight w:val="none"/>
              </w:rPr>
              <w:t>（17）MCR池；</w:t>
            </w:r>
          </w:p>
          <w:p w14:paraId="0336FD0D">
            <w:pPr>
              <w:wordWrap w:val="0"/>
              <w:rPr>
                <w:rFonts w:ascii="宋体" w:hAnsi="宋体" w:cs="宋体"/>
                <w:bCs/>
                <w:color w:val="auto"/>
                <w:szCs w:val="21"/>
                <w:highlight w:val="none"/>
              </w:rPr>
            </w:pPr>
            <w:r>
              <w:rPr>
                <w:rFonts w:hint="eastAsia" w:ascii="宋体" w:hAnsi="宋体" w:cs="宋体"/>
                <w:bCs/>
                <w:color w:val="auto"/>
                <w:szCs w:val="21"/>
                <w:highlight w:val="none"/>
              </w:rPr>
              <w:t>（18）MBR池；</w:t>
            </w:r>
          </w:p>
          <w:p w14:paraId="0EDF9EAE">
            <w:pPr>
              <w:wordWrap w:val="0"/>
              <w:rPr>
                <w:rFonts w:ascii="宋体" w:hAnsi="宋体" w:cs="宋体"/>
                <w:bCs/>
                <w:color w:val="auto"/>
                <w:szCs w:val="21"/>
                <w:highlight w:val="none"/>
              </w:rPr>
            </w:pPr>
            <w:r>
              <w:rPr>
                <w:rFonts w:hint="eastAsia" w:ascii="宋体" w:hAnsi="宋体" w:cs="宋体"/>
                <w:bCs/>
                <w:color w:val="auto"/>
                <w:szCs w:val="21"/>
                <w:highlight w:val="none"/>
              </w:rPr>
              <w:t>（19）高效气浮池；</w:t>
            </w:r>
          </w:p>
          <w:p w14:paraId="7C488D49">
            <w:pPr>
              <w:wordWrap w:val="0"/>
              <w:rPr>
                <w:rFonts w:ascii="宋体" w:hAnsi="宋体" w:cs="宋体"/>
                <w:bCs/>
                <w:color w:val="auto"/>
                <w:szCs w:val="21"/>
                <w:highlight w:val="none"/>
              </w:rPr>
            </w:pPr>
            <w:r>
              <w:rPr>
                <w:rFonts w:hint="eastAsia" w:ascii="宋体" w:hAnsi="宋体" w:cs="宋体"/>
                <w:bCs/>
                <w:color w:val="auto"/>
                <w:szCs w:val="21"/>
                <w:highlight w:val="none"/>
              </w:rPr>
              <w:t>（20）反渗透系统；</w:t>
            </w:r>
          </w:p>
          <w:p w14:paraId="5FD62DFC">
            <w:pPr>
              <w:wordWrap w:val="0"/>
              <w:rPr>
                <w:rFonts w:ascii="宋体" w:hAnsi="宋体" w:cs="宋体"/>
                <w:bCs/>
                <w:color w:val="auto"/>
                <w:szCs w:val="21"/>
                <w:highlight w:val="none"/>
              </w:rPr>
            </w:pPr>
            <w:r>
              <w:rPr>
                <w:rFonts w:hint="eastAsia" w:ascii="宋体" w:hAnsi="宋体" w:cs="宋体"/>
                <w:bCs/>
                <w:color w:val="auto"/>
                <w:szCs w:val="21"/>
                <w:highlight w:val="none"/>
              </w:rPr>
              <w:t>（21）超滤系统；</w:t>
            </w:r>
          </w:p>
          <w:p w14:paraId="219985C8">
            <w:pPr>
              <w:wordWrap w:val="0"/>
              <w:rPr>
                <w:rFonts w:ascii="宋体" w:hAnsi="宋体" w:cs="宋体"/>
                <w:bCs/>
                <w:color w:val="auto"/>
                <w:szCs w:val="21"/>
                <w:highlight w:val="none"/>
              </w:rPr>
            </w:pPr>
            <w:r>
              <w:rPr>
                <w:rFonts w:hint="eastAsia" w:ascii="宋体" w:hAnsi="宋体" w:cs="宋体"/>
                <w:bCs/>
                <w:color w:val="auto"/>
                <w:szCs w:val="21"/>
                <w:highlight w:val="none"/>
              </w:rPr>
              <w:t>（22）阴离子交换器；</w:t>
            </w:r>
          </w:p>
          <w:p w14:paraId="78882344">
            <w:pPr>
              <w:wordWrap w:val="0"/>
              <w:rPr>
                <w:rFonts w:ascii="宋体" w:hAnsi="宋体" w:cs="宋体"/>
                <w:bCs/>
                <w:color w:val="auto"/>
                <w:szCs w:val="21"/>
                <w:highlight w:val="none"/>
              </w:rPr>
            </w:pPr>
            <w:r>
              <w:rPr>
                <w:rFonts w:hint="eastAsia" w:ascii="宋体" w:hAnsi="宋体" w:cs="宋体"/>
                <w:bCs/>
                <w:color w:val="auto"/>
                <w:szCs w:val="21"/>
                <w:highlight w:val="none"/>
              </w:rPr>
              <w:t>（23）阳离子交换器；</w:t>
            </w:r>
          </w:p>
          <w:p w14:paraId="5E68F026">
            <w:pPr>
              <w:wordWrap w:val="0"/>
              <w:rPr>
                <w:rFonts w:ascii="宋体" w:hAnsi="宋体" w:cs="宋体"/>
                <w:bCs/>
                <w:color w:val="auto"/>
                <w:szCs w:val="21"/>
                <w:highlight w:val="none"/>
              </w:rPr>
            </w:pPr>
            <w:r>
              <w:rPr>
                <w:rFonts w:hint="eastAsia" w:ascii="宋体" w:hAnsi="宋体" w:cs="宋体"/>
                <w:bCs/>
                <w:color w:val="auto"/>
                <w:szCs w:val="21"/>
                <w:highlight w:val="none"/>
              </w:rPr>
              <w:t>（24）混合离子交换器；</w:t>
            </w:r>
          </w:p>
          <w:p w14:paraId="280CA346">
            <w:pPr>
              <w:wordWrap w:val="0"/>
              <w:rPr>
                <w:rFonts w:ascii="宋体" w:hAnsi="宋体" w:cs="宋体"/>
                <w:bCs/>
                <w:color w:val="auto"/>
                <w:szCs w:val="21"/>
                <w:highlight w:val="none"/>
              </w:rPr>
            </w:pPr>
            <w:r>
              <w:rPr>
                <w:rFonts w:hint="eastAsia" w:ascii="宋体" w:hAnsi="宋体" w:cs="宋体"/>
                <w:bCs/>
                <w:color w:val="auto"/>
                <w:szCs w:val="21"/>
                <w:highlight w:val="none"/>
              </w:rPr>
              <w:t>（25）活性炭过滤器；</w:t>
            </w:r>
          </w:p>
          <w:p w14:paraId="7151A724">
            <w:pPr>
              <w:wordWrap w:val="0"/>
              <w:rPr>
                <w:rFonts w:ascii="宋体" w:hAnsi="宋体" w:cs="宋体"/>
                <w:bCs/>
                <w:color w:val="auto"/>
                <w:szCs w:val="21"/>
                <w:highlight w:val="none"/>
              </w:rPr>
            </w:pPr>
            <w:r>
              <w:rPr>
                <w:rFonts w:hint="eastAsia" w:ascii="宋体" w:hAnsi="宋体" w:cs="宋体"/>
                <w:bCs/>
                <w:color w:val="auto"/>
                <w:szCs w:val="21"/>
                <w:highlight w:val="none"/>
              </w:rPr>
              <w:t>（26）高效纤维过滤器；</w:t>
            </w:r>
          </w:p>
          <w:p w14:paraId="3F3D87FA">
            <w:pPr>
              <w:wordWrap w:val="0"/>
              <w:rPr>
                <w:rFonts w:ascii="宋体" w:hAnsi="宋体" w:cs="宋体"/>
                <w:bCs/>
                <w:color w:val="auto"/>
                <w:szCs w:val="21"/>
                <w:highlight w:val="none"/>
              </w:rPr>
            </w:pPr>
            <w:r>
              <w:rPr>
                <w:rFonts w:hint="eastAsia" w:ascii="宋体" w:hAnsi="宋体" w:cs="宋体"/>
                <w:bCs/>
                <w:color w:val="auto"/>
                <w:szCs w:val="21"/>
                <w:highlight w:val="none"/>
              </w:rPr>
              <w:t>（27）多介质过滤器；</w:t>
            </w:r>
          </w:p>
          <w:p w14:paraId="46BA4B82">
            <w:pPr>
              <w:wordWrap w:val="0"/>
              <w:rPr>
                <w:rFonts w:ascii="宋体" w:hAnsi="宋体" w:cs="宋体"/>
                <w:bCs/>
                <w:color w:val="auto"/>
                <w:szCs w:val="21"/>
                <w:highlight w:val="none"/>
              </w:rPr>
            </w:pPr>
            <w:r>
              <w:rPr>
                <w:rFonts w:hint="eastAsia" w:ascii="宋体" w:hAnsi="宋体" w:cs="宋体"/>
                <w:bCs/>
                <w:color w:val="auto"/>
                <w:szCs w:val="21"/>
                <w:highlight w:val="none"/>
              </w:rPr>
              <w:t>（28）高效斜板沉淀池；</w:t>
            </w:r>
          </w:p>
          <w:p w14:paraId="6699F927">
            <w:pPr>
              <w:wordWrap w:val="0"/>
              <w:rPr>
                <w:rFonts w:ascii="宋体" w:hAnsi="宋体" w:cs="宋体"/>
                <w:bCs/>
                <w:color w:val="auto"/>
                <w:szCs w:val="21"/>
                <w:highlight w:val="none"/>
              </w:rPr>
            </w:pPr>
            <w:r>
              <w:rPr>
                <w:rFonts w:hint="eastAsia" w:ascii="宋体" w:hAnsi="宋体" w:cs="宋体"/>
                <w:bCs/>
                <w:color w:val="auto"/>
                <w:szCs w:val="21"/>
                <w:highlight w:val="none"/>
              </w:rPr>
              <w:t>（29）IC厌氧塔；</w:t>
            </w:r>
          </w:p>
          <w:p w14:paraId="0CBF3891">
            <w:pPr>
              <w:wordWrap w:val="0"/>
              <w:rPr>
                <w:rFonts w:ascii="宋体" w:hAnsi="宋体" w:cs="宋体"/>
                <w:bCs/>
                <w:color w:val="auto"/>
                <w:szCs w:val="21"/>
                <w:highlight w:val="none"/>
              </w:rPr>
            </w:pPr>
            <w:r>
              <w:rPr>
                <w:rFonts w:hint="eastAsia" w:ascii="宋体" w:hAnsi="宋体" w:cs="宋体"/>
                <w:bCs/>
                <w:color w:val="auto"/>
                <w:szCs w:val="21"/>
                <w:highlight w:val="none"/>
              </w:rPr>
              <w:t>（30）叠螺脱水机；</w:t>
            </w:r>
          </w:p>
          <w:p w14:paraId="13F666D1">
            <w:pPr>
              <w:wordWrap w:val="0"/>
              <w:rPr>
                <w:rFonts w:ascii="宋体" w:hAnsi="宋体" w:cs="宋体"/>
                <w:bCs/>
                <w:color w:val="auto"/>
                <w:szCs w:val="21"/>
                <w:highlight w:val="none"/>
              </w:rPr>
            </w:pPr>
            <w:r>
              <w:rPr>
                <w:rFonts w:hint="eastAsia" w:ascii="宋体" w:hAnsi="宋体" w:cs="宋体"/>
                <w:bCs/>
                <w:color w:val="auto"/>
                <w:szCs w:val="21"/>
                <w:highlight w:val="none"/>
              </w:rPr>
              <w:t>（31）发酵仓；</w:t>
            </w:r>
          </w:p>
          <w:p w14:paraId="58247421">
            <w:pPr>
              <w:wordWrap w:val="0"/>
              <w:rPr>
                <w:rFonts w:ascii="宋体" w:hAnsi="宋体" w:cs="宋体"/>
                <w:bCs/>
                <w:color w:val="auto"/>
                <w:szCs w:val="21"/>
                <w:highlight w:val="none"/>
              </w:rPr>
            </w:pPr>
            <w:r>
              <w:rPr>
                <w:rFonts w:hint="eastAsia" w:ascii="宋体" w:hAnsi="宋体" w:cs="宋体"/>
                <w:bCs/>
                <w:color w:val="auto"/>
                <w:szCs w:val="21"/>
                <w:highlight w:val="none"/>
              </w:rPr>
              <w:t>（32）螺旋输送机；</w:t>
            </w:r>
          </w:p>
          <w:p w14:paraId="2C116389">
            <w:pPr>
              <w:wordWrap w:val="0"/>
              <w:rPr>
                <w:rFonts w:ascii="宋体" w:hAnsi="宋体" w:cs="宋体"/>
                <w:bCs/>
                <w:color w:val="auto"/>
                <w:szCs w:val="21"/>
                <w:highlight w:val="none"/>
              </w:rPr>
            </w:pPr>
            <w:r>
              <w:rPr>
                <w:rFonts w:hint="eastAsia" w:ascii="宋体" w:hAnsi="宋体" w:cs="宋体"/>
                <w:bCs/>
                <w:color w:val="auto"/>
                <w:szCs w:val="21"/>
                <w:highlight w:val="none"/>
              </w:rPr>
              <w:t>（33）离心脱水机；</w:t>
            </w:r>
          </w:p>
          <w:p w14:paraId="6D463E75">
            <w:pPr>
              <w:wordWrap w:val="0"/>
              <w:rPr>
                <w:rFonts w:ascii="宋体" w:hAnsi="宋体" w:cs="宋体"/>
                <w:bCs/>
                <w:color w:val="auto"/>
                <w:szCs w:val="21"/>
                <w:highlight w:val="none"/>
              </w:rPr>
            </w:pPr>
            <w:r>
              <w:rPr>
                <w:rFonts w:hint="eastAsia" w:ascii="宋体" w:hAnsi="宋体" w:cs="宋体"/>
                <w:bCs/>
                <w:color w:val="auto"/>
                <w:szCs w:val="21"/>
                <w:highlight w:val="none"/>
              </w:rPr>
              <w:t>（34）IC厌氧塔；</w:t>
            </w:r>
          </w:p>
          <w:p w14:paraId="2CD2F282">
            <w:pPr>
              <w:wordWrap w:val="0"/>
              <w:rPr>
                <w:rFonts w:ascii="宋体" w:hAnsi="宋体" w:cs="宋体"/>
                <w:bCs/>
                <w:color w:val="auto"/>
                <w:szCs w:val="21"/>
                <w:highlight w:val="none"/>
              </w:rPr>
            </w:pPr>
            <w:r>
              <w:rPr>
                <w:rFonts w:hint="eastAsia" w:ascii="宋体" w:hAnsi="宋体" w:cs="宋体"/>
                <w:bCs/>
                <w:color w:val="auto"/>
                <w:szCs w:val="21"/>
                <w:highlight w:val="none"/>
              </w:rPr>
              <w:t>（35）反渗透系统；</w:t>
            </w:r>
          </w:p>
          <w:p w14:paraId="5224AB62">
            <w:pPr>
              <w:wordWrap w:val="0"/>
              <w:rPr>
                <w:rFonts w:ascii="宋体" w:hAnsi="宋体" w:cs="宋体"/>
                <w:bCs/>
                <w:color w:val="auto"/>
                <w:szCs w:val="21"/>
                <w:highlight w:val="none"/>
              </w:rPr>
            </w:pPr>
            <w:r>
              <w:rPr>
                <w:rFonts w:hint="eastAsia" w:ascii="宋体" w:hAnsi="宋体" w:cs="宋体"/>
                <w:bCs/>
                <w:color w:val="auto"/>
                <w:szCs w:val="21"/>
                <w:highlight w:val="none"/>
              </w:rPr>
              <w:t>（36）MBR反应器。</w:t>
            </w:r>
          </w:p>
          <w:p w14:paraId="2DE586B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4.8</w:t>
            </w:r>
            <w:r>
              <w:rPr>
                <w:rFonts w:hint="eastAsia" w:ascii="宋体" w:hAnsi="宋体" w:cs="宋体"/>
                <w:bCs/>
                <w:color w:val="auto"/>
                <w:szCs w:val="21"/>
                <w:highlight w:val="none"/>
              </w:rPr>
              <w:t>人身防护及应急处理素材库学习账号（账号数量不少于1个，使用期限自项目验收合格之日起不少于12个月），具体使用权限包含但不限于以下内容：包括穿戴规则讲解、心肺复苏讲解、手套分类及适配性选择、A级防护服讲解、安全帽讲解等视频，视频素材要求风格统一，每个素材都带有同一个标志性人物进行引导，视频不少于14个，总时长不少于30分钟。</w:t>
            </w:r>
          </w:p>
          <w:p w14:paraId="58CF2D7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4.9</w:t>
            </w:r>
            <w:r>
              <w:rPr>
                <w:rFonts w:hint="eastAsia" w:ascii="宋体" w:hAnsi="宋体" w:cs="宋体"/>
                <w:bCs/>
                <w:color w:val="auto"/>
                <w:szCs w:val="21"/>
                <w:highlight w:val="none"/>
              </w:rPr>
              <w:t>消防安全素材库学习账号（账号数量不少于1个，使用期限自项目验收合格之日起不少于12个月），具体使用权限包含但不限于以下内容：包括火灾分类、预防火灾的基本措施、灭火毯使用方法讲解、扑救氧化剂和有机过氧化物火灾的基本方法、消防栓分类及使用等视频，视频素材要求风格统一，每个素材都带有同一个标志性人物进行引导，视频不少于20个，总时长不少于35分钟。</w:t>
            </w:r>
          </w:p>
          <w:p w14:paraId="3F6EB3B3">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.培训管理</w:t>
            </w:r>
          </w:p>
          <w:p w14:paraId="34021426">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.1培训计划制定：培训计划设置包含基本设置（名称、编号、类型等）、培训计划设置（可根据不同阶段设置不同培训内容：题库、测验、仿真、课程、线下培训、考试等）、添加培训人员、上传附件资料等。</w:t>
            </w:r>
          </w:p>
          <w:p w14:paraId="210E210D">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2培训管理：进行中的培训可进行培训过程管理；培训过程中可随时发起课堂测验、问卷调查；可新增培训附件、培训人员以及综合素质评价表等内容；线下培训可发起签到、课堂测验、问卷调查、评价、作业等功能，也可将培训过程中的一些影像资料全部上传至平台进行统一管理。</w:t>
            </w:r>
          </w:p>
          <w:p w14:paraId="4B78F786">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3培训结果查看：已结束的培训可查看进行培训结果，内容包含培训计划整体信息，学员成绩（学员培训详情），奖惩信息以及本次培训结果数据统计，数据统计包含线下培训基础数据、考勤统计、签到情况统计、奖惩占比、奖惩统计、各课程合格人员统计及各课程成绩分段统计等多维度数据分析；线上统计包含人员统计、培训时长统计、成绩分段统计等；支持对应全部模块学习完毕并考核合格后，获得对应的荣誉证书。</w:t>
            </w:r>
          </w:p>
          <w:p w14:paraId="275E20A1">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仿真管理</w:t>
            </w:r>
          </w:p>
          <w:p w14:paraId="2348331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.1仿真练习：学员可以在线练习仿真软件，系统会实时收集练习成绩，管理员可以从后台查询、统计学员的练习成绩。支持批量导出练习结果，并导出表格。</w:t>
            </w:r>
          </w:p>
          <w:p w14:paraId="71870830">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.2仿真考试</w:t>
            </w:r>
          </w:p>
          <w:p w14:paraId="4D0DDC4B">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2.1试卷管理：用户可以创建仿真试卷，将多个软件作为多个题目组合成一个试卷，支持固定题目仿真试卷和随机题目仿真试卷两种试卷类型；可以设置每个题目的分数权重，可以设置用户交卷后是否允许查看成绩。</w:t>
            </w:r>
          </w:p>
          <w:p w14:paraId="5624FCBD">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2.2创建仿真考试：根据已创建的仿真试卷资源，进行仿真考试的创建，可将试卷分配给对应的组织，并可设置考试名称、所属分类、考试试卷、考试有效时间、考试总分、合格成绩、答题顺序、是否允许查看分数、允许查看考试次数、是否开启人脸验证、考试负责老师及考试参与范围等信息。</w:t>
            </w:r>
          </w:p>
          <w:p w14:paraId="6B436117">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.3仿真成绩：默认展示所有仿真考试列表，支持查询仿真练习成绩、仿真考试成绩，支持根据考试名称查询成绩列表及导出。</w:t>
            </w:r>
          </w:p>
          <w:p w14:paraId="46F14C99">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.档案管理</w:t>
            </w:r>
          </w:p>
          <w:p w14:paraId="627F7278">
            <w:pPr>
              <w:wordWrap w:val="0"/>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1个人档案：包含采购人内部人员档案列表、列表支持通过学员姓名、账号、学校、身份证等信息进行筛选；档案内容包含学员基础信息，培训记录、培训考核记录、工伤事故记录、安全奖惩记录取得证书情况等。支持个人档案导出，可导出Word或PDF两种文件格式。</w:t>
            </w:r>
          </w:p>
          <w:p w14:paraId="3BB6BED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2学校档案：包含采购人所有培训计划列表，可通过学校名称、培训计划名称、培训时间等信息查询；培训计划包含培训计划内容、学员名单、参训率、合格率、学员档案查看等信息。同时支持学校档案导出，可导出Word或PDF两种文件格式。</w:t>
            </w:r>
          </w:p>
        </w:tc>
      </w:tr>
      <w:tr w14:paraId="1038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847B596">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75" w:type="dxa"/>
            <w:shd w:val="clear" w:color="auto" w:fill="FFFFFF" w:themeFill="background1"/>
            <w:vAlign w:val="center"/>
          </w:tcPr>
          <w:p w14:paraId="726650F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蠕动泵泵头</w:t>
            </w:r>
          </w:p>
        </w:tc>
        <w:tc>
          <w:tcPr>
            <w:tcW w:w="836" w:type="dxa"/>
            <w:gridSpan w:val="2"/>
            <w:shd w:val="clear" w:color="auto" w:fill="FFFFFF" w:themeFill="background1"/>
            <w:vAlign w:val="center"/>
          </w:tcPr>
          <w:p w14:paraId="29854E66">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w:t>
            </w:r>
          </w:p>
        </w:tc>
        <w:tc>
          <w:tcPr>
            <w:tcW w:w="814" w:type="dxa"/>
            <w:shd w:val="clear" w:color="auto" w:fill="FFFFFF" w:themeFill="background1"/>
            <w:vAlign w:val="center"/>
          </w:tcPr>
          <w:p w14:paraId="00727EB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5C577B24">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062CFE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1.滚轮数量：不少于3个。</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2.滚轮材料：不锈钢。</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3.转速范围（rpm）：≤600。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4.适用软管规格：13#、14#、19#、16#、25#、17#、18#。</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5.最大参考流量：</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2200 (mL/min)。</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6.重量（kg）：约0.4。</w:t>
            </w:r>
          </w:p>
        </w:tc>
      </w:tr>
      <w:tr w14:paraId="39D9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B155D3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75" w:type="dxa"/>
            <w:shd w:val="clear" w:color="auto" w:fill="FFFFFF" w:themeFill="background1"/>
            <w:vAlign w:val="center"/>
          </w:tcPr>
          <w:p w14:paraId="4F4C56E0">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多通道蠕动泵</w:t>
            </w:r>
          </w:p>
        </w:tc>
        <w:tc>
          <w:tcPr>
            <w:tcW w:w="836" w:type="dxa"/>
            <w:gridSpan w:val="2"/>
            <w:shd w:val="clear" w:color="auto" w:fill="FFFFFF" w:themeFill="background1"/>
            <w:vAlign w:val="center"/>
          </w:tcPr>
          <w:p w14:paraId="7F00FFE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w:t>
            </w:r>
          </w:p>
        </w:tc>
        <w:tc>
          <w:tcPr>
            <w:tcW w:w="814" w:type="dxa"/>
            <w:shd w:val="clear" w:color="auto" w:fill="FFFFFF" w:themeFill="background1"/>
            <w:vAlign w:val="center"/>
          </w:tcPr>
          <w:p w14:paraId="0BC7604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63FFE4F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EC6C5A8">
            <w:pPr>
              <w:wordWrap w:val="0"/>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1.转速范围：0.1rpm-100rpm，正反转可逆。</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2.转速调节分辨率：≥0.1rpm。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3.控制方式：旋钮结合薄膜按键，支持外部</w:t>
            </w:r>
            <w:r>
              <w:rPr>
                <w:rFonts w:hint="eastAsia" w:ascii="宋体" w:hAnsi="宋体" w:cs="宋体"/>
                <w:bCs/>
                <w:color w:val="auto"/>
                <w:szCs w:val="21"/>
                <w:highlight w:val="none"/>
              </w:rPr>
              <w:t>控制</w:t>
            </w:r>
            <w:r>
              <w:rPr>
                <w:rFonts w:hint="eastAsia" w:ascii="宋体" w:hAnsi="宋体" w:cs="宋体"/>
                <w:bCs/>
                <w:color w:val="auto"/>
                <w:szCs w:val="21"/>
                <w:highlight w:val="none"/>
              </w:rPr>
              <w:t>。</w:t>
            </w:r>
          </w:p>
          <w:p w14:paraId="6D38823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4.信号控制和通信控制。</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5.显示方式：液晶屏同时显示流量和转速。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6.流量校正：将设定流量获得的实际流量值输入，自动进行流量校正。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7.外控功能：启停控制、方向控制、速度控制（4-20mA、0-5V、0-10V可选）。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8.通信接口：RS485。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9.掉电记忆：重新上电后可按照掉电前的状态继续进行工作。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10.全速功能：一键控制全速工作，用于填充、排空等。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11.外形尺寸（长×宽×高）：约202×160×239（mm）。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12.适用电源：AC 110V±10%/50W 或 AC 220V±10%/50W可选。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13.工作环境温度：0℃-40℃。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14.工作环境相对湿度 ：＜80%。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15.防护等级：不低于IP31。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16.重量：约5.3kg。</w:t>
            </w:r>
          </w:p>
        </w:tc>
      </w:tr>
      <w:tr w14:paraId="2588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405ABF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75" w:type="dxa"/>
            <w:shd w:val="clear" w:color="auto" w:fill="FFFFFF" w:themeFill="background1"/>
            <w:vAlign w:val="center"/>
          </w:tcPr>
          <w:p w14:paraId="55A016B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压片机</w:t>
            </w:r>
          </w:p>
        </w:tc>
        <w:tc>
          <w:tcPr>
            <w:tcW w:w="836" w:type="dxa"/>
            <w:gridSpan w:val="2"/>
            <w:shd w:val="clear" w:color="auto" w:fill="FFFFFF" w:themeFill="background1"/>
            <w:vAlign w:val="center"/>
          </w:tcPr>
          <w:p w14:paraId="7C9E126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DFA4370">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3399920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EF2634D">
            <w:pPr>
              <w:wordWrap w:val="0"/>
              <w:rPr>
                <w:rFonts w:ascii="宋体" w:hAnsi="宋体" w:cs="宋体"/>
                <w:bCs/>
                <w:color w:val="auto"/>
                <w:szCs w:val="21"/>
                <w:highlight w:val="none"/>
              </w:rPr>
            </w:pPr>
            <w:r>
              <w:rPr>
                <w:rFonts w:hint="eastAsia" w:ascii="宋体" w:hAnsi="宋体" w:cs="宋体"/>
                <w:bCs/>
                <w:color w:val="auto"/>
                <w:szCs w:val="21"/>
                <w:highlight w:val="none"/>
              </w:rPr>
              <w:t>1.压力：</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 xml:space="preserve">20T。      </w:t>
            </w:r>
          </w:p>
          <w:p w14:paraId="02B457DD">
            <w:pPr>
              <w:wordWrap w:val="0"/>
              <w:rPr>
                <w:rFonts w:ascii="宋体" w:hAnsi="宋体" w:cs="宋体"/>
                <w:bCs/>
                <w:color w:val="auto"/>
                <w:szCs w:val="21"/>
                <w:highlight w:val="none"/>
              </w:rPr>
            </w:pPr>
            <w:r>
              <w:rPr>
                <w:rFonts w:hint="eastAsia" w:ascii="宋体" w:hAnsi="宋体" w:cs="宋体"/>
                <w:bCs/>
                <w:color w:val="auto"/>
                <w:szCs w:val="21"/>
                <w:highlight w:val="none"/>
              </w:rPr>
              <w:t xml:space="preserve">2.电压：220V。       </w:t>
            </w:r>
          </w:p>
          <w:p w14:paraId="56722342">
            <w:pPr>
              <w:wordWrap w:val="0"/>
              <w:rPr>
                <w:rFonts w:ascii="宋体" w:hAnsi="宋体" w:cs="宋体"/>
                <w:bCs/>
                <w:color w:val="auto"/>
                <w:szCs w:val="21"/>
                <w:highlight w:val="none"/>
              </w:rPr>
            </w:pPr>
            <w:r>
              <w:rPr>
                <w:rFonts w:hint="eastAsia" w:ascii="宋体" w:hAnsi="宋体" w:cs="宋体"/>
                <w:bCs/>
                <w:color w:val="auto"/>
                <w:szCs w:val="21"/>
                <w:highlight w:val="none"/>
              </w:rPr>
              <w:t>3.功率：</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200W。</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4.净重：约58kg。     </w:t>
            </w:r>
          </w:p>
          <w:p w14:paraId="657C1F85">
            <w:pPr>
              <w:wordWrap w:val="0"/>
              <w:rPr>
                <w:rFonts w:ascii="宋体" w:hAnsi="宋体" w:cs="宋体"/>
                <w:bCs/>
                <w:color w:val="auto"/>
                <w:szCs w:val="21"/>
                <w:highlight w:val="none"/>
              </w:rPr>
            </w:pPr>
            <w:r>
              <w:rPr>
                <w:rFonts w:hint="eastAsia" w:ascii="宋体" w:hAnsi="宋体" w:cs="宋体"/>
                <w:bCs/>
                <w:color w:val="auto"/>
                <w:szCs w:val="21"/>
                <w:highlight w:val="none"/>
              </w:rPr>
              <w:t>5.类型：电</w:t>
            </w:r>
            <w:r>
              <w:rPr>
                <w:rFonts w:hint="eastAsia" w:ascii="宋体" w:hAnsi="宋体" w:cs="宋体"/>
                <w:bCs/>
                <w:color w:val="auto"/>
                <w:szCs w:val="21"/>
                <w:highlight w:val="none"/>
              </w:rPr>
              <w:t xml:space="preserve">动。       </w:t>
            </w:r>
          </w:p>
          <w:p w14:paraId="59BF8FD0">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rPr>
              <w:t>外形尺寸：约245×415×415mm。</w:t>
            </w:r>
          </w:p>
        </w:tc>
      </w:tr>
      <w:tr w14:paraId="605F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A57BDE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w:t>
            </w:r>
          </w:p>
        </w:tc>
        <w:tc>
          <w:tcPr>
            <w:tcW w:w="875" w:type="dxa"/>
            <w:shd w:val="clear" w:color="auto" w:fill="FFFFFF" w:themeFill="background1"/>
            <w:vAlign w:val="center"/>
          </w:tcPr>
          <w:p w14:paraId="5AB4A07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液液萃取塔实验3D虚拟仿真软件</w:t>
            </w:r>
          </w:p>
        </w:tc>
        <w:tc>
          <w:tcPr>
            <w:tcW w:w="836" w:type="dxa"/>
            <w:gridSpan w:val="2"/>
            <w:shd w:val="clear" w:color="auto" w:fill="FFFFFF" w:themeFill="background1"/>
            <w:vAlign w:val="center"/>
          </w:tcPr>
          <w:p w14:paraId="1C7402A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7685C3E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4BA953EE">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AD3FBA4">
            <w:pPr>
              <w:wordWrap w:val="0"/>
              <w:rPr>
                <w:rFonts w:ascii="宋体" w:hAnsi="宋体" w:cs="宋体"/>
                <w:bCs/>
                <w:color w:val="auto"/>
                <w:szCs w:val="21"/>
                <w:highlight w:val="none"/>
              </w:rPr>
            </w:pPr>
            <w:r>
              <w:rPr>
                <w:rFonts w:hint="eastAsia" w:ascii="宋体" w:hAnsi="宋体" w:cs="宋体"/>
                <w:bCs/>
                <w:color w:val="auto"/>
                <w:szCs w:val="21"/>
                <w:highlight w:val="none"/>
              </w:rPr>
              <w:t>一、实验内容包含：</w:t>
            </w:r>
          </w:p>
          <w:p w14:paraId="611CB3B0">
            <w:pPr>
              <w:wordWrap w:val="0"/>
              <w:rPr>
                <w:rFonts w:ascii="宋体" w:hAnsi="宋体" w:cs="宋体"/>
                <w:bCs/>
                <w:color w:val="auto"/>
                <w:szCs w:val="21"/>
                <w:highlight w:val="none"/>
              </w:rPr>
            </w:pPr>
            <w:r>
              <w:rPr>
                <w:rFonts w:hint="eastAsia" w:ascii="宋体" w:hAnsi="宋体" w:cs="宋体"/>
                <w:bCs/>
                <w:color w:val="auto"/>
                <w:szCs w:val="21"/>
                <w:highlight w:val="none"/>
              </w:rPr>
              <w:t>液液萃取塔实验3D仿真软件（实验内容：液液萃取塔的操作和萃取传质单元高度的测定）。</w:t>
            </w:r>
          </w:p>
          <w:p w14:paraId="439945C8">
            <w:pPr>
              <w:wordWrap w:val="0"/>
              <w:rPr>
                <w:rFonts w:ascii="宋体" w:hAnsi="宋体" w:cs="宋体"/>
                <w:bCs/>
                <w:color w:val="auto"/>
                <w:szCs w:val="21"/>
                <w:highlight w:val="none"/>
              </w:rPr>
            </w:pPr>
            <w:r>
              <w:rPr>
                <w:rFonts w:hint="eastAsia" w:ascii="宋体" w:hAnsi="宋体" w:cs="宋体"/>
                <w:bCs/>
                <w:color w:val="auto"/>
                <w:szCs w:val="21"/>
                <w:highlight w:val="none"/>
              </w:rPr>
              <w:t>二、软件仿真培训系统规格：</w:t>
            </w:r>
          </w:p>
          <w:p w14:paraId="66B713E0">
            <w:pPr>
              <w:wordWrap w:val="0"/>
              <w:rPr>
                <w:rFonts w:ascii="宋体" w:hAnsi="宋体" w:cs="宋体"/>
                <w:bCs/>
                <w:color w:val="auto"/>
                <w:szCs w:val="21"/>
                <w:highlight w:val="none"/>
              </w:rPr>
            </w:pPr>
            <w:r>
              <w:rPr>
                <w:rFonts w:hint="eastAsia" w:ascii="宋体" w:hAnsi="宋体" w:cs="宋体"/>
                <w:bCs/>
                <w:color w:val="auto"/>
                <w:szCs w:val="21"/>
                <w:highlight w:val="none"/>
              </w:rPr>
              <w:t>1.系列软件包括内容：通用教师站；通过局域网连接可安装的多台学员操作站。</w:t>
            </w:r>
          </w:p>
          <w:p w14:paraId="3333687F">
            <w:pPr>
              <w:wordWrap w:val="0"/>
              <w:rPr>
                <w:rFonts w:ascii="宋体" w:hAnsi="宋体" w:cs="宋体"/>
                <w:bCs/>
                <w:color w:val="auto"/>
                <w:szCs w:val="21"/>
                <w:highlight w:val="none"/>
              </w:rPr>
            </w:pPr>
            <w:r>
              <w:rPr>
                <w:rFonts w:hint="eastAsia" w:ascii="宋体" w:hAnsi="宋体" w:cs="宋体"/>
                <w:bCs/>
                <w:color w:val="auto"/>
                <w:szCs w:val="21"/>
                <w:highlight w:val="none"/>
              </w:rPr>
              <w:t>2.能在学员站上进行仿真操作练习，学员可根据智能操作指导单独练习操作并对自己操作的成绩进行实时考核，并能重新选择初始条件。</w:t>
            </w:r>
          </w:p>
          <w:p w14:paraId="28B99B71">
            <w:pPr>
              <w:wordWrap w:val="0"/>
              <w:rPr>
                <w:rFonts w:ascii="宋体" w:hAnsi="宋体" w:cs="宋体"/>
                <w:bCs/>
                <w:color w:val="auto"/>
                <w:szCs w:val="21"/>
                <w:highlight w:val="none"/>
              </w:rPr>
            </w:pPr>
            <w:r>
              <w:rPr>
                <w:rFonts w:hint="eastAsia" w:ascii="宋体" w:hAnsi="宋体" w:cs="宋体"/>
                <w:bCs/>
                <w:color w:val="auto"/>
                <w:szCs w:val="21"/>
                <w:highlight w:val="none"/>
              </w:rPr>
              <w:t>3.配备使用说明书、备件、其</w:t>
            </w:r>
            <w:r>
              <w:rPr>
                <w:rFonts w:hint="eastAsia" w:ascii="宋体" w:hAnsi="宋体" w:cs="宋体"/>
                <w:bCs/>
                <w:color w:val="auto"/>
                <w:szCs w:val="21"/>
                <w:highlight w:val="none"/>
              </w:rPr>
              <w:t>他</w:t>
            </w:r>
            <w:r>
              <w:rPr>
                <w:rFonts w:hint="eastAsia" w:ascii="宋体" w:hAnsi="宋体" w:cs="宋体"/>
                <w:bCs/>
                <w:color w:val="auto"/>
                <w:szCs w:val="21"/>
                <w:highlight w:val="none"/>
              </w:rPr>
              <w:t>相关资料。</w:t>
            </w:r>
          </w:p>
          <w:p w14:paraId="4F1EEC74">
            <w:pPr>
              <w:wordWrap w:val="0"/>
              <w:rPr>
                <w:rFonts w:ascii="宋体" w:hAnsi="宋体" w:cs="宋体"/>
                <w:bCs/>
                <w:color w:val="auto"/>
                <w:szCs w:val="21"/>
                <w:highlight w:val="none"/>
              </w:rPr>
            </w:pPr>
            <w:r>
              <w:rPr>
                <w:rFonts w:hint="eastAsia" w:ascii="宋体" w:hAnsi="宋体" w:cs="宋体"/>
                <w:bCs/>
                <w:color w:val="auto"/>
                <w:szCs w:val="21"/>
                <w:highlight w:val="none"/>
              </w:rPr>
              <w:t>三、软件功能：</w:t>
            </w:r>
          </w:p>
          <w:p w14:paraId="1CF96A03">
            <w:pPr>
              <w:wordWrap w:val="0"/>
              <w:rPr>
                <w:rFonts w:ascii="宋体" w:hAnsi="宋体" w:cs="宋体"/>
                <w:bCs/>
                <w:color w:val="auto"/>
                <w:szCs w:val="21"/>
                <w:highlight w:val="none"/>
              </w:rPr>
            </w:pPr>
            <w:r>
              <w:rPr>
                <w:rFonts w:hint="eastAsia" w:ascii="宋体" w:hAnsi="宋体" w:cs="宋体"/>
                <w:bCs/>
                <w:color w:val="auto"/>
                <w:szCs w:val="21"/>
                <w:highlight w:val="none"/>
              </w:rPr>
              <w:t>1.系统功能</w:t>
            </w:r>
          </w:p>
          <w:p w14:paraId="60F7A501">
            <w:pPr>
              <w:wordWrap w:val="0"/>
              <w:rPr>
                <w:rFonts w:ascii="宋体" w:hAnsi="宋体" w:cs="宋体"/>
                <w:bCs/>
                <w:color w:val="auto"/>
                <w:szCs w:val="21"/>
                <w:highlight w:val="none"/>
              </w:rPr>
            </w:pPr>
            <w:r>
              <w:rPr>
                <w:rFonts w:hint="eastAsia" w:ascii="宋体" w:hAnsi="宋体" w:cs="宋体"/>
                <w:bCs/>
                <w:color w:val="auto"/>
                <w:szCs w:val="21"/>
                <w:highlight w:val="none"/>
              </w:rPr>
              <w:t>1.1启动及初始化限制：</w:t>
            </w:r>
          </w:p>
          <w:p w14:paraId="3F376B80">
            <w:pPr>
              <w:wordWrap w:val="0"/>
              <w:rPr>
                <w:rFonts w:ascii="宋体" w:hAnsi="宋体" w:cs="宋体"/>
                <w:bCs/>
                <w:color w:val="auto"/>
                <w:szCs w:val="21"/>
                <w:highlight w:val="none"/>
              </w:rPr>
            </w:pPr>
            <w:r>
              <w:rPr>
                <w:rFonts w:hint="eastAsia" w:ascii="宋体" w:hAnsi="宋体" w:cs="宋体"/>
                <w:bCs/>
                <w:color w:val="auto"/>
                <w:szCs w:val="21"/>
                <w:highlight w:val="none"/>
              </w:rPr>
              <w:t>（1）学员机可单独启动。</w:t>
            </w:r>
          </w:p>
          <w:p w14:paraId="0F704F58">
            <w:pPr>
              <w:wordWrap w:val="0"/>
              <w:rPr>
                <w:rFonts w:ascii="宋体" w:hAnsi="宋体" w:cs="宋体"/>
                <w:bCs/>
                <w:color w:val="auto"/>
                <w:szCs w:val="21"/>
                <w:highlight w:val="none"/>
              </w:rPr>
            </w:pPr>
            <w:r>
              <w:rPr>
                <w:rFonts w:hint="eastAsia" w:ascii="宋体" w:hAnsi="宋体" w:cs="宋体"/>
                <w:bCs/>
                <w:color w:val="auto"/>
                <w:szCs w:val="21"/>
                <w:highlight w:val="none"/>
              </w:rPr>
              <w:t>（2）教师机远程启动学员机。</w:t>
            </w:r>
          </w:p>
          <w:p w14:paraId="66419B0B">
            <w:pPr>
              <w:wordWrap w:val="0"/>
              <w:rPr>
                <w:rFonts w:ascii="宋体" w:hAnsi="宋体" w:cs="宋体"/>
                <w:bCs/>
                <w:color w:val="auto"/>
                <w:szCs w:val="21"/>
                <w:highlight w:val="none"/>
              </w:rPr>
            </w:pPr>
            <w:r>
              <w:rPr>
                <w:rFonts w:hint="eastAsia" w:ascii="宋体" w:hAnsi="宋体" w:cs="宋体"/>
                <w:bCs/>
                <w:color w:val="auto"/>
                <w:szCs w:val="21"/>
                <w:highlight w:val="none"/>
              </w:rPr>
              <w:t>1.2教师站：教师站是基于局域网的网络通信与控制软件，可以对学员机的项目进行统一启动和控制，选择是否屏蔽评分界面，实时显示得分，获取成绩，对成绩进行统计等；主要的功能有仿真项目考试、设置事故工况、快速启动、理论题考试，文件下发，师生交流等。</w:t>
            </w:r>
          </w:p>
          <w:p w14:paraId="56ABDE00">
            <w:pPr>
              <w:wordWrap w:val="0"/>
              <w:rPr>
                <w:rFonts w:ascii="宋体" w:hAnsi="宋体" w:cs="宋体"/>
                <w:bCs/>
                <w:color w:val="auto"/>
                <w:szCs w:val="21"/>
                <w:highlight w:val="none"/>
              </w:rPr>
            </w:pPr>
            <w:r>
              <w:rPr>
                <w:rFonts w:hint="eastAsia" w:ascii="宋体" w:hAnsi="宋体" w:cs="宋体"/>
                <w:bCs/>
                <w:color w:val="auto"/>
                <w:szCs w:val="21"/>
                <w:highlight w:val="none"/>
              </w:rPr>
              <w:t>1.3模型运行客户端：与教师站管理端采用TCP/IP方式连接通讯，可设置学员姓名和学员站号，要求便于教师对学员统一管理；可选择培训模式（练习/考核）；启动后可自由切换实验项目。</w:t>
            </w:r>
          </w:p>
          <w:p w14:paraId="400FF95A">
            <w:pPr>
              <w:wordWrap w:val="0"/>
              <w:rPr>
                <w:rFonts w:ascii="宋体" w:hAnsi="宋体" w:cs="宋体"/>
                <w:bCs/>
                <w:color w:val="auto"/>
                <w:szCs w:val="21"/>
                <w:highlight w:val="none"/>
              </w:rPr>
            </w:pPr>
            <w:r>
              <w:rPr>
                <w:rFonts w:hint="eastAsia" w:ascii="宋体" w:hAnsi="宋体" w:cs="宋体"/>
                <w:bCs/>
                <w:color w:val="auto"/>
                <w:szCs w:val="21"/>
                <w:highlight w:val="none"/>
              </w:rPr>
              <w:t>1.4软件操作采用参考或相当于FPS（First-person Shooter）操作方式，学生以第一视角进入实验室进行操作，要求便于学生快速进入角色。</w:t>
            </w:r>
          </w:p>
          <w:p w14:paraId="1DAC9780">
            <w:pPr>
              <w:wordWrap w:val="0"/>
              <w:rPr>
                <w:rFonts w:ascii="宋体" w:hAnsi="宋体" w:cs="宋体"/>
                <w:bCs/>
                <w:color w:val="auto"/>
                <w:szCs w:val="21"/>
                <w:highlight w:val="none"/>
              </w:rPr>
            </w:pPr>
            <w:r>
              <w:rPr>
                <w:rFonts w:hint="eastAsia" w:ascii="宋体" w:hAnsi="宋体" w:cs="宋体"/>
                <w:bCs/>
                <w:color w:val="auto"/>
                <w:szCs w:val="21"/>
                <w:highlight w:val="none"/>
              </w:rPr>
              <w:t>1.5具有环境音效，包含水流动、泵工作等设备的声音。</w:t>
            </w:r>
          </w:p>
          <w:p w14:paraId="5EA97447">
            <w:pPr>
              <w:wordWrap w:val="0"/>
              <w:rPr>
                <w:rFonts w:ascii="宋体" w:hAnsi="宋体" w:cs="宋体"/>
                <w:bCs/>
                <w:color w:val="auto"/>
                <w:szCs w:val="21"/>
                <w:highlight w:val="none"/>
              </w:rPr>
            </w:pPr>
            <w:r>
              <w:rPr>
                <w:rFonts w:hint="eastAsia" w:ascii="宋体" w:hAnsi="宋体" w:cs="宋体"/>
                <w:bCs/>
                <w:color w:val="auto"/>
                <w:szCs w:val="21"/>
                <w:highlight w:val="none"/>
              </w:rPr>
              <w:t>2.操作界面基本功能</w:t>
            </w:r>
          </w:p>
          <w:p w14:paraId="71C9A7ED">
            <w:pPr>
              <w:wordWrap w:val="0"/>
              <w:rPr>
                <w:rFonts w:ascii="宋体" w:hAnsi="宋体" w:cs="宋体"/>
                <w:bCs/>
                <w:color w:val="auto"/>
                <w:szCs w:val="21"/>
                <w:highlight w:val="none"/>
              </w:rPr>
            </w:pPr>
            <w:r>
              <w:rPr>
                <w:rFonts w:hint="eastAsia" w:ascii="宋体" w:hAnsi="宋体" w:cs="宋体"/>
                <w:bCs/>
                <w:color w:val="auto"/>
                <w:szCs w:val="21"/>
                <w:highlight w:val="none"/>
              </w:rPr>
              <w:t>2.1实验介绍：介绍实验的基本理论知识，包括实验目的及内容、实验原理、实验装置基本情况、实验方法与步骤、实验注意事项。</w:t>
            </w:r>
          </w:p>
          <w:p w14:paraId="2A8E9AE2">
            <w:pPr>
              <w:wordWrap w:val="0"/>
              <w:rPr>
                <w:rFonts w:ascii="宋体" w:hAnsi="宋体" w:cs="宋体"/>
                <w:bCs/>
                <w:color w:val="auto"/>
                <w:szCs w:val="21"/>
                <w:highlight w:val="none"/>
              </w:rPr>
            </w:pPr>
            <w:r>
              <w:rPr>
                <w:rFonts w:hint="eastAsia" w:ascii="宋体" w:hAnsi="宋体" w:cs="宋体"/>
                <w:bCs/>
                <w:color w:val="auto"/>
                <w:szCs w:val="21"/>
                <w:highlight w:val="none"/>
              </w:rPr>
              <w:t>2.2文件管理：可新建实验文件，用于实验记录数据。</w:t>
            </w:r>
          </w:p>
          <w:p w14:paraId="211223A6">
            <w:pPr>
              <w:wordWrap w:val="0"/>
              <w:rPr>
                <w:rFonts w:ascii="宋体" w:hAnsi="宋体" w:cs="宋体"/>
                <w:bCs/>
                <w:color w:val="auto"/>
                <w:szCs w:val="21"/>
                <w:highlight w:val="none"/>
              </w:rPr>
            </w:pPr>
            <w:r>
              <w:rPr>
                <w:rFonts w:hint="eastAsia" w:ascii="宋体" w:hAnsi="宋体" w:cs="宋体"/>
                <w:bCs/>
                <w:color w:val="auto"/>
                <w:szCs w:val="21"/>
                <w:highlight w:val="none"/>
              </w:rPr>
              <w:t>2.3记录数据：可手动记录实验数据，并对产生的数据进行分析处理，考查学生的理论掌握情况。</w:t>
            </w:r>
          </w:p>
          <w:p w14:paraId="3B0FAEEB">
            <w:pPr>
              <w:wordWrap w:val="0"/>
              <w:rPr>
                <w:rFonts w:ascii="宋体" w:hAnsi="宋体" w:cs="宋体"/>
                <w:bCs/>
                <w:color w:val="auto"/>
                <w:szCs w:val="21"/>
                <w:highlight w:val="none"/>
              </w:rPr>
            </w:pPr>
            <w:r>
              <w:rPr>
                <w:rFonts w:hint="eastAsia" w:ascii="宋体" w:hAnsi="宋体" w:cs="宋体"/>
                <w:bCs/>
                <w:color w:val="auto"/>
                <w:szCs w:val="21"/>
                <w:highlight w:val="none"/>
              </w:rPr>
              <w:t>2.4查看图表：能够自动根据所记录数据生成曲线，可以将所绘曲线插入到实验报告中。</w:t>
            </w:r>
          </w:p>
          <w:p w14:paraId="4509A50E">
            <w:pPr>
              <w:wordWrap w:val="0"/>
              <w:rPr>
                <w:rFonts w:ascii="宋体" w:hAnsi="宋体" w:cs="宋体"/>
                <w:bCs/>
                <w:color w:val="auto"/>
                <w:szCs w:val="21"/>
                <w:highlight w:val="none"/>
              </w:rPr>
            </w:pPr>
            <w:r>
              <w:rPr>
                <w:rFonts w:hint="eastAsia" w:ascii="宋体" w:hAnsi="宋体" w:cs="宋体"/>
                <w:bCs/>
                <w:color w:val="auto"/>
                <w:szCs w:val="21"/>
                <w:highlight w:val="none"/>
              </w:rPr>
              <w:t>2.5设备列表：可自动寻路，点击指定设备名称可自动切换到设备所在位置，要求便</w:t>
            </w:r>
            <w:r>
              <w:rPr>
                <w:rFonts w:hint="eastAsia" w:ascii="宋体" w:hAnsi="宋体" w:cs="宋体"/>
                <w:bCs/>
                <w:color w:val="auto"/>
                <w:szCs w:val="21"/>
                <w:highlight w:val="none"/>
                <w:lang w:eastAsia="zh-CN"/>
              </w:rPr>
              <w:t>于</w:t>
            </w:r>
            <w:r>
              <w:rPr>
                <w:rFonts w:hint="eastAsia" w:ascii="宋体" w:hAnsi="宋体" w:cs="宋体"/>
                <w:bCs/>
                <w:color w:val="auto"/>
                <w:szCs w:val="21"/>
                <w:highlight w:val="none"/>
              </w:rPr>
              <w:t>查找设备部件或操作。</w:t>
            </w:r>
          </w:p>
          <w:p w14:paraId="27BE00E1">
            <w:pPr>
              <w:wordWrap w:val="0"/>
              <w:rPr>
                <w:rFonts w:ascii="宋体" w:hAnsi="宋体" w:cs="宋体"/>
                <w:bCs/>
                <w:color w:val="auto"/>
                <w:szCs w:val="21"/>
                <w:highlight w:val="none"/>
              </w:rPr>
            </w:pPr>
            <w:r>
              <w:rPr>
                <w:rFonts w:hint="eastAsia" w:ascii="宋体" w:hAnsi="宋体" w:cs="宋体"/>
                <w:bCs/>
                <w:color w:val="auto"/>
                <w:szCs w:val="21"/>
                <w:highlight w:val="none"/>
              </w:rPr>
              <w:t>2.6系统设置：可选择是否显示设备中所有交互点的位置标签，设置环境音效的开关状态。</w:t>
            </w:r>
          </w:p>
          <w:p w14:paraId="098FCEF0">
            <w:pPr>
              <w:wordWrap w:val="0"/>
              <w:rPr>
                <w:rFonts w:ascii="宋体" w:hAnsi="宋体" w:cs="宋体"/>
                <w:bCs/>
                <w:color w:val="auto"/>
                <w:szCs w:val="21"/>
                <w:highlight w:val="none"/>
              </w:rPr>
            </w:pPr>
            <w:r>
              <w:rPr>
                <w:rFonts w:hint="eastAsia" w:ascii="宋体" w:hAnsi="宋体" w:cs="宋体"/>
                <w:bCs/>
                <w:color w:val="auto"/>
                <w:szCs w:val="21"/>
                <w:highlight w:val="none"/>
              </w:rPr>
              <w:t>2.7打印报告：可选择所要求打印的数据文件、选择保存路径、设置文件名并打印实验报告。</w:t>
            </w:r>
          </w:p>
          <w:p w14:paraId="3E37AC0E">
            <w:pPr>
              <w:wordWrap w:val="0"/>
              <w:rPr>
                <w:rFonts w:ascii="宋体" w:hAnsi="宋体" w:cs="宋体"/>
                <w:bCs/>
                <w:color w:val="auto"/>
                <w:szCs w:val="21"/>
                <w:highlight w:val="none"/>
              </w:rPr>
            </w:pPr>
            <w:r>
              <w:rPr>
                <w:rFonts w:hint="eastAsia" w:ascii="宋体" w:hAnsi="宋体" w:cs="宋体"/>
                <w:bCs/>
                <w:color w:val="auto"/>
                <w:szCs w:val="21"/>
                <w:highlight w:val="none"/>
              </w:rPr>
              <w:t>2.8退出：退出实验。</w:t>
            </w:r>
          </w:p>
          <w:p w14:paraId="661D519A">
            <w:pPr>
              <w:wordWrap w:val="0"/>
              <w:rPr>
                <w:rFonts w:ascii="宋体" w:hAnsi="宋体" w:cs="宋体"/>
                <w:bCs/>
                <w:color w:val="auto"/>
                <w:szCs w:val="21"/>
                <w:highlight w:val="none"/>
              </w:rPr>
            </w:pPr>
            <w:r>
              <w:rPr>
                <w:rFonts w:hint="eastAsia" w:ascii="宋体" w:hAnsi="宋体" w:cs="宋体"/>
                <w:bCs/>
                <w:color w:val="auto"/>
                <w:szCs w:val="21"/>
                <w:highlight w:val="none"/>
              </w:rPr>
              <w:t>四、实验装置流程</w:t>
            </w:r>
          </w:p>
          <w:p w14:paraId="24A90161">
            <w:pPr>
              <w:wordWrap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1.实验中用水作为萃取剂萃取煤油中的苯甲酸，操作相比（质量比）1:1。在实验条件下，平衡关系为y=2.2x</w:t>
            </w:r>
            <w:r>
              <w:rPr>
                <w:rFonts w:hint="eastAsia" w:ascii="宋体" w:hAnsi="宋体" w:cs="宋体"/>
                <w:bCs/>
                <w:color w:val="auto"/>
                <w:szCs w:val="21"/>
                <w:highlight w:val="none"/>
                <w:lang w:eastAsia="zh-CN"/>
              </w:rPr>
              <w:t>。</w:t>
            </w:r>
          </w:p>
          <w:p w14:paraId="05855516">
            <w:pPr>
              <w:wordWrap w:val="0"/>
              <w:rPr>
                <w:rFonts w:ascii="宋体" w:hAnsi="宋体" w:cs="宋体"/>
                <w:bCs/>
                <w:color w:val="auto"/>
                <w:szCs w:val="21"/>
                <w:highlight w:val="none"/>
              </w:rPr>
            </w:pPr>
            <w:r>
              <w:rPr>
                <w:rFonts w:hint="eastAsia" w:ascii="宋体" w:hAnsi="宋体" w:cs="宋体"/>
                <w:bCs/>
                <w:color w:val="auto"/>
                <w:szCs w:val="21"/>
                <w:highlight w:val="none"/>
              </w:rPr>
              <w:t>2.实验中，通过改变振动塔的直流电机电压V（或振动频率f）来调节外加能量的大小，测取一系列相应的分散相（油相）中苯甲酸的含量，并通过物料衡算求得连续相（水相）的出口浓度即可计算得到相应系列的传质推动力（NOD）和传质高度（HOD）。最后，将传质高度（HOD）相应的对V（或f）作图，可得到HOD与外加能量之间的关系。</w:t>
            </w:r>
          </w:p>
          <w:p w14:paraId="4674CF90">
            <w:pPr>
              <w:wordWrap w:val="0"/>
              <w:rPr>
                <w:rFonts w:ascii="宋体" w:hAnsi="宋体" w:cs="宋体"/>
                <w:bCs/>
                <w:color w:val="auto"/>
                <w:szCs w:val="21"/>
                <w:highlight w:val="none"/>
              </w:rPr>
            </w:pPr>
            <w:r>
              <w:rPr>
                <w:rFonts w:hint="eastAsia" w:ascii="宋体" w:hAnsi="宋体" w:cs="宋体"/>
                <w:bCs/>
                <w:color w:val="auto"/>
                <w:szCs w:val="21"/>
                <w:highlight w:val="none"/>
              </w:rPr>
              <w:t>五、实验演示操作</w:t>
            </w:r>
          </w:p>
          <w:p w14:paraId="449D7624">
            <w:pPr>
              <w:wordWrap w:val="0"/>
              <w:rPr>
                <w:rFonts w:ascii="宋体" w:hAnsi="宋体" w:cs="宋体"/>
                <w:bCs/>
                <w:color w:val="auto"/>
                <w:szCs w:val="21"/>
                <w:highlight w:val="none"/>
              </w:rPr>
            </w:pPr>
            <w:r>
              <w:rPr>
                <w:rFonts w:hint="eastAsia" w:ascii="宋体" w:hAnsi="宋体" w:cs="宋体"/>
                <w:bCs/>
                <w:color w:val="auto"/>
                <w:szCs w:val="21"/>
                <w:highlight w:val="none"/>
              </w:rPr>
              <w:t>1.人物控制：W（前）S（后）A（左）D（右）、鼠标右键（视角旋转）。</w:t>
            </w:r>
          </w:p>
          <w:p w14:paraId="091519DE">
            <w:pPr>
              <w:wordWrap w:val="0"/>
              <w:rPr>
                <w:rFonts w:ascii="宋体" w:hAnsi="宋体" w:cs="宋体"/>
                <w:bCs/>
                <w:color w:val="auto"/>
                <w:szCs w:val="21"/>
                <w:highlight w:val="none"/>
              </w:rPr>
            </w:pPr>
            <w:r>
              <w:rPr>
                <w:rFonts w:hint="eastAsia" w:ascii="宋体" w:hAnsi="宋体" w:cs="宋体"/>
                <w:bCs/>
                <w:color w:val="auto"/>
                <w:szCs w:val="21"/>
                <w:highlight w:val="none"/>
              </w:rPr>
              <w:t>2.拉近镜头：鼠标左键双击设备可以拉近视角，显示设备局部方便进行操作，点击键盘任意键恢复全貌状态。</w:t>
            </w:r>
          </w:p>
          <w:p w14:paraId="200D147A">
            <w:pPr>
              <w:wordWrap w:val="0"/>
              <w:rPr>
                <w:rFonts w:ascii="宋体" w:hAnsi="宋体" w:cs="宋体"/>
                <w:bCs/>
                <w:color w:val="auto"/>
                <w:szCs w:val="21"/>
                <w:highlight w:val="none"/>
              </w:rPr>
            </w:pPr>
            <w:r>
              <w:rPr>
                <w:rFonts w:hint="eastAsia" w:ascii="宋体" w:hAnsi="宋体" w:cs="宋体"/>
                <w:bCs/>
                <w:color w:val="auto"/>
                <w:szCs w:val="21"/>
                <w:highlight w:val="none"/>
              </w:rPr>
              <w:t>3.调节阀可以通过点击按钮逐步增、减开度，也可通过拖动滑条快速调节开度，也可直接填写开度值。</w:t>
            </w:r>
          </w:p>
          <w:p w14:paraId="0F5A2F3A">
            <w:pPr>
              <w:wordWrap w:val="0"/>
              <w:rPr>
                <w:rFonts w:ascii="宋体" w:hAnsi="宋体" w:cs="宋体"/>
                <w:bCs/>
                <w:color w:val="auto"/>
                <w:szCs w:val="21"/>
                <w:highlight w:val="none"/>
              </w:rPr>
            </w:pPr>
            <w:r>
              <w:rPr>
                <w:rFonts w:hint="eastAsia" w:ascii="宋体" w:hAnsi="宋体" w:cs="宋体"/>
                <w:bCs/>
                <w:color w:val="auto"/>
                <w:szCs w:val="21"/>
                <w:highlight w:val="none"/>
              </w:rPr>
              <w:t>4.配有实验课件，可以展示实验目的、实验原理、实验步骤、实验装置流程图和注意事项等。</w:t>
            </w:r>
          </w:p>
          <w:p w14:paraId="4AA6F1D6">
            <w:pPr>
              <w:wordWrap w:val="0"/>
              <w:rPr>
                <w:rFonts w:ascii="宋体" w:hAnsi="宋体" w:cs="宋体"/>
                <w:bCs/>
                <w:color w:val="auto"/>
                <w:szCs w:val="21"/>
                <w:highlight w:val="none"/>
              </w:rPr>
            </w:pPr>
            <w:r>
              <w:rPr>
                <w:rFonts w:hint="eastAsia" w:ascii="宋体" w:hAnsi="宋体" w:cs="宋体"/>
                <w:bCs/>
                <w:color w:val="auto"/>
                <w:szCs w:val="21"/>
                <w:highlight w:val="none"/>
              </w:rPr>
              <w:t>5.打开直流电机有真实的电机声音。</w:t>
            </w:r>
          </w:p>
          <w:p w14:paraId="71760C32">
            <w:pPr>
              <w:wordWrap w:val="0"/>
              <w:rPr>
                <w:rFonts w:ascii="宋体" w:hAnsi="宋体" w:cs="宋体"/>
                <w:bCs/>
                <w:color w:val="auto"/>
                <w:szCs w:val="21"/>
                <w:highlight w:val="none"/>
              </w:rPr>
            </w:pPr>
            <w:r>
              <w:rPr>
                <w:rFonts w:hint="eastAsia" w:ascii="宋体" w:hAnsi="宋体" w:cs="宋体"/>
                <w:bCs/>
                <w:color w:val="auto"/>
                <w:szCs w:val="21"/>
                <w:highlight w:val="none"/>
              </w:rPr>
              <w:t>6.在设备列表里对各种阀门、仪表、开关及设备进行分类，可以快速定位相应的位置。</w:t>
            </w:r>
          </w:p>
          <w:p w14:paraId="02D24362">
            <w:pPr>
              <w:wordWrap w:val="0"/>
              <w:rPr>
                <w:rFonts w:ascii="宋体" w:hAnsi="宋体" w:cs="宋体"/>
                <w:bCs/>
                <w:color w:val="auto"/>
                <w:szCs w:val="21"/>
                <w:highlight w:val="none"/>
              </w:rPr>
            </w:pPr>
            <w:r>
              <w:rPr>
                <w:rFonts w:hint="eastAsia" w:ascii="宋体" w:hAnsi="宋体" w:cs="宋体"/>
                <w:bCs/>
                <w:color w:val="auto"/>
                <w:szCs w:val="21"/>
                <w:highlight w:val="none"/>
              </w:rPr>
              <w:t>7.特效展示不同进气量或不同振动频率时萃取塔内部水油界面的变化，及其塔内油液滴的变化。</w:t>
            </w:r>
          </w:p>
          <w:p w14:paraId="7CB784BA">
            <w:pPr>
              <w:wordWrap w:val="0"/>
              <w:rPr>
                <w:rFonts w:ascii="宋体" w:hAnsi="宋体" w:cs="宋体"/>
                <w:bCs/>
                <w:color w:val="auto"/>
                <w:szCs w:val="21"/>
                <w:highlight w:val="none"/>
              </w:rPr>
            </w:pPr>
            <w:r>
              <w:rPr>
                <w:rFonts w:hint="eastAsia" w:ascii="宋体" w:hAnsi="宋体" w:cs="宋体"/>
                <w:bCs/>
                <w:color w:val="auto"/>
                <w:szCs w:val="21"/>
                <w:highlight w:val="none"/>
              </w:rPr>
              <w:t>8.可以通过π型管调节阀调节萃取塔内水油界面高度。</w:t>
            </w:r>
          </w:p>
          <w:p w14:paraId="25B8AD79">
            <w:pPr>
              <w:wordWrap w:val="0"/>
              <w:rPr>
                <w:rFonts w:ascii="宋体" w:hAnsi="宋体" w:cs="宋体"/>
                <w:bCs/>
                <w:color w:val="auto"/>
                <w:szCs w:val="21"/>
                <w:highlight w:val="none"/>
              </w:rPr>
            </w:pPr>
            <w:r>
              <w:rPr>
                <w:rFonts w:hint="eastAsia" w:ascii="宋体" w:hAnsi="宋体" w:cs="宋体"/>
                <w:bCs/>
                <w:color w:val="auto"/>
                <w:szCs w:val="21"/>
                <w:highlight w:val="none"/>
              </w:rPr>
              <w:t>9.固定两相流量、不同进气量或不同搅拌转速或不同振动频率时萃取塔的传质推动力NOD、传质单元高度HOE。</w:t>
            </w:r>
          </w:p>
          <w:p w14:paraId="78950794">
            <w:pPr>
              <w:wordWrap w:val="0"/>
              <w:rPr>
                <w:rFonts w:ascii="宋体" w:hAnsi="宋体" w:cs="宋体"/>
                <w:bCs/>
                <w:color w:val="auto"/>
                <w:szCs w:val="21"/>
                <w:highlight w:val="none"/>
              </w:rPr>
            </w:pPr>
            <w:r>
              <w:rPr>
                <w:rFonts w:hint="eastAsia" w:ascii="宋体" w:hAnsi="宋体" w:cs="宋体"/>
                <w:bCs/>
                <w:color w:val="auto"/>
                <w:szCs w:val="21"/>
                <w:highlight w:val="none"/>
              </w:rPr>
              <w:t>10.支持≥2000种化学物质的基础物性，基础物性包括但不限于：分子量、熔点、沸点、临界温度、临界压力、临界体积、临界压缩因子、偏心因子、偶极矩、25℃标准生成焓、25℃标准生成自由能、溶解参数、OMRGAPrime、折光率、回转半径、Rackett参数等</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1DE80848">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11.具有离心泵性能测定实验流程模拟设计软件，系统提供至少30种设备或仪表供用户选择，用户可根据不同实验任务自主选择不同型号的设备进行离心泵流程搭建，可以添加选择不同物质进行分离，可查看至少 5500 种化学物质的基础物性</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系统可判定流程搭建过程中的设备或仪表连接安装的位置准确性</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流程图搭建成功后，可运行项目，动态模拟离心泵实验的开停车操作。系统可记录数据和数据处理</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tc>
      </w:tr>
      <w:tr w14:paraId="03C5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2184FC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875" w:type="dxa"/>
            <w:shd w:val="clear" w:color="auto" w:fill="FFFFFF" w:themeFill="background1"/>
            <w:vAlign w:val="center"/>
          </w:tcPr>
          <w:p w14:paraId="35547FE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静电除尘实验3D仿真软件</w:t>
            </w:r>
          </w:p>
        </w:tc>
        <w:tc>
          <w:tcPr>
            <w:tcW w:w="836" w:type="dxa"/>
            <w:gridSpan w:val="2"/>
            <w:shd w:val="clear" w:color="auto" w:fill="FFFFFF" w:themeFill="background1"/>
            <w:vAlign w:val="center"/>
          </w:tcPr>
          <w:p w14:paraId="6C4E346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6FCD037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715AF4E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DFE7973">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1.软件仿真培训系统规格</w:t>
            </w:r>
          </w:p>
          <w:p w14:paraId="4CA3ECE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1.1规格：硬加密多用户安装版。</w:t>
            </w:r>
          </w:p>
          <w:p w14:paraId="6C1E6CC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1.2内容：包括模型运行客户端、工艺操作考核评价系统两部分。</w:t>
            </w:r>
          </w:p>
          <w:p w14:paraId="4F88A200">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1.2.1模型运行客户端</w:t>
            </w:r>
          </w:p>
          <w:p w14:paraId="201CD0AF">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（1）跟教师站管理端采用TCP/IP方式连接通讯；</w:t>
            </w:r>
          </w:p>
          <w:p w14:paraId="6CB264D7">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（2）可设置培训模式，启动后可自由切换培训项目；</w:t>
            </w:r>
          </w:p>
          <w:p w14:paraId="1651F873">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（3）对模型可进行冻结、解冻、运行、停止等操作；</w:t>
            </w:r>
          </w:p>
          <w:p w14:paraId="13CDD99A">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（4）可查看模型变量的相关信息，进行曲线绘制；</w:t>
            </w:r>
          </w:p>
          <w:p w14:paraId="056E3220">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（5）可保存、重演模型的运行状态；</w:t>
            </w:r>
          </w:p>
          <w:p w14:paraId="1B61CBC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（6）调整仿真时标。</w:t>
            </w:r>
          </w:p>
          <w:p w14:paraId="617AEDF4">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1.2.2工艺操作考核评价系统</w:t>
            </w:r>
          </w:p>
          <w:p w14:paraId="66394DAE">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（1）工艺指标考核；</w:t>
            </w:r>
          </w:p>
          <w:p w14:paraId="314DBA83">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（2）操作步骤考核；</w:t>
            </w:r>
          </w:p>
          <w:p w14:paraId="7AD86E4F">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（3）分区、分角色操作评定；</w:t>
            </w:r>
          </w:p>
          <w:p w14:paraId="7A732E8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（4）每一个评分指标都可以设置严格起评、终止评定条件。</w:t>
            </w:r>
          </w:p>
          <w:p w14:paraId="2083648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2.仿真范围：软件主要</w:t>
            </w:r>
            <w:r>
              <w:rPr>
                <w:rFonts w:hint="eastAsia" w:ascii="宋体" w:hAnsi="宋体" w:cs="宋体"/>
                <w:bCs/>
                <w:color w:val="auto"/>
                <w:szCs w:val="21"/>
                <w:highlight w:val="none"/>
              </w:rPr>
              <w:t>针</w:t>
            </w:r>
            <w:r>
              <w:rPr>
                <w:rFonts w:hint="eastAsia" w:ascii="宋体" w:hAnsi="宋体" w:cs="宋体"/>
                <w:bCs/>
                <w:color w:val="auto"/>
                <w:szCs w:val="21"/>
                <w:highlight w:val="none"/>
              </w:rPr>
              <w:t>对环境及其相关专业学生，软件满足板式静电除尘实验过程的认知实习与操作过程的练习。</w:t>
            </w:r>
          </w:p>
          <w:p w14:paraId="198619C3">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3.软件培训内容</w:t>
            </w:r>
          </w:p>
          <w:p w14:paraId="564049E1">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3.1可以通过软件观察电晕放电的外观形态。</w:t>
            </w:r>
          </w:p>
          <w:p w14:paraId="08ADFC64">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3.2可以通过软件掌握静电除尘器入口压力与风速、风量的关系。</w:t>
            </w:r>
          </w:p>
          <w:p w14:paraId="42630E31">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3.3可以学习影响电除尘器的几个重要因素，掌握电除尘器的除尘效率与板极电压、板极间距和风速之间的关系。</w:t>
            </w:r>
          </w:p>
          <w:p w14:paraId="36BB23E7">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3.4实验流程</w:t>
            </w:r>
          </w:p>
          <w:p w14:paraId="5C1C41D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3.4.1实验项目选择：</w:t>
            </w:r>
            <w:r>
              <w:rPr>
                <w:rFonts w:hint="eastAsia" w:ascii="宋体" w:hAnsi="宋体" w:cs="宋体"/>
                <w:bCs/>
                <w:color w:val="auto"/>
                <w:szCs w:val="21"/>
                <w:highlight w:val="none"/>
              </w:rPr>
              <w:cr/>
            </w:r>
            <w:r>
              <w:rPr>
                <w:rFonts w:hint="eastAsia" w:ascii="宋体" w:hAnsi="宋体" w:cs="宋体"/>
                <w:bCs/>
                <w:color w:val="auto"/>
                <w:szCs w:val="21"/>
                <w:highlight w:val="none"/>
              </w:rPr>
              <w:t>软件需要具备如下五个实验项目：</w:t>
            </w:r>
          </w:p>
          <w:p w14:paraId="64ABC546">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（1）静电除尘器进口风量的测定；</w:t>
            </w:r>
          </w:p>
          <w:p w14:paraId="5BB6DDCA">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（2）空载U-I特性曲线的测定；</w:t>
            </w:r>
          </w:p>
          <w:p w14:paraId="784CC108">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（3）调节电压对除尘效率的影响；</w:t>
            </w:r>
          </w:p>
          <w:p w14:paraId="29C05BDB">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（4）不同板极间距对除尘效率的影响；</w:t>
            </w:r>
          </w:p>
          <w:p w14:paraId="1F486D5F">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（5）不同入口风速对除尘效率的影响。</w:t>
            </w:r>
          </w:p>
          <w:p w14:paraId="14E145D8">
            <w:pPr>
              <w:wordWrap w:val="0"/>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3.4.2实验内容：软件实验内容主要包括静电除尘器进口风量的测定、空载U-I特性曲线的测定、调节电压对除尘效率的影响、不同板极间距对除尘效率的影响四部分内容。主要操作包括设备启动，风机的使用，数据的记录与分析等内容。</w:t>
            </w:r>
          </w:p>
          <w:p w14:paraId="5812963A">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（1）四个模块操作需满足如下步骤：</w:t>
            </w:r>
            <w:r>
              <w:rPr>
                <w:rFonts w:hint="eastAsia" w:ascii="宋体" w:hAnsi="宋体" w:cs="宋体"/>
                <w:bCs/>
                <w:color w:val="auto"/>
                <w:szCs w:val="21"/>
                <w:highlight w:val="none"/>
              </w:rPr>
              <w:cr/>
            </w:r>
            <w:r>
              <w:rPr>
                <w:rFonts w:hint="eastAsia" w:ascii="宋体" w:hAnsi="宋体" w:cs="宋体"/>
                <w:bCs/>
                <w:color w:val="auto"/>
                <w:szCs w:val="21"/>
                <w:highlight w:val="none"/>
              </w:rPr>
              <w:t>①可查看实验准备内容；</w:t>
            </w:r>
            <w:r>
              <w:rPr>
                <w:rFonts w:hint="eastAsia" w:ascii="宋体" w:hAnsi="宋体" w:cs="宋体"/>
                <w:bCs/>
                <w:color w:val="auto"/>
                <w:szCs w:val="21"/>
                <w:highlight w:val="none"/>
              </w:rPr>
              <w:cr/>
            </w:r>
            <w:r>
              <w:rPr>
                <w:rFonts w:hint="eastAsia" w:ascii="宋体" w:hAnsi="宋体" w:cs="宋体"/>
                <w:bCs/>
                <w:color w:val="auto"/>
                <w:szCs w:val="21"/>
                <w:highlight w:val="none"/>
              </w:rPr>
              <w:t>②可启动设备电源、点亮设备显示屏；</w:t>
            </w:r>
            <w:r>
              <w:rPr>
                <w:rFonts w:hint="eastAsia" w:ascii="宋体" w:hAnsi="宋体" w:cs="宋体"/>
                <w:bCs/>
                <w:color w:val="auto"/>
                <w:szCs w:val="21"/>
                <w:highlight w:val="none"/>
              </w:rPr>
              <w:cr/>
            </w:r>
            <w:r>
              <w:rPr>
                <w:rFonts w:hint="eastAsia" w:ascii="宋体" w:hAnsi="宋体" w:cs="宋体"/>
                <w:bCs/>
                <w:color w:val="auto"/>
                <w:szCs w:val="21"/>
                <w:highlight w:val="none"/>
              </w:rPr>
              <w:t>③启动电机风机开关，启动风机；</w:t>
            </w:r>
            <w:r>
              <w:rPr>
                <w:rFonts w:hint="eastAsia" w:ascii="宋体" w:hAnsi="宋体" w:cs="宋体"/>
                <w:bCs/>
                <w:color w:val="auto"/>
                <w:szCs w:val="21"/>
                <w:highlight w:val="none"/>
              </w:rPr>
              <w:cr/>
            </w:r>
            <w:r>
              <w:rPr>
                <w:rFonts w:hint="eastAsia" w:ascii="宋体" w:hAnsi="宋体" w:cs="宋体"/>
                <w:bCs/>
                <w:color w:val="auto"/>
                <w:szCs w:val="21"/>
                <w:highlight w:val="none"/>
              </w:rPr>
              <w:t>④可调节风量调节阀，改变系统进风口的阀门开度；</w:t>
            </w:r>
            <w:r>
              <w:rPr>
                <w:rFonts w:hint="eastAsia" w:ascii="宋体" w:hAnsi="宋体" w:cs="宋体"/>
                <w:bCs/>
                <w:color w:val="auto"/>
                <w:szCs w:val="21"/>
                <w:highlight w:val="none"/>
              </w:rPr>
              <w:cr/>
            </w:r>
            <w:r>
              <w:rPr>
                <w:rFonts w:hint="eastAsia" w:ascii="宋体" w:hAnsi="宋体" w:cs="宋体"/>
                <w:bCs/>
                <w:color w:val="auto"/>
                <w:szCs w:val="21"/>
                <w:highlight w:val="none"/>
              </w:rPr>
              <w:t>⑤软件要求满足不同阀门开度对应的进口动压在软件4D界面右上角和显示屏上都有显示的要求；</w:t>
            </w:r>
            <w:r>
              <w:rPr>
                <w:rFonts w:hint="eastAsia" w:ascii="宋体" w:hAnsi="宋体" w:cs="宋体"/>
                <w:bCs/>
                <w:color w:val="auto"/>
                <w:szCs w:val="21"/>
                <w:highlight w:val="none"/>
              </w:rPr>
              <w:cr/>
            </w:r>
            <w:r>
              <w:rPr>
                <w:rFonts w:hint="eastAsia" w:ascii="宋体" w:hAnsi="宋体" w:cs="宋体"/>
                <w:bCs/>
                <w:color w:val="auto"/>
                <w:szCs w:val="21"/>
                <w:highlight w:val="none"/>
              </w:rPr>
              <w:t>⑥可记录阀门开度以及进口动压值。记录窗口最大支持十次数据记录，</w:t>
            </w:r>
            <w:r>
              <w:rPr>
                <w:rFonts w:hint="eastAsia" w:ascii="宋体" w:hAnsi="宋体" w:cs="宋体"/>
                <w:bCs/>
                <w:color w:val="auto"/>
                <w:szCs w:val="21"/>
                <w:highlight w:val="none"/>
              </w:rPr>
              <w:t>用户至少记录八组</w:t>
            </w:r>
            <w:r>
              <w:rPr>
                <w:rFonts w:hint="eastAsia" w:ascii="宋体" w:hAnsi="宋体" w:cs="宋体"/>
                <w:bCs/>
                <w:color w:val="auto"/>
                <w:szCs w:val="21"/>
                <w:highlight w:val="none"/>
              </w:rPr>
              <w:t>；</w:t>
            </w:r>
            <w:r>
              <w:rPr>
                <w:rFonts w:hint="eastAsia" w:ascii="宋体" w:hAnsi="宋体" w:cs="宋体"/>
                <w:bCs/>
                <w:color w:val="auto"/>
                <w:szCs w:val="21"/>
                <w:highlight w:val="none"/>
              </w:rPr>
              <w:cr/>
            </w:r>
            <w:r>
              <w:rPr>
                <w:rFonts w:hint="eastAsia" w:ascii="宋体" w:hAnsi="宋体" w:cs="宋体"/>
                <w:bCs/>
                <w:color w:val="auto"/>
                <w:szCs w:val="21"/>
                <w:highlight w:val="none"/>
              </w:rPr>
              <w:t>⑦可记录数据；</w:t>
            </w:r>
            <w:r>
              <w:rPr>
                <w:rFonts w:hint="eastAsia" w:ascii="宋体" w:hAnsi="宋体" w:cs="宋体"/>
                <w:bCs/>
                <w:color w:val="auto"/>
                <w:szCs w:val="21"/>
                <w:highlight w:val="none"/>
              </w:rPr>
              <w:cr/>
            </w:r>
            <w:r>
              <w:rPr>
                <w:rFonts w:hint="eastAsia" w:ascii="宋体" w:hAnsi="宋体" w:cs="宋体"/>
                <w:bCs/>
                <w:color w:val="auto"/>
                <w:szCs w:val="21"/>
                <w:highlight w:val="none"/>
              </w:rPr>
              <w:t>⑧点击查看图表可以查看进口动压与气体流量的散点图，并能保存结果；</w:t>
            </w:r>
            <w:r>
              <w:rPr>
                <w:rFonts w:hint="eastAsia" w:ascii="宋体" w:hAnsi="宋体" w:cs="宋体"/>
                <w:bCs/>
                <w:color w:val="auto"/>
                <w:szCs w:val="21"/>
                <w:highlight w:val="none"/>
              </w:rPr>
              <w:cr/>
            </w:r>
            <w:r>
              <w:rPr>
                <w:rFonts w:hint="eastAsia" w:ascii="宋体" w:hAnsi="宋体" w:cs="宋体"/>
                <w:bCs/>
                <w:color w:val="auto"/>
                <w:szCs w:val="21"/>
                <w:highlight w:val="none"/>
              </w:rPr>
              <w:t>⑨能够生成报告，并保存。</w:t>
            </w:r>
          </w:p>
          <w:p w14:paraId="7A29FD1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（2）空载U-I特性曲线的测定：</w:t>
            </w:r>
          </w:p>
          <w:p w14:paraId="767141A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①可查看实验准备中的内容；</w:t>
            </w:r>
          </w:p>
          <w:p w14:paraId="183D2CCB">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②可启动设备电源，点亮设备显示屏；</w:t>
            </w:r>
          </w:p>
          <w:p w14:paraId="203434C2">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③可启动风机，打开风量调节阀；</w:t>
            </w:r>
          </w:p>
          <w:p w14:paraId="4C1D8A7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④调整高压旋钮，对应的二次电压和二次电流数值会在软件右上角显示，除尘箱中可以观察电晕现象；</w:t>
            </w:r>
          </w:p>
          <w:p w14:paraId="39D98375">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⑤可进行数据记录，且最大支持十五次数据记录，查看图表和生成报告。</w:t>
            </w:r>
          </w:p>
          <w:p w14:paraId="5705C272">
            <w:pPr>
              <w:wordWrap w:val="0"/>
              <w:adjustRightInd w:val="0"/>
              <w:snapToGrid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（3）调节电压对除尘效率的影响</w:t>
            </w:r>
            <w:r>
              <w:rPr>
                <w:rFonts w:hint="eastAsia" w:ascii="宋体" w:hAnsi="宋体" w:cs="宋体"/>
                <w:bCs/>
                <w:color w:val="auto"/>
                <w:szCs w:val="21"/>
                <w:highlight w:val="none"/>
                <w:lang w:eastAsia="zh-CN"/>
              </w:rPr>
              <w:t>：</w:t>
            </w:r>
          </w:p>
          <w:p w14:paraId="37E0142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①可调节二次电压，打开起灰机时，系统发尘并伴有发尘特效；</w:t>
            </w:r>
          </w:p>
          <w:p w14:paraId="4715C2D7">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②可记录相关数据（包括二次电压、二次电流、板极间距、进口动压、发尘量和集尘量）；</w:t>
            </w:r>
            <w:r>
              <w:rPr>
                <w:rFonts w:hint="eastAsia" w:ascii="宋体" w:hAnsi="宋体" w:cs="宋体"/>
                <w:bCs/>
                <w:color w:val="auto"/>
                <w:szCs w:val="21"/>
                <w:highlight w:val="none"/>
              </w:rPr>
              <w:cr/>
            </w:r>
            <w:r>
              <w:rPr>
                <w:rFonts w:hint="eastAsia" w:ascii="宋体" w:hAnsi="宋体" w:cs="宋体"/>
                <w:bCs/>
                <w:color w:val="auto"/>
                <w:szCs w:val="21"/>
                <w:highlight w:val="none"/>
              </w:rPr>
              <w:t>且最大支持十五次数据记录，能够查看图表和生成报告。</w:t>
            </w:r>
          </w:p>
          <w:p w14:paraId="52D6C7B1">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（4）不同板极间距对除尘效率的影响</w:t>
            </w:r>
          </w:p>
          <w:p w14:paraId="0B0464F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①可启动起灰机，系统发尘并伴有发尘特效；</w:t>
            </w:r>
            <w:r>
              <w:rPr>
                <w:rFonts w:hint="eastAsia" w:ascii="宋体" w:hAnsi="宋体" w:cs="宋体"/>
                <w:bCs/>
                <w:color w:val="auto"/>
                <w:szCs w:val="21"/>
                <w:highlight w:val="none"/>
              </w:rPr>
              <w:cr/>
            </w:r>
            <w:r>
              <w:rPr>
                <w:rFonts w:hint="eastAsia" w:ascii="宋体" w:hAnsi="宋体" w:cs="宋体"/>
                <w:bCs/>
                <w:color w:val="auto"/>
                <w:szCs w:val="21"/>
                <w:highlight w:val="none"/>
              </w:rPr>
              <w:t>且最大支持十五次数据记录，可查看图表和生成报告；</w:t>
            </w:r>
            <w:r>
              <w:rPr>
                <w:rFonts w:hint="eastAsia" w:ascii="宋体" w:hAnsi="宋体" w:cs="宋体"/>
                <w:bCs/>
                <w:color w:val="auto"/>
                <w:szCs w:val="21"/>
                <w:highlight w:val="none"/>
              </w:rPr>
              <w:cr/>
            </w:r>
            <w:r>
              <w:rPr>
                <w:rFonts w:hint="eastAsia" w:ascii="宋体" w:hAnsi="宋体" w:cs="宋体"/>
                <w:bCs/>
                <w:color w:val="auto"/>
                <w:szCs w:val="21"/>
                <w:highlight w:val="none"/>
              </w:rPr>
              <w:t>②可记录相关数据（包括板极间距、进口动压、二次电压、二次电流、发尘量和集尘量）。</w:t>
            </w:r>
          </w:p>
          <w:p w14:paraId="5B2A2E1B">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（5）不同入口风速对除尘效率的影响</w:t>
            </w:r>
          </w:p>
          <w:p w14:paraId="150D3590">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①可启动风机，调节风量调节阀；</w:t>
            </w:r>
          </w:p>
          <w:p w14:paraId="7C2D3A27">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②可启动起灰机，系统发尘并伴有发尘特效；</w:t>
            </w:r>
            <w:r>
              <w:rPr>
                <w:rFonts w:hint="eastAsia" w:ascii="宋体" w:hAnsi="宋体" w:cs="宋体"/>
                <w:bCs/>
                <w:color w:val="auto"/>
                <w:szCs w:val="21"/>
                <w:highlight w:val="none"/>
              </w:rPr>
              <w:cr/>
            </w:r>
            <w:r>
              <w:rPr>
                <w:rFonts w:hint="eastAsia" w:ascii="宋体" w:hAnsi="宋体" w:cs="宋体"/>
                <w:bCs/>
                <w:color w:val="auto"/>
                <w:szCs w:val="21"/>
                <w:highlight w:val="none"/>
              </w:rPr>
              <w:t>③可记录相关数据（包括阀门开度、进口动压、二次电压、板极间距、发尘量、集尘量）；</w:t>
            </w:r>
            <w:r>
              <w:rPr>
                <w:rFonts w:hint="eastAsia" w:ascii="宋体" w:hAnsi="宋体" w:cs="宋体"/>
                <w:bCs/>
                <w:color w:val="auto"/>
                <w:szCs w:val="21"/>
                <w:highlight w:val="none"/>
              </w:rPr>
              <w:cr/>
            </w:r>
            <w:r>
              <w:rPr>
                <w:rFonts w:hint="eastAsia" w:ascii="宋体" w:hAnsi="宋体" w:cs="宋体"/>
                <w:bCs/>
                <w:color w:val="auto"/>
                <w:szCs w:val="21"/>
                <w:highlight w:val="none"/>
              </w:rPr>
              <w:t>④可关闭起灰机，调节风量调节阀；</w:t>
            </w:r>
          </w:p>
          <w:p w14:paraId="4A033575">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⑤可记录相关数据且最大支持十组数据记录，记录内容包括阀门开度、进口动压、二次电压、进口管道横截面积、进口风速、进口流量、发尘量、集尘量、除尘效率；可查看图表和生成报告。</w:t>
            </w:r>
          </w:p>
          <w:p w14:paraId="14330E26">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（6）静电除尘软件功能要求</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68BCB983">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①支持电晕形态和达到闪络电压时的击穿电流效果；</w:t>
            </w:r>
          </w:p>
          <w:p w14:paraId="7C191E83">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②软件模拟和实现电除尘器风量的测定、空载U-I特性曲线的测定、二次电压对除尘效率的影响、板极间距对除尘效率的影响、入口风速对除尘效率的影响；</w:t>
            </w:r>
          </w:p>
          <w:p w14:paraId="50493F97">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③支持提供数据记录功能，根据记录结果自动生成图表，并且随实验报告导出。</w:t>
            </w:r>
          </w:p>
        </w:tc>
      </w:tr>
      <w:tr w14:paraId="15E9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8A4A4A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w:t>
            </w:r>
          </w:p>
        </w:tc>
        <w:tc>
          <w:tcPr>
            <w:tcW w:w="875" w:type="dxa"/>
            <w:shd w:val="clear" w:color="auto" w:fill="FFFFFF" w:themeFill="background1"/>
            <w:vAlign w:val="center"/>
          </w:tcPr>
          <w:p w14:paraId="422DE7E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碱液吸收3D仿真软件</w:t>
            </w:r>
          </w:p>
        </w:tc>
        <w:tc>
          <w:tcPr>
            <w:tcW w:w="836" w:type="dxa"/>
            <w:gridSpan w:val="2"/>
            <w:shd w:val="clear" w:color="auto" w:fill="FFFFFF" w:themeFill="background1"/>
            <w:vAlign w:val="center"/>
          </w:tcPr>
          <w:p w14:paraId="5E89618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569843E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4F218876">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BDE46B3">
            <w:pPr>
              <w:wordWrap w:val="0"/>
              <w:rPr>
                <w:rFonts w:ascii="宋体" w:hAnsi="宋体" w:cs="宋体"/>
                <w:bCs/>
                <w:color w:val="auto"/>
                <w:szCs w:val="21"/>
                <w:highlight w:val="none"/>
              </w:rPr>
            </w:pPr>
            <w:r>
              <w:rPr>
                <w:rFonts w:hint="eastAsia" w:ascii="宋体" w:hAnsi="宋体" w:cs="宋体"/>
                <w:bCs/>
                <w:color w:val="auto"/>
                <w:szCs w:val="21"/>
                <w:highlight w:val="none"/>
              </w:rPr>
              <w:t>1.软件要求</w:t>
            </w:r>
          </w:p>
          <w:p w14:paraId="735728F0">
            <w:pPr>
              <w:wordWrap w:val="0"/>
              <w:rPr>
                <w:rFonts w:ascii="宋体" w:hAnsi="宋体" w:cs="宋体"/>
                <w:bCs/>
                <w:color w:val="auto"/>
                <w:szCs w:val="21"/>
                <w:highlight w:val="none"/>
              </w:rPr>
            </w:pPr>
            <w:r>
              <w:rPr>
                <w:rFonts w:hint="eastAsia" w:ascii="宋体" w:hAnsi="宋体" w:cs="宋体"/>
                <w:bCs/>
                <w:color w:val="auto"/>
                <w:szCs w:val="21"/>
                <w:highlight w:val="none"/>
              </w:rPr>
              <w:t>1.1利用技术：本软件采用三维引擎Unity与动态仿真技术（参考或相当于），仿照碱液吸收实验的实际过程，复现真实场景和人物，详细介绍实验的过程与内容。</w:t>
            </w:r>
          </w:p>
          <w:p w14:paraId="7097D6B0">
            <w:pPr>
              <w:wordWrap w:val="0"/>
              <w:rPr>
                <w:rFonts w:ascii="宋体" w:hAnsi="宋体" w:cs="宋体"/>
                <w:bCs/>
                <w:color w:val="auto"/>
                <w:szCs w:val="21"/>
                <w:highlight w:val="none"/>
              </w:rPr>
            </w:pPr>
            <w:r>
              <w:rPr>
                <w:rFonts w:hint="eastAsia" w:ascii="宋体" w:hAnsi="宋体" w:cs="宋体"/>
                <w:bCs/>
                <w:color w:val="auto"/>
                <w:szCs w:val="21"/>
                <w:highlight w:val="none"/>
              </w:rPr>
              <w:t>1.2面向专业：环境科学、环境工程专业大气污染方向。</w:t>
            </w:r>
          </w:p>
          <w:p w14:paraId="31A4BFDC">
            <w:pPr>
              <w:wordWrap w:val="0"/>
              <w:rPr>
                <w:rFonts w:ascii="宋体" w:hAnsi="宋体" w:cs="宋体"/>
                <w:bCs/>
                <w:color w:val="auto"/>
                <w:szCs w:val="21"/>
                <w:highlight w:val="none"/>
              </w:rPr>
            </w:pPr>
            <w:r>
              <w:rPr>
                <w:rFonts w:hint="eastAsia" w:ascii="宋体" w:hAnsi="宋体" w:cs="宋体"/>
                <w:bCs/>
                <w:color w:val="auto"/>
                <w:szCs w:val="21"/>
                <w:highlight w:val="none"/>
              </w:rPr>
              <w:t>1.3主要内容：实验过程包括开启设备，数据记录，关停设备，数据处理等内容。</w:t>
            </w:r>
          </w:p>
          <w:p w14:paraId="3F15715D">
            <w:pPr>
              <w:wordWrap w:val="0"/>
              <w:rPr>
                <w:rFonts w:ascii="宋体" w:hAnsi="宋体" w:cs="宋体"/>
                <w:bCs/>
                <w:color w:val="auto"/>
                <w:szCs w:val="21"/>
                <w:highlight w:val="none"/>
              </w:rPr>
            </w:pPr>
            <w:r>
              <w:rPr>
                <w:rFonts w:hint="eastAsia" w:ascii="宋体" w:hAnsi="宋体" w:cs="宋体"/>
                <w:bCs/>
                <w:color w:val="auto"/>
                <w:szCs w:val="21"/>
                <w:highlight w:val="none"/>
              </w:rPr>
              <w:t>1.4提升技能：所竞软件环境真</w:t>
            </w:r>
            <w:r>
              <w:rPr>
                <w:rFonts w:hint="eastAsia" w:ascii="宋体" w:hAnsi="宋体" w:cs="宋体"/>
                <w:bCs/>
                <w:color w:val="auto"/>
                <w:szCs w:val="21"/>
                <w:highlight w:val="none"/>
              </w:rPr>
              <w:t>实、操作</w:t>
            </w:r>
            <w:r>
              <w:rPr>
                <w:rFonts w:hint="eastAsia" w:ascii="宋体" w:hAnsi="宋体" w:cs="宋体"/>
                <w:bCs/>
                <w:color w:val="auto"/>
                <w:szCs w:val="21"/>
                <w:highlight w:val="none"/>
                <w:lang w:eastAsia="zh-CN"/>
              </w:rPr>
              <w:t>便捷，</w:t>
            </w:r>
            <w:r>
              <w:rPr>
                <w:rFonts w:hint="eastAsia" w:ascii="宋体" w:hAnsi="宋体" w:cs="宋体"/>
                <w:bCs/>
                <w:color w:val="auto"/>
                <w:szCs w:val="21"/>
                <w:highlight w:val="none"/>
              </w:rPr>
              <w:t>可以为用户提供碱液吸收实验场景。</w:t>
            </w:r>
          </w:p>
          <w:p w14:paraId="64BA48B4">
            <w:pPr>
              <w:wordWrap w:val="0"/>
              <w:rPr>
                <w:rFonts w:ascii="宋体" w:hAnsi="宋体" w:cs="宋体"/>
                <w:bCs/>
                <w:color w:val="auto"/>
                <w:szCs w:val="21"/>
                <w:highlight w:val="none"/>
              </w:rPr>
            </w:pPr>
            <w:r>
              <w:rPr>
                <w:rFonts w:hint="eastAsia" w:ascii="宋体" w:hAnsi="宋体" w:cs="宋体"/>
                <w:bCs/>
                <w:color w:val="auto"/>
                <w:szCs w:val="21"/>
                <w:highlight w:val="none"/>
              </w:rPr>
              <w:t>2.软件规格</w:t>
            </w:r>
          </w:p>
          <w:p w14:paraId="18E3E5E6">
            <w:pPr>
              <w:wordWrap w:val="0"/>
              <w:rPr>
                <w:rFonts w:ascii="宋体" w:hAnsi="宋体" w:cs="宋体"/>
                <w:bCs/>
                <w:color w:val="auto"/>
                <w:szCs w:val="21"/>
                <w:highlight w:val="none"/>
              </w:rPr>
            </w:pPr>
            <w:r>
              <w:rPr>
                <w:rFonts w:hint="eastAsia" w:ascii="宋体" w:hAnsi="宋体" w:cs="宋体"/>
                <w:bCs/>
                <w:color w:val="auto"/>
                <w:szCs w:val="21"/>
                <w:highlight w:val="none"/>
              </w:rPr>
              <w:t>2.1产品类型：PC版。</w:t>
            </w:r>
          </w:p>
          <w:p w14:paraId="2988F879">
            <w:pPr>
              <w:wordWrap w:val="0"/>
              <w:rPr>
                <w:rFonts w:ascii="宋体" w:hAnsi="宋体" w:cs="宋体"/>
                <w:bCs/>
                <w:color w:val="auto"/>
                <w:szCs w:val="21"/>
                <w:highlight w:val="none"/>
              </w:rPr>
            </w:pPr>
            <w:r>
              <w:rPr>
                <w:rFonts w:hint="eastAsia" w:ascii="宋体" w:hAnsi="宋体" w:cs="宋体"/>
                <w:bCs/>
                <w:color w:val="auto"/>
                <w:szCs w:val="21"/>
                <w:highlight w:val="none"/>
              </w:rPr>
              <w:t>2.2软件组成：评分、后台、3D场景、教师站（通过局域网连接可安装的多台学员操作站）。</w:t>
            </w:r>
          </w:p>
          <w:p w14:paraId="15DC4153">
            <w:pPr>
              <w:wordWrap w:val="0"/>
              <w:rPr>
                <w:rFonts w:ascii="宋体" w:hAnsi="宋体" w:cs="宋体"/>
                <w:bCs/>
                <w:color w:val="auto"/>
                <w:szCs w:val="21"/>
                <w:highlight w:val="none"/>
              </w:rPr>
            </w:pPr>
            <w:r>
              <w:rPr>
                <w:rFonts w:hint="eastAsia" w:ascii="宋体" w:hAnsi="宋体" w:cs="宋体"/>
                <w:bCs/>
                <w:color w:val="auto"/>
                <w:szCs w:val="21"/>
                <w:highlight w:val="none"/>
              </w:rPr>
              <w:t>2.3评价系统：学生可以在学员站上进行仿真操作练习，根据智能操作指导单独练习操作并对自己操作的成绩进行实时考核，而且可以生成并导出成绩单。</w:t>
            </w:r>
          </w:p>
          <w:p w14:paraId="445C2E97">
            <w:pPr>
              <w:wordWrap w:val="0"/>
              <w:rPr>
                <w:rFonts w:ascii="宋体" w:hAnsi="宋体" w:cs="宋体"/>
                <w:bCs/>
                <w:color w:val="auto"/>
                <w:szCs w:val="21"/>
                <w:highlight w:val="none"/>
              </w:rPr>
            </w:pPr>
            <w:r>
              <w:rPr>
                <w:rFonts w:hint="eastAsia" w:ascii="宋体" w:hAnsi="宋体" w:cs="宋体"/>
                <w:bCs/>
                <w:color w:val="auto"/>
                <w:szCs w:val="21"/>
                <w:highlight w:val="none"/>
              </w:rPr>
              <w:t>3.仿真范围</w:t>
            </w:r>
          </w:p>
          <w:p w14:paraId="26358E53">
            <w:pPr>
              <w:wordWrap w:val="0"/>
              <w:rPr>
                <w:rFonts w:ascii="宋体" w:hAnsi="宋体" w:cs="宋体"/>
                <w:bCs/>
                <w:color w:val="auto"/>
                <w:szCs w:val="21"/>
                <w:highlight w:val="none"/>
              </w:rPr>
            </w:pPr>
            <w:r>
              <w:rPr>
                <w:rFonts w:hint="eastAsia" w:ascii="宋体" w:hAnsi="宋体" w:cs="宋体"/>
                <w:bCs/>
                <w:color w:val="auto"/>
                <w:szCs w:val="21"/>
                <w:highlight w:val="none"/>
              </w:rPr>
              <w:t>3.1仿真工艺：软件设计、模型构建、UI交互，添加特效和动画进行渲染。</w:t>
            </w:r>
          </w:p>
          <w:p w14:paraId="0C727EAF">
            <w:pPr>
              <w:wordWrap w:val="0"/>
              <w:rPr>
                <w:rFonts w:ascii="宋体" w:hAnsi="宋体" w:cs="宋体"/>
                <w:bCs/>
                <w:color w:val="auto"/>
                <w:szCs w:val="21"/>
                <w:highlight w:val="none"/>
              </w:rPr>
            </w:pPr>
            <w:r>
              <w:rPr>
                <w:rFonts w:hint="eastAsia" w:ascii="宋体" w:hAnsi="宋体" w:cs="宋体"/>
                <w:bCs/>
                <w:color w:val="auto"/>
                <w:szCs w:val="21"/>
                <w:highlight w:val="none"/>
              </w:rPr>
              <w:t>3.2仿真内容：所竞软件可还原碱液吸收实验的实际过程，用户可通过自主漫游、UI交互、数据交互，熟悉软件中的操作步骤并填写实验记录，得出实验结论。支持软件要求采用填料吸收塔，采用化学吸收方法，用不低于5％碱液吸收SO</w:t>
            </w:r>
            <w:r>
              <w:rPr>
                <w:rFonts w:hint="eastAsia" w:ascii="宋体" w:hAnsi="宋体" w:cs="宋体"/>
                <w:bCs/>
                <w:color w:val="auto"/>
                <w:szCs w:val="21"/>
                <w:highlight w:val="none"/>
                <w:vertAlign w:val="subscript"/>
              </w:rPr>
              <w:t>2，</w:t>
            </w:r>
            <w:r>
              <w:rPr>
                <w:rFonts w:hint="eastAsia" w:ascii="宋体" w:hAnsi="宋体" w:cs="宋体"/>
                <w:bCs/>
                <w:color w:val="auto"/>
                <w:szCs w:val="21"/>
                <w:highlight w:val="none"/>
              </w:rPr>
              <w:t>从而将混合气体中的SO</w:t>
            </w:r>
            <w:r>
              <w:rPr>
                <w:rFonts w:hint="eastAsia" w:ascii="宋体" w:hAnsi="宋体" w:cs="宋体"/>
                <w:bCs/>
                <w:color w:val="auto"/>
                <w:szCs w:val="21"/>
                <w:highlight w:val="none"/>
                <w:vertAlign w:val="subscript"/>
              </w:rPr>
              <w:t>2</w:t>
            </w:r>
            <w:r>
              <w:rPr>
                <w:rFonts w:hint="eastAsia" w:ascii="宋体" w:hAnsi="宋体" w:cs="宋体"/>
                <w:bCs/>
                <w:color w:val="auto"/>
                <w:szCs w:val="21"/>
                <w:highlight w:val="none"/>
              </w:rPr>
              <w:t>去除。共有四个工况，通过控制阀门开度分别探究不同的液气比、风量和进气浓度对吸收效率的影响，以及不同风速对压降的影响。通过软件操作可初步了解用填料塔的吸收净化有害气体研究方法。在操作过程中，评分系统会对实验操作进行客观评分。</w:t>
            </w:r>
          </w:p>
          <w:p w14:paraId="161A2D88">
            <w:pPr>
              <w:wordWrap w:val="0"/>
              <w:rPr>
                <w:rFonts w:ascii="宋体" w:hAnsi="宋体" w:cs="宋体"/>
                <w:bCs/>
                <w:color w:val="auto"/>
                <w:szCs w:val="21"/>
                <w:highlight w:val="none"/>
              </w:rPr>
            </w:pPr>
            <w:r>
              <w:rPr>
                <w:rFonts w:hint="eastAsia" w:ascii="宋体" w:hAnsi="宋体" w:cs="宋体"/>
                <w:bCs/>
                <w:color w:val="auto"/>
                <w:szCs w:val="21"/>
                <w:highlight w:val="none"/>
              </w:rPr>
              <w:t>3.3仿真原理：吸收液从碱液罐通过转子流量计由填料塔上部经喷淋装置进入塔内，流经填料表面，由塔下部排出，进入废液收集罐。空气由空压机进入缓冲罐，SO</w:t>
            </w:r>
            <w:r>
              <w:rPr>
                <w:rFonts w:hint="eastAsia" w:ascii="宋体" w:hAnsi="宋体" w:cs="宋体"/>
                <w:bCs/>
                <w:color w:val="auto"/>
                <w:szCs w:val="21"/>
                <w:highlight w:val="none"/>
                <w:vertAlign w:val="subscript"/>
              </w:rPr>
              <w:t>2</w:t>
            </w:r>
            <w:r>
              <w:rPr>
                <w:rFonts w:hint="eastAsia" w:ascii="宋体" w:hAnsi="宋体" w:cs="宋体"/>
                <w:bCs/>
                <w:color w:val="auto"/>
                <w:szCs w:val="21"/>
                <w:highlight w:val="none"/>
              </w:rPr>
              <w:t>由SO</w:t>
            </w:r>
            <w:r>
              <w:rPr>
                <w:rFonts w:hint="eastAsia" w:ascii="宋体" w:hAnsi="宋体" w:cs="宋体"/>
                <w:bCs/>
                <w:color w:val="auto"/>
                <w:szCs w:val="21"/>
                <w:highlight w:val="none"/>
                <w:vertAlign w:val="subscript"/>
              </w:rPr>
              <w:t>2</w:t>
            </w:r>
            <w:r>
              <w:rPr>
                <w:rFonts w:hint="eastAsia" w:ascii="宋体" w:hAnsi="宋体" w:cs="宋体"/>
                <w:bCs/>
                <w:color w:val="auto"/>
                <w:szCs w:val="21"/>
                <w:highlight w:val="none"/>
              </w:rPr>
              <w:t>钢瓶进入缓冲罐，经缓冲罐混合后，含SO</w:t>
            </w:r>
            <w:r>
              <w:rPr>
                <w:rFonts w:hint="eastAsia" w:ascii="宋体" w:hAnsi="宋体" w:cs="宋体"/>
                <w:bCs/>
                <w:color w:val="auto"/>
                <w:szCs w:val="21"/>
                <w:highlight w:val="none"/>
                <w:vertAlign w:val="subscript"/>
              </w:rPr>
              <w:t>2</w:t>
            </w:r>
            <w:r>
              <w:rPr>
                <w:rFonts w:hint="eastAsia" w:ascii="宋体" w:hAnsi="宋体" w:cs="宋体"/>
                <w:bCs/>
                <w:color w:val="auto"/>
                <w:szCs w:val="21"/>
                <w:highlight w:val="none"/>
              </w:rPr>
              <w:t>空气从塔底进气口进入填料塔内，通过填料层与NaOH喷淋吸收液充分混合、接触、吸收，尾气由塔顶排出。</w:t>
            </w:r>
          </w:p>
          <w:p w14:paraId="018C97B6">
            <w:pPr>
              <w:wordWrap w:val="0"/>
              <w:rPr>
                <w:rFonts w:ascii="宋体" w:hAnsi="宋体" w:cs="宋体"/>
                <w:bCs/>
                <w:color w:val="auto"/>
                <w:szCs w:val="21"/>
                <w:highlight w:val="none"/>
              </w:rPr>
            </w:pPr>
            <w:r>
              <w:rPr>
                <w:rFonts w:hint="eastAsia" w:ascii="宋体" w:hAnsi="宋体" w:cs="宋体"/>
                <w:bCs/>
                <w:color w:val="auto"/>
                <w:szCs w:val="21"/>
                <w:highlight w:val="none"/>
              </w:rPr>
              <w:t>3.4培训项目</w:t>
            </w:r>
          </w:p>
          <w:p w14:paraId="46DE78E8">
            <w:pPr>
              <w:wordWrap w:val="0"/>
              <w:rPr>
                <w:rFonts w:ascii="宋体" w:hAnsi="宋体" w:cs="宋体"/>
                <w:bCs/>
                <w:color w:val="auto"/>
                <w:szCs w:val="21"/>
                <w:highlight w:val="none"/>
              </w:rPr>
            </w:pPr>
            <w:r>
              <w:rPr>
                <w:rFonts w:hint="eastAsia" w:ascii="宋体" w:hAnsi="宋体" w:cs="宋体"/>
                <w:bCs/>
                <w:color w:val="auto"/>
                <w:szCs w:val="21"/>
                <w:highlight w:val="none"/>
              </w:rPr>
              <w:t>3.4.1不同液气比对吸收效率的影响：通过调节空气阀的大小改变液气比，探究不同液气比对吸收效率的影响。</w:t>
            </w:r>
          </w:p>
          <w:p w14:paraId="66D8B905">
            <w:pPr>
              <w:wordWrap w:val="0"/>
              <w:rPr>
                <w:rFonts w:ascii="宋体" w:hAnsi="宋体" w:cs="宋体"/>
                <w:bCs/>
                <w:color w:val="auto"/>
                <w:szCs w:val="21"/>
                <w:highlight w:val="none"/>
              </w:rPr>
            </w:pPr>
            <w:r>
              <w:rPr>
                <w:rFonts w:hint="eastAsia" w:ascii="宋体" w:hAnsi="宋体" w:cs="宋体"/>
                <w:bCs/>
                <w:color w:val="auto"/>
                <w:szCs w:val="21"/>
                <w:highlight w:val="none"/>
              </w:rPr>
              <w:t>3.4.2不同风量对吸收效率的影响：通过调节空气阀的大小改变风量，探究不同风量对吸收效率的影响。</w:t>
            </w:r>
          </w:p>
          <w:p w14:paraId="78937748">
            <w:pPr>
              <w:wordWrap w:val="0"/>
              <w:rPr>
                <w:rFonts w:ascii="宋体" w:hAnsi="宋体" w:cs="宋体"/>
                <w:bCs/>
                <w:color w:val="auto"/>
                <w:szCs w:val="21"/>
                <w:highlight w:val="none"/>
              </w:rPr>
            </w:pPr>
            <w:r>
              <w:rPr>
                <w:rFonts w:hint="eastAsia" w:ascii="宋体" w:hAnsi="宋体" w:cs="宋体"/>
                <w:bCs/>
                <w:color w:val="auto"/>
                <w:szCs w:val="21"/>
                <w:highlight w:val="none"/>
              </w:rPr>
              <w:t>3.4.3不同进气浓度对吸收效率的影响：通过调节SO</w:t>
            </w:r>
            <w:r>
              <w:rPr>
                <w:rFonts w:hint="eastAsia" w:ascii="宋体" w:hAnsi="宋体" w:cs="宋体"/>
                <w:bCs/>
                <w:color w:val="auto"/>
                <w:szCs w:val="21"/>
                <w:highlight w:val="none"/>
                <w:vertAlign w:val="subscript"/>
              </w:rPr>
              <w:t>2</w:t>
            </w:r>
            <w:r>
              <w:rPr>
                <w:rFonts w:hint="eastAsia" w:ascii="宋体" w:hAnsi="宋体" w:cs="宋体"/>
                <w:bCs/>
                <w:color w:val="auto"/>
                <w:szCs w:val="21"/>
                <w:highlight w:val="none"/>
              </w:rPr>
              <w:t>钢瓶阀门的大小改变进气浓度，探究不同进气浓度对吸收效率的影响。</w:t>
            </w:r>
          </w:p>
          <w:p w14:paraId="24A66C51">
            <w:pPr>
              <w:wordWrap w:val="0"/>
              <w:rPr>
                <w:rFonts w:ascii="宋体" w:hAnsi="宋体" w:cs="宋体"/>
                <w:bCs/>
                <w:color w:val="auto"/>
                <w:szCs w:val="21"/>
                <w:highlight w:val="none"/>
              </w:rPr>
            </w:pPr>
            <w:r>
              <w:rPr>
                <w:rFonts w:hint="eastAsia" w:ascii="宋体" w:hAnsi="宋体" w:cs="宋体"/>
                <w:bCs/>
                <w:color w:val="auto"/>
                <w:szCs w:val="21"/>
                <w:highlight w:val="none"/>
              </w:rPr>
              <w:t>3.4.4不同风速对压降的影响：通过调节空气阀的大小改变风速，探究不同风量对压降的影响。</w:t>
            </w:r>
          </w:p>
          <w:p w14:paraId="2C89355C">
            <w:pPr>
              <w:wordWrap w:val="0"/>
              <w:rPr>
                <w:rFonts w:ascii="宋体" w:hAnsi="宋体" w:cs="宋体"/>
                <w:bCs/>
                <w:color w:val="auto"/>
                <w:szCs w:val="21"/>
                <w:highlight w:val="none"/>
              </w:rPr>
            </w:pPr>
            <w:r>
              <w:rPr>
                <w:rFonts w:hint="eastAsia" w:ascii="宋体" w:hAnsi="宋体" w:cs="宋体"/>
                <w:bCs/>
                <w:color w:val="auto"/>
                <w:szCs w:val="21"/>
                <w:highlight w:val="none"/>
              </w:rPr>
              <w:t>4. 仿真实验内容</w:t>
            </w:r>
          </w:p>
          <w:p w14:paraId="413612DE">
            <w:pPr>
              <w:wordWrap w:val="0"/>
              <w:rPr>
                <w:rFonts w:ascii="宋体" w:hAnsi="宋体" w:cs="宋体"/>
                <w:bCs/>
                <w:color w:val="auto"/>
                <w:szCs w:val="21"/>
                <w:highlight w:val="none"/>
              </w:rPr>
            </w:pPr>
            <w:r>
              <w:rPr>
                <w:rFonts w:hint="eastAsia" w:ascii="宋体" w:hAnsi="宋体" w:cs="宋体"/>
                <w:bCs/>
                <w:color w:val="auto"/>
                <w:szCs w:val="21"/>
                <w:highlight w:val="none"/>
              </w:rPr>
              <w:t>4.1点击导航栏查看实验介绍。</w:t>
            </w:r>
          </w:p>
          <w:p w14:paraId="4BD3D34F">
            <w:pPr>
              <w:wordWrap w:val="0"/>
              <w:rPr>
                <w:rFonts w:ascii="宋体" w:hAnsi="宋体" w:cs="宋体"/>
                <w:bCs/>
                <w:color w:val="auto"/>
                <w:szCs w:val="21"/>
                <w:highlight w:val="none"/>
              </w:rPr>
            </w:pPr>
            <w:r>
              <w:rPr>
                <w:rFonts w:hint="eastAsia" w:ascii="宋体" w:hAnsi="宋体" w:cs="宋体"/>
                <w:bCs/>
                <w:color w:val="auto"/>
                <w:szCs w:val="21"/>
                <w:highlight w:val="none"/>
              </w:rPr>
              <w:t>4.2进入系统</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启动培训项目。</w:t>
            </w:r>
          </w:p>
          <w:p w14:paraId="312F95E0">
            <w:pPr>
              <w:wordWrap w:val="0"/>
              <w:rPr>
                <w:rFonts w:ascii="宋体" w:hAnsi="宋体" w:cs="宋体"/>
                <w:bCs/>
                <w:color w:val="auto"/>
                <w:szCs w:val="21"/>
                <w:highlight w:val="none"/>
              </w:rPr>
            </w:pPr>
            <w:r>
              <w:rPr>
                <w:rFonts w:hint="eastAsia" w:ascii="宋体" w:hAnsi="宋体" w:cs="宋体"/>
                <w:bCs/>
                <w:color w:val="auto"/>
                <w:szCs w:val="21"/>
                <w:highlight w:val="none"/>
              </w:rPr>
              <w:t>4.3根据实验步骤进行实验。</w:t>
            </w:r>
          </w:p>
          <w:p w14:paraId="6CB0AFC6">
            <w:pPr>
              <w:wordWrap w:val="0"/>
              <w:rPr>
                <w:rFonts w:ascii="宋体" w:hAnsi="宋体" w:cs="宋体"/>
                <w:bCs/>
                <w:color w:val="auto"/>
                <w:szCs w:val="21"/>
                <w:highlight w:val="none"/>
              </w:rPr>
            </w:pPr>
            <w:r>
              <w:rPr>
                <w:rFonts w:hint="eastAsia" w:ascii="宋体" w:hAnsi="宋体" w:cs="宋体"/>
                <w:bCs/>
                <w:color w:val="auto"/>
                <w:szCs w:val="21"/>
                <w:highlight w:val="none"/>
              </w:rPr>
              <w:t>4.4开启设备。</w:t>
            </w:r>
          </w:p>
          <w:p w14:paraId="50C8BB55">
            <w:pPr>
              <w:wordWrap w:val="0"/>
              <w:rPr>
                <w:rFonts w:ascii="宋体" w:hAnsi="宋体" w:cs="宋体"/>
                <w:bCs/>
                <w:color w:val="auto"/>
                <w:szCs w:val="21"/>
                <w:highlight w:val="none"/>
              </w:rPr>
            </w:pPr>
            <w:r>
              <w:rPr>
                <w:rFonts w:hint="eastAsia" w:ascii="宋体" w:hAnsi="宋体" w:cs="宋体"/>
                <w:bCs/>
                <w:color w:val="auto"/>
                <w:szCs w:val="21"/>
                <w:highlight w:val="none"/>
              </w:rPr>
              <w:t>4.5调节空气阀门开度，测定不同液气比下的吸收效率，至少记录十组数据。</w:t>
            </w:r>
          </w:p>
          <w:p w14:paraId="3F0B0419">
            <w:pPr>
              <w:wordWrap w:val="0"/>
              <w:rPr>
                <w:rFonts w:ascii="宋体" w:hAnsi="宋体" w:cs="宋体"/>
                <w:bCs/>
                <w:color w:val="auto"/>
                <w:szCs w:val="21"/>
                <w:highlight w:val="none"/>
              </w:rPr>
            </w:pPr>
            <w:r>
              <w:rPr>
                <w:rFonts w:hint="eastAsia" w:ascii="宋体" w:hAnsi="宋体" w:cs="宋体"/>
                <w:bCs/>
                <w:color w:val="auto"/>
                <w:szCs w:val="21"/>
                <w:highlight w:val="none"/>
              </w:rPr>
              <w:t>4.6关闭设备。实验完毕，先关闭SO</w:t>
            </w:r>
            <w:r>
              <w:rPr>
                <w:rFonts w:hint="eastAsia" w:ascii="宋体" w:hAnsi="宋体" w:cs="宋体"/>
                <w:bCs/>
                <w:color w:val="auto"/>
                <w:szCs w:val="21"/>
                <w:highlight w:val="none"/>
                <w:vertAlign w:val="subscript"/>
              </w:rPr>
              <w:t>2</w:t>
            </w:r>
            <w:r>
              <w:rPr>
                <w:rFonts w:hint="eastAsia" w:ascii="宋体" w:hAnsi="宋体" w:cs="宋体"/>
                <w:bCs/>
                <w:color w:val="auto"/>
                <w:szCs w:val="21"/>
                <w:highlight w:val="none"/>
              </w:rPr>
              <w:t>气瓶，然后关闭风机，关闭混合气箱出口流量计阀门和空气阀，停止鼓入空气。关闭填料塔的水泵后的阀门，关闭水泵，关闭填料塔的水泵前的阀门。打开废液阀门，待废液排出后关闭废液阀门。</w:t>
            </w:r>
          </w:p>
          <w:p w14:paraId="2BC7A9E6">
            <w:pPr>
              <w:wordWrap w:val="0"/>
              <w:rPr>
                <w:rFonts w:ascii="宋体" w:hAnsi="宋体" w:cs="宋体"/>
                <w:bCs/>
                <w:color w:val="auto"/>
                <w:szCs w:val="21"/>
                <w:highlight w:val="none"/>
              </w:rPr>
            </w:pPr>
            <w:r>
              <w:rPr>
                <w:rFonts w:hint="eastAsia" w:ascii="宋体" w:hAnsi="宋体" w:cs="宋体"/>
                <w:bCs/>
                <w:color w:val="auto"/>
                <w:szCs w:val="21"/>
                <w:highlight w:val="none"/>
              </w:rPr>
              <w:t>4.7查看图表并生成实验报告。</w:t>
            </w:r>
          </w:p>
          <w:p w14:paraId="060E81C9">
            <w:pPr>
              <w:wordWrap w:val="0"/>
              <w:rPr>
                <w:rFonts w:ascii="宋体" w:hAnsi="宋体" w:cs="宋体"/>
                <w:bCs/>
                <w:color w:val="auto"/>
                <w:szCs w:val="21"/>
                <w:highlight w:val="none"/>
              </w:rPr>
            </w:pPr>
            <w:r>
              <w:rPr>
                <w:rFonts w:hint="eastAsia" w:ascii="宋体" w:hAnsi="宋体" w:cs="宋体"/>
                <w:bCs/>
                <w:color w:val="auto"/>
                <w:szCs w:val="21"/>
                <w:highlight w:val="none"/>
              </w:rPr>
              <w:t>4.8完成实验分析</w:t>
            </w:r>
          </w:p>
          <w:p w14:paraId="62BB93D8">
            <w:pPr>
              <w:wordWrap w:val="0"/>
              <w:rPr>
                <w:rFonts w:ascii="宋体" w:hAnsi="宋体" w:cs="宋体"/>
                <w:bCs/>
                <w:color w:val="auto"/>
                <w:szCs w:val="21"/>
                <w:highlight w:val="none"/>
              </w:rPr>
            </w:pPr>
            <w:r>
              <w:rPr>
                <w:rFonts w:hint="eastAsia" w:ascii="宋体" w:hAnsi="宋体" w:cs="宋体"/>
                <w:bCs/>
                <w:color w:val="auto"/>
                <w:szCs w:val="21"/>
                <w:highlight w:val="none"/>
              </w:rPr>
              <w:t>5.软件功能及特色</w:t>
            </w:r>
          </w:p>
          <w:p w14:paraId="122CEF94">
            <w:pPr>
              <w:wordWrap w:val="0"/>
              <w:rPr>
                <w:rFonts w:ascii="宋体" w:hAnsi="宋体" w:cs="宋体"/>
                <w:bCs/>
                <w:color w:val="auto"/>
                <w:szCs w:val="21"/>
                <w:highlight w:val="none"/>
              </w:rPr>
            </w:pPr>
            <w:r>
              <w:rPr>
                <w:rFonts w:hint="eastAsia" w:ascii="宋体" w:hAnsi="宋体" w:cs="宋体"/>
                <w:bCs/>
                <w:color w:val="auto"/>
                <w:szCs w:val="21"/>
                <w:highlight w:val="none"/>
              </w:rPr>
              <w:t>5.1虚拟现实：搭建逼真的碱液吸收实验场景，在该场景主要完成场景体验、流程学习及交互计算等功能。</w:t>
            </w:r>
          </w:p>
          <w:p w14:paraId="505319F5">
            <w:pPr>
              <w:wordWrap w:val="0"/>
              <w:rPr>
                <w:rFonts w:ascii="宋体" w:hAnsi="宋体" w:cs="宋体"/>
                <w:bCs/>
                <w:color w:val="auto"/>
                <w:szCs w:val="21"/>
                <w:highlight w:val="none"/>
              </w:rPr>
            </w:pPr>
            <w:r>
              <w:rPr>
                <w:rFonts w:hint="eastAsia" w:ascii="宋体" w:hAnsi="宋体" w:cs="宋体"/>
                <w:bCs/>
                <w:color w:val="auto"/>
                <w:szCs w:val="21"/>
                <w:highlight w:val="none"/>
              </w:rPr>
              <w:t>5.2评分系统：对评价流程学习版块和虚拟现实场景中的操作和数据计算结果进行实时评定。</w:t>
            </w:r>
          </w:p>
          <w:p w14:paraId="78D8026C">
            <w:pPr>
              <w:wordWrap w:val="0"/>
              <w:rPr>
                <w:rFonts w:ascii="宋体" w:hAnsi="宋体" w:cs="宋体"/>
                <w:bCs/>
                <w:color w:val="auto"/>
                <w:szCs w:val="21"/>
                <w:highlight w:val="none"/>
              </w:rPr>
            </w:pPr>
            <w:r>
              <w:rPr>
                <w:rFonts w:hint="eastAsia" w:ascii="宋体" w:hAnsi="宋体" w:cs="宋体"/>
                <w:bCs/>
                <w:color w:val="auto"/>
                <w:szCs w:val="21"/>
                <w:highlight w:val="none"/>
              </w:rPr>
              <w:t>5.3教师站：设置软件的培训模式、授权管理、组织考试、统计成绩等。</w:t>
            </w:r>
          </w:p>
          <w:p w14:paraId="59FA315F">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5.4操作方式：在三维场景内使用W、S、A、D控制人物的前后左右移动，按空格可以跳跃，使用鼠标右键可旋转人物视角。</w:t>
            </w:r>
          </w:p>
        </w:tc>
      </w:tr>
      <w:tr w14:paraId="7F05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E7DF5A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w:t>
            </w:r>
          </w:p>
        </w:tc>
        <w:tc>
          <w:tcPr>
            <w:tcW w:w="875" w:type="dxa"/>
            <w:shd w:val="clear" w:color="auto" w:fill="FFFFFF" w:themeFill="background1"/>
            <w:vAlign w:val="center"/>
          </w:tcPr>
          <w:p w14:paraId="374A7D3E">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袋式除尘器</w:t>
            </w:r>
          </w:p>
        </w:tc>
        <w:tc>
          <w:tcPr>
            <w:tcW w:w="836" w:type="dxa"/>
            <w:gridSpan w:val="2"/>
            <w:shd w:val="clear" w:color="auto" w:fill="FFFFFF" w:themeFill="background1"/>
            <w:vAlign w:val="center"/>
          </w:tcPr>
          <w:p w14:paraId="7E6EE28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596480CD">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1B3C7C1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524EC8E">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一、主要技术参数及指标</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1.环境温度：5℃～40℃。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2.气体流动方式为外滤式，动力装置布置为负压式。</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3.处理气量 50-300m</w:t>
            </w:r>
            <w:r>
              <w:rPr>
                <w:rFonts w:hint="eastAsia" w:ascii="宋体" w:hAnsi="宋体" w:cs="宋体"/>
                <w:bCs/>
                <w:color w:val="auto"/>
                <w:szCs w:val="21"/>
                <w:highlight w:val="none"/>
                <w:vertAlign w:val="superscript"/>
              </w:rPr>
              <w:t>3</w:t>
            </w:r>
            <w:r>
              <w:rPr>
                <w:rFonts w:hint="eastAsia" w:ascii="宋体" w:hAnsi="宋体" w:cs="宋体"/>
                <w:bCs/>
                <w:color w:val="auto"/>
                <w:szCs w:val="21"/>
                <w:highlight w:val="none"/>
              </w:rPr>
              <w:t>/h。</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4.过滤速度约为1m/min。</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5.设备净化效率大于99%。</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6.设备压损：800～1200Pa。</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7.装置外形尺寸：长约2000mm，宽约550mm，高约1800mm。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8.工作电源：AC220V±10%、50Hz，单相三线制，功率约1500W；安全保护：具有接地保护、漏电保护、过流保护。</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9.电源线路及控制线的安装：须使用环保阻燃电气配线槽，规范整理符合国家标准，具有绝缘等特</w:t>
            </w:r>
            <w:r>
              <w:rPr>
                <w:rFonts w:hint="eastAsia" w:ascii="宋体" w:hAnsi="宋体" w:cs="宋体"/>
                <w:bCs/>
                <w:color w:val="auto"/>
                <w:szCs w:val="21"/>
                <w:highlight w:val="none"/>
                <w:lang w:eastAsia="zh-CN"/>
              </w:rPr>
              <w:t>性</w:t>
            </w:r>
            <w:r>
              <w:rPr>
                <w:rFonts w:hint="eastAsia" w:ascii="宋体" w:hAnsi="宋体" w:cs="宋体"/>
                <w:bCs/>
                <w:color w:val="auto"/>
                <w:szCs w:val="21"/>
                <w:highlight w:val="none"/>
              </w:rPr>
              <w:t>，布线整齐，</w:t>
            </w:r>
            <w:r>
              <w:rPr>
                <w:rFonts w:hint="eastAsia" w:ascii="宋体" w:hAnsi="宋体" w:cs="宋体"/>
                <w:bCs/>
                <w:color w:val="auto"/>
                <w:szCs w:val="21"/>
                <w:highlight w:val="none"/>
                <w:lang w:eastAsia="zh-CN"/>
              </w:rPr>
              <w:t>要求</w:t>
            </w:r>
            <w:r>
              <w:rPr>
                <w:rFonts w:hint="eastAsia" w:ascii="宋体" w:hAnsi="宋体" w:cs="宋体"/>
                <w:bCs/>
                <w:color w:val="auto"/>
                <w:szCs w:val="21"/>
                <w:highlight w:val="none"/>
              </w:rPr>
              <w:t>便于查找、维修和调换线路；</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二、主要配置：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1.在线进、出粉尘浓度检测系</w:t>
            </w:r>
            <w:r>
              <w:rPr>
                <w:rFonts w:hint="eastAsia" w:ascii="宋体" w:hAnsi="宋体" w:cs="宋体"/>
                <w:bCs/>
                <w:color w:val="auto"/>
                <w:szCs w:val="21"/>
                <w:highlight w:val="none"/>
              </w:rPr>
              <w:t>统</w:t>
            </w:r>
            <w:r>
              <w:rPr>
                <w:rFonts w:hint="eastAsia" w:ascii="宋体" w:hAnsi="宋体" w:cs="宋体"/>
                <w:bCs/>
                <w:color w:val="auto"/>
                <w:szCs w:val="21"/>
                <w:highlight w:val="none"/>
              </w:rPr>
              <w:t>2套：4-20MA输出、测量范围0-500mg</w:t>
            </w:r>
            <w:r>
              <w:rPr>
                <w:rFonts w:hint="eastAsia" w:ascii="宋体" w:hAnsi="宋体" w:cs="宋体"/>
                <w:bCs/>
                <w:color w:val="auto"/>
                <w:szCs w:val="21"/>
                <w:highlight w:val="none"/>
              </w:rPr>
              <w:t>/</w:t>
            </w:r>
            <w:r>
              <w:rPr>
                <w:rFonts w:hint="eastAsia" w:ascii="宋体" w:hAnsi="宋体" w:cs="宋体"/>
                <w:b/>
                <w:color w:val="auto"/>
                <w:szCs w:val="21"/>
                <w:highlight w:val="none"/>
              </w:rPr>
              <w:t>m</w:t>
            </w:r>
            <w:r>
              <w:rPr>
                <w:rFonts w:hint="eastAsia" w:ascii="宋体" w:hAnsi="宋体" w:cs="宋体"/>
                <w:b/>
                <w:color w:val="auto"/>
                <w:szCs w:val="21"/>
                <w:highlight w:val="none"/>
                <w:vertAlign w:val="superscript"/>
              </w:rPr>
              <w:t>3</w:t>
            </w:r>
            <w:r>
              <w:rPr>
                <w:rFonts w:hint="eastAsia"/>
                <w:color w:val="auto"/>
                <w:highlight w:val="none"/>
              </w:rPr>
              <w:t>，</w:t>
            </w:r>
            <w:r>
              <w:rPr>
                <w:rFonts w:hint="eastAsia" w:ascii="宋体" w:hAnsi="宋体" w:cs="宋体"/>
                <w:bCs/>
                <w:color w:val="auto"/>
                <w:szCs w:val="21"/>
                <w:highlight w:val="none"/>
              </w:rPr>
              <w:t>分辨率</w:t>
            </w:r>
            <w:r>
              <w:rPr>
                <w:rFonts w:hint="eastAsia" w:ascii="宋体" w:hAnsi="宋体" w:cs="宋体"/>
                <w:bCs/>
                <w:color w:val="auto"/>
                <w:szCs w:val="21"/>
                <w:highlight w:val="none"/>
              </w:rPr>
              <w:t>≥</w:t>
            </w:r>
            <w:r>
              <w:rPr>
                <w:rFonts w:hint="eastAsia" w:ascii="宋体" w:hAnsi="宋体" w:cs="宋体"/>
                <w:bCs/>
                <w:color w:val="auto"/>
                <w:szCs w:val="21"/>
                <w:highlight w:val="none"/>
              </w:rPr>
              <w:t>1PPM。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2.在线风压、风量及风速检测系统1套：压力传感器1套：输出4-20MA；风量、风速测量精度：±1%；</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3.风管内在线温度、湿度检测系统1套：温度量程-40-100℃、湿度量程0-100RH%、输出4-20MA。</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w:t>
            </w:r>
            <w:r>
              <w:rPr>
                <w:rFonts w:hint="eastAsia" w:asciiTheme="majorEastAsia" w:hAnsiTheme="majorEastAsia" w:eastAsiaTheme="majorEastAsia" w:cstheme="majorEastAsia"/>
                <w:color w:val="auto"/>
                <w:szCs w:val="21"/>
                <w:highlight w:val="none"/>
              </w:rPr>
              <w:t>袋式除尘器</w:t>
            </w:r>
            <w:r>
              <w:rPr>
                <w:rFonts w:hint="eastAsia" w:ascii="宋体" w:hAnsi="宋体" w:cs="宋体"/>
                <w:bCs/>
                <w:color w:val="auto"/>
                <w:szCs w:val="21"/>
                <w:highlight w:val="none"/>
              </w:rPr>
              <w:t>采用</w:t>
            </w:r>
            <w:r>
              <w:rPr>
                <w:rFonts w:hint="eastAsia" w:ascii="宋体" w:hAnsi="宋体" w:cs="宋体"/>
                <w:bCs/>
                <w:color w:val="auto"/>
                <w:szCs w:val="21"/>
                <w:highlight w:val="none"/>
              </w:rPr>
              <w:t>≥10英寸彩色液晶触摸屏</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eastAsia="zh-CN"/>
              </w:rPr>
              <w:t>具有</w:t>
            </w:r>
            <w:r>
              <w:rPr>
                <w:rFonts w:hint="eastAsia" w:ascii="宋体" w:hAnsi="宋体" w:cs="宋体"/>
                <w:bCs/>
                <w:color w:val="auto"/>
                <w:szCs w:val="21"/>
                <w:highlight w:val="none"/>
              </w:rPr>
              <w:t>打印</w:t>
            </w:r>
            <w:r>
              <w:rPr>
                <w:rFonts w:hint="eastAsia" w:ascii="宋体" w:hAnsi="宋体" w:cs="宋体"/>
                <w:bCs/>
                <w:color w:val="auto"/>
                <w:szCs w:val="21"/>
                <w:highlight w:val="none"/>
                <w:lang w:eastAsia="zh-CN"/>
              </w:rPr>
              <w:t>功能</w:t>
            </w:r>
            <w:r>
              <w:rPr>
                <w:rFonts w:hint="eastAsia" w:ascii="宋体" w:hAnsi="宋体" w:cs="宋体"/>
                <w:bCs/>
                <w:color w:val="auto"/>
                <w:szCs w:val="21"/>
                <w:highlight w:val="none"/>
              </w:rPr>
              <w:t>：热敏打印、打印速度≥50mm/s（MAX）、分辨率≥8点/mm和≥384点/行、有效打印宽带≥48mm。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w:t>
            </w:r>
            <w:r>
              <w:rPr>
                <w:rFonts w:hint="eastAsia" w:ascii="宋体" w:hAnsi="宋体" w:cs="宋体"/>
                <w:bCs/>
                <w:color w:val="auto"/>
                <w:szCs w:val="21"/>
                <w:highlight w:val="none"/>
              </w:rPr>
              <w:t>采用</w:t>
            </w:r>
            <w:r>
              <w:rPr>
                <w:rFonts w:hint="eastAsia" w:ascii="宋体" w:hAnsi="宋体" w:cs="宋体"/>
                <w:bCs/>
                <w:color w:val="auto"/>
                <w:szCs w:val="21"/>
                <w:highlight w:val="none"/>
              </w:rPr>
              <w:t>计算机通讯接口、实时记录历史数据和实时曲线、数据处理软件：</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6.袋式除尘器1套：透明有机玻璃材质、壁厚约10mm、长约800mm；宽约600mm；高约800mm、含卸除灰尘装置。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7.滤袋6个：过滤速度约为1m/min。滤袋材质为：涤纶针刺毡覆膜滤袋、滤袋过滤面积、≥0.35平方米、约Ø160×700 mm、滤袋为内滤式。</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8.振打电机1套：电源电压：220V；功率：25W；含304不锈钢机械振打装置1套。</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9.有机玻璃粉尘自动加料装置1套：立式加料。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10.气尘静态混合器1套：采用箱式静态混合器。</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11.人工监测进出口2组、测压环2组、透明测压软管1批</w:t>
            </w:r>
            <w:r>
              <w:rPr>
                <w:rFonts w:hint="eastAsia" w:ascii="宋体" w:hAnsi="宋体" w:cs="宋体"/>
                <w:bCs/>
                <w:color w:val="auto"/>
                <w:szCs w:val="21"/>
                <w:highlight w:val="none"/>
              </w:rPr>
              <w:t>：符合国标标准</w:t>
            </w:r>
            <w:r>
              <w:rPr>
                <w:rFonts w:hint="eastAsia" w:ascii="宋体" w:hAnsi="宋体" w:cs="宋体"/>
                <w:bCs/>
                <w:color w:val="auto"/>
                <w:szCs w:val="21"/>
                <w:highlight w:val="none"/>
              </w:rPr>
              <w: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12.离心通风机1台：电源电压：220V、功率1.1kw、转速≥2800r/min。</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13.变频器1套：控制风机转矩调节风量大小</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14.电源控制系统：双面亚光密纹喷塑电控箱1只、漏电保护</w:t>
            </w:r>
            <w:r>
              <w:rPr>
                <w:rFonts w:hint="eastAsia" w:ascii="宋体" w:hAnsi="宋体" w:cs="宋体"/>
                <w:bCs/>
                <w:color w:val="auto"/>
                <w:szCs w:val="21"/>
                <w:highlight w:val="none"/>
              </w:rPr>
              <w:t>器、带</w:t>
            </w:r>
            <w:r>
              <w:rPr>
                <w:rFonts w:hint="eastAsia" w:ascii="宋体" w:hAnsi="宋体" w:cs="宋体"/>
                <w:bCs/>
                <w:color w:val="auto"/>
                <w:szCs w:val="21"/>
                <w:highlight w:val="none"/>
              </w:rPr>
              <w:t>灯自锁按钮开关。</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15. 约Ø110</w:t>
            </w:r>
            <w:r>
              <w:rPr>
                <w:rFonts w:hint="eastAsia" w:ascii="宋体" w:hAnsi="宋体" w:cs="宋体"/>
                <w:bCs/>
                <w:color w:val="auto"/>
                <w:szCs w:val="21"/>
                <w:highlight w:val="none"/>
              </w:rPr>
              <w:t>mm</w:t>
            </w:r>
            <w:r>
              <w:rPr>
                <w:rFonts w:hint="eastAsia" w:ascii="宋体" w:hAnsi="宋体" w:cs="宋体"/>
                <w:bCs/>
                <w:color w:val="auto"/>
                <w:szCs w:val="21"/>
                <w:highlight w:val="none"/>
              </w:rPr>
              <w:t>连接管路及控制球阀。</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16.不锈钢框架实验台（约38mm×38mm不锈钢方管、配脚轮均为万向轮带禁锢脚）等组成。</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三、软件组成</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提供与本装置的实物配套使用3D交互式动态仿真软件1套。</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（1）3D软件界面并有工具栏项目内容；</w:t>
            </w:r>
          </w:p>
          <w:p w14:paraId="35E6794B">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（2）3D仿真演示软件与设备使用内容完全一致；</w:t>
            </w:r>
          </w:p>
          <w:p w14:paraId="475CC01E">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（3）3D仿真软件屏幕大小尺寸可以编程；</w:t>
            </w:r>
          </w:p>
          <w:p w14:paraId="483B9080">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（4）整套软件与设备实验过程流程动画；</w:t>
            </w:r>
          </w:p>
          <w:p w14:paraId="33352D7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（5）带视频讲解功能。</w:t>
            </w:r>
          </w:p>
        </w:tc>
      </w:tr>
      <w:tr w14:paraId="33B8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FB0A08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w:t>
            </w:r>
          </w:p>
        </w:tc>
        <w:tc>
          <w:tcPr>
            <w:tcW w:w="875" w:type="dxa"/>
            <w:shd w:val="clear" w:color="auto" w:fill="FFFFFF" w:themeFill="background1"/>
            <w:vAlign w:val="center"/>
          </w:tcPr>
          <w:p w14:paraId="29592D3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电子天平</w:t>
            </w:r>
          </w:p>
        </w:tc>
        <w:tc>
          <w:tcPr>
            <w:tcW w:w="836" w:type="dxa"/>
            <w:gridSpan w:val="2"/>
            <w:shd w:val="clear" w:color="auto" w:fill="FFFFFF" w:themeFill="background1"/>
            <w:vAlign w:val="center"/>
          </w:tcPr>
          <w:p w14:paraId="62F9C62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6212F1F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3245854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23D614A">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1.量程/精度：1000g/0.1mg。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2.重复性（mg）：＜±0.1。</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3.线性误差（mg）：±0.2。</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4.称盘尺寸（mm）：约Φ91。</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5.外形尺寸（mm）：约360×220×345。</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6.电磁力传感器。电源采用220v接入供电，RS232串口。</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7.材质：秤体位ABS材质；秤盘：不锈钢；防风罩：玻璃材质。</w:t>
            </w:r>
          </w:p>
        </w:tc>
      </w:tr>
      <w:tr w14:paraId="44BA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F8281DD">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w:t>
            </w:r>
          </w:p>
        </w:tc>
        <w:tc>
          <w:tcPr>
            <w:tcW w:w="875" w:type="dxa"/>
            <w:shd w:val="clear" w:color="auto" w:fill="FFFFFF" w:themeFill="background1"/>
            <w:vAlign w:val="center"/>
          </w:tcPr>
          <w:p w14:paraId="48424196">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图形工作站</w:t>
            </w:r>
          </w:p>
        </w:tc>
        <w:tc>
          <w:tcPr>
            <w:tcW w:w="836" w:type="dxa"/>
            <w:gridSpan w:val="2"/>
            <w:shd w:val="clear" w:color="auto" w:fill="FFFFFF" w:themeFill="background1"/>
            <w:vAlign w:val="center"/>
          </w:tcPr>
          <w:p w14:paraId="3E6459E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814" w:type="dxa"/>
            <w:shd w:val="clear" w:color="auto" w:fill="FFFFFF" w:themeFill="background1"/>
            <w:vAlign w:val="center"/>
          </w:tcPr>
          <w:p w14:paraId="4FD94A1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4A589A4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2DAE115">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一、硬件要求：</w:t>
            </w:r>
          </w:p>
          <w:p w14:paraId="063AB984">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1.处理器：参考或相当于英特尔酷睿I5-135002.5GHz基础频率，参考或相当于十四核心处理器。</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2.内存：≥16G内存，4个内存插槽，最大内存支持≥128G。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3.硬盘：≥配置512G M.2 SSD固态硬盘，机箱可扩展2个3.5寸硬盘槽位。</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4.主板：参考或相当于Q670主板，主板集成千兆网卡，具备1个参考或相当于PCIe Gen4.0×16，2个参考或相当于PCIe Gen3.0×4（×1速率）槽位。</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5.接口：≥9个USB 3.2接口（前置至少1个TYPE-C接口），集成≥5个音频接口，集成≥1个VGA接口，≥1个HDMI接口，≥1个DP接口，RJ45网口。</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6.键盘、鼠标：标配原厂USB光电鼠标/防水键盘，具备键盘开机功能。</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7.安全技术：配置USB管控功能，可以在BIOS底层实现对USB端口管控，仅识别USB键盘/鼠标设备，无法识别其</w:t>
            </w:r>
            <w:r>
              <w:rPr>
                <w:rFonts w:hint="eastAsia" w:ascii="宋体" w:hAnsi="宋体" w:cs="宋体"/>
                <w:bCs/>
                <w:color w:val="auto"/>
                <w:szCs w:val="21"/>
                <w:highlight w:val="none"/>
              </w:rPr>
              <w:t>他</w:t>
            </w:r>
            <w:r>
              <w:rPr>
                <w:rFonts w:hint="eastAsia" w:ascii="宋体" w:hAnsi="宋体" w:cs="宋体"/>
                <w:bCs/>
                <w:color w:val="auto"/>
                <w:szCs w:val="21"/>
                <w:highlight w:val="none"/>
              </w:rPr>
              <w:t>USB读取设备，有效防止数据泄露。</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8.电源：配置≥500W节能电源，不低于90% 能效转换率。</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9.机箱：塔式标准机箱，不大于17L；下置电源降低机箱重心，支持光触媒风扇，有效去除教学环境中甲醛等有害物质。</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10.软件：提供原厂性能优化软件：针对ISV软件（参考或相当于）进行优化（如</w:t>
            </w:r>
            <w:r>
              <w:rPr>
                <w:rFonts w:hint="eastAsia" w:ascii="宋体" w:hAnsi="宋体" w:cs="宋体"/>
                <w:bCs/>
                <w:color w:val="auto"/>
                <w:szCs w:val="21"/>
                <w:highlight w:val="none"/>
                <w:lang w:eastAsia="zh-CN"/>
              </w:rPr>
              <w:t>参考或相当于</w:t>
            </w:r>
            <w:r>
              <w:rPr>
                <w:rFonts w:hint="eastAsia" w:ascii="宋体" w:hAnsi="宋体" w:cs="宋体"/>
                <w:bCs/>
                <w:color w:val="auto"/>
                <w:szCs w:val="21"/>
                <w:highlight w:val="none"/>
              </w:rPr>
              <w:t>AutoCAD、ANSYS、3DMax、Solidworks、Maya、Creo等），打开软件界面即可看到ISV软件（参考或相当于）的名称；也可根据实际使用需求，对ISV软件（参考或相当于）进行手动调试优化；监控机器运行的实时负载（如处理器、内存、网络、硬盘、显卡</w:t>
            </w:r>
            <w:r>
              <w:rPr>
                <w:rFonts w:hint="eastAsia" w:ascii="宋体" w:hAnsi="宋体" w:cs="宋体"/>
                <w:bCs/>
                <w:color w:val="auto"/>
                <w:szCs w:val="21"/>
                <w:highlight w:val="none"/>
              </w:rPr>
              <w:t>等）。</w:t>
            </w:r>
          </w:p>
          <w:p w14:paraId="0B549B02">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二、工作站终端管理软件                 管理软件功能</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1.为满足采购人能够充分将新、旧电脑进行统一纳管，降低建设成本的需要，云桌面支持</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Legacy与UEFI两种方式启动系统，支持管理双网卡、双硬盘，支持参考或相当于NVME、M.2高速固态硬盘，同时兼容新老机型部署。</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2.为提升学校管理效率，云桌面管理平台支持批量管理终端计算机名、IP地址、分辨率、时间同步等配置信息，同时支持针对不同的终端群组设置不同的安全管控策略。</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针对不同楼宇、年级、学科的终端支持分组管理，可将终端进行分组，管理员可根据配置的镜像分配给相应的用户或用户组；为不影响教学，可在正常上课的同时完成镜像缓存下载；同一局域网内的设备可互相分享文档；镜像下载支持断点续传，避免网络中断等情况需要重复传输</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4.支</w:t>
            </w:r>
            <w:r>
              <w:rPr>
                <w:rFonts w:hint="eastAsia" w:ascii="宋体" w:hAnsi="宋体" w:cs="宋体"/>
                <w:bCs/>
                <w:color w:val="auto"/>
                <w:szCs w:val="21"/>
                <w:highlight w:val="none"/>
              </w:rPr>
              <w:t>持在镜像下发实时进行网速探测与策略优化，可识别终端网络速率，提前优化镜像下发策略</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 xml:space="preserve">。   </w:t>
            </w:r>
          </w:p>
        </w:tc>
      </w:tr>
      <w:tr w14:paraId="0A7B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B48EB9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w:t>
            </w:r>
          </w:p>
        </w:tc>
        <w:tc>
          <w:tcPr>
            <w:tcW w:w="875" w:type="dxa"/>
            <w:shd w:val="clear" w:color="auto" w:fill="FFFFFF" w:themeFill="background1"/>
            <w:vAlign w:val="center"/>
          </w:tcPr>
          <w:p w14:paraId="492B2329">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移动工作站</w:t>
            </w:r>
          </w:p>
        </w:tc>
        <w:tc>
          <w:tcPr>
            <w:tcW w:w="836" w:type="dxa"/>
            <w:gridSpan w:val="2"/>
            <w:shd w:val="clear" w:color="auto" w:fill="FFFFFF" w:themeFill="background1"/>
            <w:vAlign w:val="center"/>
          </w:tcPr>
          <w:p w14:paraId="0EA98B8E">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6E4A95A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71E4A4C4">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FFD69FB">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1.中央处理器：参考或相当于Intel Core Ultra5 125H；频率：约4.5GHz：线程数：≥18线程。</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2.内存：配置≥32GB。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3.硬盘：配置≥512TB PCIE 固态硬盘（参考或相当于）。</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4.无线网卡：参考或相当于双天线Wi-Fi 6E、声卡。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5.显卡：HD 高清显卡。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6.屏幕类型：OLED；分辨率：≥2880×1800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刷新率：≥120Hz。</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7.屏幕尺寸：≥14英寸。</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8.接口</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参考或相当于雷电/USB4接口：2个显示接口：参考或相当于HDMI 2.0。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9.厚度＜15mm，</w:t>
            </w:r>
            <w:r>
              <w:rPr>
                <w:rFonts w:hint="eastAsia" w:ascii="宋体" w:hAnsi="宋体" w:cs="宋体"/>
                <w:bCs/>
                <w:color w:val="auto"/>
                <w:szCs w:val="21"/>
                <w:highlight w:val="none"/>
              </w:rPr>
              <w:t>重量≤2kg</w:t>
            </w:r>
            <w:r>
              <w:rPr>
                <w:rFonts w:hint="eastAsia" w:ascii="宋体" w:hAnsi="宋体" w:cs="宋体"/>
                <w:bCs/>
                <w:color w:val="auto"/>
                <w:szCs w:val="21"/>
                <w:highlight w:val="none"/>
              </w:rPr>
              <w: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支持展示实验室资源数据使用，包括实验室在线/总数、终端在线/总数、场景在线/总数、桌面在线/总数；展示实验室资产状态，包括终端的风险预警次数、待处理变更数、待处理报修数；展示服务器资源实时使用情况，包括CPU使用、内存使用信息、存储使用信息；展示桌面今日并发趋势；管理平台支持在线客服，可直接在平台上咨询客服技术问题，当客服不在线时可进行留言，留言支持上传图片、视频等方式提供给客服进行问题分析。无需安装第三方通讯软件；可统计学生前排就座率、到课率和按时到课率、桌面使用活跃度和广播教学时长占比。并可导出实验教学课堂分析报告，为教务部门评估课程教学质量作决策依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11.可设置实验室电脑终端的登录方式，可设置免登录的完全开放模式和输入账号密码的登录模式。登录模式可以选择采购人全校全体师生和部分院系师生；可针对每间实验室或每台电脑终端自定义标签，管理员可以按标签的类别来搜索实验室或终端电脑。标签可设置为使用场景、使用班级、单双号等类别；支持给终端电脑发送图文消息，可编辑图文消息的字体、文字颜色、背景色以及插入链接。</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12.可统计每间实验室终端电脑数量、实验室占有率、上机人次、终端利用率以及智能监测捕获风险项，包括CPU高负载预警、内存高负载预警、磁盘IO高负载预警、系统盘空间不足预警、CPU高温预警、独立显卡高温预警、异常断电/蓝屏死机预警、终端网卡链接低速预警。</w:t>
            </w:r>
          </w:p>
        </w:tc>
      </w:tr>
      <w:tr w14:paraId="5A47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B801959">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w:t>
            </w:r>
          </w:p>
        </w:tc>
        <w:tc>
          <w:tcPr>
            <w:tcW w:w="875" w:type="dxa"/>
            <w:shd w:val="clear" w:color="auto" w:fill="FFFFFF" w:themeFill="background1"/>
            <w:vAlign w:val="center"/>
          </w:tcPr>
          <w:p w14:paraId="6D19E53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分光光度计</w:t>
            </w:r>
          </w:p>
        </w:tc>
        <w:tc>
          <w:tcPr>
            <w:tcW w:w="836" w:type="dxa"/>
            <w:gridSpan w:val="2"/>
            <w:shd w:val="clear" w:color="auto" w:fill="FFFFFF" w:themeFill="background1"/>
            <w:vAlign w:val="center"/>
          </w:tcPr>
          <w:p w14:paraId="59537559">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w:t>
            </w:r>
          </w:p>
        </w:tc>
        <w:tc>
          <w:tcPr>
            <w:tcW w:w="814" w:type="dxa"/>
            <w:shd w:val="clear" w:color="auto" w:fill="FFFFFF" w:themeFill="background1"/>
            <w:vAlign w:val="center"/>
          </w:tcPr>
          <w:p w14:paraId="500F9E30">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2A99F6C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0ABDA3E">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1.光学系统：自准式光栅单色器。</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2.显示系统：</w:t>
            </w:r>
            <w:r>
              <w:rPr>
                <w:rFonts w:hint="eastAsia" w:ascii="宋体" w:hAnsi="宋体" w:cs="宋体"/>
                <w:bCs/>
                <w:color w:val="auto"/>
                <w:szCs w:val="21"/>
                <w:highlight w:val="none"/>
              </w:rPr>
              <w:t>≥</w:t>
            </w:r>
            <w:r>
              <w:rPr>
                <w:rFonts w:hint="eastAsia" w:ascii="宋体" w:hAnsi="宋体" w:cs="宋体"/>
                <w:bCs/>
                <w:color w:val="auto"/>
                <w:szCs w:val="21"/>
                <w:highlight w:val="none"/>
              </w:rPr>
              <w:t>3.5位液晶显示</w:t>
            </w:r>
            <w:r>
              <w:rPr>
                <w:rFonts w:hint="eastAsia" w:ascii="宋体" w:hAnsi="宋体" w:cs="宋体"/>
                <w:bCs/>
                <w:color w:val="auto"/>
                <w:szCs w:val="21"/>
                <w:highlight w:val="none"/>
              </w:rPr>
              <w:t>屏</w:t>
            </w:r>
            <w:r>
              <w:rPr>
                <w:rFonts w:hint="eastAsia"/>
                <w:color w:val="auto"/>
                <w:highlight w:val="none"/>
              </w:rPr>
              <w: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3.波长范围：325-1000nm。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4.波长准确度：±2nm。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5.波长重复性：1nm。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6.100T%，0T%，波长设置方式：自动。</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7.光谱带宽：≥5nm。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8.杂散光：≤0.5％T。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9.光度显示范围：0-125%T,-0.097-3A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10.光度准确度：±0.5%T。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11.光度重复性：0.3%T。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12.稳定性：±0.003A/小时。</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13.光度分析T、A、C。</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14.配置：5-50mm比色皿架（置于仪器内），约10×10×45mm标准玻璃比色皿 4只，电源线1根，使用手册1份。</w:t>
            </w:r>
          </w:p>
          <w:p w14:paraId="1DB8EDB0">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15.参考或相当于RS-232C通讯线一根，参考或相当win-spec应用软件SP－1.33．CN1份。</w:t>
            </w:r>
          </w:p>
        </w:tc>
      </w:tr>
      <w:tr w14:paraId="1413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0478C469">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p>
        </w:tc>
        <w:tc>
          <w:tcPr>
            <w:tcW w:w="875" w:type="dxa"/>
            <w:shd w:val="clear" w:color="auto" w:fill="FFFFFF" w:themeFill="background1"/>
            <w:vAlign w:val="center"/>
          </w:tcPr>
          <w:p w14:paraId="7EDAC98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便携式溶解氧分析仪</w:t>
            </w:r>
          </w:p>
        </w:tc>
        <w:tc>
          <w:tcPr>
            <w:tcW w:w="836" w:type="dxa"/>
            <w:gridSpan w:val="2"/>
            <w:shd w:val="clear" w:color="auto" w:fill="FFFFFF" w:themeFill="background1"/>
            <w:vAlign w:val="center"/>
          </w:tcPr>
          <w:p w14:paraId="0C4AAC0E">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422F82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609FF116">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0BF5C92">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1.溶解氧范围：（0.00～50.00）mg/L。</w:t>
            </w:r>
          </w:p>
          <w:p w14:paraId="2950D11F">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2.最小分辨率：0.01 mg/L。</w:t>
            </w:r>
          </w:p>
          <w:p w14:paraId="2334C491">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3.电子单元示值误差：±0.10mg/L。</w:t>
            </w:r>
          </w:p>
          <w:p w14:paraId="6679BE7A">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4.仪器示值误差：≤20.00mg/L：±0.30 mg/L。</w:t>
            </w:r>
          </w:p>
          <w:p w14:paraId="4A2EE769">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5.响应时间：≤45s(20.0 ℃时90%响应)。</w:t>
            </w:r>
          </w:p>
          <w:p w14:paraId="4CAE5045">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6.盐度补偿误差：±2%。</w:t>
            </w:r>
          </w:p>
        </w:tc>
      </w:tr>
      <w:tr w14:paraId="0ADA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A1F7BB8">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w:t>
            </w:r>
          </w:p>
        </w:tc>
        <w:tc>
          <w:tcPr>
            <w:tcW w:w="875" w:type="dxa"/>
            <w:shd w:val="clear" w:color="auto" w:fill="FFFFFF" w:themeFill="background1"/>
            <w:vAlign w:val="center"/>
          </w:tcPr>
          <w:p w14:paraId="7F094C10">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大气综合采样器</w:t>
            </w:r>
          </w:p>
        </w:tc>
        <w:tc>
          <w:tcPr>
            <w:tcW w:w="836" w:type="dxa"/>
            <w:gridSpan w:val="2"/>
            <w:shd w:val="clear" w:color="auto" w:fill="FFFFFF" w:themeFill="background1"/>
            <w:vAlign w:val="center"/>
          </w:tcPr>
          <w:p w14:paraId="52CF660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14" w:type="dxa"/>
            <w:shd w:val="clear" w:color="auto" w:fill="FFFFFF" w:themeFill="background1"/>
            <w:vAlign w:val="center"/>
          </w:tcPr>
          <w:p w14:paraId="429E288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5121B4B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E19A8D8">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1.大气采样：双路（0.1-1.0L/min），TSP采样50-100L/min，滤膜直径：</w:t>
            </w:r>
            <w:r>
              <w:rPr>
                <w:rFonts w:hint="eastAsia" w:ascii="宋体" w:hAnsi="宋体" w:cs="宋体"/>
                <w:bCs/>
                <w:color w:val="auto"/>
                <w:szCs w:val="21"/>
                <w:highlight w:val="none"/>
              </w:rPr>
              <w:t>约</w:t>
            </w:r>
            <w:r>
              <w:rPr>
                <w:rFonts w:hint="eastAsia" w:ascii="宋体" w:hAnsi="宋体" w:cs="宋体"/>
                <w:bCs/>
                <w:color w:val="auto"/>
                <w:szCs w:val="21"/>
                <w:highlight w:val="none"/>
              </w:rPr>
              <w:t>80mm，控制方式：手动和自动24小时内任意设定开关时间。</w:t>
            </w:r>
          </w:p>
          <w:p w14:paraId="441DEFF1">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2.采样时间：1min-100h。</w:t>
            </w:r>
          </w:p>
          <w:p w14:paraId="7336353B">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延时开机：1min-100h；定时开关：1min-100h；时间间隔：1min-100h；流量稳定≤2%；流量影响＜5秒，计时精度：24小时±2秒；采样次数1-99次；计前温度：-30–+99℃，分辨率1℃，≤±2%；恒温型控温范围：15-33℃，准确度≤±1%；加热型控温范围：10-30℃，准确度≤±1%；噪声＜50dB；外形尺寸：</w:t>
            </w:r>
            <w:r>
              <w:rPr>
                <w:rFonts w:hint="eastAsia" w:ascii="宋体" w:hAnsi="宋体" w:cs="宋体"/>
                <w:bCs/>
                <w:color w:val="auto"/>
                <w:szCs w:val="21"/>
                <w:highlight w:val="none"/>
              </w:rPr>
              <w:t>约长250mm×宽260mm×高180</w:t>
            </w:r>
            <w:r>
              <w:rPr>
                <w:rFonts w:hint="eastAsia"/>
                <w:color w:val="auto"/>
                <w:highlight w:val="none"/>
              </w:rPr>
              <w:t>mm</w:t>
            </w:r>
            <w:r>
              <w:rPr>
                <w:rFonts w:hint="eastAsia" w:ascii="宋体" w:hAnsi="宋体" w:cs="宋体"/>
                <w:bCs/>
                <w:color w:val="auto"/>
                <w:szCs w:val="21"/>
                <w:highlight w:val="none"/>
              </w:rPr>
              <w:t>。</w:t>
            </w:r>
          </w:p>
        </w:tc>
      </w:tr>
      <w:tr w14:paraId="7988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A9B61AD">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w:t>
            </w:r>
          </w:p>
        </w:tc>
        <w:tc>
          <w:tcPr>
            <w:tcW w:w="875" w:type="dxa"/>
            <w:shd w:val="clear" w:color="auto" w:fill="FFFFFF" w:themeFill="background1"/>
            <w:vAlign w:val="center"/>
          </w:tcPr>
          <w:p w14:paraId="470E39A6">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积分声级计</w:t>
            </w:r>
          </w:p>
        </w:tc>
        <w:tc>
          <w:tcPr>
            <w:tcW w:w="836" w:type="dxa"/>
            <w:gridSpan w:val="2"/>
            <w:shd w:val="clear" w:color="auto" w:fill="FFFFFF" w:themeFill="background1"/>
            <w:vAlign w:val="center"/>
          </w:tcPr>
          <w:p w14:paraId="2AD648C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14" w:type="dxa"/>
            <w:shd w:val="clear" w:color="auto" w:fill="FFFFFF" w:themeFill="background1"/>
            <w:vAlign w:val="center"/>
          </w:tcPr>
          <w:p w14:paraId="3979FE5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7B6BBCF0">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63278D0">
            <w:pPr>
              <w:wordWrap w:val="0"/>
              <w:rPr>
                <w:rFonts w:ascii="宋体" w:hAnsi="宋体" w:cs="宋体"/>
                <w:bCs/>
                <w:color w:val="auto"/>
                <w:szCs w:val="21"/>
                <w:highlight w:val="none"/>
              </w:rPr>
            </w:pPr>
            <w:r>
              <w:rPr>
                <w:rFonts w:hint="eastAsia" w:ascii="宋体" w:hAnsi="宋体" w:cs="宋体"/>
                <w:bCs/>
                <w:color w:val="auto"/>
                <w:szCs w:val="21"/>
                <w:highlight w:val="none"/>
              </w:rPr>
              <w:t>1.频率范围：10 Hz～20 kHz。</w:t>
            </w:r>
          </w:p>
          <w:p w14:paraId="7EC3B128">
            <w:pPr>
              <w:wordWrap w:val="0"/>
              <w:rPr>
                <w:rFonts w:ascii="宋体" w:hAnsi="宋体" w:cs="宋体"/>
                <w:bCs/>
                <w:color w:val="auto"/>
                <w:szCs w:val="21"/>
                <w:highlight w:val="none"/>
              </w:rPr>
            </w:pPr>
            <w:r>
              <w:rPr>
                <w:rFonts w:hint="eastAsia" w:ascii="宋体" w:hAnsi="宋体" w:cs="宋体"/>
                <w:bCs/>
                <w:color w:val="auto"/>
                <w:szCs w:val="21"/>
                <w:highlight w:val="none"/>
              </w:rPr>
              <w:t>2.测量范围：A计权声级 20 dB～143 dB。</w:t>
            </w:r>
          </w:p>
          <w:p w14:paraId="5BD0698B">
            <w:pPr>
              <w:wordWrap w:val="0"/>
              <w:rPr>
                <w:rFonts w:ascii="宋体" w:hAnsi="宋体" w:cs="宋体"/>
                <w:bCs/>
                <w:color w:val="auto"/>
                <w:szCs w:val="21"/>
                <w:highlight w:val="none"/>
              </w:rPr>
            </w:pPr>
            <w:r>
              <w:rPr>
                <w:rFonts w:hint="eastAsia" w:ascii="宋体" w:hAnsi="宋体" w:cs="宋体"/>
                <w:bCs/>
                <w:color w:val="auto"/>
                <w:szCs w:val="21"/>
                <w:highlight w:val="none"/>
              </w:rPr>
              <w:t>3.时间计权：并行（同时）F、S、I。</w:t>
            </w:r>
          </w:p>
          <w:p w14:paraId="0C013A11">
            <w:pPr>
              <w:wordWrap w:val="0"/>
              <w:rPr>
                <w:rFonts w:ascii="宋体" w:hAnsi="宋体" w:cs="宋体"/>
                <w:bCs/>
                <w:color w:val="auto"/>
                <w:szCs w:val="21"/>
                <w:highlight w:val="none"/>
              </w:rPr>
            </w:pPr>
            <w:r>
              <w:rPr>
                <w:rFonts w:hint="eastAsia" w:ascii="宋体" w:hAnsi="宋体" w:cs="宋体"/>
                <w:bCs/>
                <w:color w:val="auto"/>
                <w:szCs w:val="21"/>
                <w:highlight w:val="none"/>
              </w:rPr>
              <w:t>4.频率计权：并行（同时）A、C、Z。</w:t>
            </w:r>
          </w:p>
          <w:p w14:paraId="5B4C5C96">
            <w:pPr>
              <w:wordWrap w:val="0"/>
              <w:rPr>
                <w:rFonts w:ascii="宋体" w:hAnsi="宋体" w:cs="宋体"/>
                <w:bCs/>
                <w:color w:val="auto"/>
                <w:szCs w:val="21"/>
                <w:highlight w:val="none"/>
              </w:rPr>
            </w:pPr>
            <w:r>
              <w:rPr>
                <w:rFonts w:hint="eastAsia" w:ascii="宋体" w:hAnsi="宋体" w:cs="宋体"/>
                <w:bCs/>
                <w:color w:val="auto"/>
                <w:szCs w:val="21"/>
                <w:highlight w:val="none"/>
              </w:rPr>
              <w:t>5.测量传声器：参考灵敏度级-28.0~28.9 dB（以1 V/Pa为参考0 dB）。</w:t>
            </w:r>
          </w:p>
          <w:p w14:paraId="6F48ECF1">
            <w:pPr>
              <w:wordWrap w:val="0"/>
              <w:rPr>
                <w:rFonts w:ascii="宋体" w:hAnsi="宋体" w:cs="宋体"/>
                <w:bCs/>
                <w:color w:val="auto"/>
                <w:szCs w:val="21"/>
                <w:highlight w:val="none"/>
              </w:rPr>
            </w:pPr>
            <w:r>
              <w:rPr>
                <w:rFonts w:hint="eastAsia" w:ascii="宋体" w:hAnsi="宋体" w:cs="宋体"/>
                <w:bCs/>
                <w:color w:val="auto"/>
                <w:szCs w:val="21"/>
                <w:highlight w:val="none"/>
              </w:rPr>
              <w:t>6.前置放大器：参考或相当于LEMO插头，支持插拔，支持外接延伸电缆。</w:t>
            </w:r>
          </w:p>
          <w:p w14:paraId="05EC7F42">
            <w:pPr>
              <w:wordWrap w:val="0"/>
              <w:rPr>
                <w:rFonts w:ascii="宋体" w:hAnsi="宋体" w:cs="宋体"/>
                <w:bCs/>
                <w:color w:val="auto"/>
                <w:szCs w:val="21"/>
                <w:highlight w:val="none"/>
              </w:rPr>
            </w:pPr>
            <w:r>
              <w:rPr>
                <w:rFonts w:hint="eastAsia" w:ascii="宋体" w:hAnsi="宋体" w:cs="宋体"/>
                <w:bCs/>
                <w:color w:val="auto"/>
                <w:szCs w:val="21"/>
                <w:highlight w:val="none"/>
              </w:rPr>
              <w:t>7.主要显示内容：可实时测量及显示9个以上测量指标、统计分布图、累积分布图、24小时分布图。</w:t>
            </w:r>
          </w:p>
          <w:p w14:paraId="5E127387">
            <w:pPr>
              <w:wordWrap w:val="0"/>
              <w:rPr>
                <w:rFonts w:ascii="宋体" w:hAnsi="宋体" w:cs="宋体"/>
                <w:bCs/>
                <w:color w:val="auto"/>
                <w:szCs w:val="21"/>
                <w:highlight w:val="none"/>
              </w:rPr>
            </w:pPr>
            <w:r>
              <w:rPr>
                <w:rFonts w:hint="eastAsia" w:ascii="宋体" w:hAnsi="宋体" w:cs="宋体"/>
                <w:bCs/>
                <w:color w:val="auto"/>
                <w:szCs w:val="21"/>
                <w:highlight w:val="none"/>
              </w:rPr>
              <w:t>8.测量指标：Lxyp、Lxeq,T、Lxeq,t、Lxmax、Lxmin、LxN、SD、SEL、Lxpeak等（x为A，C，Z；y为F，S，I；N为5，10，50，90，95）。</w:t>
            </w:r>
          </w:p>
          <w:p w14:paraId="054253A9">
            <w:pPr>
              <w:wordWrap w:val="0"/>
              <w:rPr>
                <w:rFonts w:ascii="宋体" w:hAnsi="宋体" w:cs="宋体"/>
                <w:bCs/>
                <w:color w:val="auto"/>
                <w:szCs w:val="21"/>
                <w:highlight w:val="none"/>
              </w:rPr>
            </w:pPr>
            <w:r>
              <w:rPr>
                <w:rFonts w:hint="eastAsia" w:ascii="宋体" w:hAnsi="宋体" w:cs="宋体"/>
                <w:bCs/>
                <w:color w:val="auto"/>
                <w:szCs w:val="21"/>
                <w:highlight w:val="none"/>
              </w:rPr>
              <w:t>9.</w:t>
            </w:r>
            <w:r>
              <w:rPr>
                <w:rFonts w:hint="eastAsia" w:asciiTheme="majorEastAsia" w:hAnsiTheme="majorEastAsia" w:eastAsiaTheme="majorEastAsia" w:cstheme="majorEastAsia"/>
                <w:color w:val="auto"/>
                <w:szCs w:val="21"/>
                <w:highlight w:val="none"/>
              </w:rPr>
              <w:t>积分声级计</w:t>
            </w:r>
            <w:r>
              <w:rPr>
                <w:rFonts w:hint="eastAsia" w:ascii="宋体" w:hAnsi="宋体" w:cs="宋体"/>
                <w:bCs/>
                <w:color w:val="auto"/>
                <w:szCs w:val="21"/>
                <w:highlight w:val="none"/>
              </w:rPr>
              <w:t>显示</w:t>
            </w:r>
            <w:r>
              <w:rPr>
                <w:rFonts w:hint="eastAsia" w:ascii="宋体" w:hAnsi="宋体" w:cs="宋体"/>
                <w:bCs/>
                <w:color w:val="auto"/>
                <w:szCs w:val="21"/>
                <w:highlight w:val="none"/>
              </w:rPr>
              <w:t>屏</w:t>
            </w:r>
            <w:r>
              <w:rPr>
                <w:rFonts w:hint="eastAsia" w:ascii="宋体" w:hAnsi="宋体" w:cs="宋体"/>
                <w:bCs/>
                <w:color w:val="auto"/>
                <w:szCs w:val="21"/>
                <w:highlight w:val="none"/>
              </w:rPr>
              <w:t>≥4.3 英寸触摸屏。</w:t>
            </w:r>
          </w:p>
          <w:p w14:paraId="2DBA7A62">
            <w:pPr>
              <w:wordWrap w:val="0"/>
              <w:rPr>
                <w:rFonts w:ascii="宋体" w:hAnsi="宋体" w:cs="宋体"/>
                <w:bCs/>
                <w:color w:val="auto"/>
                <w:szCs w:val="21"/>
                <w:highlight w:val="none"/>
              </w:rPr>
            </w:pPr>
            <w:r>
              <w:rPr>
                <w:rFonts w:hint="eastAsia" w:ascii="宋体" w:hAnsi="宋体" w:cs="宋体"/>
                <w:bCs/>
                <w:color w:val="auto"/>
                <w:szCs w:val="21"/>
                <w:highlight w:val="none"/>
              </w:rPr>
              <w:t>10.电源：锂电池、9V DC外接电源。</w:t>
            </w:r>
          </w:p>
          <w:p w14:paraId="7BDED46E">
            <w:pPr>
              <w:wordWrap w:val="0"/>
              <w:rPr>
                <w:rFonts w:ascii="宋体" w:hAnsi="宋体" w:cs="宋体"/>
                <w:bCs/>
                <w:color w:val="auto"/>
                <w:szCs w:val="21"/>
                <w:highlight w:val="none"/>
              </w:rPr>
            </w:pPr>
            <w:r>
              <w:rPr>
                <w:rFonts w:hint="eastAsia" w:ascii="宋体" w:hAnsi="宋体" w:cs="宋体"/>
                <w:bCs/>
                <w:color w:val="auto"/>
                <w:szCs w:val="21"/>
                <w:highlight w:val="none"/>
              </w:rPr>
              <w:t>11.具有数据</w:t>
            </w:r>
            <w:r>
              <w:rPr>
                <w:rFonts w:hint="eastAsia"/>
                <w:color w:val="auto"/>
                <w:highlight w:val="none"/>
              </w:rPr>
              <w:t>存储</w:t>
            </w:r>
            <w:r>
              <w:rPr>
                <w:rFonts w:hint="eastAsia" w:ascii="宋体" w:hAnsi="宋体" w:cs="宋体"/>
                <w:bCs/>
                <w:color w:val="auto"/>
                <w:szCs w:val="21"/>
                <w:highlight w:val="none"/>
              </w:rPr>
              <w:t>功能，可插TF卡，存储容量≥64G。</w:t>
            </w:r>
          </w:p>
          <w:p w14:paraId="247E9EE7">
            <w:pPr>
              <w:wordWrap w:val="0"/>
              <w:rPr>
                <w:rFonts w:ascii="宋体" w:hAnsi="宋体" w:cs="宋体"/>
                <w:bCs/>
                <w:color w:val="auto"/>
                <w:szCs w:val="21"/>
                <w:highlight w:val="none"/>
              </w:rPr>
            </w:pPr>
            <w:r>
              <w:rPr>
                <w:rFonts w:hint="eastAsia" w:ascii="宋体" w:hAnsi="宋体" w:cs="宋体"/>
                <w:bCs/>
                <w:color w:val="auto"/>
                <w:szCs w:val="21"/>
                <w:highlight w:val="none"/>
              </w:rPr>
              <w:t>12.输出接口：至少具有AC（交流）、DC（直流）、I/O扩展口、USB、蓝牙等。</w:t>
            </w:r>
          </w:p>
          <w:p w14:paraId="741913AE">
            <w:pPr>
              <w:wordWrap w:val="0"/>
              <w:rPr>
                <w:rFonts w:ascii="宋体" w:hAnsi="宋体" w:cs="宋体"/>
                <w:bCs/>
                <w:color w:val="auto"/>
                <w:szCs w:val="21"/>
                <w:highlight w:val="none"/>
              </w:rPr>
            </w:pPr>
            <w:r>
              <w:rPr>
                <w:rFonts w:hint="eastAsia" w:ascii="宋体" w:hAnsi="宋体" w:cs="宋体"/>
                <w:bCs/>
                <w:color w:val="auto"/>
                <w:szCs w:val="21"/>
                <w:highlight w:val="none"/>
              </w:rPr>
              <w:t>13.外壳防护等级：至少具备IP65（除传声器外）。</w:t>
            </w:r>
          </w:p>
          <w:p w14:paraId="3E2005DD">
            <w:pPr>
              <w:wordWrap w:val="0"/>
              <w:rPr>
                <w:rFonts w:ascii="宋体" w:hAnsi="宋体" w:cs="宋体"/>
                <w:bCs/>
                <w:color w:val="auto"/>
                <w:szCs w:val="21"/>
                <w:highlight w:val="none"/>
              </w:rPr>
            </w:pPr>
            <w:r>
              <w:rPr>
                <w:rFonts w:hint="eastAsia" w:ascii="宋体" w:hAnsi="宋体" w:cs="宋体"/>
                <w:bCs/>
                <w:color w:val="auto"/>
                <w:szCs w:val="21"/>
                <w:highlight w:val="none"/>
              </w:rPr>
              <w:t>14.录音功能：8000、48000采样频率可选，24位精度，WAV格式，可用仪器播放，也可用PC播放，支持同步、超限启动。</w:t>
            </w:r>
          </w:p>
          <w:p w14:paraId="6FC107DC">
            <w:pPr>
              <w:wordWrap w:val="0"/>
              <w:rPr>
                <w:rFonts w:ascii="宋体" w:hAnsi="宋体" w:cs="宋体"/>
                <w:bCs/>
                <w:color w:val="auto"/>
                <w:szCs w:val="21"/>
                <w:highlight w:val="none"/>
              </w:rPr>
            </w:pPr>
            <w:r>
              <w:rPr>
                <w:rFonts w:hint="eastAsia" w:ascii="宋体" w:hAnsi="宋体" w:cs="宋体"/>
                <w:bCs/>
                <w:color w:val="auto"/>
                <w:szCs w:val="21"/>
                <w:highlight w:val="none"/>
              </w:rPr>
              <w:t>15.数字记录仪功能：采样间隔20ms~5000ms可选，同步记录测量时段内的噪声数值。</w:t>
            </w:r>
          </w:p>
          <w:p w14:paraId="2EB77D04">
            <w:pPr>
              <w:wordWrap w:val="0"/>
              <w:rPr>
                <w:rFonts w:ascii="宋体" w:hAnsi="宋体" w:cs="宋体"/>
                <w:bCs/>
                <w:color w:val="auto"/>
                <w:szCs w:val="21"/>
                <w:highlight w:val="none"/>
              </w:rPr>
            </w:pPr>
            <w:r>
              <w:rPr>
                <w:rFonts w:hint="eastAsia" w:ascii="宋体" w:hAnsi="宋体" w:cs="宋体"/>
                <w:bCs/>
                <w:color w:val="auto"/>
                <w:szCs w:val="21"/>
                <w:highlight w:val="none"/>
              </w:rPr>
              <w:t>16. 1/1 OCT分析功能：标称中心频率：16 Hz~16 kHz；主要测量指标：频带瞬时声压级（Lp）、频带最大声压级（Lmax）、频带最小声压级（Lmin）、频带等效连续声压级（Leq,T）。</w:t>
            </w:r>
          </w:p>
          <w:p w14:paraId="395F1EF6">
            <w:pPr>
              <w:wordWrap w:val="0"/>
              <w:rPr>
                <w:rFonts w:ascii="宋体" w:hAnsi="宋体" w:cs="宋体"/>
                <w:bCs/>
                <w:color w:val="auto"/>
                <w:szCs w:val="21"/>
                <w:highlight w:val="none"/>
              </w:rPr>
            </w:pPr>
            <w:r>
              <w:rPr>
                <w:rFonts w:hint="eastAsia" w:ascii="宋体" w:hAnsi="宋体" w:cs="宋体"/>
                <w:bCs/>
                <w:color w:val="auto"/>
                <w:szCs w:val="21"/>
                <w:highlight w:val="none"/>
              </w:rPr>
              <w:t>17.仪器联网时支持在线地图显示，经纬度信息与噪声测量结果数据关联保存。</w:t>
            </w:r>
          </w:p>
          <w:p w14:paraId="69A4D208">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18.单套配置组成：主机1台，</w:t>
            </w:r>
            <w:r>
              <w:rPr>
                <w:rFonts w:hint="eastAsia" w:ascii="宋体" w:hAnsi="宋体" w:cs="宋体"/>
                <w:bCs/>
                <w:color w:val="auto"/>
                <w:szCs w:val="21"/>
                <w:highlight w:val="none"/>
              </w:rPr>
              <w:t>以及配套使用的</w:t>
            </w:r>
            <w:r>
              <w:rPr>
                <w:rFonts w:hint="eastAsia" w:ascii="宋体" w:hAnsi="宋体" w:cs="宋体"/>
                <w:bCs/>
                <w:color w:val="auto"/>
                <w:szCs w:val="21"/>
                <w:highlight w:val="none"/>
              </w:rPr>
              <w:t>风球1个、电源适配器1个、便携箱1个、测试杆1根、延伸电缆1根。</w:t>
            </w:r>
          </w:p>
        </w:tc>
      </w:tr>
      <w:tr w14:paraId="587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6F4CDB8">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w:t>
            </w:r>
          </w:p>
        </w:tc>
        <w:tc>
          <w:tcPr>
            <w:tcW w:w="875" w:type="dxa"/>
            <w:shd w:val="clear" w:color="auto" w:fill="FFFFFF" w:themeFill="background1"/>
            <w:vAlign w:val="center"/>
          </w:tcPr>
          <w:p w14:paraId="16998058">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COD标准消解器</w:t>
            </w:r>
          </w:p>
        </w:tc>
        <w:tc>
          <w:tcPr>
            <w:tcW w:w="836" w:type="dxa"/>
            <w:gridSpan w:val="2"/>
            <w:shd w:val="clear" w:color="auto" w:fill="FFFFFF" w:themeFill="background1"/>
            <w:vAlign w:val="center"/>
          </w:tcPr>
          <w:p w14:paraId="752D183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4FC6128">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21AF2B84">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E75F24B">
            <w:pPr>
              <w:wordWrap w:val="0"/>
              <w:rPr>
                <w:rFonts w:ascii="宋体" w:hAnsi="宋体" w:cs="宋体"/>
                <w:bCs/>
                <w:color w:val="auto"/>
                <w:szCs w:val="21"/>
                <w:highlight w:val="none"/>
              </w:rPr>
            </w:pPr>
            <w:r>
              <w:rPr>
                <w:rFonts w:hint="eastAsia" w:ascii="宋体" w:hAnsi="宋体" w:cs="宋体"/>
                <w:bCs/>
                <w:color w:val="auto"/>
                <w:szCs w:val="21"/>
                <w:highlight w:val="none"/>
              </w:rPr>
              <w:t>1.测量范围：10～1000mg/L、大于1000mg/L的水样稀释后测定。</w:t>
            </w:r>
          </w:p>
          <w:p w14:paraId="66AF2E69">
            <w:pPr>
              <w:wordWrap w:val="0"/>
              <w:rPr>
                <w:rFonts w:ascii="宋体" w:hAnsi="宋体" w:cs="宋体"/>
                <w:bCs/>
                <w:color w:val="auto"/>
                <w:szCs w:val="21"/>
                <w:highlight w:val="none"/>
              </w:rPr>
            </w:pPr>
            <w:r>
              <w:rPr>
                <w:rFonts w:hint="eastAsia" w:ascii="宋体" w:hAnsi="宋体" w:cs="宋体"/>
                <w:bCs/>
                <w:color w:val="auto"/>
                <w:szCs w:val="21"/>
                <w:highlight w:val="none"/>
              </w:rPr>
              <w:t>2.消解时间：10分钟－2小时30分钟（用户可自主选择加热时间）。</w:t>
            </w:r>
          </w:p>
          <w:p w14:paraId="1A66099A">
            <w:pPr>
              <w:wordWrap w:val="0"/>
              <w:rPr>
                <w:rFonts w:ascii="宋体" w:hAnsi="宋体" w:cs="宋体"/>
                <w:bCs/>
                <w:color w:val="auto"/>
                <w:szCs w:val="21"/>
                <w:highlight w:val="none"/>
              </w:rPr>
            </w:pPr>
            <w:r>
              <w:rPr>
                <w:rFonts w:hint="eastAsia" w:ascii="宋体" w:hAnsi="宋体" w:cs="宋体"/>
                <w:bCs/>
                <w:color w:val="auto"/>
                <w:szCs w:val="21"/>
                <w:highlight w:val="none"/>
              </w:rPr>
              <w:t>3.测量误差：邻苯二甲酸氢钾标准溶液（500mg/L）相对标准偏差不大于5.0%，工业有机废水（500mg/L）相对标准偏差不大于7.0%。</w:t>
            </w:r>
          </w:p>
          <w:p w14:paraId="69B46D3F">
            <w:pPr>
              <w:wordWrap w:val="0"/>
              <w:rPr>
                <w:rFonts w:ascii="宋体" w:hAnsi="宋体" w:cs="宋体"/>
                <w:bCs/>
                <w:color w:val="auto"/>
                <w:szCs w:val="21"/>
                <w:highlight w:val="none"/>
              </w:rPr>
            </w:pPr>
            <w:r>
              <w:rPr>
                <w:rFonts w:hint="eastAsia" w:ascii="宋体" w:hAnsi="宋体" w:cs="宋体"/>
                <w:bCs/>
                <w:color w:val="auto"/>
                <w:szCs w:val="21"/>
                <w:highlight w:val="none"/>
              </w:rPr>
              <w:t>4.环境温度：≤35℃。</w:t>
            </w:r>
          </w:p>
          <w:p w14:paraId="3F5556A5">
            <w:pPr>
              <w:wordWrap w:val="0"/>
              <w:rPr>
                <w:rFonts w:ascii="宋体" w:hAnsi="宋体" w:cs="宋体"/>
                <w:bCs/>
                <w:color w:val="auto"/>
                <w:szCs w:val="21"/>
                <w:highlight w:val="none"/>
              </w:rPr>
            </w:pPr>
            <w:r>
              <w:rPr>
                <w:rFonts w:hint="eastAsia" w:ascii="宋体" w:hAnsi="宋体" w:cs="宋体"/>
                <w:bCs/>
                <w:color w:val="auto"/>
                <w:szCs w:val="21"/>
                <w:highlight w:val="none"/>
              </w:rPr>
              <w:t>5.消解样品数：8个/12个（采用24#磨口的250mL锥形瓶）。</w:t>
            </w:r>
          </w:p>
          <w:p w14:paraId="592B1DDE">
            <w:pPr>
              <w:wordWrap w:val="0"/>
              <w:rPr>
                <w:rFonts w:ascii="宋体" w:hAnsi="宋体" w:cs="宋体"/>
                <w:bCs/>
                <w:color w:val="auto"/>
                <w:szCs w:val="21"/>
                <w:highlight w:val="none"/>
              </w:rPr>
            </w:pPr>
            <w:r>
              <w:rPr>
                <w:rFonts w:hint="eastAsia" w:ascii="宋体" w:hAnsi="宋体" w:cs="宋体"/>
                <w:bCs/>
                <w:color w:val="auto"/>
                <w:szCs w:val="21"/>
                <w:highlight w:val="none"/>
              </w:rPr>
              <w:t>6.加热功率：≤1600W（AC 220V，50Hz，用户可自主选择加热功率）。</w:t>
            </w:r>
          </w:p>
          <w:p w14:paraId="0F669B0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7.仪器尺寸：约45cm（L）×35cm（W）× 65cm（H）。</w:t>
            </w:r>
          </w:p>
        </w:tc>
      </w:tr>
      <w:tr w14:paraId="6BCA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222ADA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17</w:t>
            </w:r>
          </w:p>
        </w:tc>
        <w:tc>
          <w:tcPr>
            <w:tcW w:w="875" w:type="dxa"/>
            <w:shd w:val="clear" w:color="auto" w:fill="FFFFFF" w:themeFill="background1"/>
            <w:vAlign w:val="center"/>
          </w:tcPr>
          <w:p w14:paraId="113AFE7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智能一体化蒸馏仪</w:t>
            </w:r>
          </w:p>
        </w:tc>
        <w:tc>
          <w:tcPr>
            <w:tcW w:w="836" w:type="dxa"/>
            <w:gridSpan w:val="2"/>
            <w:shd w:val="clear" w:color="auto" w:fill="FFFFFF" w:themeFill="background1"/>
            <w:vAlign w:val="center"/>
          </w:tcPr>
          <w:p w14:paraId="37CA753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038931B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3E0C6FB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9FEF6B8">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1.加热样品量：≥6孔可独立控制。</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2.蒸馏速率：≥12ml/分钟。</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3.升温时间：5-8分钟。</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4.单炉加热功率：100~800W自由调节。</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5.定时功能：0~200分钟。</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6.蒸馏瓶（标准）：500ml×6</w:t>
            </w:r>
            <w:r>
              <w:rPr>
                <w:rFonts w:hint="eastAsia" w:ascii="宋体" w:hAnsi="宋体" w:cs="宋体"/>
                <w:bCs/>
                <w:color w:val="auto"/>
                <w:szCs w:val="21"/>
                <w:highlight w:val="none"/>
              </w:rPr>
              <w:t>个</w:t>
            </w:r>
            <w:r>
              <w:rPr>
                <w:rFonts w:hint="eastAsia" w:ascii="宋体" w:hAnsi="宋体" w:cs="宋体"/>
                <w:bCs/>
                <w:color w:val="auto"/>
                <w:szCs w:val="21"/>
                <w:highlight w:val="none"/>
              </w:rPr>
              <w:t>或250ml×6</w:t>
            </w:r>
            <w:r>
              <w:rPr>
                <w:rFonts w:hint="eastAsia" w:ascii="宋体" w:hAnsi="宋体" w:cs="宋体"/>
                <w:bCs/>
                <w:color w:val="auto"/>
                <w:szCs w:val="21"/>
                <w:highlight w:val="none"/>
              </w:rPr>
              <w:t>个</w:t>
            </w:r>
            <w:r>
              <w:rPr>
                <w:rFonts w:hint="eastAsia" w:ascii="宋体" w:hAnsi="宋体" w:cs="宋体"/>
                <w:bCs/>
                <w:color w:val="auto"/>
                <w:szCs w:val="21"/>
                <w:highlight w:val="none"/>
              </w:rPr>
              <w:t>蒸馏瓶（其他规格可定制）。</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7.材质：远红外陶瓷炉，红外线辐射加热；整机冷轧钢板喷涂，可定制不锈钢外壳。</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8.额定功率：</w:t>
            </w:r>
            <w:r>
              <w:rPr>
                <w:rFonts w:hint="eastAsia" w:ascii="宋体" w:hAnsi="宋体" w:cs="宋体"/>
                <w:bCs/>
                <w:color w:val="auto"/>
                <w:szCs w:val="21"/>
                <w:highlight w:val="none"/>
              </w:rPr>
              <w:t>≥</w:t>
            </w:r>
            <w:r>
              <w:rPr>
                <w:rFonts w:hint="eastAsia" w:ascii="宋体" w:hAnsi="宋体" w:cs="宋体"/>
                <w:bCs/>
                <w:color w:val="auto"/>
                <w:szCs w:val="21"/>
                <w:highlight w:val="none"/>
              </w:rPr>
              <w:t>4800W（可调节）。</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9.电源电压：220v/50Hz  5kw。</w:t>
            </w:r>
          </w:p>
        </w:tc>
      </w:tr>
      <w:tr w14:paraId="5F32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431B924">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18</w:t>
            </w:r>
          </w:p>
        </w:tc>
        <w:tc>
          <w:tcPr>
            <w:tcW w:w="875" w:type="dxa"/>
            <w:shd w:val="clear" w:color="auto" w:fill="FFFFFF" w:themeFill="background1"/>
            <w:vAlign w:val="center"/>
          </w:tcPr>
          <w:p w14:paraId="35AFF94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低速台式离心机</w:t>
            </w:r>
          </w:p>
        </w:tc>
        <w:tc>
          <w:tcPr>
            <w:tcW w:w="836" w:type="dxa"/>
            <w:gridSpan w:val="2"/>
            <w:shd w:val="clear" w:color="auto" w:fill="FFFFFF" w:themeFill="background1"/>
            <w:vAlign w:val="center"/>
          </w:tcPr>
          <w:p w14:paraId="61050C0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814" w:type="dxa"/>
            <w:shd w:val="clear" w:color="auto" w:fill="FFFFFF" w:themeFill="background1"/>
            <w:vAlign w:val="center"/>
          </w:tcPr>
          <w:p w14:paraId="6566DE8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7503A7C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DFF85B2">
            <w:pPr>
              <w:wordWrap w:val="0"/>
              <w:rPr>
                <w:rFonts w:ascii="宋体" w:hAnsi="宋体" w:cs="宋体"/>
                <w:bCs/>
                <w:color w:val="auto"/>
                <w:szCs w:val="21"/>
                <w:highlight w:val="none"/>
              </w:rPr>
            </w:pPr>
            <w:r>
              <w:rPr>
                <w:rFonts w:hint="eastAsia" w:ascii="宋体" w:hAnsi="宋体" w:cs="宋体"/>
                <w:bCs/>
                <w:color w:val="auto"/>
                <w:szCs w:val="21"/>
                <w:highlight w:val="none"/>
              </w:rPr>
              <w:t xml:space="preserve">1.重量：约20kg。  </w:t>
            </w:r>
          </w:p>
          <w:p w14:paraId="3360BD4C">
            <w:pPr>
              <w:wordWrap w:val="0"/>
              <w:rPr>
                <w:rFonts w:ascii="宋体" w:hAnsi="宋体" w:cs="宋体"/>
                <w:bCs/>
                <w:color w:val="auto"/>
                <w:szCs w:val="21"/>
                <w:highlight w:val="none"/>
              </w:rPr>
            </w:pPr>
            <w:r>
              <w:rPr>
                <w:rFonts w:hint="eastAsia" w:ascii="宋体" w:hAnsi="宋体" w:cs="宋体"/>
                <w:bCs/>
                <w:color w:val="auto"/>
                <w:szCs w:val="21"/>
                <w:highlight w:val="none"/>
              </w:rPr>
              <w:t xml:space="preserve">2.定时范围：0-99mim。 </w:t>
            </w:r>
          </w:p>
          <w:p w14:paraId="7727BA7E">
            <w:pPr>
              <w:wordWrap w:val="0"/>
              <w:rPr>
                <w:rFonts w:ascii="宋体" w:hAnsi="宋体" w:cs="宋体"/>
                <w:bCs/>
                <w:color w:val="auto"/>
                <w:szCs w:val="21"/>
                <w:highlight w:val="none"/>
              </w:rPr>
            </w:pPr>
            <w:r>
              <w:rPr>
                <w:rFonts w:hint="eastAsia" w:ascii="宋体" w:hAnsi="宋体" w:cs="宋体"/>
                <w:bCs/>
                <w:color w:val="auto"/>
                <w:szCs w:val="21"/>
                <w:highlight w:val="none"/>
              </w:rPr>
              <w:t>3.转速400-4000转/分。</w:t>
            </w:r>
          </w:p>
          <w:p w14:paraId="3E7967E0">
            <w:pPr>
              <w:wordWrap w:val="0"/>
              <w:rPr>
                <w:rFonts w:ascii="宋体" w:hAnsi="宋体" w:cs="宋体"/>
                <w:bCs/>
                <w:color w:val="auto"/>
                <w:szCs w:val="21"/>
                <w:highlight w:val="none"/>
              </w:rPr>
            </w:pPr>
            <w:r>
              <w:rPr>
                <w:rFonts w:hint="eastAsia" w:ascii="宋体" w:hAnsi="宋体" w:cs="宋体"/>
                <w:bCs/>
                <w:color w:val="auto"/>
                <w:szCs w:val="21"/>
                <w:highlight w:val="none"/>
              </w:rPr>
              <w:t>4.离心量：24×10ml。</w:t>
            </w:r>
          </w:p>
          <w:p w14:paraId="445093FD">
            <w:pPr>
              <w:wordWrap w:val="0"/>
              <w:rPr>
                <w:rFonts w:ascii="宋体" w:hAnsi="宋体" w:cs="宋体"/>
                <w:bCs/>
                <w:color w:val="auto"/>
                <w:szCs w:val="21"/>
                <w:highlight w:val="none"/>
              </w:rPr>
            </w:pPr>
            <w:r>
              <w:rPr>
                <w:rFonts w:hint="eastAsia" w:ascii="宋体" w:hAnsi="宋体" w:cs="宋体"/>
                <w:bCs/>
                <w:color w:val="auto"/>
                <w:szCs w:val="21"/>
                <w:highlight w:val="none"/>
              </w:rPr>
              <w:t>5.相对离心力：</w:t>
            </w:r>
            <w:r>
              <w:rPr>
                <w:rFonts w:hint="eastAsia" w:ascii="宋体" w:hAnsi="宋体" w:cs="宋体"/>
                <w:bCs/>
                <w:color w:val="auto"/>
                <w:szCs w:val="21"/>
                <w:highlight w:val="none"/>
                <w:lang w:eastAsia="zh-CN"/>
              </w:rPr>
              <w:t>约</w:t>
            </w:r>
            <w:r>
              <w:rPr>
                <w:rFonts w:hint="eastAsia" w:ascii="宋体" w:hAnsi="宋体" w:cs="宋体"/>
                <w:bCs/>
                <w:color w:val="auto"/>
                <w:szCs w:val="21"/>
                <w:highlight w:val="none"/>
              </w:rPr>
              <w:t>1790xg。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6.电源：AC220V 50Hz。</w:t>
            </w:r>
          </w:p>
          <w:p w14:paraId="74C4B267">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 xml:space="preserve">7.外形尺寸：约500×450×280mm。 </w:t>
            </w:r>
          </w:p>
        </w:tc>
      </w:tr>
      <w:tr w14:paraId="034F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90EB0B9">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19</w:t>
            </w:r>
          </w:p>
        </w:tc>
        <w:tc>
          <w:tcPr>
            <w:tcW w:w="875" w:type="dxa"/>
            <w:shd w:val="clear" w:color="auto" w:fill="FFFFFF" w:themeFill="background1"/>
            <w:vAlign w:val="center"/>
          </w:tcPr>
          <w:p w14:paraId="514B0FB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低速台式离心机</w:t>
            </w:r>
          </w:p>
        </w:tc>
        <w:tc>
          <w:tcPr>
            <w:tcW w:w="836" w:type="dxa"/>
            <w:gridSpan w:val="2"/>
            <w:shd w:val="clear" w:color="auto" w:fill="FFFFFF" w:themeFill="background1"/>
            <w:vAlign w:val="center"/>
          </w:tcPr>
          <w:p w14:paraId="3046876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FB4DEB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0022882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E83B21A">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1.最高转速：≥4000rpm（转/分），最大相对离心力：≥2770(×g)。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2.水平角转容量：配备约100ml×4 (4000rpm)、约50ml×8 (4000rpm)、约15ml×16 (4000rpm)。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3.定时范围：0min～99min，电源：220v 50Hz 400W。</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4.外形尺寸：约510mm×455mm×420mm(L×W×H)。</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5.采用全电脑控制，数字显示，配有电子门锁。</w:t>
            </w:r>
          </w:p>
        </w:tc>
      </w:tr>
      <w:tr w14:paraId="3078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4B29B5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20</w:t>
            </w:r>
          </w:p>
        </w:tc>
        <w:tc>
          <w:tcPr>
            <w:tcW w:w="875" w:type="dxa"/>
            <w:shd w:val="clear" w:color="auto" w:fill="FFFFFF" w:themeFill="background1"/>
            <w:vAlign w:val="center"/>
          </w:tcPr>
          <w:p w14:paraId="1D4F9BE4">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无人机遥感实验教学软件平台</w:t>
            </w:r>
          </w:p>
        </w:tc>
        <w:tc>
          <w:tcPr>
            <w:tcW w:w="836" w:type="dxa"/>
            <w:gridSpan w:val="2"/>
            <w:shd w:val="clear" w:color="auto" w:fill="FFFFFF" w:themeFill="background1"/>
            <w:vAlign w:val="center"/>
          </w:tcPr>
          <w:p w14:paraId="42F65A7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47AC123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5BD88069">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7D09EFE">
            <w:pPr>
              <w:wordWrap w:val="0"/>
              <w:rPr>
                <w:rFonts w:ascii="宋体" w:hAnsi="宋体" w:cs="宋体"/>
                <w:bCs/>
                <w:color w:val="auto"/>
                <w:szCs w:val="21"/>
                <w:highlight w:val="none"/>
              </w:rPr>
            </w:pPr>
            <w:r>
              <w:rPr>
                <w:rFonts w:hint="eastAsia" w:ascii="宋体" w:hAnsi="宋体" w:cs="宋体"/>
                <w:bCs/>
                <w:color w:val="auto"/>
                <w:szCs w:val="21"/>
                <w:highlight w:val="none"/>
              </w:rPr>
              <w:t>测绘技能</w:t>
            </w:r>
            <w:r>
              <w:rPr>
                <w:rFonts w:hint="eastAsia" w:ascii="宋体" w:hAnsi="宋体" w:cs="宋体"/>
                <w:bCs/>
                <w:color w:val="auto"/>
                <w:szCs w:val="21"/>
                <w:highlight w:val="none"/>
              </w:rPr>
              <w:t>实验教学仿真平台（共4个节点），包括以下三套系统：</w:t>
            </w:r>
          </w:p>
          <w:p w14:paraId="62E6CE1A">
            <w:pPr>
              <w:wordWrap w:val="0"/>
              <w:rPr>
                <w:rFonts w:ascii="宋体" w:hAnsi="宋体" w:cs="宋体"/>
                <w:bCs/>
                <w:color w:val="auto"/>
                <w:szCs w:val="21"/>
                <w:highlight w:val="none"/>
              </w:rPr>
            </w:pPr>
            <w:r>
              <w:rPr>
                <w:rFonts w:hint="eastAsia" w:ascii="宋体" w:hAnsi="宋体" w:cs="宋体"/>
                <w:bCs/>
                <w:color w:val="auto"/>
                <w:szCs w:val="21"/>
                <w:highlight w:val="none"/>
              </w:rPr>
              <w:t>一、系统1：</w:t>
            </w:r>
            <w:r>
              <w:rPr>
                <w:rFonts w:hint="eastAsia" w:ascii="宋体" w:hAnsi="宋体" w:cs="宋体"/>
                <w:bCs/>
                <w:color w:val="auto"/>
                <w:szCs w:val="21"/>
                <w:highlight w:val="none"/>
              </w:rPr>
              <w:t>无人机摄影测量仿真实验软件</w:t>
            </w:r>
            <w:r>
              <w:rPr>
                <w:rFonts w:hint="eastAsia"/>
                <w:color w:val="auto"/>
                <w:highlight w:val="none"/>
              </w:rPr>
              <w:t>，</w:t>
            </w:r>
            <w:r>
              <w:rPr>
                <w:rFonts w:hint="eastAsia" w:ascii="宋体" w:hAnsi="宋体" w:cs="宋体"/>
                <w:bCs/>
                <w:color w:val="auto"/>
                <w:szCs w:val="21"/>
                <w:highlight w:val="none"/>
              </w:rPr>
              <w:t>具体内容和配置如下：</w:t>
            </w:r>
          </w:p>
          <w:p w14:paraId="66F8A8F9">
            <w:pPr>
              <w:wordWrap w:val="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rPr>
              <w:t>.无人机航测竞赛仿真软件基本要求：安</w:t>
            </w:r>
            <w:r>
              <w:rPr>
                <w:rFonts w:hint="eastAsia" w:ascii="宋体" w:hAnsi="宋体" w:cs="宋体"/>
                <w:bCs/>
                <w:color w:val="auto"/>
                <w:szCs w:val="21"/>
                <w:highlight w:val="none"/>
              </w:rPr>
              <w:t>装在PC端上，完全模拟无人机由像控点布设、航线规划、影像数据采集、导出的航测全过程；支持第一人称视角、第三人称视角自由漫游操作。</w:t>
            </w:r>
          </w:p>
          <w:p w14:paraId="2C9F1525">
            <w:pPr>
              <w:widowControl/>
              <w:wordWrap w:val="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rPr>
              <w:t>.航测一</w:t>
            </w:r>
            <w:r>
              <w:rPr>
                <w:rFonts w:hint="eastAsia" w:ascii="宋体" w:hAnsi="宋体" w:cs="宋体"/>
                <w:bCs/>
                <w:color w:val="auto"/>
                <w:szCs w:val="21"/>
                <w:highlight w:val="none"/>
              </w:rPr>
              <w:t>体化处理软件虚拟仿真版</w:t>
            </w:r>
            <w:r>
              <w:rPr>
                <w:rFonts w:hint="eastAsia" w:ascii="宋体" w:hAnsi="宋体" w:cs="宋体"/>
                <w:bCs/>
                <w:color w:val="auto"/>
                <w:szCs w:val="21"/>
                <w:highlight w:val="none"/>
              </w:rPr>
              <w:t>软件</w:t>
            </w:r>
            <w:r>
              <w:rPr>
                <w:rFonts w:hint="eastAsia" w:ascii="宋体" w:hAnsi="宋体" w:cs="宋体"/>
                <w:bCs/>
                <w:color w:val="auto"/>
                <w:szCs w:val="21"/>
                <w:highlight w:val="none"/>
              </w:rPr>
              <w:t>：</w:t>
            </w:r>
          </w:p>
          <w:p w14:paraId="6F0FD617">
            <w:pPr>
              <w:widowControl/>
              <w:wordWrap w:val="0"/>
              <w:rPr>
                <w:rFonts w:ascii="宋体" w:hAnsi="宋体" w:cs="宋体"/>
                <w:bCs/>
                <w:color w:val="auto"/>
                <w:szCs w:val="21"/>
                <w:highlight w:val="none"/>
              </w:rPr>
            </w:pPr>
            <w:r>
              <w:rPr>
                <w:rFonts w:hint="eastAsia" w:ascii="宋体" w:hAnsi="宋体" w:cs="宋体"/>
                <w:bCs/>
                <w:color w:val="auto"/>
                <w:szCs w:val="21"/>
                <w:highlight w:val="none"/>
              </w:rPr>
              <w:t>（1）建模：针对虚拟仿真空三进行单机建模，可进行导入kml范围线圈定建模范围，支持调整建模占用内存大小，支持选择模型输出坐标系，可输出OSGB格式模型（参考或相当于），支持空三和建模成果加载。</w:t>
            </w:r>
          </w:p>
          <w:p w14:paraId="6A300848">
            <w:pPr>
              <w:widowControl/>
              <w:wordWrap w:val="0"/>
              <w:rPr>
                <w:rFonts w:ascii="宋体" w:hAnsi="宋体" w:cs="宋体"/>
                <w:bCs/>
                <w:color w:val="auto"/>
                <w:szCs w:val="21"/>
                <w:highlight w:val="none"/>
              </w:rPr>
            </w:pPr>
            <w:r>
              <w:rPr>
                <w:rFonts w:hint="eastAsia" w:ascii="宋体" w:hAnsi="宋体" w:cs="宋体"/>
                <w:bCs/>
                <w:color w:val="auto"/>
                <w:szCs w:val="21"/>
                <w:highlight w:val="none"/>
              </w:rPr>
              <w:t>（2）模式切换：支持考试和练习两个模式，在非考试时期可进行多次练习。</w:t>
            </w:r>
          </w:p>
          <w:p w14:paraId="6EC0B034">
            <w:pPr>
              <w:widowControl/>
              <w:wordWrap w:val="0"/>
              <w:rPr>
                <w:rFonts w:ascii="宋体" w:hAnsi="宋体" w:cs="宋体"/>
                <w:bCs/>
                <w:color w:val="auto"/>
                <w:szCs w:val="21"/>
                <w:highlight w:val="none"/>
              </w:rPr>
            </w:pPr>
            <w:r>
              <w:rPr>
                <w:rFonts w:hint="eastAsia" w:ascii="宋体" w:hAnsi="宋体" w:cs="宋体"/>
                <w:bCs/>
                <w:color w:val="auto"/>
                <w:szCs w:val="21"/>
                <w:highlight w:val="none"/>
              </w:rPr>
              <w:t>（3）架次解算：直接针对多架次批量后差分解算，支持常用观测文件格式，并支持记录通用格式</w:t>
            </w:r>
            <w:r>
              <w:rPr>
                <w:rFonts w:hint="eastAsia" w:ascii="宋体" w:hAnsi="宋体" w:cs="宋体"/>
                <w:bCs/>
                <w:color w:val="auto"/>
                <w:szCs w:val="21"/>
                <w:highlight w:val="none"/>
              </w:rPr>
              <w:t>、无</w:t>
            </w:r>
            <w:r>
              <w:rPr>
                <w:rFonts w:hint="eastAsia" w:ascii="宋体" w:hAnsi="宋体" w:cs="宋体"/>
                <w:bCs/>
                <w:color w:val="auto"/>
                <w:szCs w:val="21"/>
                <w:highlight w:val="none"/>
              </w:rPr>
              <w:t>人机观测数据；基站仪器高、天线与相机相位差信息可在差分计算中直接改正。</w:t>
            </w:r>
          </w:p>
          <w:p w14:paraId="66991E3E">
            <w:pPr>
              <w:widowControl/>
              <w:wordWrap w:val="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支持自定义像控格网和预采像控位置。</w:t>
            </w:r>
          </w:p>
          <w:p w14:paraId="23003F38">
            <w:pPr>
              <w:wordWrap w:val="0"/>
              <w:rPr>
                <w:rFonts w:ascii="宋体" w:hAnsi="宋体" w:cs="宋体"/>
                <w:bCs/>
                <w:color w:val="auto"/>
                <w:szCs w:val="21"/>
                <w:highlight w:val="none"/>
              </w:rPr>
            </w:pPr>
            <w:r>
              <w:rPr>
                <w:rFonts w:hint="eastAsia" w:ascii="宋体" w:hAnsi="宋体" w:cs="宋体"/>
                <w:bCs/>
                <w:color w:val="auto"/>
                <w:szCs w:val="21"/>
                <w:highlight w:val="none"/>
              </w:rPr>
              <w:t>3.虚拟仿真比赛版</w:t>
            </w:r>
            <w:r>
              <w:rPr>
                <w:rFonts w:hint="eastAsia"/>
                <w:color w:val="auto"/>
                <w:highlight w:val="none"/>
              </w:rPr>
              <w:t>软件：</w:t>
            </w:r>
            <w:r>
              <w:rPr>
                <w:rFonts w:hint="eastAsia" w:ascii="宋体" w:hAnsi="宋体" w:cs="宋体"/>
                <w:bCs/>
                <w:color w:val="auto"/>
                <w:szCs w:val="21"/>
                <w:highlight w:val="none"/>
              </w:rPr>
              <w:t>对接测绘虚拟仿真竞赛平台系统，通过考试平台创建任务，实现软件的快速拉起和登录。</w:t>
            </w:r>
          </w:p>
          <w:p w14:paraId="524E45E7">
            <w:pPr>
              <w:wordWrap w:val="0"/>
              <w:rPr>
                <w:rFonts w:ascii="宋体" w:hAnsi="宋体" w:cs="宋体"/>
                <w:bCs/>
                <w:color w:val="auto"/>
                <w:szCs w:val="21"/>
                <w:highlight w:val="none"/>
              </w:rPr>
            </w:pPr>
            <w:r>
              <w:rPr>
                <w:rFonts w:hint="eastAsia" w:ascii="宋体" w:hAnsi="宋体" w:cs="宋体"/>
                <w:bCs/>
                <w:color w:val="auto"/>
                <w:szCs w:val="21"/>
                <w:highlight w:val="none"/>
              </w:rPr>
              <w:t>二、系统2：三维激光扫描仪仿真实验软件</w:t>
            </w:r>
            <w:r>
              <w:rPr>
                <w:rFonts w:hint="eastAsia"/>
                <w:color w:val="auto"/>
                <w:highlight w:val="none"/>
              </w:rPr>
              <w:t>，</w:t>
            </w:r>
            <w:r>
              <w:rPr>
                <w:rFonts w:hint="eastAsia" w:ascii="宋体" w:hAnsi="宋体" w:cs="宋体"/>
                <w:bCs/>
                <w:color w:val="auto"/>
                <w:szCs w:val="21"/>
                <w:highlight w:val="none"/>
              </w:rPr>
              <w:t>具体内容和配置如下：</w:t>
            </w:r>
          </w:p>
          <w:p w14:paraId="4092A3C8">
            <w:pPr>
              <w:widowControl/>
              <w:wordWrap w:val="0"/>
              <w:rPr>
                <w:rFonts w:ascii="宋体" w:hAnsi="宋体" w:cs="宋体"/>
                <w:bCs/>
                <w:color w:val="auto"/>
                <w:szCs w:val="21"/>
                <w:highlight w:val="none"/>
              </w:rPr>
            </w:pPr>
            <w:r>
              <w:rPr>
                <w:rFonts w:hint="eastAsia" w:ascii="宋体" w:hAnsi="宋体" w:cs="宋体"/>
                <w:bCs/>
                <w:color w:val="auto"/>
                <w:szCs w:val="21"/>
                <w:highlight w:val="none"/>
              </w:rPr>
              <w:t>1.基本要</w:t>
            </w:r>
            <w:r>
              <w:rPr>
                <w:rFonts w:hint="eastAsia" w:ascii="宋体" w:hAnsi="宋体" w:cs="宋体"/>
                <w:bCs/>
                <w:color w:val="auto"/>
                <w:szCs w:val="21"/>
                <w:highlight w:val="none"/>
              </w:rPr>
              <w:t>求：安装</w:t>
            </w:r>
            <w:r>
              <w:rPr>
                <w:rFonts w:hint="eastAsia" w:ascii="宋体" w:hAnsi="宋体" w:cs="宋体"/>
                <w:bCs/>
                <w:color w:val="auto"/>
                <w:szCs w:val="21"/>
                <w:highlight w:val="none"/>
              </w:rPr>
              <w:t>在PC端上，完全模拟检查点的布设、基站的架设、静态采集设置、无人机组装、航线规划、数据导出的机载雷达作业全过程；支持第一人称视角、第三人称视角自由漫游操作。</w:t>
            </w:r>
          </w:p>
          <w:p w14:paraId="75D23C1E">
            <w:pPr>
              <w:pStyle w:val="3"/>
              <w:wordWrap w:val="0"/>
              <w:spacing w:before="20" w:after="20" w:line="24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hint="eastAsia" w:ascii="宋体" w:hAnsi="宋体" w:cs="宋体"/>
                <w:b w:val="0"/>
                <w:color w:val="auto"/>
                <w:sz w:val="21"/>
                <w:szCs w:val="21"/>
                <w:highlight w:val="none"/>
              </w:rPr>
              <w:t>激光雷达点云处理软件：</w:t>
            </w:r>
          </w:p>
          <w:p w14:paraId="233E88E9">
            <w:pPr>
              <w:wordWrap w:val="0"/>
              <w:textAlignment w:val="baseline"/>
              <w:rPr>
                <w:rFonts w:ascii="宋体" w:hAnsi="宋体" w:cs="宋体"/>
                <w:b/>
                <w:color w:val="auto"/>
                <w:szCs w:val="21"/>
                <w:highlight w:val="none"/>
              </w:rPr>
            </w:pPr>
            <w:r>
              <w:rPr>
                <w:rFonts w:hint="eastAsia" w:ascii="宋体" w:hAnsi="宋体" w:cs="宋体"/>
                <w:b/>
                <w:color w:val="auto"/>
                <w:szCs w:val="21"/>
                <w:highlight w:val="none"/>
              </w:rPr>
              <w:t>（1）供应商于响应文件中必须提供所竞</w:t>
            </w:r>
            <w:r>
              <w:rPr>
                <w:rFonts w:hint="eastAsia" w:ascii="宋体" w:hAnsi="宋体" w:cs="宋体"/>
                <w:b/>
                <w:bCs/>
                <w:color w:val="auto"/>
                <w:szCs w:val="21"/>
                <w:highlight w:val="none"/>
              </w:rPr>
              <w:t>软件</w:t>
            </w:r>
            <w:r>
              <w:rPr>
                <w:rFonts w:hint="eastAsia" w:ascii="宋体" w:hAnsi="宋体" w:cs="宋体"/>
                <w:b/>
                <w:color w:val="auto"/>
                <w:szCs w:val="21"/>
                <w:highlight w:val="none"/>
              </w:rPr>
              <w:t xml:space="preserve">具有国家版权局颁发的《计算机软件著作权登记证书》复印件，加盖供应商电子签章。 </w:t>
            </w:r>
          </w:p>
          <w:p w14:paraId="3478448D">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（2）通过云平台技术，支持数据共享和数据备份。</w:t>
            </w:r>
          </w:p>
          <w:p w14:paraId="36D2725F">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（3）点云与处理软件需支持POS解算功能，且为全中文</w:t>
            </w:r>
            <w:r>
              <w:rPr>
                <w:rFonts w:hint="eastAsia" w:ascii="宋体" w:hAnsi="宋体" w:cs="宋体"/>
                <w:bCs/>
                <w:color w:val="auto"/>
                <w:szCs w:val="21"/>
                <w:highlight w:val="none"/>
              </w:rPr>
              <w:t xml:space="preserve">界面。  </w:t>
            </w:r>
          </w:p>
          <w:p w14:paraId="65B32CC3">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（4）具备多架次POS解算功能，向导式解算流程。</w:t>
            </w:r>
          </w:p>
          <w:p w14:paraId="5CDEF6DD">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（5）支持影像数据与点云数据配准，可无需正射影像一键生成彩色点云。</w:t>
            </w:r>
          </w:p>
          <w:p w14:paraId="03CC8AE1">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（6）软件提供立面绘制功能。可根据房屋范围线自动生成立面范围线，可锁定立面视图对要素进行采集。</w:t>
            </w:r>
          </w:p>
          <w:p w14:paraId="39C9C08C">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（7）提供多种算量方式：支持通过导入高程点使用三角网法、格网法进行土方计算；支持通过点云构网，对隧道、矿洞等封闭体进行土方计算。  </w:t>
            </w:r>
          </w:p>
          <w:p w14:paraId="12A1962A">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8）满足国家基本比例尺地图图式，支持国产CAD平台，可基于点云、DEM、DOM、倾斜模型等多种数据源进行地形图绘制，能够支持1:500、1:1000、1:2000地形图绘制；具有完善的地形图式符号库，完全符合国家的最新地形图式标准。</w:t>
            </w:r>
          </w:p>
          <w:p w14:paraId="004C85C0">
            <w:pPr>
              <w:wordWrap w:val="0"/>
              <w:textAlignment w:val="baseline"/>
              <w:rPr>
                <w:rFonts w:ascii="宋体" w:hAnsi="宋体" w:cs="宋体"/>
                <w:bCs/>
                <w:color w:val="auto"/>
                <w:szCs w:val="21"/>
                <w:highlight w:val="none"/>
              </w:rPr>
            </w:pPr>
            <w:r>
              <w:rPr>
                <w:rFonts w:hint="eastAsia" w:ascii="宋体" w:hAnsi="宋体" w:cs="宋体"/>
                <w:bCs/>
                <w:color w:val="auto"/>
                <w:szCs w:val="21"/>
                <w:highlight w:val="none"/>
              </w:rPr>
              <w:t>（9）能够高效建立三角网</w:t>
            </w:r>
          </w:p>
          <w:p w14:paraId="4EEB0449">
            <w:pPr>
              <w:wordWrap w:val="0"/>
              <w:rPr>
                <w:rFonts w:ascii="宋体" w:hAnsi="宋体" w:cs="宋体"/>
                <w:bCs/>
                <w:color w:val="auto"/>
                <w:szCs w:val="21"/>
                <w:highlight w:val="none"/>
              </w:rPr>
            </w:pPr>
            <w:r>
              <w:rPr>
                <w:rFonts w:hint="eastAsia" w:ascii="宋体" w:hAnsi="宋体" w:cs="宋体"/>
                <w:bCs/>
                <w:color w:val="auto"/>
                <w:szCs w:val="21"/>
                <w:highlight w:val="none"/>
              </w:rPr>
              <w:t>三、系统3：</w:t>
            </w:r>
            <w:r>
              <w:rPr>
                <w:rFonts w:hint="eastAsia" w:ascii="宋体" w:hAnsi="宋体" w:cs="宋体"/>
                <w:bCs/>
                <w:color w:val="auto"/>
                <w:szCs w:val="21"/>
                <w:highlight w:val="none"/>
              </w:rPr>
              <w:t>测绘数字测图仿真实验软件</w:t>
            </w:r>
            <w:r>
              <w:rPr>
                <w:rFonts w:hint="eastAsia"/>
                <w:color w:val="auto"/>
                <w:highlight w:val="none"/>
              </w:rPr>
              <w:t>，</w:t>
            </w:r>
            <w:r>
              <w:rPr>
                <w:rFonts w:hint="eastAsia" w:ascii="宋体" w:hAnsi="宋体" w:cs="宋体"/>
                <w:bCs/>
                <w:color w:val="auto"/>
                <w:szCs w:val="21"/>
                <w:highlight w:val="none"/>
              </w:rPr>
              <w:t>具体内容和配置如下：</w:t>
            </w:r>
          </w:p>
          <w:p w14:paraId="1912EAF4">
            <w:pPr>
              <w:wordWrap w:val="0"/>
              <w:rPr>
                <w:rFonts w:ascii="宋体" w:hAnsi="宋体" w:cs="宋体"/>
                <w:bCs/>
                <w:color w:val="auto"/>
                <w:szCs w:val="21"/>
                <w:highlight w:val="none"/>
              </w:rPr>
            </w:pPr>
            <w:r>
              <w:rPr>
                <w:rFonts w:hint="eastAsia" w:ascii="宋体" w:hAnsi="宋体" w:cs="宋体"/>
                <w:bCs/>
                <w:color w:val="auto"/>
                <w:szCs w:val="21"/>
                <w:highlight w:val="none"/>
              </w:rPr>
              <w:t>1.仿真场景：由虚拟引擎创建的逼真三维仿真场景，场景包含高山、海洋湖泊、丘陵、平原、城区、城郊等不同类型的场景，具有完善的地物、地貌元素满足竞赛需求，输出三维空间坐标。</w:t>
            </w:r>
          </w:p>
          <w:p w14:paraId="1325AA90">
            <w:pPr>
              <w:wordWrap w:val="0"/>
              <w:rPr>
                <w:rFonts w:ascii="宋体" w:hAnsi="宋体" w:cs="宋体"/>
                <w:bCs/>
                <w:color w:val="auto"/>
                <w:szCs w:val="21"/>
                <w:highlight w:val="none"/>
              </w:rPr>
            </w:pPr>
            <w:r>
              <w:rPr>
                <w:rFonts w:hint="eastAsia" w:ascii="宋体" w:hAnsi="宋体" w:cs="宋体"/>
                <w:bCs/>
                <w:color w:val="auto"/>
                <w:szCs w:val="21"/>
                <w:highlight w:val="none"/>
              </w:rPr>
              <w:t>2.仿真测区：</w:t>
            </w:r>
          </w:p>
          <w:p w14:paraId="2A1DDC7A">
            <w:pPr>
              <w:wordWrap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测区实现全景浏览、全景踏勘、快速定位、高效便捷通过虚拟测量输出三维空间坐标数据。</w:t>
            </w:r>
          </w:p>
          <w:p w14:paraId="1CD7CC75">
            <w:pPr>
              <w:wordWrap w:val="0"/>
              <w:rPr>
                <w:rFonts w:ascii="宋体" w:hAnsi="宋体" w:cs="宋体"/>
                <w:bCs/>
                <w:color w:val="auto"/>
                <w:szCs w:val="21"/>
                <w:highlight w:val="none"/>
              </w:rPr>
            </w:pPr>
            <w:r>
              <w:rPr>
                <w:rFonts w:hint="eastAsia" w:ascii="宋体" w:hAnsi="宋体" w:cs="宋体"/>
                <w:bCs/>
                <w:color w:val="auto"/>
                <w:szCs w:val="21"/>
                <w:highlight w:val="none"/>
              </w:rPr>
              <w:t>3.仿真仪器</w:t>
            </w:r>
            <w:r>
              <w:rPr>
                <w:rFonts w:hint="eastAsia" w:ascii="宋体" w:hAnsi="宋体" w:cs="宋体"/>
                <w:bCs/>
                <w:color w:val="auto"/>
                <w:szCs w:val="21"/>
                <w:highlight w:val="none"/>
              </w:rPr>
              <w:t>1台</w:t>
            </w:r>
            <w:r>
              <w:rPr>
                <w:rFonts w:hint="eastAsia" w:ascii="宋体" w:hAnsi="宋体" w:cs="宋体"/>
                <w:bCs/>
                <w:color w:val="auto"/>
                <w:szCs w:val="21"/>
                <w:highlight w:val="none"/>
              </w:rPr>
              <w:t>：</w:t>
            </w:r>
          </w:p>
          <w:p w14:paraId="11A12D56">
            <w:pPr>
              <w:pStyle w:val="64"/>
              <w:wordWrap w:val="0"/>
              <w:ind w:firstLine="0" w:firstLineChars="0"/>
              <w:rPr>
                <w:rFonts w:ascii="宋体" w:hAnsi="宋体" w:cs="宋体"/>
                <w:bCs/>
                <w:color w:val="auto"/>
                <w:szCs w:val="21"/>
                <w:highlight w:val="none"/>
              </w:rPr>
            </w:pPr>
            <w:r>
              <w:rPr>
                <w:rFonts w:hint="eastAsia" w:ascii="宋体" w:hAnsi="宋体" w:cs="宋体"/>
                <w:bCs/>
                <w:color w:val="auto"/>
                <w:szCs w:val="21"/>
                <w:highlight w:val="none"/>
              </w:rPr>
              <w:t>（1）距离测量：（有合作目标）精度：±（2+2ppm•D）mm；（无合作目标）精度：±（2+2ppm•D）mm；</w:t>
            </w:r>
          </w:p>
          <w:p w14:paraId="618358E4">
            <w:pPr>
              <w:pStyle w:val="64"/>
              <w:wordWrap w:val="0"/>
              <w:ind w:firstLine="0" w:firstLineChars="0"/>
              <w:rPr>
                <w:rFonts w:ascii="宋体" w:hAnsi="宋体" w:cs="宋体"/>
                <w:bCs/>
                <w:color w:val="auto"/>
                <w:szCs w:val="21"/>
                <w:highlight w:val="none"/>
              </w:rPr>
            </w:pPr>
            <w:r>
              <w:rPr>
                <w:rFonts w:hint="eastAsia" w:ascii="宋体" w:hAnsi="宋体" w:cs="宋体"/>
                <w:bCs/>
                <w:color w:val="auto"/>
                <w:szCs w:val="21"/>
                <w:highlight w:val="none"/>
              </w:rPr>
              <w:t>（2）角度测量：测角方式：绝对编码测角技术，精度：2″。</w:t>
            </w:r>
          </w:p>
          <w:p w14:paraId="1048B420">
            <w:pPr>
              <w:pStyle w:val="64"/>
              <w:wordWrap w:val="0"/>
              <w:ind w:firstLine="0" w:firstLineChars="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rPr>
              <w:t>虚</w:t>
            </w:r>
            <w:r>
              <w:rPr>
                <w:rFonts w:hint="eastAsia" w:ascii="宋体" w:hAnsi="宋体" w:cs="宋体"/>
                <w:bCs/>
                <w:color w:val="auto"/>
                <w:szCs w:val="21"/>
                <w:highlight w:val="none"/>
              </w:rPr>
              <w:t>拟仿真竞赛版技术参数：</w:t>
            </w:r>
          </w:p>
          <w:p w14:paraId="40538CB1">
            <w:pPr>
              <w:wordWrap w:val="0"/>
              <w:rPr>
                <w:rFonts w:ascii="宋体" w:hAnsi="宋体" w:cs="宋体"/>
                <w:bCs/>
                <w:color w:val="auto"/>
                <w:szCs w:val="21"/>
                <w:highlight w:val="none"/>
              </w:rPr>
            </w:pPr>
            <w:r>
              <w:rPr>
                <w:rFonts w:hint="eastAsia" w:ascii="宋体" w:hAnsi="宋体" w:cs="宋体"/>
                <w:bCs/>
                <w:color w:val="auto"/>
                <w:szCs w:val="21"/>
                <w:highlight w:val="none"/>
              </w:rPr>
              <w:t>（1）支持读取虚拟仿真系统输出的*.svd格式数据</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w:t>
            </w:r>
          </w:p>
          <w:p w14:paraId="2498C9F0">
            <w:pPr>
              <w:wordWrap w:val="0"/>
              <w:rPr>
                <w:rFonts w:ascii="宋体" w:hAnsi="宋体" w:cs="宋体"/>
                <w:bCs/>
                <w:color w:val="auto"/>
                <w:szCs w:val="21"/>
                <w:highlight w:val="none"/>
              </w:rPr>
            </w:pPr>
            <w:r>
              <w:rPr>
                <w:rFonts w:hint="eastAsia" w:ascii="宋体" w:hAnsi="宋体" w:cs="宋体"/>
                <w:bCs/>
                <w:color w:val="auto"/>
                <w:szCs w:val="21"/>
                <w:highlight w:val="none"/>
              </w:rPr>
              <w:t>（2）支持一键输出dwg和高清pdf成果文件（参考或相当于）。</w:t>
            </w:r>
          </w:p>
          <w:p w14:paraId="215AF482">
            <w:pPr>
              <w:wordWrap w:val="0"/>
              <w:rPr>
                <w:rFonts w:ascii="宋体" w:hAnsi="宋体" w:cs="宋体"/>
                <w:bCs/>
                <w:color w:val="auto"/>
                <w:szCs w:val="21"/>
                <w:highlight w:val="none"/>
              </w:rPr>
            </w:pPr>
            <w:r>
              <w:rPr>
                <w:rFonts w:hint="eastAsia" w:ascii="宋体" w:hAnsi="宋体" w:cs="宋体"/>
                <w:bCs/>
                <w:color w:val="auto"/>
                <w:szCs w:val="21"/>
                <w:highlight w:val="none"/>
              </w:rPr>
              <w:t>（3）针对虚拟仿真比赛可自动进行评分并记录，支持将评分和成果上传到后台进行人工评分和成绩管理。</w:t>
            </w:r>
          </w:p>
          <w:p w14:paraId="76F04F28">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提供数据处理工具箱，集成绘图处理、属性赋值、高程点处理、坐标提取、断面坡度标注、批量标注、等高线处理等工具；包括独立符号压线消隐、污水篦子方向自动调整、高程点内插、高程点注记避让、等高线等距离滤波等功能。</w:t>
            </w:r>
          </w:p>
          <w:p w14:paraId="1BE99C45">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5.系统配套用于遥感影像地面标定的实验仪器4套，具体如下：</w:t>
            </w:r>
          </w:p>
          <w:p w14:paraId="771994A2">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（1）植物叶绿素检测仪1套，参数如下：SPAD测量方式:2波长光学浓度差方式；测量面积:</w:t>
            </w:r>
            <w:r>
              <w:rPr>
                <w:rFonts w:hint="eastAsia" w:ascii="宋体" w:hAnsi="宋体" w:cs="宋体"/>
                <w:bCs/>
                <w:color w:val="auto"/>
                <w:szCs w:val="21"/>
                <w:highlight w:val="none"/>
              </w:rPr>
              <w:t>≥</w:t>
            </w:r>
            <w:r>
              <w:rPr>
                <w:rFonts w:hint="eastAsia" w:ascii="宋体" w:hAnsi="宋体" w:cs="宋体"/>
                <w:bCs/>
                <w:color w:val="auto"/>
                <w:szCs w:val="21"/>
                <w:highlight w:val="none"/>
              </w:rPr>
              <w:t>2mm×3mm；感应器:硅半导体光电二极管；显示方式:LCD屏幕显示；测量范围:-9.9~199.9 SPAD单位。</w:t>
            </w:r>
          </w:p>
          <w:p w14:paraId="2B67F76D">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（2）便携式土壤水分速测仪1套，参数如下：</w:t>
            </w:r>
          </w:p>
          <w:p w14:paraId="6027DCA7">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测量参数：土壤体积含水量、表面温度和电导率；测量原理：TDR（时域反射）；测量范围：0～饱和（体积含水量）、-30～+60℃（温度）、0 ～5 mS/cm（电导率）；探针长度：可选 3.8cm、7.6cm、12cm、20cm</w:t>
            </w:r>
            <w:r>
              <w:rPr>
                <w:rFonts w:hint="eastAsia" w:ascii="宋体" w:hAnsi="宋体" w:cs="宋体"/>
                <w:bCs/>
                <w:color w:val="auto"/>
                <w:szCs w:val="21"/>
                <w:highlight w:val="none"/>
              </w:rPr>
              <w:t>等</w:t>
            </w:r>
            <w:r>
              <w:rPr>
                <w:rFonts w:hint="eastAsia" w:ascii="宋体" w:hAnsi="宋体" w:cs="宋体"/>
                <w:bCs/>
                <w:color w:val="auto"/>
                <w:szCs w:val="21"/>
                <w:highlight w:val="none"/>
              </w:rPr>
              <w:t>。</w:t>
            </w:r>
          </w:p>
          <w:p w14:paraId="69A8061E">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（3）植物氮含量测量仪1套，参数如下：仪器用途：用于植物生长过程中叶片氮含量的测量，可在野外、实验室使用，对测量对象没有任何损伤；测量光：双波段光源565 nm 和 760 nm；探测波长范围：500～800nm 带通滤波片。</w:t>
            </w:r>
          </w:p>
          <w:p w14:paraId="0125EE88">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（4）双环入渗仪1套，参数如下：仪器指标：内环直径</w:t>
            </w:r>
            <w:r>
              <w:rPr>
                <w:rFonts w:hint="eastAsia" w:ascii="宋体" w:hAnsi="宋体" w:cs="宋体"/>
                <w:bCs/>
                <w:color w:val="auto"/>
                <w:szCs w:val="21"/>
                <w:highlight w:val="none"/>
              </w:rPr>
              <w:t>约</w:t>
            </w:r>
            <w:r>
              <w:rPr>
                <w:rFonts w:hint="eastAsia" w:ascii="宋体" w:hAnsi="宋体" w:cs="宋体"/>
                <w:bCs/>
                <w:color w:val="auto"/>
                <w:szCs w:val="21"/>
                <w:highlight w:val="none"/>
              </w:rPr>
              <w:t>30cm、外环直径</w:t>
            </w:r>
            <w:r>
              <w:rPr>
                <w:rFonts w:hint="eastAsia" w:ascii="宋体" w:hAnsi="宋体" w:cs="宋体"/>
                <w:bCs/>
                <w:color w:val="auto"/>
                <w:szCs w:val="21"/>
                <w:highlight w:val="none"/>
              </w:rPr>
              <w:t>约</w:t>
            </w:r>
            <w:r>
              <w:rPr>
                <w:rFonts w:hint="eastAsia" w:ascii="宋体" w:hAnsi="宋体" w:cs="宋体"/>
                <w:bCs/>
                <w:color w:val="auto"/>
                <w:szCs w:val="21"/>
                <w:highlight w:val="none"/>
              </w:rPr>
              <w:t>60cm、高度</w:t>
            </w:r>
            <w:r>
              <w:rPr>
                <w:rFonts w:hint="eastAsia" w:ascii="宋体" w:hAnsi="宋体" w:cs="宋体"/>
                <w:bCs/>
                <w:color w:val="auto"/>
                <w:szCs w:val="21"/>
                <w:highlight w:val="none"/>
              </w:rPr>
              <w:t>约</w:t>
            </w:r>
            <w:r>
              <w:rPr>
                <w:rFonts w:hint="eastAsia" w:ascii="宋体" w:hAnsi="宋体" w:cs="宋体"/>
                <w:bCs/>
                <w:color w:val="auto"/>
                <w:szCs w:val="21"/>
                <w:highlight w:val="none"/>
              </w:rPr>
              <w:t>50cm；测试标准：入渗速率 1×10-2cm/S 内的土壤，达西定律计算入渗速率。</w:t>
            </w:r>
          </w:p>
        </w:tc>
      </w:tr>
      <w:tr w14:paraId="6C5A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3BEE4C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w:t>
            </w:r>
          </w:p>
        </w:tc>
        <w:tc>
          <w:tcPr>
            <w:tcW w:w="875" w:type="dxa"/>
            <w:shd w:val="clear" w:color="auto" w:fill="FFFFFF" w:themeFill="background1"/>
            <w:vAlign w:val="center"/>
          </w:tcPr>
          <w:p w14:paraId="279BFD1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模式模拟教学软件系统</w:t>
            </w:r>
          </w:p>
        </w:tc>
        <w:tc>
          <w:tcPr>
            <w:tcW w:w="836" w:type="dxa"/>
            <w:gridSpan w:val="2"/>
            <w:shd w:val="clear" w:color="auto" w:fill="FFFFFF" w:themeFill="background1"/>
            <w:vAlign w:val="center"/>
          </w:tcPr>
          <w:p w14:paraId="1FF9699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2E1674C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79BCD708">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4F8FF28">
            <w:pPr>
              <w:pStyle w:val="64"/>
              <w:wordWrap w:val="0"/>
              <w:ind w:firstLine="0" w:firstLineChars="0"/>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
                <w:color w:val="auto"/>
                <w:szCs w:val="21"/>
                <w:highlight w:val="none"/>
              </w:rPr>
              <w:t>一</w:t>
            </w:r>
            <w:r>
              <w:rPr>
                <w:rFonts w:hint="eastAsia" w:asciiTheme="majorEastAsia" w:hAnsiTheme="majorEastAsia" w:eastAsiaTheme="majorEastAsia" w:cstheme="majorEastAsia"/>
                <w:bCs/>
                <w:color w:val="auto"/>
                <w:szCs w:val="21"/>
                <w:highlight w:val="none"/>
              </w:rPr>
              <w:t>、模式模拟教学软件系统包括：</w:t>
            </w:r>
          </w:p>
          <w:p w14:paraId="316B99A1">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（1）参考或相当于WRF-CHEM教学模式软件1套；集成化学传输模型，用于模拟大气化学过程，</w:t>
            </w:r>
            <w:r>
              <w:rPr>
                <w:rFonts w:hint="eastAsia" w:ascii="宋体" w:hAnsi="宋体" w:cs="宋体"/>
                <w:bCs/>
                <w:color w:val="auto"/>
                <w:szCs w:val="21"/>
                <w:highlight w:val="none"/>
              </w:rPr>
              <w:t>该软件为气象研究与化学模块耦合的教学软件，</w:t>
            </w:r>
            <w:r>
              <w:rPr>
                <w:rFonts w:hint="eastAsia" w:ascii="宋体" w:hAnsi="宋体" w:cs="宋体"/>
                <w:bCs/>
                <w:color w:val="auto"/>
                <w:szCs w:val="21"/>
                <w:highlight w:val="none"/>
              </w:rPr>
              <w:t>用于模拟大气污染物传输、化学反应及气象相互作用。</w:t>
            </w:r>
            <w:r>
              <w:rPr>
                <w:rFonts w:hint="eastAsia" w:ascii="宋体" w:hAnsi="宋体" w:cs="宋体"/>
                <w:bCs/>
                <w:color w:val="auto"/>
                <w:szCs w:val="21"/>
                <w:highlight w:val="none"/>
              </w:rPr>
              <w:t>要求支持</w:t>
            </w:r>
            <w:r>
              <w:rPr>
                <w:rFonts w:hint="eastAsia" w:ascii="宋体" w:hAnsi="宋体" w:cs="宋体"/>
                <w:bCs/>
                <w:color w:val="auto"/>
                <w:szCs w:val="21"/>
                <w:highlight w:val="none"/>
              </w:rPr>
              <w:t>课堂演示污染物扩散（如PM2.5、臭氧）、化学反应机制（如光化学烟雾）及气象影响，适用于环境科学、地理学、气象学等学科教学。</w:t>
            </w:r>
          </w:p>
          <w:p w14:paraId="2C547C14">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rPr>
              <w:t>参考或相当于MEGAN模拟</w:t>
            </w:r>
            <w:r>
              <w:rPr>
                <w:rFonts w:hint="eastAsia" w:ascii="宋体" w:hAnsi="宋体" w:cs="宋体"/>
                <w:bCs/>
                <w:color w:val="auto"/>
                <w:szCs w:val="21"/>
                <w:highlight w:val="none"/>
              </w:rPr>
              <w:t>教学软件1套；用于模拟自然源（植被、土壤）排放的挥发性有机物（VOC）和颗粒物。</w:t>
            </w:r>
            <w:r>
              <w:rPr>
                <w:rFonts w:hint="eastAsia" w:ascii="宋体" w:hAnsi="宋体" w:cs="宋体"/>
                <w:bCs/>
                <w:color w:val="auto"/>
                <w:szCs w:val="21"/>
                <w:highlight w:val="none"/>
              </w:rPr>
              <w:t>要求支</w:t>
            </w:r>
            <w:r>
              <w:rPr>
                <w:rFonts w:hint="eastAsia" w:ascii="宋体" w:hAnsi="宋体" w:cs="宋体"/>
                <w:bCs/>
                <w:color w:val="auto"/>
                <w:szCs w:val="21"/>
                <w:highlight w:val="none"/>
              </w:rPr>
              <w:t>持输入气象数据、土地覆盖类型，输出异戊二烯等生物源排放通量，适合生态学与大气化学教学。</w:t>
            </w:r>
          </w:p>
          <w:p w14:paraId="6D845FAB">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TEM</w:t>
            </w:r>
            <w:r>
              <w:rPr>
                <w:rFonts w:hint="eastAsia" w:ascii="宋体" w:hAnsi="宋体" w:cs="宋体"/>
                <w:bCs/>
                <w:color w:val="auto"/>
                <w:szCs w:val="21"/>
                <w:highlight w:val="none"/>
              </w:rPr>
              <w:t>IR模拟</w:t>
            </w:r>
            <w:r>
              <w:rPr>
                <w:rFonts w:hint="eastAsia" w:ascii="宋体" w:hAnsi="宋体" w:cs="宋体"/>
                <w:bCs/>
                <w:color w:val="auto"/>
                <w:szCs w:val="21"/>
                <w:highlight w:val="none"/>
              </w:rPr>
              <w:t>教学软件1</w:t>
            </w:r>
            <w:r>
              <w:rPr>
                <w:rFonts w:hint="eastAsia" w:ascii="宋体" w:hAnsi="宋体" w:cs="宋体"/>
                <w:bCs/>
                <w:color w:val="auto"/>
                <w:szCs w:val="21"/>
                <w:highlight w:val="none"/>
              </w:rPr>
              <w:t>套：基</w:t>
            </w:r>
            <w:r>
              <w:rPr>
                <w:rFonts w:hint="eastAsia" w:ascii="宋体" w:hAnsi="宋体" w:cs="宋体"/>
                <w:bCs/>
                <w:color w:val="auto"/>
                <w:szCs w:val="21"/>
                <w:highlight w:val="none"/>
              </w:rPr>
              <w:t>于 R 语言的陆地生态系统模型，用于模拟碳-氮循环、植被动态及其对气候变化的响应。教学版本整合了R的交互式分析功能，支持可视化输出（如碳通量热图）、参数敏感性实验，适用于生态建模与数据分析教学。</w:t>
            </w:r>
          </w:p>
          <w:p w14:paraId="4D36C2CB">
            <w:pPr>
              <w:pStyle w:val="9"/>
              <w:rPr>
                <w:rFonts w:ascii="宋体" w:hAnsi="宋体" w:cs="宋体"/>
                <w:bCs/>
                <w:color w:val="auto"/>
                <w:szCs w:val="21"/>
                <w:highlight w:val="none"/>
              </w:rPr>
            </w:pPr>
            <w:r>
              <w:rPr>
                <w:rFonts w:hint="eastAsia" w:ascii="宋体" w:hAnsi="宋体" w:cs="宋体"/>
                <w:bCs/>
                <w:color w:val="auto"/>
                <w:szCs w:val="21"/>
                <w:highlight w:val="none"/>
              </w:rPr>
              <w:t>二、</w:t>
            </w:r>
            <w:r>
              <w:rPr>
                <w:rFonts w:hint="eastAsia"/>
                <w:color w:val="auto"/>
                <w:highlight w:val="none"/>
              </w:rPr>
              <w:t>模式模拟教学软件系统</w:t>
            </w:r>
            <w:r>
              <w:rPr>
                <w:rFonts w:hint="eastAsia" w:ascii="宋体" w:hAnsi="宋体" w:cs="宋体"/>
                <w:bCs/>
                <w:color w:val="auto"/>
                <w:szCs w:val="21"/>
                <w:highlight w:val="none"/>
              </w:rPr>
              <w:t>的</w:t>
            </w:r>
            <w:r>
              <w:rPr>
                <w:rFonts w:hint="eastAsia"/>
                <w:color w:val="auto"/>
                <w:highlight w:val="none"/>
              </w:rPr>
              <w:t>计算平台</w:t>
            </w:r>
            <w:r>
              <w:rPr>
                <w:rFonts w:hint="eastAsia" w:ascii="宋体" w:hAnsi="宋体" w:cs="宋体"/>
                <w:bCs/>
                <w:color w:val="auto"/>
                <w:szCs w:val="21"/>
                <w:highlight w:val="none"/>
              </w:rPr>
              <w:t>配置如下：</w:t>
            </w:r>
          </w:p>
          <w:p w14:paraId="20672238">
            <w:pPr>
              <w:wordWrap w:val="0"/>
              <w:rPr>
                <w:rFonts w:ascii="宋体" w:hAnsi="宋体" w:cs="宋体"/>
                <w:bCs/>
                <w:color w:val="auto"/>
                <w:szCs w:val="21"/>
                <w:highlight w:val="none"/>
              </w:rPr>
            </w:pPr>
            <w:r>
              <w:rPr>
                <w:rFonts w:hint="eastAsia" w:ascii="宋体" w:hAnsi="宋体" w:cs="宋体"/>
                <w:bCs/>
                <w:color w:val="auto"/>
                <w:szCs w:val="21"/>
                <w:highlight w:val="none"/>
              </w:rPr>
              <w:t>1.处理器：2×参考或相当于Intel Xeon Gold 6530（32核/64线程，2.1GHz~3.9GHz）；</w:t>
            </w:r>
          </w:p>
          <w:p w14:paraId="278CEDDC">
            <w:pPr>
              <w:wordWrap w:val="0"/>
              <w:rPr>
                <w:rFonts w:ascii="宋体" w:hAnsi="宋体" w:cs="宋体"/>
                <w:bCs/>
                <w:color w:val="auto"/>
                <w:szCs w:val="21"/>
                <w:highlight w:val="none"/>
              </w:rPr>
            </w:pPr>
            <w:r>
              <w:rPr>
                <w:rFonts w:hint="eastAsia" w:ascii="宋体" w:hAnsi="宋体" w:cs="宋体"/>
                <w:bCs/>
                <w:color w:val="auto"/>
                <w:szCs w:val="21"/>
                <w:highlight w:val="none"/>
              </w:rPr>
              <w:t>内存；≥256GB DDR5 ECC（8×32GB及以上，≥4800MHz，支持未来升级至2TB</w:t>
            </w:r>
            <w:r>
              <w:rPr>
                <w:rFonts w:hint="eastAsia" w:ascii="宋体" w:hAnsi="宋体" w:cs="宋体"/>
                <w:bCs/>
                <w:color w:val="auto"/>
                <w:szCs w:val="21"/>
                <w:highlight w:val="none"/>
              </w:rPr>
              <w:t>以上</w:t>
            </w:r>
            <w:r>
              <w:rPr>
                <w:rFonts w:hint="eastAsia" w:ascii="宋体" w:hAnsi="宋体" w:cs="宋体"/>
                <w:bCs/>
                <w:color w:val="auto"/>
                <w:szCs w:val="21"/>
                <w:highlight w:val="none"/>
              </w:rPr>
              <w:t>）。</w:t>
            </w:r>
          </w:p>
          <w:p w14:paraId="2EC31AED">
            <w:pPr>
              <w:wordWrap w:val="0"/>
              <w:rPr>
                <w:rFonts w:ascii="宋体" w:hAnsi="宋体" w:cs="宋体"/>
                <w:bCs/>
                <w:color w:val="auto"/>
                <w:szCs w:val="21"/>
                <w:highlight w:val="none"/>
              </w:rPr>
            </w:pPr>
            <w:r>
              <w:rPr>
                <w:rFonts w:hint="eastAsia" w:ascii="宋体" w:hAnsi="宋体" w:cs="宋体"/>
                <w:bCs/>
                <w:color w:val="auto"/>
                <w:szCs w:val="21"/>
                <w:highlight w:val="none"/>
              </w:rPr>
              <w:t>2.系统RAID卡：参考或相当于PERC H345（入门级，≥1GB缓存，专用于系统盘RAID 1）。</w:t>
            </w:r>
          </w:p>
          <w:p w14:paraId="6A0670FE">
            <w:pPr>
              <w:wordWrap w:val="0"/>
              <w:rPr>
                <w:rFonts w:ascii="宋体" w:hAnsi="宋体" w:cs="宋体"/>
                <w:bCs/>
                <w:color w:val="auto"/>
                <w:szCs w:val="21"/>
                <w:highlight w:val="none"/>
              </w:rPr>
            </w:pPr>
            <w:r>
              <w:rPr>
                <w:rFonts w:hint="eastAsia" w:ascii="宋体" w:hAnsi="宋体" w:cs="宋体"/>
                <w:bCs/>
                <w:color w:val="auto"/>
                <w:szCs w:val="21"/>
                <w:highlight w:val="none"/>
              </w:rPr>
              <w:t>3.数据RAID卡：参考或相当于PERC H755（≥2GB缓存，支持RAID 6，专用于数据存储）；</w:t>
            </w:r>
          </w:p>
          <w:p w14:paraId="5407E860">
            <w:pPr>
              <w:wordWrap w:val="0"/>
              <w:rPr>
                <w:rFonts w:ascii="宋体" w:hAnsi="宋体" w:cs="宋体"/>
                <w:bCs/>
                <w:color w:val="auto"/>
                <w:szCs w:val="21"/>
                <w:highlight w:val="none"/>
              </w:rPr>
            </w:pPr>
            <w:r>
              <w:rPr>
                <w:rFonts w:hint="eastAsia" w:ascii="宋体" w:hAnsi="宋体" w:cs="宋体"/>
                <w:bCs/>
                <w:color w:val="auto"/>
                <w:szCs w:val="21"/>
                <w:highlight w:val="none"/>
              </w:rPr>
              <w:t>4.主存储（数据）：</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6×10TB 7.2K RPM SATA HDD（RAID 6，可用≥40TB，冗余+扩展）；</w:t>
            </w:r>
          </w:p>
          <w:p w14:paraId="29B1DB4F">
            <w:pPr>
              <w:wordWrap w:val="0"/>
              <w:rPr>
                <w:rFonts w:ascii="宋体" w:hAnsi="宋体" w:cs="宋体"/>
                <w:bCs/>
                <w:color w:val="auto"/>
                <w:szCs w:val="21"/>
                <w:highlight w:val="none"/>
              </w:rPr>
            </w:pPr>
            <w:r>
              <w:rPr>
                <w:rFonts w:hint="eastAsia" w:ascii="宋体" w:hAnsi="宋体" w:cs="宋体"/>
                <w:bCs/>
                <w:color w:val="auto"/>
                <w:szCs w:val="21"/>
                <w:highlight w:val="none"/>
              </w:rPr>
              <w:t>5.系统盘：2×480GB及以上；</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 xml:space="preserve"> SATA SSD（企业级，RAID 1，冗余系统盘）；</w:t>
            </w:r>
          </w:p>
          <w:p w14:paraId="65F74399">
            <w:pPr>
              <w:wordWrap w:val="0"/>
              <w:rPr>
                <w:rFonts w:ascii="宋体" w:hAnsi="宋体" w:cs="宋体"/>
                <w:bCs/>
                <w:color w:val="auto"/>
                <w:szCs w:val="21"/>
                <w:highlight w:val="none"/>
              </w:rPr>
            </w:pPr>
            <w:r>
              <w:rPr>
                <w:rFonts w:hint="eastAsia" w:ascii="宋体" w:hAnsi="宋体" w:cs="宋体"/>
                <w:bCs/>
                <w:color w:val="auto"/>
                <w:szCs w:val="21"/>
                <w:highlight w:val="none"/>
              </w:rPr>
              <w:t>6.网络：2×1GbE板载网卡+可选升级至25GbE。</w:t>
            </w:r>
          </w:p>
          <w:p w14:paraId="3EC2F56F">
            <w:pPr>
              <w:wordWrap w:val="0"/>
              <w:rPr>
                <w:rFonts w:ascii="宋体" w:hAnsi="宋体" w:cs="宋体"/>
                <w:bCs/>
                <w:color w:val="auto"/>
                <w:szCs w:val="21"/>
                <w:highlight w:val="none"/>
              </w:rPr>
            </w:pPr>
            <w:r>
              <w:rPr>
                <w:rFonts w:hint="eastAsia" w:ascii="宋体" w:hAnsi="宋体" w:cs="宋体"/>
                <w:bCs/>
                <w:color w:val="auto"/>
                <w:szCs w:val="21"/>
                <w:highlight w:val="none"/>
              </w:rPr>
              <w:t>7.电源：2×800W冗余电源（适配参考或相当于Intel）。</w:t>
            </w:r>
          </w:p>
        </w:tc>
      </w:tr>
      <w:tr w14:paraId="49F4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415046D">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w:t>
            </w:r>
          </w:p>
        </w:tc>
        <w:tc>
          <w:tcPr>
            <w:tcW w:w="875" w:type="dxa"/>
            <w:shd w:val="clear" w:color="auto" w:fill="FFFFFF" w:themeFill="background1"/>
            <w:vAlign w:val="center"/>
          </w:tcPr>
          <w:p w14:paraId="2878A80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图形工作站</w:t>
            </w:r>
          </w:p>
        </w:tc>
        <w:tc>
          <w:tcPr>
            <w:tcW w:w="836" w:type="dxa"/>
            <w:gridSpan w:val="2"/>
            <w:shd w:val="clear" w:color="auto" w:fill="FFFFFF" w:themeFill="background1"/>
            <w:vAlign w:val="center"/>
          </w:tcPr>
          <w:p w14:paraId="77EAD54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w:t>
            </w:r>
          </w:p>
        </w:tc>
        <w:tc>
          <w:tcPr>
            <w:tcW w:w="814" w:type="dxa"/>
            <w:shd w:val="clear" w:color="auto" w:fill="FFFFFF" w:themeFill="background1"/>
            <w:vAlign w:val="center"/>
          </w:tcPr>
          <w:p w14:paraId="20FCCDB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728C602D">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567B4971">
            <w:pPr>
              <w:tabs>
                <w:tab w:val="left" w:pos="2145"/>
              </w:tabs>
              <w:wordWrap w:val="0"/>
              <w:jc w:val="left"/>
              <w:rPr>
                <w:rFonts w:ascii="宋体" w:hAnsi="宋体" w:cs="宋体"/>
                <w:bCs/>
                <w:color w:val="auto"/>
                <w:szCs w:val="21"/>
                <w:highlight w:val="none"/>
              </w:rPr>
            </w:pPr>
            <w:r>
              <w:rPr>
                <w:rFonts w:hint="eastAsia" w:ascii="宋体" w:hAnsi="宋体" w:cs="宋体"/>
                <w:bCs/>
                <w:color w:val="auto"/>
                <w:szCs w:val="21"/>
                <w:highlight w:val="none"/>
              </w:rPr>
              <w:t>一、硬件要求：</w:t>
            </w:r>
            <w:r>
              <w:rPr>
                <w:rFonts w:hint="eastAsia" w:ascii="宋体" w:hAnsi="宋体" w:cs="宋体"/>
                <w:bCs/>
                <w:color w:val="auto"/>
                <w:szCs w:val="21"/>
                <w:highlight w:val="none"/>
              </w:rPr>
              <w:tab/>
            </w:r>
          </w:p>
          <w:p w14:paraId="6A18EF31">
            <w:pPr>
              <w:wordWrap w:val="0"/>
              <w:jc w:val="left"/>
              <w:rPr>
                <w:rFonts w:ascii="宋体" w:hAnsi="宋体" w:cs="宋体"/>
                <w:bCs/>
                <w:color w:val="auto"/>
                <w:szCs w:val="21"/>
                <w:highlight w:val="none"/>
              </w:rPr>
            </w:pPr>
            <w:r>
              <w:rPr>
                <w:rFonts w:hint="eastAsia" w:ascii="宋体" w:hAnsi="宋体" w:cs="宋体"/>
                <w:bCs/>
                <w:color w:val="auto"/>
                <w:szCs w:val="21"/>
                <w:highlight w:val="none"/>
              </w:rPr>
              <w:t>1.处理器：参考或相当于英特尔酷睿Intel i7-14700K。</w:t>
            </w:r>
          </w:p>
          <w:p w14:paraId="153F3079">
            <w:pPr>
              <w:wordWrap w:val="0"/>
              <w:jc w:val="left"/>
              <w:rPr>
                <w:rFonts w:ascii="宋体" w:hAnsi="宋体" w:cs="宋体"/>
                <w:bCs/>
                <w:color w:val="auto"/>
                <w:szCs w:val="21"/>
                <w:highlight w:val="none"/>
              </w:rPr>
            </w:pPr>
            <w:r>
              <w:rPr>
                <w:rFonts w:hint="eastAsia" w:ascii="宋体" w:hAnsi="宋体" w:cs="宋体"/>
                <w:bCs/>
                <w:color w:val="auto"/>
                <w:szCs w:val="21"/>
                <w:highlight w:val="none"/>
              </w:rPr>
              <w:t>2.内存：≥32G DDR5 4600内存（参考或相当于），4个内存插槽，最大内存支持≥128G。</w:t>
            </w:r>
          </w:p>
          <w:p w14:paraId="57AF989A">
            <w:pPr>
              <w:wordWrap w:val="0"/>
              <w:jc w:val="left"/>
              <w:rPr>
                <w:rFonts w:ascii="宋体" w:hAnsi="宋体" w:cs="宋体"/>
                <w:bCs/>
                <w:color w:val="auto"/>
                <w:szCs w:val="21"/>
                <w:highlight w:val="none"/>
              </w:rPr>
            </w:pPr>
            <w:r>
              <w:rPr>
                <w:rFonts w:hint="eastAsia" w:ascii="宋体" w:hAnsi="宋体" w:cs="宋体"/>
                <w:bCs/>
                <w:color w:val="auto"/>
                <w:szCs w:val="21"/>
                <w:highlight w:val="none"/>
              </w:rPr>
              <w:t>3.硬盘：≥配置1T M.2 SSD+4T SATA HDD（参考或相当于），机箱可扩展2个3.5寸硬盘槽位。</w:t>
            </w:r>
          </w:p>
          <w:p w14:paraId="4FD2784E">
            <w:pPr>
              <w:wordWrap w:val="0"/>
              <w:jc w:val="left"/>
              <w:rPr>
                <w:rFonts w:ascii="宋体" w:hAnsi="宋体" w:cs="宋体"/>
                <w:bCs/>
                <w:color w:val="auto"/>
                <w:szCs w:val="21"/>
                <w:highlight w:val="none"/>
              </w:rPr>
            </w:pPr>
            <w:r>
              <w:rPr>
                <w:rFonts w:hint="eastAsia" w:ascii="宋体" w:hAnsi="宋体" w:cs="宋体"/>
                <w:bCs/>
                <w:color w:val="auto"/>
                <w:szCs w:val="21"/>
                <w:highlight w:val="none"/>
              </w:rPr>
              <w:t>4.显卡：配置</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RTX4060TI-16G独立显卡。</w:t>
            </w:r>
          </w:p>
          <w:p w14:paraId="61BD21BF">
            <w:pPr>
              <w:wordWrap w:val="0"/>
              <w:jc w:val="left"/>
              <w:rPr>
                <w:rFonts w:ascii="宋体" w:hAnsi="宋体" w:cs="宋体"/>
                <w:bCs/>
                <w:color w:val="auto"/>
                <w:szCs w:val="21"/>
                <w:highlight w:val="none"/>
              </w:rPr>
            </w:pPr>
            <w:r>
              <w:rPr>
                <w:rFonts w:hint="eastAsia" w:ascii="宋体" w:hAnsi="宋体" w:cs="宋体"/>
                <w:bCs/>
                <w:color w:val="auto"/>
                <w:szCs w:val="21"/>
                <w:highlight w:val="none"/>
              </w:rPr>
              <w:t>5.主板：参考或相当于Q670</w:t>
            </w:r>
            <w:r>
              <w:rPr>
                <w:rFonts w:hint="eastAsia" w:ascii="宋体" w:hAnsi="宋体" w:cs="宋体"/>
                <w:bCs/>
                <w:color w:val="auto"/>
                <w:szCs w:val="21"/>
                <w:highlight w:val="none"/>
              </w:rPr>
              <w:t>主板，</w:t>
            </w:r>
            <w:r>
              <w:rPr>
                <w:rFonts w:hint="eastAsia" w:ascii="宋体" w:hAnsi="宋体" w:cs="宋体"/>
                <w:bCs/>
                <w:color w:val="auto"/>
                <w:szCs w:val="21"/>
                <w:highlight w:val="none"/>
              </w:rPr>
              <w:t>主板集成千兆网卡，具备≥4个PCIe插槽（至少2个PCIe×16插槽）、≥3个PCIe M.2接口（参考或相当于）。</w:t>
            </w:r>
          </w:p>
          <w:p w14:paraId="5141293A">
            <w:pPr>
              <w:wordWrap w:val="0"/>
              <w:jc w:val="left"/>
              <w:rPr>
                <w:rFonts w:ascii="宋体" w:hAnsi="宋体" w:cs="宋体"/>
                <w:bCs/>
                <w:color w:val="auto"/>
                <w:szCs w:val="21"/>
                <w:highlight w:val="none"/>
              </w:rPr>
            </w:pPr>
            <w:r>
              <w:rPr>
                <w:rFonts w:hint="eastAsia" w:ascii="宋体" w:hAnsi="宋体" w:cs="宋体"/>
                <w:bCs/>
                <w:color w:val="auto"/>
                <w:szCs w:val="21"/>
                <w:highlight w:val="none"/>
              </w:rPr>
              <w:t>6.接口：≥9个USB 3.2接口（前置至少1个TYPE-C接口），集成≥5个音频接口，集成≥1个VGA接口，≥1个HDMI接口，≥1个DP接口，RJ45网口。</w:t>
            </w:r>
          </w:p>
          <w:p w14:paraId="71F7A468">
            <w:pPr>
              <w:wordWrap w:val="0"/>
              <w:jc w:val="left"/>
              <w:rPr>
                <w:rFonts w:ascii="宋体" w:hAnsi="宋体" w:cs="宋体"/>
                <w:bCs/>
                <w:color w:val="auto"/>
                <w:szCs w:val="21"/>
                <w:highlight w:val="none"/>
              </w:rPr>
            </w:pPr>
            <w:r>
              <w:rPr>
                <w:rFonts w:hint="eastAsia" w:ascii="宋体" w:hAnsi="宋体" w:cs="宋体"/>
                <w:bCs/>
                <w:color w:val="auto"/>
                <w:szCs w:val="21"/>
                <w:highlight w:val="none"/>
              </w:rPr>
              <w:t>7.键盘、鼠标：标配原厂USB光电鼠标/防水键盘，具备键盘开机功能。</w:t>
            </w:r>
          </w:p>
          <w:p w14:paraId="3304D677">
            <w:pPr>
              <w:wordWrap w:val="0"/>
              <w:jc w:val="left"/>
              <w:rPr>
                <w:rFonts w:ascii="宋体" w:hAnsi="宋体" w:cs="宋体"/>
                <w:bCs/>
                <w:color w:val="auto"/>
                <w:szCs w:val="21"/>
                <w:highlight w:val="none"/>
              </w:rPr>
            </w:pPr>
            <w:r>
              <w:rPr>
                <w:rFonts w:hint="eastAsia" w:ascii="宋体" w:hAnsi="宋体" w:cs="宋体"/>
                <w:bCs/>
                <w:color w:val="auto"/>
                <w:szCs w:val="21"/>
                <w:highlight w:val="none"/>
              </w:rPr>
              <w:t>8.安全技术：配置USB管控功能，可以在BIOS底层实现对USB端口管控，仅识别USB键盘/鼠标设备，无法识别其他USB读取设备，要求有效防止数据泄露。</w:t>
            </w:r>
          </w:p>
          <w:p w14:paraId="026655AB">
            <w:pPr>
              <w:wordWrap w:val="0"/>
              <w:jc w:val="left"/>
              <w:rPr>
                <w:rFonts w:ascii="宋体" w:hAnsi="宋体" w:cs="宋体"/>
                <w:bCs/>
                <w:color w:val="auto"/>
                <w:szCs w:val="21"/>
                <w:highlight w:val="none"/>
              </w:rPr>
            </w:pPr>
            <w:r>
              <w:rPr>
                <w:rFonts w:hint="eastAsia" w:ascii="宋体" w:hAnsi="宋体" w:cs="宋体"/>
                <w:bCs/>
                <w:color w:val="auto"/>
                <w:szCs w:val="21"/>
                <w:highlight w:val="none"/>
              </w:rPr>
              <w:t>9.电源：配置≥500W节能电源，不低于90% 能效转换率。</w:t>
            </w:r>
          </w:p>
          <w:p w14:paraId="2A19BC6B">
            <w:pPr>
              <w:wordWrap w:val="0"/>
              <w:jc w:val="left"/>
              <w:rPr>
                <w:rFonts w:ascii="宋体" w:hAnsi="宋体" w:cs="宋体"/>
                <w:bCs/>
                <w:color w:val="auto"/>
                <w:szCs w:val="21"/>
                <w:highlight w:val="none"/>
              </w:rPr>
            </w:pPr>
            <w:r>
              <w:rPr>
                <w:rFonts w:hint="eastAsia" w:ascii="宋体" w:hAnsi="宋体" w:cs="宋体"/>
                <w:bCs/>
                <w:color w:val="auto"/>
                <w:szCs w:val="21"/>
                <w:highlight w:val="none"/>
              </w:rPr>
              <w:t>10.机箱：塔式标准机箱，不大于17L；下置电源降低机箱重心，支持光触媒风扇，有效去除教学环境中甲醛等有害物质。</w:t>
            </w:r>
          </w:p>
          <w:p w14:paraId="225D336D">
            <w:pPr>
              <w:wordWrap w:val="0"/>
              <w:jc w:val="left"/>
              <w:rPr>
                <w:rFonts w:ascii="宋体" w:hAnsi="宋体" w:cs="宋体"/>
                <w:bCs/>
                <w:color w:val="auto"/>
                <w:szCs w:val="21"/>
                <w:highlight w:val="none"/>
              </w:rPr>
            </w:pPr>
            <w:r>
              <w:rPr>
                <w:rFonts w:hint="eastAsia" w:ascii="宋体" w:hAnsi="宋体" w:cs="宋体"/>
                <w:bCs/>
                <w:color w:val="auto"/>
                <w:szCs w:val="21"/>
                <w:highlight w:val="none"/>
              </w:rPr>
              <w:t>11.提供原厂性能优化软件：针对ISV软件（参考或相当于）进行优化（如</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AutoCAD、ANSYS、3DMax、Solidworks、Maya、Creo等），打开软件界面即可看到ISV软件（参考或相当于）的名称；也可根据实际使用需求，对ISV软件（参考或相当于）进行手动调试优化；监控机器运行的实时负载（如处理器、内存、网络、硬盘、显卡等）。    二、工作站终端管理软件，管理软件功能如下：</w:t>
            </w:r>
          </w:p>
          <w:p w14:paraId="154415B0">
            <w:pPr>
              <w:wordWrap w:val="0"/>
              <w:jc w:val="left"/>
              <w:rPr>
                <w:rFonts w:ascii="宋体" w:hAnsi="宋体" w:cs="宋体"/>
                <w:bCs/>
                <w:color w:val="auto"/>
                <w:szCs w:val="21"/>
                <w:highlight w:val="none"/>
              </w:rPr>
            </w:pPr>
            <w:r>
              <w:rPr>
                <w:rFonts w:hint="eastAsia" w:ascii="宋体" w:hAnsi="宋体" w:cs="宋体"/>
                <w:bCs/>
                <w:color w:val="auto"/>
                <w:szCs w:val="21"/>
                <w:highlight w:val="none"/>
              </w:rPr>
              <w:t>1.为满足学校能够充分将新、旧电脑进行统一纳管，降低建设成本的需要，云桌面支持</w:t>
            </w:r>
            <w:r>
              <w:rPr>
                <w:rFonts w:hint="eastAsia" w:ascii="宋体" w:hAnsi="宋体" w:cs="宋体"/>
                <w:bCs/>
                <w:color w:val="auto"/>
                <w:szCs w:val="21"/>
                <w:highlight w:val="none"/>
              </w:rPr>
              <w:t>参考或相当于</w:t>
            </w:r>
            <w:r>
              <w:rPr>
                <w:rFonts w:hint="eastAsia" w:ascii="宋体" w:hAnsi="宋体" w:cs="宋体"/>
                <w:bCs/>
                <w:color w:val="auto"/>
                <w:szCs w:val="21"/>
                <w:highlight w:val="none"/>
              </w:rPr>
              <w:t>Legacy与UEFI两种方式启动系统，支持管理双网卡、双硬盘，支持参考或相当于NVME、M.</w:t>
            </w:r>
            <w:r>
              <w:rPr>
                <w:rFonts w:hint="eastAsia" w:ascii="宋体" w:hAnsi="宋体" w:cs="宋体"/>
                <w:bCs/>
                <w:color w:val="auto"/>
                <w:szCs w:val="21"/>
                <w:highlight w:val="none"/>
              </w:rPr>
              <w:t>2高速</w:t>
            </w:r>
            <w:r>
              <w:rPr>
                <w:rFonts w:hint="eastAsia" w:ascii="宋体" w:hAnsi="宋体" w:cs="宋体"/>
                <w:bCs/>
                <w:color w:val="auto"/>
                <w:szCs w:val="21"/>
                <w:highlight w:val="none"/>
              </w:rPr>
              <w:t>固态硬盘，同时兼容新老机型部署。</w:t>
            </w:r>
          </w:p>
          <w:p w14:paraId="6C3B4DA0">
            <w:pPr>
              <w:wordWrap w:val="0"/>
              <w:jc w:val="left"/>
              <w:rPr>
                <w:rFonts w:ascii="宋体" w:hAnsi="宋体" w:cs="宋体"/>
                <w:bCs/>
                <w:color w:val="auto"/>
                <w:szCs w:val="21"/>
                <w:highlight w:val="none"/>
              </w:rPr>
            </w:pPr>
            <w:r>
              <w:rPr>
                <w:rFonts w:hint="eastAsia" w:ascii="宋体" w:hAnsi="宋体" w:cs="宋体"/>
                <w:bCs/>
                <w:color w:val="auto"/>
                <w:szCs w:val="21"/>
                <w:highlight w:val="none"/>
              </w:rPr>
              <w:t>2.为提升采购人管理效率，云桌面管理平台支持批量管理终端计算机名、IP地址、分辨率、时间同步等配置信息，同时支持针对不同的终端群组设置不同的安全管控策略。</w:t>
            </w:r>
          </w:p>
          <w:p w14:paraId="391D65ED">
            <w:pPr>
              <w:wordWrap w:val="0"/>
              <w:jc w:val="left"/>
              <w:rPr>
                <w:rFonts w:ascii="宋体" w:hAnsi="宋体" w:cs="宋体"/>
                <w:bCs/>
                <w:color w:val="auto"/>
                <w:szCs w:val="21"/>
                <w:highlight w:val="none"/>
              </w:rPr>
            </w:pPr>
            <w:r>
              <w:rPr>
                <w:rFonts w:hint="eastAsia" w:ascii="宋体" w:hAnsi="宋体" w:cs="宋体"/>
                <w:bCs/>
                <w:color w:val="auto"/>
                <w:szCs w:val="21"/>
                <w:highlight w:val="none"/>
              </w:rPr>
              <w:t>3.针对不同楼宇、年级、学科的终端支持分组管理，可将终端进行分组，管理员可根据配置好的镜像分配给相应的用户或用户组；为不影响教学，可在正常上课的同时完成镜像缓存下载；同一局域网内的设备可互相分享文档；镜像下载支持断点续传，避免网络中断等情况需要重复传输</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406D2401">
            <w:pPr>
              <w:wordWrap w:val="0"/>
              <w:jc w:val="left"/>
              <w:rPr>
                <w:rFonts w:ascii="宋体" w:hAnsi="宋体" w:cs="宋体"/>
                <w:bCs/>
                <w:color w:val="auto"/>
                <w:szCs w:val="21"/>
                <w:highlight w:val="none"/>
              </w:rPr>
            </w:pPr>
            <w:r>
              <w:rPr>
                <w:rFonts w:hint="eastAsia" w:ascii="宋体" w:hAnsi="宋体" w:cs="宋体"/>
                <w:bCs/>
                <w:color w:val="auto"/>
                <w:szCs w:val="21"/>
                <w:highlight w:val="none"/>
              </w:rPr>
              <w:t>4.可充分利用采购人现有网络，支持在镜像下发实时进行网速探测与策略优化，可识别终端网络速率，提前优化镜像下发策略</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355BC54B">
            <w:pPr>
              <w:wordWrap w:val="0"/>
              <w:jc w:val="left"/>
              <w:rPr>
                <w:rFonts w:ascii="宋体" w:hAnsi="宋体" w:cs="宋体"/>
                <w:bCs/>
                <w:color w:val="auto"/>
                <w:szCs w:val="21"/>
                <w:highlight w:val="none"/>
              </w:rPr>
            </w:pPr>
            <w:r>
              <w:rPr>
                <w:rFonts w:hint="eastAsia" w:ascii="宋体" w:hAnsi="宋体" w:cs="宋体"/>
                <w:bCs/>
                <w:color w:val="auto"/>
                <w:szCs w:val="21"/>
                <w:highlight w:val="none"/>
              </w:rPr>
              <w:t>5.为适配大型或复杂型学校网络环境，云桌面支持跨校区、跨广域网部署，IP可达即可部署</w:t>
            </w:r>
            <w:r>
              <w:rPr>
                <w:rFonts w:hint="eastAsia" w:ascii="宋体" w:hAnsi="宋体" w:cs="宋体"/>
                <w:bCs/>
                <w:color w:val="auto"/>
                <w:szCs w:val="21"/>
                <w:highlight w:val="none"/>
              </w:rPr>
              <w:t>；要求简</w:t>
            </w:r>
            <w:r>
              <w:rPr>
                <w:rFonts w:hint="eastAsia" w:ascii="宋体" w:hAnsi="宋体" w:cs="宋体"/>
                <w:bCs/>
                <w:color w:val="auto"/>
                <w:szCs w:val="21"/>
                <w:highlight w:val="none"/>
              </w:rPr>
              <w:t>化网络结构，支持通过wifi更新与管理桌面。</w:t>
            </w:r>
          </w:p>
          <w:p w14:paraId="187D23DD">
            <w:pPr>
              <w:wordWrap w:val="0"/>
              <w:jc w:val="left"/>
              <w:rPr>
                <w:rFonts w:ascii="宋体" w:hAnsi="宋体" w:cs="宋体"/>
                <w:bCs/>
                <w:color w:val="auto"/>
                <w:szCs w:val="21"/>
                <w:highlight w:val="none"/>
              </w:rPr>
            </w:pPr>
            <w:r>
              <w:rPr>
                <w:rFonts w:hint="eastAsia" w:ascii="宋体" w:hAnsi="宋体" w:cs="宋体"/>
                <w:bCs/>
                <w:color w:val="auto"/>
                <w:szCs w:val="21"/>
                <w:highlight w:val="none"/>
              </w:rPr>
              <w:t>6.支持教学与多教学环境组合，即老师可自定义多个教学系统环境的复杂组合，独立设置某一系统盘数据盘的还原、写入模式；支持对操作系统还原后，对计算机名、IP地址、域用户等信息进行保存。</w:t>
            </w:r>
          </w:p>
          <w:p w14:paraId="680C2215">
            <w:pPr>
              <w:wordWrap w:val="0"/>
              <w:jc w:val="left"/>
              <w:rPr>
                <w:rFonts w:ascii="宋体" w:hAnsi="宋体" w:cs="宋体"/>
                <w:bCs/>
                <w:color w:val="auto"/>
                <w:szCs w:val="21"/>
                <w:highlight w:val="none"/>
              </w:rPr>
            </w:pPr>
            <w:r>
              <w:rPr>
                <w:rFonts w:hint="eastAsia" w:ascii="宋体" w:hAnsi="宋体" w:cs="宋体"/>
                <w:bCs/>
                <w:color w:val="auto"/>
                <w:szCs w:val="21"/>
                <w:highlight w:val="none"/>
              </w:rPr>
              <w:t>7.为了提升机房的统一部署与更新时间，减少老师的操作步骤与等待时间，支持做好模板、完成系统镜像下发后自动执行关机、重启等操作。</w:t>
            </w:r>
          </w:p>
          <w:p w14:paraId="379F6E95">
            <w:pPr>
              <w:wordWrap w:val="0"/>
              <w:jc w:val="left"/>
              <w:rPr>
                <w:rFonts w:ascii="宋体" w:hAnsi="宋体" w:cs="宋体"/>
                <w:bCs/>
                <w:color w:val="auto"/>
                <w:szCs w:val="21"/>
                <w:highlight w:val="none"/>
              </w:rPr>
            </w:pPr>
            <w:r>
              <w:rPr>
                <w:rFonts w:hint="eastAsia" w:ascii="宋体" w:hAnsi="宋体" w:cs="宋体"/>
                <w:bCs/>
                <w:color w:val="auto"/>
                <w:szCs w:val="21"/>
                <w:highlight w:val="none"/>
              </w:rPr>
              <w:t>8.支持从服务器端对客户端发起远程开机、关机、发送通知消息、发送远程命令等指令，支持管理员对客户端远程协助排障。</w:t>
            </w:r>
          </w:p>
          <w:p w14:paraId="46EDDC06">
            <w:pPr>
              <w:wordWrap w:val="0"/>
              <w:jc w:val="left"/>
              <w:rPr>
                <w:rFonts w:ascii="宋体" w:hAnsi="宋体" w:cs="宋体"/>
                <w:bCs/>
                <w:color w:val="auto"/>
                <w:szCs w:val="21"/>
                <w:highlight w:val="none"/>
              </w:rPr>
            </w:pPr>
            <w:r>
              <w:rPr>
                <w:rFonts w:hint="eastAsia" w:ascii="宋体" w:hAnsi="宋体" w:cs="宋体"/>
                <w:bCs/>
                <w:color w:val="auto"/>
                <w:szCs w:val="21"/>
                <w:highlight w:val="none"/>
              </w:rPr>
              <w:t>9.硬件资产管理：即可收集平台中所有终端硬件配置信息，包含但不限于终端名称、主板型号、CPU型号、内存容量、最近运行时间、合计运行时间、硬件变更和记录信息等。</w:t>
            </w:r>
          </w:p>
          <w:p w14:paraId="046D308B">
            <w:pPr>
              <w:wordWrap w:val="0"/>
              <w:jc w:val="left"/>
              <w:rPr>
                <w:rFonts w:ascii="宋体" w:hAnsi="宋体" w:cs="宋体"/>
                <w:bCs/>
                <w:color w:val="auto"/>
                <w:szCs w:val="21"/>
                <w:highlight w:val="none"/>
              </w:rPr>
            </w:pPr>
            <w:r>
              <w:rPr>
                <w:rFonts w:hint="eastAsia" w:ascii="宋体" w:hAnsi="宋体" w:cs="宋体"/>
                <w:bCs/>
                <w:color w:val="auto"/>
                <w:szCs w:val="21"/>
                <w:highlight w:val="none"/>
              </w:rPr>
              <w:t>10.硬件状态管理：收集平台中所有终端的运行状态信息，包含但不限于终端名称、CPU温度、开机时间、硬盘信息等。</w:t>
            </w:r>
          </w:p>
          <w:p w14:paraId="6F8B4283">
            <w:pPr>
              <w:wordWrap w:val="0"/>
              <w:jc w:val="left"/>
              <w:rPr>
                <w:rFonts w:ascii="宋体" w:hAnsi="宋体" w:cs="宋体"/>
                <w:bCs/>
                <w:color w:val="auto"/>
                <w:szCs w:val="21"/>
                <w:highlight w:val="none"/>
              </w:rPr>
            </w:pPr>
            <w:r>
              <w:rPr>
                <w:rFonts w:hint="eastAsia" w:ascii="宋体" w:hAnsi="宋体" w:cs="宋体"/>
                <w:bCs/>
                <w:color w:val="auto"/>
                <w:szCs w:val="21"/>
                <w:highlight w:val="none"/>
              </w:rPr>
              <w:t>11.软件资产管理，支持收集平台中所有终端的软件信息，包含但不限于程序名称、运行次数、运行时长、版本、程序大小等。</w:t>
            </w:r>
          </w:p>
          <w:p w14:paraId="2BFAB8B1">
            <w:pPr>
              <w:wordWrap w:val="0"/>
              <w:jc w:val="left"/>
              <w:rPr>
                <w:rFonts w:ascii="宋体" w:hAnsi="宋体" w:cs="宋体"/>
                <w:bCs/>
                <w:color w:val="auto"/>
                <w:szCs w:val="21"/>
                <w:highlight w:val="none"/>
              </w:rPr>
            </w:pPr>
            <w:r>
              <w:rPr>
                <w:rFonts w:hint="eastAsia" w:ascii="宋体" w:hAnsi="宋体" w:cs="宋体"/>
                <w:bCs/>
                <w:color w:val="auto"/>
                <w:szCs w:val="21"/>
                <w:highlight w:val="none"/>
              </w:rPr>
              <w:t>12.计划任务：平台可以进行计划任务设置，可以设置固定时间、每天、每周、每月进行定时执行各种任务类型，包括开机、关机、切换模板、还原数据盘</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35DA4832">
            <w:pPr>
              <w:wordWrap w:val="0"/>
              <w:jc w:val="left"/>
              <w:rPr>
                <w:rFonts w:ascii="宋体" w:hAnsi="宋体" w:cs="宋体"/>
                <w:bCs/>
                <w:color w:val="auto"/>
                <w:szCs w:val="21"/>
                <w:highlight w:val="none"/>
              </w:rPr>
            </w:pPr>
            <w:r>
              <w:rPr>
                <w:rFonts w:hint="eastAsia" w:ascii="宋体" w:hAnsi="宋体" w:cs="宋体"/>
                <w:bCs/>
                <w:color w:val="auto"/>
                <w:szCs w:val="21"/>
                <w:highlight w:val="none"/>
              </w:rPr>
              <w:t>13.支持大数据展示。可展示包括但不限于资产统计、设备详情、开关机对比、日志、系统使用情况等信息</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r>
              <w:rPr>
                <w:rFonts w:hint="eastAsia" w:ascii="宋体" w:hAnsi="宋体" w:cs="宋体"/>
                <w:bCs/>
                <w:color w:val="auto"/>
                <w:szCs w:val="21"/>
                <w:highlight w:val="none"/>
              </w:rPr>
              <w:t>。</w:t>
            </w:r>
          </w:p>
          <w:p w14:paraId="45E9C53D">
            <w:pPr>
              <w:wordWrap w:val="0"/>
              <w:jc w:val="left"/>
              <w:rPr>
                <w:rFonts w:ascii="宋体" w:hAnsi="宋体" w:cs="宋体"/>
                <w:bCs/>
                <w:color w:val="auto"/>
                <w:szCs w:val="21"/>
                <w:highlight w:val="none"/>
              </w:rPr>
            </w:pPr>
            <w:r>
              <w:rPr>
                <w:rFonts w:hint="eastAsia" w:ascii="宋体" w:hAnsi="宋体" w:cs="宋体"/>
                <w:bCs/>
                <w:color w:val="auto"/>
                <w:szCs w:val="21"/>
                <w:highlight w:val="none"/>
              </w:rPr>
              <w:t>14.为避免网络端口被占用而引起的教学环境不可用的问题，云桌面管理平台支持对服务器使用的网络端口进行检测，并通过检测结果帮助管理员快速分析和解决问题</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p>
          <w:p w14:paraId="5FEC803D">
            <w:pPr>
              <w:wordWrap w:val="0"/>
              <w:jc w:val="left"/>
              <w:rPr>
                <w:rFonts w:ascii="宋体" w:hAnsi="宋体" w:cs="宋体"/>
                <w:bCs/>
                <w:color w:val="auto"/>
                <w:szCs w:val="21"/>
                <w:highlight w:val="none"/>
              </w:rPr>
            </w:pPr>
            <w:r>
              <w:rPr>
                <w:rFonts w:hint="eastAsia" w:ascii="宋体" w:hAnsi="宋体" w:cs="宋体"/>
                <w:bCs/>
                <w:color w:val="auto"/>
                <w:szCs w:val="21"/>
                <w:highlight w:val="none"/>
              </w:rPr>
              <w:t>15.终端支持多盘缓存模式，即在终端固态盘容量小导致无法多镜像缓存时，支持固态盘和机械盘混合缓存载入，充分利用终端现有存储资源</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p>
          <w:p w14:paraId="7433893E">
            <w:pPr>
              <w:wordWrap w:val="0"/>
              <w:jc w:val="left"/>
              <w:rPr>
                <w:rFonts w:ascii="宋体" w:hAnsi="宋体" w:cs="宋体"/>
                <w:bCs/>
                <w:color w:val="auto"/>
                <w:szCs w:val="21"/>
                <w:highlight w:val="none"/>
              </w:rPr>
            </w:pPr>
            <w:r>
              <w:rPr>
                <w:rFonts w:hint="eastAsia" w:ascii="宋体" w:hAnsi="宋体" w:cs="宋体"/>
                <w:bCs/>
                <w:color w:val="auto"/>
                <w:szCs w:val="21"/>
                <w:highlight w:val="none"/>
              </w:rPr>
              <w:t>16.终端支持部署多操作系统：支持参考或相当于统信UOS、麒麟KOS、Linux、Windows全系列，支持从管理端或客户端自主选择启动环境；且多个系统环境可快速切换</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加盖供应商电子签章</w:t>
            </w:r>
            <w:r>
              <w:rPr>
                <w:rFonts w:hint="eastAsia" w:ascii="宋体" w:hAnsi="宋体" w:cs="宋体"/>
                <w:b/>
                <w:color w:val="auto"/>
                <w:szCs w:val="21"/>
                <w:highlight w:val="none"/>
              </w:rPr>
              <w:t>）。</w:t>
            </w:r>
          </w:p>
          <w:p w14:paraId="1494163E">
            <w:pPr>
              <w:wordWrap w:val="0"/>
              <w:jc w:val="left"/>
              <w:rPr>
                <w:rFonts w:ascii="宋体" w:hAnsi="宋体" w:cs="宋体"/>
                <w:bCs/>
                <w:color w:val="auto"/>
                <w:szCs w:val="21"/>
                <w:highlight w:val="none"/>
              </w:rPr>
            </w:pPr>
            <w:r>
              <w:rPr>
                <w:rFonts w:hint="eastAsia" w:ascii="宋体" w:hAnsi="宋体" w:cs="宋体"/>
                <w:bCs/>
                <w:color w:val="auto"/>
                <w:szCs w:val="21"/>
                <w:highlight w:val="none"/>
              </w:rPr>
              <w:t>17.当终端无法进入系统时，支持基于参考或相当于Linux和Windows两种方式进行系统数据恢复</w:t>
            </w:r>
            <w:r>
              <w:rPr>
                <w:rFonts w:hint="eastAsia" w:ascii="宋体" w:hAnsi="宋体" w:cs="宋体"/>
                <w:b/>
                <w:color w:val="auto"/>
                <w:szCs w:val="21"/>
                <w:highlight w:val="none"/>
              </w:rPr>
              <w:t>（供应商于响应文件中必须提供所竞产品满足本项功能的截图证明，并</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加盖电子签章）。</w:t>
            </w:r>
            <w:r>
              <w:rPr>
                <w:rFonts w:hint="eastAsia" w:ascii="宋体" w:hAnsi="宋体" w:cs="宋体"/>
                <w:bCs/>
                <w:color w:val="auto"/>
                <w:szCs w:val="21"/>
                <w:highlight w:val="none"/>
              </w:rPr>
              <w:t xml:space="preserve">  </w:t>
            </w:r>
          </w:p>
        </w:tc>
      </w:tr>
      <w:tr w14:paraId="4086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54ACA7B">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23</w:t>
            </w:r>
          </w:p>
        </w:tc>
        <w:tc>
          <w:tcPr>
            <w:tcW w:w="875" w:type="dxa"/>
            <w:shd w:val="clear" w:color="auto" w:fill="FFFFFF" w:themeFill="background1"/>
            <w:vAlign w:val="center"/>
          </w:tcPr>
          <w:p w14:paraId="1992DC87">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激光雷达校正标准漫反射板</w:t>
            </w:r>
          </w:p>
        </w:tc>
        <w:tc>
          <w:tcPr>
            <w:tcW w:w="836" w:type="dxa"/>
            <w:gridSpan w:val="2"/>
            <w:shd w:val="clear" w:color="auto" w:fill="FFFFFF" w:themeFill="background1"/>
            <w:vAlign w:val="center"/>
          </w:tcPr>
          <w:p w14:paraId="4DA0CCD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w:t>
            </w:r>
          </w:p>
        </w:tc>
        <w:tc>
          <w:tcPr>
            <w:tcW w:w="814" w:type="dxa"/>
            <w:shd w:val="clear" w:color="auto" w:fill="FFFFFF" w:themeFill="background1"/>
            <w:vAlign w:val="center"/>
          </w:tcPr>
          <w:p w14:paraId="60ED033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块</w:t>
            </w:r>
          </w:p>
        </w:tc>
        <w:tc>
          <w:tcPr>
            <w:tcW w:w="1179" w:type="dxa"/>
            <w:shd w:val="clear" w:color="auto" w:fill="FFFFFF" w:themeFill="background1"/>
            <w:vAlign w:val="center"/>
          </w:tcPr>
          <w:p w14:paraId="0F83460C">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3E9E04B">
            <w:pPr>
              <w:wordWrap w:val="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rPr>
              <w:t>采用参考或相当于</w:t>
            </w:r>
            <w:r>
              <w:rPr>
                <w:rFonts w:hint="eastAsia" w:ascii="宋体" w:hAnsi="宋体" w:cs="宋体"/>
                <w:bCs/>
                <w:color w:val="auto"/>
                <w:szCs w:val="21"/>
                <w:highlight w:val="none"/>
              </w:rPr>
              <w:t>Lidar漫反射目标板，反射率为：5%、10%、50%、80%、94%。</w:t>
            </w:r>
          </w:p>
          <w:p w14:paraId="6FD9C584">
            <w:pPr>
              <w:wordWrap w:val="0"/>
              <w:jc w:val="left"/>
              <w:rPr>
                <w:rFonts w:ascii="宋体" w:hAnsi="宋体" w:cs="宋体"/>
                <w:bCs/>
                <w:color w:val="auto"/>
                <w:szCs w:val="21"/>
                <w:highlight w:val="none"/>
              </w:rPr>
            </w:pPr>
            <w:r>
              <w:rPr>
                <w:rFonts w:hint="eastAsia" w:ascii="宋体" w:hAnsi="宋体" w:cs="宋体"/>
                <w:bCs/>
                <w:color w:val="auto"/>
                <w:szCs w:val="21"/>
                <w:highlight w:val="none"/>
              </w:rPr>
              <w:t>2.尺寸大小：</w:t>
            </w:r>
            <w:r>
              <w:rPr>
                <w:rFonts w:hint="eastAsia" w:ascii="宋体" w:hAnsi="宋体" w:cs="宋体"/>
                <w:bCs/>
                <w:color w:val="auto"/>
                <w:szCs w:val="21"/>
                <w:highlight w:val="none"/>
              </w:rPr>
              <w:t>约</w:t>
            </w:r>
            <w:r>
              <w:rPr>
                <w:rFonts w:hint="eastAsia" w:ascii="宋体" w:hAnsi="宋体" w:cs="宋体"/>
                <w:bCs/>
                <w:color w:val="auto"/>
                <w:szCs w:val="21"/>
                <w:highlight w:val="none"/>
              </w:rPr>
              <w:t>0.5m×0.5m和</w:t>
            </w:r>
            <w:r>
              <w:rPr>
                <w:rFonts w:hint="eastAsia" w:ascii="宋体" w:hAnsi="宋体" w:cs="宋体"/>
                <w:bCs/>
                <w:color w:val="auto"/>
                <w:szCs w:val="21"/>
                <w:highlight w:val="none"/>
              </w:rPr>
              <w:t>约</w:t>
            </w:r>
            <w:r>
              <w:rPr>
                <w:rFonts w:hint="eastAsia" w:ascii="宋体" w:hAnsi="宋体" w:cs="宋体"/>
                <w:bCs/>
                <w:color w:val="auto"/>
                <w:szCs w:val="21"/>
                <w:highlight w:val="none"/>
              </w:rPr>
              <w:t>1.0m×1.0m两种尺寸各定制5块，并对应以上5种不同的反射率。</w:t>
            </w:r>
          </w:p>
          <w:p w14:paraId="75A69CC5">
            <w:pPr>
              <w:wordWrap w:val="0"/>
              <w:jc w:val="left"/>
              <w:rPr>
                <w:rFonts w:ascii="宋体" w:hAnsi="宋体" w:cs="宋体"/>
                <w:bCs/>
                <w:color w:val="auto"/>
                <w:szCs w:val="21"/>
                <w:highlight w:val="none"/>
              </w:rPr>
            </w:pPr>
            <w:r>
              <w:rPr>
                <w:rFonts w:hint="eastAsia" w:ascii="宋体" w:hAnsi="宋体" w:cs="宋体"/>
                <w:bCs/>
                <w:color w:val="auto"/>
                <w:szCs w:val="21"/>
                <w:highlight w:val="none"/>
              </w:rPr>
              <w:t>3.安装：可选M10×1.5。</w:t>
            </w:r>
          </w:p>
          <w:p w14:paraId="318A9755">
            <w:pPr>
              <w:wordWrap w:val="0"/>
              <w:jc w:val="left"/>
              <w:rPr>
                <w:rFonts w:ascii="宋体" w:hAnsi="宋体" w:cs="宋体"/>
                <w:bCs/>
                <w:color w:val="auto"/>
                <w:szCs w:val="21"/>
                <w:highlight w:val="none"/>
              </w:rPr>
            </w:pPr>
            <w:r>
              <w:rPr>
                <w:rFonts w:hint="eastAsia" w:ascii="宋体" w:hAnsi="宋体" w:cs="宋体"/>
                <w:bCs/>
                <w:color w:val="auto"/>
                <w:szCs w:val="21"/>
                <w:highlight w:val="none"/>
              </w:rPr>
              <w:t>4.机械平面度：</w:t>
            </w:r>
            <w:r>
              <w:rPr>
                <w:rFonts w:hint="eastAsia" w:ascii="宋体" w:hAnsi="宋体" w:cs="宋体"/>
                <w:bCs/>
                <w:color w:val="auto"/>
                <w:szCs w:val="21"/>
                <w:highlight w:val="none"/>
                <w:lang w:eastAsia="zh-CN"/>
              </w:rPr>
              <w:t>约</w:t>
            </w:r>
            <w:r>
              <w:rPr>
                <w:rFonts w:hint="eastAsia" w:ascii="宋体" w:hAnsi="宋体" w:cs="宋体"/>
                <w:bCs/>
                <w:color w:val="auto"/>
                <w:szCs w:val="21"/>
                <w:highlight w:val="none"/>
              </w:rPr>
              <w:t>+/-0.005</w:t>
            </w:r>
            <w:r>
              <w:rPr>
                <w:rFonts w:hint="eastAsia" w:ascii="宋体" w:hAnsi="宋体" w:cs="宋体"/>
                <w:bCs/>
                <w:color w:val="auto"/>
                <w:szCs w:val="21"/>
                <w:highlight w:val="none"/>
                <w:lang w:eastAsia="zh-CN"/>
              </w:rPr>
              <w:t>英寸</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约</w:t>
            </w:r>
            <w:r>
              <w:rPr>
                <w:rFonts w:hint="eastAsia" w:ascii="宋体" w:hAnsi="宋体" w:cs="宋体"/>
                <w:bCs/>
                <w:color w:val="auto"/>
                <w:szCs w:val="21"/>
                <w:highlight w:val="none"/>
              </w:rPr>
              <w:t>0.127毫米）每径向英寸（</w:t>
            </w:r>
            <w:r>
              <w:rPr>
                <w:rFonts w:hint="eastAsia" w:ascii="宋体" w:hAnsi="宋体" w:cs="宋体"/>
                <w:bCs/>
                <w:color w:val="auto"/>
                <w:szCs w:val="21"/>
                <w:highlight w:val="none"/>
                <w:lang w:eastAsia="zh-CN"/>
              </w:rPr>
              <w:t>约</w:t>
            </w:r>
            <w:r>
              <w:rPr>
                <w:rFonts w:hint="eastAsia" w:ascii="宋体" w:hAnsi="宋体" w:cs="宋体"/>
                <w:bCs/>
                <w:color w:val="auto"/>
                <w:szCs w:val="21"/>
                <w:highlight w:val="none"/>
              </w:rPr>
              <w:t>0.305米）（无涂层面板）。</w:t>
            </w:r>
          </w:p>
          <w:p w14:paraId="4C75995F">
            <w:pPr>
              <w:wordWrap w:val="0"/>
              <w:jc w:val="left"/>
              <w:rPr>
                <w:rFonts w:ascii="宋体" w:hAnsi="宋体" w:cs="宋体"/>
                <w:bCs/>
                <w:color w:val="auto"/>
                <w:szCs w:val="21"/>
                <w:highlight w:val="none"/>
              </w:rPr>
            </w:pPr>
            <w:r>
              <w:rPr>
                <w:rFonts w:hint="eastAsia" w:ascii="宋体" w:hAnsi="宋体" w:cs="宋体"/>
                <w:bCs/>
                <w:color w:val="auto"/>
                <w:szCs w:val="21"/>
                <w:highlight w:val="none"/>
              </w:rPr>
              <w:t>5.校准选项：850、905和1550 nm处的九点均匀性映射和平均反射率。</w:t>
            </w:r>
          </w:p>
        </w:tc>
      </w:tr>
      <w:tr w14:paraId="7A07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2D5437A">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24</w:t>
            </w:r>
          </w:p>
        </w:tc>
        <w:tc>
          <w:tcPr>
            <w:tcW w:w="875" w:type="dxa"/>
            <w:shd w:val="clear" w:color="auto" w:fill="FFFFFF" w:themeFill="background1"/>
            <w:vAlign w:val="center"/>
          </w:tcPr>
          <w:p w14:paraId="41795786">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无人机电池</w:t>
            </w:r>
          </w:p>
        </w:tc>
        <w:tc>
          <w:tcPr>
            <w:tcW w:w="836" w:type="dxa"/>
            <w:gridSpan w:val="2"/>
            <w:shd w:val="clear" w:color="auto" w:fill="FFFFFF" w:themeFill="background1"/>
            <w:vAlign w:val="center"/>
          </w:tcPr>
          <w:p w14:paraId="48DF0BEE">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814" w:type="dxa"/>
            <w:shd w:val="clear" w:color="auto" w:fill="FFFFFF" w:themeFill="background1"/>
            <w:vAlign w:val="center"/>
          </w:tcPr>
          <w:p w14:paraId="3BFE99BD">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个</w:t>
            </w:r>
          </w:p>
        </w:tc>
        <w:tc>
          <w:tcPr>
            <w:tcW w:w="1179" w:type="dxa"/>
            <w:shd w:val="clear" w:color="auto" w:fill="FFFFFF" w:themeFill="background1"/>
            <w:vAlign w:val="center"/>
          </w:tcPr>
          <w:p w14:paraId="55808C6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9C9A725">
            <w:pPr>
              <w:wordWrap w:val="0"/>
              <w:rPr>
                <w:rFonts w:ascii="宋体" w:hAnsi="宋体" w:cs="宋体"/>
                <w:bCs/>
                <w:color w:val="auto"/>
                <w:szCs w:val="21"/>
                <w:highlight w:val="none"/>
              </w:rPr>
            </w:pPr>
            <w:r>
              <w:rPr>
                <w:rFonts w:hint="eastAsia" w:ascii="宋体" w:hAnsi="宋体" w:cs="宋体"/>
                <w:bCs/>
                <w:color w:val="auto"/>
                <w:szCs w:val="21"/>
                <w:highlight w:val="none"/>
              </w:rPr>
              <w:t>1.与采购人现有的大疆M300无人机配套使用。</w:t>
            </w:r>
          </w:p>
          <w:p w14:paraId="73863250">
            <w:pPr>
              <w:wordWrap w:val="0"/>
              <w:rPr>
                <w:rFonts w:ascii="宋体" w:hAnsi="宋体" w:cs="宋体"/>
                <w:bCs/>
                <w:color w:val="auto"/>
                <w:szCs w:val="21"/>
                <w:highlight w:val="none"/>
              </w:rPr>
            </w:pPr>
            <w:r>
              <w:rPr>
                <w:rFonts w:hint="eastAsia" w:ascii="宋体" w:hAnsi="宋体" w:cs="宋体"/>
                <w:bCs/>
                <w:color w:val="auto"/>
                <w:szCs w:val="21"/>
                <w:highlight w:val="none"/>
              </w:rPr>
              <w:t>2.电池容量≥5935 mAh。</w:t>
            </w:r>
          </w:p>
          <w:p w14:paraId="1D25437C">
            <w:pPr>
              <w:wordWrap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3.支持双电池热替换。</w:t>
            </w:r>
          </w:p>
        </w:tc>
      </w:tr>
      <w:tr w14:paraId="3997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5171349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25</w:t>
            </w:r>
          </w:p>
        </w:tc>
        <w:tc>
          <w:tcPr>
            <w:tcW w:w="875" w:type="dxa"/>
            <w:shd w:val="clear" w:color="auto" w:fill="FFFFFF" w:themeFill="background1"/>
            <w:vAlign w:val="center"/>
          </w:tcPr>
          <w:p w14:paraId="2F64C731">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双面尺</w:t>
            </w:r>
          </w:p>
        </w:tc>
        <w:tc>
          <w:tcPr>
            <w:tcW w:w="836" w:type="dxa"/>
            <w:gridSpan w:val="2"/>
            <w:shd w:val="clear" w:color="auto" w:fill="FFFFFF" w:themeFill="background1"/>
            <w:vAlign w:val="center"/>
          </w:tcPr>
          <w:p w14:paraId="25C58FF0">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5</w:t>
            </w:r>
          </w:p>
        </w:tc>
        <w:tc>
          <w:tcPr>
            <w:tcW w:w="814" w:type="dxa"/>
            <w:shd w:val="clear" w:color="auto" w:fill="FFFFFF" w:themeFill="background1"/>
            <w:vAlign w:val="center"/>
          </w:tcPr>
          <w:p w14:paraId="55A6AB37">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个</w:t>
            </w:r>
          </w:p>
        </w:tc>
        <w:tc>
          <w:tcPr>
            <w:tcW w:w="1179" w:type="dxa"/>
            <w:shd w:val="clear" w:color="auto" w:fill="FFFFFF" w:themeFill="background1"/>
            <w:vAlign w:val="center"/>
          </w:tcPr>
          <w:p w14:paraId="6CF2819A">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CBE56DE">
            <w:pPr>
              <w:wordWrap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黑红双面尺，约3m，铝合金。</w:t>
            </w:r>
          </w:p>
        </w:tc>
      </w:tr>
      <w:tr w14:paraId="1E91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61AD1E29">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26</w:t>
            </w:r>
          </w:p>
        </w:tc>
        <w:tc>
          <w:tcPr>
            <w:tcW w:w="875" w:type="dxa"/>
            <w:shd w:val="clear" w:color="auto" w:fill="FFFFFF" w:themeFill="background1"/>
            <w:vAlign w:val="center"/>
          </w:tcPr>
          <w:p w14:paraId="496F157B">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卷尺</w:t>
            </w:r>
          </w:p>
        </w:tc>
        <w:tc>
          <w:tcPr>
            <w:tcW w:w="836" w:type="dxa"/>
            <w:gridSpan w:val="2"/>
            <w:shd w:val="clear" w:color="auto" w:fill="FFFFFF" w:themeFill="background1"/>
            <w:vAlign w:val="center"/>
          </w:tcPr>
          <w:p w14:paraId="6E4E0104">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10</w:t>
            </w:r>
          </w:p>
        </w:tc>
        <w:tc>
          <w:tcPr>
            <w:tcW w:w="814" w:type="dxa"/>
            <w:shd w:val="clear" w:color="auto" w:fill="FFFFFF" w:themeFill="background1"/>
            <w:vAlign w:val="center"/>
          </w:tcPr>
          <w:p w14:paraId="6F1AE3AC">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个</w:t>
            </w:r>
          </w:p>
        </w:tc>
        <w:tc>
          <w:tcPr>
            <w:tcW w:w="1179" w:type="dxa"/>
            <w:shd w:val="clear" w:color="auto" w:fill="FFFFFF" w:themeFill="background1"/>
            <w:vAlign w:val="center"/>
          </w:tcPr>
          <w:p w14:paraId="5575F0CF">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F272041">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规格</w:t>
            </w:r>
            <w:r>
              <w:rPr>
                <w:rFonts w:hint="eastAsia" w:ascii="宋体" w:hAnsi="宋体" w:cs="宋体"/>
                <w:bCs/>
                <w:color w:val="auto"/>
                <w:szCs w:val="21"/>
                <w:highlight w:val="none"/>
              </w:rPr>
              <w:t>≥</w:t>
            </w:r>
            <w:r>
              <w:rPr>
                <w:rFonts w:hint="eastAsia" w:ascii="宋体" w:hAnsi="宋体" w:cs="宋体"/>
                <w:bCs/>
                <w:color w:val="auto"/>
                <w:szCs w:val="21"/>
                <w:highlight w:val="none"/>
              </w:rPr>
              <w:t>50米皮卷尺。</w:t>
            </w:r>
          </w:p>
        </w:tc>
      </w:tr>
      <w:tr w14:paraId="1718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12C6A6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27</w:t>
            </w:r>
          </w:p>
        </w:tc>
        <w:tc>
          <w:tcPr>
            <w:tcW w:w="875" w:type="dxa"/>
            <w:shd w:val="clear" w:color="auto" w:fill="FFFFFF" w:themeFill="background1"/>
            <w:vAlign w:val="center"/>
          </w:tcPr>
          <w:p w14:paraId="1E3BCB6D">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雨量筒</w:t>
            </w:r>
          </w:p>
        </w:tc>
        <w:tc>
          <w:tcPr>
            <w:tcW w:w="836" w:type="dxa"/>
            <w:gridSpan w:val="2"/>
            <w:shd w:val="clear" w:color="auto" w:fill="FFFFFF" w:themeFill="background1"/>
            <w:vAlign w:val="center"/>
          </w:tcPr>
          <w:p w14:paraId="664FB867">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27457383">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个</w:t>
            </w:r>
          </w:p>
        </w:tc>
        <w:tc>
          <w:tcPr>
            <w:tcW w:w="1179" w:type="dxa"/>
            <w:shd w:val="clear" w:color="auto" w:fill="FFFFFF" w:themeFill="background1"/>
            <w:vAlign w:val="center"/>
          </w:tcPr>
          <w:p w14:paraId="4DF348EB">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160E92CD">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自动雨量筒，0.2mm精度。</w:t>
            </w:r>
          </w:p>
        </w:tc>
      </w:tr>
      <w:tr w14:paraId="23A9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1726CAE">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28</w:t>
            </w:r>
          </w:p>
        </w:tc>
        <w:tc>
          <w:tcPr>
            <w:tcW w:w="875" w:type="dxa"/>
            <w:shd w:val="clear" w:color="auto" w:fill="FFFFFF" w:themeFill="background1"/>
            <w:vAlign w:val="center"/>
          </w:tcPr>
          <w:p w14:paraId="328976B9">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显微镜</w:t>
            </w:r>
            <w:r>
              <w:rPr>
                <w:rFonts w:hint="eastAsia" w:asciiTheme="majorEastAsia" w:hAnsiTheme="majorEastAsia" w:eastAsiaTheme="majorEastAsia" w:cstheme="majorEastAsia"/>
                <w:color w:val="auto"/>
                <w:szCs w:val="21"/>
                <w:highlight w:val="none"/>
                <w:lang w:eastAsia="zh-CN"/>
              </w:rPr>
              <w:t>控制</w:t>
            </w:r>
            <w:r>
              <w:rPr>
                <w:rFonts w:hint="eastAsia" w:asciiTheme="majorEastAsia" w:hAnsiTheme="majorEastAsia" w:eastAsiaTheme="majorEastAsia" w:cstheme="majorEastAsia"/>
                <w:color w:val="auto"/>
                <w:szCs w:val="21"/>
                <w:highlight w:val="none"/>
              </w:rPr>
              <w:t>柜</w:t>
            </w:r>
          </w:p>
        </w:tc>
        <w:tc>
          <w:tcPr>
            <w:tcW w:w="836" w:type="dxa"/>
            <w:gridSpan w:val="2"/>
            <w:shd w:val="clear" w:color="auto" w:fill="FFFFFF" w:themeFill="background1"/>
            <w:vAlign w:val="center"/>
          </w:tcPr>
          <w:p w14:paraId="49EDE785">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5</w:t>
            </w:r>
          </w:p>
        </w:tc>
        <w:tc>
          <w:tcPr>
            <w:tcW w:w="814" w:type="dxa"/>
            <w:shd w:val="clear" w:color="auto" w:fill="FFFFFF" w:themeFill="background1"/>
            <w:vAlign w:val="center"/>
          </w:tcPr>
          <w:p w14:paraId="7D121EB9">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4CDBABB3">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173EDB6">
            <w:pPr>
              <w:wordWrap w:val="0"/>
              <w:rPr>
                <w:rFonts w:ascii="宋体" w:hAnsi="宋体" w:cs="宋体"/>
                <w:bCs/>
                <w:color w:val="auto"/>
                <w:szCs w:val="21"/>
                <w:highlight w:val="none"/>
              </w:rPr>
            </w:pPr>
            <w:r>
              <w:rPr>
                <w:rFonts w:hint="eastAsia" w:ascii="宋体" w:hAnsi="宋体" w:cs="宋体"/>
                <w:bCs/>
                <w:color w:val="auto"/>
                <w:szCs w:val="21"/>
                <w:highlight w:val="none"/>
              </w:rPr>
              <w:t>1.湿度范围：20-60%RH。</w:t>
            </w:r>
          </w:p>
          <w:p w14:paraId="0BE39B56">
            <w:pPr>
              <w:wordWrap w:val="0"/>
              <w:rPr>
                <w:rFonts w:ascii="宋体" w:hAnsi="宋体" w:cs="宋体"/>
                <w:bCs/>
                <w:color w:val="auto"/>
                <w:szCs w:val="21"/>
                <w:highlight w:val="none"/>
              </w:rPr>
            </w:pPr>
            <w:r>
              <w:rPr>
                <w:rFonts w:hint="eastAsia" w:ascii="宋体" w:hAnsi="宋体" w:cs="宋体"/>
                <w:bCs/>
                <w:color w:val="auto"/>
                <w:szCs w:val="21"/>
                <w:highlight w:val="none"/>
              </w:rPr>
              <w:t>2.外尺寸：</w:t>
            </w:r>
            <w:r>
              <w:rPr>
                <w:rFonts w:hint="eastAsia" w:ascii="宋体" w:hAnsi="宋体" w:cs="宋体"/>
                <w:bCs/>
                <w:color w:val="auto"/>
                <w:szCs w:val="21"/>
                <w:highlight w:val="none"/>
                <w:lang w:eastAsia="zh-CN"/>
              </w:rPr>
              <w:t>约</w:t>
            </w:r>
            <w:r>
              <w:rPr>
                <w:rFonts w:hint="eastAsia" w:ascii="宋体" w:hAnsi="宋体" w:cs="宋体"/>
                <w:bCs/>
                <w:color w:val="auto"/>
                <w:szCs w:val="21"/>
                <w:highlight w:val="none"/>
              </w:rPr>
              <w:t>W450×D450×H940mm。</w:t>
            </w:r>
          </w:p>
          <w:p w14:paraId="78B14A2D">
            <w:pPr>
              <w:wordWrap w:val="0"/>
              <w:rPr>
                <w:rFonts w:ascii="宋体" w:hAnsi="宋体" w:cs="宋体"/>
                <w:bCs/>
                <w:color w:val="auto"/>
                <w:szCs w:val="21"/>
                <w:highlight w:val="none"/>
              </w:rPr>
            </w:pPr>
            <w:r>
              <w:rPr>
                <w:rFonts w:hint="eastAsia" w:ascii="宋体" w:hAnsi="宋体" w:cs="宋体"/>
                <w:bCs/>
                <w:color w:val="auto"/>
                <w:szCs w:val="21"/>
                <w:highlight w:val="none"/>
              </w:rPr>
              <w:t>3.内尺寸：</w:t>
            </w:r>
            <w:r>
              <w:rPr>
                <w:rFonts w:hint="eastAsia" w:ascii="宋体" w:hAnsi="宋体" w:cs="宋体"/>
                <w:bCs/>
                <w:color w:val="auto"/>
                <w:szCs w:val="21"/>
                <w:highlight w:val="none"/>
                <w:lang w:eastAsia="zh-CN"/>
              </w:rPr>
              <w:t>约</w:t>
            </w:r>
            <w:r>
              <w:rPr>
                <w:rFonts w:hint="eastAsia" w:ascii="宋体" w:hAnsi="宋体" w:cs="宋体"/>
                <w:bCs/>
                <w:color w:val="auto"/>
                <w:szCs w:val="21"/>
                <w:highlight w:val="none"/>
              </w:rPr>
              <w:t>W440×D425×H860mm。</w:t>
            </w:r>
          </w:p>
          <w:p w14:paraId="2CE801FF">
            <w:pPr>
              <w:wordWrap w:val="0"/>
              <w:rPr>
                <w:rFonts w:ascii="宋体" w:hAnsi="宋体" w:cs="宋体"/>
                <w:bCs/>
                <w:color w:val="auto"/>
                <w:szCs w:val="21"/>
                <w:highlight w:val="none"/>
              </w:rPr>
            </w:pPr>
            <w:r>
              <w:rPr>
                <w:rFonts w:hint="eastAsia" w:ascii="宋体" w:hAnsi="宋体" w:cs="宋体"/>
                <w:bCs/>
                <w:color w:val="auto"/>
                <w:szCs w:val="21"/>
                <w:highlight w:val="none"/>
              </w:rPr>
              <w:t>4.容积：≥160L。</w:t>
            </w:r>
          </w:p>
          <w:p w14:paraId="261D55CF">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5.层板：3块。</w:t>
            </w:r>
          </w:p>
        </w:tc>
      </w:tr>
      <w:tr w14:paraId="6F10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29BA7F1F">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29</w:t>
            </w:r>
          </w:p>
        </w:tc>
        <w:tc>
          <w:tcPr>
            <w:tcW w:w="875" w:type="dxa"/>
            <w:shd w:val="clear" w:color="auto" w:fill="FFFFFF" w:themeFill="background1"/>
            <w:vAlign w:val="center"/>
          </w:tcPr>
          <w:p w14:paraId="545ADD1A">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电子天平</w:t>
            </w:r>
          </w:p>
        </w:tc>
        <w:tc>
          <w:tcPr>
            <w:tcW w:w="836" w:type="dxa"/>
            <w:gridSpan w:val="2"/>
            <w:shd w:val="clear" w:color="auto" w:fill="FFFFFF" w:themeFill="background1"/>
            <w:vAlign w:val="center"/>
          </w:tcPr>
          <w:p w14:paraId="0F2F4721">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8</w:t>
            </w:r>
          </w:p>
        </w:tc>
        <w:tc>
          <w:tcPr>
            <w:tcW w:w="814" w:type="dxa"/>
            <w:shd w:val="clear" w:color="auto" w:fill="FFFFFF" w:themeFill="background1"/>
            <w:vAlign w:val="center"/>
          </w:tcPr>
          <w:p w14:paraId="1120CB75">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37E68751">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7A07CA3">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 xml:space="preserve">1.技术指标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1.1量程：≥120g。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1.2可读性：0.1mg。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1.3典型重复性：≤±0.08mg。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1.4线性：≤±0.06mg。</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1.5稳定时间：≤1.5S。</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1.6灵敏度漂移（+10°C ~+30°C）：≤±1.5ppm/K。</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2.功能指标</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 LED触摸屏。</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2.2自动检测并通知校准结果是否超出正常范围，确保操作符合（SOP）要求。</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2.3具有单体传感器，保证可快速准确的称重。</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2.4配备自测试功能。</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2.5采用了耐磨的聚对苯二甲酸丁二酯（PBT）（参考或相当于）外壳，要求化学耐受性强。</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2.6采用特殊涂层的玻璃，最大限度地减小样品带静电引起的称量误差。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2.7自动检测并图形显示打印机、PC等外设是否连接正常。</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2.8 PC直连功能，可连接到PC，以便将称量数据直接传输到电子表格或者文本</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参考或相当于Microsoft® Excel 或Word 等格式</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的文档中。</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2.9只需点击屏幕图标，一键选择防震等级。</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2.10内置不少于12种应用程序：包含但不限于称量、填料、计数、称量百分比、混合、净重总重、组分、总重、动物称量、计算、自由因子、密度测定、统计、峰值保持、检重、质量单位转换等。</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2.11可完全拆卸的防风罩。</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2.12 USB Type-C及RS232接口，可连接打印机、PC、第二显示器、扫描枪等外设。</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2.13密码保护，防止意外更改天平设置。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2.14 ID设置，可以为设备、样品和批次分配ID号。</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2.15称量室高度≥240mm，便于较大容器及样品的称量。</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2.16下部吊钩称量；</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3.配置清单：主机1台、防风罩1个、防尘罩1个、秤盘1个、电源适配器1个、操作说明书1份。</w:t>
            </w:r>
          </w:p>
        </w:tc>
      </w:tr>
      <w:tr w14:paraId="20B2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1BCBE571">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30</w:t>
            </w:r>
          </w:p>
        </w:tc>
        <w:tc>
          <w:tcPr>
            <w:tcW w:w="875" w:type="dxa"/>
            <w:shd w:val="clear" w:color="auto" w:fill="FFFFFF" w:themeFill="background1"/>
            <w:vAlign w:val="center"/>
          </w:tcPr>
          <w:p w14:paraId="1AC73A78">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土壤消化炉</w:t>
            </w:r>
          </w:p>
        </w:tc>
        <w:tc>
          <w:tcPr>
            <w:tcW w:w="836" w:type="dxa"/>
            <w:gridSpan w:val="2"/>
            <w:shd w:val="clear" w:color="auto" w:fill="FFFFFF" w:themeFill="background1"/>
            <w:vAlign w:val="center"/>
          </w:tcPr>
          <w:p w14:paraId="5BB443F3">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5A293774">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68EB00F9">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22928525">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1.测定范围：0.1mg～240mg氮。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2.测定数量：≥20个/批。</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3.速度：≥45min/批。</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4.消化管容量：≥250ml。</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5.控温范围：室温～480℃；过热保护：温度超过500℃时自动切断加热电源并报警；限温保护：可设置温度上限，若实际温度超过上限温度，仪器将自动报警并切断加热电源。</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6.控温精度：±1℃。</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7.平均升温速度：≥30℃/min。</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8.控温方式：程序控制，曲线升温与直线升温两种方式。</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9.废气密封材料：聚四氟乙烯。</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10.隔热方式：分体风道隔热，控制面板与炉体散热隔离，要求减少炉体高温辐射对控制系统的影响；加热方式：铝合金一体加热。</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11.安全功能：过热保护，限温保护。</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12.显示：≥2.5英寸液晶屏，同时显示实际温度与保温时间，并倒计时，到时后自动停止加热并报警。</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13.电源：220（V）±10% 50~60Hz。</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14.额定功率：≥2000W。</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15.外形尺寸：约405×435×475（mm）。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16.重量：约27kg。</w:t>
            </w:r>
          </w:p>
        </w:tc>
      </w:tr>
      <w:tr w14:paraId="2CD3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395203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w:t>
            </w:r>
          </w:p>
        </w:tc>
        <w:tc>
          <w:tcPr>
            <w:tcW w:w="875" w:type="dxa"/>
            <w:shd w:val="clear" w:color="auto" w:fill="FFFFFF" w:themeFill="background1"/>
            <w:vAlign w:val="center"/>
          </w:tcPr>
          <w:p w14:paraId="136C8DC4">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油浴锅</w:t>
            </w:r>
          </w:p>
        </w:tc>
        <w:tc>
          <w:tcPr>
            <w:tcW w:w="836" w:type="dxa"/>
            <w:gridSpan w:val="2"/>
            <w:shd w:val="clear" w:color="auto" w:fill="FFFFFF" w:themeFill="background1"/>
            <w:vAlign w:val="center"/>
          </w:tcPr>
          <w:p w14:paraId="33C363E7">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284BDD0C">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4C541465">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6C84533B">
            <w:pPr>
              <w:wordWrap w:val="0"/>
              <w:rPr>
                <w:rFonts w:ascii="宋体" w:hAnsi="宋体" w:cs="宋体"/>
                <w:bCs/>
                <w:color w:val="auto"/>
                <w:szCs w:val="21"/>
                <w:highlight w:val="none"/>
              </w:rPr>
            </w:pPr>
            <w:r>
              <w:rPr>
                <w:rFonts w:hint="eastAsia" w:ascii="宋体" w:hAnsi="宋体" w:cs="宋体"/>
                <w:bCs/>
                <w:color w:val="auto"/>
                <w:szCs w:val="21"/>
                <w:highlight w:val="none"/>
              </w:rPr>
              <w:t>1.具有内循环/外循环泵系统。</w:t>
            </w:r>
          </w:p>
          <w:p w14:paraId="1ECE5FCF">
            <w:pPr>
              <w:wordWrap w:val="0"/>
              <w:rPr>
                <w:rFonts w:ascii="宋体" w:hAnsi="宋体" w:cs="宋体"/>
                <w:bCs/>
                <w:color w:val="auto"/>
                <w:szCs w:val="21"/>
                <w:highlight w:val="none"/>
              </w:rPr>
            </w:pPr>
            <w:r>
              <w:rPr>
                <w:rFonts w:hint="eastAsia" w:ascii="宋体" w:hAnsi="宋体" w:cs="宋体"/>
                <w:bCs/>
                <w:color w:val="auto"/>
                <w:szCs w:val="21"/>
                <w:highlight w:val="none"/>
              </w:rPr>
              <w:t>2.LED双窗口分别数显温度测量值及温度设定值，触摸按键操作；测量值偏差补正功能；保温层采用高效保温材料。</w:t>
            </w:r>
          </w:p>
          <w:p w14:paraId="211146F3">
            <w:pPr>
              <w:wordWrap w:val="0"/>
              <w:rPr>
                <w:rFonts w:ascii="宋体" w:hAnsi="宋体" w:cs="宋体"/>
                <w:bCs/>
                <w:color w:val="auto"/>
                <w:szCs w:val="21"/>
                <w:highlight w:val="none"/>
              </w:rPr>
            </w:pPr>
            <w:r>
              <w:rPr>
                <w:rFonts w:hint="eastAsia" w:ascii="宋体" w:hAnsi="宋体" w:cs="宋体"/>
                <w:bCs/>
                <w:color w:val="auto"/>
                <w:szCs w:val="21"/>
                <w:highlight w:val="none"/>
              </w:rPr>
              <w:t>3.温度范围：室温～300℃。</w:t>
            </w:r>
          </w:p>
          <w:p w14:paraId="0784AD01">
            <w:pPr>
              <w:wordWrap w:val="0"/>
              <w:rPr>
                <w:rFonts w:ascii="宋体" w:hAnsi="宋体" w:cs="宋体"/>
                <w:bCs/>
                <w:color w:val="auto"/>
                <w:szCs w:val="21"/>
                <w:highlight w:val="none"/>
              </w:rPr>
            </w:pPr>
            <w:r>
              <w:rPr>
                <w:rFonts w:hint="eastAsia" w:ascii="宋体" w:hAnsi="宋体" w:cs="宋体"/>
                <w:bCs/>
                <w:color w:val="auto"/>
                <w:szCs w:val="21"/>
                <w:highlight w:val="none"/>
              </w:rPr>
              <w:t>4.循环方式：内循环（外循环）。</w:t>
            </w:r>
          </w:p>
          <w:p w14:paraId="62457F83">
            <w:pPr>
              <w:wordWrap w:val="0"/>
              <w:rPr>
                <w:rFonts w:ascii="宋体" w:hAnsi="宋体" w:cs="宋体"/>
                <w:bCs/>
                <w:color w:val="auto"/>
                <w:szCs w:val="21"/>
                <w:highlight w:val="none"/>
              </w:rPr>
            </w:pPr>
            <w:r>
              <w:rPr>
                <w:rFonts w:hint="eastAsia" w:ascii="宋体" w:hAnsi="宋体" w:cs="宋体"/>
                <w:bCs/>
                <w:color w:val="auto"/>
                <w:szCs w:val="21"/>
                <w:highlight w:val="none"/>
              </w:rPr>
              <w:t>5.精度：±0.1℃。</w:t>
            </w:r>
          </w:p>
          <w:p w14:paraId="394F4DD8">
            <w:pPr>
              <w:wordWrap w:val="0"/>
              <w:rPr>
                <w:rFonts w:ascii="宋体" w:hAnsi="宋体" w:cs="宋体"/>
                <w:bCs/>
                <w:color w:val="auto"/>
                <w:szCs w:val="21"/>
                <w:highlight w:val="none"/>
              </w:rPr>
            </w:pPr>
            <w:r>
              <w:rPr>
                <w:rFonts w:hint="eastAsia" w:ascii="宋体" w:hAnsi="宋体" w:cs="宋体"/>
                <w:bCs/>
                <w:color w:val="auto"/>
                <w:szCs w:val="21"/>
                <w:highlight w:val="none"/>
              </w:rPr>
              <w:t>8.加热功率：≥2200W。</w:t>
            </w:r>
          </w:p>
          <w:p w14:paraId="414E7B98">
            <w:pPr>
              <w:wordWrap w:val="0"/>
              <w:rPr>
                <w:rFonts w:ascii="宋体" w:hAnsi="宋体" w:cs="宋体"/>
                <w:bCs/>
                <w:color w:val="auto"/>
                <w:szCs w:val="21"/>
                <w:highlight w:val="none"/>
              </w:rPr>
            </w:pPr>
            <w:r>
              <w:rPr>
                <w:rFonts w:hint="eastAsia" w:ascii="宋体" w:hAnsi="宋体" w:cs="宋体"/>
                <w:bCs/>
                <w:color w:val="auto"/>
                <w:szCs w:val="21"/>
                <w:highlight w:val="none"/>
              </w:rPr>
              <w:t>9.恒温设定与测量：数字控制（LED数显）。</w:t>
            </w:r>
          </w:p>
          <w:p w14:paraId="7D9F4467">
            <w:pPr>
              <w:wordWrap w:val="0"/>
              <w:rPr>
                <w:rFonts w:ascii="宋体" w:hAnsi="宋体" w:cs="宋体"/>
                <w:bCs/>
                <w:color w:val="auto"/>
                <w:szCs w:val="21"/>
                <w:highlight w:val="none"/>
              </w:rPr>
            </w:pPr>
            <w:r>
              <w:rPr>
                <w:rFonts w:hint="eastAsia" w:ascii="宋体" w:hAnsi="宋体" w:cs="宋体"/>
                <w:bCs/>
                <w:color w:val="auto"/>
                <w:szCs w:val="21"/>
                <w:highlight w:val="none"/>
              </w:rPr>
              <w:t>10.配置专用试管架和钢丝篓</w:t>
            </w:r>
            <w:r>
              <w:rPr>
                <w:rFonts w:hint="eastAsia"/>
                <w:color w:val="auto"/>
                <w:highlight w:val="none"/>
              </w:rPr>
              <w:t>1套</w:t>
            </w:r>
            <w:r>
              <w:rPr>
                <w:rFonts w:hint="eastAsia" w:ascii="宋体" w:hAnsi="宋体" w:cs="宋体"/>
                <w:bCs/>
                <w:color w:val="auto"/>
                <w:szCs w:val="21"/>
                <w:highlight w:val="none"/>
              </w:rPr>
              <w:t>。</w:t>
            </w:r>
          </w:p>
          <w:p w14:paraId="3F5310EA">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11.工作区尺寸（mm）：约280×280×300。</w:t>
            </w:r>
          </w:p>
        </w:tc>
      </w:tr>
      <w:tr w14:paraId="41C4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69BE8E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32</w:t>
            </w:r>
          </w:p>
        </w:tc>
        <w:tc>
          <w:tcPr>
            <w:tcW w:w="875" w:type="dxa"/>
            <w:shd w:val="clear" w:color="auto" w:fill="FFFFFF" w:themeFill="background1"/>
            <w:vAlign w:val="center"/>
          </w:tcPr>
          <w:p w14:paraId="08AE4132">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数控加热超声波清洗机</w:t>
            </w:r>
          </w:p>
        </w:tc>
        <w:tc>
          <w:tcPr>
            <w:tcW w:w="836" w:type="dxa"/>
            <w:gridSpan w:val="2"/>
            <w:shd w:val="clear" w:color="auto" w:fill="FFFFFF" w:themeFill="background1"/>
            <w:vAlign w:val="center"/>
          </w:tcPr>
          <w:p w14:paraId="7BB1E892">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1CC66D91">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61B6219C">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CAF87D6">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1.外形尺寸：</w:t>
            </w:r>
            <w:r>
              <w:rPr>
                <w:rFonts w:hint="eastAsia" w:ascii="宋体" w:hAnsi="宋体" w:cs="宋体"/>
                <w:bCs/>
                <w:color w:val="auto"/>
                <w:szCs w:val="21"/>
                <w:highlight w:val="none"/>
              </w:rPr>
              <w:t>约640×460×400mm。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2.内槽尺寸：约500×300×180mm。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3.容量：约27L。</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4.超声频率：≥40KHz。</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5.超声功率：≥700W。</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6.功率可调：40-100（%）。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7.进水液位显示：有。</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8.加热功率：≥800W。</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9.温度设定范围：室温-80℃。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10.时间可调：1-480（min）。</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11.降音盖：有。</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12.排水：电控。</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13.其他配置：清洗网篮、降音盖、电控进排水、220V/50Hz电源。</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14.清洗机采用单片机软件操作。</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15.清洗机降音盖、清洗槽均采用不锈钢。</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16.数显超温度、超电压、超电流、低水位、无溶液保护指示。</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17.数显记忆、设定显示超声工作时间、超声功率、进液液位（及实际液位）、加热温度（及实际温度）。</w:t>
            </w:r>
          </w:p>
        </w:tc>
      </w:tr>
      <w:tr w14:paraId="12EC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7E756F23">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33</w:t>
            </w:r>
          </w:p>
        </w:tc>
        <w:tc>
          <w:tcPr>
            <w:tcW w:w="875" w:type="dxa"/>
            <w:shd w:val="clear" w:color="auto" w:fill="FFFFFF" w:themeFill="background1"/>
            <w:vAlign w:val="center"/>
          </w:tcPr>
          <w:p w14:paraId="5A705DDE">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循环水多用真空泵</w:t>
            </w:r>
          </w:p>
        </w:tc>
        <w:tc>
          <w:tcPr>
            <w:tcW w:w="836" w:type="dxa"/>
            <w:gridSpan w:val="2"/>
            <w:shd w:val="clear" w:color="auto" w:fill="FFFFFF" w:themeFill="background1"/>
            <w:vAlign w:val="center"/>
          </w:tcPr>
          <w:p w14:paraId="71B7172D">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3</w:t>
            </w:r>
          </w:p>
        </w:tc>
        <w:tc>
          <w:tcPr>
            <w:tcW w:w="814" w:type="dxa"/>
            <w:shd w:val="clear" w:color="auto" w:fill="FFFFFF" w:themeFill="background1"/>
            <w:vAlign w:val="center"/>
          </w:tcPr>
          <w:p w14:paraId="4B108E58">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7FE0F22E">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4C71735D">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1.功率（W）：≥180。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2.电源（V/Hz）：220/50。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3.流量（L/min）：≥60。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4.扬程（m）：≥8。</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5.最大真空度（Mpa）：≥0.098。</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6.单头抽气量（L/min）：≥10。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7.抽气头数（个）：≥2。</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8.安全功能：逆流防止阀。</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9.水箱容积（L）：≥15。</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10.水箱材质：PP。</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11.外形尺寸（长×宽×高）：约400×280×420mm。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12.全机重量（kg）：约15</w:t>
            </w:r>
          </w:p>
        </w:tc>
      </w:tr>
      <w:tr w14:paraId="0120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BCC1295">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w:t>
            </w:r>
          </w:p>
        </w:tc>
        <w:tc>
          <w:tcPr>
            <w:tcW w:w="875" w:type="dxa"/>
            <w:shd w:val="clear" w:color="auto" w:fill="FFFFFF" w:themeFill="background1"/>
            <w:vAlign w:val="center"/>
          </w:tcPr>
          <w:p w14:paraId="23DA3FA0">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除湿机</w:t>
            </w:r>
          </w:p>
        </w:tc>
        <w:tc>
          <w:tcPr>
            <w:tcW w:w="836" w:type="dxa"/>
            <w:gridSpan w:val="2"/>
            <w:shd w:val="clear" w:color="auto" w:fill="FFFFFF" w:themeFill="background1"/>
            <w:vAlign w:val="center"/>
          </w:tcPr>
          <w:p w14:paraId="44147B84">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3</w:t>
            </w:r>
          </w:p>
        </w:tc>
        <w:tc>
          <w:tcPr>
            <w:tcW w:w="814" w:type="dxa"/>
            <w:shd w:val="clear" w:color="auto" w:fill="FFFFFF" w:themeFill="background1"/>
            <w:vAlign w:val="center"/>
          </w:tcPr>
          <w:p w14:paraId="18FADEDF">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1101BEB8">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3B111B04">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1.除湿量≥110L/D(30℃ RH80%)。</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2.高温除湿量≥138L/D （约35℃、约RH约90%时）。 </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3.除湿量≥2.5kg/h （约27℃ RH约60%时）。</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4.制冷剂/注入量：参考或相当于R410A/约0.7kg。 </w:t>
            </w:r>
            <w:r>
              <w:rPr>
                <w:rFonts w:hint="eastAsia" w:ascii="宋体" w:hAnsi="宋体" w:cs="宋体"/>
                <w:bCs/>
                <w:color w:val="auto"/>
                <w:szCs w:val="21"/>
                <w:highlight w:val="none"/>
              </w:rPr>
              <w:br w:type="textWrapping"/>
            </w:r>
            <w:r>
              <w:rPr>
                <w:rFonts w:hint="eastAsia"/>
                <w:color w:val="auto"/>
                <w:highlight w:val="none"/>
              </w:rPr>
              <w:t>5.</w:t>
            </w:r>
            <w:r>
              <w:rPr>
                <w:rFonts w:hint="eastAsia" w:ascii="宋体" w:hAnsi="宋体" w:cs="宋体"/>
                <w:bCs/>
                <w:color w:val="auto"/>
                <w:szCs w:val="21"/>
                <w:highlight w:val="none"/>
              </w:rPr>
              <w:t>功能具备压缩机延迟保护功能、散热高温保护故障代码提示功能、断电记忆/APP控制功能。</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6.电源插头：采用16A（空调插头）。</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7.额定功率≥1200W；最大功率≥1650W；额定电压及频率 220V~50Hz；额定电流 5.6A；尺寸约505×390×930mm；净重约45kg。</w:t>
            </w:r>
          </w:p>
        </w:tc>
      </w:tr>
      <w:tr w14:paraId="251C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4662DD92">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35</w:t>
            </w:r>
          </w:p>
        </w:tc>
        <w:tc>
          <w:tcPr>
            <w:tcW w:w="875" w:type="dxa"/>
            <w:shd w:val="clear" w:color="auto" w:fill="FFFFFF" w:themeFill="background1"/>
            <w:vAlign w:val="center"/>
          </w:tcPr>
          <w:p w14:paraId="11966E9D">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振荡式机械筛分仪</w:t>
            </w:r>
          </w:p>
        </w:tc>
        <w:tc>
          <w:tcPr>
            <w:tcW w:w="836" w:type="dxa"/>
            <w:gridSpan w:val="2"/>
            <w:shd w:val="clear" w:color="auto" w:fill="FFFFFF" w:themeFill="background1"/>
            <w:vAlign w:val="center"/>
          </w:tcPr>
          <w:p w14:paraId="690EDE9F">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2</w:t>
            </w:r>
          </w:p>
        </w:tc>
        <w:tc>
          <w:tcPr>
            <w:tcW w:w="814" w:type="dxa"/>
            <w:shd w:val="clear" w:color="auto" w:fill="FFFFFF" w:themeFill="background1"/>
            <w:vAlign w:val="center"/>
          </w:tcPr>
          <w:p w14:paraId="40C11CAF">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台</w:t>
            </w:r>
          </w:p>
        </w:tc>
        <w:tc>
          <w:tcPr>
            <w:tcW w:w="1179" w:type="dxa"/>
            <w:shd w:val="clear" w:color="auto" w:fill="FFFFFF" w:themeFill="background1"/>
            <w:vAlign w:val="center"/>
          </w:tcPr>
          <w:p w14:paraId="0BF57C53">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90587AA">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1.筛子直径：300mm-200mm。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2.筛子叠高：约440mm。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3.筛座振幅：约8mm。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4.筛摇动次数：约221次/分。</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5.震击次数：约147次/分。</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6.回转半径：约12.5毫米。</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7.电机功率：约0.37千瓦。</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8.电机转数：≥1400次/分。</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9.外形尺寸（长×宽×高）：约600×400×800mm。</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10. 总重量：约100kg。</w:t>
            </w:r>
          </w:p>
        </w:tc>
      </w:tr>
      <w:tr w14:paraId="0FC6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34" w:type="dxa"/>
            <w:shd w:val="clear" w:color="auto" w:fill="FFFFFF" w:themeFill="background1"/>
            <w:vAlign w:val="center"/>
          </w:tcPr>
          <w:p w14:paraId="35F294C0">
            <w:pPr>
              <w:snapToGrid w:val="0"/>
              <w:spacing w:line="3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36</w:t>
            </w:r>
          </w:p>
        </w:tc>
        <w:tc>
          <w:tcPr>
            <w:tcW w:w="875" w:type="dxa"/>
            <w:shd w:val="clear" w:color="auto" w:fill="FFFFFF" w:themeFill="background1"/>
            <w:vAlign w:val="center"/>
          </w:tcPr>
          <w:p w14:paraId="0A57E28A">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新风系统</w:t>
            </w:r>
          </w:p>
        </w:tc>
        <w:tc>
          <w:tcPr>
            <w:tcW w:w="836" w:type="dxa"/>
            <w:gridSpan w:val="2"/>
            <w:shd w:val="clear" w:color="auto" w:fill="FFFFFF" w:themeFill="background1"/>
            <w:vAlign w:val="center"/>
          </w:tcPr>
          <w:p w14:paraId="16CBDB8C">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1</w:t>
            </w:r>
          </w:p>
        </w:tc>
        <w:tc>
          <w:tcPr>
            <w:tcW w:w="814" w:type="dxa"/>
            <w:shd w:val="clear" w:color="auto" w:fill="FFFFFF" w:themeFill="background1"/>
            <w:vAlign w:val="center"/>
          </w:tcPr>
          <w:p w14:paraId="3E42CFA5">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套</w:t>
            </w:r>
          </w:p>
        </w:tc>
        <w:tc>
          <w:tcPr>
            <w:tcW w:w="1179" w:type="dxa"/>
            <w:shd w:val="clear" w:color="auto" w:fill="FFFFFF" w:themeFill="background1"/>
            <w:vAlign w:val="center"/>
          </w:tcPr>
          <w:p w14:paraId="3A8ABF1F">
            <w:pPr>
              <w:snapToGrid w:val="0"/>
              <w:spacing w:line="320" w:lineRule="exact"/>
              <w:jc w:val="center"/>
              <w:rPr>
                <w:rFonts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Cs w:val="21"/>
                <w:highlight w:val="none"/>
              </w:rPr>
              <w:t>工业</w:t>
            </w:r>
          </w:p>
        </w:tc>
        <w:tc>
          <w:tcPr>
            <w:tcW w:w="4277" w:type="dxa"/>
            <w:shd w:val="clear" w:color="auto" w:fill="FFFFFF" w:themeFill="background1"/>
            <w:vAlign w:val="center"/>
          </w:tcPr>
          <w:p w14:paraId="03F95C30">
            <w:pPr>
              <w:wordWrap w:val="0"/>
              <w:rPr>
                <w:rFonts w:ascii="宋体" w:hAnsi="宋体" w:cs="宋体"/>
                <w:b w:val="0"/>
                <w:bCs/>
                <w:color w:val="auto"/>
                <w:szCs w:val="21"/>
                <w:highlight w:val="none"/>
              </w:rPr>
            </w:pPr>
            <w:r>
              <w:rPr>
                <w:rFonts w:hint="eastAsia" w:ascii="宋体" w:hAnsi="宋体" w:cs="宋体"/>
                <w:b w:val="0"/>
                <w:bCs/>
                <w:color w:val="auto"/>
                <w:szCs w:val="21"/>
                <w:highlight w:val="none"/>
              </w:rPr>
              <w:t>一、本系统含2套新风机和2套风管机组成，具体要求如下：</w:t>
            </w:r>
          </w:p>
          <w:p w14:paraId="28B99CD0">
            <w:pPr>
              <w:wordWrap w:val="0"/>
              <w:rPr>
                <w:rFonts w:ascii="宋体" w:hAnsi="宋体" w:cs="宋体"/>
                <w:b w:val="0"/>
                <w:bCs/>
                <w:color w:val="auto"/>
                <w:szCs w:val="21"/>
                <w:highlight w:val="none"/>
              </w:rPr>
            </w:pPr>
            <w:r>
              <w:rPr>
                <w:rFonts w:hint="eastAsia" w:ascii="宋体" w:hAnsi="宋体" w:cs="宋体"/>
                <w:b w:val="0"/>
                <w:bCs/>
                <w:color w:val="auto"/>
                <w:szCs w:val="21"/>
                <w:highlight w:val="none"/>
              </w:rPr>
              <w:t>1.风管机（2套）：匹数：5匹；能效：1级能效；变频/定频：变频；电源：380V~50Hz；制冷量：≥12000W；制热量：≥14000W；电辅热功率：≥3300W 制热功率：≥4300W；制冷功率：≥4600W；循环风量：≥2000 m</w:t>
            </w:r>
            <w:r>
              <w:rPr>
                <w:rFonts w:hint="eastAsia" w:ascii="宋体" w:hAnsi="宋体" w:cs="宋体"/>
                <w:b w:val="0"/>
                <w:bCs/>
                <w:color w:val="auto"/>
                <w:szCs w:val="21"/>
                <w:highlight w:val="none"/>
                <w:vertAlign w:val="superscript"/>
              </w:rPr>
              <w:t>3</w:t>
            </w:r>
            <w:r>
              <w:rPr>
                <w:rFonts w:hint="eastAsia" w:ascii="宋体" w:hAnsi="宋体" w:cs="宋体"/>
                <w:b w:val="0"/>
                <w:bCs/>
                <w:color w:val="auto"/>
                <w:szCs w:val="21"/>
                <w:highlight w:val="none"/>
              </w:rPr>
              <w:t>/h；液管尺寸：约10mm；气管尺寸：约16mm；室外高风：≤60 dB(A)；冷媒：R32机外静压：30Pa；室内机尺寸（长×宽×高mm）：约1360×700×249；室外机尺寸（宽×高×深mm）：约946×810×420mm；含安装所相关的辅材、铜管、开孔及高空作业等费用。</w:t>
            </w:r>
          </w:p>
          <w:p w14:paraId="096EA811">
            <w:pPr>
              <w:wordWrap w:val="0"/>
              <w:rPr>
                <w:rFonts w:ascii="宋体" w:hAnsi="宋体" w:cs="宋体"/>
                <w:bCs/>
                <w:color w:val="auto"/>
                <w:szCs w:val="21"/>
                <w:highlight w:val="none"/>
              </w:rPr>
            </w:pPr>
            <w:r>
              <w:rPr>
                <w:rFonts w:hint="eastAsia" w:ascii="宋体" w:hAnsi="宋体" w:cs="宋体"/>
                <w:b w:val="0"/>
                <w:bCs/>
                <w:color w:val="auto"/>
                <w:szCs w:val="21"/>
                <w:highlight w:val="none"/>
              </w:rPr>
              <w:t>2. 新风机（2套）</w:t>
            </w:r>
            <w:r>
              <w:rPr>
                <w:rFonts w:hint="eastAsia"/>
                <w:b w:val="0"/>
                <w:bCs/>
                <w:color w:val="auto"/>
                <w:highlight w:val="none"/>
              </w:rPr>
              <w:t>：</w:t>
            </w:r>
            <w:r>
              <w:rPr>
                <w:rFonts w:hint="eastAsia" w:ascii="宋体" w:hAnsi="宋体" w:cs="宋体"/>
                <w:b w:val="0"/>
                <w:bCs/>
                <w:color w:val="auto"/>
                <w:szCs w:val="21"/>
                <w:highlight w:val="none"/>
              </w:rPr>
              <w:t>液晶显示</w:t>
            </w:r>
            <w:r>
              <w:rPr>
                <w:rFonts w:hint="eastAsia"/>
                <w:b w:val="0"/>
                <w:bCs/>
                <w:color w:val="auto"/>
                <w:highlight w:val="none"/>
              </w:rPr>
              <w:t>；</w:t>
            </w:r>
            <w:r>
              <w:rPr>
                <w:rFonts w:hint="eastAsia" w:ascii="宋体" w:hAnsi="宋体" w:cs="宋体"/>
                <w:b w:val="0"/>
                <w:bCs/>
                <w:color w:val="auto"/>
                <w:szCs w:val="21"/>
                <w:highlight w:val="none"/>
              </w:rPr>
              <w:t>风量；电压：220V；温度交换效率</w:t>
            </w:r>
            <w:r>
              <w:rPr>
                <w:rFonts w:hint="eastAsia" w:ascii="宋体" w:hAnsi="宋体" w:cs="宋体"/>
                <w:bCs/>
                <w:color w:val="auto"/>
                <w:szCs w:val="21"/>
                <w:highlight w:val="none"/>
              </w:rPr>
              <w:t>：制冷≥60%；制热≥71%；焓交换效率：制冷≥58% 制热≥67%；功率（W）：低档≥382，高档≥446；排风量（m</w:t>
            </w:r>
            <w:r>
              <w:rPr>
                <w:rFonts w:hint="eastAsia" w:ascii="宋体" w:hAnsi="宋体" w:cs="宋体"/>
                <w:bCs/>
                <w:color w:val="auto"/>
                <w:szCs w:val="21"/>
                <w:highlight w:val="none"/>
                <w:vertAlign w:val="superscript"/>
              </w:rPr>
              <w:t>3</w:t>
            </w:r>
            <w:r>
              <w:rPr>
                <w:rFonts w:hint="eastAsia" w:ascii="宋体" w:hAnsi="宋体" w:cs="宋体"/>
                <w:bCs/>
                <w:color w:val="auto"/>
                <w:szCs w:val="21"/>
                <w:highlight w:val="none"/>
              </w:rPr>
              <w:t>/h）：低档≥660，高档800；新风量（m³/h）：低档≥660，高档≥800；</w:t>
            </w:r>
          </w:p>
          <w:p w14:paraId="559A4A6F">
            <w:pPr>
              <w:wordWrap w:val="0"/>
              <w:rPr>
                <w:rFonts w:ascii="宋体" w:hAnsi="宋体" w:cs="宋体"/>
                <w:bCs/>
                <w:color w:val="auto"/>
                <w:szCs w:val="21"/>
                <w:highlight w:val="none"/>
              </w:rPr>
            </w:pPr>
            <w:r>
              <w:rPr>
                <w:rFonts w:hint="eastAsia" w:ascii="宋体" w:hAnsi="宋体" w:cs="宋体"/>
                <w:bCs/>
                <w:color w:val="auto"/>
                <w:szCs w:val="21"/>
                <w:highlight w:val="none"/>
              </w:rPr>
              <w:t>控制方式：液晶控制开关；噪音（dB）：低档≤43、高档≤45；排风静压（Pa）：低档≤345高档≤380；新风静压（Pa）：低档≥345，高档≥380；功能：双向换气、热交换、初效滤网、定时功能。</w:t>
            </w:r>
          </w:p>
          <w:p w14:paraId="37D7F3BA">
            <w:pPr>
              <w:wordWrap w:val="0"/>
              <w:adjustRightInd w:val="0"/>
              <w:snapToGrid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二、包含安装</w:t>
            </w:r>
            <w:r>
              <w:rPr>
                <w:rFonts w:hint="eastAsia" w:asciiTheme="majorEastAsia" w:hAnsiTheme="majorEastAsia" w:eastAsiaTheme="majorEastAsia" w:cstheme="majorEastAsia"/>
                <w:color w:val="auto"/>
                <w:szCs w:val="21"/>
                <w:highlight w:val="none"/>
              </w:rPr>
              <w:t>新风系统</w:t>
            </w:r>
            <w:r>
              <w:rPr>
                <w:rFonts w:hint="eastAsia" w:ascii="宋体" w:hAnsi="宋体" w:cs="宋体"/>
                <w:bCs/>
                <w:color w:val="auto"/>
                <w:szCs w:val="21"/>
                <w:highlight w:val="none"/>
              </w:rPr>
              <w:t>所需的人工安装及室内新风口、室内回风口、室外不锈钢风帽、消音管道、分风箱、</w:t>
            </w:r>
            <w:r>
              <w:rPr>
                <w:rFonts w:hint="eastAsia" w:ascii="宋体" w:hAnsi="宋体" w:cs="宋体"/>
                <w:bCs/>
                <w:color w:val="auto"/>
                <w:szCs w:val="21"/>
                <w:highlight w:val="none"/>
              </w:rPr>
              <w:t>≥</w:t>
            </w:r>
            <w:r>
              <w:rPr>
                <w:rFonts w:hint="eastAsia" w:ascii="宋体" w:hAnsi="宋体" w:cs="宋体"/>
                <w:bCs/>
                <w:color w:val="auto"/>
                <w:szCs w:val="21"/>
                <w:highlight w:val="none"/>
              </w:rPr>
              <w:t>110mmPE管、PE管吊卡、末端软连接、PVC管、PVC吊卡、固定吊杆、软管配件等、</w:t>
            </w:r>
            <w:r>
              <w:rPr>
                <w:rFonts w:hint="eastAsia" w:ascii="宋体" w:hAnsi="宋体" w:cs="宋体"/>
                <w:bCs/>
                <w:color w:val="auto"/>
                <w:szCs w:val="21"/>
                <w:highlight w:val="none"/>
              </w:rPr>
              <w:t>≥</w:t>
            </w:r>
            <w:r>
              <w:rPr>
                <w:rFonts w:hint="eastAsia" w:ascii="宋体" w:hAnsi="宋体" w:cs="宋体"/>
                <w:bCs/>
                <w:color w:val="auto"/>
                <w:szCs w:val="21"/>
                <w:highlight w:val="none"/>
              </w:rPr>
              <w:t>15</w:t>
            </w:r>
            <w:r>
              <w:rPr>
                <w:rFonts w:hint="eastAsia"/>
                <w:color w:val="auto"/>
                <w:highlight w:val="none"/>
              </w:rPr>
              <w:t>mm</w:t>
            </w:r>
            <w:r>
              <w:rPr>
                <w:rFonts w:hint="eastAsia" w:ascii="宋体" w:hAnsi="宋体" w:cs="宋体"/>
                <w:bCs/>
                <w:color w:val="auto"/>
                <w:szCs w:val="21"/>
                <w:highlight w:val="none"/>
              </w:rPr>
              <w:t>厚橡塑保温、电线、线管等辅</w:t>
            </w:r>
            <w:r>
              <w:rPr>
                <w:rFonts w:hint="eastAsia" w:ascii="宋体" w:hAnsi="宋体" w:cs="宋体"/>
                <w:bCs/>
                <w:color w:val="auto"/>
                <w:szCs w:val="21"/>
                <w:highlight w:val="none"/>
              </w:rPr>
              <w:t>材。</w:t>
            </w:r>
          </w:p>
        </w:tc>
      </w:tr>
      <w:bookmarkEnd w:id="76"/>
      <w:tr w14:paraId="6B39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15" w:type="dxa"/>
            <w:gridSpan w:val="7"/>
            <w:shd w:val="clear" w:color="auto" w:fill="FFFFFF" w:themeFill="background1"/>
            <w:vAlign w:val="center"/>
          </w:tcPr>
          <w:p w14:paraId="17D6A025">
            <w:pP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（二）售后服务要求</w:t>
            </w:r>
          </w:p>
        </w:tc>
      </w:tr>
      <w:tr w14:paraId="5D61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7"/>
            <w:shd w:val="clear" w:color="auto" w:fill="FFFFFF" w:themeFill="background1"/>
            <w:vAlign w:val="center"/>
          </w:tcPr>
          <w:p w14:paraId="307E1E3B">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1.质保（保修、维护、升级）期内售后服务要求</w:t>
            </w:r>
          </w:p>
          <w:p w14:paraId="000CD27E">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供应商按提供的以下售后服务所产生的相关费用均包含在竞标报价中，采购人不再另行支付相关费用，具体要求如下：</w:t>
            </w:r>
          </w:p>
          <w:p w14:paraId="538CB695">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（1）按国家有关产品“三包”规定执行“三包”，第10</w:t>
            </w:r>
            <w:r>
              <w:rPr>
                <w:rFonts w:hint="eastAsia" w:ascii="宋体" w:hAnsi="宋体" w:cs="宋体"/>
                <w:b/>
                <w:bCs/>
                <w:color w:val="auto"/>
                <w:kern w:val="0"/>
                <w:szCs w:val="21"/>
                <w:highlight w:val="none"/>
                <w:lang w:bidi="ar"/>
              </w:rPr>
              <w:t>、</w:t>
            </w:r>
            <w:r>
              <w:rPr>
                <w:rFonts w:hint="eastAsia" w:ascii="宋体" w:hAnsi="宋体" w:cs="宋体"/>
                <w:b/>
                <w:bCs/>
                <w:color w:val="auto"/>
                <w:szCs w:val="21"/>
                <w:highlight w:val="none"/>
              </w:rPr>
              <w:t>22项号标的“图形工作站”质保（保修、维护、升级）期自验收合格之日起不</w:t>
            </w:r>
            <w:r>
              <w:rPr>
                <w:rFonts w:hint="eastAsia" w:ascii="宋体" w:hAnsi="宋体" w:cs="宋体"/>
                <w:b/>
                <w:bCs/>
                <w:color w:val="auto"/>
                <w:kern w:val="0"/>
                <w:szCs w:val="21"/>
                <w:highlight w:val="none"/>
                <w:lang w:bidi="ar"/>
              </w:rPr>
              <w:t>少于</w:t>
            </w:r>
            <w:r>
              <w:rPr>
                <w:rFonts w:hint="eastAsia" w:ascii="宋体" w:hAnsi="宋体" w:cs="宋体"/>
                <w:b/>
                <w:bCs/>
                <w:color w:val="auto"/>
                <w:kern w:val="0"/>
                <w:szCs w:val="21"/>
                <w:highlight w:val="none"/>
                <w:u w:val="single"/>
                <w:lang w:bidi="ar"/>
              </w:rPr>
              <w:t>3</w:t>
            </w:r>
            <w:r>
              <w:rPr>
                <w:rFonts w:hint="eastAsia" w:ascii="宋体" w:hAnsi="宋体" w:cs="宋体"/>
                <w:b/>
                <w:bCs/>
                <w:color w:val="auto"/>
                <w:kern w:val="0"/>
                <w:szCs w:val="21"/>
                <w:highlight w:val="none"/>
                <w:lang w:bidi="ar"/>
              </w:rPr>
              <w:t>年，其余各项号标的</w:t>
            </w:r>
            <w:r>
              <w:rPr>
                <w:rFonts w:hint="eastAsia" w:ascii="宋体" w:hAnsi="宋体" w:cs="宋体"/>
                <w:b/>
                <w:bCs/>
                <w:color w:val="auto"/>
                <w:szCs w:val="21"/>
                <w:highlight w:val="none"/>
              </w:rPr>
              <w:t>质保（保修、维护、升级）期自验收合格之日起不少于</w:t>
            </w:r>
            <w:r>
              <w:rPr>
                <w:rFonts w:hint="eastAsia" w:ascii="宋体" w:hAnsi="宋体" w:cs="宋体"/>
                <w:b/>
                <w:bCs/>
                <w:color w:val="auto"/>
                <w:szCs w:val="21"/>
                <w:highlight w:val="none"/>
                <w:u w:val="single"/>
              </w:rPr>
              <w:t>1</w:t>
            </w:r>
            <w:r>
              <w:rPr>
                <w:rFonts w:hint="eastAsia" w:ascii="宋体" w:hAnsi="宋体" w:cs="宋体"/>
                <w:b/>
                <w:bCs/>
                <w:color w:val="auto"/>
                <w:szCs w:val="21"/>
                <w:highlight w:val="none"/>
              </w:rPr>
              <w:t>年。</w:t>
            </w:r>
          </w:p>
          <w:p w14:paraId="55853BF2">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（2）质保（保修、维护、升级）期内负责上门服务、维修、更换配件。</w:t>
            </w:r>
          </w:p>
          <w:p w14:paraId="75105C74">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3）质保（保修、维护、升级）期内向采购人提供技术支持，确保采购人对设备的成功应用。根据采购人需要，供应商须委派相关专业的工程师到采购人现场提供技术支持服务；定期提供设备软件升级服务，实行与所竞标的同版本同模块质保（保修、维护、升级）期外的升级服务。</w:t>
            </w:r>
          </w:p>
          <w:p w14:paraId="47E5CF12">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（4）提供定期回访及巡检服务（每年至少4次）。</w:t>
            </w:r>
          </w:p>
          <w:p w14:paraId="6F7900E3">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（5）响应时间：供应商必须在接到维修通知的30分钟内作出响应，4小时内到达现场，24小时内修复。24小时内未能修复的必须提供同档次备机备品供采购人使用，保证业务正常运转。</w:t>
            </w:r>
          </w:p>
          <w:p w14:paraId="299871DC">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（6）提供技术培训。</w:t>
            </w:r>
          </w:p>
          <w:p w14:paraId="59B53B44">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 xml:space="preserve">2.质保（保修、维护、升级）期外售后服务要求                                    </w:t>
            </w:r>
          </w:p>
          <w:p w14:paraId="42640F6A">
            <w:pPr>
              <w:keepNext w:val="0"/>
              <w:keepLines w:val="0"/>
              <w:pageBreakBefore w:val="0"/>
              <w:widowControl w:val="0"/>
              <w:tabs>
                <w:tab w:val="left" w:pos="312"/>
              </w:tabs>
              <w:kinsoku/>
              <w:wordWrap/>
              <w:overflowPunct/>
              <w:topLinePunct w:val="0"/>
              <w:autoSpaceDE/>
              <w:autoSpaceDN/>
              <w:bidi w:val="0"/>
              <w:adjustRightInd/>
              <w:snapToGrid/>
              <w:spacing w:line="340" w:lineRule="exact"/>
              <w:textAlignment w:val="auto"/>
              <w:rPr>
                <w:rFonts w:ascii="宋体" w:hAnsi="宋体" w:cs="宋体"/>
                <w:b/>
                <w:bCs/>
                <w:color w:val="auto"/>
                <w:szCs w:val="21"/>
                <w:highlight w:val="none"/>
              </w:rPr>
            </w:pPr>
            <w:r>
              <w:rPr>
                <w:rFonts w:hint="eastAsia" w:ascii="宋体" w:hAnsi="宋体" w:cs="宋体"/>
                <w:b/>
                <w:bCs/>
                <w:color w:val="auto"/>
                <w:szCs w:val="21"/>
                <w:highlight w:val="none"/>
              </w:rPr>
              <w:t>质保（保修、维护、升级）期过后，采购人需要继续由原成交供应商和制造商提供售后服务的，成交供应商和制造商应以维修件成本价提供售后服务。</w:t>
            </w:r>
          </w:p>
          <w:p w14:paraId="77B9E030">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bCs/>
                <w:color w:val="auto"/>
                <w:szCs w:val="21"/>
                <w:highlight w:val="none"/>
              </w:rPr>
              <w:t>注：供应商根据以上售后服务要求，于响应文件必须提供相应的售后服务承诺书。</w:t>
            </w:r>
          </w:p>
        </w:tc>
      </w:tr>
      <w:tr w14:paraId="793F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15" w:type="dxa"/>
            <w:gridSpan w:val="7"/>
            <w:shd w:val="clear" w:color="auto" w:fill="FFFFFF" w:themeFill="background1"/>
          </w:tcPr>
          <w:p w14:paraId="42D2C447">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（三）商务要求</w:t>
            </w:r>
          </w:p>
        </w:tc>
      </w:tr>
      <w:tr w14:paraId="5623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77" w:type="dxa"/>
            <w:gridSpan w:val="3"/>
            <w:shd w:val="clear" w:color="auto" w:fill="FFFFFF" w:themeFill="background1"/>
            <w:vAlign w:val="center"/>
          </w:tcPr>
          <w:p w14:paraId="79A384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1.交付时间和地点</w:t>
            </w:r>
          </w:p>
        </w:tc>
        <w:tc>
          <w:tcPr>
            <w:tcW w:w="6638" w:type="dxa"/>
            <w:gridSpan w:val="4"/>
            <w:shd w:val="clear" w:color="auto" w:fill="FFFFFF" w:themeFill="background1"/>
          </w:tcPr>
          <w:p w14:paraId="2CAC8117">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（1）交付时间：自签订合同之日起</w:t>
            </w:r>
            <w:r>
              <w:rPr>
                <w:rFonts w:hint="eastAsia" w:asciiTheme="majorEastAsia" w:hAnsiTheme="majorEastAsia" w:eastAsiaTheme="majorEastAsia" w:cstheme="majorEastAsia"/>
                <w:b/>
                <w:color w:val="auto"/>
                <w:szCs w:val="21"/>
                <w:highlight w:val="none"/>
                <w:u w:val="single"/>
              </w:rPr>
              <w:t>60</w:t>
            </w:r>
            <w:r>
              <w:rPr>
                <w:rFonts w:hint="eastAsia" w:asciiTheme="majorEastAsia" w:hAnsiTheme="majorEastAsia" w:eastAsiaTheme="majorEastAsia" w:cstheme="majorEastAsia"/>
                <w:b/>
                <w:color w:val="auto"/>
                <w:szCs w:val="21"/>
                <w:highlight w:val="none"/>
              </w:rPr>
              <w:t>个日</w:t>
            </w:r>
            <w:r>
              <w:rPr>
                <w:rFonts w:hint="eastAsia" w:asciiTheme="majorEastAsia" w:hAnsiTheme="majorEastAsia" w:eastAsiaTheme="majorEastAsia" w:cstheme="majorEastAsia"/>
                <w:b/>
                <w:color w:val="auto"/>
                <w:szCs w:val="21"/>
                <w:highlight w:val="none"/>
              </w:rPr>
              <w:t>历日内到货并全部安装调试合格完毕。</w:t>
            </w:r>
          </w:p>
          <w:p w14:paraId="140BE6C1">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（2）交付地点：广西师范大学雁山校区环境与资源学院采购人指定地点。</w:t>
            </w:r>
          </w:p>
        </w:tc>
      </w:tr>
      <w:tr w14:paraId="08F0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77" w:type="dxa"/>
            <w:gridSpan w:val="3"/>
            <w:shd w:val="clear" w:color="auto" w:fill="FFFFFF" w:themeFill="background1"/>
            <w:vAlign w:val="center"/>
          </w:tcPr>
          <w:p w14:paraId="7D068F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2.合同签订时间</w:t>
            </w:r>
          </w:p>
        </w:tc>
        <w:tc>
          <w:tcPr>
            <w:tcW w:w="6638" w:type="dxa"/>
            <w:gridSpan w:val="4"/>
            <w:shd w:val="clear" w:color="auto" w:fill="FFFFFF" w:themeFill="background1"/>
          </w:tcPr>
          <w:p w14:paraId="6297290A">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自成交通知书发出之日起</w:t>
            </w:r>
            <w:r>
              <w:rPr>
                <w:rFonts w:hint="eastAsia" w:asciiTheme="majorEastAsia" w:hAnsiTheme="majorEastAsia" w:eastAsiaTheme="majorEastAsia" w:cstheme="majorEastAsia"/>
                <w:b/>
                <w:color w:val="auto"/>
                <w:szCs w:val="21"/>
                <w:highlight w:val="none"/>
                <w:u w:val="single"/>
              </w:rPr>
              <w:t>25</w:t>
            </w:r>
            <w:r>
              <w:rPr>
                <w:rFonts w:hint="eastAsia" w:asciiTheme="majorEastAsia" w:hAnsiTheme="majorEastAsia" w:eastAsiaTheme="majorEastAsia" w:cstheme="majorEastAsia"/>
                <w:b/>
                <w:color w:val="auto"/>
                <w:szCs w:val="21"/>
                <w:highlight w:val="none"/>
              </w:rPr>
              <w:t>日内</w:t>
            </w:r>
          </w:p>
        </w:tc>
      </w:tr>
      <w:tr w14:paraId="0AB6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gridSpan w:val="3"/>
            <w:shd w:val="clear" w:color="auto" w:fill="FFFFFF" w:themeFill="background1"/>
            <w:vAlign w:val="center"/>
          </w:tcPr>
          <w:p w14:paraId="43B9B2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3.付款条件（进度和方式）</w:t>
            </w:r>
          </w:p>
        </w:tc>
        <w:tc>
          <w:tcPr>
            <w:tcW w:w="6638" w:type="dxa"/>
            <w:gridSpan w:val="4"/>
            <w:shd w:val="clear" w:color="auto" w:fill="FFFFFF" w:themeFill="background1"/>
          </w:tcPr>
          <w:p w14:paraId="5F0D761F">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成交供应商按合同约定交货安装验收合格，成交供应商向采购人提供相应发票后的60日内，采购人向成交供应商支付合同总金额的100%（无息）。</w:t>
            </w:r>
          </w:p>
        </w:tc>
      </w:tr>
      <w:tr w14:paraId="1C8C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gridSpan w:val="3"/>
            <w:shd w:val="clear" w:color="auto" w:fill="FFFFFF" w:themeFill="background1"/>
            <w:vAlign w:val="center"/>
          </w:tcPr>
          <w:p w14:paraId="73A283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4.包装和运输</w:t>
            </w:r>
          </w:p>
        </w:tc>
        <w:tc>
          <w:tcPr>
            <w:tcW w:w="6638" w:type="dxa"/>
            <w:gridSpan w:val="4"/>
            <w:shd w:val="clear" w:color="auto" w:fill="FFFFFF" w:themeFill="background1"/>
          </w:tcPr>
          <w:p w14:paraId="790F9325">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1.原厂原包装，包装完好完整、无破损、未开封。</w:t>
            </w:r>
          </w:p>
          <w:p w14:paraId="14C288AE">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2.包装及运输方式应综合考虑运输距离、防潮、防锈、防震和防破损装卸等要求。</w:t>
            </w:r>
          </w:p>
          <w:p w14:paraId="47545389">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3.国家对包装和运输有相关强制性标准或要求的，供应商应当执行。</w:t>
            </w:r>
          </w:p>
          <w:p w14:paraId="350C2CD2">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4.产品（含包装）运抵采购人指定交付地点前发生损坏的，相应损失由成交供应商自行承担。</w:t>
            </w:r>
          </w:p>
        </w:tc>
      </w:tr>
      <w:tr w14:paraId="3D28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gridSpan w:val="3"/>
            <w:shd w:val="clear" w:color="auto" w:fill="FFFFFF" w:themeFill="background1"/>
            <w:vAlign w:val="center"/>
          </w:tcPr>
          <w:p w14:paraId="03D337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5.验收标准、要求</w:t>
            </w:r>
          </w:p>
        </w:tc>
        <w:tc>
          <w:tcPr>
            <w:tcW w:w="6638" w:type="dxa"/>
            <w:gridSpan w:val="4"/>
            <w:shd w:val="clear" w:color="auto" w:fill="FFFFFF" w:themeFill="background1"/>
          </w:tcPr>
          <w:p w14:paraId="46927AF2">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1F14674F">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产品到货后，采购人现场根据谈判文件要求及响应文件承诺逐条对应进行核验（含测试或试运行），核验不合格的，采购人有权不予验收，同时报相关监督管理部门，由此造成采购人经济损失的由成交供应商负责承担全部赔偿责任。</w:t>
            </w:r>
          </w:p>
          <w:p w14:paraId="3F204E49">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（3）因产品质量问题发生争议的，应邀请国家认可的质量检测机构对产品质量进行鉴定。产品符合标准的，鉴定费由采购人承担；产品不符合标准的，鉴定费由成交供应商承担。</w:t>
            </w:r>
          </w:p>
        </w:tc>
      </w:tr>
      <w:tr w14:paraId="1849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15" w:type="dxa"/>
            <w:gridSpan w:val="7"/>
            <w:shd w:val="clear" w:color="auto" w:fill="FFFFFF" w:themeFill="background1"/>
          </w:tcPr>
          <w:p w14:paraId="7AE4ECF1">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w:t>
            </w:r>
            <w:r>
              <w:rPr>
                <w:rFonts w:hint="eastAsia" w:asciiTheme="majorEastAsia" w:hAnsiTheme="majorEastAsia" w:eastAsiaTheme="majorEastAsia" w:cstheme="majorEastAsia"/>
                <w:b/>
                <w:color w:val="auto"/>
                <w:szCs w:val="21"/>
                <w:highlight w:val="none"/>
                <w:lang w:eastAsia="zh-CN"/>
              </w:rPr>
              <w:t>四</w:t>
            </w:r>
            <w:r>
              <w:rPr>
                <w:rFonts w:hint="eastAsia" w:asciiTheme="majorEastAsia" w:hAnsiTheme="majorEastAsia" w:eastAsiaTheme="majorEastAsia" w:cstheme="majorEastAsia"/>
                <w:b/>
                <w:color w:val="auto"/>
                <w:szCs w:val="21"/>
                <w:highlight w:val="none"/>
              </w:rPr>
              <w:t>）进口产品说明</w:t>
            </w:r>
          </w:p>
        </w:tc>
      </w:tr>
      <w:tr w14:paraId="06F9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515" w:type="dxa"/>
            <w:gridSpan w:val="7"/>
            <w:shd w:val="clear" w:color="auto" w:fill="FFFFFF" w:themeFill="background1"/>
          </w:tcPr>
          <w:p w14:paraId="76B11424">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本项目货物均不接受进口产品（即通过中国海关报关验放进入中国境内且产自关境外的产品）参与竞标，如有进口产品参与竞标的，其响应文件按无效处理。</w:t>
            </w:r>
          </w:p>
        </w:tc>
      </w:tr>
    </w:tbl>
    <w:p w14:paraId="44E9857D">
      <w:pPr>
        <w:pStyle w:val="11"/>
        <w:rPr>
          <w:rFonts w:ascii="宋体" w:cs="宋体"/>
          <w:color w:val="auto"/>
          <w:sz w:val="20"/>
          <w:szCs w:val="20"/>
          <w:highlight w:val="none"/>
        </w:rPr>
      </w:pPr>
      <w:r>
        <w:rPr>
          <w:color w:val="auto"/>
          <w:highlight w:val="none"/>
        </w:rPr>
        <w:br w:type="page"/>
      </w:r>
    </w:p>
    <w:p w14:paraId="06042928">
      <w:pPr>
        <w:spacing w:line="428" w:lineRule="exact"/>
        <w:ind w:left="119"/>
        <w:rPr>
          <w:rFonts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w:t>
      </w:r>
    </w:p>
    <w:p w14:paraId="1C20B14C">
      <w:pPr>
        <w:spacing w:before="7"/>
        <w:rPr>
          <w:rFonts w:ascii="Arial Unicode MS" w:hAnsi="Arial Unicode MS" w:eastAsia="Arial Unicode MS" w:cs="Arial Unicode MS"/>
          <w:color w:val="auto"/>
          <w:sz w:val="17"/>
          <w:szCs w:val="17"/>
          <w:highlight w:val="none"/>
        </w:rPr>
      </w:pPr>
    </w:p>
    <w:p w14:paraId="4660E2B3">
      <w:pPr>
        <w:spacing w:line="528" w:lineRule="exact"/>
        <w:ind w:left="1871"/>
        <w:rPr>
          <w:rFonts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687"/>
        <w:gridCol w:w="3566"/>
      </w:tblGrid>
      <w:tr w14:paraId="6EC2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E1E6219">
            <w:pPr>
              <w:jc w:val="center"/>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b/>
                <w:bCs/>
                <w:color w:val="auto"/>
                <w:w w:val="99"/>
                <w:highlight w:val="none"/>
              </w:rPr>
              <w:t>品目序号</w:t>
            </w:r>
          </w:p>
        </w:tc>
        <w:tc>
          <w:tcPr>
            <w:tcW w:w="4605" w:type="dxa"/>
            <w:gridSpan w:val="3"/>
            <w:tcBorders>
              <w:top w:val="single" w:color="000000" w:sz="4" w:space="0"/>
              <w:left w:val="single" w:color="000000" w:sz="4" w:space="0"/>
              <w:bottom w:val="single" w:color="000000" w:sz="4" w:space="0"/>
              <w:right w:val="single" w:color="000000" w:sz="4" w:space="0"/>
            </w:tcBorders>
            <w:vAlign w:val="center"/>
          </w:tcPr>
          <w:p w14:paraId="73830E1D">
            <w:pPr>
              <w:jc w:val="center"/>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045F3E09">
            <w:pPr>
              <w:jc w:val="center"/>
              <w:rPr>
                <w:rFonts w:hint="eastAsia"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b/>
                <w:bCs/>
                <w:color w:val="auto"/>
                <w:w w:val="99"/>
                <w:highlight w:val="none"/>
              </w:rPr>
              <w:t>依据的标准</w:t>
            </w:r>
          </w:p>
        </w:tc>
      </w:tr>
      <w:tr w14:paraId="52BE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1F756A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056E85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A02010100计算机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3BA1BC5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★A02010105台式计算机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5BD9AEAC">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5A6E1F4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《微型计算机能效限定值及能效等级》（GB 28380-2012）</w:t>
            </w:r>
          </w:p>
        </w:tc>
      </w:tr>
      <w:tr w14:paraId="3F52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F5E910">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3BFEC3">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50830CA">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★A02010108便携式计算机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78F86BE6">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029FE94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《微型计算机能效限定值及能效等级》（GB 28380-2012）</w:t>
            </w:r>
          </w:p>
        </w:tc>
      </w:tr>
      <w:tr w14:paraId="0FB8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A4D4A3">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31E681">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7EDCD9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★A02010109平板式计算机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559B4638">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10356204">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《微型计算机能效限定值及能效等级》（GB 28380-2012）</w:t>
            </w:r>
          </w:p>
        </w:tc>
      </w:tr>
      <w:tr w14:paraId="0BCB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D5DC6F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CA63BB4">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A02020000办公设备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A3E1C8E">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A02021000打印机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5073411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16012EE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07CA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F370ED">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A88232">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ED1D09">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BD8B89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178316E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5FF0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FDC710">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4214DF">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FD67FA">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2C5D1AA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6463EF7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780E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6FC09D">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3615ED">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9682E5">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EC2286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53CF5859">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0F7C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C6ECAC">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AF2219">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ADA167">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E654CD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2C2BD0D4">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《复印机、打印机和传真机能效限定值及能效等级》（GB21521）</w:t>
            </w:r>
          </w:p>
        </w:tc>
      </w:tr>
      <w:tr w14:paraId="5EB9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32F065">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C4CAF0">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1CF302">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5817F5A8">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131AB23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3EDA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6D8EEE">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A610BC">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6DEE91">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2586B47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158DF66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2EF9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32C331">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E55E22">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8ADCD5">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965F60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31FD4BF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0C48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B7EA36">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4CB9AA">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CA3CCE">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3E957F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34E21929">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1B53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FB98F1">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67DDD2">
            <w:pPr>
              <w:jc w:val="center"/>
              <w:rPr>
                <w:rFonts w:hint="eastAsia" w:asciiTheme="majorEastAsia" w:hAnsiTheme="majorEastAsia" w:eastAsiaTheme="majorEastAsia" w:cstheme="maj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92969A8">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A02021100输入输出设备</w:t>
            </w:r>
          </w:p>
        </w:tc>
        <w:tc>
          <w:tcPr>
            <w:tcW w:w="1687" w:type="dxa"/>
            <w:tcBorders>
              <w:top w:val="single" w:color="000000" w:sz="4" w:space="0"/>
              <w:left w:val="single" w:color="000000" w:sz="4" w:space="0"/>
              <w:bottom w:val="single" w:color="000000" w:sz="4" w:space="0"/>
              <w:right w:val="single" w:color="000000" w:sz="4" w:space="0"/>
            </w:tcBorders>
            <w:vAlign w:val="center"/>
          </w:tcPr>
          <w:p w14:paraId="7BAEF8B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3500ABD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《显示器能效限定值及能效等级》（GB 21520-2023）</w:t>
            </w:r>
          </w:p>
        </w:tc>
      </w:tr>
      <w:tr w14:paraId="03DE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155018">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E3F197">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C3FDF2">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018F64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5FFFCE7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参照《复印机、打印机和传真机能效限定值及能效等级》（GB 21521-2014）针式打印机相关要求</w:t>
            </w:r>
          </w:p>
        </w:tc>
      </w:tr>
      <w:tr w14:paraId="1467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134298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A1D23F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5B9F50CA">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7ABEFAD">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4FE43EA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《投影机能效限定值及能效等级》（GB 32028-2015）</w:t>
            </w:r>
          </w:p>
        </w:tc>
      </w:tr>
      <w:tr w14:paraId="55FF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AFC1D9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5C86BFD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A02020400多功能一体机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10B4442F">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45CEE61">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110025C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《复印机、打印机和传真机能效限定值及能效等级》（GB 21521-2014）</w:t>
            </w:r>
          </w:p>
        </w:tc>
      </w:tr>
      <w:tr w14:paraId="6D33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2DB60F9">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5CE1007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A02051900泵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4C8E6FB4">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A02051901离心泵</w:t>
            </w:r>
          </w:p>
        </w:tc>
        <w:tc>
          <w:tcPr>
            <w:tcW w:w="1687" w:type="dxa"/>
            <w:tcBorders>
              <w:top w:val="single" w:color="000000" w:sz="4" w:space="0"/>
              <w:left w:val="single" w:color="000000" w:sz="4" w:space="0"/>
              <w:bottom w:val="single" w:color="000000" w:sz="4" w:space="0"/>
              <w:right w:val="single" w:color="000000" w:sz="4" w:space="0"/>
            </w:tcBorders>
            <w:vAlign w:val="center"/>
          </w:tcPr>
          <w:p w14:paraId="08BF04A0">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2AA30698">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《清水离心泵能效限定值及节能评价值》（GB 19762-2007）</w:t>
            </w:r>
          </w:p>
        </w:tc>
      </w:tr>
      <w:tr w14:paraId="7982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7212348">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6ECFDA0">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A02052300制冷空调设备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F6786C4">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★A02052301制冷压缩机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177B258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冷水机组</w:t>
            </w:r>
          </w:p>
        </w:tc>
        <w:tc>
          <w:tcPr>
            <w:tcW w:w="3566" w:type="dxa"/>
            <w:tcBorders>
              <w:top w:val="single" w:color="000000" w:sz="4" w:space="0"/>
              <w:left w:val="single" w:color="000000" w:sz="4" w:space="0"/>
              <w:bottom w:val="single" w:color="000000" w:sz="4" w:space="0"/>
              <w:right w:val="single" w:color="000000" w:sz="4" w:space="0"/>
            </w:tcBorders>
          </w:tcPr>
          <w:p w14:paraId="5338EBF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en-US"/>
              </w:rPr>
              <w:t>《冷水机组能效限定值及能效等级》（GB 19577-2024），《热泵和冷水机组能效限定值及能效等级》（GB 19577-2024）</w:t>
            </w:r>
          </w:p>
        </w:tc>
      </w:tr>
      <w:tr w14:paraId="7C54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A33D58">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D2800C">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612D5A">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BEDBF3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141D721A">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《热泵和冷水机组能效限定值及能效等级》（GB 19577-2024）</w:t>
            </w:r>
          </w:p>
        </w:tc>
      </w:tr>
      <w:tr w14:paraId="094A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07EDBE">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B0D7D2">
            <w:pPr>
              <w:jc w:val="center"/>
              <w:rPr>
                <w:rFonts w:hint="eastAsia" w:asciiTheme="majorEastAsia" w:hAnsiTheme="majorEastAsia" w:eastAsiaTheme="majorEastAsia" w:cstheme="maj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812056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★A02052305空调机组</w:t>
            </w:r>
          </w:p>
        </w:tc>
        <w:tc>
          <w:tcPr>
            <w:tcW w:w="1687" w:type="dxa"/>
            <w:tcBorders>
              <w:top w:val="single" w:color="000000" w:sz="4" w:space="0"/>
              <w:left w:val="single" w:color="000000" w:sz="4" w:space="0"/>
              <w:bottom w:val="single" w:color="000000" w:sz="4" w:space="0"/>
              <w:right w:val="single" w:color="000000" w:sz="4" w:space="0"/>
            </w:tcBorders>
            <w:vAlign w:val="center"/>
          </w:tcPr>
          <w:p w14:paraId="22C179E8">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0644EC7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《多联式空调（热泵）机组能效限定值及能效等级》（GB 21454-2021）</w:t>
            </w:r>
          </w:p>
        </w:tc>
      </w:tr>
      <w:tr w14:paraId="5DD3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4D21E6">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6C8E6F">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2C25EB">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CC1D3F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25A5455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《单元式空气调节机能效限定值及能效等级》（GB 19576-2019）《风管送风式空调机组能效限定值及能效等级》（GB 37479-2019）</w:t>
            </w:r>
          </w:p>
        </w:tc>
      </w:tr>
      <w:tr w14:paraId="3B12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2B4B18">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34430E">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E14E55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★A02052309专用制冷、空调设备</w:t>
            </w:r>
          </w:p>
        </w:tc>
        <w:tc>
          <w:tcPr>
            <w:tcW w:w="1687" w:type="dxa"/>
            <w:tcBorders>
              <w:top w:val="single" w:color="000000" w:sz="4" w:space="0"/>
              <w:left w:val="single" w:color="000000" w:sz="4" w:space="0"/>
              <w:bottom w:val="single" w:color="000000" w:sz="4" w:space="0"/>
              <w:right w:val="single" w:color="000000" w:sz="4" w:space="0"/>
            </w:tcBorders>
            <w:vAlign w:val="center"/>
          </w:tcPr>
          <w:p w14:paraId="4396F9F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机房空调</w:t>
            </w:r>
          </w:p>
        </w:tc>
        <w:tc>
          <w:tcPr>
            <w:tcW w:w="3566" w:type="dxa"/>
            <w:tcBorders>
              <w:top w:val="single" w:color="000000" w:sz="4" w:space="0"/>
              <w:left w:val="single" w:color="000000" w:sz="4" w:space="0"/>
              <w:bottom w:val="single" w:color="000000" w:sz="4" w:space="0"/>
              <w:right w:val="single" w:color="000000" w:sz="4" w:space="0"/>
            </w:tcBorders>
          </w:tcPr>
          <w:p w14:paraId="1A54326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《单元式空气调节机能效限定值及能效等级》（GB 19576-2019）</w:t>
            </w:r>
          </w:p>
        </w:tc>
      </w:tr>
      <w:tr w14:paraId="6E84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371B1A">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0F47E1">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3C676A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A02052399其他制冷</w:t>
            </w:r>
          </w:p>
          <w:p w14:paraId="1415BDB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空调设备</w:t>
            </w:r>
          </w:p>
        </w:tc>
        <w:tc>
          <w:tcPr>
            <w:tcW w:w="1687" w:type="dxa"/>
            <w:tcBorders>
              <w:top w:val="single" w:color="000000" w:sz="4" w:space="0"/>
              <w:left w:val="single" w:color="000000" w:sz="4" w:space="0"/>
              <w:bottom w:val="single" w:color="000000" w:sz="4" w:space="0"/>
              <w:right w:val="single" w:color="000000" w:sz="4" w:space="0"/>
            </w:tcBorders>
            <w:vAlign w:val="center"/>
          </w:tcPr>
          <w:p w14:paraId="54C8B13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tcPr>
          <w:p w14:paraId="59F2C3E4">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《机械通风冷却塔 第1部分：中小型开式冷却塔》（GB/T 7190.1-2018）</w:t>
            </w:r>
          </w:p>
          <w:p w14:paraId="14755A7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《机械通风冷却塔 第2部分：大型开式冷却塔》（GB/T 7190.2-2018）</w:t>
            </w:r>
          </w:p>
        </w:tc>
      </w:tr>
      <w:tr w14:paraId="7888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7E580F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36A0B9D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A02060100电机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0A6E8808">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25957284">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2D2FD7D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《电动机能效限定值及能效等级》（GB 18613-2020）</w:t>
            </w:r>
          </w:p>
        </w:tc>
      </w:tr>
      <w:tr w14:paraId="0FE6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61562F69">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0B2AFEC7">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A02060200变压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7A1D02CF">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配电变压器</w:t>
            </w:r>
          </w:p>
        </w:tc>
        <w:tc>
          <w:tcPr>
            <w:tcW w:w="1687" w:type="dxa"/>
            <w:tcBorders>
              <w:top w:val="single" w:color="000000" w:sz="4" w:space="0"/>
              <w:left w:val="single" w:color="000000" w:sz="4" w:space="0"/>
              <w:bottom w:val="single" w:color="000000" w:sz="4" w:space="0"/>
              <w:right w:val="single" w:color="000000" w:sz="4" w:space="0"/>
            </w:tcBorders>
            <w:vAlign w:val="center"/>
          </w:tcPr>
          <w:p w14:paraId="3285D2F1">
            <w:pPr>
              <w:jc w:val="center"/>
              <w:rPr>
                <w:rFonts w:hint="eastAsia" w:asciiTheme="majorEastAsia" w:hAnsiTheme="majorEastAsia" w:eastAsiaTheme="majorEastAsia" w:cstheme="majorEastAsia"/>
                <w:color w:val="auto"/>
                <w:szCs w:val="21"/>
                <w:highlight w:val="none"/>
                <w:lang w:val="en-US" w:eastAsia="zh-CN"/>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4E531AAB">
            <w:pPr>
              <w:jc w:val="center"/>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《电力变压器能效限定值及能效等级》（GB 20052-2024）</w:t>
            </w:r>
          </w:p>
        </w:tc>
      </w:tr>
      <w:tr w14:paraId="51DC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97C75EB">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3D11438B">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E7BF6E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管型荧光灯镇流器</w:t>
            </w:r>
          </w:p>
        </w:tc>
        <w:tc>
          <w:tcPr>
            <w:tcW w:w="1687" w:type="dxa"/>
            <w:tcBorders>
              <w:top w:val="single" w:color="000000" w:sz="4" w:space="0"/>
              <w:left w:val="single" w:color="000000" w:sz="4" w:space="0"/>
              <w:bottom w:val="single" w:color="000000" w:sz="4" w:space="0"/>
              <w:right w:val="single" w:color="000000" w:sz="4" w:space="0"/>
            </w:tcBorders>
            <w:vAlign w:val="center"/>
          </w:tcPr>
          <w:p w14:paraId="189DC45C">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2065BB9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《普通照明用气体放电灯用镇流器能效限定值及能效等级》（GB</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17896-2022）</w:t>
            </w:r>
          </w:p>
        </w:tc>
      </w:tr>
      <w:tr w14:paraId="6F7B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5C0AC1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AFDDE6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4118A3A">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A02061801电冰箱</w:t>
            </w:r>
          </w:p>
        </w:tc>
        <w:tc>
          <w:tcPr>
            <w:tcW w:w="1687" w:type="dxa"/>
            <w:tcBorders>
              <w:top w:val="single" w:color="000000" w:sz="4" w:space="0"/>
              <w:left w:val="single" w:color="000000" w:sz="4" w:space="0"/>
              <w:bottom w:val="single" w:color="000000" w:sz="4" w:space="0"/>
              <w:right w:val="single" w:color="000000" w:sz="4" w:space="0"/>
            </w:tcBorders>
            <w:vAlign w:val="center"/>
          </w:tcPr>
          <w:p w14:paraId="293868B8">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700B18F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《家用电冰箱耗电量限定值及能效等级》（GB 12021.2-2015）</w:t>
            </w:r>
          </w:p>
        </w:tc>
      </w:tr>
      <w:tr w14:paraId="161C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E9B4FA">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BDEEBA">
            <w:pPr>
              <w:jc w:val="center"/>
              <w:rPr>
                <w:rFonts w:hint="eastAsia" w:asciiTheme="majorEastAsia" w:hAnsiTheme="majorEastAsia" w:eastAsiaTheme="majorEastAsia" w:cstheme="maj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C0833FD">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★A02061804空调机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6586CDF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13514DF0">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《房间空气调节器能效限定值及能效等级》（GB 21455-2019）</w:t>
            </w:r>
          </w:p>
        </w:tc>
      </w:tr>
      <w:tr w14:paraId="30B0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4CA543">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661089">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0E8357">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9DA7E7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2C29CF0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《多联式空调（热泵）机组能效限定值及能效等级》（GB 21454-2021）</w:t>
            </w:r>
          </w:p>
        </w:tc>
      </w:tr>
      <w:tr w14:paraId="30E6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34BF45">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0B7D11">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90633E">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1428FD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548E56B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《单元式空气调节机能效限定值及能效等级》（GB 19576-2019）《风管送风式空调机组能效限定值及能效等级》（GB 37479-2019）</w:t>
            </w:r>
          </w:p>
        </w:tc>
      </w:tr>
      <w:tr w14:paraId="48A9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12A62C">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945705">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A2008CF">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A02061810洗衣机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22C350D2">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21787AA9">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《电动洗衣机能效水效限定值及等级》（GB 12021.4-2013）</w:t>
            </w:r>
          </w:p>
        </w:tc>
      </w:tr>
      <w:tr w14:paraId="4FEB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36DD36">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EBA0EE">
            <w:pPr>
              <w:jc w:val="center"/>
              <w:rPr>
                <w:rFonts w:hint="eastAsia" w:asciiTheme="majorEastAsia" w:hAnsiTheme="majorEastAsia" w:eastAsiaTheme="majorEastAsia" w:cstheme="maj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9DC3210">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A02061819热水器</w:t>
            </w:r>
          </w:p>
        </w:tc>
        <w:tc>
          <w:tcPr>
            <w:tcW w:w="1687" w:type="dxa"/>
            <w:tcBorders>
              <w:top w:val="single" w:color="000000" w:sz="4" w:space="0"/>
              <w:left w:val="single" w:color="000000" w:sz="4" w:space="0"/>
              <w:bottom w:val="single" w:color="000000" w:sz="4" w:space="0"/>
              <w:right w:val="single" w:color="000000" w:sz="4" w:space="0"/>
            </w:tcBorders>
            <w:vAlign w:val="center"/>
          </w:tcPr>
          <w:p w14:paraId="0CF1E7B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★电热水器</w:t>
            </w:r>
          </w:p>
        </w:tc>
        <w:tc>
          <w:tcPr>
            <w:tcW w:w="3566" w:type="dxa"/>
            <w:tcBorders>
              <w:top w:val="single" w:color="000000" w:sz="4" w:space="0"/>
              <w:left w:val="single" w:color="000000" w:sz="4" w:space="0"/>
              <w:bottom w:val="single" w:color="000000" w:sz="4" w:space="0"/>
              <w:right w:val="single" w:color="000000" w:sz="4" w:space="0"/>
            </w:tcBorders>
          </w:tcPr>
          <w:p w14:paraId="64A7C90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《储水式电热水器能效限定值及能效等级》（GB 21519-2008）</w:t>
            </w:r>
          </w:p>
        </w:tc>
      </w:tr>
      <w:tr w14:paraId="56AB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64F3FB">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DC68A4">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B28890">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C71ED2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燃气热水器</w:t>
            </w:r>
          </w:p>
        </w:tc>
        <w:tc>
          <w:tcPr>
            <w:tcW w:w="3566" w:type="dxa"/>
            <w:tcBorders>
              <w:top w:val="single" w:color="000000" w:sz="4" w:space="0"/>
              <w:left w:val="single" w:color="000000" w:sz="4" w:space="0"/>
              <w:bottom w:val="single" w:color="000000" w:sz="4" w:space="0"/>
              <w:right w:val="single" w:color="000000" w:sz="4" w:space="0"/>
            </w:tcBorders>
          </w:tcPr>
          <w:p w14:paraId="5A8909F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《家用燃气快速热水器和燃气采暖热水炉能效限定值及能效等级》（GB 20665-2015）</w:t>
            </w:r>
          </w:p>
        </w:tc>
      </w:tr>
      <w:tr w14:paraId="5495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7AFDD8">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BFAD98">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46C1F7">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598C5C6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热泵热水器</w:t>
            </w:r>
          </w:p>
        </w:tc>
        <w:tc>
          <w:tcPr>
            <w:tcW w:w="3566" w:type="dxa"/>
            <w:tcBorders>
              <w:top w:val="single" w:color="000000" w:sz="4" w:space="0"/>
              <w:left w:val="single" w:color="000000" w:sz="4" w:space="0"/>
              <w:bottom w:val="single" w:color="000000" w:sz="4" w:space="0"/>
              <w:right w:val="single" w:color="000000" w:sz="4" w:space="0"/>
            </w:tcBorders>
          </w:tcPr>
          <w:p w14:paraId="341C7057">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《热泵热水机（器）能效限定值及能效等级》（GB 29541-2013）</w:t>
            </w:r>
          </w:p>
        </w:tc>
      </w:tr>
      <w:tr w14:paraId="43C0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AE1D57">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AAA872">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D1FE99">
            <w:pPr>
              <w:jc w:val="center"/>
              <w:rPr>
                <w:rFonts w:hint="eastAsia" w:asciiTheme="majorEastAsia" w:hAnsiTheme="majorEastAsia" w:eastAsiaTheme="majorEastAsia" w:cstheme="majorEastAsia"/>
                <w:color w:val="auto"/>
                <w:szCs w:val="21"/>
                <w:highlight w:val="none"/>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A524FB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太阳能热水系统</w:t>
            </w:r>
          </w:p>
        </w:tc>
        <w:tc>
          <w:tcPr>
            <w:tcW w:w="3566" w:type="dxa"/>
            <w:tcBorders>
              <w:top w:val="single" w:color="000000" w:sz="4" w:space="0"/>
              <w:left w:val="single" w:color="000000" w:sz="4" w:space="0"/>
              <w:bottom w:val="single" w:color="000000" w:sz="4" w:space="0"/>
              <w:right w:val="single" w:color="000000" w:sz="4" w:space="0"/>
            </w:tcBorders>
          </w:tcPr>
          <w:p w14:paraId="137286F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《家用太阳能热水系统能效限定值及能效等级》（GB 26969-2011）</w:t>
            </w:r>
          </w:p>
        </w:tc>
      </w:tr>
      <w:tr w14:paraId="29AE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1B24F2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F81BB2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A02061900照明设备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6C06BF9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★普通照明用双端荧光灯</w:t>
            </w:r>
          </w:p>
        </w:tc>
        <w:tc>
          <w:tcPr>
            <w:tcW w:w="1687" w:type="dxa"/>
            <w:tcBorders>
              <w:top w:val="single" w:color="000000" w:sz="4" w:space="0"/>
              <w:left w:val="single" w:color="000000" w:sz="4" w:space="0"/>
              <w:bottom w:val="single" w:color="000000" w:sz="4" w:space="0"/>
              <w:right w:val="single" w:color="000000" w:sz="4" w:space="0"/>
            </w:tcBorders>
            <w:vAlign w:val="center"/>
          </w:tcPr>
          <w:p w14:paraId="412317AF">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5667638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《普通照明用荧光灯能效限定值及能效等级》（GB 19044-2022）</w:t>
            </w:r>
          </w:p>
        </w:tc>
      </w:tr>
      <w:tr w14:paraId="1E56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E50002">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68D38A">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DEC165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LED道路/隧道照明产品</w:t>
            </w:r>
          </w:p>
        </w:tc>
        <w:tc>
          <w:tcPr>
            <w:tcW w:w="1687" w:type="dxa"/>
            <w:tcBorders>
              <w:top w:val="single" w:color="000000" w:sz="4" w:space="0"/>
              <w:left w:val="single" w:color="000000" w:sz="4" w:space="0"/>
              <w:bottom w:val="single" w:color="000000" w:sz="4" w:space="0"/>
              <w:right w:val="single" w:color="000000" w:sz="4" w:space="0"/>
            </w:tcBorders>
            <w:vAlign w:val="center"/>
          </w:tcPr>
          <w:p w14:paraId="03E2786C">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140A2551">
            <w:pPr>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《道路和隧道照明用LED灯具能效限定值及能效等级》（GB 37478-2019</w:t>
            </w:r>
            <w:r>
              <w:rPr>
                <w:rFonts w:hint="eastAsia" w:asciiTheme="majorEastAsia" w:hAnsiTheme="majorEastAsia" w:eastAsiaTheme="majorEastAsia" w:cstheme="majorEastAsia"/>
                <w:color w:val="auto"/>
                <w:szCs w:val="21"/>
                <w:highlight w:val="none"/>
                <w:lang w:eastAsia="zh-CN"/>
              </w:rPr>
              <w:t>）</w:t>
            </w:r>
          </w:p>
        </w:tc>
      </w:tr>
      <w:tr w14:paraId="0D74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E0FF11">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58802">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DCD8C8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LED筒灯</w:t>
            </w:r>
          </w:p>
        </w:tc>
        <w:tc>
          <w:tcPr>
            <w:tcW w:w="1687" w:type="dxa"/>
            <w:tcBorders>
              <w:top w:val="single" w:color="000000" w:sz="4" w:space="0"/>
              <w:left w:val="single" w:color="000000" w:sz="4" w:space="0"/>
              <w:bottom w:val="single" w:color="000000" w:sz="4" w:space="0"/>
              <w:right w:val="single" w:color="000000" w:sz="4" w:space="0"/>
            </w:tcBorders>
            <w:vAlign w:val="center"/>
          </w:tcPr>
          <w:p w14:paraId="74DCE5E6">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480F20B5">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《室内照明用LED产品能效限定值及能效等级》（GB 30255-2019）</w:t>
            </w:r>
          </w:p>
        </w:tc>
      </w:tr>
      <w:tr w14:paraId="594B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61B0FA">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D2CBE8">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69A46D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普通照明用非定向自镇流LED灯</w:t>
            </w:r>
          </w:p>
        </w:tc>
        <w:tc>
          <w:tcPr>
            <w:tcW w:w="1687" w:type="dxa"/>
            <w:tcBorders>
              <w:top w:val="single" w:color="000000" w:sz="4" w:space="0"/>
              <w:left w:val="single" w:color="000000" w:sz="4" w:space="0"/>
              <w:bottom w:val="single" w:color="000000" w:sz="4" w:space="0"/>
              <w:right w:val="single" w:color="000000" w:sz="4" w:space="0"/>
            </w:tcBorders>
            <w:vAlign w:val="center"/>
          </w:tcPr>
          <w:p w14:paraId="72305EE3">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60F0C8C2">
            <w:pPr>
              <w:jc w:val="center"/>
              <w:rPr>
                <w:rFonts w:hint="eastAsia" w:asciiTheme="majorEastAsia" w:hAnsiTheme="majorEastAsia" w:eastAsiaTheme="majorEastAsia" w:cstheme="majorEastAsia"/>
                <w:color w:val="auto"/>
                <w:szCs w:val="21"/>
                <w:highlight w:val="none"/>
              </w:rPr>
            </w:pPr>
          </w:p>
          <w:p w14:paraId="79D3CC6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《室内照明用LED产品能效限定值及能效等级》（GB 30255-2019）</w:t>
            </w:r>
          </w:p>
        </w:tc>
      </w:tr>
      <w:tr w14:paraId="15CD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F34C88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12</w:t>
            </w:r>
          </w:p>
        </w:tc>
        <w:tc>
          <w:tcPr>
            <w:tcW w:w="1422" w:type="dxa"/>
            <w:tcBorders>
              <w:top w:val="single" w:color="000000" w:sz="4" w:space="0"/>
              <w:left w:val="single" w:color="000000" w:sz="4" w:space="0"/>
              <w:bottom w:val="single" w:color="000000" w:sz="4" w:space="0"/>
              <w:right w:val="single" w:color="000000" w:sz="4" w:space="0"/>
            </w:tcBorders>
            <w:vAlign w:val="center"/>
          </w:tcPr>
          <w:p w14:paraId="52EA3B4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D9FB503">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A02091001普通电视设备（电视机）</w:t>
            </w:r>
          </w:p>
        </w:tc>
        <w:tc>
          <w:tcPr>
            <w:tcW w:w="1687" w:type="dxa"/>
            <w:tcBorders>
              <w:top w:val="single" w:color="000000" w:sz="4" w:space="0"/>
              <w:left w:val="single" w:color="000000" w:sz="4" w:space="0"/>
              <w:bottom w:val="single" w:color="000000" w:sz="4" w:space="0"/>
              <w:right w:val="single" w:color="000000" w:sz="4" w:space="0"/>
            </w:tcBorders>
            <w:vAlign w:val="center"/>
          </w:tcPr>
          <w:p w14:paraId="4FD61F14">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3BC330A2">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《平板电视与机顶盒能效限定值及能效等级》（GB 24850-2020）</w:t>
            </w:r>
          </w:p>
        </w:tc>
      </w:tr>
      <w:tr w14:paraId="056C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4C3A013">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13</w:t>
            </w:r>
          </w:p>
        </w:tc>
        <w:tc>
          <w:tcPr>
            <w:tcW w:w="1422" w:type="dxa"/>
            <w:tcBorders>
              <w:top w:val="single" w:color="000000" w:sz="4" w:space="0"/>
              <w:left w:val="single" w:color="000000" w:sz="4" w:space="0"/>
              <w:bottom w:val="single" w:color="000000" w:sz="4" w:space="0"/>
              <w:right w:val="single" w:color="000000" w:sz="4" w:space="0"/>
            </w:tcBorders>
            <w:vAlign w:val="center"/>
          </w:tcPr>
          <w:p w14:paraId="5E63BE7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1788757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A02091107视频监控设备</w:t>
            </w:r>
          </w:p>
        </w:tc>
        <w:tc>
          <w:tcPr>
            <w:tcW w:w="1687" w:type="dxa"/>
            <w:tcBorders>
              <w:top w:val="single" w:color="000000" w:sz="4" w:space="0"/>
              <w:left w:val="single" w:color="000000" w:sz="4" w:space="0"/>
              <w:bottom w:val="single" w:color="000000" w:sz="4" w:space="0"/>
              <w:right w:val="single" w:color="000000" w:sz="4" w:space="0"/>
            </w:tcBorders>
            <w:vAlign w:val="center"/>
          </w:tcPr>
          <w:p w14:paraId="05AEEC0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监视器</w:t>
            </w:r>
          </w:p>
        </w:tc>
        <w:tc>
          <w:tcPr>
            <w:tcW w:w="3566" w:type="dxa"/>
            <w:tcBorders>
              <w:top w:val="single" w:color="000000" w:sz="4" w:space="0"/>
              <w:left w:val="single" w:color="000000" w:sz="4" w:space="0"/>
              <w:bottom w:val="single" w:color="000000" w:sz="4" w:space="0"/>
              <w:right w:val="single" w:color="000000" w:sz="4" w:space="0"/>
            </w:tcBorders>
          </w:tcPr>
          <w:p w14:paraId="343200FE">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《平板电视与机顶盒能效限定值及能效等级》（GB 24850-2020），以数字信号为主要信号输入的监视器应符合《显示器能效限定值及能效等级》（GB 21520-2023）</w:t>
            </w:r>
          </w:p>
        </w:tc>
      </w:tr>
      <w:tr w14:paraId="6BFF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39FE8F5">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14</w:t>
            </w:r>
          </w:p>
        </w:tc>
        <w:tc>
          <w:tcPr>
            <w:tcW w:w="1422" w:type="dxa"/>
            <w:tcBorders>
              <w:top w:val="single" w:color="000000" w:sz="4" w:space="0"/>
              <w:left w:val="single" w:color="000000" w:sz="4" w:space="0"/>
              <w:bottom w:val="single" w:color="000000" w:sz="4" w:space="0"/>
              <w:right w:val="single" w:color="000000" w:sz="4" w:space="0"/>
            </w:tcBorders>
            <w:vAlign w:val="center"/>
          </w:tcPr>
          <w:p w14:paraId="3A804BC1">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A02241000饮食炊事机械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172CA03C">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商用燃气灶具</w:t>
            </w:r>
          </w:p>
        </w:tc>
        <w:tc>
          <w:tcPr>
            <w:tcW w:w="1687" w:type="dxa"/>
            <w:tcBorders>
              <w:top w:val="single" w:color="000000" w:sz="4" w:space="0"/>
              <w:left w:val="single" w:color="000000" w:sz="4" w:space="0"/>
              <w:bottom w:val="single" w:color="000000" w:sz="4" w:space="0"/>
              <w:right w:val="single" w:color="000000" w:sz="4" w:space="0"/>
            </w:tcBorders>
            <w:vAlign w:val="center"/>
          </w:tcPr>
          <w:p w14:paraId="1F8D3E44">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6D98935B">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《商用燃气灶具能效限定值及能效等级》（GB 30531-2014）</w:t>
            </w:r>
          </w:p>
        </w:tc>
      </w:tr>
      <w:tr w14:paraId="0E6D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E9494E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DEAB9E7">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★A05020105便器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94215F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坐便器</w:t>
            </w:r>
          </w:p>
        </w:tc>
        <w:tc>
          <w:tcPr>
            <w:tcW w:w="1687" w:type="dxa"/>
            <w:tcBorders>
              <w:top w:val="single" w:color="000000" w:sz="4" w:space="0"/>
              <w:left w:val="single" w:color="000000" w:sz="4" w:space="0"/>
              <w:bottom w:val="single" w:color="000000" w:sz="4" w:space="0"/>
              <w:right w:val="single" w:color="000000" w:sz="4" w:space="0"/>
            </w:tcBorders>
            <w:vAlign w:val="center"/>
          </w:tcPr>
          <w:p w14:paraId="35E894B0">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4573800D">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《坐便器水效限定值及水效等级》</w:t>
            </w:r>
          </w:p>
          <w:p w14:paraId="40459C3A">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en-US"/>
              </w:rPr>
              <w:t>GB25502</w:t>
            </w:r>
            <w:r>
              <w:rPr>
                <w:rFonts w:hint="eastAsia" w:asciiTheme="majorEastAsia" w:hAnsiTheme="majorEastAsia" w:eastAsiaTheme="majorEastAsia" w:cstheme="majorEastAsia"/>
                <w:color w:val="auto"/>
                <w:szCs w:val="21"/>
                <w:highlight w:val="none"/>
              </w:rPr>
              <w:t>)</w:t>
            </w:r>
          </w:p>
        </w:tc>
      </w:tr>
      <w:tr w14:paraId="203A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C146EC">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3FDC1E">
            <w:pPr>
              <w:jc w:val="center"/>
              <w:rPr>
                <w:rFonts w:hint="eastAsia" w:asciiTheme="majorEastAsia" w:hAnsiTheme="majorEastAsia" w:eastAsiaTheme="majorEastAsia" w:cstheme="majorEastAsia"/>
                <w:color w:val="auto"/>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70AC1A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蹲便器</w:t>
            </w:r>
          </w:p>
        </w:tc>
        <w:tc>
          <w:tcPr>
            <w:tcW w:w="1687" w:type="dxa"/>
            <w:tcBorders>
              <w:top w:val="single" w:color="000000" w:sz="4" w:space="0"/>
              <w:left w:val="single" w:color="000000" w:sz="4" w:space="0"/>
              <w:bottom w:val="single" w:color="000000" w:sz="4" w:space="0"/>
              <w:right w:val="single" w:color="000000" w:sz="4" w:space="0"/>
            </w:tcBorders>
            <w:vAlign w:val="center"/>
          </w:tcPr>
          <w:p w14:paraId="1C1EB14C">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5987BC19">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坐便器水效限定值及水效等级》（GB 25502-2024）</w:t>
            </w:r>
          </w:p>
        </w:tc>
      </w:tr>
      <w:tr w14:paraId="4A5B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639A4C">
            <w:pPr>
              <w:jc w:val="center"/>
              <w:rPr>
                <w:rFonts w:hint="eastAsia" w:asciiTheme="majorEastAsia" w:hAnsiTheme="majorEastAsia" w:eastAsiaTheme="majorEastAsia" w:cstheme="majorEastAsia"/>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EB7073">
            <w:pPr>
              <w:jc w:val="center"/>
              <w:rPr>
                <w:rFonts w:hint="eastAsia" w:asciiTheme="majorEastAsia" w:hAnsiTheme="majorEastAsia" w:eastAsiaTheme="majorEastAsia" w:cstheme="maj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D1BFE37">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小便器</w:t>
            </w:r>
          </w:p>
        </w:tc>
        <w:tc>
          <w:tcPr>
            <w:tcW w:w="1687" w:type="dxa"/>
            <w:tcBorders>
              <w:top w:val="single" w:color="000000" w:sz="4" w:space="0"/>
              <w:left w:val="single" w:color="000000" w:sz="4" w:space="0"/>
              <w:bottom w:val="single" w:color="000000" w:sz="4" w:space="0"/>
              <w:right w:val="single" w:color="000000" w:sz="4" w:space="0"/>
            </w:tcBorders>
            <w:vAlign w:val="center"/>
          </w:tcPr>
          <w:p w14:paraId="19381838">
            <w:pPr>
              <w:jc w:val="center"/>
              <w:rPr>
                <w:rFonts w:hint="eastAsia" w:asciiTheme="majorEastAsia" w:hAnsiTheme="majorEastAsia" w:eastAsiaTheme="majorEastAsia" w:cstheme="majorEastAsia"/>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14:paraId="24851546">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《小便器水效限定值及水效等级》（GB 28377-2019）</w:t>
            </w:r>
          </w:p>
        </w:tc>
      </w:tr>
      <w:tr w14:paraId="03AC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9D05C79">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3B0B15E8">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★A05020106水嘴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2071222D">
            <w:pPr>
              <w:jc w:val="center"/>
              <w:rPr>
                <w:rFonts w:hint="eastAsia" w:asciiTheme="majorEastAsia" w:hAnsiTheme="majorEastAsia" w:eastAsiaTheme="majorEastAsia" w:cstheme="majorEastAsia"/>
                <w:color w:val="auto"/>
                <w:szCs w:val="21"/>
                <w:highlight w:val="none"/>
                <w:lang w:eastAsia="en-US"/>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F9AE059">
            <w:pPr>
              <w:jc w:val="center"/>
              <w:rPr>
                <w:rFonts w:hint="eastAsia" w:asciiTheme="majorEastAsia" w:hAnsiTheme="majorEastAsia" w:eastAsiaTheme="majorEastAsia" w:cstheme="majorEastAsia"/>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3B2A6D7C">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《水嘴水效限定值及水效等级》（GB 25501-2019）</w:t>
            </w:r>
          </w:p>
        </w:tc>
      </w:tr>
      <w:tr w14:paraId="32F2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C939924">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0724B5EE">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A05020107便器冲洗阀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0F9EEA30">
            <w:pPr>
              <w:jc w:val="center"/>
              <w:rPr>
                <w:rFonts w:hint="eastAsia" w:asciiTheme="majorEastAsia" w:hAnsiTheme="majorEastAsia" w:eastAsiaTheme="majorEastAsia" w:cstheme="majorEastAsia"/>
                <w:color w:val="auto"/>
                <w:szCs w:val="21"/>
                <w:highlight w:val="none"/>
                <w:lang w:eastAsia="en-US"/>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2C4F436B">
            <w:pPr>
              <w:jc w:val="center"/>
              <w:rPr>
                <w:rFonts w:hint="eastAsia" w:asciiTheme="majorEastAsia" w:hAnsiTheme="majorEastAsia" w:eastAsiaTheme="majorEastAsia" w:cstheme="majorEastAsia"/>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23818941">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《便器冲洗阀水效限定值及水效等级》（GB 28379-2022）</w:t>
            </w:r>
          </w:p>
        </w:tc>
      </w:tr>
      <w:tr w14:paraId="4AA6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2D96112">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6C07B316">
            <w:pPr>
              <w:jc w:val="center"/>
              <w:rPr>
                <w:rFonts w:hint="eastAsia" w:asciiTheme="majorEastAsia" w:hAnsiTheme="majorEastAsia" w:eastAsiaTheme="majorEastAsia" w:cstheme="majorEastAsia"/>
                <w:color w:val="auto"/>
                <w:szCs w:val="21"/>
                <w:highlight w:val="none"/>
                <w:lang w:eastAsia="en-US"/>
              </w:rPr>
            </w:pPr>
            <w:r>
              <w:rPr>
                <w:rFonts w:hint="eastAsia" w:asciiTheme="majorEastAsia" w:hAnsiTheme="majorEastAsia" w:eastAsiaTheme="majorEastAsia" w:cstheme="majorEastAsia"/>
                <w:color w:val="auto"/>
                <w:szCs w:val="21"/>
                <w:highlight w:val="none"/>
                <w:lang w:eastAsia="en-US"/>
              </w:rPr>
              <w:t>A05020110淋浴器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678291C">
            <w:pPr>
              <w:jc w:val="center"/>
              <w:rPr>
                <w:rFonts w:hint="eastAsia" w:asciiTheme="majorEastAsia" w:hAnsiTheme="majorEastAsia" w:eastAsiaTheme="majorEastAsia" w:cstheme="majorEastAsia"/>
                <w:color w:val="auto"/>
                <w:szCs w:val="21"/>
                <w:highlight w:val="none"/>
                <w:lang w:eastAsia="en-US"/>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7542B1D0">
            <w:pPr>
              <w:jc w:val="center"/>
              <w:rPr>
                <w:rFonts w:hint="eastAsia" w:asciiTheme="majorEastAsia" w:hAnsiTheme="majorEastAsia" w:eastAsiaTheme="majorEastAsia" w:cstheme="majorEastAsia"/>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40EE323F">
            <w:pPr>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《淋浴器水效限定值及水效等级》（GB 28378-2019）</w:t>
            </w:r>
          </w:p>
        </w:tc>
      </w:tr>
    </w:tbl>
    <w:p w14:paraId="14E24786">
      <w:pPr>
        <w:spacing w:line="360" w:lineRule="auto"/>
        <w:rPr>
          <w:rFonts w:ascii="宋体" w:hAnsi="宋体"/>
          <w:color w:val="auto"/>
          <w:szCs w:val="21"/>
          <w:highlight w:val="none"/>
        </w:rPr>
      </w:pPr>
      <w:r>
        <w:rPr>
          <w:rFonts w:hint="eastAsia" w:ascii="宋体" w:hAnsi="宋体"/>
          <w:color w:val="auto"/>
          <w:spacing w:val="-3"/>
          <w:kern w:val="0"/>
          <w:szCs w:val="21"/>
          <w:highlight w:val="none"/>
        </w:rPr>
        <w:t>注：</w:t>
      </w:r>
      <w:r>
        <w:rPr>
          <w:rFonts w:ascii="宋体" w:hAnsi="宋体"/>
          <w:color w:val="auto"/>
          <w:spacing w:val="-3"/>
          <w:kern w:val="0"/>
          <w:szCs w:val="21"/>
          <w:highlight w:val="none"/>
        </w:rPr>
        <w:t>1.</w:t>
      </w:r>
      <w:r>
        <w:rPr>
          <w:rFonts w:hint="eastAsia" w:ascii="宋体" w:hAnsi="宋体"/>
          <w:color w:val="auto"/>
          <w:spacing w:val="-3"/>
          <w:kern w:val="0"/>
          <w:szCs w:val="21"/>
          <w:highlight w:val="none"/>
        </w:rPr>
        <w:t>节能产品认证应依据相关国家标准的最新版本，依据国家标准中二级能效（水效）</w:t>
      </w:r>
      <w:r>
        <w:rPr>
          <w:rFonts w:hint="eastAsia" w:ascii="宋体" w:hAnsi="宋体"/>
          <w:color w:val="auto"/>
          <w:kern w:val="0"/>
          <w:szCs w:val="21"/>
          <w:highlight w:val="none"/>
        </w:rPr>
        <w:t>指标。</w:t>
      </w:r>
    </w:p>
    <w:p w14:paraId="2615D4A7">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.以</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w:t>
      </w:r>
      <w:r>
        <w:rPr>
          <w:rFonts w:hint="eastAsia" w:ascii="宋体" w:hAnsi="宋体"/>
          <w:color w:val="auto"/>
          <w:kern w:val="0"/>
          <w:szCs w:val="21"/>
          <w:highlight w:val="none"/>
        </w:rPr>
        <w:t>标注的为政府强制采购产品。</w:t>
      </w:r>
    </w:p>
    <w:p w14:paraId="535301BF">
      <w:pPr>
        <w:widowControl/>
        <w:ind w:firstLine="420" w:firstLineChars="200"/>
        <w:jc w:val="left"/>
        <w:rPr>
          <w:rFonts w:ascii="宋体" w:cs="宋体"/>
          <w:color w:val="auto"/>
          <w:sz w:val="20"/>
          <w:szCs w:val="20"/>
          <w:highlight w:val="none"/>
        </w:rPr>
        <w:sectPr>
          <w:pgSz w:w="11910" w:h="16840"/>
          <w:pgMar w:top="1340" w:right="1500" w:bottom="280" w:left="1680" w:header="720" w:footer="720" w:gutter="0"/>
          <w:cols w:space="720" w:num="1"/>
        </w:sectPr>
      </w:pPr>
      <w:r>
        <w:rPr>
          <w:rFonts w:hint="eastAsia" w:ascii="宋体" w:hAnsi="宋体"/>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0805E081">
      <w:pPr>
        <w:spacing w:before="4"/>
        <w:rPr>
          <w:rFonts w:ascii="宋体" w:cs="宋体"/>
          <w:color w:val="auto"/>
          <w:sz w:val="6"/>
          <w:szCs w:val="6"/>
          <w:highlight w:val="none"/>
        </w:rPr>
      </w:pPr>
    </w:p>
    <w:p w14:paraId="4481DF45">
      <w:pPr>
        <w:pStyle w:val="2"/>
        <w:jc w:val="center"/>
        <w:rPr>
          <w:rFonts w:ascii="宋体"/>
          <w:bCs w:val="0"/>
          <w:color w:val="auto"/>
          <w:kern w:val="2"/>
          <w:sz w:val="32"/>
          <w:szCs w:val="32"/>
          <w:highlight w:val="none"/>
        </w:rPr>
      </w:pPr>
      <w:bookmarkStart w:id="77" w:name="_Toc74322011"/>
      <w:r>
        <w:rPr>
          <w:rFonts w:hint="eastAsia" w:ascii="宋体" w:hAnsi="宋体"/>
          <w:bCs w:val="0"/>
          <w:color w:val="auto"/>
          <w:kern w:val="2"/>
          <w:sz w:val="32"/>
          <w:szCs w:val="32"/>
          <w:highlight w:val="none"/>
        </w:rPr>
        <w:t>第四章</w:t>
      </w:r>
      <w:bookmarkStart w:id="78" w:name="_Hlk68601507"/>
      <w:r>
        <w:rPr>
          <w:rFonts w:hint="eastAsia" w:ascii="宋体" w:hAnsi="宋体"/>
          <w:bCs w:val="0"/>
          <w:color w:val="auto"/>
          <w:kern w:val="2"/>
          <w:sz w:val="32"/>
          <w:szCs w:val="32"/>
          <w:highlight w:val="none"/>
        </w:rPr>
        <w:t xml:space="preserve"> 评审程序和评定成交的标准</w:t>
      </w:r>
      <w:bookmarkEnd w:id="77"/>
      <w:bookmarkEnd w:id="78"/>
    </w:p>
    <w:p w14:paraId="607CDA32">
      <w:pPr>
        <w:spacing w:line="360" w:lineRule="auto"/>
        <w:jc w:val="center"/>
        <w:rPr>
          <w:rFonts w:ascii="宋体"/>
          <w:b/>
          <w:color w:val="auto"/>
          <w:sz w:val="32"/>
          <w:szCs w:val="32"/>
          <w:highlight w:val="none"/>
        </w:rPr>
      </w:pPr>
      <w:r>
        <w:rPr>
          <w:rFonts w:hint="eastAsia" w:ascii="宋体" w:hAnsi="宋体"/>
          <w:b/>
          <w:color w:val="auto"/>
          <w:sz w:val="32"/>
          <w:szCs w:val="32"/>
          <w:highlight w:val="none"/>
        </w:rPr>
        <w:t>一、评审程序</w:t>
      </w:r>
    </w:p>
    <w:p w14:paraId="7A27289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130E903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由谈判小组确认谈判文件。</w:t>
      </w:r>
    </w:p>
    <w:p w14:paraId="790F929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44B4763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响应文件开启后，谈判小组依法对供应商的资格证明文件进行审查。</w:t>
      </w:r>
    </w:p>
    <w:p w14:paraId="52D7AC3D">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226EFD98">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w:t>
      </w:r>
      <w:r>
        <w:rPr>
          <w:rFonts w:hint="eastAsia" w:ascii="宋体" w:hAnsi="宋体"/>
          <w:bCs/>
          <w:color w:val="auto"/>
          <w:szCs w:val="21"/>
          <w:highlight w:val="none"/>
        </w:rPr>
        <w:t>广西政府采购云平台</w:t>
      </w:r>
      <w:r>
        <w:rPr>
          <w:rFonts w:hint="eastAsia" w:ascii="宋体" w:hAnsi="宋体" w:cs="宋体"/>
          <w:color w:val="auto"/>
          <w:szCs w:val="21"/>
          <w:highlight w:val="none"/>
        </w:rPr>
        <w:t>“信用中国”网站（</w:t>
      </w:r>
      <w:r>
        <w:rPr>
          <w:rFonts w:ascii="宋体" w:hAnsi="宋体" w:cs="宋体"/>
          <w:color w:val="auto"/>
          <w:szCs w:val="21"/>
          <w:highlight w:val="none"/>
        </w:rPr>
        <w:t>hppt://www.creditchina.gov.cn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hppt://www.ccgp.gov.cn</w:t>
      </w:r>
      <w:r>
        <w:rPr>
          <w:rFonts w:hint="eastAsia" w:ascii="宋体" w:hAnsi="宋体" w:cs="宋体"/>
          <w:color w:val="auto"/>
          <w:szCs w:val="21"/>
          <w:highlight w:val="none"/>
        </w:rPr>
        <w:t>）链接入口。</w:t>
      </w:r>
    </w:p>
    <w:p w14:paraId="0FE90A8E">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2AF055A3">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）查询记录和证据留存方式：在查询网站中直接查询，截图另存为电子文档作为评审资料保存。</w:t>
      </w:r>
    </w:p>
    <w:p w14:paraId="7273959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）信用信息使用规则：对在“信用中国”网站（</w:t>
      </w:r>
      <w:r>
        <w:rPr>
          <w:rFonts w:ascii="宋体" w:hAnsi="宋体" w:cs="宋体"/>
          <w:color w:val="auto"/>
          <w:szCs w:val="21"/>
          <w:highlight w:val="none"/>
        </w:rPr>
        <w:t>hppt://www.creditchina.gov.cn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hppt://www.ccgp.gov.cn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25EE2AC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资格审查标准为本谈判文件中载明对供应商资格要求的条件。本项目资格审查采用合格制，凡符合谈判文件规定的供应商资格要求的供应商均通过资格审查。</w:t>
      </w:r>
    </w:p>
    <w:p w14:paraId="4CFD3AA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2.3 </w:t>
      </w:r>
      <w:r>
        <w:rPr>
          <w:rFonts w:hint="eastAsia" w:ascii="宋体" w:hAnsi="宋体" w:cs="宋体"/>
          <w:color w:val="auto"/>
          <w:szCs w:val="21"/>
          <w:highlight w:val="none"/>
        </w:rPr>
        <w:t>供应商有下列情形之一的，资格审查不通过，其响应文件按无效处理：</w:t>
      </w:r>
    </w:p>
    <w:p w14:paraId="4FCA8412">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33B3EFA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）未按谈判文件规定的方式获取本谈判文件的供应商；</w:t>
      </w:r>
    </w:p>
    <w:p w14:paraId="685459BE">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1A2616A5">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F43ECA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E42065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0225F2B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5587F1C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0D38D89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99B757">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7BD3B813">
      <w:pPr>
        <w:spacing w:line="360" w:lineRule="auto"/>
        <w:ind w:firstLine="420" w:firstLineChars="200"/>
        <w:rPr>
          <w:rFonts w:asci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2DEDA720">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p>
    <w:p w14:paraId="2E86094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0B56FF3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7FAB4EB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5FC9B47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64B4F95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6C96A78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asci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3542DF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2EBC87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29798A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）响应文件未按谈判文件要求签署、盖章的；</w:t>
      </w:r>
    </w:p>
    <w:p w14:paraId="0570DD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p>
    <w:p w14:paraId="17DE34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）提交的竞标保证金无效的或者未按照谈判文件的规定提交竞标保证金；</w:t>
      </w:r>
    </w:p>
    <w:p w14:paraId="24523C7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7288B22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）商务要求允许负偏离的条款数超过“供应商须知前附表”规定项数的；</w:t>
      </w:r>
    </w:p>
    <w:p w14:paraId="7DC48F9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）未对竞标有效期作出响应或者响应文件承诺的竞标有效期不满足谈判文件要求；</w:t>
      </w:r>
    </w:p>
    <w:p w14:paraId="0EB39E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）响应文件的实质性内容未使用中文表述、使用计量单位不符合谈判文件要求的；</w:t>
      </w:r>
    </w:p>
    <w:p w14:paraId="68DD773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）响应文件中的文件资料因填写不齐全或者内容虚假或者出现其他情形而导致被谈判小组认定无效的；</w:t>
      </w:r>
    </w:p>
    <w:p w14:paraId="286D2D8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）响应文件含有采购人不能接受的附加条件的；</w:t>
      </w:r>
    </w:p>
    <w:p w14:paraId="53019CA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ascii="宋体" w:cs="宋体"/>
          <w:color w:val="auto"/>
          <w:szCs w:val="21"/>
          <w:highlight w:val="none"/>
        </w:rPr>
        <w:t>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条的情形的；</w:t>
      </w:r>
    </w:p>
    <w:p w14:paraId="53FF6CF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）技术评审允许负偏离的条款数超过“供应商须知前附表”规定项数的；</w:t>
      </w:r>
    </w:p>
    <w:p w14:paraId="6214F8D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）虚假竞标，或者出现其他情形而导致被谈判小组认定无效的；</w:t>
      </w:r>
    </w:p>
    <w:p w14:paraId="04C3EE0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79"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9"/>
    </w:p>
    <w:p w14:paraId="10B5A5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w:t>
      </w:r>
      <w:r>
        <w:rPr>
          <w:rFonts w:hint="eastAsia" w:ascii="宋体" w:hAnsi="宋体"/>
          <w:color w:val="auto"/>
          <w:szCs w:val="21"/>
          <w:highlight w:val="none"/>
        </w:rPr>
        <w:t>谈判文件明确不允许分包，响应文件拟分包的；</w:t>
      </w:r>
    </w:p>
    <w:p w14:paraId="350D32F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）未响应谈判文件实质性要求；</w:t>
      </w:r>
    </w:p>
    <w:p w14:paraId="02322B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）法律、法规和谈判文件规定的其他无效情形。</w:t>
      </w:r>
    </w:p>
    <w:p w14:paraId="520BEEF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34CAE3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）响应文件未提供“供应商须知前附表”报价文件中规定的“竞标报价表”的；</w:t>
      </w:r>
    </w:p>
    <w:p w14:paraId="14E2DE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）未采用人民币报价或者未按照谈判文件标明的币种报价的；</w:t>
      </w:r>
    </w:p>
    <w:p w14:paraId="39846BB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本项目所有内容进行报价或者存在漏项报价；供应商未就本项目单项内容作唯一报价；供应商未就本项目的全部内容作完整唯一总价报价；供应商响应文件中存在有选择、有条件报价的（谈判文件允许有备选方案或者其他约定的除外）；</w:t>
      </w:r>
    </w:p>
    <w:p w14:paraId="4A3D6A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竞标报价（包含首次报价、最后报价）超过本项目规定的采购预算金额或者最高限价的（如本项目公布了最高限价）；竞标报价（包含首次报价、最后报价）超过谈判文件分项采购预算金额或者最高限价的（如本项目公布了最高限价）；</w:t>
      </w:r>
    </w:p>
    <w:p w14:paraId="4119570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谈判文件分项采购预算金额或者最高限价的（如本项目公布了最高限价）。</w:t>
      </w:r>
    </w:p>
    <w:p w14:paraId="676956F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响应文件响应的标的数量及单位与竞争性谈判采购文件要求实质性不一致的。</w:t>
      </w:r>
    </w:p>
    <w:p w14:paraId="066A4B4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家的供应商参加谈判。</w:t>
      </w:r>
    </w:p>
    <w:p w14:paraId="196C823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公开招标的货物、服务采购项目，招标过程中提交响应文件或者经评审实质性响应谈判文件要求的供应商只有两家时，采购人、采购代理机构按照《政府采购非招标采购方式管理办法》（财政部</w:t>
      </w:r>
      <w:r>
        <w:rPr>
          <w:rFonts w:ascii="宋体" w:hAnsi="宋体" w:cs="宋体"/>
          <w:color w:val="auto"/>
          <w:szCs w:val="21"/>
          <w:highlight w:val="none"/>
        </w:rPr>
        <w:t>74</w:t>
      </w:r>
      <w:r>
        <w:rPr>
          <w:rFonts w:hint="eastAsia" w:ascii="宋体" w:hAnsi="宋体" w:cs="宋体"/>
          <w:color w:val="auto"/>
          <w:szCs w:val="21"/>
          <w:highlight w:val="none"/>
        </w:rPr>
        <w:t>号令）第四条经本级财政部门批准后可以与该两家供应商进行竞争性谈判采购。</w:t>
      </w:r>
    </w:p>
    <w:p w14:paraId="5CD572E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3.8</w:t>
      </w:r>
      <w:r>
        <w:rPr>
          <w:rFonts w:hint="eastAsia" w:ascii="宋体" w:hAnsi="宋体" w:cs="宋体"/>
          <w:color w:val="auto"/>
          <w:szCs w:val="21"/>
          <w:highlight w:val="none"/>
        </w:rPr>
        <w:t>除本章</w:t>
      </w:r>
      <w:r>
        <w:rPr>
          <w:rFonts w:ascii="宋体" w:hAnsi="宋体" w:cs="宋体"/>
          <w:color w:val="auto"/>
          <w:szCs w:val="21"/>
          <w:highlight w:val="none"/>
        </w:rPr>
        <w:t>3.7</w:t>
      </w:r>
      <w:r>
        <w:rPr>
          <w:rFonts w:hint="eastAsia" w:ascii="宋体" w:hAnsi="宋体" w:cs="宋体"/>
          <w:color w:val="auto"/>
          <w:szCs w:val="21"/>
          <w:highlight w:val="none"/>
        </w:rPr>
        <w:t>条规定的情形外，通过符合性审查的合格供应商不足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家的，不得进入谈判环节，应当重新开展采购活动。</w:t>
      </w:r>
    </w:p>
    <w:p w14:paraId="490BAE9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谈判程序</w:t>
      </w:r>
    </w:p>
    <w:p w14:paraId="676A32D3">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5B4E5A5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176EC09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67E0EB8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09A9200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2AB53157">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17EAAB9A">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除本章第</w:t>
      </w:r>
      <w:r>
        <w:rPr>
          <w:rFonts w:ascii="宋体" w:hAnsi="宋体" w:cs="宋体"/>
          <w:color w:val="auto"/>
          <w:szCs w:val="21"/>
          <w:highlight w:val="none"/>
        </w:rPr>
        <w:t>3.7</w:t>
      </w:r>
      <w:r>
        <w:rPr>
          <w:rFonts w:hint="eastAsia" w:ascii="宋体" w:hAnsi="宋体" w:cs="宋体"/>
          <w:color w:val="auto"/>
          <w:szCs w:val="21"/>
          <w:highlight w:val="none"/>
        </w:rPr>
        <w:t>条外，</w:t>
      </w:r>
      <w:r>
        <w:rPr>
          <w:rFonts w:hint="eastAsia" w:ascii="宋体" w:hAnsi="宋体"/>
          <w:color w:val="auto"/>
          <w:szCs w:val="21"/>
          <w:highlight w:val="none"/>
        </w:rPr>
        <w:t>对谈判过程提交的响应文件进行有效性、完整性和响应程度审查，通过审查的合格供应商不足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r>
        <w:rPr>
          <w:rFonts w:hint="eastAsia" w:ascii="宋体" w:hAnsi="宋体" w:cs="宋体"/>
          <w:color w:val="auto"/>
          <w:szCs w:val="21"/>
          <w:highlight w:val="none"/>
        </w:rPr>
        <w:t>。</w:t>
      </w:r>
    </w:p>
    <w:p w14:paraId="7CB3F87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5. </w:t>
      </w:r>
      <w:r>
        <w:rPr>
          <w:rFonts w:hint="eastAsia" w:ascii="黑体" w:hAnsi="黑体" w:eastAsia="黑体" w:cs="宋体"/>
          <w:b/>
          <w:bCs/>
          <w:color w:val="auto"/>
          <w:sz w:val="24"/>
          <w:highlight w:val="none"/>
        </w:rPr>
        <w:t>最后报价</w:t>
      </w:r>
    </w:p>
    <w:p w14:paraId="53D30D8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谈判文件能够详细列明采购标的的技术、服务要求的，谈判结束后，谈判小组应当要求所有实质性响应谈判文件要求的供应商在规定时间内在</w:t>
      </w:r>
      <w:r>
        <w:rPr>
          <w:rFonts w:hint="eastAsia" w:ascii="宋体" w:hAnsi="宋体"/>
          <w:bCs/>
          <w:color w:val="auto"/>
          <w:szCs w:val="21"/>
          <w:highlight w:val="none"/>
        </w:rPr>
        <w:t>广西政府采购云平台</w:t>
      </w:r>
      <w:r>
        <w:rPr>
          <w:rFonts w:hint="eastAsia" w:ascii="宋体" w:hAnsi="宋体" w:cs="宋体"/>
          <w:color w:val="auto"/>
          <w:szCs w:val="21"/>
          <w:highlight w:val="none"/>
        </w:rPr>
        <w:t>开标大厅提交最后报价，除本章第</w:t>
      </w:r>
      <w:r>
        <w:rPr>
          <w:rFonts w:ascii="宋体" w:hAnsi="宋体" w:cs="宋体"/>
          <w:color w:val="auto"/>
          <w:szCs w:val="21"/>
          <w:highlight w:val="none"/>
        </w:rPr>
        <w:t>3.7</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家，否则应当重新采购。</w:t>
      </w:r>
    </w:p>
    <w:p w14:paraId="42A4344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asci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家以上供应商的设计方案或者解决方案，并要求其在规定时间内在</w:t>
      </w:r>
      <w:r>
        <w:rPr>
          <w:rFonts w:hint="eastAsia" w:ascii="宋体" w:hAnsi="宋体"/>
          <w:bCs/>
          <w:color w:val="auto"/>
          <w:szCs w:val="21"/>
          <w:highlight w:val="none"/>
        </w:rPr>
        <w:t>广西政府采购云平台</w:t>
      </w:r>
      <w:r>
        <w:rPr>
          <w:rFonts w:hint="eastAsia" w:ascii="宋体" w:hAnsi="宋体" w:cs="宋体"/>
          <w:color w:val="auto"/>
          <w:szCs w:val="21"/>
          <w:highlight w:val="none"/>
        </w:rPr>
        <w:t>开标大厅提交最后报价。</w:t>
      </w:r>
    </w:p>
    <w:p w14:paraId="63A8815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01AD243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3F63154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454C4A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最后报价统一开启后，谈判小组对最后报价进行有效性、完整性和响应程度的审查。</w:t>
      </w:r>
    </w:p>
    <w:p w14:paraId="6D45D20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条的规定修正。</w:t>
      </w:r>
    </w:p>
    <w:p w14:paraId="4101A21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476796A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）供应商不确认的（全流程电子化评标采取在线确认）；</w:t>
      </w:r>
    </w:p>
    <w:p w14:paraId="3D4E425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）经供应商确认修正后的竞标报价（包含首次报价、最后报价）超过本项目规定的采购预算金额或者最高限价的（如本项目公布了最高限价）；</w:t>
      </w:r>
    </w:p>
    <w:p w14:paraId="293BD33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）经供应商确认修正后的竞标报价（包含首次报价、最后报价）超过分项采购预算金额或者最高限价的（如本项目公布了最高限价）。</w:t>
      </w:r>
    </w:p>
    <w:p w14:paraId="0103727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300CBD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5.10</w:t>
      </w:r>
      <w:r>
        <w:rPr>
          <w:rFonts w:hint="eastAsia" w:ascii="宋体" w:hAnsi="宋体" w:cs="宋体"/>
          <w:color w:val="auto"/>
          <w:szCs w:val="21"/>
          <w:highlight w:val="none"/>
        </w:rPr>
        <w:t>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001F4C5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5.11</w:t>
      </w:r>
      <w:r>
        <w:rPr>
          <w:rFonts w:hint="eastAsia" w:ascii="宋体" w:hAnsi="宋体" w:cs="宋体"/>
          <w:color w:val="auto"/>
          <w:szCs w:val="21"/>
          <w:highlight w:val="none"/>
        </w:rPr>
        <w:t>最后报价结束后，谈判小组不得再与供应商进行任何形式的商谈。</w:t>
      </w:r>
    </w:p>
    <w:p w14:paraId="54A9EA12">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 xml:space="preserve">6. </w:t>
      </w:r>
      <w:r>
        <w:rPr>
          <w:rFonts w:hint="eastAsia" w:ascii="黑体" w:hAnsi="黑体" w:eastAsia="黑体" w:cs="宋体"/>
          <w:b/>
          <w:bCs/>
          <w:color w:val="auto"/>
          <w:sz w:val="24"/>
          <w:highlight w:val="none"/>
        </w:rPr>
        <w:t>最后报价政府采购政策性扣除</w:t>
      </w:r>
    </w:p>
    <w:p w14:paraId="4F51D08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E853495">
      <w:pPr>
        <w:spacing w:line="360" w:lineRule="auto"/>
        <w:ind w:firstLine="420" w:firstLineChars="200"/>
        <w:rPr>
          <w:rFonts w:asci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2405B074">
      <w:pPr>
        <w:spacing w:line="360" w:lineRule="auto"/>
        <w:ind w:firstLine="369" w:firstLineChars="176"/>
        <w:rPr>
          <w:rFonts w:ascii="宋体" w:cs="宋体"/>
          <w:color w:val="auto"/>
          <w:highlight w:val="none"/>
        </w:rPr>
      </w:pPr>
      <w:r>
        <w:rPr>
          <w:rFonts w:hint="eastAsia" w:ascii="宋体" w:hAnsi="宋体" w:cs="宋体"/>
          <w:color w:val="auto"/>
          <w:szCs w:val="21"/>
          <w:highlight w:val="none"/>
        </w:rPr>
        <w:t>根据《政府采购促进中小企业发展管理办法》（财库〔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号）及</w:t>
      </w:r>
      <w:r>
        <w:rPr>
          <w:rFonts w:hint="eastAsia" w:ascii="宋体" w:hAnsi="宋体" w:cs="宋体"/>
          <w:color w:val="auto"/>
          <w:kern w:val="0"/>
          <w:szCs w:val="21"/>
          <w:highlight w:val="none"/>
        </w:rPr>
        <w:t>《广西壮族自治区财政厅关于持续优化政府采购营商环境推动高质量发展的通知》（桂财采〔2024〕55号）</w:t>
      </w:r>
      <w:r>
        <w:rPr>
          <w:rFonts w:hint="eastAsia" w:ascii="宋体" w:hAnsi="宋体" w:cs="宋体"/>
          <w:color w:val="auto"/>
          <w:szCs w:val="21"/>
          <w:highlight w:val="none"/>
        </w:rPr>
        <w:t>的规定，供应商在其响应文件中提供《中小企业声明函》，</w:t>
      </w:r>
      <w:r>
        <w:rPr>
          <w:rFonts w:hint="eastAsia" w:ascii="宋体" w:hAnsi="宋体"/>
          <w:bCs/>
          <w:color w:val="auto"/>
          <w:szCs w:val="21"/>
          <w:highlight w:val="none"/>
        </w:rPr>
        <w:t>且其竞标全部货物由符合政策要求的小微企业制造的</w:t>
      </w:r>
      <w:r>
        <w:rPr>
          <w:rFonts w:hint="eastAsia" w:ascii="宋体" w:hAnsi="宋体" w:cs="宋体"/>
          <w:color w:val="auto"/>
          <w:szCs w:val="21"/>
          <w:highlight w:val="none"/>
        </w:rPr>
        <w:t>，</w:t>
      </w:r>
      <w:r>
        <w:rPr>
          <w:rFonts w:hint="eastAsia" w:ascii="宋体" w:hAnsi="宋体"/>
          <w:bCs/>
          <w:color w:val="auto"/>
          <w:szCs w:val="21"/>
          <w:highlight w:val="none"/>
        </w:rPr>
        <w:t>对供应商的最后报价给予</w:t>
      </w:r>
      <w:r>
        <w:rPr>
          <w:rFonts w:hint="eastAsia" w:ascii="宋体" w:hAnsi="宋体"/>
          <w:bCs/>
          <w:color w:val="auto"/>
          <w:szCs w:val="21"/>
          <w:highlight w:val="none"/>
        </w:rPr>
        <w:t>10</w:t>
      </w:r>
      <w:r>
        <w:rPr>
          <w:rFonts w:ascii="宋体" w:hAnsi="宋体"/>
          <w:bCs/>
          <w:color w:val="auto"/>
          <w:szCs w:val="21"/>
          <w:highlight w:val="none"/>
        </w:rPr>
        <w:t>%</w:t>
      </w:r>
      <w:r>
        <w:rPr>
          <w:rFonts w:hint="eastAsia" w:ascii="宋体" w:hAnsi="宋体"/>
          <w:bCs/>
          <w:color w:val="auto"/>
          <w:szCs w:val="21"/>
          <w:highlight w:val="none"/>
        </w:rPr>
        <w:t>的扣除，扣除后的价格为评审价，即评审价</w:t>
      </w:r>
      <w:r>
        <w:rPr>
          <w:rFonts w:ascii="宋体" w:hAnsi="宋体"/>
          <w:bCs/>
          <w:color w:val="auto"/>
          <w:szCs w:val="21"/>
          <w:highlight w:val="none"/>
        </w:rPr>
        <w:t>=</w:t>
      </w:r>
      <w:r>
        <w:rPr>
          <w:rFonts w:hint="eastAsia" w:ascii="宋体" w:hAnsi="宋体"/>
          <w:bCs/>
          <w:color w:val="auto"/>
          <w:szCs w:val="21"/>
          <w:highlight w:val="none"/>
        </w:rPr>
        <w:t>最后报价×（</w:t>
      </w:r>
      <w:r>
        <w:rPr>
          <w:rFonts w:ascii="宋体" w:hAnsi="宋体"/>
          <w:bCs/>
          <w:color w:val="auto"/>
          <w:szCs w:val="21"/>
          <w:highlight w:val="none"/>
        </w:rPr>
        <w:t>1-</w:t>
      </w:r>
      <w:r>
        <w:rPr>
          <w:rFonts w:hint="eastAsia" w:ascii="宋体" w:hAnsi="宋体"/>
          <w:bCs/>
          <w:color w:val="auto"/>
          <w:szCs w:val="21"/>
          <w:highlight w:val="none"/>
        </w:rPr>
        <w:t>1</w:t>
      </w:r>
      <w:r>
        <w:rPr>
          <w:rFonts w:ascii="宋体"/>
          <w:bCs/>
          <w:color w:val="auto"/>
          <w:szCs w:val="21"/>
          <w:highlight w:val="none"/>
        </w:rPr>
        <w:t>0</w:t>
      </w:r>
      <w:r>
        <w:rPr>
          <w:rFonts w:ascii="宋体" w:hAnsi="宋体"/>
          <w:bCs/>
          <w:color w:val="auto"/>
          <w:szCs w:val="21"/>
          <w:highlight w:val="none"/>
        </w:rPr>
        <w:t>%</w:t>
      </w:r>
      <w:r>
        <w:rPr>
          <w:rFonts w:hint="eastAsia" w:ascii="宋体" w:hAnsi="宋体"/>
          <w:bCs/>
          <w:color w:val="auto"/>
          <w:szCs w:val="21"/>
          <w:highlight w:val="none"/>
        </w:rPr>
        <w:t>）。</w:t>
      </w:r>
    </w:p>
    <w:p w14:paraId="24FB97E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68</w:t>
      </w:r>
      <w:r>
        <w:rPr>
          <w:rFonts w:hint="eastAsia" w:ascii="宋体" w:hAnsi="宋体" w:cs="宋体"/>
          <w:color w:val="auto"/>
          <w:szCs w:val="21"/>
          <w:highlight w:val="none"/>
        </w:rPr>
        <w:t>号）的规定，监狱企业视同小型、微型企业，享受预留份额、评审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58DC695F">
      <w:pPr>
        <w:spacing w:line="360" w:lineRule="auto"/>
        <w:ind w:firstLine="420" w:firstLineChars="200"/>
        <w:rPr>
          <w:rFonts w:asci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6DEB0D3">
      <w:pPr>
        <w:spacing w:line="360" w:lineRule="auto"/>
        <w:ind w:firstLine="420" w:firstLineChars="200"/>
        <w:rPr>
          <w:rFonts w:asci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1EE6E3EC">
      <w:pPr>
        <w:spacing w:line="360" w:lineRule="auto"/>
        <w:jc w:val="center"/>
        <w:rPr>
          <w:rFonts w:ascii="宋体" w:hAnsi="宋体"/>
          <w:b/>
          <w:color w:val="auto"/>
          <w:sz w:val="32"/>
          <w:szCs w:val="32"/>
          <w:highlight w:val="none"/>
        </w:rPr>
      </w:pPr>
    </w:p>
    <w:p w14:paraId="67B6B2B3">
      <w:pPr>
        <w:spacing w:line="360" w:lineRule="auto"/>
        <w:jc w:val="center"/>
        <w:rPr>
          <w:rFonts w:ascii="宋体"/>
          <w:b/>
          <w:color w:val="auto"/>
          <w:sz w:val="32"/>
          <w:szCs w:val="32"/>
          <w:highlight w:val="none"/>
        </w:rPr>
      </w:pPr>
      <w:r>
        <w:rPr>
          <w:rFonts w:hint="eastAsia" w:ascii="宋体" w:hAnsi="宋体"/>
          <w:b/>
          <w:color w:val="auto"/>
          <w:sz w:val="32"/>
          <w:szCs w:val="32"/>
          <w:highlight w:val="none"/>
        </w:rPr>
        <w:t>二、评定成交的标准</w:t>
      </w:r>
    </w:p>
    <w:p w14:paraId="1465ED4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7. </w:t>
      </w:r>
      <w:r>
        <w:rPr>
          <w:rFonts w:hint="eastAsia" w:ascii="黑体" w:hAnsi="黑体" w:eastAsia="黑体" w:cs="宋体"/>
          <w:b/>
          <w:bCs/>
          <w:color w:val="auto"/>
          <w:sz w:val="24"/>
          <w:highlight w:val="none"/>
        </w:rPr>
        <w:t>成交候选人推荐</w:t>
      </w:r>
    </w:p>
    <w:p w14:paraId="3BAA296A">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名以上成交候选人（评审价相同时，按照最后报价由低到高顺序依次推荐；最后报价相同时，由谈判小组按“供应商须知前附表”第</w:t>
      </w:r>
      <w:r>
        <w:rPr>
          <w:rFonts w:ascii="宋体" w:hAnsi="宋体" w:cs="宋体"/>
          <w:color w:val="auto"/>
          <w:highlight w:val="none"/>
        </w:rPr>
        <w:t>26</w:t>
      </w:r>
      <w:r>
        <w:rPr>
          <w:rFonts w:hint="eastAsia" w:ascii="宋体" w:hAnsi="宋体" w:cs="宋体"/>
          <w:color w:val="auto"/>
          <w:highlight w:val="none"/>
        </w:rPr>
        <w:t>.1条规定的顺序推荐），并编写评审报告，评审报告</w:t>
      </w:r>
      <w:r>
        <w:rPr>
          <w:rFonts w:hint="eastAsia" w:hAnsi="宋体"/>
          <w:color w:val="auto"/>
          <w:highlight w:val="none"/>
        </w:rPr>
        <w:t>通过电子交易平台向采购人、采购代理机构提交。</w:t>
      </w:r>
    </w:p>
    <w:p w14:paraId="3AFC6A1C">
      <w:pPr>
        <w:pStyle w:val="2"/>
        <w:jc w:val="center"/>
        <w:rPr>
          <w:color w:val="auto"/>
          <w:highlight w:val="none"/>
        </w:rPr>
      </w:pPr>
    </w:p>
    <w:p w14:paraId="19113B31">
      <w:pPr>
        <w:rPr>
          <w:color w:val="auto"/>
          <w:highlight w:val="none"/>
        </w:rPr>
      </w:pPr>
    </w:p>
    <w:p w14:paraId="4C280C8E">
      <w:pPr>
        <w:rPr>
          <w:color w:val="auto"/>
          <w:highlight w:val="none"/>
        </w:rPr>
      </w:pPr>
      <w:r>
        <w:rPr>
          <w:color w:val="auto"/>
          <w:highlight w:val="none"/>
        </w:rPr>
        <w:t>.</w:t>
      </w:r>
    </w:p>
    <w:p w14:paraId="7DEF0BE6">
      <w:pPr>
        <w:rPr>
          <w:color w:val="auto"/>
          <w:highlight w:val="none"/>
        </w:rPr>
      </w:pPr>
    </w:p>
    <w:p w14:paraId="687D43A2">
      <w:pPr>
        <w:rPr>
          <w:color w:val="auto"/>
          <w:highlight w:val="none"/>
        </w:rPr>
      </w:pPr>
    </w:p>
    <w:p w14:paraId="64666BEA">
      <w:pPr>
        <w:rPr>
          <w:color w:val="auto"/>
          <w:highlight w:val="none"/>
        </w:rPr>
      </w:pPr>
    </w:p>
    <w:p w14:paraId="4F72EC10">
      <w:pPr>
        <w:rPr>
          <w:color w:val="auto"/>
          <w:highlight w:val="none"/>
        </w:rPr>
      </w:pPr>
    </w:p>
    <w:p w14:paraId="179494A0">
      <w:pPr>
        <w:rPr>
          <w:color w:val="auto"/>
          <w:highlight w:val="none"/>
        </w:rPr>
      </w:pPr>
    </w:p>
    <w:p w14:paraId="412A5B00">
      <w:pPr>
        <w:rPr>
          <w:color w:val="auto"/>
          <w:highlight w:val="none"/>
        </w:rPr>
      </w:pPr>
    </w:p>
    <w:p w14:paraId="5CF0AD2B">
      <w:pPr>
        <w:rPr>
          <w:color w:val="auto"/>
          <w:highlight w:val="none"/>
        </w:rPr>
      </w:pPr>
    </w:p>
    <w:p w14:paraId="07429857">
      <w:pPr>
        <w:rPr>
          <w:color w:val="auto"/>
          <w:highlight w:val="none"/>
        </w:rPr>
      </w:pPr>
    </w:p>
    <w:p w14:paraId="2ABF2902">
      <w:pPr>
        <w:rPr>
          <w:color w:val="auto"/>
          <w:highlight w:val="none"/>
        </w:rPr>
      </w:pPr>
    </w:p>
    <w:p w14:paraId="7C3429D3">
      <w:pPr>
        <w:pStyle w:val="2"/>
        <w:jc w:val="center"/>
        <w:rPr>
          <w:color w:val="auto"/>
          <w:highlight w:val="none"/>
        </w:rPr>
      </w:pPr>
      <w:bookmarkStart w:id="80" w:name="_Toc74322012"/>
    </w:p>
    <w:p w14:paraId="02F185F4">
      <w:pPr>
        <w:pStyle w:val="2"/>
        <w:jc w:val="center"/>
        <w:rPr>
          <w:color w:val="auto"/>
          <w:highlight w:val="none"/>
        </w:rPr>
      </w:pPr>
      <w:r>
        <w:rPr>
          <w:rFonts w:hint="eastAsia"/>
          <w:color w:val="auto"/>
          <w:highlight w:val="none"/>
        </w:rPr>
        <w:t>第五章 响应文件格式</w:t>
      </w:r>
      <w:bookmarkEnd w:id="80"/>
    </w:p>
    <w:p w14:paraId="4574BD0E">
      <w:pPr>
        <w:spacing w:line="240" w:lineRule="atLeast"/>
        <w:rPr>
          <w:rFonts w:ascii="宋体"/>
          <w:b/>
          <w:color w:val="auto"/>
          <w:sz w:val="32"/>
          <w:szCs w:val="32"/>
          <w:highlight w:val="none"/>
        </w:rPr>
      </w:pPr>
    </w:p>
    <w:p w14:paraId="781CFEF6">
      <w:pPr>
        <w:spacing w:line="240" w:lineRule="atLeast"/>
        <w:rPr>
          <w:rFonts w:ascii="宋体"/>
          <w:b/>
          <w:color w:val="auto"/>
          <w:sz w:val="32"/>
          <w:szCs w:val="32"/>
          <w:highlight w:val="none"/>
        </w:rPr>
      </w:pPr>
    </w:p>
    <w:p w14:paraId="3D7C00AC">
      <w:pPr>
        <w:spacing w:line="240" w:lineRule="atLeast"/>
        <w:rPr>
          <w:rFonts w:ascii="宋体"/>
          <w:b/>
          <w:color w:val="auto"/>
          <w:sz w:val="32"/>
          <w:szCs w:val="32"/>
          <w:highlight w:val="none"/>
        </w:rPr>
      </w:pPr>
    </w:p>
    <w:p w14:paraId="50C3F88C">
      <w:pPr>
        <w:spacing w:line="240" w:lineRule="atLeast"/>
        <w:rPr>
          <w:rFonts w:ascii="宋体"/>
          <w:b/>
          <w:color w:val="auto"/>
          <w:sz w:val="32"/>
          <w:szCs w:val="32"/>
          <w:highlight w:val="none"/>
        </w:rPr>
      </w:pPr>
    </w:p>
    <w:p w14:paraId="59B5955B">
      <w:pPr>
        <w:spacing w:line="240" w:lineRule="atLeast"/>
        <w:rPr>
          <w:rFonts w:ascii="宋体"/>
          <w:b/>
          <w:color w:val="auto"/>
          <w:sz w:val="32"/>
          <w:szCs w:val="32"/>
          <w:highlight w:val="none"/>
        </w:rPr>
      </w:pPr>
    </w:p>
    <w:p w14:paraId="570CC325">
      <w:pPr>
        <w:spacing w:line="240" w:lineRule="atLeast"/>
        <w:rPr>
          <w:rFonts w:ascii="宋体"/>
          <w:b/>
          <w:color w:val="auto"/>
          <w:sz w:val="32"/>
          <w:szCs w:val="32"/>
          <w:highlight w:val="none"/>
        </w:rPr>
      </w:pPr>
    </w:p>
    <w:p w14:paraId="7A8B22E9">
      <w:pPr>
        <w:spacing w:line="240" w:lineRule="atLeast"/>
        <w:rPr>
          <w:rFonts w:ascii="宋体"/>
          <w:b/>
          <w:color w:val="auto"/>
          <w:sz w:val="32"/>
          <w:szCs w:val="32"/>
          <w:highlight w:val="none"/>
        </w:rPr>
      </w:pPr>
    </w:p>
    <w:p w14:paraId="42A45F0F">
      <w:pPr>
        <w:spacing w:line="240" w:lineRule="atLeast"/>
        <w:rPr>
          <w:rFonts w:ascii="宋体"/>
          <w:b/>
          <w:color w:val="auto"/>
          <w:sz w:val="32"/>
          <w:szCs w:val="32"/>
          <w:highlight w:val="none"/>
        </w:rPr>
      </w:pPr>
    </w:p>
    <w:p w14:paraId="753A9009">
      <w:pPr>
        <w:spacing w:line="240" w:lineRule="atLeast"/>
        <w:rPr>
          <w:rFonts w:ascii="宋体"/>
          <w:b/>
          <w:color w:val="auto"/>
          <w:sz w:val="32"/>
          <w:szCs w:val="32"/>
          <w:highlight w:val="none"/>
        </w:rPr>
      </w:pPr>
    </w:p>
    <w:p w14:paraId="763D392E">
      <w:pPr>
        <w:spacing w:line="240" w:lineRule="atLeast"/>
        <w:rPr>
          <w:rFonts w:ascii="宋体"/>
          <w:b/>
          <w:color w:val="auto"/>
          <w:sz w:val="32"/>
          <w:szCs w:val="32"/>
          <w:highlight w:val="none"/>
        </w:rPr>
      </w:pPr>
    </w:p>
    <w:p w14:paraId="77EED575">
      <w:pPr>
        <w:spacing w:line="240" w:lineRule="atLeast"/>
        <w:rPr>
          <w:rFonts w:ascii="宋体"/>
          <w:b/>
          <w:color w:val="auto"/>
          <w:sz w:val="32"/>
          <w:szCs w:val="32"/>
          <w:highlight w:val="none"/>
        </w:rPr>
      </w:pPr>
    </w:p>
    <w:p w14:paraId="73F027BD">
      <w:pPr>
        <w:spacing w:line="240" w:lineRule="atLeast"/>
        <w:rPr>
          <w:rFonts w:ascii="宋体"/>
          <w:b/>
          <w:color w:val="auto"/>
          <w:sz w:val="32"/>
          <w:szCs w:val="32"/>
          <w:highlight w:val="none"/>
        </w:rPr>
      </w:pPr>
    </w:p>
    <w:p w14:paraId="1B57FBED">
      <w:pPr>
        <w:spacing w:line="240" w:lineRule="atLeast"/>
        <w:rPr>
          <w:rFonts w:ascii="宋体"/>
          <w:b/>
          <w:color w:val="auto"/>
          <w:sz w:val="32"/>
          <w:szCs w:val="32"/>
          <w:highlight w:val="none"/>
        </w:rPr>
      </w:pPr>
    </w:p>
    <w:p w14:paraId="0F982621">
      <w:pPr>
        <w:spacing w:line="240" w:lineRule="atLeast"/>
        <w:rPr>
          <w:rFonts w:ascii="宋体"/>
          <w:b/>
          <w:color w:val="auto"/>
          <w:sz w:val="32"/>
          <w:szCs w:val="32"/>
          <w:highlight w:val="none"/>
        </w:rPr>
      </w:pPr>
    </w:p>
    <w:p w14:paraId="0F3C6042">
      <w:pPr>
        <w:rPr>
          <w:b/>
          <w:color w:val="auto"/>
          <w:sz w:val="32"/>
          <w:szCs w:val="32"/>
          <w:highlight w:val="none"/>
        </w:rPr>
      </w:pPr>
      <w:bookmarkStart w:id="81" w:name="_Toc71365382"/>
      <w:bookmarkStart w:id="82" w:name="_Toc71366060"/>
    </w:p>
    <w:p w14:paraId="74DFF248">
      <w:pPr>
        <w:rPr>
          <w:b/>
          <w:color w:val="auto"/>
          <w:sz w:val="32"/>
          <w:szCs w:val="32"/>
          <w:highlight w:val="none"/>
        </w:rPr>
      </w:pPr>
      <w:r>
        <w:rPr>
          <w:rFonts w:hint="eastAsia"/>
          <w:b/>
          <w:color w:val="auto"/>
          <w:sz w:val="32"/>
          <w:szCs w:val="32"/>
          <w:highlight w:val="none"/>
        </w:rPr>
        <w:t>一、资格证明文件格式</w:t>
      </w:r>
      <w:bookmarkEnd w:id="81"/>
      <w:bookmarkEnd w:id="82"/>
    </w:p>
    <w:p w14:paraId="129A9133">
      <w:pPr>
        <w:snapToGrid w:val="0"/>
        <w:spacing w:before="120" w:beforeLines="50" w:after="50" w:line="360" w:lineRule="auto"/>
        <w:jc w:val="left"/>
        <w:rPr>
          <w:rFonts w:ascii="宋体"/>
          <w:b/>
          <w:color w:val="auto"/>
          <w:sz w:val="24"/>
          <w:highlight w:val="none"/>
        </w:rPr>
      </w:pPr>
      <w:r>
        <w:rPr>
          <w:rFonts w:ascii="宋体" w:hAnsi="宋体"/>
          <w:b/>
          <w:color w:val="auto"/>
          <w:sz w:val="32"/>
          <w:szCs w:val="32"/>
          <w:highlight w:val="none"/>
        </w:rPr>
        <w:t>1.</w:t>
      </w:r>
      <w:r>
        <w:rPr>
          <w:rFonts w:hint="eastAsia" w:ascii="宋体" w:hAnsi="宋体"/>
          <w:b/>
          <w:color w:val="auto"/>
          <w:sz w:val="32"/>
          <w:szCs w:val="32"/>
          <w:highlight w:val="none"/>
        </w:rPr>
        <w:t>资格证明文件封面格式：</w:t>
      </w:r>
    </w:p>
    <w:p w14:paraId="63AEE033">
      <w:pPr>
        <w:snapToGrid w:val="0"/>
        <w:spacing w:before="120" w:beforeLines="50" w:after="50"/>
        <w:rPr>
          <w:rFonts w:ascii="宋体"/>
          <w:bCs/>
          <w:color w:val="auto"/>
          <w:sz w:val="32"/>
          <w:szCs w:val="20"/>
          <w:highlight w:val="none"/>
        </w:rPr>
      </w:pPr>
    </w:p>
    <w:p w14:paraId="34D8E4DB">
      <w:pPr>
        <w:snapToGrid w:val="0"/>
        <w:spacing w:before="120" w:beforeLines="50" w:after="50"/>
        <w:jc w:val="center"/>
        <w:rPr>
          <w:rFonts w:ascii="宋体"/>
          <w:color w:val="auto"/>
          <w:sz w:val="44"/>
          <w:szCs w:val="44"/>
          <w:highlight w:val="none"/>
        </w:rPr>
      </w:pPr>
      <w:r>
        <w:rPr>
          <w:rFonts w:hint="eastAsia" w:ascii="宋体" w:hAnsi="宋体"/>
          <w:color w:val="auto"/>
          <w:sz w:val="44"/>
          <w:szCs w:val="44"/>
          <w:highlight w:val="none"/>
        </w:rPr>
        <w:t>电子响应文件</w:t>
      </w:r>
    </w:p>
    <w:p w14:paraId="0444B2D6">
      <w:pPr>
        <w:snapToGrid w:val="0"/>
        <w:spacing w:before="120" w:beforeLines="50" w:after="50"/>
        <w:rPr>
          <w:rFonts w:ascii="宋体"/>
          <w:color w:val="auto"/>
          <w:sz w:val="24"/>
          <w:szCs w:val="20"/>
          <w:highlight w:val="none"/>
        </w:rPr>
      </w:pPr>
    </w:p>
    <w:p w14:paraId="62EC17B2">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429AC1CB">
      <w:pPr>
        <w:snapToGrid w:val="0"/>
        <w:spacing w:before="120" w:beforeLines="50" w:after="50"/>
        <w:rPr>
          <w:rFonts w:ascii="宋体"/>
          <w:bCs/>
          <w:color w:val="auto"/>
          <w:sz w:val="24"/>
          <w:szCs w:val="20"/>
          <w:highlight w:val="none"/>
        </w:rPr>
      </w:pPr>
    </w:p>
    <w:p w14:paraId="10D2E108">
      <w:pPr>
        <w:snapToGrid w:val="0"/>
        <w:spacing w:before="120" w:beforeLines="50" w:after="50"/>
        <w:rPr>
          <w:rFonts w:ascii="宋体"/>
          <w:bCs/>
          <w:color w:val="auto"/>
          <w:sz w:val="24"/>
          <w:szCs w:val="20"/>
          <w:highlight w:val="none"/>
        </w:rPr>
      </w:pPr>
    </w:p>
    <w:p w14:paraId="1B79C053">
      <w:pPr>
        <w:snapToGrid w:val="0"/>
        <w:spacing w:before="120" w:beforeLines="50" w:after="50"/>
        <w:rPr>
          <w:rFonts w:ascii="宋体"/>
          <w:bCs/>
          <w:color w:val="auto"/>
          <w:sz w:val="24"/>
          <w:szCs w:val="20"/>
          <w:highlight w:val="none"/>
        </w:rPr>
      </w:pPr>
    </w:p>
    <w:p w14:paraId="2FDF1967">
      <w:pPr>
        <w:snapToGrid w:val="0"/>
        <w:spacing w:before="120" w:beforeLines="50" w:after="50"/>
        <w:rPr>
          <w:rFonts w:ascii="宋体"/>
          <w:bCs/>
          <w:color w:val="auto"/>
          <w:sz w:val="24"/>
          <w:szCs w:val="20"/>
          <w:highlight w:val="none"/>
        </w:rPr>
      </w:pPr>
    </w:p>
    <w:p w14:paraId="7A6775AD">
      <w:pPr>
        <w:snapToGrid w:val="0"/>
        <w:spacing w:before="120" w:beforeLines="50" w:after="50"/>
        <w:rPr>
          <w:rFonts w:ascii="宋体"/>
          <w:bCs/>
          <w:color w:val="auto"/>
          <w:sz w:val="24"/>
          <w:szCs w:val="20"/>
          <w:highlight w:val="none"/>
        </w:rPr>
      </w:pPr>
    </w:p>
    <w:p w14:paraId="4CB21687">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559F2395">
      <w:pPr>
        <w:snapToGrid w:val="0"/>
        <w:spacing w:before="120" w:beforeLines="50" w:after="50"/>
        <w:ind w:firstLine="720" w:firstLineChars="225"/>
        <w:rPr>
          <w:rFonts w:ascii="宋体" w:cs="仿宋_GB2312"/>
          <w:bCs/>
          <w:color w:val="auto"/>
          <w:sz w:val="32"/>
          <w:szCs w:val="32"/>
          <w:highlight w:val="none"/>
        </w:rPr>
      </w:pPr>
    </w:p>
    <w:p w14:paraId="7CD0BAA8">
      <w:pPr>
        <w:snapToGrid w:val="0"/>
        <w:spacing w:before="120" w:beforeLines="50" w:after="50"/>
        <w:ind w:firstLine="707" w:firstLineChars="221"/>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5C24884E">
      <w:pPr>
        <w:snapToGrid w:val="0"/>
        <w:spacing w:before="120" w:beforeLines="50" w:after="50"/>
        <w:ind w:firstLine="720" w:firstLineChars="225"/>
        <w:rPr>
          <w:rFonts w:ascii="宋体" w:cs="仿宋_GB2312"/>
          <w:bCs/>
          <w:color w:val="auto"/>
          <w:sz w:val="32"/>
          <w:szCs w:val="32"/>
          <w:highlight w:val="none"/>
        </w:rPr>
      </w:pPr>
    </w:p>
    <w:p w14:paraId="39AE8F0A">
      <w:pPr>
        <w:snapToGrid w:val="0"/>
        <w:spacing w:before="120" w:beforeLines="50" w:after="50"/>
        <w:ind w:firstLine="720" w:firstLineChars="225"/>
        <w:rPr>
          <w:rFonts w:ascii="宋体" w:cs="仿宋_GB2312"/>
          <w:bCs/>
          <w:color w:val="auto"/>
          <w:sz w:val="32"/>
          <w:szCs w:val="32"/>
          <w:highlight w:val="none"/>
        </w:rPr>
      </w:pPr>
    </w:p>
    <w:p w14:paraId="6AA49B39">
      <w:pPr>
        <w:pStyle w:val="6"/>
        <w:snapToGrid w:val="0"/>
        <w:spacing w:before="50" w:after="50"/>
        <w:ind w:firstLine="720" w:firstLineChars="225"/>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BDC3AD">
      <w:pPr>
        <w:snapToGrid w:val="0"/>
        <w:spacing w:before="120" w:beforeLines="50" w:after="50"/>
        <w:ind w:firstLine="640" w:firstLineChars="200"/>
        <w:rPr>
          <w:rFonts w:ascii="宋体" w:cs="仿宋_GB2312"/>
          <w:bCs/>
          <w:color w:val="auto"/>
          <w:sz w:val="32"/>
          <w:szCs w:val="32"/>
          <w:highlight w:val="none"/>
        </w:rPr>
      </w:pPr>
    </w:p>
    <w:p w14:paraId="5EECB36E">
      <w:pPr>
        <w:pStyle w:val="6"/>
        <w:snapToGrid w:val="0"/>
        <w:spacing w:before="50" w:after="50"/>
        <w:ind w:firstLine="720" w:firstLineChars="225"/>
        <w:rPr>
          <w:rFonts w:ascii="宋体" w:cs="仿宋_GB2312"/>
          <w:bCs/>
          <w:color w:val="auto"/>
          <w:sz w:val="32"/>
          <w:szCs w:val="32"/>
          <w:highlight w:val="none"/>
        </w:rPr>
      </w:pPr>
    </w:p>
    <w:p w14:paraId="2EBA6C81">
      <w:pPr>
        <w:pStyle w:val="6"/>
        <w:snapToGrid w:val="0"/>
        <w:spacing w:before="50" w:after="50"/>
        <w:ind w:firstLine="720" w:firstLineChars="225"/>
        <w:rPr>
          <w:rFonts w:ascii="宋体" w:cs="仿宋_GB2312"/>
          <w:bCs/>
          <w:color w:val="auto"/>
          <w:sz w:val="32"/>
          <w:szCs w:val="32"/>
          <w:highlight w:val="none"/>
        </w:rPr>
      </w:pPr>
    </w:p>
    <w:p w14:paraId="40E1B06C">
      <w:pPr>
        <w:pStyle w:val="6"/>
        <w:snapToGrid w:val="0"/>
        <w:spacing w:before="50" w:after="50"/>
        <w:ind w:firstLine="1280" w:firstLineChars="400"/>
        <w:rPr>
          <w:rFonts w:ascii="宋体" w:cs="仿宋_GB2312"/>
          <w:bCs/>
          <w:color w:val="auto"/>
          <w:sz w:val="32"/>
          <w:szCs w:val="32"/>
          <w:highlight w:val="none"/>
        </w:rPr>
      </w:pPr>
    </w:p>
    <w:p w14:paraId="51E1690D">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00023F4B">
      <w:pPr>
        <w:snapToGrid w:val="0"/>
        <w:spacing w:before="120" w:beforeLines="50" w:after="50" w:line="360" w:lineRule="auto"/>
        <w:ind w:left="142"/>
        <w:jc w:val="left"/>
        <w:rPr>
          <w:rFonts w:ascii="宋体"/>
          <w:b/>
          <w:bCs/>
          <w:color w:val="auto"/>
          <w:sz w:val="32"/>
          <w:szCs w:val="32"/>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资格证明文件目录</w:t>
      </w:r>
    </w:p>
    <w:p w14:paraId="2F8BDE3E">
      <w:pPr>
        <w:snapToGrid w:val="0"/>
        <w:spacing w:before="120" w:beforeLines="50" w:after="50" w:line="360" w:lineRule="auto"/>
        <w:ind w:firstLine="645"/>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47741CA2">
      <w:pPr>
        <w:snapToGrid w:val="0"/>
        <w:spacing w:before="120" w:beforeLines="50" w:after="50" w:line="360" w:lineRule="auto"/>
        <w:rPr>
          <w:rFonts w:ascii="宋体"/>
          <w:color w:val="auto"/>
          <w:sz w:val="24"/>
          <w:szCs w:val="20"/>
          <w:highlight w:val="none"/>
        </w:rPr>
      </w:pPr>
    </w:p>
    <w:p w14:paraId="70CDFF2C">
      <w:pPr>
        <w:spacing w:line="360" w:lineRule="auto"/>
        <w:rPr>
          <w:rFonts w:ascii="宋体"/>
          <w:color w:val="auto"/>
          <w:szCs w:val="21"/>
          <w:highlight w:val="none"/>
        </w:rPr>
      </w:pPr>
    </w:p>
    <w:p w14:paraId="1AD38225">
      <w:pPr>
        <w:spacing w:line="360" w:lineRule="auto"/>
        <w:rPr>
          <w:rFonts w:ascii="宋体"/>
          <w:color w:val="auto"/>
          <w:szCs w:val="21"/>
          <w:highlight w:val="none"/>
        </w:rPr>
      </w:pPr>
    </w:p>
    <w:p w14:paraId="6ECE8BD2">
      <w:pPr>
        <w:spacing w:line="360" w:lineRule="auto"/>
        <w:rPr>
          <w:rFonts w:ascii="宋体"/>
          <w:color w:val="auto"/>
          <w:szCs w:val="21"/>
          <w:highlight w:val="none"/>
        </w:rPr>
      </w:pPr>
    </w:p>
    <w:p w14:paraId="6036A368">
      <w:pPr>
        <w:spacing w:line="360" w:lineRule="auto"/>
        <w:rPr>
          <w:rFonts w:ascii="宋体"/>
          <w:color w:val="auto"/>
          <w:szCs w:val="21"/>
          <w:highlight w:val="none"/>
        </w:rPr>
      </w:pPr>
    </w:p>
    <w:p w14:paraId="18564BA3">
      <w:pPr>
        <w:spacing w:line="300" w:lineRule="auto"/>
        <w:rPr>
          <w:rFonts w:ascii="宋体"/>
          <w:color w:val="auto"/>
          <w:szCs w:val="21"/>
          <w:highlight w:val="none"/>
        </w:rPr>
      </w:pPr>
    </w:p>
    <w:p w14:paraId="3E19E10A">
      <w:pPr>
        <w:spacing w:line="300" w:lineRule="auto"/>
        <w:rPr>
          <w:rFonts w:ascii="宋体"/>
          <w:color w:val="auto"/>
          <w:szCs w:val="21"/>
          <w:highlight w:val="none"/>
        </w:rPr>
      </w:pPr>
    </w:p>
    <w:p w14:paraId="48772120">
      <w:pPr>
        <w:spacing w:line="300" w:lineRule="auto"/>
        <w:rPr>
          <w:rFonts w:ascii="宋体"/>
          <w:color w:val="auto"/>
          <w:szCs w:val="21"/>
          <w:highlight w:val="none"/>
        </w:rPr>
      </w:pPr>
    </w:p>
    <w:p w14:paraId="675EC00E">
      <w:pPr>
        <w:spacing w:line="300" w:lineRule="auto"/>
        <w:rPr>
          <w:rFonts w:ascii="宋体"/>
          <w:color w:val="auto"/>
          <w:szCs w:val="21"/>
          <w:highlight w:val="none"/>
        </w:rPr>
      </w:pPr>
    </w:p>
    <w:p w14:paraId="0AFC2CDF">
      <w:pPr>
        <w:spacing w:line="300" w:lineRule="auto"/>
        <w:rPr>
          <w:rFonts w:ascii="宋体"/>
          <w:color w:val="auto"/>
          <w:szCs w:val="21"/>
          <w:highlight w:val="none"/>
        </w:rPr>
      </w:pPr>
    </w:p>
    <w:p w14:paraId="304E7BCA">
      <w:pPr>
        <w:spacing w:line="300" w:lineRule="auto"/>
        <w:rPr>
          <w:rFonts w:ascii="宋体"/>
          <w:color w:val="auto"/>
          <w:szCs w:val="21"/>
          <w:highlight w:val="none"/>
        </w:rPr>
      </w:pPr>
    </w:p>
    <w:p w14:paraId="7CC86FB6">
      <w:pPr>
        <w:spacing w:line="300" w:lineRule="auto"/>
        <w:rPr>
          <w:rFonts w:ascii="宋体"/>
          <w:color w:val="auto"/>
          <w:szCs w:val="21"/>
          <w:highlight w:val="none"/>
        </w:rPr>
      </w:pPr>
    </w:p>
    <w:p w14:paraId="25FEB514">
      <w:pPr>
        <w:spacing w:line="300" w:lineRule="auto"/>
        <w:rPr>
          <w:rFonts w:ascii="宋体"/>
          <w:color w:val="auto"/>
          <w:szCs w:val="21"/>
          <w:highlight w:val="none"/>
        </w:rPr>
      </w:pPr>
    </w:p>
    <w:p w14:paraId="2D88CDEE">
      <w:pPr>
        <w:spacing w:line="300" w:lineRule="auto"/>
        <w:rPr>
          <w:rFonts w:ascii="宋体"/>
          <w:color w:val="auto"/>
          <w:szCs w:val="21"/>
          <w:highlight w:val="none"/>
        </w:rPr>
      </w:pPr>
    </w:p>
    <w:p w14:paraId="37E8FD5A">
      <w:pPr>
        <w:spacing w:line="300" w:lineRule="auto"/>
        <w:rPr>
          <w:rFonts w:ascii="宋体"/>
          <w:color w:val="auto"/>
          <w:szCs w:val="21"/>
          <w:highlight w:val="none"/>
        </w:rPr>
      </w:pPr>
    </w:p>
    <w:p w14:paraId="766106FB">
      <w:pPr>
        <w:spacing w:line="300" w:lineRule="auto"/>
        <w:rPr>
          <w:rFonts w:ascii="宋体"/>
          <w:color w:val="auto"/>
          <w:szCs w:val="21"/>
          <w:highlight w:val="none"/>
        </w:rPr>
      </w:pPr>
    </w:p>
    <w:p w14:paraId="28A2CCF2">
      <w:pPr>
        <w:spacing w:line="320" w:lineRule="exact"/>
        <w:jc w:val="left"/>
        <w:rPr>
          <w:rFonts w:ascii="宋体"/>
          <w:color w:val="auto"/>
          <w:szCs w:val="21"/>
          <w:highlight w:val="none"/>
        </w:rPr>
      </w:pPr>
    </w:p>
    <w:p w14:paraId="008BDD6A">
      <w:pPr>
        <w:snapToGrid w:val="0"/>
        <w:spacing w:before="120" w:beforeLines="50" w:after="50"/>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584C1977">
      <w:pPr>
        <w:snapToGrid w:val="0"/>
        <w:spacing w:before="120" w:beforeLines="50" w:after="50"/>
        <w:jc w:val="center"/>
        <w:rPr>
          <w:rFonts w:ascii="宋体"/>
          <w:b/>
          <w:color w:val="auto"/>
          <w:sz w:val="32"/>
          <w:szCs w:val="32"/>
          <w:highlight w:val="none"/>
        </w:rPr>
      </w:pPr>
    </w:p>
    <w:p w14:paraId="732E3637">
      <w:pPr>
        <w:snapToGrid w:val="0"/>
        <w:spacing w:before="120" w:beforeLines="50" w:after="50"/>
        <w:jc w:val="center"/>
        <w:rPr>
          <w:rFonts w:ascii="宋体"/>
          <w:b/>
          <w:color w:val="auto"/>
          <w:sz w:val="32"/>
          <w:szCs w:val="32"/>
          <w:highlight w:val="none"/>
        </w:rPr>
      </w:pPr>
      <w:r>
        <w:rPr>
          <w:rFonts w:hint="eastAsia" w:ascii="宋体" w:hAnsi="宋体"/>
          <w:b/>
          <w:color w:val="auto"/>
          <w:sz w:val="32"/>
          <w:szCs w:val="32"/>
          <w:highlight w:val="none"/>
        </w:rPr>
        <w:t>供应商直接控股股东信息表</w:t>
      </w:r>
    </w:p>
    <w:p w14:paraId="11273B8C">
      <w:pPr>
        <w:snapToGrid w:val="0"/>
        <w:spacing w:before="50" w:after="120" w:afterLines="50"/>
        <w:jc w:val="center"/>
        <w:rPr>
          <w:rFonts w:ascii="宋体"/>
          <w:b/>
          <w:color w:val="auto"/>
          <w:sz w:val="32"/>
          <w:szCs w:val="32"/>
          <w:highlight w:val="none"/>
        </w:rPr>
      </w:pPr>
    </w:p>
    <w:tbl>
      <w:tblPr>
        <w:tblStyle w:val="25"/>
        <w:tblW w:w="10147" w:type="dxa"/>
        <w:jc w:val="center"/>
        <w:tblLayout w:type="fixed"/>
        <w:tblCellMar>
          <w:top w:w="0" w:type="dxa"/>
          <w:left w:w="0" w:type="dxa"/>
          <w:bottom w:w="0" w:type="dxa"/>
          <w:right w:w="0" w:type="dxa"/>
        </w:tblCellMar>
      </w:tblPr>
      <w:tblGrid>
        <w:gridCol w:w="880"/>
        <w:gridCol w:w="2655"/>
        <w:gridCol w:w="1455"/>
        <w:gridCol w:w="4287"/>
        <w:gridCol w:w="870"/>
      </w:tblGrid>
      <w:tr w14:paraId="1AE61B09">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7CCE4E">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2080F6">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1439FC">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022429">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F63F4A">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70EDB5F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083D66">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BDCC31">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50E6C4">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786037">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CF6A57">
            <w:pPr>
              <w:widowControl/>
              <w:spacing w:line="360" w:lineRule="auto"/>
              <w:jc w:val="center"/>
              <w:rPr>
                <w:rFonts w:ascii="宋体" w:cs="宋体"/>
                <w:color w:val="auto"/>
                <w:kern w:val="0"/>
                <w:sz w:val="28"/>
                <w:szCs w:val="28"/>
                <w:highlight w:val="none"/>
              </w:rPr>
            </w:pPr>
          </w:p>
        </w:tc>
      </w:tr>
      <w:tr w14:paraId="0F68599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CE0DA4">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181B01">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A93051">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2A81CE">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A61157">
            <w:pPr>
              <w:widowControl/>
              <w:spacing w:line="360" w:lineRule="auto"/>
              <w:jc w:val="center"/>
              <w:rPr>
                <w:rFonts w:ascii="宋体" w:cs="宋体"/>
                <w:color w:val="auto"/>
                <w:kern w:val="0"/>
                <w:sz w:val="28"/>
                <w:szCs w:val="28"/>
                <w:highlight w:val="none"/>
              </w:rPr>
            </w:pPr>
          </w:p>
        </w:tc>
      </w:tr>
      <w:tr w14:paraId="7458C24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E6A048">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D2323B">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8A4F7B">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AEAE0D">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781DA">
            <w:pPr>
              <w:widowControl/>
              <w:spacing w:line="360" w:lineRule="auto"/>
              <w:jc w:val="center"/>
              <w:rPr>
                <w:rFonts w:ascii="宋体" w:cs="宋体"/>
                <w:color w:val="auto"/>
                <w:kern w:val="0"/>
                <w:sz w:val="28"/>
                <w:szCs w:val="28"/>
                <w:highlight w:val="none"/>
              </w:rPr>
            </w:pPr>
          </w:p>
        </w:tc>
      </w:tr>
      <w:tr w14:paraId="0E43F14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E8870D">
            <w:pPr>
              <w:widowControl/>
              <w:spacing w:line="360" w:lineRule="auto"/>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13199A">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78368A">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A4C808">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B33D48">
            <w:pPr>
              <w:widowControl/>
              <w:spacing w:line="360" w:lineRule="auto"/>
              <w:jc w:val="center"/>
              <w:rPr>
                <w:rFonts w:ascii="宋体" w:cs="宋体"/>
                <w:color w:val="auto"/>
                <w:kern w:val="0"/>
                <w:sz w:val="28"/>
                <w:szCs w:val="28"/>
                <w:highlight w:val="none"/>
              </w:rPr>
            </w:pPr>
          </w:p>
        </w:tc>
      </w:tr>
    </w:tbl>
    <w:p w14:paraId="058BF4DF">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1894EE97">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C7235EA">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6F9A4CC1">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484AEEA3">
      <w:pPr>
        <w:spacing w:line="360" w:lineRule="auto"/>
        <w:ind w:firstLine="420" w:firstLineChars="200"/>
        <w:contextualSpacing/>
        <w:jc w:val="left"/>
        <w:rPr>
          <w:rFonts w:ascii="宋体" w:cs="宋体"/>
          <w:color w:val="auto"/>
          <w:szCs w:val="21"/>
          <w:highlight w:val="none"/>
        </w:rPr>
      </w:pPr>
    </w:p>
    <w:p w14:paraId="00A774F8">
      <w:pPr>
        <w:spacing w:line="360" w:lineRule="auto"/>
        <w:ind w:firstLine="560" w:firstLineChars="200"/>
        <w:contextualSpacing/>
        <w:jc w:val="left"/>
        <w:rPr>
          <w:rFonts w:ascii="宋体" w:cs="宋体"/>
          <w:color w:val="auto"/>
          <w:sz w:val="28"/>
          <w:szCs w:val="28"/>
          <w:highlight w:val="none"/>
        </w:rPr>
      </w:pPr>
    </w:p>
    <w:p w14:paraId="477294BB">
      <w:pPr>
        <w:spacing w:line="360" w:lineRule="auto"/>
        <w:ind w:right="480"/>
        <w:contextualSpacing/>
        <w:jc w:val="center"/>
        <w:rPr>
          <w:rFonts w:asci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47CD0255">
      <w:pPr>
        <w:spacing w:line="360" w:lineRule="auto"/>
        <w:ind w:right="480" w:firstLine="3000" w:firstLineChars="1250"/>
        <w:contextualSpacing/>
        <w:rPr>
          <w:rFonts w:asci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w:t>
      </w:r>
    </w:p>
    <w:p w14:paraId="13C9ECA4">
      <w:pPr>
        <w:spacing w:line="360" w:lineRule="auto"/>
        <w:ind w:right="480" w:firstLine="5280" w:firstLineChars="2200"/>
        <w:contextualSpacing/>
        <w:rPr>
          <w:rFonts w:ascii="宋体" w:cs="宋体"/>
          <w:color w:val="auto"/>
          <w:sz w:val="28"/>
          <w:szCs w:val="28"/>
          <w:highlight w:val="none"/>
        </w:rPr>
      </w:pPr>
      <w:r>
        <w:rPr>
          <w:rFonts w:hint="eastAsia" w:ascii="宋体" w:hAnsi="宋体" w:cs="宋体"/>
          <w:color w:val="auto"/>
          <w:sz w:val="24"/>
          <w:highlight w:val="none"/>
        </w:rPr>
        <w:t>年  月  日</w:t>
      </w:r>
    </w:p>
    <w:p w14:paraId="176AE14A">
      <w:pPr>
        <w:snapToGrid w:val="0"/>
        <w:jc w:val="center"/>
        <w:rPr>
          <w:rFonts w:ascii="宋体"/>
          <w:b/>
          <w:color w:val="auto"/>
          <w:sz w:val="28"/>
          <w:szCs w:val="28"/>
          <w:highlight w:val="none"/>
        </w:rPr>
      </w:pPr>
      <w:r>
        <w:rPr>
          <w:rFonts w:ascii="宋体"/>
          <w:b/>
          <w:color w:val="auto"/>
          <w:sz w:val="28"/>
          <w:szCs w:val="28"/>
          <w:highlight w:val="none"/>
        </w:rPr>
        <w:br w:type="page"/>
      </w:r>
    </w:p>
    <w:p w14:paraId="4B7943A4">
      <w:pPr>
        <w:snapToGrid w:val="0"/>
        <w:jc w:val="center"/>
        <w:rPr>
          <w:rFonts w:ascii="宋体"/>
          <w:b/>
          <w:color w:val="auto"/>
          <w:sz w:val="32"/>
          <w:szCs w:val="32"/>
          <w:highlight w:val="none"/>
        </w:rPr>
      </w:pPr>
      <w:r>
        <w:rPr>
          <w:rFonts w:hint="eastAsia" w:ascii="宋体" w:hAnsi="宋体"/>
          <w:b/>
          <w:color w:val="auto"/>
          <w:sz w:val="32"/>
          <w:szCs w:val="32"/>
          <w:highlight w:val="none"/>
        </w:rPr>
        <w:t>供应商直接管理关系信息表</w:t>
      </w:r>
    </w:p>
    <w:p w14:paraId="66075F7E">
      <w:pPr>
        <w:snapToGrid w:val="0"/>
        <w:jc w:val="center"/>
        <w:rPr>
          <w:rFonts w:ascii="宋体"/>
          <w:b/>
          <w:color w:val="auto"/>
          <w:sz w:val="32"/>
          <w:szCs w:val="32"/>
          <w:highlight w:val="none"/>
        </w:rPr>
      </w:pPr>
    </w:p>
    <w:tbl>
      <w:tblPr>
        <w:tblStyle w:val="25"/>
        <w:tblW w:w="9652" w:type="dxa"/>
        <w:jc w:val="center"/>
        <w:tblLayout w:type="fixed"/>
        <w:tblCellMar>
          <w:top w:w="0" w:type="dxa"/>
          <w:left w:w="0" w:type="dxa"/>
          <w:bottom w:w="0" w:type="dxa"/>
          <w:right w:w="0" w:type="dxa"/>
        </w:tblCellMar>
      </w:tblPr>
      <w:tblGrid>
        <w:gridCol w:w="808"/>
        <w:gridCol w:w="3600"/>
        <w:gridCol w:w="3555"/>
        <w:gridCol w:w="1689"/>
      </w:tblGrid>
      <w:tr w14:paraId="392CAF6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34818C">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F46158">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1B4124">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DD95BF">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47EAB9D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6B4F5E">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7D7F25">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3895B1">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AB84E3">
            <w:pPr>
              <w:widowControl/>
              <w:wordWrap w:val="0"/>
              <w:spacing w:line="200" w:lineRule="atLeast"/>
              <w:jc w:val="center"/>
              <w:rPr>
                <w:rFonts w:ascii="宋体" w:cs="宋体"/>
                <w:color w:val="auto"/>
                <w:kern w:val="0"/>
                <w:sz w:val="28"/>
                <w:szCs w:val="28"/>
                <w:highlight w:val="none"/>
              </w:rPr>
            </w:pPr>
          </w:p>
        </w:tc>
      </w:tr>
      <w:tr w14:paraId="2D30C00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30F03">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2ECDE4">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2A8D11">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82A83">
            <w:pPr>
              <w:widowControl/>
              <w:wordWrap w:val="0"/>
              <w:spacing w:line="200" w:lineRule="atLeast"/>
              <w:jc w:val="center"/>
              <w:rPr>
                <w:rFonts w:ascii="宋体" w:cs="宋体"/>
                <w:color w:val="auto"/>
                <w:kern w:val="0"/>
                <w:sz w:val="28"/>
                <w:szCs w:val="28"/>
                <w:highlight w:val="none"/>
              </w:rPr>
            </w:pPr>
          </w:p>
        </w:tc>
      </w:tr>
      <w:tr w14:paraId="365BD6D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20A655">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C5B65D">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FB5747">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9AB8C1">
            <w:pPr>
              <w:widowControl/>
              <w:wordWrap w:val="0"/>
              <w:spacing w:line="200" w:lineRule="atLeast"/>
              <w:jc w:val="center"/>
              <w:rPr>
                <w:rFonts w:ascii="宋体" w:cs="宋体"/>
                <w:color w:val="auto"/>
                <w:kern w:val="0"/>
                <w:sz w:val="28"/>
                <w:szCs w:val="28"/>
                <w:highlight w:val="none"/>
              </w:rPr>
            </w:pPr>
          </w:p>
        </w:tc>
      </w:tr>
      <w:tr w14:paraId="0200836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D0417E">
            <w:pPr>
              <w:widowControl/>
              <w:wordWrap w:val="0"/>
              <w:spacing w:line="200" w:lineRule="atLeast"/>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3C1DB0">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4DCB27">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AC0BC4">
            <w:pPr>
              <w:widowControl/>
              <w:wordWrap w:val="0"/>
              <w:spacing w:line="200" w:lineRule="atLeast"/>
              <w:jc w:val="center"/>
              <w:rPr>
                <w:rFonts w:ascii="宋体" w:cs="宋体"/>
                <w:color w:val="auto"/>
                <w:kern w:val="0"/>
                <w:sz w:val="28"/>
                <w:szCs w:val="28"/>
                <w:highlight w:val="none"/>
              </w:rPr>
            </w:pPr>
          </w:p>
        </w:tc>
      </w:tr>
    </w:tbl>
    <w:p w14:paraId="470173BF">
      <w:pPr>
        <w:spacing w:line="360" w:lineRule="auto"/>
        <w:contextualSpacing/>
        <w:jc w:val="left"/>
        <w:rPr>
          <w:rFonts w:ascii="宋体"/>
          <w:color w:val="auto"/>
          <w:sz w:val="24"/>
          <w:highlight w:val="none"/>
        </w:rPr>
      </w:pPr>
      <w:r>
        <w:rPr>
          <w:rFonts w:hint="eastAsia" w:ascii="宋体" w:hAnsi="宋体"/>
          <w:color w:val="auto"/>
          <w:sz w:val="24"/>
          <w:highlight w:val="none"/>
        </w:rPr>
        <w:t>注：</w:t>
      </w:r>
    </w:p>
    <w:p w14:paraId="559DC1B4">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管理关系：是指不具有出资持股关系的其他单位之间存在的管理与被管理关系，如一些上下级关系的事业单位和团体组织。</w:t>
      </w:r>
    </w:p>
    <w:p w14:paraId="090108CA">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B0FEE25">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供应商不存在直接管理关系的，则在“直接管理关系单位名称”填“无”。</w:t>
      </w:r>
    </w:p>
    <w:p w14:paraId="4C13A43E">
      <w:pPr>
        <w:spacing w:line="360" w:lineRule="auto"/>
        <w:contextualSpacing/>
        <w:jc w:val="left"/>
        <w:rPr>
          <w:rFonts w:ascii="宋体"/>
          <w:color w:val="auto"/>
          <w:sz w:val="28"/>
          <w:szCs w:val="28"/>
          <w:highlight w:val="none"/>
        </w:rPr>
      </w:pPr>
    </w:p>
    <w:p w14:paraId="2ADA47E1">
      <w:pPr>
        <w:spacing w:line="360" w:lineRule="auto"/>
        <w:contextualSpacing/>
        <w:jc w:val="left"/>
        <w:rPr>
          <w:rFonts w:ascii="宋体"/>
          <w:color w:val="auto"/>
          <w:sz w:val="28"/>
          <w:szCs w:val="28"/>
          <w:highlight w:val="none"/>
        </w:rPr>
      </w:pPr>
    </w:p>
    <w:p w14:paraId="04334066">
      <w:pPr>
        <w:spacing w:line="360" w:lineRule="auto"/>
        <w:contextualSpacing/>
        <w:jc w:val="left"/>
        <w:rPr>
          <w:color w:val="auto"/>
          <w:sz w:val="28"/>
          <w:szCs w:val="28"/>
          <w:highlight w:val="none"/>
        </w:rPr>
      </w:pPr>
    </w:p>
    <w:p w14:paraId="4EA52E68">
      <w:pPr>
        <w:spacing w:line="360" w:lineRule="auto"/>
        <w:contextualSpacing/>
        <w:jc w:val="left"/>
        <w:rPr>
          <w:color w:val="auto"/>
          <w:sz w:val="28"/>
          <w:szCs w:val="28"/>
          <w:highlight w:val="none"/>
        </w:rPr>
      </w:pPr>
    </w:p>
    <w:p w14:paraId="3EAB4171">
      <w:pPr>
        <w:spacing w:line="360" w:lineRule="auto"/>
        <w:contextualSpacing/>
        <w:jc w:val="left"/>
        <w:rPr>
          <w:color w:val="auto"/>
          <w:sz w:val="28"/>
          <w:szCs w:val="28"/>
          <w:highlight w:val="none"/>
        </w:rPr>
      </w:pPr>
    </w:p>
    <w:p w14:paraId="5D3609F8">
      <w:pPr>
        <w:spacing w:line="360" w:lineRule="auto"/>
        <w:contextualSpacing/>
        <w:jc w:val="left"/>
        <w:rPr>
          <w:rFonts w:ascii="宋体"/>
          <w:color w:val="auto"/>
          <w:sz w:val="28"/>
          <w:szCs w:val="28"/>
          <w:highlight w:val="none"/>
        </w:rPr>
      </w:pPr>
    </w:p>
    <w:p w14:paraId="33758597">
      <w:pPr>
        <w:spacing w:line="360" w:lineRule="auto"/>
        <w:ind w:right="480"/>
        <w:contextualSpacing/>
        <w:jc w:val="center"/>
        <w:rPr>
          <w:rFonts w:ascii="宋体"/>
          <w:color w:val="auto"/>
          <w:sz w:val="24"/>
          <w:highlight w:val="none"/>
          <w:u w:val="single"/>
        </w:rPr>
      </w:pPr>
      <w:r>
        <w:rPr>
          <w:rFonts w:hint="eastAsia" w:ascii="宋体" w:hAnsi="宋体"/>
          <w:color w:val="auto"/>
          <w:sz w:val="24"/>
          <w:highlight w:val="none"/>
        </w:rPr>
        <w:t>法定代表人或者委托代理人（签字或者电子签名）：</w:t>
      </w:r>
    </w:p>
    <w:p w14:paraId="73C93D3A">
      <w:pPr>
        <w:spacing w:line="360" w:lineRule="auto"/>
        <w:ind w:right="480" w:firstLine="3360" w:firstLineChars="1400"/>
        <w:contextualSpacing/>
        <w:rPr>
          <w:rFonts w:ascii="宋体"/>
          <w:color w:val="auto"/>
          <w:sz w:val="24"/>
          <w:highlight w:val="none"/>
        </w:rPr>
      </w:pPr>
      <w:r>
        <w:rPr>
          <w:rFonts w:hint="eastAsia" w:ascii="宋体" w:hAnsi="宋体"/>
          <w:color w:val="auto"/>
          <w:sz w:val="24"/>
          <w:highlight w:val="none"/>
        </w:rPr>
        <w:t>供应商（电子签章）：</w:t>
      </w:r>
    </w:p>
    <w:p w14:paraId="36932738">
      <w:pPr>
        <w:spacing w:line="360" w:lineRule="auto"/>
        <w:ind w:right="480" w:firstLine="240" w:firstLineChars="100"/>
        <w:contextualSpacing/>
        <w:jc w:val="center"/>
        <w:rPr>
          <w:rFonts w:ascii="宋体"/>
          <w:color w:val="auto"/>
          <w:sz w:val="28"/>
          <w:szCs w:val="28"/>
          <w:highlight w:val="none"/>
        </w:rPr>
      </w:pPr>
      <w:r>
        <w:rPr>
          <w:rFonts w:hint="eastAsia" w:ascii="宋体" w:hAnsi="宋体"/>
          <w:color w:val="auto"/>
          <w:sz w:val="24"/>
          <w:highlight w:val="none"/>
        </w:rPr>
        <w:t>年  月  日</w:t>
      </w:r>
    </w:p>
    <w:p w14:paraId="2C6BD4FA">
      <w:pPr>
        <w:spacing w:line="500" w:lineRule="exact"/>
        <w:jc w:val="center"/>
        <w:rPr>
          <w:rFonts w:ascii="方正小标宋简体" w:hAnsi="宋体" w:eastAsia="方正小标宋简体"/>
          <w:b/>
          <w:color w:val="auto"/>
          <w:sz w:val="32"/>
          <w:szCs w:val="32"/>
          <w:highlight w:val="none"/>
        </w:rPr>
      </w:pPr>
      <w:r>
        <w:rPr>
          <w:rFonts w:asci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14771D53">
      <w:pPr>
        <w:spacing w:line="320" w:lineRule="exact"/>
        <w:jc w:val="center"/>
        <w:rPr>
          <w:rFonts w:ascii="宋体"/>
          <w:color w:val="auto"/>
          <w:sz w:val="24"/>
          <w:szCs w:val="20"/>
          <w:highlight w:val="none"/>
        </w:rPr>
      </w:pPr>
    </w:p>
    <w:p w14:paraId="6BBBD2DF">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0CCAF3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olor w:val="auto"/>
          <w:sz w:val="24"/>
          <w:highlight w:val="none"/>
          <w:u w:val="single"/>
        </w:rPr>
        <w:t xml:space="preserve">                  </w:t>
      </w:r>
      <w:r>
        <w:rPr>
          <w:rFonts w:hint="eastAsia" w:ascii="宋体" w:hAnsi="宋体" w:cs="宋体"/>
          <w:color w:val="auto"/>
          <w:sz w:val="24"/>
          <w:highlight w:val="none"/>
        </w:rPr>
        <w:t>。</w:t>
      </w:r>
    </w:p>
    <w:p w14:paraId="013F37C2">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5614F98">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2085B4F1">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5CEE3E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639EB585">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）将按谈判文件的约定履行合同责任和义务；</w:t>
      </w:r>
    </w:p>
    <w:p w14:paraId="775940F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）已详细审查全部谈判文件，包括补遗文件（如有）；</w:t>
      </w:r>
    </w:p>
    <w:p w14:paraId="35D1FF22">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）同意提供按照贵方可能要求的与谈判有关的一切数据或者资料；</w:t>
      </w:r>
    </w:p>
    <w:p w14:paraId="0E7A9877">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）响应谈判文件规定的竞标有效期。</w:t>
      </w:r>
    </w:p>
    <w:p w14:paraId="43C29F46">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37DF8E83">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204A65D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0784E26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2607662A">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3DCD7852">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6F4EAFE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70E3EA3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57CC2F5">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0FD99EB7">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39BC169">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FA37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 如我方成交：</w:t>
      </w:r>
    </w:p>
    <w:p w14:paraId="56C62BF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（1）我方承诺，若我方成交，保证在获取成交通知书前，按本项目谈判文件的规定标准向贵单位一次性足额支付</w:t>
      </w:r>
      <w:r>
        <w:rPr>
          <w:rFonts w:hint="eastAsia" w:ascii="宋体" w:hAnsi="宋体" w:cs="宋体"/>
          <w:color w:val="auto"/>
          <w:sz w:val="24"/>
          <w:highlight w:val="none"/>
          <w:lang w:eastAsia="zh-CN"/>
        </w:rPr>
        <w:t>采购</w:t>
      </w:r>
      <w:r>
        <w:rPr>
          <w:rFonts w:hint="eastAsia" w:ascii="宋体" w:hAnsi="宋体" w:cs="宋体"/>
          <w:color w:val="auto"/>
          <w:sz w:val="24"/>
          <w:highlight w:val="none"/>
        </w:rPr>
        <w:t>代理服务费。</w:t>
      </w:r>
      <w:r>
        <w:rPr>
          <w:rFonts w:hint="eastAsia" w:ascii="宋体" w:hAnsi="宋体" w:cs="宋体"/>
          <w:color w:val="auto"/>
          <w:sz w:val="24"/>
          <w:highlight w:val="none"/>
          <w:lang w:eastAsia="zh-CN"/>
        </w:rPr>
        <w:t>采购</w:t>
      </w:r>
      <w:r>
        <w:rPr>
          <w:rFonts w:hint="eastAsia" w:ascii="宋体" w:hAnsi="宋体" w:cs="宋体"/>
          <w:color w:val="auto"/>
          <w:sz w:val="24"/>
          <w:highlight w:val="none"/>
        </w:rPr>
        <w:t>代理服务费发票我方选择开具：□增值税普通发票、□增值税专用发票</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5AC12EF0">
      <w:pPr>
        <w:pStyle w:val="15"/>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8</w:t>
      </w:r>
      <w:r>
        <w:rPr>
          <w:rFonts w:hAnsi="宋体" w:cs="宋体"/>
          <w:color w:val="auto"/>
          <w:sz w:val="24"/>
          <w:szCs w:val="24"/>
          <w:highlight w:val="none"/>
        </w:rPr>
        <w:t>.</w:t>
      </w:r>
      <w:r>
        <w:rPr>
          <w:rFonts w:hint="eastAsia" w:hAnsi="宋体" w:cs="宋体"/>
          <w:color w:val="auto"/>
          <w:sz w:val="24"/>
          <w:szCs w:val="24"/>
          <w:highlight w:val="none"/>
        </w:rPr>
        <w:t>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邮政编号：</w:t>
      </w:r>
      <w:r>
        <w:rPr>
          <w:rFonts w:hint="eastAsia" w:hAnsi="宋体"/>
          <w:color w:val="auto"/>
          <w:sz w:val="24"/>
          <w:highlight w:val="none"/>
          <w:u w:val="single"/>
        </w:rPr>
        <w:t xml:space="preserve">                  </w:t>
      </w:r>
    </w:p>
    <w:p w14:paraId="7BEB64B1">
      <w:pPr>
        <w:pStyle w:val="1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int="eastAsia" w:hAnsi="宋体"/>
          <w:color w:val="auto"/>
          <w:sz w:val="24"/>
          <w:highlight w:val="none"/>
          <w:u w:val="single"/>
        </w:rPr>
        <w:t xml:space="preserve">                  </w:t>
      </w:r>
      <w:r>
        <w:rPr>
          <w:rFonts w:hint="eastAsia" w:hAnsi="宋体" w:cs="宋体"/>
          <w:color w:val="auto"/>
          <w:sz w:val="24"/>
          <w:szCs w:val="24"/>
          <w:highlight w:val="none"/>
        </w:rPr>
        <w:t xml:space="preserve">      电子邮箱：</w:t>
      </w:r>
      <w:r>
        <w:rPr>
          <w:rFonts w:hint="eastAsia" w:hAnsi="宋体"/>
          <w:color w:val="auto"/>
          <w:sz w:val="24"/>
          <w:highlight w:val="none"/>
          <w:u w:val="single"/>
        </w:rPr>
        <w:t xml:space="preserve">                  </w:t>
      </w:r>
    </w:p>
    <w:p w14:paraId="1648E0B0">
      <w:pPr>
        <w:pStyle w:val="13"/>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 xml:space="preserve">开户银行： </w:t>
      </w:r>
      <w:r>
        <w:rPr>
          <w:rFonts w:hint="eastAsia" w:ascii="宋体" w:hAnsi="宋体"/>
          <w:color w:val="auto"/>
          <w:sz w:val="24"/>
          <w:highlight w:val="none"/>
          <w:u w:val="single"/>
        </w:rPr>
        <w:t xml:space="preserve">                  </w:t>
      </w:r>
      <w:r>
        <w:rPr>
          <w:rFonts w:hint="eastAsia" w:ascii="宋体" w:hAnsi="宋体" w:cs="宋体"/>
          <w:color w:val="auto"/>
          <w:sz w:val="24"/>
          <w:highlight w:val="none"/>
        </w:rPr>
        <w:t xml:space="preserve">      账号</w:t>
      </w:r>
      <w:r>
        <w:rPr>
          <w:rFonts w:ascii="宋体" w:hAnsi="宋体" w:cs="宋体"/>
          <w:color w:val="auto"/>
          <w:sz w:val="24"/>
          <w:highlight w:val="none"/>
        </w:rPr>
        <w:t>/</w:t>
      </w:r>
      <w:r>
        <w:rPr>
          <w:rFonts w:hint="eastAsia" w:ascii="宋体" w:hAnsi="宋体" w:cs="宋体"/>
          <w:color w:val="auto"/>
          <w:sz w:val="24"/>
          <w:highlight w:val="none"/>
        </w:rPr>
        <w:t>行号：</w:t>
      </w:r>
      <w:r>
        <w:rPr>
          <w:rFonts w:hint="eastAsia" w:ascii="宋体" w:hAnsi="宋体"/>
          <w:color w:val="auto"/>
          <w:sz w:val="24"/>
          <w:highlight w:val="none"/>
          <w:u w:val="single"/>
        </w:rPr>
        <w:t xml:space="preserve">                  </w:t>
      </w:r>
    </w:p>
    <w:p w14:paraId="7A1DCF1B">
      <w:pPr>
        <w:pStyle w:val="13"/>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w:t>
      </w:r>
      <w:r>
        <w:rPr>
          <w:rFonts w:hint="eastAsia" w:ascii="宋体" w:hAnsi="宋体" w:cs="宋体"/>
          <w:color w:val="auto"/>
          <w:sz w:val="24"/>
          <w:highlight w:val="none"/>
        </w:rPr>
        <w:t>以上事项如有虚假或者隐瞒，我方愿意承担一切后果，并不再寻求任何旨在减轻或者免除法律责任的辩解。</w:t>
      </w:r>
    </w:p>
    <w:p w14:paraId="028D6A1A">
      <w:pPr>
        <w:pStyle w:val="13"/>
        <w:tabs>
          <w:tab w:val="left" w:pos="939"/>
        </w:tabs>
        <w:spacing w:line="360" w:lineRule="auto"/>
        <w:ind w:left="141" w:leftChars="67" w:firstLine="360" w:firstLineChars="150"/>
        <w:rPr>
          <w:rFonts w:ascii="宋体" w:cs="宋体"/>
          <w:color w:val="auto"/>
          <w:szCs w:val="21"/>
          <w:highlight w:val="none"/>
        </w:rPr>
      </w:pPr>
      <w:r>
        <w:rPr>
          <w:rFonts w:hint="eastAsia" w:ascii="宋体" w:hAnsi="宋体" w:cs="宋体"/>
          <w:color w:val="auto"/>
          <w:sz w:val="24"/>
          <w:highlight w:val="none"/>
        </w:rPr>
        <w:t>特此承诺。</w:t>
      </w:r>
    </w:p>
    <w:p w14:paraId="1BAC8E90">
      <w:pPr>
        <w:spacing w:line="360" w:lineRule="auto"/>
        <w:contextualSpacing/>
        <w:jc w:val="left"/>
        <w:rPr>
          <w:rFonts w:ascii="宋体"/>
          <w:b/>
          <w:color w:val="auto"/>
          <w:sz w:val="24"/>
          <w:highlight w:val="none"/>
        </w:rPr>
      </w:pPr>
      <w:r>
        <w:rPr>
          <w:rFonts w:hint="eastAsia" w:ascii="宋体" w:hAnsi="宋体"/>
          <w:b/>
          <w:color w:val="auto"/>
          <w:sz w:val="24"/>
          <w:highlight w:val="none"/>
        </w:rPr>
        <w:t>注：如为联合体竞标，盖章处须加盖联合体牵头人电子签章并由联合体牵头人法定代表人分别签字或者电子签名，否则响应文件按无效处理。</w:t>
      </w:r>
    </w:p>
    <w:p w14:paraId="34E9868D">
      <w:pPr>
        <w:spacing w:line="360" w:lineRule="auto"/>
        <w:contextualSpacing/>
        <w:jc w:val="left"/>
        <w:rPr>
          <w:rFonts w:ascii="宋体" w:cs="宋体"/>
          <w:color w:val="auto"/>
          <w:szCs w:val="21"/>
          <w:highlight w:val="none"/>
        </w:rPr>
      </w:pPr>
    </w:p>
    <w:p w14:paraId="666AFBC9">
      <w:pPr>
        <w:spacing w:line="360" w:lineRule="auto"/>
        <w:ind w:firstLine="1800" w:firstLineChars="750"/>
        <w:contextualSpacing/>
        <w:rPr>
          <w:color w:val="auto"/>
          <w:sz w:val="24"/>
          <w:highlight w:val="none"/>
        </w:rPr>
      </w:pPr>
      <w:r>
        <w:rPr>
          <w:rFonts w:hint="eastAsia"/>
          <w:color w:val="auto"/>
          <w:sz w:val="24"/>
          <w:highlight w:val="none"/>
        </w:rPr>
        <w:t>法定代表人（签字或者电子签名）：</w:t>
      </w:r>
    </w:p>
    <w:p w14:paraId="5C7B8E01">
      <w:pPr>
        <w:spacing w:line="360" w:lineRule="auto"/>
        <w:ind w:firstLine="1800" w:firstLineChars="750"/>
        <w:contextualSpacing/>
        <w:rPr>
          <w:rFonts w:ascii="宋体" w:cs="宋体"/>
          <w:color w:val="auto"/>
          <w:sz w:val="24"/>
          <w:highlight w:val="none"/>
          <w:u w:val="single"/>
        </w:rPr>
      </w:pPr>
      <w:r>
        <w:rPr>
          <w:rFonts w:hint="eastAsia"/>
          <w:color w:val="auto"/>
          <w:sz w:val="24"/>
          <w:highlight w:val="none"/>
        </w:rPr>
        <w:t>供应商（电子签章）：</w:t>
      </w:r>
    </w:p>
    <w:p w14:paraId="22EEE771">
      <w:pPr>
        <w:spacing w:line="360" w:lineRule="auto"/>
        <w:ind w:right="482" w:firstLine="240" w:firstLineChars="100"/>
        <w:contextualSpacing/>
        <w:jc w:val="center"/>
        <w:rPr>
          <w:rFonts w:ascii="宋体"/>
          <w:color w:val="auto"/>
          <w:sz w:val="24"/>
          <w:highlight w:val="none"/>
        </w:rPr>
      </w:pPr>
      <w:r>
        <w:rPr>
          <w:rFonts w:hint="eastAsia"/>
          <w:color w:val="auto"/>
          <w:sz w:val="24"/>
          <w:highlight w:val="none"/>
        </w:rPr>
        <w:t>年  月  日</w:t>
      </w:r>
    </w:p>
    <w:p w14:paraId="5F50C019">
      <w:pPr>
        <w:pStyle w:val="6"/>
        <w:overflowPunct w:val="0"/>
        <w:spacing w:line="520" w:lineRule="exact"/>
        <w:ind w:firstLine="0"/>
        <w:jc w:val="center"/>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br w:type="page"/>
      </w:r>
      <w:r>
        <w:rPr>
          <w:rFonts w:hint="eastAsia" w:ascii="方正小标宋简体" w:hAnsi="方正小标宋简体" w:eastAsia="方正小标宋简体" w:cs="方正小标宋简体"/>
          <w:color w:val="auto"/>
          <w:sz w:val="32"/>
          <w:szCs w:val="32"/>
          <w:highlight w:val="none"/>
        </w:rPr>
        <w:t>联合体竞标协议书（如有）</w:t>
      </w:r>
    </w:p>
    <w:p w14:paraId="2CC9EB81">
      <w:pPr>
        <w:pStyle w:val="6"/>
        <w:overflowPunct w:val="0"/>
        <w:spacing w:line="360" w:lineRule="auto"/>
        <w:ind w:firstLine="0"/>
        <w:contextualSpacing/>
        <w:rPr>
          <w:rFonts w:ascii="宋体"/>
          <w:color w:val="auto"/>
          <w:sz w:val="24"/>
          <w:szCs w:val="24"/>
          <w:highlight w:val="none"/>
        </w:rPr>
      </w:pPr>
    </w:p>
    <w:p w14:paraId="3B0F2F6B">
      <w:pPr>
        <w:pStyle w:val="6"/>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（项目名称）采购项目竞标。现就联合体竞标事宜订立如下协议。</w:t>
      </w:r>
    </w:p>
    <w:p w14:paraId="5DF28E4B">
      <w:pPr>
        <w:pStyle w:val="6"/>
        <w:numPr>
          <w:ilvl w:val="0"/>
          <w:numId w:val="1"/>
        </w:numPr>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（联合体名称）牵头人。</w:t>
      </w:r>
    </w:p>
    <w:p w14:paraId="5C1CD337">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2.</w:t>
      </w:r>
      <w:r>
        <w:rPr>
          <w:rFonts w:hint="eastAsia" w:ascii="宋体" w:hAnsi="宋体" w:cs="仿宋_GB2312"/>
          <w:color w:val="auto"/>
          <w:sz w:val="24"/>
          <w:szCs w:val="24"/>
          <w:highlight w:val="none"/>
        </w:rPr>
        <w:t>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7E56E12F">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3.</w:t>
      </w:r>
      <w:r>
        <w:rPr>
          <w:rFonts w:hint="eastAsia" w:ascii="宋体" w:hAnsi="宋体" w:cs="仿宋_GB2312"/>
          <w:color w:val="auto"/>
          <w:sz w:val="24"/>
          <w:szCs w:val="24"/>
          <w:highlight w:val="none"/>
        </w:rPr>
        <w:t>联合体牵头人在本项目中签署和盖章的一切文件和处理的一切事宜，联合体各成员均予以承认。联合体各成员将严格按照谈判文件、响应文件和合同的要求全面履行义务，并向采购人承担连带责任。</w:t>
      </w:r>
    </w:p>
    <w:p w14:paraId="3920F0EA">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4.</w:t>
      </w:r>
      <w:r>
        <w:rPr>
          <w:rFonts w:hint="eastAsia" w:ascii="宋体" w:hAnsi="宋体" w:cs="仿宋_GB2312"/>
          <w:color w:val="auto"/>
          <w:sz w:val="24"/>
          <w:szCs w:val="24"/>
          <w:highlight w:val="none"/>
        </w:rPr>
        <w:t>联合体各成员单位内部的职责分工如下：</w:t>
      </w:r>
      <w:r>
        <w:rPr>
          <w:rFonts w:hint="eastAsia" w:ascii="宋体" w:hAnsi="宋体"/>
          <w:color w:val="auto"/>
          <w:sz w:val="24"/>
          <w:highlight w:val="none"/>
          <w:u w:val="single"/>
        </w:rPr>
        <w:t xml:space="preserve">                  </w:t>
      </w:r>
      <w:r>
        <w:rPr>
          <w:rFonts w:hint="eastAsia" w:ascii="宋体" w:hAnsi="宋体" w:cs="仿宋_GB2312"/>
          <w:color w:val="auto"/>
          <w:sz w:val="24"/>
          <w:szCs w:val="24"/>
          <w:highlight w:val="none"/>
        </w:rPr>
        <w:t>。</w:t>
      </w:r>
    </w:p>
    <w:p w14:paraId="2D85A633">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5.</w:t>
      </w:r>
      <w:r>
        <w:rPr>
          <w:rFonts w:hint="eastAsia" w:ascii="宋体" w:hAnsi="宋体" w:cs="仿宋_GB2312"/>
          <w:color w:val="auto"/>
          <w:sz w:val="24"/>
          <w:szCs w:val="24"/>
          <w:highlight w:val="none"/>
        </w:rPr>
        <w:t>本</w:t>
      </w:r>
      <w:r>
        <w:rPr>
          <w:rFonts w:hint="eastAsia" w:ascii="宋体" w:hAnsi="宋体" w:cs="仿宋_GB2312"/>
          <w:color w:val="auto"/>
          <w:spacing w:val="-6"/>
          <w:sz w:val="24"/>
          <w:szCs w:val="24"/>
          <w:highlight w:val="none"/>
        </w:rPr>
        <w:t>协议书自所有成员单位法定代表人或者其委托代理人签字或者盖单位章之日起生效，合同履行完毕后自动失效。</w:t>
      </w:r>
    </w:p>
    <w:p w14:paraId="309C1C6B">
      <w:pPr>
        <w:pStyle w:val="6"/>
        <w:overflowPunct w:val="0"/>
        <w:spacing w:line="360" w:lineRule="auto"/>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6.</w:t>
      </w:r>
      <w:r>
        <w:rPr>
          <w:rFonts w:hint="eastAsia" w:ascii="宋体" w:hAnsi="宋体" w:cs="仿宋_GB2312"/>
          <w:color w:val="auto"/>
          <w:sz w:val="24"/>
          <w:szCs w:val="24"/>
          <w:highlight w:val="none"/>
        </w:rPr>
        <w:t>本协议书一式</w:t>
      </w:r>
      <w:r>
        <w:rPr>
          <w:rFonts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316251C2">
      <w:pPr>
        <w:pStyle w:val="6"/>
        <w:overflowPunct w:val="0"/>
        <w:spacing w:line="360" w:lineRule="auto"/>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53EE9C0A">
      <w:pPr>
        <w:pStyle w:val="6"/>
        <w:overflowPunct w:val="0"/>
        <w:spacing w:line="360" w:lineRule="auto"/>
        <w:ind w:firstLineChars="175"/>
        <w:contextualSpacing/>
        <w:rPr>
          <w:rFonts w:ascii="宋体" w:cs="仿宋_GB2312"/>
          <w:color w:val="auto"/>
          <w:sz w:val="24"/>
          <w:szCs w:val="24"/>
          <w:highlight w:val="none"/>
        </w:rPr>
      </w:pPr>
    </w:p>
    <w:p w14:paraId="3B3E1EB9">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0F2D4D19">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08A8AF40">
      <w:pPr>
        <w:pStyle w:val="6"/>
        <w:overflowPunct w:val="0"/>
        <w:spacing w:line="360" w:lineRule="auto"/>
        <w:ind w:firstLine="0"/>
        <w:contextualSpacing/>
        <w:rPr>
          <w:rFonts w:ascii="宋体" w:cs="仿宋_GB2312"/>
          <w:color w:val="auto"/>
          <w:sz w:val="24"/>
          <w:szCs w:val="24"/>
          <w:highlight w:val="none"/>
        </w:rPr>
      </w:pPr>
    </w:p>
    <w:p w14:paraId="5D34A249">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2153C9C9">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EA68415">
      <w:pPr>
        <w:pStyle w:val="6"/>
        <w:overflowPunct w:val="0"/>
        <w:spacing w:line="360" w:lineRule="auto"/>
        <w:ind w:firstLine="0"/>
        <w:contextualSpacing/>
        <w:rPr>
          <w:rFonts w:ascii="宋体" w:cs="仿宋_GB2312"/>
          <w:color w:val="auto"/>
          <w:sz w:val="24"/>
          <w:szCs w:val="24"/>
          <w:highlight w:val="none"/>
        </w:rPr>
      </w:pPr>
    </w:p>
    <w:p w14:paraId="7545865B">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624FE558">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00979A9">
      <w:pPr>
        <w:pStyle w:val="6"/>
        <w:overflowPunct w:val="0"/>
        <w:spacing w:line="360" w:lineRule="auto"/>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w:t>
      </w:r>
    </w:p>
    <w:p w14:paraId="42E329A1">
      <w:pPr>
        <w:spacing w:line="360" w:lineRule="auto"/>
        <w:contextualSpacing/>
        <w:jc w:val="right"/>
        <w:rPr>
          <w:rFonts w:ascii="宋体" w:cs="仿宋_GB2312"/>
          <w:color w:val="auto"/>
          <w:sz w:val="24"/>
          <w:highlight w:val="none"/>
        </w:rPr>
      </w:pPr>
      <w:r>
        <w:rPr>
          <w:rFonts w:hint="eastAsia" w:ascii="宋体" w:hAnsi="宋体" w:cs="仿宋_GB2312"/>
          <w:color w:val="auto"/>
          <w:sz w:val="24"/>
          <w:highlight w:val="none"/>
        </w:rPr>
        <w:t>日期：年  月  日</w:t>
      </w:r>
    </w:p>
    <w:p w14:paraId="7D1EE47C">
      <w:pPr>
        <w:spacing w:line="360" w:lineRule="auto"/>
        <w:ind w:right="420"/>
        <w:contextualSpacing/>
        <w:jc w:val="left"/>
        <w:rPr>
          <w:rFonts w:ascii="宋体"/>
          <w:b/>
          <w:color w:val="auto"/>
          <w:sz w:val="32"/>
          <w:szCs w:val="32"/>
          <w:highlight w:val="none"/>
        </w:rPr>
      </w:pPr>
      <w:r>
        <w:rPr>
          <w:rFonts w:asci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606B2BCF">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报价文件封面格式</w:t>
      </w:r>
    </w:p>
    <w:p w14:paraId="36F58FBE">
      <w:pPr>
        <w:snapToGrid w:val="0"/>
        <w:spacing w:before="120" w:beforeLines="50" w:after="50"/>
        <w:rPr>
          <w:rFonts w:ascii="宋体"/>
          <w:bCs/>
          <w:color w:val="auto"/>
          <w:sz w:val="32"/>
          <w:szCs w:val="20"/>
          <w:highlight w:val="none"/>
        </w:rPr>
      </w:pPr>
    </w:p>
    <w:p w14:paraId="4750BE6D">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568265C1">
      <w:pPr>
        <w:snapToGrid w:val="0"/>
        <w:spacing w:before="120" w:beforeLines="50" w:after="50"/>
        <w:rPr>
          <w:rFonts w:ascii="宋体"/>
          <w:color w:val="auto"/>
          <w:sz w:val="24"/>
          <w:szCs w:val="20"/>
          <w:highlight w:val="none"/>
        </w:rPr>
      </w:pPr>
    </w:p>
    <w:p w14:paraId="2A473092">
      <w:pPr>
        <w:snapToGrid w:val="0"/>
        <w:spacing w:before="120" w:beforeLines="50" w:after="50"/>
        <w:rPr>
          <w:rFonts w:ascii="宋体"/>
          <w:color w:val="auto"/>
          <w:sz w:val="24"/>
          <w:szCs w:val="20"/>
          <w:highlight w:val="none"/>
        </w:rPr>
      </w:pPr>
    </w:p>
    <w:p w14:paraId="0B950137">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381A7A62">
      <w:pPr>
        <w:snapToGrid w:val="0"/>
        <w:spacing w:before="120" w:beforeLines="50" w:after="50"/>
        <w:rPr>
          <w:rFonts w:ascii="宋体"/>
          <w:bCs/>
          <w:color w:val="auto"/>
          <w:sz w:val="24"/>
          <w:szCs w:val="20"/>
          <w:highlight w:val="none"/>
        </w:rPr>
      </w:pPr>
    </w:p>
    <w:p w14:paraId="5194DEBB">
      <w:pPr>
        <w:snapToGrid w:val="0"/>
        <w:spacing w:before="120" w:beforeLines="50" w:after="50"/>
        <w:rPr>
          <w:rFonts w:ascii="宋体"/>
          <w:bCs/>
          <w:color w:val="auto"/>
          <w:sz w:val="24"/>
          <w:szCs w:val="20"/>
          <w:highlight w:val="none"/>
        </w:rPr>
      </w:pPr>
    </w:p>
    <w:p w14:paraId="12FF73B4">
      <w:pPr>
        <w:snapToGrid w:val="0"/>
        <w:spacing w:before="120" w:beforeLines="50" w:after="50"/>
        <w:rPr>
          <w:rFonts w:ascii="宋体"/>
          <w:bCs/>
          <w:color w:val="auto"/>
          <w:sz w:val="24"/>
          <w:szCs w:val="20"/>
          <w:highlight w:val="none"/>
        </w:rPr>
      </w:pPr>
    </w:p>
    <w:p w14:paraId="0059BB12">
      <w:pPr>
        <w:snapToGrid w:val="0"/>
        <w:spacing w:before="120" w:beforeLines="50" w:after="50"/>
        <w:rPr>
          <w:rFonts w:ascii="宋体"/>
          <w:bCs/>
          <w:color w:val="auto"/>
          <w:sz w:val="24"/>
          <w:szCs w:val="20"/>
          <w:highlight w:val="none"/>
        </w:rPr>
      </w:pPr>
    </w:p>
    <w:p w14:paraId="6C1469B4">
      <w:pPr>
        <w:snapToGrid w:val="0"/>
        <w:spacing w:before="120" w:beforeLines="50" w:after="50"/>
        <w:rPr>
          <w:rFonts w:ascii="宋体"/>
          <w:bCs/>
          <w:color w:val="auto"/>
          <w:sz w:val="24"/>
          <w:szCs w:val="20"/>
          <w:highlight w:val="none"/>
        </w:rPr>
      </w:pPr>
    </w:p>
    <w:p w14:paraId="0F168EB6">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5809C8F1">
      <w:pPr>
        <w:snapToGrid w:val="0"/>
        <w:spacing w:before="120" w:beforeLines="50" w:after="50"/>
        <w:ind w:firstLine="720" w:firstLineChars="225"/>
        <w:rPr>
          <w:rFonts w:ascii="宋体" w:cs="仿宋_GB2312"/>
          <w:bCs/>
          <w:color w:val="auto"/>
          <w:sz w:val="32"/>
          <w:szCs w:val="32"/>
          <w:highlight w:val="none"/>
        </w:rPr>
      </w:pPr>
    </w:p>
    <w:p w14:paraId="2B8DB796">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3AC3E82A">
      <w:pPr>
        <w:snapToGrid w:val="0"/>
        <w:spacing w:before="120" w:beforeLines="50" w:after="50"/>
        <w:ind w:firstLine="720" w:firstLineChars="225"/>
        <w:rPr>
          <w:rFonts w:ascii="宋体" w:cs="仿宋_GB2312"/>
          <w:bCs/>
          <w:color w:val="auto"/>
          <w:sz w:val="32"/>
          <w:szCs w:val="32"/>
          <w:highlight w:val="none"/>
        </w:rPr>
      </w:pPr>
    </w:p>
    <w:p w14:paraId="33E41C78">
      <w:pPr>
        <w:snapToGrid w:val="0"/>
        <w:spacing w:before="120" w:beforeLines="50" w:after="50"/>
        <w:ind w:firstLine="720" w:firstLineChars="225"/>
        <w:rPr>
          <w:rFonts w:ascii="宋体" w:cs="仿宋_GB2312"/>
          <w:bCs/>
          <w:color w:val="auto"/>
          <w:sz w:val="32"/>
          <w:szCs w:val="32"/>
          <w:highlight w:val="none"/>
        </w:rPr>
      </w:pPr>
    </w:p>
    <w:p w14:paraId="70A82204">
      <w:pPr>
        <w:pStyle w:val="6"/>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8B0B678">
      <w:pPr>
        <w:pStyle w:val="6"/>
        <w:snapToGrid w:val="0"/>
        <w:spacing w:before="50" w:after="50"/>
        <w:ind w:firstLine="640" w:firstLineChars="200"/>
        <w:rPr>
          <w:rFonts w:ascii="宋体" w:cs="仿宋_GB2312"/>
          <w:bCs/>
          <w:color w:val="auto"/>
          <w:sz w:val="32"/>
          <w:szCs w:val="32"/>
          <w:highlight w:val="none"/>
        </w:rPr>
      </w:pPr>
    </w:p>
    <w:p w14:paraId="4BF4F8A7">
      <w:pPr>
        <w:pStyle w:val="6"/>
        <w:snapToGrid w:val="0"/>
        <w:spacing w:before="50" w:after="50"/>
        <w:ind w:firstLine="720" w:firstLineChars="225"/>
        <w:rPr>
          <w:rFonts w:ascii="宋体" w:cs="仿宋_GB2312"/>
          <w:bCs/>
          <w:color w:val="auto"/>
          <w:sz w:val="32"/>
          <w:szCs w:val="32"/>
          <w:highlight w:val="none"/>
        </w:rPr>
      </w:pPr>
    </w:p>
    <w:p w14:paraId="1C54543E">
      <w:pPr>
        <w:pStyle w:val="6"/>
        <w:snapToGrid w:val="0"/>
        <w:spacing w:before="50" w:after="50"/>
        <w:ind w:firstLine="0"/>
        <w:rPr>
          <w:rFonts w:ascii="宋体" w:cs="仿宋_GB2312"/>
          <w:bCs/>
          <w:color w:val="auto"/>
          <w:sz w:val="32"/>
          <w:szCs w:val="32"/>
          <w:highlight w:val="none"/>
        </w:rPr>
      </w:pPr>
    </w:p>
    <w:p w14:paraId="6AFDF616">
      <w:pPr>
        <w:pStyle w:val="6"/>
        <w:snapToGrid w:val="0"/>
        <w:spacing w:before="50" w:after="50"/>
        <w:ind w:firstLine="1280" w:firstLineChars="400"/>
        <w:rPr>
          <w:rFonts w:ascii="宋体" w:cs="仿宋_GB2312"/>
          <w:bCs/>
          <w:color w:val="auto"/>
          <w:sz w:val="32"/>
          <w:szCs w:val="32"/>
          <w:highlight w:val="none"/>
        </w:rPr>
      </w:pPr>
    </w:p>
    <w:p w14:paraId="573931C1">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5BFB4B59">
      <w:pPr>
        <w:snapToGrid w:val="0"/>
        <w:spacing w:before="120" w:beforeLines="50" w:after="50" w:line="360" w:lineRule="auto"/>
        <w:jc w:val="left"/>
        <w:rPr>
          <w:rFonts w:ascii="宋体"/>
          <w:b/>
          <w:bCs/>
          <w:color w:val="auto"/>
          <w:sz w:val="24"/>
          <w:highlight w:val="none"/>
        </w:rPr>
      </w:pPr>
      <w:r>
        <w:rPr>
          <w:rFonts w:ascii="宋体"/>
          <w:color w:val="auto"/>
          <w:szCs w:val="21"/>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报价文件目录</w:t>
      </w:r>
    </w:p>
    <w:p w14:paraId="115CEE40">
      <w:pPr>
        <w:tabs>
          <w:tab w:val="left" w:pos="3479"/>
        </w:tabs>
        <w:spacing w:line="520" w:lineRule="exact"/>
        <w:jc w:val="left"/>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639C1746">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竞标报价表</w:t>
      </w:r>
    </w:p>
    <w:p w14:paraId="3BBDD782">
      <w:pPr>
        <w:snapToGrid w:val="0"/>
        <w:spacing w:before="50" w:after="50" w:line="360" w:lineRule="auto"/>
        <w:rPr>
          <w:rFonts w:ascii="宋体" w:cs="仿宋_GB2312"/>
          <w:color w:val="auto"/>
          <w:sz w:val="24"/>
          <w:highlight w:val="none"/>
        </w:rPr>
      </w:pPr>
      <w:r>
        <w:rPr>
          <w:rFonts w:hint="eastAsia" w:ascii="宋体" w:hAnsi="宋体" w:cs="仿宋_GB2312"/>
          <w:color w:val="auto"/>
          <w:sz w:val="24"/>
          <w:highlight w:val="none"/>
        </w:rPr>
        <w:t>项目名称：                                    项目编号：</w:t>
      </w:r>
    </w:p>
    <w:p w14:paraId="3152DF44">
      <w:pPr>
        <w:snapToGrid w:val="0"/>
        <w:spacing w:before="50" w:after="50" w:line="360" w:lineRule="auto"/>
        <w:rPr>
          <w:rFonts w:ascii="宋体" w:cs="仿宋_GB2312"/>
          <w:color w:val="auto"/>
          <w:sz w:val="24"/>
          <w:highlight w:val="none"/>
        </w:rPr>
      </w:pPr>
      <w:r>
        <w:rPr>
          <w:rFonts w:hint="eastAsia" w:ascii="宋体" w:hAnsi="宋体" w:cs="仿宋_GB2312"/>
          <w:color w:val="auto"/>
          <w:sz w:val="24"/>
          <w:highlight w:val="none"/>
        </w:rPr>
        <w:t>供应商名称：</w:t>
      </w:r>
    </w:p>
    <w:p w14:paraId="053EAF9B">
      <w:pPr>
        <w:snapToGrid w:val="0"/>
        <w:spacing w:before="50" w:after="50" w:line="360" w:lineRule="auto"/>
        <w:ind w:firstLine="5520" w:firstLineChars="2300"/>
        <w:rPr>
          <w:rFonts w:ascii="宋体" w:cs="仿宋_GB2312"/>
          <w:color w:val="auto"/>
          <w:sz w:val="24"/>
          <w:highlight w:val="none"/>
        </w:rPr>
      </w:pPr>
      <w:r>
        <w:rPr>
          <w:rFonts w:hint="eastAsia" w:ascii="宋体" w:hAnsi="宋体" w:cs="仿宋_GB2312"/>
          <w:color w:val="auto"/>
          <w:sz w:val="24"/>
          <w:highlight w:val="none"/>
        </w:rPr>
        <w:t>单位：元</w:t>
      </w:r>
    </w:p>
    <w:tbl>
      <w:tblPr>
        <w:tblStyle w:val="25"/>
        <w:tblW w:w="10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5"/>
        <w:gridCol w:w="1346"/>
        <w:gridCol w:w="950"/>
        <w:gridCol w:w="736"/>
        <w:gridCol w:w="925"/>
        <w:gridCol w:w="856"/>
        <w:gridCol w:w="967"/>
        <w:gridCol w:w="1094"/>
        <w:gridCol w:w="779"/>
        <w:gridCol w:w="1459"/>
      </w:tblGrid>
      <w:tr w14:paraId="40BC4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95" w:type="dxa"/>
            <w:tcBorders>
              <w:top w:val="single" w:color="auto" w:sz="4" w:space="0"/>
              <w:bottom w:val="single" w:color="auto" w:sz="4" w:space="0"/>
              <w:right w:val="single" w:color="auto" w:sz="4" w:space="0"/>
            </w:tcBorders>
            <w:vAlign w:val="center"/>
          </w:tcPr>
          <w:p w14:paraId="15CDA173">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346" w:type="dxa"/>
            <w:tcBorders>
              <w:top w:val="single" w:color="auto" w:sz="4" w:space="0"/>
              <w:left w:val="single" w:color="auto" w:sz="4" w:space="0"/>
              <w:bottom w:val="single" w:color="auto" w:sz="4" w:space="0"/>
              <w:right w:val="single" w:color="auto" w:sz="4" w:space="0"/>
            </w:tcBorders>
            <w:vAlign w:val="center"/>
          </w:tcPr>
          <w:p w14:paraId="6D4DDD3B">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950" w:type="dxa"/>
            <w:tcBorders>
              <w:top w:val="single" w:color="auto" w:sz="4" w:space="0"/>
              <w:left w:val="single" w:color="auto" w:sz="4" w:space="0"/>
              <w:bottom w:val="single" w:color="auto" w:sz="4" w:space="0"/>
              <w:right w:val="single" w:color="auto" w:sz="4" w:space="0"/>
            </w:tcBorders>
            <w:vAlign w:val="center"/>
          </w:tcPr>
          <w:p w14:paraId="1C0C459A">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数量及单位</w:t>
            </w:r>
          </w:p>
          <w:p w14:paraId="11A99455">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①</w:t>
            </w:r>
          </w:p>
        </w:tc>
        <w:tc>
          <w:tcPr>
            <w:tcW w:w="736" w:type="dxa"/>
            <w:tcBorders>
              <w:top w:val="single" w:color="auto" w:sz="4" w:space="0"/>
              <w:left w:val="single" w:color="auto" w:sz="4" w:space="0"/>
              <w:bottom w:val="single" w:color="auto" w:sz="4" w:space="0"/>
              <w:right w:val="single" w:color="auto" w:sz="4" w:space="0"/>
            </w:tcBorders>
            <w:vAlign w:val="center"/>
          </w:tcPr>
          <w:p w14:paraId="1D13E0D5">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品牌</w:t>
            </w:r>
          </w:p>
        </w:tc>
        <w:tc>
          <w:tcPr>
            <w:tcW w:w="925" w:type="dxa"/>
            <w:tcBorders>
              <w:top w:val="single" w:color="auto" w:sz="4" w:space="0"/>
              <w:left w:val="single" w:color="auto" w:sz="4" w:space="0"/>
              <w:bottom w:val="single" w:color="auto" w:sz="4" w:space="0"/>
              <w:right w:val="single" w:color="auto" w:sz="4" w:space="0"/>
            </w:tcBorders>
            <w:vAlign w:val="center"/>
          </w:tcPr>
          <w:p w14:paraId="0CC893E8">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规格</w:t>
            </w:r>
          </w:p>
          <w:p w14:paraId="666B25DD">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型号</w:t>
            </w:r>
          </w:p>
        </w:tc>
        <w:tc>
          <w:tcPr>
            <w:tcW w:w="856" w:type="dxa"/>
            <w:tcBorders>
              <w:top w:val="single" w:color="auto" w:sz="4" w:space="0"/>
              <w:left w:val="single" w:color="auto" w:sz="4" w:space="0"/>
              <w:bottom w:val="single" w:color="auto" w:sz="4" w:space="0"/>
              <w:right w:val="single" w:color="auto" w:sz="4" w:space="0"/>
            </w:tcBorders>
            <w:vAlign w:val="center"/>
          </w:tcPr>
          <w:p w14:paraId="2F7EA995">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制造商</w:t>
            </w:r>
          </w:p>
        </w:tc>
        <w:tc>
          <w:tcPr>
            <w:tcW w:w="967" w:type="dxa"/>
            <w:tcBorders>
              <w:top w:val="single" w:color="auto" w:sz="4" w:space="0"/>
              <w:left w:val="single" w:color="auto" w:sz="4" w:space="0"/>
              <w:bottom w:val="single" w:color="auto" w:sz="4" w:space="0"/>
              <w:right w:val="single" w:color="auto" w:sz="4" w:space="0"/>
            </w:tcBorders>
            <w:vAlign w:val="center"/>
          </w:tcPr>
          <w:p w14:paraId="0D9DE216">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原产地</w:t>
            </w:r>
          </w:p>
        </w:tc>
        <w:tc>
          <w:tcPr>
            <w:tcW w:w="1094" w:type="dxa"/>
            <w:tcBorders>
              <w:top w:val="single" w:color="auto" w:sz="4" w:space="0"/>
              <w:left w:val="single" w:color="auto" w:sz="4" w:space="0"/>
              <w:bottom w:val="single" w:color="auto" w:sz="4" w:space="0"/>
              <w:right w:val="single" w:color="auto" w:sz="4" w:space="0"/>
            </w:tcBorders>
            <w:vAlign w:val="center"/>
          </w:tcPr>
          <w:p w14:paraId="218354E9">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参数性能、指标及配置</w:t>
            </w:r>
          </w:p>
        </w:tc>
        <w:tc>
          <w:tcPr>
            <w:tcW w:w="779" w:type="dxa"/>
            <w:tcBorders>
              <w:top w:val="single" w:color="auto" w:sz="4" w:space="0"/>
              <w:left w:val="single" w:color="auto" w:sz="4" w:space="0"/>
              <w:bottom w:val="single" w:color="auto" w:sz="4" w:space="0"/>
              <w:right w:val="single" w:color="auto" w:sz="4" w:space="0"/>
            </w:tcBorders>
            <w:vAlign w:val="center"/>
          </w:tcPr>
          <w:p w14:paraId="7EE4F36B">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单价</w:t>
            </w:r>
          </w:p>
          <w:p w14:paraId="57E96C8E">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②</w:t>
            </w:r>
          </w:p>
        </w:tc>
        <w:tc>
          <w:tcPr>
            <w:tcW w:w="1459" w:type="dxa"/>
            <w:tcBorders>
              <w:top w:val="single" w:color="auto" w:sz="4" w:space="0"/>
              <w:left w:val="single" w:color="auto" w:sz="4" w:space="0"/>
              <w:bottom w:val="single" w:color="auto" w:sz="4" w:space="0"/>
            </w:tcBorders>
            <w:vAlign w:val="center"/>
          </w:tcPr>
          <w:p w14:paraId="243596D3">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小计</w:t>
            </w:r>
          </w:p>
          <w:p w14:paraId="55139F29">
            <w:pPr>
              <w:spacing w:line="360" w:lineRule="auto"/>
              <w:jc w:val="center"/>
              <w:rPr>
                <w:rFonts w:ascii="宋体" w:cs="仿宋_GB2312"/>
                <w:b/>
                <w:bCs/>
                <w:color w:val="auto"/>
                <w:sz w:val="24"/>
                <w:highlight w:val="none"/>
              </w:rPr>
            </w:pPr>
            <w:r>
              <w:rPr>
                <w:rFonts w:hint="eastAsia" w:ascii="宋体" w:hAnsi="宋体" w:cs="仿宋_GB2312"/>
                <w:b/>
                <w:bCs/>
                <w:color w:val="auto"/>
                <w:sz w:val="24"/>
                <w:highlight w:val="none"/>
              </w:rPr>
              <w:t>③</w:t>
            </w:r>
            <w:r>
              <w:rPr>
                <w:rFonts w:ascii="宋体" w:hAnsi="宋体" w:cs="仿宋_GB2312"/>
                <w:b/>
                <w:bCs/>
                <w:color w:val="auto"/>
                <w:sz w:val="24"/>
                <w:highlight w:val="none"/>
              </w:rPr>
              <w:t>=</w:t>
            </w:r>
            <w:r>
              <w:rPr>
                <w:rFonts w:hint="eastAsia" w:ascii="宋体" w:hAnsi="宋体" w:cs="仿宋_GB2312"/>
                <w:b/>
                <w:bCs/>
                <w:color w:val="auto"/>
                <w:sz w:val="24"/>
                <w:highlight w:val="none"/>
              </w:rPr>
              <w:t>①×②</w:t>
            </w:r>
          </w:p>
        </w:tc>
      </w:tr>
      <w:tr w14:paraId="7AD84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95" w:type="dxa"/>
            <w:tcBorders>
              <w:top w:val="single" w:color="auto" w:sz="4" w:space="0"/>
              <w:bottom w:val="single" w:color="auto" w:sz="4" w:space="0"/>
              <w:right w:val="single" w:color="auto" w:sz="4" w:space="0"/>
            </w:tcBorders>
            <w:vAlign w:val="center"/>
          </w:tcPr>
          <w:p w14:paraId="596B4E22">
            <w:pPr>
              <w:snapToGrid w:val="0"/>
              <w:spacing w:line="320" w:lineRule="exact"/>
              <w:jc w:val="center"/>
              <w:rPr>
                <w:rFonts w:ascii="宋体" w:hAnsi="宋体"/>
                <w:b/>
                <w:color w:val="auto"/>
                <w:sz w:val="24"/>
                <w:highlight w:val="none"/>
              </w:rPr>
            </w:pPr>
            <w:r>
              <w:rPr>
                <w:rFonts w:hint="eastAsia" w:ascii="宋体" w:hAnsi="宋体"/>
                <w:b/>
                <w:color w:val="auto"/>
                <w:sz w:val="24"/>
                <w:highlight w:val="none"/>
              </w:rPr>
              <w:t>1</w:t>
            </w:r>
          </w:p>
        </w:tc>
        <w:tc>
          <w:tcPr>
            <w:tcW w:w="1346" w:type="dxa"/>
            <w:tcBorders>
              <w:top w:val="single" w:color="auto" w:sz="4" w:space="0"/>
              <w:left w:val="single" w:color="auto" w:sz="4" w:space="0"/>
              <w:bottom w:val="single" w:color="auto" w:sz="4" w:space="0"/>
              <w:right w:val="single" w:color="auto" w:sz="4" w:space="0"/>
            </w:tcBorders>
            <w:vAlign w:val="center"/>
          </w:tcPr>
          <w:p w14:paraId="678BEE09">
            <w:pPr>
              <w:snapToGrid w:val="0"/>
              <w:spacing w:line="320" w:lineRule="exact"/>
              <w:jc w:val="center"/>
              <w:rPr>
                <w:rFonts w:ascii="宋体" w:hAnsi="宋体"/>
                <w:b/>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1D6AD384">
            <w:pPr>
              <w:snapToGrid w:val="0"/>
              <w:spacing w:line="320" w:lineRule="exact"/>
              <w:jc w:val="center"/>
              <w:rPr>
                <w:rFonts w:ascii="宋体" w:hAnsi="宋体"/>
                <w:b/>
                <w:color w:val="auto"/>
                <w:sz w:val="24"/>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7C5E9595">
            <w:pPr>
              <w:snapToGrid w:val="0"/>
              <w:spacing w:line="320" w:lineRule="exact"/>
              <w:jc w:val="center"/>
              <w:rPr>
                <w:rFonts w:ascii="宋体" w:cs="仿宋_GB2312"/>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9C58AB2">
            <w:pPr>
              <w:snapToGrid w:val="0"/>
              <w:spacing w:line="320" w:lineRule="exact"/>
              <w:jc w:val="center"/>
              <w:rPr>
                <w:rFonts w:ascii="宋体" w:cs="仿宋_GB2312"/>
                <w:color w:val="auto"/>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5457BFEA">
            <w:pPr>
              <w:snapToGrid w:val="0"/>
              <w:spacing w:line="320" w:lineRule="exact"/>
              <w:jc w:val="center"/>
              <w:rPr>
                <w:rFonts w:ascii="宋体" w:cs="仿宋_GB2312"/>
                <w:color w:val="auto"/>
                <w:sz w:val="24"/>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0ADDE262">
            <w:pPr>
              <w:snapToGrid w:val="0"/>
              <w:spacing w:line="320" w:lineRule="exact"/>
              <w:jc w:val="center"/>
              <w:rPr>
                <w:rFonts w:ascii="宋体" w:cs="仿宋_GB2312"/>
                <w:color w:val="auto"/>
                <w:sz w:val="24"/>
                <w:highlight w:val="none"/>
              </w:rPr>
            </w:pPr>
          </w:p>
        </w:tc>
        <w:tc>
          <w:tcPr>
            <w:tcW w:w="1094" w:type="dxa"/>
            <w:vMerge w:val="restart"/>
            <w:tcBorders>
              <w:top w:val="single" w:color="auto" w:sz="4" w:space="0"/>
              <w:left w:val="single" w:color="auto" w:sz="4" w:space="0"/>
              <w:right w:val="single" w:color="auto" w:sz="4" w:space="0"/>
            </w:tcBorders>
            <w:vAlign w:val="center"/>
          </w:tcPr>
          <w:p w14:paraId="7F3F8752">
            <w:pPr>
              <w:spacing w:line="36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技术参数详见“技术</w:t>
            </w:r>
          </w:p>
          <w:p w14:paraId="4D06E98C">
            <w:pPr>
              <w:spacing w:line="36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响应承诺书”</w:t>
            </w:r>
          </w:p>
        </w:tc>
        <w:tc>
          <w:tcPr>
            <w:tcW w:w="779" w:type="dxa"/>
            <w:tcBorders>
              <w:top w:val="single" w:color="auto" w:sz="4" w:space="0"/>
              <w:left w:val="single" w:color="auto" w:sz="4" w:space="0"/>
              <w:bottom w:val="single" w:color="auto" w:sz="4" w:space="0"/>
              <w:right w:val="single" w:color="auto" w:sz="4" w:space="0"/>
            </w:tcBorders>
            <w:vAlign w:val="center"/>
          </w:tcPr>
          <w:p w14:paraId="709988EC">
            <w:pPr>
              <w:spacing w:line="360" w:lineRule="auto"/>
              <w:jc w:val="center"/>
              <w:rPr>
                <w:rFonts w:ascii="宋体" w:cs="仿宋_GB2312"/>
                <w:color w:val="auto"/>
                <w:sz w:val="24"/>
                <w:highlight w:val="none"/>
              </w:rPr>
            </w:pPr>
          </w:p>
        </w:tc>
        <w:tc>
          <w:tcPr>
            <w:tcW w:w="1459" w:type="dxa"/>
            <w:tcBorders>
              <w:top w:val="single" w:color="auto" w:sz="4" w:space="0"/>
              <w:left w:val="single" w:color="auto" w:sz="4" w:space="0"/>
              <w:bottom w:val="single" w:color="auto" w:sz="4" w:space="0"/>
            </w:tcBorders>
            <w:vAlign w:val="center"/>
          </w:tcPr>
          <w:p w14:paraId="0B5560F3">
            <w:pPr>
              <w:spacing w:line="360" w:lineRule="auto"/>
              <w:jc w:val="center"/>
              <w:rPr>
                <w:rFonts w:ascii="宋体" w:cs="仿宋_GB2312"/>
                <w:color w:val="auto"/>
                <w:sz w:val="24"/>
                <w:highlight w:val="none"/>
              </w:rPr>
            </w:pPr>
          </w:p>
        </w:tc>
      </w:tr>
      <w:tr w14:paraId="00BF7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95" w:type="dxa"/>
            <w:tcBorders>
              <w:top w:val="single" w:color="auto" w:sz="4" w:space="0"/>
              <w:bottom w:val="single" w:color="auto" w:sz="4" w:space="0"/>
              <w:right w:val="single" w:color="auto" w:sz="4" w:space="0"/>
            </w:tcBorders>
            <w:vAlign w:val="center"/>
          </w:tcPr>
          <w:p w14:paraId="3BEFE149">
            <w:pPr>
              <w:snapToGrid w:val="0"/>
              <w:spacing w:line="320" w:lineRule="exact"/>
              <w:jc w:val="center"/>
              <w:rPr>
                <w:rFonts w:ascii="宋体" w:hAnsi="宋体"/>
                <w:b/>
                <w:color w:val="auto"/>
                <w:sz w:val="24"/>
                <w:highlight w:val="none"/>
              </w:rPr>
            </w:pPr>
            <w:r>
              <w:rPr>
                <w:rFonts w:hint="eastAsia" w:ascii="宋体" w:hAnsi="宋体"/>
                <w:b/>
                <w:color w:val="auto"/>
                <w:sz w:val="24"/>
                <w:highlight w:val="none"/>
              </w:rPr>
              <w:t>2</w:t>
            </w:r>
          </w:p>
        </w:tc>
        <w:tc>
          <w:tcPr>
            <w:tcW w:w="1346" w:type="dxa"/>
            <w:tcBorders>
              <w:top w:val="single" w:color="auto" w:sz="4" w:space="0"/>
              <w:left w:val="single" w:color="auto" w:sz="4" w:space="0"/>
              <w:bottom w:val="single" w:color="auto" w:sz="4" w:space="0"/>
              <w:right w:val="single" w:color="auto" w:sz="4" w:space="0"/>
            </w:tcBorders>
            <w:vAlign w:val="center"/>
          </w:tcPr>
          <w:p w14:paraId="2262FFF1">
            <w:pPr>
              <w:snapToGrid w:val="0"/>
              <w:spacing w:line="320" w:lineRule="exact"/>
              <w:jc w:val="center"/>
              <w:rPr>
                <w:rFonts w:ascii="宋体" w:hAnsi="宋体"/>
                <w:b/>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2FBA562">
            <w:pPr>
              <w:snapToGrid w:val="0"/>
              <w:spacing w:line="320" w:lineRule="exact"/>
              <w:jc w:val="center"/>
              <w:rPr>
                <w:rFonts w:ascii="宋体" w:hAnsi="宋体"/>
                <w:b/>
                <w:color w:val="auto"/>
                <w:sz w:val="24"/>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C9C306D">
            <w:pPr>
              <w:snapToGrid w:val="0"/>
              <w:spacing w:line="320" w:lineRule="exact"/>
              <w:jc w:val="center"/>
              <w:rPr>
                <w:rFonts w:ascii="宋体" w:cs="仿宋_GB2312"/>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A346583">
            <w:pPr>
              <w:snapToGrid w:val="0"/>
              <w:spacing w:line="320" w:lineRule="exact"/>
              <w:jc w:val="center"/>
              <w:rPr>
                <w:rFonts w:ascii="宋体" w:cs="仿宋_GB2312"/>
                <w:color w:val="auto"/>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6AD42E83">
            <w:pPr>
              <w:snapToGrid w:val="0"/>
              <w:spacing w:line="320" w:lineRule="exact"/>
              <w:jc w:val="center"/>
              <w:rPr>
                <w:rFonts w:ascii="宋体" w:cs="仿宋_GB2312"/>
                <w:color w:val="auto"/>
                <w:sz w:val="24"/>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47288EC">
            <w:pPr>
              <w:snapToGrid w:val="0"/>
              <w:spacing w:line="320" w:lineRule="exact"/>
              <w:jc w:val="center"/>
              <w:rPr>
                <w:rFonts w:ascii="宋体" w:cs="仿宋_GB2312"/>
                <w:color w:val="auto"/>
                <w:sz w:val="24"/>
                <w:highlight w:val="none"/>
              </w:rPr>
            </w:pPr>
          </w:p>
        </w:tc>
        <w:tc>
          <w:tcPr>
            <w:tcW w:w="1094" w:type="dxa"/>
            <w:vMerge w:val="continue"/>
            <w:tcBorders>
              <w:left w:val="single" w:color="auto" w:sz="4" w:space="0"/>
              <w:right w:val="single" w:color="auto" w:sz="4" w:space="0"/>
            </w:tcBorders>
            <w:vAlign w:val="center"/>
          </w:tcPr>
          <w:p w14:paraId="00FAB2D5">
            <w:pPr>
              <w:spacing w:line="360" w:lineRule="exact"/>
              <w:jc w:val="center"/>
              <w:rPr>
                <w:rFonts w:ascii="宋体" w:hAnsi="宋体" w:cs="仿宋_GB2312"/>
                <w:b/>
                <w:bCs/>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345B9630">
            <w:pPr>
              <w:spacing w:line="360" w:lineRule="auto"/>
              <w:jc w:val="center"/>
              <w:rPr>
                <w:rFonts w:ascii="宋体" w:cs="仿宋_GB2312"/>
                <w:color w:val="auto"/>
                <w:sz w:val="24"/>
                <w:highlight w:val="none"/>
              </w:rPr>
            </w:pPr>
          </w:p>
        </w:tc>
        <w:tc>
          <w:tcPr>
            <w:tcW w:w="1459" w:type="dxa"/>
            <w:tcBorders>
              <w:top w:val="single" w:color="auto" w:sz="4" w:space="0"/>
              <w:left w:val="single" w:color="auto" w:sz="4" w:space="0"/>
              <w:bottom w:val="single" w:color="auto" w:sz="4" w:space="0"/>
            </w:tcBorders>
            <w:vAlign w:val="center"/>
          </w:tcPr>
          <w:p w14:paraId="02C2C945">
            <w:pPr>
              <w:spacing w:line="360" w:lineRule="auto"/>
              <w:jc w:val="center"/>
              <w:rPr>
                <w:rFonts w:ascii="宋体" w:cs="仿宋_GB2312"/>
                <w:color w:val="auto"/>
                <w:sz w:val="24"/>
                <w:highlight w:val="none"/>
              </w:rPr>
            </w:pPr>
          </w:p>
        </w:tc>
      </w:tr>
      <w:tr w14:paraId="10025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95" w:type="dxa"/>
            <w:tcBorders>
              <w:top w:val="single" w:color="auto" w:sz="4" w:space="0"/>
              <w:bottom w:val="single" w:color="auto" w:sz="4" w:space="0"/>
              <w:right w:val="single" w:color="auto" w:sz="4" w:space="0"/>
            </w:tcBorders>
            <w:vAlign w:val="center"/>
          </w:tcPr>
          <w:p w14:paraId="34388FF6">
            <w:pPr>
              <w:snapToGrid w:val="0"/>
              <w:spacing w:line="320" w:lineRule="exact"/>
              <w:jc w:val="center"/>
              <w:rPr>
                <w:rFonts w:ascii="宋体" w:hAnsi="宋体"/>
                <w:b/>
                <w:color w:val="auto"/>
                <w:sz w:val="24"/>
                <w:highlight w:val="none"/>
              </w:rPr>
            </w:pPr>
            <w:r>
              <w:rPr>
                <w:rFonts w:hint="eastAsia" w:ascii="宋体" w:hAnsi="宋体"/>
                <w:b/>
                <w:color w:val="auto"/>
                <w:sz w:val="24"/>
                <w:highlight w:val="none"/>
              </w:rPr>
              <w:t>......</w:t>
            </w:r>
          </w:p>
        </w:tc>
        <w:tc>
          <w:tcPr>
            <w:tcW w:w="1346" w:type="dxa"/>
            <w:tcBorders>
              <w:top w:val="single" w:color="auto" w:sz="4" w:space="0"/>
              <w:left w:val="single" w:color="auto" w:sz="4" w:space="0"/>
              <w:bottom w:val="single" w:color="auto" w:sz="4" w:space="0"/>
              <w:right w:val="single" w:color="auto" w:sz="4" w:space="0"/>
            </w:tcBorders>
            <w:vAlign w:val="center"/>
          </w:tcPr>
          <w:p w14:paraId="605003AF">
            <w:pPr>
              <w:snapToGrid w:val="0"/>
              <w:spacing w:line="320" w:lineRule="exact"/>
              <w:jc w:val="center"/>
              <w:rPr>
                <w:rFonts w:ascii="宋体" w:hAnsi="宋体"/>
                <w:b/>
                <w:color w:val="auto"/>
                <w:sz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14:paraId="2B249457">
            <w:pPr>
              <w:snapToGrid w:val="0"/>
              <w:spacing w:line="320" w:lineRule="exact"/>
              <w:jc w:val="center"/>
              <w:rPr>
                <w:rFonts w:ascii="宋体" w:hAnsi="宋体"/>
                <w:b/>
                <w:color w:val="auto"/>
                <w:sz w:val="24"/>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0026041F">
            <w:pPr>
              <w:snapToGrid w:val="0"/>
              <w:spacing w:line="320" w:lineRule="exact"/>
              <w:jc w:val="center"/>
              <w:rPr>
                <w:rFonts w:ascii="宋体" w:cs="仿宋_GB2312"/>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052A03E">
            <w:pPr>
              <w:snapToGrid w:val="0"/>
              <w:spacing w:line="320" w:lineRule="exact"/>
              <w:jc w:val="center"/>
              <w:rPr>
                <w:rFonts w:ascii="宋体" w:cs="仿宋_GB2312"/>
                <w:color w:val="auto"/>
                <w:sz w:val="24"/>
                <w:highlight w:val="none"/>
              </w:rPr>
            </w:pPr>
          </w:p>
        </w:tc>
        <w:tc>
          <w:tcPr>
            <w:tcW w:w="856" w:type="dxa"/>
            <w:tcBorders>
              <w:top w:val="single" w:color="auto" w:sz="4" w:space="0"/>
              <w:left w:val="single" w:color="auto" w:sz="4" w:space="0"/>
              <w:bottom w:val="single" w:color="auto" w:sz="4" w:space="0"/>
              <w:right w:val="single" w:color="auto" w:sz="4" w:space="0"/>
            </w:tcBorders>
            <w:vAlign w:val="center"/>
          </w:tcPr>
          <w:p w14:paraId="6D9D9C39">
            <w:pPr>
              <w:snapToGrid w:val="0"/>
              <w:spacing w:line="320" w:lineRule="exact"/>
              <w:jc w:val="center"/>
              <w:rPr>
                <w:rFonts w:ascii="宋体" w:cs="仿宋_GB2312"/>
                <w:color w:val="auto"/>
                <w:sz w:val="24"/>
                <w:highlight w:val="none"/>
              </w:rPr>
            </w:pPr>
          </w:p>
        </w:tc>
        <w:tc>
          <w:tcPr>
            <w:tcW w:w="967" w:type="dxa"/>
            <w:tcBorders>
              <w:top w:val="single" w:color="auto" w:sz="4" w:space="0"/>
              <w:left w:val="single" w:color="auto" w:sz="4" w:space="0"/>
              <w:bottom w:val="single" w:color="auto" w:sz="4" w:space="0"/>
              <w:right w:val="single" w:color="auto" w:sz="4" w:space="0"/>
            </w:tcBorders>
            <w:vAlign w:val="center"/>
          </w:tcPr>
          <w:p w14:paraId="1DE53501">
            <w:pPr>
              <w:snapToGrid w:val="0"/>
              <w:spacing w:line="320" w:lineRule="exact"/>
              <w:jc w:val="center"/>
              <w:rPr>
                <w:rFonts w:ascii="宋体" w:cs="仿宋_GB2312"/>
                <w:color w:val="auto"/>
                <w:sz w:val="24"/>
                <w:highlight w:val="none"/>
              </w:rPr>
            </w:pPr>
          </w:p>
        </w:tc>
        <w:tc>
          <w:tcPr>
            <w:tcW w:w="1094" w:type="dxa"/>
            <w:vMerge w:val="continue"/>
            <w:tcBorders>
              <w:left w:val="single" w:color="auto" w:sz="4" w:space="0"/>
              <w:right w:val="single" w:color="auto" w:sz="4" w:space="0"/>
            </w:tcBorders>
            <w:vAlign w:val="center"/>
          </w:tcPr>
          <w:p w14:paraId="343EBC52">
            <w:pPr>
              <w:spacing w:line="360" w:lineRule="exact"/>
              <w:jc w:val="center"/>
              <w:rPr>
                <w:rFonts w:ascii="宋体" w:hAnsi="宋体" w:cs="仿宋_GB2312"/>
                <w:b/>
                <w:bCs/>
                <w:color w:val="auto"/>
                <w:sz w:val="24"/>
                <w:highlight w:val="none"/>
              </w:rPr>
            </w:pPr>
          </w:p>
        </w:tc>
        <w:tc>
          <w:tcPr>
            <w:tcW w:w="779" w:type="dxa"/>
            <w:tcBorders>
              <w:top w:val="single" w:color="auto" w:sz="4" w:space="0"/>
              <w:left w:val="single" w:color="auto" w:sz="4" w:space="0"/>
              <w:bottom w:val="single" w:color="auto" w:sz="4" w:space="0"/>
              <w:right w:val="single" w:color="auto" w:sz="4" w:space="0"/>
            </w:tcBorders>
            <w:vAlign w:val="center"/>
          </w:tcPr>
          <w:p w14:paraId="6C88D450">
            <w:pPr>
              <w:spacing w:line="360" w:lineRule="auto"/>
              <w:jc w:val="center"/>
              <w:rPr>
                <w:rFonts w:ascii="宋体" w:cs="仿宋_GB2312"/>
                <w:color w:val="auto"/>
                <w:sz w:val="24"/>
                <w:highlight w:val="none"/>
              </w:rPr>
            </w:pPr>
          </w:p>
        </w:tc>
        <w:tc>
          <w:tcPr>
            <w:tcW w:w="1459" w:type="dxa"/>
            <w:tcBorders>
              <w:top w:val="single" w:color="auto" w:sz="4" w:space="0"/>
              <w:left w:val="single" w:color="auto" w:sz="4" w:space="0"/>
              <w:bottom w:val="single" w:color="auto" w:sz="4" w:space="0"/>
            </w:tcBorders>
            <w:vAlign w:val="center"/>
          </w:tcPr>
          <w:p w14:paraId="3A571C49">
            <w:pPr>
              <w:spacing w:line="360" w:lineRule="auto"/>
              <w:jc w:val="center"/>
              <w:rPr>
                <w:rFonts w:ascii="宋体" w:cs="仿宋_GB2312"/>
                <w:color w:val="auto"/>
                <w:sz w:val="24"/>
                <w:highlight w:val="none"/>
              </w:rPr>
            </w:pPr>
          </w:p>
        </w:tc>
      </w:tr>
      <w:tr w14:paraId="7FC8C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107" w:type="dxa"/>
            <w:gridSpan w:val="10"/>
            <w:tcBorders>
              <w:top w:val="single" w:color="auto" w:sz="4" w:space="0"/>
              <w:bottom w:val="single" w:color="auto" w:sz="4" w:space="0"/>
            </w:tcBorders>
          </w:tcPr>
          <w:p w14:paraId="7E8B6E36">
            <w:pPr>
              <w:snapToGrid w:val="0"/>
              <w:spacing w:before="50" w:after="50" w:line="360" w:lineRule="auto"/>
              <w:rPr>
                <w:rFonts w:ascii="宋体" w:cs="仿宋_GB2312"/>
                <w:color w:val="auto"/>
                <w:sz w:val="24"/>
                <w:highlight w:val="none"/>
              </w:rPr>
            </w:pPr>
            <w:r>
              <w:rPr>
                <w:rFonts w:hint="eastAsia" w:ascii="宋体" w:hAnsi="宋体" w:cs="仿宋_GB2312"/>
                <w:color w:val="auto"/>
                <w:sz w:val="24"/>
                <w:highlight w:val="none"/>
              </w:rPr>
              <w:t>竞标报价合计金额大写：人民币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元整 （¥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p w14:paraId="2894AF71">
            <w:pPr>
              <w:snapToGrid w:val="0"/>
              <w:spacing w:before="50" w:after="50" w:line="360" w:lineRule="auto"/>
              <w:rPr>
                <w:rFonts w:ascii="宋体" w:cs="仿宋_GB2312"/>
                <w:color w:val="auto"/>
                <w:sz w:val="24"/>
                <w:highlight w:val="none"/>
                <w:u w:val="single"/>
              </w:rPr>
            </w:pPr>
            <w:r>
              <w:rPr>
                <w:rFonts w:hint="eastAsia" w:ascii="宋体" w:hAnsi="宋体" w:cs="仿宋_GB2312"/>
                <w:color w:val="auto"/>
                <w:sz w:val="24"/>
                <w:highlight w:val="none"/>
              </w:rPr>
              <w:t>竞标货物中，</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属于优先采购节能产品总值为¥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（具体明细详见附表，附表格式自拟），占本竞标报价的比例为</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属于优先采购环境标志产品总值为¥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（具体明细详见附表，附表格式自拟），占本竞标报价的比例为</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w:t>
            </w:r>
          </w:p>
        </w:tc>
      </w:tr>
    </w:tbl>
    <w:p w14:paraId="42DF539C">
      <w:pPr>
        <w:spacing w:line="340" w:lineRule="exact"/>
        <w:contextualSpacing/>
        <w:jc w:val="left"/>
        <w:rPr>
          <w:rFonts w:ascii="宋体" w:cs="仿宋_GB2312"/>
          <w:color w:val="auto"/>
          <w:sz w:val="24"/>
          <w:highlight w:val="none"/>
        </w:rPr>
      </w:pPr>
      <w:r>
        <w:rPr>
          <w:rFonts w:hint="eastAsia" w:ascii="宋体" w:hAnsi="宋体" w:cs="仿宋_GB2312"/>
          <w:color w:val="auto"/>
          <w:sz w:val="24"/>
          <w:highlight w:val="none"/>
        </w:rPr>
        <w:t>注：</w:t>
      </w:r>
      <w:r>
        <w:rPr>
          <w:rFonts w:ascii="宋体" w:hAnsi="宋体" w:cs="仿宋_GB2312"/>
          <w:color w:val="auto"/>
          <w:sz w:val="24"/>
          <w:highlight w:val="none"/>
        </w:rPr>
        <w:t xml:space="preserve"> </w:t>
      </w:r>
      <w:r>
        <w:rPr>
          <w:rFonts w:hint="eastAsia" w:ascii="宋体" w:hAnsi="宋体" w:cs="仿宋_GB2312"/>
          <w:color w:val="auto"/>
          <w:sz w:val="24"/>
          <w:highlight w:val="none"/>
        </w:rPr>
        <w:t>1</w:t>
      </w:r>
      <w:r>
        <w:rPr>
          <w:rFonts w:ascii="宋体" w:cs="仿宋_GB2312"/>
          <w:color w:val="auto"/>
          <w:sz w:val="24"/>
          <w:highlight w:val="none"/>
        </w:rPr>
        <w:t>.</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894EB07">
      <w:pPr>
        <w:spacing w:line="340" w:lineRule="exact"/>
        <w:ind w:firstLine="480" w:firstLineChars="200"/>
        <w:contextualSpacing/>
        <w:jc w:val="left"/>
        <w:rPr>
          <w:rFonts w:ascii="宋体" w:cs="仿宋_GB2312"/>
          <w:b/>
          <w:color w:val="auto"/>
          <w:sz w:val="24"/>
          <w:highlight w:val="none"/>
        </w:rPr>
      </w:pPr>
      <w:r>
        <w:rPr>
          <w:rFonts w:hint="eastAsia" w:ascii="宋体" w:hAnsi="宋体" w:cs="仿宋_GB2312"/>
          <w:bCs/>
          <w:color w:val="auto"/>
          <w:sz w:val="24"/>
          <w:highlight w:val="none"/>
        </w:rPr>
        <w:t>2</w:t>
      </w:r>
      <w:r>
        <w:rPr>
          <w:rFonts w:asci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7B1DA9BE">
      <w:pPr>
        <w:spacing w:line="340" w:lineRule="exact"/>
        <w:ind w:firstLine="480" w:firstLineChars="200"/>
        <w:contextualSpacing/>
        <w:jc w:val="left"/>
        <w:rPr>
          <w:rFonts w:ascii="宋体" w:cs="仿宋_GB2312"/>
          <w:color w:val="auto"/>
          <w:sz w:val="24"/>
          <w:highlight w:val="none"/>
        </w:rPr>
      </w:pPr>
      <w:r>
        <w:rPr>
          <w:rFonts w:hint="eastAsia" w:ascii="宋体" w:hAnsi="宋体" w:cs="仿宋_GB2312"/>
          <w:color w:val="auto"/>
          <w:sz w:val="24"/>
          <w:highlight w:val="none"/>
        </w:rPr>
        <w:t>3</w:t>
      </w:r>
      <w:r>
        <w:rPr>
          <w:rFonts w:ascii="宋体" w:cs="仿宋_GB2312"/>
          <w:color w:val="auto"/>
          <w:sz w:val="24"/>
          <w:highlight w:val="none"/>
        </w:rPr>
        <w:t>.</w:t>
      </w:r>
      <w:r>
        <w:rPr>
          <w:rFonts w:hint="eastAsia" w:ascii="宋体" w:hAnsi="宋体" w:cs="仿宋_GB2312"/>
          <w:color w:val="auto"/>
          <w:sz w:val="24"/>
          <w:highlight w:val="none"/>
        </w:rPr>
        <w:t>谈判文件中列明采购专用耗材的，应按谈判文件规定的耗材量或者按耗材的常规使用量提供报价。</w:t>
      </w:r>
    </w:p>
    <w:p w14:paraId="68E585DD">
      <w:pPr>
        <w:spacing w:line="340" w:lineRule="exact"/>
        <w:ind w:firstLine="480" w:firstLineChars="200"/>
        <w:contextualSpacing/>
        <w:jc w:val="left"/>
        <w:rPr>
          <w:rFonts w:ascii="宋体" w:hAnsi="宋体" w:cs="仿宋_GB2312"/>
          <w:b/>
          <w:color w:val="auto"/>
          <w:sz w:val="24"/>
          <w:highlight w:val="none"/>
        </w:rPr>
      </w:pPr>
      <w:r>
        <w:rPr>
          <w:rFonts w:hint="eastAsia" w:ascii="宋体" w:hAnsi="宋体" w:cs="仿宋_GB2312"/>
          <w:color w:val="auto"/>
          <w:sz w:val="24"/>
          <w:highlight w:val="none"/>
        </w:rPr>
        <w:t>4.竞标报价表中标的的“标的的名称；数量及单位；品牌；规格型号；制造商；原产地；参数性能、指标及配置；单价；竞标报价”必须如实填写完整，</w:t>
      </w:r>
      <w:r>
        <w:rPr>
          <w:rFonts w:hint="eastAsia" w:ascii="宋体" w:hAnsi="宋体" w:cs="仿宋_GB2312"/>
          <w:b/>
          <w:color w:val="auto"/>
          <w:sz w:val="24"/>
          <w:highlight w:val="none"/>
        </w:rPr>
        <w:t>填写有缺漏的，其响应文件按无效处理。</w:t>
      </w:r>
    </w:p>
    <w:p w14:paraId="5FBC9567">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53927D4">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5CF8EAF9">
      <w:pPr>
        <w:spacing w:line="360" w:lineRule="auto"/>
        <w:ind w:right="-817" w:rightChars="-389"/>
        <w:contextualSpacing/>
        <w:rPr>
          <w:rFonts w:ascii="宋体" w:hAnsi="宋体"/>
          <w:b/>
          <w:bCs/>
          <w:color w:val="auto"/>
          <w:sz w:val="32"/>
          <w:szCs w:val="32"/>
          <w:highlight w:val="none"/>
        </w:rPr>
      </w:pPr>
      <w:r>
        <w:rPr>
          <w:rFonts w:hint="eastAsia" w:ascii="宋体" w:hAnsi="宋体" w:cs="仿宋_GB2312"/>
          <w:color w:val="auto"/>
          <w:sz w:val="24"/>
          <w:highlight w:val="none"/>
        </w:rPr>
        <w:t xml:space="preserve">                                         日期：年  月  日</w:t>
      </w:r>
      <w:r>
        <w:rPr>
          <w:rFonts w:ascii="宋体" w:hAnsi="宋体"/>
          <w:b/>
          <w:bCs/>
          <w:color w:val="auto"/>
          <w:sz w:val="32"/>
          <w:szCs w:val="32"/>
          <w:highlight w:val="none"/>
        </w:rPr>
        <w:br w:type="page"/>
      </w:r>
    </w:p>
    <w:p w14:paraId="24A097BF">
      <w:pPr>
        <w:spacing w:line="360" w:lineRule="auto"/>
        <w:ind w:right="420"/>
        <w:contextualSpacing/>
        <w:jc w:val="left"/>
        <w:rPr>
          <w:rFonts w:asci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417AC7D3">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商务技术文件封面格式</w:t>
      </w:r>
    </w:p>
    <w:p w14:paraId="0A2C1A67">
      <w:pPr>
        <w:snapToGrid w:val="0"/>
        <w:spacing w:before="120" w:beforeLines="50" w:after="50"/>
        <w:rPr>
          <w:rFonts w:ascii="宋体"/>
          <w:bCs/>
          <w:color w:val="auto"/>
          <w:sz w:val="32"/>
          <w:szCs w:val="20"/>
          <w:highlight w:val="none"/>
        </w:rPr>
      </w:pPr>
    </w:p>
    <w:p w14:paraId="08267AB5">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61840466">
      <w:pPr>
        <w:snapToGrid w:val="0"/>
        <w:spacing w:before="120" w:beforeLines="50" w:after="50"/>
        <w:rPr>
          <w:rFonts w:ascii="宋体"/>
          <w:color w:val="auto"/>
          <w:sz w:val="24"/>
          <w:szCs w:val="20"/>
          <w:highlight w:val="none"/>
        </w:rPr>
      </w:pPr>
    </w:p>
    <w:p w14:paraId="1B32599A">
      <w:pPr>
        <w:snapToGrid w:val="0"/>
        <w:spacing w:before="120" w:beforeLines="50" w:after="50"/>
        <w:rPr>
          <w:rFonts w:ascii="宋体"/>
          <w:color w:val="auto"/>
          <w:sz w:val="24"/>
          <w:szCs w:val="20"/>
          <w:highlight w:val="none"/>
        </w:rPr>
      </w:pPr>
    </w:p>
    <w:p w14:paraId="6048C90D">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3C9D3943">
      <w:pPr>
        <w:snapToGrid w:val="0"/>
        <w:spacing w:before="120" w:beforeLines="50" w:after="50"/>
        <w:rPr>
          <w:rFonts w:ascii="宋体"/>
          <w:bCs/>
          <w:color w:val="auto"/>
          <w:sz w:val="24"/>
          <w:szCs w:val="20"/>
          <w:highlight w:val="none"/>
        </w:rPr>
      </w:pPr>
    </w:p>
    <w:p w14:paraId="06BECC91">
      <w:pPr>
        <w:snapToGrid w:val="0"/>
        <w:spacing w:before="120" w:beforeLines="50" w:after="50"/>
        <w:rPr>
          <w:rFonts w:ascii="宋体"/>
          <w:bCs/>
          <w:color w:val="auto"/>
          <w:sz w:val="24"/>
          <w:szCs w:val="20"/>
          <w:highlight w:val="none"/>
        </w:rPr>
      </w:pPr>
    </w:p>
    <w:p w14:paraId="614D5639">
      <w:pPr>
        <w:snapToGrid w:val="0"/>
        <w:spacing w:before="120" w:beforeLines="50" w:after="50"/>
        <w:rPr>
          <w:rFonts w:ascii="宋体"/>
          <w:bCs/>
          <w:color w:val="auto"/>
          <w:sz w:val="24"/>
          <w:szCs w:val="20"/>
          <w:highlight w:val="none"/>
        </w:rPr>
      </w:pPr>
    </w:p>
    <w:p w14:paraId="145E09AE">
      <w:pPr>
        <w:snapToGrid w:val="0"/>
        <w:spacing w:before="120" w:beforeLines="50" w:after="50"/>
        <w:rPr>
          <w:rFonts w:ascii="宋体"/>
          <w:bCs/>
          <w:color w:val="auto"/>
          <w:sz w:val="24"/>
          <w:szCs w:val="20"/>
          <w:highlight w:val="none"/>
        </w:rPr>
      </w:pPr>
    </w:p>
    <w:p w14:paraId="18FECC5D">
      <w:pPr>
        <w:snapToGrid w:val="0"/>
        <w:spacing w:before="120" w:beforeLines="50" w:after="50"/>
        <w:rPr>
          <w:rFonts w:ascii="宋体"/>
          <w:bCs/>
          <w:color w:val="auto"/>
          <w:sz w:val="24"/>
          <w:szCs w:val="20"/>
          <w:highlight w:val="none"/>
        </w:rPr>
      </w:pPr>
    </w:p>
    <w:p w14:paraId="76F29C18">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1644D914">
      <w:pPr>
        <w:snapToGrid w:val="0"/>
        <w:spacing w:before="120" w:beforeLines="50" w:after="50"/>
        <w:ind w:firstLine="720" w:firstLineChars="225"/>
        <w:rPr>
          <w:rFonts w:ascii="宋体" w:cs="仿宋_GB2312"/>
          <w:bCs/>
          <w:color w:val="auto"/>
          <w:sz w:val="32"/>
          <w:szCs w:val="32"/>
          <w:highlight w:val="none"/>
        </w:rPr>
      </w:pPr>
    </w:p>
    <w:p w14:paraId="5D4103D7">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2DEB3147">
      <w:pPr>
        <w:snapToGrid w:val="0"/>
        <w:spacing w:before="120" w:beforeLines="50" w:after="50"/>
        <w:ind w:firstLine="720" w:firstLineChars="225"/>
        <w:rPr>
          <w:rFonts w:ascii="宋体" w:cs="仿宋_GB2312"/>
          <w:bCs/>
          <w:color w:val="auto"/>
          <w:sz w:val="32"/>
          <w:szCs w:val="32"/>
          <w:highlight w:val="none"/>
        </w:rPr>
      </w:pPr>
    </w:p>
    <w:p w14:paraId="70A3A34A">
      <w:pPr>
        <w:snapToGrid w:val="0"/>
        <w:spacing w:before="120" w:beforeLines="50" w:after="50"/>
        <w:ind w:firstLine="720" w:firstLineChars="225"/>
        <w:rPr>
          <w:rFonts w:ascii="宋体" w:cs="仿宋_GB2312"/>
          <w:bCs/>
          <w:color w:val="auto"/>
          <w:sz w:val="32"/>
          <w:szCs w:val="32"/>
          <w:highlight w:val="none"/>
        </w:rPr>
      </w:pPr>
    </w:p>
    <w:p w14:paraId="5E830AEF">
      <w:pPr>
        <w:pStyle w:val="6"/>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4E678E0">
      <w:pPr>
        <w:pStyle w:val="6"/>
        <w:snapToGrid w:val="0"/>
        <w:spacing w:before="50" w:after="50"/>
        <w:ind w:firstLine="640" w:firstLineChars="200"/>
        <w:rPr>
          <w:rFonts w:ascii="宋体" w:cs="仿宋_GB2312"/>
          <w:bCs/>
          <w:color w:val="auto"/>
          <w:sz w:val="32"/>
          <w:szCs w:val="32"/>
          <w:highlight w:val="none"/>
        </w:rPr>
      </w:pPr>
    </w:p>
    <w:p w14:paraId="3ED5077B">
      <w:pPr>
        <w:pStyle w:val="6"/>
        <w:snapToGrid w:val="0"/>
        <w:spacing w:before="50" w:after="50"/>
        <w:ind w:firstLine="720" w:firstLineChars="225"/>
        <w:rPr>
          <w:rFonts w:ascii="宋体" w:cs="仿宋_GB2312"/>
          <w:bCs/>
          <w:color w:val="auto"/>
          <w:sz w:val="32"/>
          <w:szCs w:val="32"/>
          <w:highlight w:val="none"/>
        </w:rPr>
      </w:pPr>
    </w:p>
    <w:p w14:paraId="10BDD25C">
      <w:pPr>
        <w:pStyle w:val="6"/>
        <w:snapToGrid w:val="0"/>
        <w:spacing w:before="50" w:after="50"/>
        <w:ind w:firstLine="0"/>
        <w:rPr>
          <w:rFonts w:ascii="宋体" w:cs="仿宋_GB2312"/>
          <w:bCs/>
          <w:color w:val="auto"/>
          <w:sz w:val="32"/>
          <w:szCs w:val="32"/>
          <w:highlight w:val="none"/>
        </w:rPr>
      </w:pPr>
    </w:p>
    <w:p w14:paraId="16FCA4EB">
      <w:pPr>
        <w:pStyle w:val="6"/>
        <w:snapToGrid w:val="0"/>
        <w:spacing w:before="50" w:after="50"/>
        <w:ind w:firstLine="1280" w:firstLineChars="400"/>
        <w:rPr>
          <w:rFonts w:ascii="宋体" w:cs="仿宋_GB2312"/>
          <w:bCs/>
          <w:color w:val="auto"/>
          <w:sz w:val="32"/>
          <w:szCs w:val="32"/>
          <w:highlight w:val="none"/>
        </w:rPr>
      </w:pPr>
    </w:p>
    <w:p w14:paraId="1E04027B">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124245BA">
      <w:pPr>
        <w:snapToGrid w:val="0"/>
        <w:spacing w:before="120" w:beforeLines="50" w:after="50" w:line="360" w:lineRule="auto"/>
        <w:ind w:left="142"/>
        <w:jc w:val="left"/>
        <w:rPr>
          <w:rFonts w:ascii="宋体"/>
          <w:b/>
          <w:bCs/>
          <w:color w:val="auto"/>
          <w:sz w:val="24"/>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商务技术文件目录</w:t>
      </w:r>
    </w:p>
    <w:p w14:paraId="6D1491CF">
      <w:pPr>
        <w:snapToGrid w:val="0"/>
        <w:spacing w:before="120" w:beforeLines="50" w:after="50" w:line="360" w:lineRule="auto"/>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203BD629">
      <w:pPr>
        <w:spacing w:line="400" w:lineRule="exact"/>
        <w:rPr>
          <w:rFonts w:ascii="仿宋_GB2312" w:hAnsi="仿宋_GB2312" w:eastAsia="仿宋_GB2312" w:cs="仿宋_GB2312"/>
          <w:color w:val="auto"/>
          <w:sz w:val="32"/>
          <w:szCs w:val="32"/>
          <w:highlight w:val="none"/>
        </w:rPr>
      </w:pPr>
    </w:p>
    <w:p w14:paraId="2D0B25B6">
      <w:pPr>
        <w:spacing w:line="520" w:lineRule="exact"/>
        <w:jc w:val="center"/>
        <w:rPr>
          <w:rFonts w:ascii="仿宋_GB2312" w:hAnsi="仿宋_GB2312" w:eastAsia="仿宋_GB2312" w:cs="仿宋_GB2312"/>
          <w:color w:val="auto"/>
          <w:sz w:val="32"/>
          <w:szCs w:val="32"/>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78C4A3A">
      <w:pPr>
        <w:spacing w:line="360" w:lineRule="auto"/>
        <w:ind w:firstLine="640" w:firstLineChars="200"/>
        <w:contextualSpacing/>
        <w:rPr>
          <w:rFonts w:ascii="仿宋_GB2312" w:hAnsi="仿宋_GB2312" w:eastAsia="仿宋_GB2312" w:cs="仿宋_GB2312"/>
          <w:color w:val="auto"/>
          <w:sz w:val="32"/>
          <w:szCs w:val="32"/>
          <w:highlight w:val="none"/>
        </w:rPr>
      </w:pPr>
    </w:p>
    <w:p w14:paraId="7B60A7EB">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80D1D71">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不同供应商的响应文件由同一单位或者个人编制；</w:t>
      </w:r>
    </w:p>
    <w:p w14:paraId="28936F42">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不同供应商委托同一单位或者个人办理竞标事宜；</w:t>
      </w:r>
    </w:p>
    <w:p w14:paraId="7CCAB4A8">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不同的供应商的响应文件载明的项目管理员为同一个人；</w:t>
      </w:r>
    </w:p>
    <w:p w14:paraId="6A58E9A3">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不</w:t>
      </w:r>
      <w:r>
        <w:rPr>
          <w:rFonts w:hint="eastAsia" w:ascii="宋体" w:hAnsi="宋体" w:cs="仿宋_GB2312"/>
          <w:color w:val="auto"/>
          <w:spacing w:val="-6"/>
          <w:sz w:val="24"/>
          <w:highlight w:val="none"/>
        </w:rPr>
        <w:t>同供应商的响应文件异常一致或者竞标报价呈规律性差异；</w:t>
      </w:r>
    </w:p>
    <w:p w14:paraId="47AF2968">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不同供应商的响应文件相互混装；</w:t>
      </w:r>
    </w:p>
    <w:p w14:paraId="79C10F45">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不同供应商的竞标保证金从同一单位或者个人账户转出。</w:t>
      </w:r>
    </w:p>
    <w:p w14:paraId="18B7ED64">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249E06F">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供应商直接或者间接从采购人或者采购代理机构处获得其他供应商的相关信息并修改其响应文件；</w:t>
      </w:r>
    </w:p>
    <w:p w14:paraId="04CC655A">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供应商按照采购人或者采购代理机构的授意撤换、修改响应文件；</w:t>
      </w:r>
    </w:p>
    <w:p w14:paraId="16C49561">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供</w:t>
      </w:r>
      <w:r>
        <w:rPr>
          <w:rFonts w:hint="eastAsia" w:ascii="宋体" w:hAnsi="宋体" w:cs="仿宋_GB2312"/>
          <w:color w:val="auto"/>
          <w:spacing w:val="-6"/>
          <w:sz w:val="24"/>
          <w:highlight w:val="none"/>
        </w:rPr>
        <w:t>应商之间协商报价、技术方案等响应文件的实质性内容；</w:t>
      </w:r>
    </w:p>
    <w:p w14:paraId="709567D7">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属于同一集团、协会、商会等组织成员的供应商按照该组织要求协同参加政府采购活动；</w:t>
      </w:r>
    </w:p>
    <w:p w14:paraId="4F0CBF38">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供应商之间事先约定一致抬高或者压低竞标报价，或者在竞争性谈判项目中事先约定轮流以高价位或者低价位成交，或者事先约定由某一特定供应商成交，然后再参加竞标；</w:t>
      </w:r>
    </w:p>
    <w:p w14:paraId="1C9E6817">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供应商之间商定部分供应商放弃参加政府采购活动或者放弃成交；</w:t>
      </w:r>
    </w:p>
    <w:p w14:paraId="0921365E">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F54A53E">
      <w:pPr>
        <w:spacing w:line="360" w:lineRule="auto"/>
        <w:ind w:firstLine="480" w:firstLineChars="200"/>
        <w:contextualSpacing/>
        <w:rPr>
          <w:rFonts w:ascii="宋体" w:cs="仿宋_GB2312"/>
          <w:color w:val="auto"/>
          <w:sz w:val="24"/>
          <w:highlight w:val="none"/>
        </w:rPr>
      </w:pPr>
    </w:p>
    <w:p w14:paraId="0E05004E">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98CFE86">
      <w:pPr>
        <w:spacing w:line="360" w:lineRule="auto"/>
        <w:ind w:firstLine="480" w:firstLineChars="200"/>
        <w:contextualSpacing/>
        <w:rPr>
          <w:rFonts w:ascii="宋体" w:cs="仿宋_GB2312"/>
          <w:color w:val="auto"/>
          <w:sz w:val="24"/>
          <w:highlight w:val="none"/>
        </w:rPr>
      </w:pPr>
    </w:p>
    <w:p w14:paraId="59A34D0F">
      <w:pPr>
        <w:spacing w:line="360" w:lineRule="auto"/>
        <w:contextualSpacing/>
        <w:rPr>
          <w:rFonts w:ascii="宋体" w:cs="仿宋_GB2312"/>
          <w:color w:val="auto"/>
          <w:sz w:val="24"/>
          <w:highlight w:val="none"/>
        </w:rPr>
      </w:pPr>
    </w:p>
    <w:p w14:paraId="519E0F30">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0163524D">
      <w:pPr>
        <w:spacing w:line="360" w:lineRule="auto"/>
        <w:ind w:firstLine="480" w:firstLineChars="200"/>
        <w:contextualSpacing/>
        <w:jc w:val="center"/>
        <w:rPr>
          <w:rFonts w:ascii="宋体" w:cs="仿宋_GB2312"/>
          <w:color w:val="auto"/>
          <w:sz w:val="24"/>
          <w:highlight w:val="none"/>
        </w:rPr>
      </w:pPr>
      <w:r>
        <w:rPr>
          <w:rFonts w:hint="eastAsia" w:ascii="宋体" w:hAnsi="宋体" w:cs="仿宋_GB2312"/>
          <w:color w:val="auto"/>
          <w:sz w:val="24"/>
          <w:highlight w:val="none"/>
        </w:rPr>
        <w:t>年  月  日</w:t>
      </w:r>
    </w:p>
    <w:p w14:paraId="7D460A1E">
      <w:pPr>
        <w:spacing w:line="360" w:lineRule="auto"/>
        <w:ind w:firstLine="640" w:firstLineChars="200"/>
        <w:contextualSpacing/>
        <w:jc w:val="center"/>
        <w:rPr>
          <w:rFonts w:ascii="宋体" w:cs="仿宋_GB2312"/>
          <w:color w:val="auto"/>
          <w:sz w:val="32"/>
          <w:szCs w:val="32"/>
          <w:highlight w:val="none"/>
        </w:rPr>
      </w:pPr>
    </w:p>
    <w:p w14:paraId="7AE1FA70">
      <w:pPr>
        <w:spacing w:before="240" w:beforeLines="100" w:after="12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4654E57">
      <w:pPr>
        <w:spacing w:line="360" w:lineRule="auto"/>
        <w:ind w:left="540"/>
        <w:contextualSpacing/>
        <w:rPr>
          <w:rFonts w:ascii="仿宋_GB2312" w:hAnsi="仿宋_GB2312" w:eastAsia="仿宋_GB2312" w:cs="仿宋_GB2312"/>
          <w:color w:val="auto"/>
          <w:sz w:val="32"/>
          <w:szCs w:val="32"/>
          <w:highlight w:val="none"/>
        </w:rPr>
      </w:pPr>
    </w:p>
    <w:p w14:paraId="5D576F4F">
      <w:pPr>
        <w:spacing w:line="360" w:lineRule="auto"/>
        <w:ind w:left="540"/>
        <w:contextualSpacing/>
        <w:rPr>
          <w:rFonts w:ascii="宋体" w:cs="仿宋_GB2312"/>
          <w:color w:val="auto"/>
          <w:sz w:val="24"/>
          <w:highlight w:val="none"/>
          <w:u w:val="singl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2BDBD312">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地址：</w:t>
      </w:r>
      <w:r>
        <w:rPr>
          <w:rFonts w:hint="eastAsia" w:ascii="宋体" w:hAnsi="宋体" w:cs="仿宋_GB2312"/>
          <w:color w:val="auto"/>
          <w:sz w:val="24"/>
          <w:highlight w:val="none"/>
          <w:u w:val="single"/>
        </w:rPr>
        <w:t xml:space="preserve">               </w:t>
      </w:r>
    </w:p>
    <w:p w14:paraId="0A1530ED">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性别：</w:t>
      </w:r>
      <w:r>
        <w:rPr>
          <w:rFonts w:hint="eastAsia" w:ascii="宋体" w:hAnsi="宋体" w:cs="仿宋_GB2312"/>
          <w:color w:val="auto"/>
          <w:sz w:val="24"/>
          <w:highlight w:val="none"/>
          <w:u w:val="single"/>
        </w:rPr>
        <w:t xml:space="preserve">               </w:t>
      </w:r>
    </w:p>
    <w:p w14:paraId="4E253C69">
      <w:pPr>
        <w:spacing w:line="360" w:lineRule="auto"/>
        <w:ind w:left="540"/>
        <w:contextualSpacing/>
        <w:rPr>
          <w:rFonts w:ascii="宋体" w:cs="仿宋_GB2312"/>
          <w:color w:val="auto"/>
          <w:sz w:val="24"/>
          <w:highlight w:val="none"/>
          <w:u w:val="single"/>
        </w:rPr>
      </w:pPr>
      <w:r>
        <w:rPr>
          <w:rFonts w:hint="eastAsia" w:ascii="宋体" w:hAnsi="宋体" w:cs="仿宋_GB2312"/>
          <w:color w:val="auto"/>
          <w:sz w:val="24"/>
          <w:highlight w:val="none"/>
        </w:rPr>
        <w:t xml:space="preserve">年龄：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职务：</w:t>
      </w:r>
      <w:r>
        <w:rPr>
          <w:rFonts w:hint="eastAsia" w:ascii="宋体" w:hAnsi="宋体" w:cs="仿宋_GB2312"/>
          <w:color w:val="auto"/>
          <w:sz w:val="24"/>
          <w:highlight w:val="none"/>
          <w:u w:val="single"/>
        </w:rPr>
        <w:t xml:space="preserve">               </w:t>
      </w:r>
    </w:p>
    <w:p w14:paraId="59E822E5">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C434ECF">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67A2EECF">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特此证明。</w:t>
      </w:r>
    </w:p>
    <w:p w14:paraId="68E48BBE">
      <w:pPr>
        <w:spacing w:line="360" w:lineRule="auto"/>
        <w:ind w:left="540"/>
        <w:contextualSpacing/>
        <w:rPr>
          <w:rFonts w:ascii="宋体" w:cs="仿宋_GB2312"/>
          <w:color w:val="auto"/>
          <w:sz w:val="24"/>
          <w:highlight w:val="none"/>
        </w:rPr>
      </w:pPr>
    </w:p>
    <w:p w14:paraId="0C934F6B">
      <w:pPr>
        <w:spacing w:line="360" w:lineRule="auto"/>
        <w:ind w:left="540"/>
        <w:contextualSpacing/>
        <w:rPr>
          <w:rFonts w:ascii="宋体" w:cs="仿宋_GB2312"/>
          <w:color w:val="auto"/>
          <w:sz w:val="24"/>
          <w:highlight w:val="none"/>
        </w:rPr>
      </w:pPr>
    </w:p>
    <w:p w14:paraId="3FCB7112">
      <w:pPr>
        <w:spacing w:line="360" w:lineRule="auto"/>
        <w:ind w:left="540"/>
        <w:contextualSpacing/>
        <w:rPr>
          <w:rFonts w:ascii="宋体" w:cs="仿宋_GB2312"/>
          <w:color w:val="auto"/>
          <w:sz w:val="24"/>
          <w:highlight w:val="none"/>
        </w:rPr>
      </w:pPr>
    </w:p>
    <w:p w14:paraId="093A2AF2">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525CF26">
      <w:pPr>
        <w:spacing w:line="360" w:lineRule="auto"/>
        <w:ind w:left="540"/>
        <w:contextualSpacing/>
        <w:jc w:val="right"/>
        <w:rPr>
          <w:rFonts w:ascii="宋体" w:cs="仿宋_GB2312"/>
          <w:color w:val="auto"/>
          <w:sz w:val="24"/>
          <w:highlight w:val="none"/>
        </w:rPr>
      </w:pPr>
    </w:p>
    <w:p w14:paraId="61A81662">
      <w:pPr>
        <w:spacing w:line="360" w:lineRule="auto"/>
        <w:ind w:left="540"/>
        <w:contextualSpacing/>
        <w:jc w:val="right"/>
        <w:rPr>
          <w:rFonts w:ascii="宋体" w:cs="仿宋_GB2312"/>
          <w:color w:val="auto"/>
          <w:sz w:val="24"/>
          <w:highlight w:val="none"/>
        </w:rPr>
      </w:pPr>
      <w:r>
        <w:rPr>
          <w:rFonts w:hint="eastAsia" w:ascii="宋体" w:hAnsi="宋体" w:cs="仿宋_GB2312"/>
          <w:color w:val="auto"/>
          <w:sz w:val="24"/>
          <w:highlight w:val="none"/>
        </w:rPr>
        <w:t>供应商（电子签章）：</w:t>
      </w:r>
    </w:p>
    <w:p w14:paraId="6623927A">
      <w:pPr>
        <w:spacing w:line="360" w:lineRule="auto"/>
        <w:ind w:firstLine="4080" w:firstLineChars="1700"/>
        <w:contextualSpacing/>
        <w:jc w:val="right"/>
        <w:rPr>
          <w:rFonts w:ascii="宋体" w:cs="仿宋_GB2312"/>
          <w:color w:val="auto"/>
          <w:sz w:val="24"/>
          <w:highlight w:val="none"/>
        </w:rPr>
      </w:pPr>
      <w:r>
        <w:rPr>
          <w:rFonts w:hint="eastAsia" w:ascii="宋体" w:hAnsi="宋体" w:cs="仿宋_GB2312"/>
          <w:color w:val="auto"/>
          <w:sz w:val="24"/>
          <w:highlight w:val="none"/>
        </w:rPr>
        <w:t>年  月  日</w:t>
      </w:r>
    </w:p>
    <w:p w14:paraId="5F5D0D6D">
      <w:pPr>
        <w:spacing w:line="360" w:lineRule="auto"/>
        <w:contextualSpacing/>
        <w:jc w:val="center"/>
        <w:rPr>
          <w:rFonts w:ascii="宋体" w:cs="仿宋_GB2312"/>
          <w:b/>
          <w:color w:val="auto"/>
          <w:sz w:val="24"/>
          <w:highlight w:val="none"/>
        </w:rPr>
      </w:pPr>
    </w:p>
    <w:p w14:paraId="032E13E6">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1A74B61A">
      <w:pPr>
        <w:adjustRightInd w:val="0"/>
        <w:snapToGrid w:val="0"/>
        <w:spacing w:line="300" w:lineRule="auto"/>
        <w:jc w:val="left"/>
        <w:rPr>
          <w:rFonts w:ascii="宋体"/>
          <w:b/>
          <w:color w:val="auto"/>
          <w:szCs w:val="21"/>
          <w:highlight w:val="none"/>
        </w:rPr>
      </w:pPr>
    </w:p>
    <w:p w14:paraId="6730E84D">
      <w:pPr>
        <w:spacing w:line="520" w:lineRule="exact"/>
        <w:jc w:val="center"/>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DD6EF80">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7B3A93E0">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0F723E26">
      <w:pPr>
        <w:spacing w:line="360" w:lineRule="auto"/>
        <w:contextualSpacing/>
        <w:rPr>
          <w:rFonts w:ascii="仿宋_GB2312" w:hAnsi="仿宋_GB2312" w:eastAsia="仿宋_GB2312" w:cs="仿宋_GB2312"/>
          <w:color w:val="auto"/>
          <w:sz w:val="32"/>
          <w:szCs w:val="32"/>
          <w:highlight w:val="none"/>
        </w:rPr>
      </w:pPr>
    </w:p>
    <w:p w14:paraId="5F12E299">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72BE49C4">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Wingdings 2" w:cs="仿宋_GB2312"/>
          <w:color w:val="auto"/>
          <w:sz w:val="24"/>
          <w:highlight w:val="none"/>
          <w:u w:val="single"/>
        </w:rPr>
        <w:sym w:font="Wingdings 2" w:char="F0A3"/>
      </w:r>
      <w:r>
        <w:rPr>
          <w:rFonts w:hint="eastAsia" w:ascii="宋体" w:hAnsi="宋体" w:cs="仿宋_GB2312"/>
          <w:color w:val="auto"/>
          <w:sz w:val="24"/>
          <w:highlight w:val="none"/>
          <w:u w:val="single"/>
        </w:rPr>
        <w:t>法定代表人</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□负责人</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3C983120">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1F20AB9B">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0E20DDE">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495B3891">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D3B3659">
      <w:pPr>
        <w:spacing w:line="360" w:lineRule="auto"/>
        <w:contextualSpacing/>
        <w:rPr>
          <w:rFonts w:ascii="宋体" w:cs="仿宋_GB2312"/>
          <w:color w:val="auto"/>
          <w:sz w:val="24"/>
          <w:highlight w:val="none"/>
        </w:rPr>
      </w:pPr>
    </w:p>
    <w:p w14:paraId="7E751A0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w:t>
      </w:r>
    </w:p>
    <w:p w14:paraId="01DB6927">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法定代表人（签字或者盖章或者电子签名）：</w:t>
      </w:r>
    </w:p>
    <w:p w14:paraId="2034F9F7">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委托代理人身份证号码：</w:t>
      </w:r>
    </w:p>
    <w:p w14:paraId="6E29C97F">
      <w:pPr>
        <w:spacing w:line="360" w:lineRule="auto"/>
        <w:contextualSpacing/>
        <w:rPr>
          <w:rFonts w:ascii="宋体" w:cs="仿宋_GB2312"/>
          <w:color w:val="auto"/>
          <w:sz w:val="24"/>
          <w:highlight w:val="none"/>
        </w:rPr>
      </w:pPr>
    </w:p>
    <w:p w14:paraId="3AFE0106">
      <w:pPr>
        <w:spacing w:line="360" w:lineRule="auto"/>
        <w:contextualSpacing/>
        <w:jc w:val="right"/>
        <w:rPr>
          <w:rFonts w:ascii="宋体" w:cs="仿宋_GB2312"/>
          <w:color w:val="auto"/>
          <w:sz w:val="24"/>
          <w:highlight w:val="none"/>
        </w:rPr>
      </w:pPr>
      <w:r>
        <w:rPr>
          <w:rFonts w:hint="eastAsia" w:ascii="宋体" w:hAnsi="宋体" w:cs="仿宋_GB2312"/>
          <w:color w:val="auto"/>
          <w:sz w:val="24"/>
          <w:highlight w:val="none"/>
        </w:rPr>
        <w:t>供应商（电子签章）：</w:t>
      </w:r>
    </w:p>
    <w:p w14:paraId="63AEDFDA">
      <w:pPr>
        <w:spacing w:line="360" w:lineRule="auto"/>
        <w:contextualSpacing/>
        <w:jc w:val="right"/>
        <w:rPr>
          <w:rFonts w:ascii="宋体" w:cs="仿宋_GB2312"/>
          <w:color w:val="auto"/>
          <w:sz w:val="24"/>
          <w:highlight w:val="none"/>
        </w:rPr>
      </w:pPr>
      <w:r>
        <w:rPr>
          <w:rFonts w:hint="eastAsia" w:ascii="宋体" w:hAnsi="宋体" w:cs="仿宋_GB2312"/>
          <w:color w:val="auto"/>
          <w:sz w:val="24"/>
          <w:highlight w:val="none"/>
        </w:rPr>
        <w:t xml:space="preserve">    年  月  日</w:t>
      </w:r>
    </w:p>
    <w:p w14:paraId="6B9EFE7B">
      <w:pPr>
        <w:spacing w:line="360" w:lineRule="auto"/>
        <w:contextualSpacing/>
        <w:jc w:val="right"/>
        <w:rPr>
          <w:rFonts w:ascii="宋体" w:cs="仿宋_GB2312"/>
          <w:color w:val="auto"/>
          <w:sz w:val="24"/>
          <w:highlight w:val="none"/>
        </w:rPr>
      </w:pPr>
    </w:p>
    <w:p w14:paraId="08736F4F">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注：</w:t>
      </w:r>
      <w:r>
        <w:rPr>
          <w:rFonts w:ascii="宋体" w:hAnsi="宋体" w:cs="仿宋_GB2312"/>
          <w:color w:val="auto"/>
          <w:sz w:val="24"/>
          <w:highlight w:val="none"/>
        </w:rPr>
        <w:t>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46EB5E0">
      <w:pPr>
        <w:spacing w:line="360" w:lineRule="auto"/>
        <w:ind w:firstLine="480" w:firstLineChars="200"/>
        <w:contextualSpacing/>
        <w:jc w:val="left"/>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1071FC5F">
      <w:pPr>
        <w:spacing w:line="360" w:lineRule="auto"/>
        <w:ind w:firstLine="420" w:firstLineChars="200"/>
        <w:contextualSpacing/>
        <w:jc w:val="left"/>
        <w:rPr>
          <w:rFonts w:ascii="仿宋_GB2312" w:hAnsi="仿宋_GB2312" w:eastAsia="仿宋_GB2312" w:cs="仿宋_GB2312"/>
          <w:color w:val="auto"/>
          <w:szCs w:val="21"/>
          <w:highlight w:val="none"/>
        </w:rPr>
      </w:pPr>
    </w:p>
    <w:p w14:paraId="0008F636">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2D0F4BE9">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（联合体竞标格式）</w:t>
      </w:r>
    </w:p>
    <w:p w14:paraId="422CB4D4">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1C914040">
      <w:pPr>
        <w:spacing w:line="360" w:lineRule="auto"/>
        <w:contextualSpacing/>
        <w:rPr>
          <w:rFonts w:ascii="仿宋_GB2312" w:hAnsi="仿宋_GB2312" w:eastAsia="仿宋_GB2312" w:cs="仿宋_GB2312"/>
          <w:color w:val="auto"/>
          <w:sz w:val="32"/>
          <w:szCs w:val="32"/>
          <w:highlight w:val="none"/>
        </w:rPr>
      </w:pPr>
    </w:p>
    <w:p w14:paraId="282F8756">
      <w:pPr>
        <w:spacing w:line="360" w:lineRule="auto"/>
        <w:ind w:firstLine="480" w:firstLineChars="200"/>
        <w:contextualSpacing/>
        <w:jc w:val="left"/>
        <w:rPr>
          <w:rFonts w:asci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（姓名）现</w:t>
      </w:r>
      <w:r>
        <w:rPr>
          <w:rFonts w:hint="eastAsia" w:ascii="宋体" w:hAnsi="宋体"/>
          <w:color w:val="auto"/>
          <w:sz w:val="24"/>
          <w:highlight w:val="none"/>
          <w:u w:val="single"/>
        </w:rPr>
        <w:t xml:space="preserve">                  </w:t>
      </w:r>
      <w:r>
        <w:rPr>
          <w:rFonts w:hint="eastAsia" w:ascii="宋体" w:hAnsi="宋体" w:cs="仿宋_GB2312"/>
          <w:color w:val="auto"/>
          <w:sz w:val="24"/>
          <w:highlight w:val="none"/>
        </w:rPr>
        <w:t>授权（姓名）为联合委托代理人，并代表我方全权办理针对上述项目的所有采购程序和环节的具体事务和签署相关文件。</w:t>
      </w:r>
    </w:p>
    <w:p w14:paraId="5869425D">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3D90DA3E">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9E302CB">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0EA6B672">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671552A">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60C8A4E2">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牵头人（电子签章）：</w:t>
      </w:r>
    </w:p>
    <w:p w14:paraId="4ED3A772">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60E51FC8">
      <w:pPr>
        <w:spacing w:line="360" w:lineRule="auto"/>
        <w:contextualSpacing/>
        <w:rPr>
          <w:rFonts w:ascii="宋体" w:cs="仿宋_GB2312"/>
          <w:color w:val="auto"/>
          <w:sz w:val="24"/>
          <w:highlight w:val="none"/>
        </w:rPr>
      </w:pPr>
    </w:p>
    <w:p w14:paraId="3AB6C5E4">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被授权人（签字或者电子签名）：</w:t>
      </w:r>
    </w:p>
    <w:p w14:paraId="5F8D2141">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7A8F8C10">
      <w:pPr>
        <w:spacing w:line="360" w:lineRule="auto"/>
        <w:contextualSpacing/>
        <w:rPr>
          <w:rFonts w:ascii="宋体" w:cs="仿宋_GB2312"/>
          <w:color w:val="auto"/>
          <w:sz w:val="24"/>
          <w:highlight w:val="none"/>
        </w:rPr>
      </w:pPr>
    </w:p>
    <w:p w14:paraId="07F739D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w:t>
      </w:r>
    </w:p>
    <w:p w14:paraId="4580879D">
      <w:pPr>
        <w:spacing w:line="360" w:lineRule="auto"/>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1608B4B">
      <w:pPr>
        <w:spacing w:line="500" w:lineRule="exact"/>
        <w:jc w:val="left"/>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48C4C1C1">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商务要求响应承诺表</w:t>
      </w:r>
    </w:p>
    <w:p w14:paraId="239A9F71">
      <w:pPr>
        <w:spacing w:line="500" w:lineRule="exact"/>
        <w:jc w:val="center"/>
        <w:rPr>
          <w:rFonts w:ascii="宋体"/>
          <w:b/>
          <w:i/>
          <w:color w:val="auto"/>
          <w:sz w:val="32"/>
          <w:szCs w:val="32"/>
          <w:highlight w:val="none"/>
        </w:rPr>
      </w:pPr>
    </w:p>
    <w:p w14:paraId="5C645C38">
      <w:pPr>
        <w:snapToGrid w:val="0"/>
        <w:spacing w:before="50"/>
        <w:jc w:val="left"/>
        <w:rPr>
          <w:rFonts w:ascii="宋体"/>
          <w:color w:val="auto"/>
          <w:sz w:val="24"/>
          <w:highlight w:val="none"/>
        </w:rPr>
      </w:pPr>
    </w:p>
    <w:tbl>
      <w:tblPr>
        <w:tblStyle w:val="25"/>
        <w:tblpPr w:leftFromText="180" w:rightFromText="180" w:vertAnchor="text" w:horzAnchor="margin" w:tblpY="311"/>
        <w:tblOverlap w:val="never"/>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3"/>
        <w:gridCol w:w="6542"/>
      </w:tblGrid>
      <w:tr w14:paraId="6B919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2213" w:type="dxa"/>
            <w:tcBorders>
              <w:top w:val="single" w:color="auto" w:sz="4" w:space="0"/>
              <w:bottom w:val="single" w:color="auto" w:sz="4" w:space="0"/>
              <w:right w:val="single" w:color="auto" w:sz="4" w:space="0"/>
            </w:tcBorders>
            <w:vAlign w:val="center"/>
          </w:tcPr>
          <w:p w14:paraId="7C5EFB26">
            <w:pPr>
              <w:snapToGrid w:val="0"/>
              <w:spacing w:before="120" w:beforeLines="50" w:line="360" w:lineRule="auto"/>
              <w:jc w:val="center"/>
              <w:rPr>
                <w:rFonts w:ascii="宋体" w:cs="仿宋_GB2312"/>
                <w:color w:val="auto"/>
                <w:sz w:val="24"/>
                <w:highlight w:val="none"/>
              </w:rPr>
            </w:pPr>
            <w:r>
              <w:rPr>
                <w:rFonts w:hint="eastAsia" w:ascii="宋体" w:hAnsi="宋体" w:cs="仿宋_GB2312"/>
                <w:color w:val="auto"/>
                <w:sz w:val="24"/>
                <w:highlight w:val="none"/>
              </w:rPr>
              <w:t>项目</w:t>
            </w:r>
          </w:p>
        </w:tc>
        <w:tc>
          <w:tcPr>
            <w:tcW w:w="6542" w:type="dxa"/>
            <w:tcBorders>
              <w:top w:val="single" w:color="auto" w:sz="4" w:space="0"/>
              <w:left w:val="single" w:color="auto" w:sz="4" w:space="0"/>
              <w:bottom w:val="single" w:color="auto" w:sz="4" w:space="0"/>
            </w:tcBorders>
            <w:vAlign w:val="center"/>
          </w:tcPr>
          <w:p w14:paraId="7D614C64">
            <w:pPr>
              <w:snapToGrid w:val="0"/>
              <w:spacing w:before="120" w:beforeLines="50" w:line="360" w:lineRule="auto"/>
              <w:jc w:val="center"/>
              <w:rPr>
                <w:rFonts w:ascii="宋体" w:cs="仿宋_GB2312"/>
                <w:color w:val="auto"/>
                <w:sz w:val="24"/>
                <w:highlight w:val="none"/>
              </w:rPr>
            </w:pPr>
            <w:r>
              <w:rPr>
                <w:rFonts w:hint="eastAsia" w:ascii="宋体" w:hAnsi="宋体" w:cs="宋体"/>
                <w:color w:val="auto"/>
                <w:sz w:val="24"/>
                <w:highlight w:val="none"/>
              </w:rPr>
              <w:t>对应“商务要求”， 供应商的详细商务响应承诺</w:t>
            </w:r>
          </w:p>
        </w:tc>
      </w:tr>
      <w:tr w14:paraId="272A7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213" w:type="dxa"/>
            <w:tcBorders>
              <w:top w:val="single" w:color="auto" w:sz="4" w:space="0"/>
              <w:bottom w:val="single" w:color="auto" w:sz="4" w:space="0"/>
              <w:right w:val="single" w:color="auto" w:sz="4" w:space="0"/>
            </w:tcBorders>
            <w:vAlign w:val="center"/>
          </w:tcPr>
          <w:p w14:paraId="6BD01252">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1.交付时间和地点</w:t>
            </w:r>
          </w:p>
        </w:tc>
        <w:tc>
          <w:tcPr>
            <w:tcW w:w="6542" w:type="dxa"/>
            <w:tcBorders>
              <w:top w:val="single" w:color="auto" w:sz="4" w:space="0"/>
              <w:left w:val="single" w:color="auto" w:sz="4" w:space="0"/>
              <w:bottom w:val="single" w:color="auto" w:sz="4" w:space="0"/>
            </w:tcBorders>
            <w:vAlign w:val="center"/>
          </w:tcPr>
          <w:p w14:paraId="50082508">
            <w:pPr>
              <w:spacing w:line="360" w:lineRule="exact"/>
              <w:rPr>
                <w:rFonts w:ascii="宋体"/>
                <w:color w:val="auto"/>
                <w:sz w:val="24"/>
                <w:highlight w:val="none"/>
              </w:rPr>
            </w:pPr>
          </w:p>
        </w:tc>
      </w:tr>
      <w:tr w14:paraId="1CC68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2213" w:type="dxa"/>
            <w:tcBorders>
              <w:top w:val="single" w:color="auto" w:sz="4" w:space="0"/>
              <w:bottom w:val="single" w:color="auto" w:sz="4" w:space="0"/>
              <w:right w:val="single" w:color="auto" w:sz="4" w:space="0"/>
            </w:tcBorders>
            <w:vAlign w:val="center"/>
          </w:tcPr>
          <w:p w14:paraId="437A4A66">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2.合同签订时间</w:t>
            </w:r>
          </w:p>
        </w:tc>
        <w:tc>
          <w:tcPr>
            <w:tcW w:w="6542" w:type="dxa"/>
            <w:tcBorders>
              <w:top w:val="single" w:color="auto" w:sz="4" w:space="0"/>
              <w:left w:val="single" w:color="auto" w:sz="4" w:space="0"/>
              <w:bottom w:val="single" w:color="auto" w:sz="4" w:space="0"/>
            </w:tcBorders>
            <w:vAlign w:val="center"/>
          </w:tcPr>
          <w:p w14:paraId="5ADB665D">
            <w:pPr>
              <w:spacing w:line="360" w:lineRule="exact"/>
              <w:rPr>
                <w:rFonts w:ascii="宋体"/>
                <w:color w:val="auto"/>
                <w:sz w:val="24"/>
                <w:highlight w:val="none"/>
              </w:rPr>
            </w:pPr>
          </w:p>
        </w:tc>
      </w:tr>
      <w:tr w14:paraId="73A0F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1AE83222">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3.付款条件（进度和方式）</w:t>
            </w:r>
          </w:p>
        </w:tc>
        <w:tc>
          <w:tcPr>
            <w:tcW w:w="6542" w:type="dxa"/>
            <w:tcBorders>
              <w:top w:val="single" w:color="auto" w:sz="4" w:space="0"/>
              <w:left w:val="single" w:color="auto" w:sz="4" w:space="0"/>
              <w:bottom w:val="single" w:color="auto" w:sz="4" w:space="0"/>
            </w:tcBorders>
            <w:vAlign w:val="center"/>
          </w:tcPr>
          <w:p w14:paraId="3AD3D1DD">
            <w:pPr>
              <w:spacing w:line="360" w:lineRule="exact"/>
              <w:rPr>
                <w:rFonts w:ascii="宋体"/>
                <w:color w:val="auto"/>
                <w:sz w:val="24"/>
                <w:highlight w:val="none"/>
              </w:rPr>
            </w:pPr>
          </w:p>
        </w:tc>
      </w:tr>
      <w:tr w14:paraId="08F6C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5259F4D5">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4.包装和运输</w:t>
            </w:r>
          </w:p>
        </w:tc>
        <w:tc>
          <w:tcPr>
            <w:tcW w:w="6542" w:type="dxa"/>
            <w:tcBorders>
              <w:top w:val="single" w:color="auto" w:sz="4" w:space="0"/>
              <w:left w:val="single" w:color="auto" w:sz="4" w:space="0"/>
              <w:bottom w:val="single" w:color="auto" w:sz="4" w:space="0"/>
            </w:tcBorders>
            <w:vAlign w:val="center"/>
          </w:tcPr>
          <w:p w14:paraId="3C57A567">
            <w:pPr>
              <w:spacing w:line="360" w:lineRule="exact"/>
              <w:rPr>
                <w:rFonts w:ascii="宋体"/>
                <w:color w:val="auto"/>
                <w:sz w:val="24"/>
                <w:highlight w:val="none"/>
              </w:rPr>
            </w:pPr>
          </w:p>
        </w:tc>
      </w:tr>
      <w:tr w14:paraId="55CD5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213" w:type="dxa"/>
            <w:tcBorders>
              <w:top w:val="single" w:color="auto" w:sz="4" w:space="0"/>
              <w:bottom w:val="single" w:color="auto" w:sz="4" w:space="0"/>
              <w:right w:val="single" w:color="auto" w:sz="4" w:space="0"/>
            </w:tcBorders>
            <w:vAlign w:val="center"/>
          </w:tcPr>
          <w:p w14:paraId="02BD3E43">
            <w:pPr>
              <w:snapToGrid w:val="0"/>
              <w:spacing w:before="120"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5.验收标准、要求</w:t>
            </w:r>
          </w:p>
        </w:tc>
        <w:tc>
          <w:tcPr>
            <w:tcW w:w="6542" w:type="dxa"/>
            <w:tcBorders>
              <w:top w:val="single" w:color="auto" w:sz="4" w:space="0"/>
              <w:left w:val="single" w:color="auto" w:sz="4" w:space="0"/>
              <w:bottom w:val="single" w:color="auto" w:sz="4" w:space="0"/>
            </w:tcBorders>
            <w:vAlign w:val="center"/>
          </w:tcPr>
          <w:p w14:paraId="6CC898CD">
            <w:pPr>
              <w:spacing w:line="360" w:lineRule="exact"/>
              <w:rPr>
                <w:rFonts w:ascii="宋体"/>
                <w:color w:val="auto"/>
                <w:sz w:val="24"/>
                <w:highlight w:val="none"/>
              </w:rPr>
            </w:pPr>
          </w:p>
        </w:tc>
      </w:tr>
    </w:tbl>
    <w:p w14:paraId="65B1618F">
      <w:pPr>
        <w:pStyle w:val="10"/>
        <w:spacing w:after="0" w:line="360" w:lineRule="auto"/>
        <w:contextualSpacing/>
        <w:rPr>
          <w:rFonts w:ascii="宋体" w:hAnsi="宋体"/>
          <w:color w:val="auto"/>
          <w:kern w:val="0"/>
          <w:sz w:val="24"/>
          <w:szCs w:val="24"/>
          <w:highlight w:val="none"/>
        </w:rPr>
      </w:pPr>
    </w:p>
    <w:p w14:paraId="3229C9AA">
      <w:pPr>
        <w:pStyle w:val="10"/>
        <w:spacing w:after="0" w:line="360" w:lineRule="auto"/>
        <w:contextualSpacing/>
        <w:rPr>
          <w:rFonts w:ascii="宋体"/>
          <w:color w:val="auto"/>
          <w:kern w:val="0"/>
          <w:sz w:val="24"/>
          <w:szCs w:val="24"/>
          <w:highlight w:val="none"/>
        </w:rPr>
      </w:pPr>
      <w:r>
        <w:rPr>
          <w:rFonts w:hint="eastAsia" w:ascii="宋体" w:hAnsi="宋体"/>
          <w:color w:val="auto"/>
          <w:kern w:val="0"/>
          <w:sz w:val="24"/>
          <w:szCs w:val="24"/>
          <w:highlight w:val="none"/>
        </w:rPr>
        <w:t xml:space="preserve">  说明：应对照谈判文件“第三章采购需求”中的商务要求逐条明确响应承诺。</w:t>
      </w:r>
    </w:p>
    <w:p w14:paraId="6C21EFC9">
      <w:pPr>
        <w:spacing w:line="360" w:lineRule="auto"/>
        <w:ind w:right="-817" w:rightChars="-389" w:firstLine="2880" w:firstLineChars="1200"/>
        <w:contextualSpacing/>
        <w:rPr>
          <w:rFonts w:ascii="宋体" w:hAnsi="宋体" w:cs="仿宋_GB2312"/>
          <w:color w:val="auto"/>
          <w:sz w:val="24"/>
          <w:highlight w:val="none"/>
        </w:rPr>
      </w:pPr>
    </w:p>
    <w:p w14:paraId="68C25B30">
      <w:pPr>
        <w:spacing w:line="360" w:lineRule="auto"/>
        <w:ind w:right="-817" w:rightChars="-389" w:firstLine="2880" w:firstLineChars="1200"/>
        <w:contextualSpacing/>
        <w:rPr>
          <w:rFonts w:ascii="宋体" w:hAnsi="宋体" w:cs="仿宋_GB2312"/>
          <w:color w:val="auto"/>
          <w:sz w:val="24"/>
          <w:highlight w:val="none"/>
        </w:rPr>
      </w:pPr>
    </w:p>
    <w:p w14:paraId="0A863740">
      <w:pPr>
        <w:spacing w:line="360" w:lineRule="auto"/>
        <w:ind w:right="-817" w:rightChars="-389" w:firstLine="2880" w:firstLineChars="1200"/>
        <w:contextualSpacing/>
        <w:rPr>
          <w:rFonts w:ascii="宋体" w:hAnsi="宋体" w:cs="仿宋_GB2312"/>
          <w:color w:val="auto"/>
          <w:sz w:val="24"/>
          <w:highlight w:val="none"/>
        </w:rPr>
      </w:pPr>
    </w:p>
    <w:p w14:paraId="6869EBFD">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03C83BC">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供应商（电子签章）：</w:t>
      </w:r>
    </w:p>
    <w:p w14:paraId="4C9E2233">
      <w:pPr>
        <w:spacing w:line="360" w:lineRule="auto"/>
        <w:ind w:right="-817" w:rightChars="-389"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9A8DBEE">
      <w:pPr>
        <w:widowControl/>
        <w:jc w:val="left"/>
        <w:rPr>
          <w:rFonts w:ascii="宋体" w:hAnsi="宋体" w:cs="仿宋_GB2312"/>
          <w:color w:val="auto"/>
          <w:sz w:val="24"/>
          <w:highlight w:val="none"/>
        </w:rPr>
      </w:pPr>
      <w:r>
        <w:rPr>
          <w:rFonts w:ascii="宋体" w:hAnsi="宋体" w:cs="仿宋_GB2312"/>
          <w:color w:val="auto"/>
          <w:sz w:val="24"/>
          <w:highlight w:val="none"/>
        </w:rPr>
        <w:br w:type="page"/>
      </w:r>
    </w:p>
    <w:p w14:paraId="2ED57DB0">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售后服务承诺书</w:t>
      </w:r>
    </w:p>
    <w:p w14:paraId="7FA427B8">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p>
    <w:p w14:paraId="08D7EB04">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1.质保（保修、维护、升级）期内售后服务要求承诺</w:t>
      </w:r>
    </w:p>
    <w:p w14:paraId="32B7EDF9">
      <w:pPr>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我方按提供的以下售后服务所产生的相关费用均包含在竞标报价中，采购人不再另行支付相关费用，具体要求如下：</w:t>
      </w:r>
    </w:p>
    <w:p w14:paraId="47D19EB4">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（1）按国家有关产品“三包”规定执行“三包”，第10</w:t>
      </w:r>
      <w:r>
        <w:rPr>
          <w:rFonts w:hint="eastAsia" w:ascii="宋体" w:hAnsi="宋体" w:cs="宋体"/>
          <w:b/>
          <w:bCs/>
          <w:color w:val="auto"/>
          <w:kern w:val="0"/>
          <w:szCs w:val="21"/>
          <w:highlight w:val="none"/>
          <w:lang w:bidi="ar"/>
        </w:rPr>
        <w:t>、</w:t>
      </w:r>
      <w:r>
        <w:rPr>
          <w:rFonts w:hint="eastAsia" w:ascii="宋体" w:hAnsi="宋体" w:cs="宋体"/>
          <w:b/>
          <w:bCs/>
          <w:color w:val="auto"/>
          <w:szCs w:val="21"/>
          <w:highlight w:val="none"/>
        </w:rPr>
        <w:t>22项号标的“图形工作站”质保（保修、维护、升级）期自验收合格之日起</w:t>
      </w:r>
      <w:r>
        <w:rPr>
          <w:rFonts w:hint="eastAsia" w:ascii="宋体" w:hAnsi="宋体" w:cs="宋体"/>
          <w:b/>
          <w:bCs/>
          <w:color w:val="auto"/>
          <w:kern w:val="0"/>
          <w:szCs w:val="21"/>
          <w:highlight w:val="none"/>
          <w:u w:val="single"/>
          <w:lang w:bidi="ar"/>
        </w:rPr>
        <w:t xml:space="preserve">   </w:t>
      </w:r>
      <w:r>
        <w:rPr>
          <w:rFonts w:hint="eastAsia" w:ascii="宋体" w:hAnsi="宋体" w:cs="宋体"/>
          <w:b/>
          <w:bCs/>
          <w:color w:val="auto"/>
          <w:kern w:val="0"/>
          <w:szCs w:val="21"/>
          <w:highlight w:val="none"/>
          <w:lang w:bidi="ar"/>
        </w:rPr>
        <w:t>年，其余各项号标的</w:t>
      </w:r>
      <w:r>
        <w:rPr>
          <w:rFonts w:hint="eastAsia" w:ascii="宋体" w:hAnsi="宋体" w:cs="宋体"/>
          <w:b/>
          <w:bCs/>
          <w:color w:val="auto"/>
          <w:szCs w:val="21"/>
          <w:highlight w:val="none"/>
        </w:rPr>
        <w:t>质保（保修、维护、升级）期自验收合格之日起</w:t>
      </w:r>
      <w:r>
        <w:rPr>
          <w:rFonts w:hint="eastAsia" w:ascii="宋体" w:hAnsi="宋体" w:cs="宋体"/>
          <w:b/>
          <w:bCs/>
          <w:color w:val="auto"/>
          <w:kern w:val="0"/>
          <w:szCs w:val="21"/>
          <w:highlight w:val="none"/>
          <w:u w:val="single"/>
          <w:lang w:bidi="ar"/>
        </w:rPr>
        <w:t xml:space="preserve">   </w:t>
      </w:r>
      <w:r>
        <w:rPr>
          <w:rFonts w:hint="eastAsia" w:ascii="宋体" w:hAnsi="宋体" w:cs="宋体"/>
          <w:b/>
          <w:bCs/>
          <w:color w:val="auto"/>
          <w:szCs w:val="21"/>
          <w:highlight w:val="none"/>
        </w:rPr>
        <w:t>年。</w:t>
      </w:r>
    </w:p>
    <w:p w14:paraId="66C07E03">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（2）质保（保修、维护、升级）期内负责上门服务、维修、更换配件。</w:t>
      </w:r>
    </w:p>
    <w:p w14:paraId="15388D26">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质保（保修、维护、升级）期内向采购人提供技术支持，确保采购人对设备的成功应用。根据采购人需要，我方须委派相关专业的工程师到采购人现场提供技术支持服务；定期提供设备软件升级服务，实行与所竞标的同版本同模块质保（保修、维护、升级）期外的升级服务。</w:t>
      </w:r>
    </w:p>
    <w:p w14:paraId="451E8480">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（4）提供定期回访及巡检服务（每年</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次）。</w:t>
      </w:r>
    </w:p>
    <w:p w14:paraId="4B9D8732">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（5）响应时间：我方必须在接到维修通知的</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分钟内作出响应，</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小时内到达现场，</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小时内修复。24小时内未能修复的必须提供同档次备机备品供采购人使用，保证业务正常运转。</w:t>
      </w:r>
    </w:p>
    <w:p w14:paraId="384D1099">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（6）提供技术培训。</w:t>
      </w:r>
    </w:p>
    <w:p w14:paraId="11A9E0F5">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2.质保（保修、维护、升级）期外售后服务要求承诺                                    </w:t>
      </w:r>
    </w:p>
    <w:p w14:paraId="7A362026">
      <w:pPr>
        <w:tabs>
          <w:tab w:val="left" w:pos="312"/>
        </w:tabs>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质保（保修、维护、升级）期过后，采购人需要继续由我方和制造商提供售后服务的，我方和制造商应以维修件成本价提供售后服务。</w:t>
      </w:r>
    </w:p>
    <w:p w14:paraId="2EA44D11">
      <w:pPr>
        <w:pStyle w:val="11"/>
        <w:rPr>
          <w:color w:val="auto"/>
          <w:highlight w:val="none"/>
        </w:rPr>
      </w:pPr>
    </w:p>
    <w:p w14:paraId="589F7A2D">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p>
    <w:p w14:paraId="249A8755">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20B00B8">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6C17AF9B">
      <w:pPr>
        <w:adjustRightInd w:val="0"/>
        <w:snapToGrid w:val="0"/>
        <w:spacing w:line="520" w:lineRule="exact"/>
        <w:jc w:val="center"/>
        <w:rPr>
          <w:rFonts w:ascii="宋体" w:cs="仿宋_GB2312"/>
          <w:color w:val="auto"/>
          <w:sz w:val="24"/>
          <w:highlight w:val="none"/>
        </w:rPr>
      </w:pPr>
      <w:r>
        <w:rPr>
          <w:rFonts w:hint="eastAsia" w:ascii="宋体" w:hAnsi="宋体" w:cs="仿宋_GB2312"/>
          <w:color w:val="auto"/>
          <w:sz w:val="24"/>
          <w:highlight w:val="none"/>
        </w:rPr>
        <w:t>日期：  年  月  日</w:t>
      </w:r>
    </w:p>
    <w:p w14:paraId="34B0B295">
      <w:pPr>
        <w:widowControl/>
        <w:jc w:val="left"/>
        <w:rPr>
          <w:rFonts w:ascii="宋体" w:cs="仿宋_GB2312"/>
          <w:color w:val="auto"/>
          <w:sz w:val="24"/>
          <w:highlight w:val="none"/>
        </w:rPr>
      </w:pPr>
      <w:r>
        <w:rPr>
          <w:rFonts w:ascii="宋体" w:cs="仿宋_GB2312"/>
          <w:color w:val="auto"/>
          <w:sz w:val="24"/>
          <w:highlight w:val="none"/>
        </w:rPr>
        <w:br w:type="page"/>
      </w:r>
    </w:p>
    <w:p w14:paraId="3ECE4DA8">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技术要求响应承诺表</w:t>
      </w:r>
    </w:p>
    <w:p w14:paraId="2E4DABC2">
      <w:pPr>
        <w:adjustRightInd w:val="0"/>
        <w:snapToGrid w:val="0"/>
        <w:spacing w:line="520" w:lineRule="exact"/>
        <w:jc w:val="center"/>
        <w:rPr>
          <w:rFonts w:ascii="方正小标宋简体" w:hAnsi="方正小标宋简体" w:eastAsia="方正小标宋简体" w:cs="方正小标宋简体"/>
          <w:bCs/>
          <w:color w:val="auto"/>
          <w:sz w:val="44"/>
          <w:szCs w:val="44"/>
          <w:highlight w:val="none"/>
        </w:rPr>
      </w:pPr>
    </w:p>
    <w:p w14:paraId="3C7E78D6">
      <w:pPr>
        <w:spacing w:line="520" w:lineRule="exact"/>
        <w:rPr>
          <w:rFonts w:ascii="仿宋_GB2312" w:hAnsi="仿宋_GB2312" w:eastAsia="仿宋_GB2312" w:cs="仿宋_GB2312"/>
          <w:color w:val="auto"/>
          <w:sz w:val="32"/>
          <w:szCs w:val="32"/>
          <w:highlight w:val="none"/>
        </w:rPr>
      </w:pPr>
    </w:p>
    <w:tbl>
      <w:tblPr>
        <w:tblStyle w:val="25"/>
        <w:tblW w:w="435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6"/>
        <w:gridCol w:w="1502"/>
        <w:gridCol w:w="5278"/>
      </w:tblGrid>
      <w:tr w14:paraId="13DABF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1" w:hRule="atLeast"/>
          <w:jc w:val="center"/>
        </w:trPr>
        <w:tc>
          <w:tcPr>
            <w:tcW w:w="652" w:type="pct"/>
            <w:tcBorders>
              <w:top w:val="single" w:color="auto" w:sz="4" w:space="0"/>
              <w:right w:val="single" w:color="auto" w:sz="4" w:space="0"/>
            </w:tcBorders>
            <w:vAlign w:val="center"/>
          </w:tcPr>
          <w:p w14:paraId="5C1B497F">
            <w:pPr>
              <w:pStyle w:val="12"/>
              <w:spacing w:line="360" w:lineRule="auto"/>
              <w:ind w:firstLine="0" w:firstLineChars="0"/>
              <w:jc w:val="center"/>
              <w:rPr>
                <w:rFonts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项号</w:t>
            </w:r>
          </w:p>
        </w:tc>
        <w:tc>
          <w:tcPr>
            <w:tcW w:w="963" w:type="pct"/>
            <w:tcBorders>
              <w:top w:val="single" w:color="auto" w:sz="4" w:space="0"/>
              <w:left w:val="single" w:color="auto" w:sz="4" w:space="0"/>
            </w:tcBorders>
            <w:vAlign w:val="center"/>
          </w:tcPr>
          <w:p w14:paraId="39B1AAB1">
            <w:pPr>
              <w:pStyle w:val="12"/>
              <w:spacing w:line="360" w:lineRule="auto"/>
              <w:ind w:firstLine="0" w:firstLineChars="0"/>
              <w:jc w:val="center"/>
              <w:rPr>
                <w:rFonts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标的的名称</w:t>
            </w:r>
          </w:p>
        </w:tc>
        <w:tc>
          <w:tcPr>
            <w:tcW w:w="3384" w:type="pct"/>
            <w:tcBorders>
              <w:top w:val="single" w:color="auto" w:sz="4" w:space="0"/>
            </w:tcBorders>
            <w:vAlign w:val="center"/>
          </w:tcPr>
          <w:p w14:paraId="29D0E725">
            <w:pPr>
              <w:pStyle w:val="12"/>
              <w:spacing w:line="360" w:lineRule="auto"/>
              <w:ind w:firstLine="0" w:firstLineChars="0"/>
              <w:jc w:val="center"/>
              <w:rPr>
                <w:rFonts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对应竞争谈判文件“第三章 采购需求”中“技术要求”，供应商的详细技术响应承诺</w:t>
            </w:r>
          </w:p>
        </w:tc>
      </w:tr>
      <w:tr w14:paraId="084310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70" w:hRule="atLeast"/>
          <w:jc w:val="center"/>
        </w:trPr>
        <w:tc>
          <w:tcPr>
            <w:tcW w:w="652" w:type="pct"/>
            <w:tcBorders>
              <w:right w:val="single" w:color="auto" w:sz="4" w:space="0"/>
            </w:tcBorders>
            <w:vAlign w:val="center"/>
          </w:tcPr>
          <w:p w14:paraId="156ABDA5">
            <w:pPr>
              <w:pStyle w:val="12"/>
              <w:spacing w:line="360" w:lineRule="auto"/>
              <w:ind w:firstLine="0" w:firstLineChars="0"/>
              <w:jc w:val="center"/>
              <w:rPr>
                <w:rFonts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1</w:t>
            </w:r>
          </w:p>
        </w:tc>
        <w:tc>
          <w:tcPr>
            <w:tcW w:w="963" w:type="pct"/>
            <w:tcBorders>
              <w:left w:val="single" w:color="auto" w:sz="4" w:space="0"/>
            </w:tcBorders>
            <w:vAlign w:val="center"/>
          </w:tcPr>
          <w:p w14:paraId="4B9B862A">
            <w:pPr>
              <w:pStyle w:val="12"/>
              <w:spacing w:line="360" w:lineRule="auto"/>
              <w:ind w:firstLine="0" w:firstLineChars="0"/>
              <w:jc w:val="center"/>
              <w:rPr>
                <w:rFonts w:asciiTheme="majorEastAsia" w:hAnsiTheme="majorEastAsia" w:eastAsiaTheme="majorEastAsia"/>
                <w:color w:val="auto"/>
                <w:kern w:val="2"/>
                <w:sz w:val="24"/>
                <w:highlight w:val="none"/>
              </w:rPr>
            </w:pPr>
          </w:p>
        </w:tc>
        <w:tc>
          <w:tcPr>
            <w:tcW w:w="3384" w:type="pct"/>
            <w:vAlign w:val="center"/>
          </w:tcPr>
          <w:p w14:paraId="440411A4">
            <w:pPr>
              <w:pStyle w:val="12"/>
              <w:spacing w:line="360" w:lineRule="auto"/>
              <w:ind w:firstLine="0" w:firstLineChars="0"/>
              <w:jc w:val="center"/>
              <w:rPr>
                <w:rFonts w:asciiTheme="majorEastAsia" w:hAnsiTheme="majorEastAsia" w:eastAsiaTheme="majorEastAsia"/>
                <w:color w:val="auto"/>
                <w:kern w:val="2"/>
                <w:sz w:val="24"/>
                <w:highlight w:val="none"/>
              </w:rPr>
            </w:pPr>
          </w:p>
        </w:tc>
      </w:tr>
      <w:tr w14:paraId="43556B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70" w:hRule="atLeast"/>
          <w:jc w:val="center"/>
        </w:trPr>
        <w:tc>
          <w:tcPr>
            <w:tcW w:w="652" w:type="pct"/>
            <w:tcBorders>
              <w:right w:val="single" w:color="auto" w:sz="4" w:space="0"/>
            </w:tcBorders>
            <w:vAlign w:val="center"/>
          </w:tcPr>
          <w:p w14:paraId="0E64171C">
            <w:pPr>
              <w:pStyle w:val="12"/>
              <w:spacing w:line="360" w:lineRule="auto"/>
              <w:ind w:firstLine="0" w:firstLineChars="0"/>
              <w:jc w:val="center"/>
              <w:rPr>
                <w:rFonts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2</w:t>
            </w:r>
          </w:p>
        </w:tc>
        <w:tc>
          <w:tcPr>
            <w:tcW w:w="963" w:type="pct"/>
            <w:tcBorders>
              <w:left w:val="single" w:color="auto" w:sz="4" w:space="0"/>
            </w:tcBorders>
            <w:vAlign w:val="center"/>
          </w:tcPr>
          <w:p w14:paraId="7096EAA0">
            <w:pPr>
              <w:pStyle w:val="12"/>
              <w:spacing w:line="360" w:lineRule="auto"/>
              <w:ind w:firstLine="0" w:firstLineChars="0"/>
              <w:jc w:val="center"/>
              <w:rPr>
                <w:rFonts w:asciiTheme="majorEastAsia" w:hAnsiTheme="majorEastAsia" w:eastAsiaTheme="majorEastAsia"/>
                <w:color w:val="auto"/>
                <w:kern w:val="2"/>
                <w:sz w:val="24"/>
                <w:highlight w:val="none"/>
              </w:rPr>
            </w:pPr>
          </w:p>
        </w:tc>
        <w:tc>
          <w:tcPr>
            <w:tcW w:w="3384" w:type="pct"/>
            <w:vAlign w:val="center"/>
          </w:tcPr>
          <w:p w14:paraId="07D7C750">
            <w:pPr>
              <w:pStyle w:val="12"/>
              <w:spacing w:line="360" w:lineRule="auto"/>
              <w:ind w:firstLine="0" w:firstLineChars="0"/>
              <w:jc w:val="center"/>
              <w:rPr>
                <w:rFonts w:asciiTheme="majorEastAsia" w:hAnsiTheme="majorEastAsia" w:eastAsiaTheme="majorEastAsia"/>
                <w:color w:val="auto"/>
                <w:kern w:val="2"/>
                <w:sz w:val="24"/>
                <w:highlight w:val="none"/>
              </w:rPr>
            </w:pPr>
          </w:p>
        </w:tc>
      </w:tr>
      <w:tr w14:paraId="706E3D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4" w:hRule="atLeast"/>
          <w:jc w:val="center"/>
        </w:trPr>
        <w:tc>
          <w:tcPr>
            <w:tcW w:w="652" w:type="pct"/>
            <w:tcBorders>
              <w:right w:val="single" w:color="auto" w:sz="4" w:space="0"/>
            </w:tcBorders>
            <w:vAlign w:val="center"/>
          </w:tcPr>
          <w:p w14:paraId="3ADB23CF">
            <w:pPr>
              <w:pStyle w:val="12"/>
              <w:spacing w:line="360" w:lineRule="auto"/>
              <w:ind w:firstLine="0" w:firstLineChars="0"/>
              <w:jc w:val="center"/>
              <w:rPr>
                <w:rFonts w:asciiTheme="majorEastAsia" w:hAnsiTheme="majorEastAsia" w:eastAsiaTheme="majorEastAsia"/>
                <w:color w:val="auto"/>
                <w:kern w:val="2"/>
                <w:sz w:val="24"/>
                <w:highlight w:val="none"/>
              </w:rPr>
            </w:pPr>
            <w:r>
              <w:rPr>
                <w:rFonts w:hint="eastAsia" w:asciiTheme="majorEastAsia" w:hAnsiTheme="majorEastAsia" w:eastAsiaTheme="majorEastAsia"/>
                <w:color w:val="auto"/>
                <w:kern w:val="2"/>
                <w:sz w:val="24"/>
                <w:highlight w:val="none"/>
              </w:rPr>
              <w:t>……</w:t>
            </w:r>
          </w:p>
        </w:tc>
        <w:tc>
          <w:tcPr>
            <w:tcW w:w="963" w:type="pct"/>
            <w:tcBorders>
              <w:left w:val="single" w:color="auto" w:sz="4" w:space="0"/>
            </w:tcBorders>
            <w:vAlign w:val="center"/>
          </w:tcPr>
          <w:p w14:paraId="1CF9AD96">
            <w:pPr>
              <w:pStyle w:val="12"/>
              <w:spacing w:line="360" w:lineRule="auto"/>
              <w:ind w:firstLine="0" w:firstLineChars="0"/>
              <w:jc w:val="center"/>
              <w:rPr>
                <w:rFonts w:asciiTheme="majorEastAsia" w:hAnsiTheme="majorEastAsia" w:eastAsiaTheme="majorEastAsia"/>
                <w:color w:val="auto"/>
                <w:kern w:val="2"/>
                <w:sz w:val="24"/>
                <w:highlight w:val="none"/>
              </w:rPr>
            </w:pPr>
          </w:p>
        </w:tc>
        <w:tc>
          <w:tcPr>
            <w:tcW w:w="3384" w:type="pct"/>
            <w:vAlign w:val="center"/>
          </w:tcPr>
          <w:p w14:paraId="213C1AE9">
            <w:pPr>
              <w:pStyle w:val="12"/>
              <w:spacing w:line="360" w:lineRule="auto"/>
              <w:ind w:firstLine="0" w:firstLineChars="0"/>
              <w:jc w:val="center"/>
              <w:rPr>
                <w:rFonts w:asciiTheme="majorEastAsia" w:hAnsiTheme="majorEastAsia" w:eastAsiaTheme="majorEastAsia"/>
                <w:color w:val="auto"/>
                <w:kern w:val="2"/>
                <w:sz w:val="24"/>
                <w:highlight w:val="none"/>
              </w:rPr>
            </w:pPr>
          </w:p>
        </w:tc>
      </w:tr>
    </w:tbl>
    <w:p w14:paraId="788E4344">
      <w:pPr>
        <w:spacing w:line="360" w:lineRule="auto"/>
        <w:ind w:right="-817" w:rightChars="-389"/>
        <w:contextualSpacing/>
        <w:rPr>
          <w:rFonts w:ascii="宋体" w:cs="仿宋_GB2312"/>
          <w:color w:val="auto"/>
          <w:sz w:val="24"/>
          <w:highlight w:val="none"/>
        </w:rPr>
      </w:pPr>
    </w:p>
    <w:p w14:paraId="4EBFD728">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453CF7A">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6C482D0F">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49170309">
      <w:pPr>
        <w:spacing w:line="360" w:lineRule="auto"/>
        <w:ind w:right="-817" w:rightChars="-389" w:firstLine="2880" w:firstLineChars="1200"/>
        <w:contextualSpacing/>
        <w:rPr>
          <w:rFonts w:ascii="宋体" w:cs="仿宋_GB2312"/>
          <w:color w:val="auto"/>
          <w:sz w:val="24"/>
          <w:highlight w:val="none"/>
        </w:rPr>
      </w:pPr>
    </w:p>
    <w:p w14:paraId="69FDB95D">
      <w:pPr>
        <w:spacing w:line="360" w:lineRule="auto"/>
        <w:ind w:right="-817" w:rightChars="-389" w:firstLine="2880" w:firstLineChars="1200"/>
        <w:contextualSpacing/>
        <w:rPr>
          <w:rFonts w:ascii="宋体" w:cs="仿宋_GB2312"/>
          <w:color w:val="auto"/>
          <w:sz w:val="24"/>
          <w:highlight w:val="none"/>
        </w:rPr>
      </w:pPr>
    </w:p>
    <w:p w14:paraId="41AC5733">
      <w:pPr>
        <w:spacing w:line="360" w:lineRule="auto"/>
        <w:ind w:right="-817" w:rightChars="-389" w:firstLine="2880" w:firstLineChars="1200"/>
        <w:contextualSpacing/>
        <w:rPr>
          <w:rFonts w:ascii="宋体" w:cs="仿宋_GB2312"/>
          <w:color w:val="auto"/>
          <w:sz w:val="24"/>
          <w:highlight w:val="none"/>
        </w:rPr>
      </w:pPr>
    </w:p>
    <w:p w14:paraId="34579C6B">
      <w:pPr>
        <w:spacing w:line="360" w:lineRule="auto"/>
        <w:ind w:right="-817" w:rightChars="-389" w:firstLine="2880" w:firstLineChars="1200"/>
        <w:contextualSpacing/>
        <w:rPr>
          <w:rFonts w:ascii="宋体" w:cs="仿宋_GB2312"/>
          <w:color w:val="auto"/>
          <w:sz w:val="24"/>
          <w:highlight w:val="none"/>
        </w:rPr>
      </w:pPr>
    </w:p>
    <w:p w14:paraId="6881D289">
      <w:pPr>
        <w:spacing w:line="360" w:lineRule="auto"/>
        <w:ind w:right="-817" w:rightChars="-389" w:firstLine="2880" w:firstLineChars="1200"/>
        <w:contextualSpacing/>
        <w:rPr>
          <w:rFonts w:ascii="宋体" w:cs="仿宋_GB2312"/>
          <w:color w:val="auto"/>
          <w:sz w:val="24"/>
          <w:highlight w:val="none"/>
        </w:rPr>
      </w:pPr>
    </w:p>
    <w:p w14:paraId="14DF5D33">
      <w:pPr>
        <w:spacing w:line="360" w:lineRule="auto"/>
        <w:ind w:right="-817" w:rightChars="-389" w:firstLine="2880" w:firstLineChars="1200"/>
        <w:contextualSpacing/>
        <w:rPr>
          <w:rFonts w:ascii="宋体" w:cs="仿宋_GB2312"/>
          <w:color w:val="auto"/>
          <w:sz w:val="24"/>
          <w:highlight w:val="none"/>
        </w:rPr>
      </w:pPr>
    </w:p>
    <w:p w14:paraId="12C13F2F">
      <w:pPr>
        <w:spacing w:line="360" w:lineRule="auto"/>
        <w:ind w:right="-817" w:rightChars="-389" w:firstLine="2880" w:firstLineChars="1200"/>
        <w:contextualSpacing/>
        <w:rPr>
          <w:rFonts w:ascii="宋体" w:cs="仿宋_GB2312"/>
          <w:color w:val="auto"/>
          <w:sz w:val="24"/>
          <w:highlight w:val="none"/>
        </w:rPr>
      </w:pPr>
    </w:p>
    <w:p w14:paraId="10ABAA8A">
      <w:pPr>
        <w:widowControl/>
        <w:jc w:val="left"/>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4533B308">
      <w:pPr>
        <w:adjustRightInd w:val="0"/>
        <w:snapToGrid w:val="0"/>
        <w:spacing w:line="520" w:lineRule="exact"/>
        <w:jc w:val="center"/>
        <w:rPr>
          <w:rFonts w:asci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货物配置清单格式</w:t>
      </w:r>
    </w:p>
    <w:p w14:paraId="2BD1D90A">
      <w:pPr>
        <w:spacing w:line="300" w:lineRule="auto"/>
        <w:rPr>
          <w:rFonts w:ascii="宋体"/>
          <w:color w:val="auto"/>
          <w:szCs w:val="21"/>
          <w:highlight w:val="none"/>
        </w:rPr>
      </w:pPr>
    </w:p>
    <w:p w14:paraId="0775198C">
      <w:pPr>
        <w:spacing w:line="360" w:lineRule="auto"/>
        <w:rPr>
          <w:rFonts w:ascii="宋体" w:cs="仿宋_GB2312"/>
          <w:color w:val="auto"/>
          <w:sz w:val="24"/>
          <w:highlight w:val="none"/>
        </w:rPr>
      </w:pPr>
      <w:r>
        <w:rPr>
          <w:rFonts w:hint="eastAsia" w:ascii="宋体" w:hAnsi="宋体" w:cs="仿宋_GB2312"/>
          <w:color w:val="auto"/>
          <w:sz w:val="24"/>
          <w:highlight w:val="none"/>
        </w:rPr>
        <w:t>项目编号：</w:t>
      </w:r>
    </w:p>
    <w:p w14:paraId="147B07C8">
      <w:pPr>
        <w:spacing w:line="360" w:lineRule="auto"/>
        <w:rPr>
          <w:rFonts w:ascii="宋体" w:cs="仿宋_GB2312"/>
          <w:color w:val="auto"/>
          <w:sz w:val="24"/>
          <w:highlight w:val="none"/>
        </w:rPr>
      </w:pPr>
      <w:r>
        <w:rPr>
          <w:rFonts w:hint="eastAsia" w:ascii="宋体" w:hAnsi="宋体" w:cs="仿宋_GB2312"/>
          <w:color w:val="auto"/>
          <w:sz w:val="24"/>
          <w:highlight w:val="none"/>
        </w:rPr>
        <w:t>项目名称：</w:t>
      </w:r>
    </w:p>
    <w:tbl>
      <w:tblPr>
        <w:tblStyle w:val="25"/>
        <w:tblW w:w="505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5"/>
        <w:gridCol w:w="1417"/>
        <w:gridCol w:w="1133"/>
        <w:gridCol w:w="638"/>
        <w:gridCol w:w="1544"/>
        <w:gridCol w:w="1077"/>
        <w:gridCol w:w="936"/>
        <w:gridCol w:w="1509"/>
      </w:tblGrid>
      <w:tr w14:paraId="03A9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34" w:type="pct"/>
            <w:tcBorders>
              <w:top w:val="single" w:color="auto" w:sz="4" w:space="0"/>
              <w:bottom w:val="single" w:color="auto" w:sz="4" w:space="0"/>
              <w:right w:val="single" w:color="auto" w:sz="4" w:space="0"/>
            </w:tcBorders>
            <w:vAlign w:val="center"/>
          </w:tcPr>
          <w:p w14:paraId="3013EE5E">
            <w:pPr>
              <w:snapToGrid w:val="0"/>
              <w:spacing w:before="50" w:after="50"/>
              <w:jc w:val="center"/>
              <w:rPr>
                <w:rFonts w:ascii="宋体"/>
                <w:color w:val="auto"/>
                <w:sz w:val="24"/>
                <w:highlight w:val="none"/>
              </w:rPr>
            </w:pPr>
            <w:r>
              <w:rPr>
                <w:rFonts w:hint="eastAsia" w:ascii="宋体"/>
                <w:color w:val="auto"/>
                <w:sz w:val="24"/>
                <w:highlight w:val="none"/>
              </w:rPr>
              <w:t>项号</w:t>
            </w:r>
          </w:p>
        </w:tc>
        <w:tc>
          <w:tcPr>
            <w:tcW w:w="784" w:type="pct"/>
            <w:tcBorders>
              <w:top w:val="single" w:color="auto" w:sz="4" w:space="0"/>
              <w:bottom w:val="single" w:color="auto" w:sz="4" w:space="0"/>
              <w:right w:val="single" w:color="auto" w:sz="4" w:space="0"/>
            </w:tcBorders>
            <w:vAlign w:val="center"/>
          </w:tcPr>
          <w:p w14:paraId="4914B740">
            <w:pPr>
              <w:snapToGrid w:val="0"/>
              <w:spacing w:before="50" w:after="50"/>
              <w:jc w:val="center"/>
              <w:rPr>
                <w:rFonts w:ascii="宋体" w:hAnsi="宋体"/>
                <w:color w:val="auto"/>
                <w:sz w:val="24"/>
                <w:highlight w:val="none"/>
              </w:rPr>
            </w:pPr>
            <w:r>
              <w:rPr>
                <w:rFonts w:hint="eastAsia" w:ascii="宋体" w:hAnsi="宋体"/>
                <w:color w:val="auto"/>
                <w:sz w:val="24"/>
                <w:highlight w:val="none"/>
              </w:rPr>
              <w:t>标的的名称</w:t>
            </w:r>
          </w:p>
        </w:tc>
        <w:tc>
          <w:tcPr>
            <w:tcW w:w="627" w:type="pct"/>
            <w:tcBorders>
              <w:top w:val="single" w:color="auto" w:sz="4" w:space="0"/>
              <w:left w:val="single" w:color="auto" w:sz="4" w:space="0"/>
              <w:bottom w:val="single" w:color="auto" w:sz="4" w:space="0"/>
              <w:right w:val="single" w:color="auto" w:sz="4" w:space="0"/>
            </w:tcBorders>
            <w:vAlign w:val="center"/>
          </w:tcPr>
          <w:p w14:paraId="52B96BD6">
            <w:pPr>
              <w:snapToGrid w:val="0"/>
              <w:spacing w:before="50" w:after="50"/>
              <w:jc w:val="center"/>
              <w:rPr>
                <w:rFonts w:ascii="宋体"/>
                <w:color w:val="auto"/>
                <w:sz w:val="24"/>
                <w:highlight w:val="none"/>
              </w:rPr>
            </w:pPr>
            <w:r>
              <w:rPr>
                <w:rFonts w:hint="eastAsia" w:ascii="宋体" w:hAnsi="宋体"/>
                <w:color w:val="auto"/>
                <w:sz w:val="24"/>
                <w:highlight w:val="none"/>
              </w:rPr>
              <w:t>数量及单位</w:t>
            </w:r>
          </w:p>
        </w:tc>
        <w:tc>
          <w:tcPr>
            <w:tcW w:w="353" w:type="pct"/>
            <w:tcBorders>
              <w:top w:val="single" w:color="auto" w:sz="4" w:space="0"/>
              <w:left w:val="single" w:color="auto" w:sz="4" w:space="0"/>
              <w:bottom w:val="single" w:color="auto" w:sz="4" w:space="0"/>
              <w:right w:val="single" w:color="auto" w:sz="4" w:space="0"/>
            </w:tcBorders>
            <w:vAlign w:val="center"/>
          </w:tcPr>
          <w:p w14:paraId="671A3BCF">
            <w:pPr>
              <w:snapToGrid w:val="0"/>
              <w:spacing w:before="50" w:after="50"/>
              <w:jc w:val="center"/>
              <w:rPr>
                <w:rFonts w:ascii="宋体"/>
                <w:color w:val="auto"/>
                <w:sz w:val="24"/>
                <w:highlight w:val="none"/>
              </w:rPr>
            </w:pPr>
            <w:r>
              <w:rPr>
                <w:rFonts w:hint="eastAsia" w:ascii="宋体" w:hAnsi="宋体"/>
                <w:color w:val="auto"/>
                <w:sz w:val="24"/>
                <w:highlight w:val="none"/>
              </w:rPr>
              <w:t>品牌</w:t>
            </w:r>
          </w:p>
        </w:tc>
        <w:tc>
          <w:tcPr>
            <w:tcW w:w="854" w:type="pct"/>
            <w:tcBorders>
              <w:top w:val="single" w:color="auto" w:sz="4" w:space="0"/>
              <w:left w:val="single" w:color="auto" w:sz="4" w:space="0"/>
              <w:bottom w:val="single" w:color="auto" w:sz="4" w:space="0"/>
              <w:right w:val="single" w:color="auto" w:sz="4" w:space="0"/>
            </w:tcBorders>
            <w:vAlign w:val="center"/>
          </w:tcPr>
          <w:p w14:paraId="25811312">
            <w:pPr>
              <w:snapToGrid w:val="0"/>
              <w:spacing w:before="50" w:after="50"/>
              <w:jc w:val="center"/>
              <w:rPr>
                <w:rFonts w:ascii="宋体"/>
                <w:color w:val="auto"/>
                <w:sz w:val="24"/>
                <w:highlight w:val="none"/>
              </w:rPr>
            </w:pPr>
            <w:r>
              <w:rPr>
                <w:rFonts w:hint="eastAsia" w:ascii="宋体" w:hAnsi="宋体"/>
                <w:color w:val="auto"/>
                <w:sz w:val="24"/>
                <w:highlight w:val="none"/>
              </w:rPr>
              <w:t>规格型号</w:t>
            </w:r>
          </w:p>
        </w:tc>
        <w:tc>
          <w:tcPr>
            <w:tcW w:w="596" w:type="pct"/>
            <w:tcBorders>
              <w:top w:val="single" w:color="auto" w:sz="4" w:space="0"/>
              <w:left w:val="single" w:color="auto" w:sz="4" w:space="0"/>
              <w:bottom w:val="single" w:color="auto" w:sz="4" w:space="0"/>
              <w:right w:val="single" w:color="auto" w:sz="4" w:space="0"/>
            </w:tcBorders>
            <w:vAlign w:val="center"/>
          </w:tcPr>
          <w:p w14:paraId="367DD530">
            <w:pPr>
              <w:snapToGrid w:val="0"/>
              <w:spacing w:before="50" w:after="50"/>
              <w:jc w:val="center"/>
              <w:rPr>
                <w:rFonts w:ascii="宋体"/>
                <w:color w:val="auto"/>
                <w:sz w:val="24"/>
                <w:highlight w:val="none"/>
              </w:rPr>
            </w:pPr>
            <w:r>
              <w:rPr>
                <w:rFonts w:hint="eastAsia" w:ascii="宋体" w:hAnsi="宋体"/>
                <w:color w:val="auto"/>
                <w:sz w:val="24"/>
                <w:highlight w:val="none"/>
              </w:rPr>
              <w:t>制造商</w:t>
            </w:r>
          </w:p>
        </w:tc>
        <w:tc>
          <w:tcPr>
            <w:tcW w:w="518" w:type="pct"/>
            <w:tcBorders>
              <w:top w:val="single" w:color="auto" w:sz="4" w:space="0"/>
              <w:left w:val="single" w:color="auto" w:sz="4" w:space="0"/>
              <w:bottom w:val="single" w:color="auto" w:sz="4" w:space="0"/>
              <w:right w:val="single" w:color="auto" w:sz="4" w:space="0"/>
            </w:tcBorders>
            <w:vAlign w:val="center"/>
          </w:tcPr>
          <w:p w14:paraId="468062CF">
            <w:pPr>
              <w:snapToGrid w:val="0"/>
              <w:spacing w:before="50" w:after="50"/>
              <w:jc w:val="center"/>
              <w:rPr>
                <w:rFonts w:ascii="宋体"/>
                <w:color w:val="auto"/>
                <w:sz w:val="24"/>
                <w:highlight w:val="none"/>
              </w:rPr>
            </w:pPr>
            <w:r>
              <w:rPr>
                <w:rFonts w:hint="eastAsia" w:ascii="宋体" w:hAnsi="宋体"/>
                <w:color w:val="auto"/>
                <w:sz w:val="24"/>
                <w:highlight w:val="none"/>
              </w:rPr>
              <w:t>原产地</w:t>
            </w:r>
          </w:p>
        </w:tc>
        <w:tc>
          <w:tcPr>
            <w:tcW w:w="834" w:type="pct"/>
            <w:tcBorders>
              <w:top w:val="single" w:color="auto" w:sz="4" w:space="0"/>
              <w:left w:val="single" w:color="auto" w:sz="4" w:space="0"/>
              <w:bottom w:val="single" w:color="auto" w:sz="4" w:space="0"/>
            </w:tcBorders>
            <w:vAlign w:val="center"/>
          </w:tcPr>
          <w:p w14:paraId="10AA3464">
            <w:pPr>
              <w:snapToGrid w:val="0"/>
              <w:spacing w:before="50" w:after="50"/>
              <w:jc w:val="center"/>
              <w:rPr>
                <w:rFonts w:ascii="宋体"/>
                <w:color w:val="auto"/>
                <w:sz w:val="24"/>
                <w:highlight w:val="none"/>
              </w:rPr>
            </w:pPr>
            <w:r>
              <w:rPr>
                <w:rFonts w:hint="eastAsia" w:ascii="宋体" w:hAnsi="宋体"/>
                <w:color w:val="auto"/>
                <w:sz w:val="24"/>
                <w:highlight w:val="none"/>
              </w:rPr>
              <w:t>参数性能、指标及配置</w:t>
            </w:r>
          </w:p>
        </w:tc>
      </w:tr>
      <w:tr w14:paraId="55497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34" w:type="pct"/>
            <w:tcBorders>
              <w:top w:val="single" w:color="auto" w:sz="4" w:space="0"/>
              <w:bottom w:val="single" w:color="auto" w:sz="4" w:space="0"/>
              <w:right w:val="single" w:color="auto" w:sz="4" w:space="0"/>
            </w:tcBorders>
            <w:vAlign w:val="center"/>
          </w:tcPr>
          <w:p w14:paraId="2A9D0051">
            <w:pPr>
              <w:snapToGrid w:val="0"/>
              <w:spacing w:before="50" w:after="50"/>
              <w:jc w:val="center"/>
              <w:rPr>
                <w:rFonts w:ascii="宋体"/>
                <w:color w:val="auto"/>
                <w:sz w:val="24"/>
                <w:highlight w:val="none"/>
              </w:rPr>
            </w:pPr>
          </w:p>
        </w:tc>
        <w:tc>
          <w:tcPr>
            <w:tcW w:w="784" w:type="pct"/>
            <w:tcBorders>
              <w:top w:val="single" w:color="auto" w:sz="4" w:space="0"/>
              <w:bottom w:val="single" w:color="auto" w:sz="4" w:space="0"/>
              <w:right w:val="single" w:color="auto" w:sz="4" w:space="0"/>
            </w:tcBorders>
            <w:vAlign w:val="center"/>
          </w:tcPr>
          <w:p w14:paraId="52D03252">
            <w:pPr>
              <w:snapToGrid w:val="0"/>
              <w:spacing w:before="50" w:after="50"/>
              <w:jc w:val="center"/>
              <w:rPr>
                <w:rFonts w:ascii="宋体"/>
                <w:color w:val="auto"/>
                <w:sz w:val="24"/>
                <w:highlight w:val="none"/>
              </w:rPr>
            </w:pPr>
          </w:p>
        </w:tc>
        <w:tc>
          <w:tcPr>
            <w:tcW w:w="627" w:type="pct"/>
            <w:tcBorders>
              <w:top w:val="single" w:color="auto" w:sz="4" w:space="0"/>
              <w:left w:val="single" w:color="auto" w:sz="4" w:space="0"/>
              <w:bottom w:val="single" w:color="auto" w:sz="4" w:space="0"/>
              <w:right w:val="single" w:color="auto" w:sz="4" w:space="0"/>
            </w:tcBorders>
            <w:vAlign w:val="center"/>
          </w:tcPr>
          <w:p w14:paraId="643D417C">
            <w:pPr>
              <w:snapToGrid w:val="0"/>
              <w:spacing w:before="50" w:after="50"/>
              <w:jc w:val="center"/>
              <w:rPr>
                <w:rFonts w:ascii="宋体"/>
                <w:color w:val="auto"/>
                <w:sz w:val="24"/>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14:paraId="29FB5A3A">
            <w:pPr>
              <w:snapToGrid w:val="0"/>
              <w:spacing w:before="50" w:after="50"/>
              <w:jc w:val="center"/>
              <w:rPr>
                <w:rFonts w:ascii="宋体"/>
                <w:color w:val="auto"/>
                <w:sz w:val="24"/>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14:paraId="5248477E">
            <w:pPr>
              <w:snapToGrid w:val="0"/>
              <w:spacing w:before="50" w:after="50"/>
              <w:jc w:val="center"/>
              <w:rPr>
                <w:rFonts w:ascii="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vAlign w:val="center"/>
          </w:tcPr>
          <w:p w14:paraId="4D2E679F">
            <w:pPr>
              <w:snapToGrid w:val="0"/>
              <w:spacing w:before="50" w:after="50"/>
              <w:jc w:val="center"/>
              <w:rPr>
                <w:rFonts w:ascii="宋体"/>
                <w:color w:val="auto"/>
                <w:sz w:val="24"/>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40180BF3">
            <w:pPr>
              <w:snapToGrid w:val="0"/>
              <w:spacing w:before="50" w:after="50"/>
              <w:jc w:val="center"/>
              <w:rPr>
                <w:rFonts w:ascii="宋体"/>
                <w:color w:val="auto"/>
                <w:sz w:val="24"/>
                <w:highlight w:val="none"/>
              </w:rPr>
            </w:pPr>
          </w:p>
        </w:tc>
        <w:tc>
          <w:tcPr>
            <w:tcW w:w="834" w:type="pct"/>
            <w:tcBorders>
              <w:top w:val="single" w:color="auto" w:sz="4" w:space="0"/>
              <w:left w:val="single" w:color="auto" w:sz="4" w:space="0"/>
              <w:bottom w:val="single" w:color="auto" w:sz="4" w:space="0"/>
            </w:tcBorders>
            <w:vAlign w:val="center"/>
          </w:tcPr>
          <w:p w14:paraId="1F74B80D">
            <w:pPr>
              <w:snapToGrid w:val="0"/>
              <w:spacing w:before="50" w:after="50"/>
              <w:jc w:val="center"/>
              <w:rPr>
                <w:rFonts w:ascii="宋体"/>
                <w:color w:val="auto"/>
                <w:sz w:val="24"/>
                <w:highlight w:val="none"/>
              </w:rPr>
            </w:pPr>
          </w:p>
        </w:tc>
      </w:tr>
      <w:tr w14:paraId="4299A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34" w:type="pct"/>
            <w:tcBorders>
              <w:top w:val="single" w:color="auto" w:sz="4" w:space="0"/>
              <w:bottom w:val="single" w:color="auto" w:sz="4" w:space="0"/>
              <w:right w:val="single" w:color="auto" w:sz="4" w:space="0"/>
            </w:tcBorders>
            <w:vAlign w:val="center"/>
          </w:tcPr>
          <w:p w14:paraId="662FF4D2">
            <w:pPr>
              <w:snapToGrid w:val="0"/>
              <w:spacing w:before="50" w:after="50"/>
              <w:jc w:val="center"/>
              <w:rPr>
                <w:rFonts w:ascii="宋体"/>
                <w:color w:val="auto"/>
                <w:sz w:val="24"/>
                <w:highlight w:val="none"/>
              </w:rPr>
            </w:pPr>
          </w:p>
        </w:tc>
        <w:tc>
          <w:tcPr>
            <w:tcW w:w="784" w:type="pct"/>
            <w:tcBorders>
              <w:top w:val="single" w:color="auto" w:sz="4" w:space="0"/>
              <w:bottom w:val="single" w:color="auto" w:sz="4" w:space="0"/>
              <w:right w:val="single" w:color="auto" w:sz="4" w:space="0"/>
            </w:tcBorders>
            <w:vAlign w:val="center"/>
          </w:tcPr>
          <w:p w14:paraId="47690CF9">
            <w:pPr>
              <w:snapToGrid w:val="0"/>
              <w:spacing w:before="50" w:after="50"/>
              <w:jc w:val="center"/>
              <w:rPr>
                <w:rFonts w:ascii="宋体"/>
                <w:color w:val="auto"/>
                <w:sz w:val="24"/>
                <w:highlight w:val="none"/>
              </w:rPr>
            </w:pPr>
          </w:p>
        </w:tc>
        <w:tc>
          <w:tcPr>
            <w:tcW w:w="627" w:type="pct"/>
            <w:tcBorders>
              <w:top w:val="single" w:color="auto" w:sz="4" w:space="0"/>
              <w:left w:val="single" w:color="auto" w:sz="4" w:space="0"/>
              <w:bottom w:val="single" w:color="auto" w:sz="4" w:space="0"/>
              <w:right w:val="single" w:color="auto" w:sz="4" w:space="0"/>
            </w:tcBorders>
            <w:vAlign w:val="center"/>
          </w:tcPr>
          <w:p w14:paraId="74590E04">
            <w:pPr>
              <w:snapToGrid w:val="0"/>
              <w:spacing w:before="50" w:after="50"/>
              <w:jc w:val="center"/>
              <w:rPr>
                <w:rFonts w:ascii="宋体"/>
                <w:color w:val="auto"/>
                <w:sz w:val="24"/>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14:paraId="39C3B96C">
            <w:pPr>
              <w:snapToGrid w:val="0"/>
              <w:spacing w:before="50" w:after="50"/>
              <w:jc w:val="center"/>
              <w:rPr>
                <w:rFonts w:ascii="宋体"/>
                <w:color w:val="auto"/>
                <w:sz w:val="24"/>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14:paraId="0C75DA42">
            <w:pPr>
              <w:snapToGrid w:val="0"/>
              <w:spacing w:before="50" w:after="50"/>
              <w:jc w:val="center"/>
              <w:rPr>
                <w:rFonts w:ascii="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vAlign w:val="center"/>
          </w:tcPr>
          <w:p w14:paraId="72AE577E">
            <w:pPr>
              <w:snapToGrid w:val="0"/>
              <w:spacing w:before="50" w:after="50"/>
              <w:jc w:val="center"/>
              <w:rPr>
                <w:rFonts w:ascii="宋体"/>
                <w:color w:val="auto"/>
                <w:sz w:val="24"/>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59A7042C">
            <w:pPr>
              <w:snapToGrid w:val="0"/>
              <w:spacing w:before="50" w:after="50"/>
              <w:jc w:val="center"/>
              <w:rPr>
                <w:rFonts w:ascii="宋体"/>
                <w:color w:val="auto"/>
                <w:sz w:val="24"/>
                <w:highlight w:val="none"/>
              </w:rPr>
            </w:pPr>
          </w:p>
        </w:tc>
        <w:tc>
          <w:tcPr>
            <w:tcW w:w="834" w:type="pct"/>
            <w:tcBorders>
              <w:top w:val="single" w:color="auto" w:sz="4" w:space="0"/>
              <w:left w:val="single" w:color="auto" w:sz="4" w:space="0"/>
              <w:bottom w:val="single" w:color="auto" w:sz="4" w:space="0"/>
            </w:tcBorders>
            <w:vAlign w:val="center"/>
          </w:tcPr>
          <w:p w14:paraId="7E636A63">
            <w:pPr>
              <w:snapToGrid w:val="0"/>
              <w:spacing w:before="50" w:after="50"/>
              <w:jc w:val="center"/>
              <w:rPr>
                <w:rFonts w:ascii="宋体"/>
                <w:color w:val="auto"/>
                <w:sz w:val="24"/>
                <w:highlight w:val="none"/>
              </w:rPr>
            </w:pPr>
          </w:p>
        </w:tc>
      </w:tr>
      <w:tr w14:paraId="62E14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34" w:type="pct"/>
            <w:tcBorders>
              <w:top w:val="single" w:color="auto" w:sz="4" w:space="0"/>
              <w:bottom w:val="single" w:color="auto" w:sz="4" w:space="0"/>
              <w:right w:val="single" w:color="auto" w:sz="4" w:space="0"/>
            </w:tcBorders>
            <w:vAlign w:val="center"/>
          </w:tcPr>
          <w:p w14:paraId="22757D73">
            <w:pPr>
              <w:snapToGrid w:val="0"/>
              <w:spacing w:before="50" w:after="50"/>
              <w:jc w:val="center"/>
              <w:rPr>
                <w:rFonts w:ascii="宋体"/>
                <w:color w:val="auto"/>
                <w:sz w:val="24"/>
                <w:highlight w:val="none"/>
              </w:rPr>
            </w:pPr>
          </w:p>
        </w:tc>
        <w:tc>
          <w:tcPr>
            <w:tcW w:w="784" w:type="pct"/>
            <w:tcBorders>
              <w:top w:val="single" w:color="auto" w:sz="4" w:space="0"/>
              <w:bottom w:val="single" w:color="auto" w:sz="4" w:space="0"/>
              <w:right w:val="single" w:color="auto" w:sz="4" w:space="0"/>
            </w:tcBorders>
            <w:vAlign w:val="center"/>
          </w:tcPr>
          <w:p w14:paraId="342F1A09">
            <w:pPr>
              <w:snapToGrid w:val="0"/>
              <w:spacing w:before="50" w:after="50"/>
              <w:jc w:val="center"/>
              <w:rPr>
                <w:rFonts w:ascii="宋体"/>
                <w:color w:val="auto"/>
                <w:sz w:val="24"/>
                <w:highlight w:val="none"/>
              </w:rPr>
            </w:pPr>
          </w:p>
        </w:tc>
        <w:tc>
          <w:tcPr>
            <w:tcW w:w="627" w:type="pct"/>
            <w:tcBorders>
              <w:top w:val="single" w:color="auto" w:sz="4" w:space="0"/>
              <w:left w:val="single" w:color="auto" w:sz="4" w:space="0"/>
              <w:bottom w:val="single" w:color="auto" w:sz="4" w:space="0"/>
              <w:right w:val="single" w:color="auto" w:sz="4" w:space="0"/>
            </w:tcBorders>
            <w:vAlign w:val="center"/>
          </w:tcPr>
          <w:p w14:paraId="7F766DFB">
            <w:pPr>
              <w:snapToGrid w:val="0"/>
              <w:spacing w:before="50" w:after="50"/>
              <w:jc w:val="center"/>
              <w:rPr>
                <w:rFonts w:ascii="宋体"/>
                <w:color w:val="auto"/>
                <w:sz w:val="24"/>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14:paraId="4CE2D305">
            <w:pPr>
              <w:snapToGrid w:val="0"/>
              <w:spacing w:before="50" w:after="50"/>
              <w:jc w:val="center"/>
              <w:rPr>
                <w:rFonts w:ascii="宋体"/>
                <w:color w:val="auto"/>
                <w:sz w:val="24"/>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14:paraId="26527904">
            <w:pPr>
              <w:snapToGrid w:val="0"/>
              <w:spacing w:before="50" w:after="50"/>
              <w:jc w:val="center"/>
              <w:rPr>
                <w:rFonts w:ascii="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vAlign w:val="center"/>
          </w:tcPr>
          <w:p w14:paraId="07DDBB0C">
            <w:pPr>
              <w:snapToGrid w:val="0"/>
              <w:spacing w:before="50" w:after="50"/>
              <w:jc w:val="center"/>
              <w:rPr>
                <w:rFonts w:ascii="宋体"/>
                <w:color w:val="auto"/>
                <w:sz w:val="24"/>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259ADD77">
            <w:pPr>
              <w:snapToGrid w:val="0"/>
              <w:spacing w:before="50" w:after="50"/>
              <w:jc w:val="center"/>
              <w:rPr>
                <w:rFonts w:ascii="宋体"/>
                <w:color w:val="auto"/>
                <w:sz w:val="24"/>
                <w:highlight w:val="none"/>
              </w:rPr>
            </w:pPr>
          </w:p>
        </w:tc>
        <w:tc>
          <w:tcPr>
            <w:tcW w:w="834" w:type="pct"/>
            <w:tcBorders>
              <w:top w:val="single" w:color="auto" w:sz="4" w:space="0"/>
              <w:left w:val="single" w:color="auto" w:sz="4" w:space="0"/>
              <w:bottom w:val="single" w:color="auto" w:sz="4" w:space="0"/>
            </w:tcBorders>
            <w:vAlign w:val="center"/>
          </w:tcPr>
          <w:p w14:paraId="0068C484">
            <w:pPr>
              <w:snapToGrid w:val="0"/>
              <w:spacing w:before="50" w:after="50"/>
              <w:jc w:val="center"/>
              <w:rPr>
                <w:rFonts w:ascii="宋体"/>
                <w:color w:val="auto"/>
                <w:sz w:val="24"/>
                <w:highlight w:val="none"/>
              </w:rPr>
            </w:pPr>
          </w:p>
        </w:tc>
      </w:tr>
    </w:tbl>
    <w:p w14:paraId="0A30EEC0">
      <w:pPr>
        <w:spacing w:line="360" w:lineRule="auto"/>
        <w:contextualSpacing/>
        <w:rPr>
          <w:rFonts w:ascii="宋体"/>
          <w:b/>
          <w:color w:val="auto"/>
          <w:sz w:val="24"/>
          <w:highlight w:val="none"/>
        </w:rPr>
      </w:pPr>
      <w:r>
        <w:rPr>
          <w:rFonts w:hint="eastAsia" w:ascii="宋体" w:hAnsi="宋体"/>
          <w:b/>
          <w:color w:val="auto"/>
          <w:sz w:val="24"/>
          <w:highlight w:val="none"/>
        </w:rPr>
        <w:t>备注：</w:t>
      </w:r>
    </w:p>
    <w:p w14:paraId="2ED1C3CC">
      <w:pPr>
        <w:tabs>
          <w:tab w:val="left" w:pos="1065"/>
        </w:tabs>
        <w:adjustRightInd w:val="0"/>
        <w:spacing w:line="360" w:lineRule="auto"/>
        <w:contextualSpacing/>
        <w:rPr>
          <w:rFonts w:ascii="宋体" w:cs="仿宋_GB2312"/>
          <w:color w:val="auto"/>
          <w:sz w:val="24"/>
          <w:highlight w:val="none"/>
        </w:rPr>
      </w:pPr>
      <w:r>
        <w:rPr>
          <w:rFonts w:hint="eastAsia" w:ascii="宋体" w:hAnsi="宋体"/>
          <w:b/>
          <w:bCs/>
          <w:color w:val="auto"/>
          <w:sz w:val="24"/>
          <w:highlight w:val="none"/>
        </w:rPr>
        <w:t>以上货物配置清单中“标的的名称、数量及单位、品牌、规格型号、制造商、原产地、参数性能、指标及配置”应如实填写完整</w:t>
      </w:r>
      <w:r>
        <w:rPr>
          <w:rFonts w:hint="eastAsia" w:ascii="宋体" w:hAnsi="宋体"/>
          <w:b/>
          <w:color w:val="auto"/>
          <w:sz w:val="24"/>
          <w:highlight w:val="none"/>
        </w:rPr>
        <w:t>。</w:t>
      </w:r>
      <w:r>
        <w:rPr>
          <w:rFonts w:ascii="宋体" w:cs="仿宋_GB2312"/>
          <w:color w:val="auto"/>
          <w:sz w:val="24"/>
          <w:highlight w:val="none"/>
        </w:rPr>
        <w:tab/>
      </w:r>
    </w:p>
    <w:p w14:paraId="1535EA3A">
      <w:pPr>
        <w:adjustRightInd w:val="0"/>
        <w:spacing w:line="360" w:lineRule="auto"/>
        <w:contextualSpacing/>
        <w:jc w:val="left"/>
        <w:rPr>
          <w:rFonts w:ascii="宋体" w:cs="仿宋_GB2312"/>
          <w:color w:val="auto"/>
          <w:sz w:val="24"/>
          <w:highlight w:val="none"/>
        </w:rPr>
      </w:pPr>
    </w:p>
    <w:p w14:paraId="2F2DA272">
      <w:pPr>
        <w:adjustRightInd w:val="0"/>
        <w:spacing w:line="360" w:lineRule="auto"/>
        <w:contextualSpacing/>
        <w:jc w:val="left"/>
        <w:rPr>
          <w:rFonts w:ascii="宋体" w:cs="仿宋_GB2312"/>
          <w:color w:val="auto"/>
          <w:sz w:val="24"/>
          <w:highlight w:val="none"/>
        </w:rPr>
      </w:pPr>
    </w:p>
    <w:p w14:paraId="27F53F34">
      <w:pPr>
        <w:adjustRightInd w:val="0"/>
        <w:spacing w:line="360" w:lineRule="auto"/>
        <w:contextualSpacing/>
        <w:jc w:val="left"/>
        <w:rPr>
          <w:rFonts w:ascii="宋体" w:cs="仿宋_GB2312"/>
          <w:color w:val="auto"/>
          <w:sz w:val="24"/>
          <w:highlight w:val="none"/>
        </w:rPr>
      </w:pPr>
    </w:p>
    <w:p w14:paraId="0E94417B">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324754F">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6B29756F">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51E4F42F">
      <w:pPr>
        <w:spacing w:line="360" w:lineRule="auto"/>
        <w:ind w:right="-817" w:rightChars="-389" w:firstLine="2880" w:firstLineChars="1200"/>
        <w:contextualSpacing/>
        <w:rPr>
          <w:rFonts w:ascii="宋体" w:cs="仿宋_GB2312"/>
          <w:color w:val="auto"/>
          <w:sz w:val="24"/>
          <w:highlight w:val="none"/>
        </w:rPr>
      </w:pPr>
    </w:p>
    <w:p w14:paraId="5A8B0613">
      <w:pPr>
        <w:spacing w:line="360" w:lineRule="auto"/>
        <w:ind w:right="-817" w:rightChars="-389" w:firstLine="2880" w:firstLineChars="1200"/>
        <w:contextualSpacing/>
        <w:rPr>
          <w:rFonts w:ascii="宋体" w:cs="仿宋_GB2312"/>
          <w:color w:val="auto"/>
          <w:sz w:val="24"/>
          <w:highlight w:val="none"/>
        </w:rPr>
      </w:pPr>
    </w:p>
    <w:p w14:paraId="0681B924">
      <w:pPr>
        <w:spacing w:line="360" w:lineRule="auto"/>
        <w:ind w:right="-817" w:rightChars="-389" w:firstLine="2880" w:firstLineChars="1200"/>
        <w:contextualSpacing/>
        <w:rPr>
          <w:rFonts w:ascii="宋体" w:cs="仿宋_GB2312"/>
          <w:color w:val="auto"/>
          <w:sz w:val="24"/>
          <w:highlight w:val="none"/>
        </w:rPr>
      </w:pPr>
    </w:p>
    <w:p w14:paraId="3626164D">
      <w:pPr>
        <w:spacing w:line="360" w:lineRule="auto"/>
        <w:ind w:right="-817" w:rightChars="-389" w:firstLine="2880" w:firstLineChars="1200"/>
        <w:contextualSpacing/>
        <w:rPr>
          <w:rFonts w:ascii="宋体" w:cs="仿宋_GB2312"/>
          <w:color w:val="auto"/>
          <w:sz w:val="24"/>
          <w:highlight w:val="none"/>
        </w:rPr>
      </w:pPr>
    </w:p>
    <w:p w14:paraId="12BC4980">
      <w:pPr>
        <w:spacing w:line="360" w:lineRule="auto"/>
        <w:ind w:right="-817" w:rightChars="-389" w:firstLine="2880" w:firstLineChars="1200"/>
        <w:contextualSpacing/>
        <w:rPr>
          <w:rFonts w:ascii="宋体" w:cs="仿宋_GB2312"/>
          <w:color w:val="auto"/>
          <w:sz w:val="24"/>
          <w:highlight w:val="none"/>
        </w:rPr>
      </w:pPr>
    </w:p>
    <w:p w14:paraId="54870BB0">
      <w:pPr>
        <w:spacing w:line="360" w:lineRule="auto"/>
        <w:ind w:right="-817" w:rightChars="-389" w:firstLine="2880" w:firstLineChars="1200"/>
        <w:contextualSpacing/>
        <w:rPr>
          <w:rFonts w:ascii="宋体" w:cs="仿宋_GB2312"/>
          <w:color w:val="auto"/>
          <w:sz w:val="24"/>
          <w:highlight w:val="none"/>
        </w:rPr>
      </w:pPr>
    </w:p>
    <w:p w14:paraId="2D5413C8">
      <w:pPr>
        <w:spacing w:line="360" w:lineRule="auto"/>
        <w:ind w:right="-817" w:rightChars="-389" w:firstLine="3840" w:firstLineChars="1200"/>
        <w:contextualSpacing/>
        <w:rPr>
          <w:rFonts w:ascii="仿宋_GB2312" w:hAnsi="仿宋_GB2312" w:eastAsia="仿宋_GB2312" w:cs="仿宋_GB2312"/>
          <w:color w:val="auto"/>
          <w:sz w:val="32"/>
          <w:szCs w:val="32"/>
          <w:highlight w:val="none"/>
        </w:rPr>
      </w:pPr>
    </w:p>
    <w:p w14:paraId="2326F553">
      <w:pPr>
        <w:spacing w:line="300" w:lineRule="auto"/>
        <w:rPr>
          <w:rFonts w:ascii="宋体"/>
          <w:color w:val="auto"/>
          <w:szCs w:val="21"/>
          <w:highlight w:val="none"/>
        </w:rPr>
      </w:pPr>
      <w:r>
        <w:rPr>
          <w:rFonts w:ascii="宋体"/>
          <w:b/>
          <w:bCs/>
          <w:color w:val="auto"/>
          <w:sz w:val="24"/>
          <w:highlight w:val="none"/>
        </w:rPr>
        <w:br w:type="page"/>
      </w:r>
      <w:r>
        <w:rPr>
          <w:rFonts w:hint="eastAsia" w:ascii="宋体" w:hAnsi="宋体"/>
          <w:b/>
          <w:bCs/>
          <w:color w:val="auto"/>
          <w:sz w:val="24"/>
          <w:highlight w:val="none"/>
        </w:rPr>
        <w:t>其他文书、文件格式</w:t>
      </w:r>
    </w:p>
    <w:p w14:paraId="3D5C9F24">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bookmarkStart w:id="83" w:name="_Toc71365383"/>
      <w:bookmarkStart w:id="84"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83"/>
      <w:bookmarkEnd w:id="84"/>
    </w:p>
    <w:p w14:paraId="3057FEA5">
      <w:pPr>
        <w:rPr>
          <w:color w:val="auto"/>
          <w:highlight w:val="none"/>
        </w:rPr>
      </w:pPr>
    </w:p>
    <w:p w14:paraId="20F306F1">
      <w:pPr>
        <w:pStyle w:val="11"/>
        <w:spacing w:after="0" w:line="360" w:lineRule="auto"/>
        <w:ind w:left="-426" w:right="142" w:firstLine="640"/>
        <w:contextualSpacing/>
        <w:rPr>
          <w:rFonts w:ascii="宋体"/>
          <w:color w:val="auto"/>
          <w:sz w:val="24"/>
          <w:highlight w:val="none"/>
        </w:rPr>
      </w:pPr>
      <w:r>
        <w:rPr>
          <w:rFonts w:hint="eastAsia" w:ascii="宋体" w:hAnsi="宋体"/>
          <w:color w:val="auto"/>
          <w:sz w:val="24"/>
          <w:highlight w:val="none"/>
        </w:rPr>
        <w:t>本公司（联合体）郑重声明，根据《政府采购促进中小企业发展管理办法》（财库﹝</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w:t>
      </w:r>
      <w:r>
        <w:rPr>
          <w:rFonts w:hint="eastAsia" w:ascii="宋体" w:hAnsi="宋体"/>
          <w:color w:val="auto"/>
          <w:sz w:val="24"/>
          <w:highlight w:val="none"/>
        </w:rPr>
        <w:t>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采购活动，提供的货物全部由符合政策要求的中小企业制造。相关企业（含联合体中的中小企业、签订分包意向协议的中小企业）的具体情况如下：</w:t>
      </w:r>
    </w:p>
    <w:p w14:paraId="6C44ECA2">
      <w:pPr>
        <w:tabs>
          <w:tab w:val="left" w:pos="1384"/>
          <w:tab w:val="left" w:pos="4562"/>
          <w:tab w:val="left" w:pos="6803"/>
        </w:tabs>
        <w:spacing w:line="360" w:lineRule="auto"/>
        <w:ind w:left="-426" w:right="-58" w:firstLine="655"/>
        <w:contextualSpacing/>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1CD40B8D">
      <w:pPr>
        <w:pStyle w:val="11"/>
        <w:spacing w:after="0" w:line="360" w:lineRule="auto"/>
        <w:ind w:left="142" w:right="142"/>
        <w:contextualSpacing/>
        <w:rPr>
          <w:rFonts w:ascii="宋体"/>
          <w:color w:val="auto"/>
          <w:sz w:val="24"/>
          <w:highlight w:val="none"/>
        </w:rPr>
      </w:pPr>
      <w:r>
        <w:rPr>
          <w:rFonts w:hint="eastAsia" w:ascii="宋体"/>
          <w:color w:val="auto"/>
          <w:sz w:val="24"/>
          <w:highlight w:val="none"/>
        </w:rPr>
        <w:t>……</w:t>
      </w:r>
    </w:p>
    <w:p w14:paraId="52D0958F">
      <w:pPr>
        <w:pStyle w:val="11"/>
        <w:spacing w:after="0" w:line="360" w:lineRule="auto"/>
        <w:ind w:left="-405" w:leftChars="-193" w:right="142" w:firstLine="453" w:firstLineChars="189"/>
        <w:contextualSpacing/>
        <w:rPr>
          <w:rFonts w:asci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DB179A9">
      <w:pPr>
        <w:pStyle w:val="11"/>
        <w:spacing w:after="0" w:line="360" w:lineRule="auto"/>
        <w:ind w:left="-426" w:right="142" w:firstLine="567"/>
        <w:contextualSpacing/>
        <w:rPr>
          <w:rFonts w:asci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23E2E2B">
      <w:pPr>
        <w:pStyle w:val="11"/>
        <w:spacing w:after="0" w:line="360" w:lineRule="auto"/>
        <w:ind w:left="3960" w:right="1808"/>
        <w:contextualSpacing/>
        <w:rPr>
          <w:rFonts w:ascii="宋体"/>
          <w:color w:val="auto"/>
          <w:sz w:val="24"/>
          <w:highlight w:val="none"/>
        </w:rPr>
      </w:pPr>
    </w:p>
    <w:p w14:paraId="78B19D8D">
      <w:pPr>
        <w:pStyle w:val="11"/>
        <w:spacing w:after="0" w:line="360" w:lineRule="auto"/>
        <w:ind w:left="3960" w:right="1808"/>
        <w:contextualSpacing/>
        <w:rPr>
          <w:rFonts w:ascii="宋体"/>
          <w:color w:val="auto"/>
          <w:sz w:val="24"/>
          <w:highlight w:val="none"/>
        </w:rPr>
      </w:pPr>
      <w:r>
        <w:rPr>
          <w:rFonts w:hint="eastAsia" w:ascii="宋体" w:hAnsi="宋体"/>
          <w:color w:val="auto"/>
          <w:sz w:val="24"/>
          <w:highlight w:val="none"/>
        </w:rPr>
        <w:t>企业名称（电子签章）：</w:t>
      </w:r>
    </w:p>
    <w:p w14:paraId="4FC00BAB">
      <w:pPr>
        <w:pStyle w:val="11"/>
        <w:spacing w:after="0" w:line="360" w:lineRule="auto"/>
        <w:ind w:left="3960" w:right="1808"/>
        <w:contextualSpacing/>
        <w:rPr>
          <w:rFonts w:ascii="宋体"/>
          <w:color w:val="auto"/>
          <w:sz w:val="24"/>
          <w:highlight w:val="none"/>
        </w:rPr>
      </w:pPr>
      <w:r>
        <w:rPr>
          <w:rFonts w:hint="eastAsia" w:ascii="宋体" w:hAnsi="宋体"/>
          <w:color w:val="auto"/>
          <w:sz w:val="24"/>
          <w:highlight w:val="none"/>
        </w:rPr>
        <w:t>日期：</w:t>
      </w:r>
    </w:p>
    <w:p w14:paraId="5F2F98B8">
      <w:pPr>
        <w:pStyle w:val="11"/>
        <w:spacing w:after="0" w:line="360" w:lineRule="auto"/>
        <w:ind w:left="3960" w:right="1808"/>
        <w:contextualSpacing/>
        <w:rPr>
          <w:color w:val="auto"/>
          <w:highlight w:val="none"/>
        </w:rPr>
      </w:pPr>
    </w:p>
    <w:p w14:paraId="385A21CD">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注：享受《政府采购促进中小企业发展管理办法》（财库〔</w:t>
      </w:r>
      <w:r>
        <w:rPr>
          <w:rFonts w:ascii="宋体" w:hAnsi="宋体" w:cs="仿宋_GB2312"/>
          <w:color w:val="auto"/>
          <w:sz w:val="24"/>
          <w:highlight w:val="none"/>
        </w:rPr>
        <w:t>2020</w:t>
      </w:r>
      <w:r>
        <w:rPr>
          <w:rFonts w:hint="eastAsia" w:ascii="宋体" w:hAnsi="宋体" w:cs="仿宋_GB2312"/>
          <w:color w:val="auto"/>
          <w:sz w:val="24"/>
          <w:highlight w:val="none"/>
        </w:rPr>
        <w:t>〕</w:t>
      </w:r>
      <w:r>
        <w:rPr>
          <w:rFonts w:ascii="宋体" w:hAnsi="宋体" w:cs="仿宋_GB2312"/>
          <w:color w:val="auto"/>
          <w:sz w:val="24"/>
          <w:highlight w:val="none"/>
        </w:rPr>
        <w:t>46</w:t>
      </w:r>
      <w:r>
        <w:rPr>
          <w:rFonts w:hint="eastAsia" w:ascii="宋体" w:hAnsi="宋体" w:cs="仿宋_GB2312"/>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5E900583">
      <w:pPr>
        <w:spacing w:line="360" w:lineRule="auto"/>
        <w:contextualSpacing/>
        <w:jc w:val="center"/>
        <w:rPr>
          <w:rFonts w:ascii="仿宋_GB2312" w:hAnsi="仿宋_GB2312" w:eastAsia="仿宋_GB2312" w:cs="仿宋_GB2312"/>
          <w:color w:val="auto"/>
          <w:sz w:val="32"/>
          <w:szCs w:val="32"/>
          <w:highlight w:val="none"/>
        </w:rPr>
      </w:pPr>
      <w:r>
        <w:rPr>
          <w:rFonts w:asci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62017A70">
      <w:pPr>
        <w:spacing w:line="520" w:lineRule="exact"/>
        <w:rPr>
          <w:rFonts w:ascii="仿宋_GB2312" w:hAnsi="仿宋_GB2312" w:eastAsia="仿宋_GB2312" w:cs="仿宋_GB2312"/>
          <w:color w:val="auto"/>
          <w:sz w:val="32"/>
          <w:szCs w:val="32"/>
          <w:highlight w:val="none"/>
        </w:rPr>
      </w:pPr>
    </w:p>
    <w:p w14:paraId="33537B0E">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w:t>
      </w:r>
      <w:r>
        <w:rPr>
          <w:rFonts w:ascii="宋体" w:hAnsi="宋体" w:cs="仿宋_GB2312"/>
          <w:color w:val="auto"/>
          <w:sz w:val="24"/>
          <w:highlight w:val="none"/>
        </w:rPr>
        <w:t>2017</w:t>
      </w:r>
      <w:r>
        <w:rPr>
          <w:rFonts w:hint="eastAsia" w:ascii="宋体" w:hAnsi="宋体" w:cs="仿宋_GB2312"/>
          <w:color w:val="auto"/>
          <w:sz w:val="24"/>
          <w:highlight w:val="none"/>
        </w:rPr>
        <w:t>〕</w:t>
      </w:r>
      <w:r>
        <w:rPr>
          <w:rFonts w:ascii="宋体" w:hAnsi="宋体" w:cs="仿宋_GB2312"/>
          <w:color w:val="auto"/>
          <w:sz w:val="24"/>
          <w:highlight w:val="none"/>
        </w:rPr>
        <w:t>141</w:t>
      </w:r>
      <w:r>
        <w:rPr>
          <w:rFonts w:hint="eastAsia" w:ascii="宋体" w:hAnsi="宋体" w:cs="仿宋_GB2312"/>
          <w:color w:val="auto"/>
          <w:sz w:val="24"/>
          <w:highlight w:val="none"/>
        </w:rPr>
        <w:t>号）的规定，本单位为符合条件的残疾人福利性单位，且本单位参加单位的项目采购活动提供本单位制造的货物（由本单位承担工程</w:t>
      </w:r>
      <w:r>
        <w:rPr>
          <w:rFonts w:ascii="宋体" w:hAnsi="宋体" w:cs="仿宋_GB2312"/>
          <w:color w:val="auto"/>
          <w:sz w:val="24"/>
          <w:highlight w:val="none"/>
        </w:rPr>
        <w:t>/</w:t>
      </w:r>
      <w:r>
        <w:rPr>
          <w:rFonts w:hint="eastAsia" w:ascii="宋体" w:hAnsi="宋体" w:cs="仿宋_GB2312"/>
          <w:color w:val="auto"/>
          <w:sz w:val="24"/>
          <w:highlight w:val="none"/>
        </w:rPr>
        <w:t>提供服务），或者提供其他残疾人福利性单位制造的货物（不包括使用非残疾人福利性单位注册商标的货物）。</w:t>
      </w:r>
    </w:p>
    <w:p w14:paraId="60E2B8F8">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AC98719">
      <w:pPr>
        <w:spacing w:line="360" w:lineRule="auto"/>
        <w:contextualSpacing/>
        <w:rPr>
          <w:rFonts w:ascii="宋体" w:cs="仿宋_GB2312"/>
          <w:color w:val="auto"/>
          <w:sz w:val="24"/>
          <w:highlight w:val="none"/>
        </w:rPr>
      </w:pPr>
    </w:p>
    <w:p w14:paraId="28D865B5">
      <w:pPr>
        <w:spacing w:line="360" w:lineRule="auto"/>
        <w:contextualSpacing/>
        <w:rPr>
          <w:rFonts w:ascii="宋体" w:cs="仿宋_GB2312"/>
          <w:color w:val="auto"/>
          <w:sz w:val="24"/>
          <w:highlight w:val="none"/>
        </w:rPr>
      </w:pPr>
    </w:p>
    <w:p w14:paraId="7C80BDF0">
      <w:pPr>
        <w:spacing w:line="360" w:lineRule="auto"/>
        <w:contextualSpacing/>
        <w:rPr>
          <w:rFonts w:ascii="宋体" w:cs="仿宋_GB2312"/>
          <w:color w:val="auto"/>
          <w:sz w:val="24"/>
          <w:highlight w:val="none"/>
        </w:rPr>
      </w:pPr>
    </w:p>
    <w:p w14:paraId="595A127F">
      <w:pPr>
        <w:spacing w:line="360" w:lineRule="auto"/>
        <w:ind w:firstLine="2400" w:firstLineChars="1000"/>
        <w:contextualSpacing/>
        <w:rPr>
          <w:rFonts w:ascii="宋体" w:cs="仿宋_GB2312"/>
          <w:color w:val="auto"/>
          <w:sz w:val="24"/>
          <w:highlight w:val="none"/>
        </w:rPr>
      </w:pPr>
      <w:r>
        <w:rPr>
          <w:rFonts w:hint="eastAsia" w:ascii="宋体" w:hAnsi="宋体" w:cs="仿宋_GB2312"/>
          <w:color w:val="auto"/>
          <w:sz w:val="24"/>
          <w:highlight w:val="none"/>
        </w:rPr>
        <w:t>单位名称（电子签章）：</w:t>
      </w:r>
    </w:p>
    <w:p w14:paraId="6E863615">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日期：</w:t>
      </w:r>
    </w:p>
    <w:p w14:paraId="15A5DA7C">
      <w:pPr>
        <w:spacing w:line="360" w:lineRule="auto"/>
        <w:contextualSpacing/>
        <w:rPr>
          <w:rFonts w:ascii="宋体" w:cs="仿宋_GB2312"/>
          <w:color w:val="auto"/>
          <w:sz w:val="24"/>
          <w:highlight w:val="none"/>
        </w:rPr>
      </w:pPr>
    </w:p>
    <w:p w14:paraId="2AC51A91">
      <w:pPr>
        <w:spacing w:line="360" w:lineRule="auto"/>
        <w:contextualSpacing/>
        <w:rPr>
          <w:rFonts w:ascii="宋体" w:cs="仿宋_GB2312"/>
          <w:color w:val="auto"/>
          <w:sz w:val="24"/>
          <w:highlight w:val="none"/>
        </w:rPr>
      </w:pPr>
    </w:p>
    <w:p w14:paraId="08D451EF">
      <w:pPr>
        <w:spacing w:line="360" w:lineRule="auto"/>
        <w:contextualSpacing/>
        <w:rPr>
          <w:rFonts w:ascii="宋体" w:cs="仿宋_GB2312"/>
          <w:color w:val="auto"/>
          <w:sz w:val="24"/>
          <w:highlight w:val="none"/>
        </w:rPr>
      </w:pPr>
    </w:p>
    <w:p w14:paraId="3F313C16">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11242A81">
      <w:pPr>
        <w:spacing w:line="360" w:lineRule="auto"/>
        <w:jc w:val="center"/>
        <w:rPr>
          <w:rFonts w:ascii="宋体"/>
          <w:b/>
          <w:bCs/>
          <w:color w:val="auto"/>
          <w:sz w:val="32"/>
          <w:szCs w:val="32"/>
          <w:highlight w:val="none"/>
        </w:rPr>
      </w:pPr>
      <w:r>
        <w:rPr>
          <w:rFonts w:asci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7D358854">
      <w:pPr>
        <w:spacing w:line="360" w:lineRule="auto"/>
        <w:jc w:val="center"/>
        <w:rPr>
          <w:rFonts w:ascii="宋体"/>
          <w:b/>
          <w:bCs/>
          <w:color w:val="auto"/>
          <w:sz w:val="32"/>
          <w:szCs w:val="32"/>
          <w:highlight w:val="none"/>
        </w:rPr>
      </w:pPr>
    </w:p>
    <w:p w14:paraId="09F427F5">
      <w:pPr>
        <w:pStyle w:val="1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6400D3D4">
      <w:pPr>
        <w:pStyle w:val="1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A285F5A">
      <w:pPr>
        <w:pStyle w:val="1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5687F52C">
      <w:pPr>
        <w:pStyle w:val="1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6CEFFAB6">
      <w:pPr>
        <w:pStyle w:val="1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B96D507">
      <w:pPr>
        <w:pStyle w:val="15"/>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04F39BAF">
      <w:pPr>
        <w:pStyle w:val="15"/>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0E6D7160">
      <w:pPr>
        <w:pStyle w:val="15"/>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37CDD93D">
      <w:pPr>
        <w:pStyle w:val="15"/>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63EAF26">
      <w:pPr>
        <w:pStyle w:val="15"/>
        <w:spacing w:line="360" w:lineRule="auto"/>
        <w:ind w:left="25" w:leftChars="12" w:firstLine="472" w:firstLineChars="197"/>
        <w:contextualSpacing/>
        <w:rPr>
          <w:rFonts w:hAnsi="宋体"/>
          <w:color w:val="auto"/>
          <w:sz w:val="24"/>
          <w:szCs w:val="24"/>
          <w:highlight w:val="none"/>
          <w:u w:val="singl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264BB1F">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1F33B12">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int="eastAsia" w:hAnsi="宋体"/>
          <w:bCs/>
          <w:color w:val="auto"/>
          <w:sz w:val="24"/>
          <w:szCs w:val="24"/>
          <w:highlight w:val="none"/>
          <w:u w:val="single"/>
        </w:rPr>
        <w:t xml:space="preserve">                         </w:t>
      </w:r>
    </w:p>
    <w:p w14:paraId="7EA87929">
      <w:pPr>
        <w:pStyle w:val="1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□谈判文件        谈判文件获取日期：</w:t>
      </w:r>
      <w:r>
        <w:rPr>
          <w:rFonts w:hint="eastAsia" w:hAnsi="宋体"/>
          <w:bCs/>
          <w:color w:val="auto"/>
          <w:sz w:val="24"/>
          <w:szCs w:val="24"/>
          <w:highlight w:val="none"/>
          <w:u w:val="single"/>
        </w:rPr>
        <w:t xml:space="preserve">                         </w:t>
      </w:r>
    </w:p>
    <w:p w14:paraId="4767465A">
      <w:pPr>
        <w:pStyle w:val="15"/>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4CDEABC7">
      <w:pPr>
        <w:pStyle w:val="15"/>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26B5610D">
      <w:pPr>
        <w:pStyle w:val="15"/>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BFC3D84">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1</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3BA252EF">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68DEF2F8">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bCs/>
          <w:color w:val="auto"/>
          <w:sz w:val="24"/>
          <w:szCs w:val="24"/>
          <w:highlight w:val="none"/>
          <w:u w:val="single"/>
        </w:rPr>
        <w:t xml:space="preserve">                         </w:t>
      </w:r>
    </w:p>
    <w:p w14:paraId="5CAAA74F">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2</w:t>
      </w:r>
    </w:p>
    <w:p w14:paraId="3C04229C">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w:t>
      </w:r>
    </w:p>
    <w:p w14:paraId="2BDAC6C0">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54CB2D25">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43AF126">
      <w:pPr>
        <w:pStyle w:val="15"/>
        <w:spacing w:line="360" w:lineRule="auto"/>
        <w:ind w:left="25" w:leftChars="12" w:firstLine="352" w:firstLineChars="147"/>
        <w:contextualSpacing/>
        <w:rPr>
          <w:rFonts w:hAnsi="宋体"/>
          <w:color w:val="auto"/>
          <w:sz w:val="24"/>
          <w:szCs w:val="24"/>
          <w:highlight w:val="none"/>
        </w:rPr>
      </w:pPr>
    </w:p>
    <w:p w14:paraId="7F3F3621">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5256E268">
      <w:pPr>
        <w:pStyle w:val="15"/>
        <w:spacing w:line="360" w:lineRule="auto"/>
        <w:ind w:left="25" w:leftChars="12" w:firstLine="352" w:firstLineChars="147"/>
        <w:contextualSpacing/>
        <w:rPr>
          <w:rFonts w:hAnsi="宋体"/>
          <w:color w:val="auto"/>
          <w:sz w:val="24"/>
          <w:szCs w:val="24"/>
          <w:highlight w:val="none"/>
        </w:rPr>
      </w:pPr>
    </w:p>
    <w:p w14:paraId="44025BA3">
      <w:pPr>
        <w:pStyle w:val="15"/>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2885C8AF">
      <w:pPr>
        <w:pStyle w:val="15"/>
        <w:spacing w:line="360" w:lineRule="auto"/>
        <w:contextualSpacing/>
        <w:rPr>
          <w:rFonts w:hAnsi="宋体"/>
          <w:b/>
          <w:color w:val="auto"/>
          <w:sz w:val="24"/>
          <w:szCs w:val="24"/>
          <w:highlight w:val="none"/>
        </w:rPr>
      </w:pPr>
    </w:p>
    <w:p w14:paraId="6EE679B4">
      <w:pPr>
        <w:pStyle w:val="15"/>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52D5DF13">
      <w:pPr>
        <w:pStyle w:val="15"/>
        <w:spacing w:line="360" w:lineRule="auto"/>
        <w:ind w:left="25" w:leftChars="12" w:firstLine="354" w:firstLineChars="147"/>
        <w:contextualSpacing/>
        <w:rPr>
          <w:rFonts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供应商提出质疑时，应提交质疑函和必要的证明材料</w:t>
      </w:r>
      <w:r>
        <w:rPr>
          <w:rFonts w:hint="eastAsia" w:hAnsi="宋体"/>
          <w:b/>
          <w:bCs/>
          <w:color w:val="auto"/>
          <w:sz w:val="24"/>
          <w:szCs w:val="24"/>
          <w:highlight w:val="none"/>
        </w:rPr>
        <w:t>。</w:t>
      </w:r>
    </w:p>
    <w:p w14:paraId="27B0EDD6">
      <w:pPr>
        <w:pStyle w:val="15"/>
        <w:spacing w:line="360" w:lineRule="auto"/>
        <w:ind w:left="25" w:leftChars="12" w:firstLine="354" w:firstLineChars="147"/>
        <w:contextualSpacing/>
        <w:rPr>
          <w:rFonts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C870D2">
      <w:pPr>
        <w:pStyle w:val="1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w:t>
      </w:r>
      <w:r>
        <w:rPr>
          <w:rFonts w:hAnsi="宋体"/>
          <w:b/>
          <w:color w:val="auto"/>
          <w:sz w:val="24"/>
          <w:szCs w:val="24"/>
          <w:highlight w:val="none"/>
        </w:rPr>
        <w:t>.</w:t>
      </w:r>
      <w:r>
        <w:rPr>
          <w:rFonts w:hint="eastAsia" w:hAnsi="宋体"/>
          <w:b/>
          <w:color w:val="auto"/>
          <w:sz w:val="24"/>
          <w:szCs w:val="24"/>
          <w:highlight w:val="none"/>
        </w:rPr>
        <w:t>质疑函的质疑事项应具体、明确，并有必要的事实依据和法律依据。</w:t>
      </w:r>
    </w:p>
    <w:p w14:paraId="633191C7">
      <w:pPr>
        <w:pStyle w:val="15"/>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w:t>
      </w:r>
      <w:r>
        <w:rPr>
          <w:rFonts w:hAnsi="宋体"/>
          <w:b/>
          <w:color w:val="auto"/>
          <w:sz w:val="24"/>
          <w:szCs w:val="24"/>
          <w:highlight w:val="none"/>
        </w:rPr>
        <w:t>.</w:t>
      </w:r>
      <w:r>
        <w:rPr>
          <w:rFonts w:hint="eastAsia" w:hAnsi="宋体"/>
          <w:b/>
          <w:color w:val="auto"/>
          <w:sz w:val="24"/>
          <w:szCs w:val="24"/>
          <w:highlight w:val="none"/>
        </w:rPr>
        <w:t>质疑函的质疑请求应与质疑事项相关。</w:t>
      </w:r>
    </w:p>
    <w:p w14:paraId="3892B6F0">
      <w:pPr>
        <w:pStyle w:val="15"/>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w:t>
      </w:r>
      <w:r>
        <w:rPr>
          <w:rFonts w:hAnsi="宋体"/>
          <w:b/>
          <w:color w:val="auto"/>
          <w:sz w:val="24"/>
          <w:szCs w:val="24"/>
          <w:highlight w:val="none"/>
        </w:rPr>
        <w:t>.</w:t>
      </w:r>
      <w:r>
        <w:rPr>
          <w:rFonts w:hint="eastAsia" w:hAnsi="宋体"/>
          <w:b/>
          <w:color w:val="auto"/>
          <w:sz w:val="24"/>
          <w:szCs w:val="24"/>
          <w:highlight w:val="none"/>
        </w:rPr>
        <w:t>质疑供应商为法人或者其他组织的，质疑函应由法定代表人、主要负责人，或者其授权代表签字或者盖章，并加盖公章。</w:t>
      </w:r>
    </w:p>
    <w:p w14:paraId="1F452BDB">
      <w:pPr>
        <w:pStyle w:val="15"/>
        <w:snapToGrid w:val="0"/>
        <w:rPr>
          <w:b/>
          <w:color w:val="auto"/>
          <w:sz w:val="24"/>
          <w:szCs w:val="24"/>
          <w:highlight w:val="none"/>
        </w:rPr>
      </w:pPr>
    </w:p>
    <w:p w14:paraId="34A97BB2">
      <w:pPr>
        <w:rPr>
          <w:color w:val="auto"/>
          <w:highlight w:val="none"/>
        </w:rPr>
      </w:pPr>
      <w:r>
        <w:rPr>
          <w:color w:val="auto"/>
          <w:highlight w:val="none"/>
        </w:rPr>
        <w:br w:type="page"/>
      </w:r>
    </w:p>
    <w:p w14:paraId="1E9B374C">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5A99EF1D">
      <w:pPr>
        <w:pStyle w:val="1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83EE935">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p>
    <w:p w14:paraId="4D46B47F">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587C1F75">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w:t>
      </w:r>
      <w:r>
        <w:rPr>
          <w:rFonts w:hAnsi="宋体"/>
          <w:bCs/>
          <w:color w:val="auto"/>
          <w:sz w:val="24"/>
          <w:szCs w:val="24"/>
          <w:highlight w:val="none"/>
        </w:rPr>
        <w:t>/</w:t>
      </w:r>
      <w:r>
        <w:rPr>
          <w:rFonts w:hint="eastAsia" w:hAnsi="宋体"/>
          <w:bCs/>
          <w:color w:val="auto"/>
          <w:sz w:val="24"/>
          <w:szCs w:val="24"/>
          <w:highlight w:val="none"/>
        </w:rPr>
        <w:t>主要负责人：</w:t>
      </w:r>
      <w:r>
        <w:rPr>
          <w:rFonts w:hint="eastAsia" w:hAnsi="宋体"/>
          <w:bCs/>
          <w:color w:val="auto"/>
          <w:sz w:val="24"/>
          <w:szCs w:val="24"/>
          <w:highlight w:val="none"/>
          <w:u w:val="single"/>
        </w:rPr>
        <w:t xml:space="preserve">                         </w:t>
      </w:r>
    </w:p>
    <w:p w14:paraId="62C781B0">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2578C1C9">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55C9C2D0">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9D651F1">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287DFAD6">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1</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4153221">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CA6F6F9">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2FC10167">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0E62B46B">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2</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17B7DC5">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w:t>
      </w:r>
    </w:p>
    <w:p w14:paraId="3B5CB44B">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7A7B1F29">
      <w:pPr>
        <w:pStyle w:val="15"/>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1F606F8E">
      <w:pPr>
        <w:pStyle w:val="15"/>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6C573908">
      <w:pPr>
        <w:pStyle w:val="15"/>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2EA0CF42">
      <w:pPr>
        <w:pStyle w:val="1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81BA14D">
      <w:pPr>
        <w:pStyle w:val="15"/>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B2570E2">
      <w:pPr>
        <w:pStyle w:val="1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053820B">
      <w:pPr>
        <w:pStyle w:val="1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E366A57">
      <w:pPr>
        <w:pStyle w:val="15"/>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9BB3987">
      <w:pPr>
        <w:pStyle w:val="15"/>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85A553C">
      <w:pPr>
        <w:pStyle w:val="1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1DE5D89E">
      <w:pPr>
        <w:pStyle w:val="15"/>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w:t>
      </w:r>
      <w:r>
        <w:rPr>
          <w:rFonts w:hint="eastAsia" w:hAnsi="宋体"/>
          <w:bCs/>
          <w:color w:val="auto"/>
          <w:sz w:val="24"/>
          <w:szCs w:val="24"/>
          <w:highlight w:val="none"/>
          <w:u w:val="single"/>
        </w:rPr>
        <w:t xml:space="preserve">    </w:t>
      </w:r>
      <w:r>
        <w:rPr>
          <w:rFonts w:hint="eastAsia" w:hAnsi="宋体"/>
          <w:color w:val="auto"/>
          <w:sz w:val="24"/>
          <w:szCs w:val="24"/>
          <w:highlight w:val="none"/>
        </w:rPr>
        <w:t>年</w:t>
      </w:r>
      <w:r>
        <w:rPr>
          <w:rFonts w:hint="eastAsia" w:hAnsi="宋体"/>
          <w:bCs/>
          <w:color w:val="auto"/>
          <w:sz w:val="24"/>
          <w:szCs w:val="24"/>
          <w:highlight w:val="none"/>
          <w:u w:val="single"/>
        </w:rPr>
        <w:t xml:space="preserve">    </w:t>
      </w:r>
      <w:r>
        <w:rPr>
          <w:rFonts w:hint="eastAsia" w:hAnsi="宋体"/>
          <w:color w:val="auto"/>
          <w:sz w:val="24"/>
          <w:szCs w:val="24"/>
          <w:highlight w:val="none"/>
        </w:rPr>
        <w:t>月</w:t>
      </w:r>
      <w:r>
        <w:rPr>
          <w:rFonts w:hint="eastAsia" w:hAnsi="宋体"/>
          <w:bCs/>
          <w:color w:val="auto"/>
          <w:sz w:val="24"/>
          <w:szCs w:val="24"/>
          <w:highlight w:val="none"/>
          <w:u w:val="single"/>
        </w:rPr>
        <w:t xml:space="preserve">    </w:t>
      </w:r>
      <w:r>
        <w:rPr>
          <w:rFonts w:hint="eastAsia" w:hAnsi="宋体"/>
          <w:color w:val="auto"/>
          <w:sz w:val="24"/>
          <w:szCs w:val="24"/>
          <w:highlight w:val="none"/>
        </w:rPr>
        <w:t>日，向</w:t>
      </w:r>
      <w:r>
        <w:rPr>
          <w:rFonts w:hint="eastAsia" w:hAnsi="宋体"/>
          <w:bCs/>
          <w:color w:val="auto"/>
          <w:sz w:val="24"/>
          <w:szCs w:val="24"/>
          <w:highlight w:val="none"/>
          <w:u w:val="single"/>
        </w:rPr>
        <w:t xml:space="preserve">               </w:t>
      </w:r>
      <w:r>
        <w:rPr>
          <w:rFonts w:hint="eastAsia" w:hAnsi="宋体"/>
          <w:color w:val="auto"/>
          <w:sz w:val="24"/>
          <w:szCs w:val="24"/>
          <w:highlight w:val="none"/>
        </w:rPr>
        <w:t>提出质疑，质疑事项为：</w:t>
      </w:r>
      <w:r>
        <w:rPr>
          <w:rFonts w:hint="eastAsia" w:hAnsi="宋体"/>
          <w:bCs/>
          <w:color w:val="auto"/>
          <w:sz w:val="24"/>
          <w:szCs w:val="24"/>
          <w:highlight w:val="none"/>
          <w:u w:val="single"/>
        </w:rPr>
        <w:t xml:space="preserve">                                                                                      </w:t>
      </w:r>
    </w:p>
    <w:p w14:paraId="34A0BA72">
      <w:pPr>
        <w:pStyle w:val="15"/>
        <w:spacing w:line="360" w:lineRule="auto"/>
        <w:ind w:left="23" w:leftChars="11" w:firstLine="540" w:firstLineChars="225"/>
        <w:rPr>
          <w:rFonts w:hAnsi="宋体"/>
          <w:color w:val="auto"/>
          <w:sz w:val="24"/>
          <w:szCs w:val="24"/>
          <w:highlight w:val="none"/>
        </w:rPr>
      </w:pPr>
      <w:r>
        <w:rPr>
          <w:rFonts w:hint="eastAsia" w:ascii="Times New Roman" w:hAnsi="宋体"/>
          <w:bCs/>
          <w:color w:val="auto"/>
          <w:kern w:val="2"/>
          <w:sz w:val="24"/>
          <w:szCs w:val="24"/>
          <w:highlight w:val="none"/>
          <w:u w:val="single"/>
        </w:rPr>
        <w:t xml:space="preserve">                                                               </w:t>
      </w:r>
      <w:r>
        <w:rPr>
          <w:rFonts w:hint="eastAsia" w:hAnsi="宋体"/>
          <w:bCs/>
          <w:color w:val="auto"/>
          <w:sz w:val="24"/>
          <w:szCs w:val="24"/>
          <w:highlight w:val="none"/>
          <w:u w:val="single"/>
        </w:rPr>
        <w:t xml:space="preserve">                  </w:t>
      </w:r>
    </w:p>
    <w:p w14:paraId="65B538DF">
      <w:pPr>
        <w:pStyle w:val="15"/>
        <w:spacing w:line="360" w:lineRule="auto"/>
        <w:ind w:left="23" w:leftChars="11" w:firstLine="540" w:firstLineChars="225"/>
        <w:rPr>
          <w:rFonts w:hAnsi="宋体"/>
          <w:bCs/>
          <w:color w:val="auto"/>
          <w:sz w:val="24"/>
          <w:szCs w:val="24"/>
          <w:highlight w:val="none"/>
          <w:u w:val="single"/>
        </w:rPr>
      </w:pPr>
    </w:p>
    <w:p w14:paraId="05FF774E">
      <w:pPr>
        <w:pStyle w:val="15"/>
        <w:spacing w:line="360" w:lineRule="auto"/>
        <w:ind w:left="23" w:leftChars="11" w:firstLine="540" w:firstLineChars="225"/>
        <w:rPr>
          <w:rFonts w:hAnsi="宋体"/>
          <w:bCs/>
          <w:color w:val="auto"/>
          <w:sz w:val="24"/>
          <w:szCs w:val="24"/>
          <w:highlight w:val="none"/>
          <w:u w:val="single"/>
        </w:rPr>
      </w:pPr>
    </w:p>
    <w:p w14:paraId="7F9DAF8B">
      <w:pPr>
        <w:pStyle w:val="15"/>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w:t>
      </w:r>
      <w:r>
        <w:rPr>
          <w:rFonts w:hAnsi="宋体"/>
          <w:bCs/>
          <w:color w:val="auto"/>
          <w:sz w:val="24"/>
          <w:szCs w:val="24"/>
          <w:highlight w:val="none"/>
          <w:u w:val="single"/>
        </w:rPr>
        <w:t>/</w:t>
      </w:r>
      <w:r>
        <w:rPr>
          <w:rFonts w:hint="eastAsia" w:hAnsi="宋体"/>
          <w:bCs/>
          <w:color w:val="auto"/>
          <w:sz w:val="24"/>
          <w:szCs w:val="24"/>
          <w:highlight w:val="none"/>
          <w:u w:val="single"/>
        </w:rPr>
        <w:t>代理机构</w:t>
      </w:r>
      <w:r>
        <w:rPr>
          <w:rFonts w:hint="eastAsia" w:hAnsi="宋体"/>
          <w:bCs/>
          <w:color w:val="auto"/>
          <w:sz w:val="24"/>
          <w:szCs w:val="24"/>
          <w:highlight w:val="none"/>
        </w:rPr>
        <w:t>于</w:t>
      </w:r>
      <w:r>
        <w:rPr>
          <w:rFonts w:hint="eastAsia" w:hAnsi="宋体"/>
          <w:bCs/>
          <w:color w:val="auto"/>
          <w:sz w:val="24"/>
          <w:szCs w:val="24"/>
          <w:highlight w:val="none"/>
          <w:u w:val="single"/>
        </w:rPr>
        <w:t xml:space="preserve">    </w:t>
      </w:r>
      <w:r>
        <w:rPr>
          <w:rFonts w:hint="eastAsia" w:hAnsi="宋体"/>
          <w:color w:val="auto"/>
          <w:sz w:val="24"/>
          <w:szCs w:val="24"/>
          <w:highlight w:val="none"/>
        </w:rPr>
        <w:t>年</w:t>
      </w:r>
      <w:r>
        <w:rPr>
          <w:rFonts w:hint="eastAsia" w:hAnsi="宋体"/>
          <w:bCs/>
          <w:color w:val="auto"/>
          <w:sz w:val="24"/>
          <w:szCs w:val="24"/>
          <w:highlight w:val="none"/>
          <w:u w:val="single"/>
        </w:rPr>
        <w:t xml:space="preserve">    </w:t>
      </w:r>
      <w:r>
        <w:rPr>
          <w:rFonts w:hint="eastAsia" w:hAnsi="宋体"/>
          <w:color w:val="auto"/>
          <w:sz w:val="24"/>
          <w:szCs w:val="24"/>
          <w:highlight w:val="none"/>
        </w:rPr>
        <w:t>月</w:t>
      </w:r>
      <w:r>
        <w:rPr>
          <w:rFonts w:hint="eastAsia" w:hAnsi="宋体"/>
          <w:bCs/>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就质疑事项作出了答复</w:t>
      </w:r>
      <w:r>
        <w:rPr>
          <w:rFonts w:hAnsi="宋体"/>
          <w:bCs/>
          <w:color w:val="auto"/>
          <w:sz w:val="24"/>
          <w:szCs w:val="24"/>
          <w:highlight w:val="none"/>
        </w:rPr>
        <w:t>/</w:t>
      </w:r>
      <w:r>
        <w:rPr>
          <w:rFonts w:hint="eastAsia" w:hAnsi="宋体"/>
          <w:bCs/>
          <w:color w:val="auto"/>
          <w:sz w:val="24"/>
          <w:szCs w:val="24"/>
          <w:highlight w:val="none"/>
        </w:rPr>
        <w:t>没有在法定期限内作出答复。</w:t>
      </w:r>
    </w:p>
    <w:p w14:paraId="336BBC61">
      <w:pPr>
        <w:pStyle w:val="1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092027CB">
      <w:pPr>
        <w:pStyle w:val="15"/>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w:t>
      </w:r>
      <w:r>
        <w:rPr>
          <w:rFonts w:hAnsi="宋体"/>
          <w:color w:val="auto"/>
          <w:sz w:val="24"/>
          <w:szCs w:val="24"/>
          <w:highlight w:val="none"/>
        </w:rPr>
        <w:t>1</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106DA0D2">
      <w:pPr>
        <w:pStyle w:val="1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3F24270">
      <w:pPr>
        <w:pStyle w:val="15"/>
        <w:spacing w:line="360" w:lineRule="auto"/>
        <w:ind w:firstLine="480" w:firstLineChars="200"/>
        <w:rPr>
          <w:rFonts w:hAnsi="宋体"/>
          <w:bCs/>
          <w:color w:val="auto"/>
          <w:sz w:val="24"/>
          <w:szCs w:val="24"/>
          <w:highlight w:val="none"/>
          <w:u w:val="single"/>
        </w:rPr>
      </w:pPr>
      <w:r>
        <w:rPr>
          <w:rFonts w:hint="eastAsia" w:ascii="Times New Roman" w:hAnsi="宋体"/>
          <w:bCs/>
          <w:color w:val="auto"/>
          <w:kern w:val="2"/>
          <w:sz w:val="24"/>
          <w:szCs w:val="24"/>
          <w:highlight w:val="none"/>
          <w:u w:val="single"/>
        </w:rPr>
        <w:t xml:space="preserve">                                                                  </w:t>
      </w:r>
    </w:p>
    <w:p w14:paraId="75201087">
      <w:pPr>
        <w:pStyle w:val="15"/>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75CD480">
      <w:pPr>
        <w:pStyle w:val="15"/>
        <w:spacing w:line="360" w:lineRule="auto"/>
        <w:ind w:firstLine="480" w:firstLineChars="200"/>
        <w:rPr>
          <w:rFonts w:hAnsi="宋体"/>
          <w:bCs/>
          <w:color w:val="auto"/>
          <w:sz w:val="24"/>
          <w:szCs w:val="24"/>
          <w:highlight w:val="none"/>
          <w:u w:val="single"/>
        </w:rPr>
      </w:pPr>
      <w:r>
        <w:rPr>
          <w:rFonts w:hint="eastAsia" w:ascii="Times New Roman" w:hAnsi="宋体"/>
          <w:bCs/>
          <w:color w:val="auto"/>
          <w:kern w:val="2"/>
          <w:sz w:val="24"/>
          <w:szCs w:val="24"/>
          <w:highlight w:val="none"/>
          <w:u w:val="single"/>
        </w:rPr>
        <w:t xml:space="preserve">                                                                  </w:t>
      </w:r>
    </w:p>
    <w:p w14:paraId="68ECEA37">
      <w:pPr>
        <w:pStyle w:val="15"/>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投诉事项</w:t>
      </w:r>
      <w:r>
        <w:rPr>
          <w:rFonts w:hAnsi="宋体"/>
          <w:color w:val="auto"/>
          <w:sz w:val="24"/>
          <w:szCs w:val="24"/>
          <w:highlight w:val="none"/>
        </w:rPr>
        <w:t xml:space="preserve">2  </w:t>
      </w:r>
    </w:p>
    <w:p w14:paraId="6740E7C2">
      <w:pPr>
        <w:pStyle w:val="15"/>
        <w:spacing w:line="360" w:lineRule="auto"/>
        <w:ind w:left="25" w:leftChars="12" w:firstLine="472" w:firstLineChars="197"/>
        <w:rPr>
          <w:rFonts w:hAnsi="宋体"/>
          <w:bCs/>
          <w:color w:val="auto"/>
          <w:sz w:val="24"/>
          <w:szCs w:val="24"/>
          <w:highlight w:val="none"/>
        </w:rPr>
      </w:pPr>
      <w:r>
        <w:rPr>
          <w:rFonts w:hint="eastAsia" w:hAnsi="宋体"/>
          <w:bCs/>
          <w:color w:val="auto"/>
          <w:sz w:val="24"/>
          <w:szCs w:val="24"/>
          <w:highlight w:val="none"/>
        </w:rPr>
        <w:t>……</w:t>
      </w:r>
    </w:p>
    <w:p w14:paraId="42C35F37">
      <w:pPr>
        <w:pStyle w:val="15"/>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C45A9E9">
      <w:pPr>
        <w:pStyle w:val="15"/>
        <w:spacing w:line="360" w:lineRule="auto"/>
        <w:ind w:firstLine="480" w:firstLineChars="200"/>
        <w:rPr>
          <w:rFonts w:hAnsi="宋体"/>
          <w:bCs/>
          <w:color w:val="auto"/>
          <w:sz w:val="24"/>
          <w:szCs w:val="24"/>
          <w:highlight w:val="none"/>
          <w:u w:val="single"/>
        </w:rPr>
      </w:pPr>
      <w:r>
        <w:rPr>
          <w:rFonts w:hint="eastAsia" w:hAnsi="宋体"/>
          <w:color w:val="auto"/>
          <w:sz w:val="24"/>
          <w:szCs w:val="24"/>
          <w:highlight w:val="none"/>
        </w:rPr>
        <w:t xml:space="preserve">请求： </w:t>
      </w:r>
      <w:r>
        <w:rPr>
          <w:rFonts w:hint="eastAsia" w:hAnsi="宋体"/>
          <w:bCs/>
          <w:color w:val="auto"/>
          <w:sz w:val="24"/>
          <w:szCs w:val="24"/>
          <w:highlight w:val="none"/>
          <w:u w:val="single"/>
        </w:rPr>
        <w:t xml:space="preserve">                                                                                      </w:t>
      </w:r>
    </w:p>
    <w:p w14:paraId="448A9A63">
      <w:pPr>
        <w:pStyle w:val="15"/>
        <w:spacing w:line="360" w:lineRule="auto"/>
        <w:ind w:left="25" w:leftChars="12" w:firstLine="472" w:firstLineChars="197"/>
        <w:rPr>
          <w:rFonts w:hAnsi="宋体"/>
          <w:color w:val="auto"/>
          <w:sz w:val="24"/>
          <w:szCs w:val="24"/>
          <w:highlight w:val="none"/>
        </w:rPr>
      </w:pPr>
      <w:r>
        <w:rPr>
          <w:rFonts w:hint="eastAsia" w:ascii="Times New Roman" w:hAnsi="宋体"/>
          <w:bCs/>
          <w:color w:val="auto"/>
          <w:kern w:val="2"/>
          <w:sz w:val="24"/>
          <w:szCs w:val="24"/>
          <w:highlight w:val="none"/>
          <w:u w:val="single"/>
        </w:rPr>
        <w:t xml:space="preserve">                                                                  </w:t>
      </w:r>
    </w:p>
    <w:p w14:paraId="65F0C367">
      <w:pPr>
        <w:pStyle w:val="15"/>
        <w:spacing w:line="360" w:lineRule="auto"/>
        <w:ind w:left="25" w:leftChars="12" w:firstLine="352" w:firstLineChars="147"/>
        <w:rPr>
          <w:rFonts w:hAnsi="宋体"/>
          <w:color w:val="auto"/>
          <w:sz w:val="24"/>
          <w:szCs w:val="24"/>
          <w:highlight w:val="none"/>
        </w:rPr>
      </w:pPr>
    </w:p>
    <w:p w14:paraId="111A268F">
      <w:pPr>
        <w:pStyle w:val="1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368BB6C6">
      <w:pPr>
        <w:pStyle w:val="15"/>
        <w:spacing w:line="360" w:lineRule="auto"/>
        <w:ind w:left="25" w:leftChars="12" w:firstLine="352" w:firstLineChars="147"/>
        <w:rPr>
          <w:rFonts w:hAnsi="宋体"/>
          <w:color w:val="auto"/>
          <w:sz w:val="24"/>
          <w:szCs w:val="24"/>
          <w:highlight w:val="none"/>
        </w:rPr>
      </w:pPr>
    </w:p>
    <w:p w14:paraId="0C6F191F">
      <w:pPr>
        <w:pStyle w:val="15"/>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7ECDDA32">
      <w:pPr>
        <w:pStyle w:val="15"/>
        <w:spacing w:line="360" w:lineRule="auto"/>
        <w:ind w:left="25" w:leftChars="12" w:firstLine="472" w:firstLineChars="197"/>
        <w:rPr>
          <w:rFonts w:hAnsi="宋体"/>
          <w:color w:val="auto"/>
          <w:sz w:val="24"/>
          <w:szCs w:val="24"/>
          <w:highlight w:val="none"/>
        </w:rPr>
      </w:pPr>
    </w:p>
    <w:p w14:paraId="73B6125D">
      <w:pPr>
        <w:pStyle w:val="15"/>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2696AADF">
      <w:pPr>
        <w:pStyle w:val="15"/>
        <w:spacing w:line="360" w:lineRule="auto"/>
        <w:ind w:left="25" w:leftChars="12" w:firstLine="354" w:firstLineChars="147"/>
        <w:rPr>
          <w:rFonts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3DD426A">
      <w:pPr>
        <w:pStyle w:val="15"/>
        <w:spacing w:line="360" w:lineRule="auto"/>
        <w:ind w:left="25" w:leftChars="12" w:firstLine="354" w:firstLineChars="147"/>
        <w:rPr>
          <w:rFonts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59454A44">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w:t>
      </w:r>
      <w:r>
        <w:rPr>
          <w:rFonts w:hAnsi="宋体"/>
          <w:b/>
          <w:color w:val="auto"/>
          <w:sz w:val="24"/>
          <w:szCs w:val="24"/>
          <w:highlight w:val="none"/>
        </w:rPr>
        <w:t>.</w:t>
      </w:r>
      <w:r>
        <w:rPr>
          <w:rFonts w:hint="eastAsia" w:hAnsi="宋体"/>
          <w:b/>
          <w:color w:val="auto"/>
          <w:sz w:val="24"/>
          <w:szCs w:val="24"/>
          <w:highlight w:val="none"/>
        </w:rPr>
        <w:t>投诉书应简要列明质疑事项，质疑函、质疑答复等作为附件材料提供。</w:t>
      </w:r>
    </w:p>
    <w:p w14:paraId="56D5D2A7">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w:t>
      </w:r>
      <w:r>
        <w:rPr>
          <w:rFonts w:hAnsi="宋体"/>
          <w:b/>
          <w:color w:val="auto"/>
          <w:sz w:val="24"/>
          <w:szCs w:val="24"/>
          <w:highlight w:val="none"/>
        </w:rPr>
        <w:t>.</w:t>
      </w:r>
      <w:r>
        <w:rPr>
          <w:rFonts w:hint="eastAsia" w:hAnsi="宋体"/>
          <w:b/>
          <w:color w:val="auto"/>
          <w:sz w:val="24"/>
          <w:szCs w:val="24"/>
          <w:highlight w:val="none"/>
        </w:rPr>
        <w:t>投诉书的投诉事项应具体、明确，并有必要的事实依据和法律依据。</w:t>
      </w:r>
    </w:p>
    <w:p w14:paraId="6C2735AE">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w:t>
      </w:r>
      <w:r>
        <w:rPr>
          <w:rFonts w:hAnsi="宋体"/>
          <w:b/>
          <w:color w:val="auto"/>
          <w:sz w:val="24"/>
          <w:szCs w:val="24"/>
          <w:highlight w:val="none"/>
        </w:rPr>
        <w:t>.</w:t>
      </w:r>
      <w:r>
        <w:rPr>
          <w:rFonts w:hint="eastAsia" w:hAnsi="宋体"/>
          <w:b/>
          <w:color w:val="auto"/>
          <w:sz w:val="24"/>
          <w:szCs w:val="24"/>
          <w:highlight w:val="none"/>
        </w:rPr>
        <w:t>投诉书的投诉请求应与投诉事项相关。</w:t>
      </w:r>
    </w:p>
    <w:p w14:paraId="390DAA3C">
      <w:pPr>
        <w:pStyle w:val="15"/>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w:t>
      </w:r>
      <w:r>
        <w:rPr>
          <w:rFonts w:hAnsi="宋体"/>
          <w:b/>
          <w:color w:val="auto"/>
          <w:sz w:val="24"/>
          <w:szCs w:val="24"/>
          <w:highlight w:val="none"/>
        </w:rPr>
        <w:t>.</w:t>
      </w:r>
      <w:r>
        <w:rPr>
          <w:rFonts w:hint="eastAsia" w:hAnsi="宋体"/>
          <w:b/>
          <w:color w:val="auto"/>
          <w:sz w:val="24"/>
          <w:szCs w:val="24"/>
          <w:highlight w:val="none"/>
        </w:rPr>
        <w:t>投诉人为法人或者其他组织的，投诉书应由法定代表人、主要负责人，或者其授权代表签字或者盖章，并加盖公章。</w:t>
      </w:r>
    </w:p>
    <w:p w14:paraId="45DE9028">
      <w:pPr>
        <w:pStyle w:val="2"/>
        <w:spacing w:before="0" w:after="0"/>
        <w:jc w:val="center"/>
        <w:rPr>
          <w:rFonts w:ascii="宋体"/>
          <w:color w:val="auto"/>
          <w:kern w:val="2"/>
          <w:sz w:val="32"/>
          <w:szCs w:val="32"/>
          <w:highlight w:val="none"/>
        </w:rPr>
      </w:pPr>
      <w:r>
        <w:rPr>
          <w:color w:val="auto"/>
          <w:highlight w:val="none"/>
        </w:rPr>
        <w:br w:type="page"/>
      </w:r>
      <w:bookmarkStart w:id="85" w:name="_Toc74322013"/>
      <w:r>
        <w:rPr>
          <w:rFonts w:hint="eastAsia" w:ascii="宋体" w:hAnsi="宋体"/>
          <w:color w:val="auto"/>
          <w:kern w:val="2"/>
          <w:sz w:val="32"/>
          <w:szCs w:val="32"/>
          <w:highlight w:val="none"/>
        </w:rPr>
        <w:t>第六章 合同文本</w:t>
      </w:r>
      <w:bookmarkEnd w:id="85"/>
    </w:p>
    <w:p w14:paraId="7C0921AB">
      <w:pPr>
        <w:pStyle w:val="2"/>
        <w:spacing w:before="0" w:after="0"/>
        <w:jc w:val="center"/>
        <w:rPr>
          <w:rFonts w:ascii="宋体"/>
          <w:color w:val="auto"/>
          <w:kern w:val="2"/>
          <w:sz w:val="32"/>
          <w:szCs w:val="32"/>
          <w:highlight w:val="none"/>
        </w:rPr>
      </w:pPr>
      <w:r>
        <w:rPr>
          <w:rFonts w:hint="eastAsia" w:ascii="宋体" w:hAnsi="宋体"/>
          <w:color w:val="auto"/>
          <w:kern w:val="2"/>
          <w:sz w:val="32"/>
          <w:szCs w:val="32"/>
          <w:highlight w:val="none"/>
        </w:rPr>
        <w:t>《广西壮族自治区政府采购合同》文本</w:t>
      </w:r>
    </w:p>
    <w:p w14:paraId="4171E358">
      <w:pPr>
        <w:snapToGrid w:val="0"/>
        <w:spacing w:line="400" w:lineRule="exact"/>
        <w:ind w:right="480" w:firstLine="5250" w:firstLineChars="2500"/>
        <w:rPr>
          <w:rFonts w:ascii="宋体" w:cs="宋体"/>
          <w:bCs/>
          <w:color w:val="auto"/>
          <w:szCs w:val="21"/>
          <w:highlight w:val="none"/>
          <w:u w:val="single"/>
        </w:rPr>
      </w:pPr>
      <w:r>
        <w:rPr>
          <w:rFonts w:hint="eastAsia" w:ascii="宋体" w:hAnsi="宋体" w:cs="宋体"/>
          <w:bCs/>
          <w:color w:val="auto"/>
          <w:szCs w:val="21"/>
          <w:highlight w:val="none"/>
        </w:rPr>
        <w:t>合同编号：</w:t>
      </w:r>
      <w:r>
        <w:rPr>
          <w:rFonts w:hint="eastAsia" w:ascii="宋体" w:hAnsi="宋体"/>
          <w:color w:val="auto"/>
          <w:sz w:val="24"/>
          <w:highlight w:val="none"/>
          <w:u w:val="single"/>
        </w:rPr>
        <w:t xml:space="preserve">                  </w:t>
      </w:r>
    </w:p>
    <w:p w14:paraId="06A4AC6E">
      <w:pPr>
        <w:snapToGrid w:val="0"/>
        <w:spacing w:line="400" w:lineRule="exact"/>
        <w:rPr>
          <w:rFonts w:ascii="宋体" w:cs="宋体"/>
          <w:color w:val="auto"/>
          <w:szCs w:val="21"/>
          <w:highlight w:val="none"/>
        </w:rPr>
      </w:pPr>
    </w:p>
    <w:p w14:paraId="4319F420">
      <w:pPr>
        <w:snapToGrid w:val="0"/>
        <w:spacing w:line="360" w:lineRule="auto"/>
        <w:rPr>
          <w:rFonts w:ascii="宋体"/>
          <w:color w:val="auto"/>
          <w:sz w:val="24"/>
          <w:highlight w:val="none"/>
          <w:u w:val="single"/>
        </w:rPr>
      </w:pPr>
      <w:r>
        <w:rPr>
          <w:rFonts w:hint="eastAsia" w:ascii="宋体" w:hAnsi="宋体"/>
          <w:color w:val="auto"/>
          <w:sz w:val="24"/>
          <w:highlight w:val="none"/>
        </w:rPr>
        <w:t>采购人（甲方）：</w:t>
      </w:r>
      <w:r>
        <w:rPr>
          <w:rFonts w:hint="eastAsia" w:ascii="宋体" w:hAnsi="宋体"/>
          <w:color w:val="auto"/>
          <w:sz w:val="24"/>
          <w:highlight w:val="none"/>
          <w:u w:val="single"/>
        </w:rPr>
        <w:t>广西师范大学</w:t>
      </w:r>
    </w:p>
    <w:p w14:paraId="6DEBC7D9">
      <w:pPr>
        <w:snapToGrid w:val="0"/>
        <w:spacing w:line="360" w:lineRule="auto"/>
        <w:rPr>
          <w:rFonts w:ascii="宋体"/>
          <w:color w:val="auto"/>
          <w:sz w:val="24"/>
          <w:highlight w:val="none"/>
          <w:u w:val="single"/>
        </w:rPr>
      </w:pPr>
      <w:r>
        <w:rPr>
          <w:rFonts w:hint="eastAsia" w:ascii="宋体" w:hAnsi="宋体"/>
          <w:color w:val="auto"/>
          <w:sz w:val="24"/>
          <w:highlight w:val="none"/>
        </w:rPr>
        <w:t>供应商（乙方）：</w:t>
      </w:r>
      <w:r>
        <w:rPr>
          <w:rFonts w:hint="eastAsia" w:ascii="宋体"/>
          <w:color w:val="auto"/>
          <w:sz w:val="24"/>
          <w:highlight w:val="none"/>
          <w:u w:val="single"/>
        </w:rPr>
        <w:t xml:space="preserve">               </w:t>
      </w:r>
    </w:p>
    <w:p w14:paraId="59E3D0AA">
      <w:pPr>
        <w:snapToGrid w:val="0"/>
        <w:spacing w:line="360" w:lineRule="auto"/>
        <w:rPr>
          <w:rFonts w:ascii="宋体" w:hAnsi="宋体"/>
          <w:color w:val="auto"/>
          <w:sz w:val="24"/>
          <w:highlight w:val="none"/>
        </w:rPr>
      </w:pPr>
      <w:r>
        <w:rPr>
          <w:rFonts w:hint="eastAsia" w:ascii="宋体" w:hAnsi="宋体"/>
          <w:color w:val="auto"/>
          <w:sz w:val="24"/>
          <w:highlight w:val="none"/>
        </w:rPr>
        <w:t>采购计划号：</w:t>
      </w:r>
      <w:r>
        <w:rPr>
          <w:rFonts w:hint="eastAsia" w:ascii="宋体" w:hAnsi="宋体"/>
          <w:color w:val="auto"/>
          <w:sz w:val="24"/>
          <w:highlight w:val="none"/>
          <w:u w:val="single"/>
        </w:rPr>
        <w:t>广西政采[2025]11818号</w:t>
      </w:r>
    </w:p>
    <w:p w14:paraId="00BD8E7B">
      <w:pPr>
        <w:snapToGrid w:val="0"/>
        <w:spacing w:line="360" w:lineRule="auto"/>
        <w:rPr>
          <w:rFonts w:asci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环境学院实验教学中心仪器设备采购</w:t>
      </w:r>
    </w:p>
    <w:p w14:paraId="1F904AB6">
      <w:pPr>
        <w:snapToGrid w:val="0"/>
        <w:spacing w:line="360" w:lineRule="auto"/>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GXZC2025-J1-001715-YZLZ</w:t>
      </w:r>
      <w:r>
        <w:rPr>
          <w:rFonts w:hint="eastAsia" w:ascii="宋体" w:hAnsi="宋体"/>
          <w:color w:val="auto"/>
          <w:szCs w:val="21"/>
          <w:highlight w:val="none"/>
          <w:u w:val="single"/>
        </w:rPr>
        <w:t xml:space="preserve"> </w:t>
      </w:r>
    </w:p>
    <w:p w14:paraId="21A24CEF">
      <w:pPr>
        <w:snapToGrid w:val="0"/>
        <w:spacing w:line="360" w:lineRule="auto"/>
        <w:rPr>
          <w:rFonts w:ascii="宋体"/>
          <w:color w:val="auto"/>
          <w:sz w:val="24"/>
          <w:highlight w:val="none"/>
        </w:rPr>
      </w:pPr>
      <w:r>
        <w:rPr>
          <w:rFonts w:hint="eastAsia" w:ascii="宋体" w:hAnsi="宋体"/>
          <w:color w:val="auto"/>
          <w:sz w:val="24"/>
          <w:highlight w:val="none"/>
        </w:rPr>
        <w:t>合同类型：</w:t>
      </w:r>
      <w:r>
        <w:rPr>
          <w:rFonts w:hint="eastAsia" w:ascii="宋体" w:hAnsi="宋体"/>
          <w:color w:val="auto"/>
          <w:sz w:val="24"/>
          <w:highlight w:val="none"/>
          <w:u w:val="single"/>
        </w:rPr>
        <w:t>买卖合同</w:t>
      </w:r>
    </w:p>
    <w:p w14:paraId="79DAFCE1">
      <w:pPr>
        <w:pStyle w:val="9"/>
        <w:rPr>
          <w:rFonts w:ascii="宋体" w:hAnsi="宋体" w:cs="宋体"/>
          <w:color w:val="auto"/>
          <w:sz w:val="24"/>
          <w:highlight w:val="none"/>
        </w:rPr>
      </w:pPr>
      <w:r>
        <w:rPr>
          <w:rFonts w:hint="eastAsia" w:ascii="宋体" w:hAnsi="宋体" w:cs="宋体"/>
          <w:color w:val="auto"/>
          <w:sz w:val="24"/>
          <w:highlight w:val="none"/>
        </w:rPr>
        <w:t>本合同是否为中小企业预留合同：</w:t>
      </w:r>
      <w:r>
        <w:rPr>
          <w:rFonts w:hint="eastAsia" w:ascii="宋体" w:hAnsi="宋体" w:cs="宋体"/>
          <w:color w:val="auto"/>
          <w:sz w:val="24"/>
          <w:highlight w:val="none"/>
          <w:u w:val="single"/>
        </w:rPr>
        <w:t>本项目非专门面向中小企业，不属于中小企业预留合同</w:t>
      </w:r>
      <w:r>
        <w:rPr>
          <w:rFonts w:hint="eastAsia" w:ascii="宋体" w:hAnsi="宋体" w:cs="宋体"/>
          <w:color w:val="auto"/>
          <w:sz w:val="24"/>
          <w:highlight w:val="none"/>
        </w:rPr>
        <w:t>。</w:t>
      </w:r>
    </w:p>
    <w:p w14:paraId="6881702E">
      <w:pPr>
        <w:pStyle w:val="9"/>
        <w:rPr>
          <w:rFonts w:ascii="宋体" w:hAnsi="宋体" w:cs="宋体"/>
          <w:color w:val="auto"/>
          <w:sz w:val="24"/>
          <w:highlight w:val="none"/>
        </w:rPr>
      </w:pPr>
    </w:p>
    <w:p w14:paraId="7D156AB8">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根据《中华人民共和国政府采购法》、《政府采购非招标采购方式管理办法》、《中华人民共和国民法典》等法律、法规规定，按照采购文件规定条款和乙方响应承诺，甲乙双方签订本合同。</w:t>
      </w:r>
    </w:p>
    <w:p w14:paraId="027FBAD1">
      <w:pPr>
        <w:snapToGrid w:val="0"/>
        <w:spacing w:line="360" w:lineRule="auto"/>
        <w:ind w:firstLine="482" w:firstLineChars="200"/>
        <w:rPr>
          <w:rFonts w:ascii="宋体"/>
          <w:b/>
          <w:color w:val="auto"/>
          <w:sz w:val="24"/>
          <w:highlight w:val="none"/>
        </w:rPr>
      </w:pPr>
      <w:r>
        <w:rPr>
          <w:rFonts w:hint="eastAsia" w:ascii="宋体" w:hAnsi="宋体"/>
          <w:b/>
          <w:color w:val="auto"/>
          <w:sz w:val="24"/>
          <w:highlight w:val="none"/>
        </w:rPr>
        <w:t>第一条　合同标的</w:t>
      </w:r>
    </w:p>
    <w:tbl>
      <w:tblPr>
        <w:tblStyle w:val="25"/>
        <w:tblW w:w="10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65"/>
        <w:gridCol w:w="1406"/>
        <w:gridCol w:w="1297"/>
        <w:gridCol w:w="1349"/>
        <w:gridCol w:w="776"/>
        <w:gridCol w:w="804"/>
        <w:gridCol w:w="863"/>
        <w:gridCol w:w="863"/>
        <w:gridCol w:w="832"/>
      </w:tblGrid>
      <w:tr w14:paraId="2DC8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Align w:val="center"/>
          </w:tcPr>
          <w:p w14:paraId="219991A6">
            <w:pPr>
              <w:snapToGrid w:val="0"/>
              <w:spacing w:line="340" w:lineRule="exact"/>
              <w:jc w:val="center"/>
              <w:rPr>
                <w:rFonts w:ascii="宋体" w:hAnsi="宋体"/>
                <w:color w:val="auto"/>
                <w:sz w:val="24"/>
                <w:highlight w:val="none"/>
              </w:rPr>
            </w:pPr>
            <w:r>
              <w:rPr>
                <w:rFonts w:hint="eastAsia" w:ascii="宋体" w:hAnsi="宋体"/>
                <w:color w:val="auto"/>
                <w:sz w:val="24"/>
                <w:highlight w:val="none"/>
              </w:rPr>
              <w:t>项号</w:t>
            </w:r>
          </w:p>
        </w:tc>
        <w:tc>
          <w:tcPr>
            <w:tcW w:w="1765" w:type="dxa"/>
            <w:vAlign w:val="center"/>
          </w:tcPr>
          <w:p w14:paraId="0E734B24">
            <w:pPr>
              <w:snapToGrid w:val="0"/>
              <w:spacing w:line="340" w:lineRule="exact"/>
              <w:jc w:val="center"/>
              <w:rPr>
                <w:rFonts w:ascii="宋体" w:hAnsi="宋体"/>
                <w:color w:val="auto"/>
                <w:sz w:val="24"/>
                <w:highlight w:val="none"/>
              </w:rPr>
            </w:pPr>
            <w:r>
              <w:rPr>
                <w:rFonts w:hint="eastAsia" w:ascii="宋体" w:hAnsi="宋体"/>
                <w:color w:val="auto"/>
                <w:sz w:val="24"/>
                <w:highlight w:val="none"/>
              </w:rPr>
              <w:t>标的的名称</w:t>
            </w:r>
          </w:p>
        </w:tc>
        <w:tc>
          <w:tcPr>
            <w:tcW w:w="1406" w:type="dxa"/>
            <w:vAlign w:val="center"/>
          </w:tcPr>
          <w:p w14:paraId="46DB60A2">
            <w:pPr>
              <w:snapToGrid w:val="0"/>
              <w:spacing w:line="340" w:lineRule="exact"/>
              <w:jc w:val="center"/>
              <w:rPr>
                <w:rFonts w:ascii="宋体"/>
                <w:color w:val="auto"/>
                <w:sz w:val="24"/>
                <w:highlight w:val="none"/>
              </w:rPr>
            </w:pPr>
            <w:r>
              <w:rPr>
                <w:rFonts w:hint="eastAsia" w:ascii="宋体" w:hAnsi="宋体"/>
                <w:color w:val="auto"/>
                <w:sz w:val="24"/>
                <w:highlight w:val="none"/>
              </w:rPr>
              <w:t>商标品牌</w:t>
            </w:r>
          </w:p>
        </w:tc>
        <w:tc>
          <w:tcPr>
            <w:tcW w:w="1297" w:type="dxa"/>
            <w:vAlign w:val="center"/>
          </w:tcPr>
          <w:p w14:paraId="79CB9129">
            <w:pPr>
              <w:snapToGrid w:val="0"/>
              <w:spacing w:line="340" w:lineRule="exact"/>
              <w:jc w:val="center"/>
              <w:rPr>
                <w:rFonts w:ascii="宋体"/>
                <w:color w:val="auto"/>
                <w:sz w:val="24"/>
                <w:highlight w:val="none"/>
              </w:rPr>
            </w:pPr>
            <w:r>
              <w:rPr>
                <w:rFonts w:hint="eastAsia" w:ascii="宋体" w:hAnsi="宋体"/>
                <w:color w:val="auto"/>
                <w:sz w:val="24"/>
                <w:highlight w:val="none"/>
              </w:rPr>
              <w:t>规格型号</w:t>
            </w:r>
          </w:p>
        </w:tc>
        <w:tc>
          <w:tcPr>
            <w:tcW w:w="1349" w:type="dxa"/>
            <w:vAlign w:val="center"/>
          </w:tcPr>
          <w:p w14:paraId="79F3AD8C">
            <w:pPr>
              <w:snapToGrid w:val="0"/>
              <w:spacing w:line="340" w:lineRule="exact"/>
              <w:jc w:val="center"/>
              <w:rPr>
                <w:rFonts w:ascii="宋体"/>
                <w:color w:val="auto"/>
                <w:sz w:val="24"/>
                <w:highlight w:val="none"/>
              </w:rPr>
            </w:pPr>
            <w:r>
              <w:rPr>
                <w:rFonts w:hint="eastAsia" w:ascii="宋体" w:hAnsi="宋体"/>
                <w:color w:val="auto"/>
                <w:sz w:val="24"/>
                <w:highlight w:val="none"/>
              </w:rPr>
              <w:t>生产厂家、原产地</w:t>
            </w:r>
          </w:p>
        </w:tc>
        <w:tc>
          <w:tcPr>
            <w:tcW w:w="776" w:type="dxa"/>
            <w:vAlign w:val="center"/>
          </w:tcPr>
          <w:p w14:paraId="1DE875C9">
            <w:pPr>
              <w:snapToGrid w:val="0"/>
              <w:spacing w:line="340" w:lineRule="exact"/>
              <w:jc w:val="center"/>
              <w:rPr>
                <w:rFonts w:ascii="宋体"/>
                <w:color w:val="auto"/>
                <w:sz w:val="24"/>
                <w:highlight w:val="none"/>
              </w:rPr>
            </w:pPr>
            <w:r>
              <w:rPr>
                <w:rFonts w:hint="eastAsia" w:ascii="宋体" w:hAnsi="宋体"/>
                <w:color w:val="auto"/>
                <w:sz w:val="24"/>
                <w:highlight w:val="none"/>
              </w:rPr>
              <w:t>数量</w:t>
            </w:r>
          </w:p>
        </w:tc>
        <w:tc>
          <w:tcPr>
            <w:tcW w:w="804" w:type="dxa"/>
            <w:vAlign w:val="center"/>
          </w:tcPr>
          <w:p w14:paraId="045DB8BA">
            <w:pPr>
              <w:snapToGrid w:val="0"/>
              <w:spacing w:line="340" w:lineRule="exact"/>
              <w:jc w:val="center"/>
              <w:rPr>
                <w:rFonts w:ascii="宋体"/>
                <w:color w:val="auto"/>
                <w:sz w:val="24"/>
                <w:highlight w:val="none"/>
              </w:rPr>
            </w:pPr>
            <w:r>
              <w:rPr>
                <w:rFonts w:hint="eastAsia" w:ascii="宋体" w:hAnsi="宋体"/>
                <w:color w:val="auto"/>
                <w:sz w:val="24"/>
                <w:highlight w:val="none"/>
              </w:rPr>
              <w:t>单位</w:t>
            </w:r>
          </w:p>
        </w:tc>
        <w:tc>
          <w:tcPr>
            <w:tcW w:w="863" w:type="dxa"/>
            <w:vAlign w:val="center"/>
          </w:tcPr>
          <w:p w14:paraId="1022305A">
            <w:pPr>
              <w:snapToGrid w:val="0"/>
              <w:spacing w:line="340" w:lineRule="exact"/>
              <w:jc w:val="center"/>
              <w:rPr>
                <w:rFonts w:ascii="宋体" w:hAnsi="宋体"/>
                <w:color w:val="auto"/>
                <w:sz w:val="24"/>
                <w:highlight w:val="none"/>
              </w:rPr>
            </w:pPr>
            <w:r>
              <w:rPr>
                <w:rFonts w:hint="eastAsia" w:ascii="宋体" w:hAnsi="宋体"/>
                <w:color w:val="auto"/>
                <w:sz w:val="24"/>
                <w:highlight w:val="none"/>
              </w:rPr>
              <w:t>技术参数</w:t>
            </w:r>
          </w:p>
        </w:tc>
        <w:tc>
          <w:tcPr>
            <w:tcW w:w="863" w:type="dxa"/>
            <w:vAlign w:val="center"/>
          </w:tcPr>
          <w:p w14:paraId="7EDE298A">
            <w:pPr>
              <w:snapToGrid w:val="0"/>
              <w:spacing w:line="340" w:lineRule="exact"/>
              <w:jc w:val="center"/>
              <w:rPr>
                <w:rFonts w:ascii="宋体"/>
                <w:color w:val="auto"/>
                <w:sz w:val="24"/>
                <w:highlight w:val="none"/>
              </w:rPr>
            </w:pPr>
            <w:r>
              <w:rPr>
                <w:rFonts w:hint="eastAsia" w:ascii="宋体" w:hAnsi="宋体"/>
                <w:color w:val="auto"/>
                <w:sz w:val="24"/>
                <w:highlight w:val="none"/>
              </w:rPr>
              <w:t>单价</w:t>
            </w:r>
          </w:p>
          <w:p w14:paraId="56E39DC0">
            <w:pPr>
              <w:snapToGrid w:val="0"/>
              <w:spacing w:line="340" w:lineRule="exact"/>
              <w:jc w:val="center"/>
              <w:rPr>
                <w:rFonts w:ascii="宋体"/>
                <w:color w:val="auto"/>
                <w:sz w:val="24"/>
                <w:highlight w:val="none"/>
              </w:rPr>
            </w:pPr>
            <w:r>
              <w:rPr>
                <w:rFonts w:hint="eastAsia" w:ascii="宋体" w:hAnsi="宋体"/>
                <w:color w:val="auto"/>
                <w:sz w:val="24"/>
                <w:highlight w:val="none"/>
              </w:rPr>
              <w:t>（元）</w:t>
            </w:r>
          </w:p>
        </w:tc>
        <w:tc>
          <w:tcPr>
            <w:tcW w:w="832" w:type="dxa"/>
            <w:vAlign w:val="center"/>
          </w:tcPr>
          <w:p w14:paraId="30F0148F">
            <w:pPr>
              <w:snapToGrid w:val="0"/>
              <w:spacing w:line="340" w:lineRule="exact"/>
              <w:jc w:val="center"/>
              <w:rPr>
                <w:rFonts w:ascii="宋体"/>
                <w:color w:val="auto"/>
                <w:sz w:val="24"/>
                <w:highlight w:val="none"/>
              </w:rPr>
            </w:pPr>
            <w:r>
              <w:rPr>
                <w:rFonts w:hint="eastAsia" w:ascii="宋体" w:hAnsi="宋体"/>
                <w:color w:val="auto"/>
                <w:sz w:val="24"/>
                <w:highlight w:val="none"/>
              </w:rPr>
              <w:t>金额</w:t>
            </w:r>
          </w:p>
          <w:p w14:paraId="5DD00FD2">
            <w:pPr>
              <w:snapToGrid w:val="0"/>
              <w:spacing w:line="340" w:lineRule="exact"/>
              <w:jc w:val="center"/>
              <w:rPr>
                <w:rFonts w:ascii="宋体"/>
                <w:color w:val="auto"/>
                <w:sz w:val="24"/>
                <w:highlight w:val="none"/>
              </w:rPr>
            </w:pPr>
            <w:r>
              <w:rPr>
                <w:rFonts w:hint="eastAsia" w:ascii="宋体" w:hAnsi="宋体"/>
                <w:color w:val="auto"/>
                <w:sz w:val="24"/>
                <w:highlight w:val="none"/>
              </w:rPr>
              <w:t>（元）</w:t>
            </w:r>
          </w:p>
        </w:tc>
      </w:tr>
      <w:tr w14:paraId="265B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3F40B8A5">
            <w:pPr>
              <w:snapToGrid w:val="0"/>
              <w:spacing w:line="360" w:lineRule="auto"/>
              <w:jc w:val="center"/>
              <w:rPr>
                <w:rFonts w:ascii="宋体"/>
                <w:color w:val="auto"/>
                <w:sz w:val="24"/>
                <w:highlight w:val="none"/>
              </w:rPr>
            </w:pPr>
            <w:r>
              <w:rPr>
                <w:rFonts w:hint="eastAsia" w:ascii="宋体"/>
                <w:color w:val="auto"/>
                <w:sz w:val="24"/>
                <w:highlight w:val="none"/>
              </w:rPr>
              <w:t>1</w:t>
            </w:r>
          </w:p>
        </w:tc>
        <w:tc>
          <w:tcPr>
            <w:tcW w:w="1765" w:type="dxa"/>
            <w:vAlign w:val="center"/>
          </w:tcPr>
          <w:p w14:paraId="541C700B">
            <w:pPr>
              <w:snapToGrid w:val="0"/>
              <w:spacing w:line="360" w:lineRule="auto"/>
              <w:jc w:val="center"/>
              <w:rPr>
                <w:rFonts w:ascii="宋体"/>
                <w:color w:val="auto"/>
                <w:sz w:val="24"/>
                <w:highlight w:val="none"/>
              </w:rPr>
            </w:pPr>
          </w:p>
        </w:tc>
        <w:tc>
          <w:tcPr>
            <w:tcW w:w="1406" w:type="dxa"/>
            <w:vAlign w:val="center"/>
          </w:tcPr>
          <w:p w14:paraId="2E9EDEB8">
            <w:pPr>
              <w:snapToGrid w:val="0"/>
              <w:spacing w:line="360" w:lineRule="auto"/>
              <w:jc w:val="center"/>
              <w:rPr>
                <w:rFonts w:ascii="宋体"/>
                <w:color w:val="auto"/>
                <w:sz w:val="24"/>
                <w:highlight w:val="none"/>
              </w:rPr>
            </w:pPr>
          </w:p>
        </w:tc>
        <w:tc>
          <w:tcPr>
            <w:tcW w:w="1297" w:type="dxa"/>
            <w:vAlign w:val="center"/>
          </w:tcPr>
          <w:p w14:paraId="5F245F32">
            <w:pPr>
              <w:snapToGrid w:val="0"/>
              <w:spacing w:line="360" w:lineRule="auto"/>
              <w:jc w:val="center"/>
              <w:rPr>
                <w:rFonts w:ascii="宋体"/>
                <w:color w:val="auto"/>
                <w:sz w:val="24"/>
                <w:highlight w:val="none"/>
              </w:rPr>
            </w:pPr>
          </w:p>
        </w:tc>
        <w:tc>
          <w:tcPr>
            <w:tcW w:w="1349" w:type="dxa"/>
            <w:vAlign w:val="center"/>
          </w:tcPr>
          <w:p w14:paraId="723C3BB7">
            <w:pPr>
              <w:snapToGrid w:val="0"/>
              <w:spacing w:line="360" w:lineRule="auto"/>
              <w:jc w:val="center"/>
              <w:rPr>
                <w:rFonts w:ascii="宋体"/>
                <w:color w:val="auto"/>
                <w:sz w:val="24"/>
                <w:highlight w:val="none"/>
              </w:rPr>
            </w:pPr>
          </w:p>
        </w:tc>
        <w:tc>
          <w:tcPr>
            <w:tcW w:w="776" w:type="dxa"/>
            <w:vAlign w:val="center"/>
          </w:tcPr>
          <w:p w14:paraId="1537747E">
            <w:pPr>
              <w:snapToGrid w:val="0"/>
              <w:spacing w:line="360" w:lineRule="auto"/>
              <w:jc w:val="center"/>
              <w:rPr>
                <w:rFonts w:ascii="宋体"/>
                <w:color w:val="auto"/>
                <w:sz w:val="24"/>
                <w:highlight w:val="none"/>
              </w:rPr>
            </w:pPr>
          </w:p>
        </w:tc>
        <w:tc>
          <w:tcPr>
            <w:tcW w:w="804" w:type="dxa"/>
            <w:vAlign w:val="center"/>
          </w:tcPr>
          <w:p w14:paraId="05487949">
            <w:pPr>
              <w:snapToGrid w:val="0"/>
              <w:spacing w:line="360" w:lineRule="auto"/>
              <w:jc w:val="center"/>
              <w:rPr>
                <w:rFonts w:ascii="宋体"/>
                <w:color w:val="auto"/>
                <w:sz w:val="24"/>
                <w:highlight w:val="none"/>
              </w:rPr>
            </w:pPr>
          </w:p>
        </w:tc>
        <w:tc>
          <w:tcPr>
            <w:tcW w:w="863" w:type="dxa"/>
            <w:vAlign w:val="center"/>
          </w:tcPr>
          <w:p w14:paraId="3C7FE7DE">
            <w:pPr>
              <w:snapToGrid w:val="0"/>
              <w:spacing w:line="360" w:lineRule="auto"/>
              <w:jc w:val="center"/>
              <w:rPr>
                <w:rFonts w:ascii="宋体"/>
                <w:color w:val="auto"/>
                <w:sz w:val="24"/>
                <w:highlight w:val="none"/>
              </w:rPr>
            </w:pPr>
          </w:p>
        </w:tc>
        <w:tc>
          <w:tcPr>
            <w:tcW w:w="863" w:type="dxa"/>
            <w:vAlign w:val="center"/>
          </w:tcPr>
          <w:p w14:paraId="6B2DF34C">
            <w:pPr>
              <w:snapToGrid w:val="0"/>
              <w:spacing w:line="360" w:lineRule="auto"/>
              <w:jc w:val="center"/>
              <w:rPr>
                <w:rFonts w:ascii="宋体"/>
                <w:color w:val="auto"/>
                <w:sz w:val="24"/>
                <w:highlight w:val="none"/>
              </w:rPr>
            </w:pPr>
          </w:p>
        </w:tc>
        <w:tc>
          <w:tcPr>
            <w:tcW w:w="832" w:type="dxa"/>
            <w:vAlign w:val="center"/>
          </w:tcPr>
          <w:p w14:paraId="6DF961A6">
            <w:pPr>
              <w:snapToGrid w:val="0"/>
              <w:spacing w:line="360" w:lineRule="auto"/>
              <w:jc w:val="center"/>
              <w:rPr>
                <w:rFonts w:ascii="宋体"/>
                <w:color w:val="auto"/>
                <w:sz w:val="24"/>
                <w:highlight w:val="none"/>
              </w:rPr>
            </w:pPr>
          </w:p>
        </w:tc>
      </w:tr>
      <w:tr w14:paraId="659D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5A0FB59F">
            <w:pPr>
              <w:snapToGrid w:val="0"/>
              <w:spacing w:line="360" w:lineRule="auto"/>
              <w:jc w:val="center"/>
              <w:rPr>
                <w:rFonts w:ascii="宋体"/>
                <w:color w:val="auto"/>
                <w:sz w:val="24"/>
                <w:highlight w:val="none"/>
              </w:rPr>
            </w:pPr>
            <w:r>
              <w:rPr>
                <w:rFonts w:hint="eastAsia" w:ascii="宋体"/>
                <w:color w:val="auto"/>
                <w:sz w:val="24"/>
                <w:highlight w:val="none"/>
              </w:rPr>
              <w:t>2</w:t>
            </w:r>
          </w:p>
        </w:tc>
        <w:tc>
          <w:tcPr>
            <w:tcW w:w="1765" w:type="dxa"/>
            <w:vAlign w:val="center"/>
          </w:tcPr>
          <w:p w14:paraId="58AFC232">
            <w:pPr>
              <w:snapToGrid w:val="0"/>
              <w:spacing w:line="360" w:lineRule="auto"/>
              <w:jc w:val="center"/>
              <w:rPr>
                <w:rFonts w:ascii="宋体"/>
                <w:color w:val="auto"/>
                <w:sz w:val="24"/>
                <w:highlight w:val="none"/>
              </w:rPr>
            </w:pPr>
          </w:p>
        </w:tc>
        <w:tc>
          <w:tcPr>
            <w:tcW w:w="1406" w:type="dxa"/>
            <w:vAlign w:val="center"/>
          </w:tcPr>
          <w:p w14:paraId="03A39902">
            <w:pPr>
              <w:snapToGrid w:val="0"/>
              <w:spacing w:line="360" w:lineRule="auto"/>
              <w:jc w:val="center"/>
              <w:rPr>
                <w:rFonts w:ascii="宋体"/>
                <w:color w:val="auto"/>
                <w:sz w:val="24"/>
                <w:highlight w:val="none"/>
              </w:rPr>
            </w:pPr>
          </w:p>
        </w:tc>
        <w:tc>
          <w:tcPr>
            <w:tcW w:w="1297" w:type="dxa"/>
            <w:vAlign w:val="center"/>
          </w:tcPr>
          <w:p w14:paraId="2062F90B">
            <w:pPr>
              <w:snapToGrid w:val="0"/>
              <w:spacing w:line="360" w:lineRule="auto"/>
              <w:jc w:val="center"/>
              <w:rPr>
                <w:rFonts w:ascii="宋体"/>
                <w:color w:val="auto"/>
                <w:sz w:val="24"/>
                <w:highlight w:val="none"/>
              </w:rPr>
            </w:pPr>
          </w:p>
        </w:tc>
        <w:tc>
          <w:tcPr>
            <w:tcW w:w="1349" w:type="dxa"/>
            <w:vAlign w:val="center"/>
          </w:tcPr>
          <w:p w14:paraId="6C148213">
            <w:pPr>
              <w:snapToGrid w:val="0"/>
              <w:spacing w:line="360" w:lineRule="auto"/>
              <w:jc w:val="center"/>
              <w:rPr>
                <w:rFonts w:ascii="宋体"/>
                <w:color w:val="auto"/>
                <w:sz w:val="24"/>
                <w:highlight w:val="none"/>
              </w:rPr>
            </w:pPr>
          </w:p>
        </w:tc>
        <w:tc>
          <w:tcPr>
            <w:tcW w:w="776" w:type="dxa"/>
            <w:vAlign w:val="center"/>
          </w:tcPr>
          <w:p w14:paraId="03D42709">
            <w:pPr>
              <w:snapToGrid w:val="0"/>
              <w:spacing w:line="360" w:lineRule="auto"/>
              <w:jc w:val="center"/>
              <w:rPr>
                <w:rFonts w:ascii="宋体"/>
                <w:color w:val="auto"/>
                <w:sz w:val="24"/>
                <w:highlight w:val="none"/>
              </w:rPr>
            </w:pPr>
          </w:p>
        </w:tc>
        <w:tc>
          <w:tcPr>
            <w:tcW w:w="804" w:type="dxa"/>
            <w:vAlign w:val="center"/>
          </w:tcPr>
          <w:p w14:paraId="51C4EAC4">
            <w:pPr>
              <w:snapToGrid w:val="0"/>
              <w:spacing w:line="360" w:lineRule="auto"/>
              <w:jc w:val="center"/>
              <w:rPr>
                <w:rFonts w:ascii="宋体"/>
                <w:color w:val="auto"/>
                <w:sz w:val="24"/>
                <w:highlight w:val="none"/>
              </w:rPr>
            </w:pPr>
          </w:p>
        </w:tc>
        <w:tc>
          <w:tcPr>
            <w:tcW w:w="863" w:type="dxa"/>
            <w:vAlign w:val="center"/>
          </w:tcPr>
          <w:p w14:paraId="3C5608F7">
            <w:pPr>
              <w:snapToGrid w:val="0"/>
              <w:spacing w:line="360" w:lineRule="auto"/>
              <w:jc w:val="center"/>
              <w:rPr>
                <w:rFonts w:ascii="宋体"/>
                <w:color w:val="auto"/>
                <w:sz w:val="24"/>
                <w:highlight w:val="none"/>
              </w:rPr>
            </w:pPr>
          </w:p>
        </w:tc>
        <w:tc>
          <w:tcPr>
            <w:tcW w:w="863" w:type="dxa"/>
            <w:vAlign w:val="center"/>
          </w:tcPr>
          <w:p w14:paraId="1207CC6A">
            <w:pPr>
              <w:snapToGrid w:val="0"/>
              <w:spacing w:line="360" w:lineRule="auto"/>
              <w:jc w:val="center"/>
              <w:rPr>
                <w:rFonts w:ascii="宋体"/>
                <w:color w:val="auto"/>
                <w:sz w:val="24"/>
                <w:highlight w:val="none"/>
              </w:rPr>
            </w:pPr>
          </w:p>
        </w:tc>
        <w:tc>
          <w:tcPr>
            <w:tcW w:w="832" w:type="dxa"/>
            <w:vAlign w:val="center"/>
          </w:tcPr>
          <w:p w14:paraId="468CC96D">
            <w:pPr>
              <w:snapToGrid w:val="0"/>
              <w:spacing w:line="360" w:lineRule="auto"/>
              <w:jc w:val="center"/>
              <w:rPr>
                <w:rFonts w:ascii="宋体"/>
                <w:color w:val="auto"/>
                <w:sz w:val="24"/>
                <w:highlight w:val="none"/>
              </w:rPr>
            </w:pPr>
          </w:p>
        </w:tc>
      </w:tr>
      <w:tr w14:paraId="4C1B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Align w:val="center"/>
          </w:tcPr>
          <w:p w14:paraId="177E615E">
            <w:pPr>
              <w:snapToGrid w:val="0"/>
              <w:spacing w:line="360" w:lineRule="auto"/>
              <w:jc w:val="center"/>
              <w:rPr>
                <w:rFonts w:ascii="宋体"/>
                <w:color w:val="auto"/>
                <w:sz w:val="24"/>
                <w:highlight w:val="none"/>
              </w:rPr>
            </w:pPr>
            <w:r>
              <w:rPr>
                <w:rFonts w:hint="eastAsia" w:ascii="宋体"/>
                <w:color w:val="auto"/>
                <w:sz w:val="24"/>
                <w:highlight w:val="none"/>
              </w:rPr>
              <w:t>...</w:t>
            </w:r>
          </w:p>
        </w:tc>
        <w:tc>
          <w:tcPr>
            <w:tcW w:w="1765" w:type="dxa"/>
            <w:vAlign w:val="center"/>
          </w:tcPr>
          <w:p w14:paraId="021DCF6E">
            <w:pPr>
              <w:snapToGrid w:val="0"/>
              <w:spacing w:line="360" w:lineRule="auto"/>
              <w:jc w:val="center"/>
              <w:rPr>
                <w:rFonts w:ascii="宋体"/>
                <w:color w:val="auto"/>
                <w:sz w:val="24"/>
                <w:highlight w:val="none"/>
              </w:rPr>
            </w:pPr>
          </w:p>
        </w:tc>
        <w:tc>
          <w:tcPr>
            <w:tcW w:w="1406" w:type="dxa"/>
            <w:vAlign w:val="center"/>
          </w:tcPr>
          <w:p w14:paraId="0FBA4B4C">
            <w:pPr>
              <w:snapToGrid w:val="0"/>
              <w:spacing w:line="360" w:lineRule="auto"/>
              <w:jc w:val="center"/>
              <w:rPr>
                <w:rFonts w:ascii="宋体"/>
                <w:color w:val="auto"/>
                <w:sz w:val="24"/>
                <w:highlight w:val="none"/>
              </w:rPr>
            </w:pPr>
          </w:p>
        </w:tc>
        <w:tc>
          <w:tcPr>
            <w:tcW w:w="1297" w:type="dxa"/>
            <w:vAlign w:val="center"/>
          </w:tcPr>
          <w:p w14:paraId="3587C8C9">
            <w:pPr>
              <w:snapToGrid w:val="0"/>
              <w:spacing w:line="360" w:lineRule="auto"/>
              <w:jc w:val="center"/>
              <w:rPr>
                <w:rFonts w:ascii="宋体"/>
                <w:color w:val="auto"/>
                <w:sz w:val="24"/>
                <w:highlight w:val="none"/>
              </w:rPr>
            </w:pPr>
          </w:p>
        </w:tc>
        <w:tc>
          <w:tcPr>
            <w:tcW w:w="1349" w:type="dxa"/>
            <w:vAlign w:val="center"/>
          </w:tcPr>
          <w:p w14:paraId="52068623">
            <w:pPr>
              <w:snapToGrid w:val="0"/>
              <w:spacing w:line="360" w:lineRule="auto"/>
              <w:jc w:val="center"/>
              <w:rPr>
                <w:rFonts w:ascii="宋体"/>
                <w:color w:val="auto"/>
                <w:sz w:val="24"/>
                <w:highlight w:val="none"/>
              </w:rPr>
            </w:pPr>
          </w:p>
        </w:tc>
        <w:tc>
          <w:tcPr>
            <w:tcW w:w="776" w:type="dxa"/>
            <w:vAlign w:val="center"/>
          </w:tcPr>
          <w:p w14:paraId="7885C90E">
            <w:pPr>
              <w:snapToGrid w:val="0"/>
              <w:spacing w:line="360" w:lineRule="auto"/>
              <w:jc w:val="center"/>
              <w:rPr>
                <w:rFonts w:ascii="宋体"/>
                <w:color w:val="auto"/>
                <w:sz w:val="24"/>
                <w:highlight w:val="none"/>
              </w:rPr>
            </w:pPr>
          </w:p>
        </w:tc>
        <w:tc>
          <w:tcPr>
            <w:tcW w:w="804" w:type="dxa"/>
            <w:vAlign w:val="center"/>
          </w:tcPr>
          <w:p w14:paraId="1C310EF9">
            <w:pPr>
              <w:snapToGrid w:val="0"/>
              <w:spacing w:line="360" w:lineRule="auto"/>
              <w:jc w:val="center"/>
              <w:rPr>
                <w:rFonts w:ascii="宋体"/>
                <w:color w:val="auto"/>
                <w:sz w:val="24"/>
                <w:highlight w:val="none"/>
              </w:rPr>
            </w:pPr>
          </w:p>
        </w:tc>
        <w:tc>
          <w:tcPr>
            <w:tcW w:w="863" w:type="dxa"/>
            <w:vAlign w:val="center"/>
          </w:tcPr>
          <w:p w14:paraId="2D0BE969">
            <w:pPr>
              <w:snapToGrid w:val="0"/>
              <w:spacing w:line="360" w:lineRule="auto"/>
              <w:jc w:val="center"/>
              <w:rPr>
                <w:rFonts w:ascii="宋体"/>
                <w:color w:val="auto"/>
                <w:sz w:val="24"/>
                <w:highlight w:val="none"/>
              </w:rPr>
            </w:pPr>
          </w:p>
        </w:tc>
        <w:tc>
          <w:tcPr>
            <w:tcW w:w="863" w:type="dxa"/>
            <w:vAlign w:val="center"/>
          </w:tcPr>
          <w:p w14:paraId="5CBFB572">
            <w:pPr>
              <w:snapToGrid w:val="0"/>
              <w:spacing w:line="360" w:lineRule="auto"/>
              <w:jc w:val="center"/>
              <w:rPr>
                <w:rFonts w:ascii="宋体"/>
                <w:color w:val="auto"/>
                <w:sz w:val="24"/>
                <w:highlight w:val="none"/>
              </w:rPr>
            </w:pPr>
          </w:p>
        </w:tc>
        <w:tc>
          <w:tcPr>
            <w:tcW w:w="832" w:type="dxa"/>
            <w:vAlign w:val="center"/>
          </w:tcPr>
          <w:p w14:paraId="6296D60C">
            <w:pPr>
              <w:snapToGrid w:val="0"/>
              <w:spacing w:line="360" w:lineRule="auto"/>
              <w:jc w:val="center"/>
              <w:rPr>
                <w:rFonts w:ascii="宋体"/>
                <w:color w:val="auto"/>
                <w:sz w:val="24"/>
                <w:highlight w:val="none"/>
              </w:rPr>
            </w:pPr>
          </w:p>
        </w:tc>
      </w:tr>
      <w:tr w14:paraId="403B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0675" w:type="dxa"/>
            <w:gridSpan w:val="10"/>
            <w:vAlign w:val="center"/>
          </w:tcPr>
          <w:p w14:paraId="667D679C">
            <w:pPr>
              <w:snapToGrid w:val="0"/>
              <w:spacing w:line="360" w:lineRule="auto"/>
              <w:rPr>
                <w:rFonts w:ascii="宋体" w:hAnsi="宋体"/>
                <w:color w:val="auto"/>
                <w:sz w:val="24"/>
                <w:highlight w:val="none"/>
              </w:rPr>
            </w:pPr>
            <w:r>
              <w:rPr>
                <w:rFonts w:hint="eastAsia" w:ascii="宋体" w:hAnsi="宋体"/>
                <w:color w:val="auto"/>
                <w:sz w:val="24"/>
                <w:highlight w:val="none"/>
              </w:rPr>
              <w:t>合计金额（人民币）：</w:t>
            </w:r>
            <w:r>
              <w:rPr>
                <w:rFonts w:hint="eastAsia" w:ascii="宋体" w:hAnsi="宋体"/>
                <w:color w:val="auto"/>
                <w:sz w:val="24"/>
                <w:highlight w:val="none"/>
                <w:u w:val="single"/>
              </w:rPr>
              <w:t>（大写               元整）（小写¥            ）</w:t>
            </w:r>
          </w:p>
        </w:tc>
      </w:tr>
    </w:tbl>
    <w:p w14:paraId="58EC2054">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color w:val="auto"/>
          <w:sz w:val="24"/>
          <w:highlight w:val="none"/>
        </w:rPr>
      </w:pPr>
      <w:r>
        <w:rPr>
          <w:rFonts w:hint="eastAsia" w:ascii="宋体" w:hAnsi="宋体"/>
          <w:b/>
          <w:color w:val="auto"/>
          <w:sz w:val="24"/>
          <w:highlight w:val="none"/>
        </w:rPr>
        <w:t>第二条　标的质量</w:t>
      </w:r>
    </w:p>
    <w:p w14:paraId="30663CFD">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乙方所提供标的的名称、商标品牌、生产厂家、规格型号、技术参数等内容必须与乙方响应文件及有关承诺相一致，且满足项目实施要求。</w:t>
      </w:r>
    </w:p>
    <w:p w14:paraId="6DD7CA60">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乙方所提供的货物必须是全新、未使用的原装产品，且在正常安装、使用和保养条件下，其使用寿命期内各项指标均达到响应文件的承诺。</w:t>
      </w:r>
    </w:p>
    <w:p w14:paraId="48723E12">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第三条　履行时间（期限）、地点和方式</w:t>
      </w:r>
    </w:p>
    <w:p w14:paraId="21139084">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i/>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交付时间</w:t>
      </w:r>
      <w:r>
        <w:rPr>
          <w:rFonts w:hint="eastAsia" w:ascii="宋体" w:hAnsi="宋体" w:cs="宋体"/>
          <w:color w:val="auto"/>
          <w:sz w:val="24"/>
          <w:highlight w:val="none"/>
        </w:rPr>
        <w:t>：</w:t>
      </w:r>
      <w:r>
        <w:rPr>
          <w:rFonts w:hint="eastAsia" w:ascii="宋体" w:hAnsi="宋体"/>
          <w:color w:val="auto"/>
          <w:sz w:val="24"/>
          <w:highlight w:val="none"/>
          <w:u w:val="single"/>
        </w:rPr>
        <w:t xml:space="preserve">                  </w:t>
      </w:r>
    </w:p>
    <w:p w14:paraId="2F28E153">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交付</w:t>
      </w:r>
      <w:r>
        <w:rPr>
          <w:rFonts w:hint="eastAsia" w:ascii="宋体" w:hAnsi="宋体" w:cs="宋体"/>
          <w:color w:val="auto"/>
          <w:sz w:val="24"/>
          <w:highlight w:val="none"/>
        </w:rPr>
        <w:t>地点：</w:t>
      </w:r>
      <w:r>
        <w:rPr>
          <w:rFonts w:hint="eastAsia" w:ascii="宋体" w:hAnsi="宋体" w:cs="宋体"/>
          <w:color w:val="auto"/>
          <w:sz w:val="24"/>
          <w:highlight w:val="none"/>
          <w:u w:val="single"/>
        </w:rPr>
        <w:t>广西师范大学雁山校区环境与资源学院甲方指定地点</w:t>
      </w:r>
      <w:r>
        <w:rPr>
          <w:rFonts w:hint="eastAsia" w:ascii="宋体" w:hAnsi="宋体" w:cs="宋体"/>
          <w:color w:val="auto"/>
          <w:sz w:val="24"/>
          <w:highlight w:val="none"/>
        </w:rPr>
        <w:t>。</w:t>
      </w:r>
    </w:p>
    <w:p w14:paraId="605C416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交付</w:t>
      </w:r>
      <w:r>
        <w:rPr>
          <w:rFonts w:hint="eastAsia" w:ascii="宋体" w:hAnsi="宋体" w:cs="宋体"/>
          <w:color w:val="auto"/>
          <w:sz w:val="24"/>
          <w:highlight w:val="none"/>
        </w:rPr>
        <w:t>方式：</w:t>
      </w:r>
    </w:p>
    <w:p w14:paraId="5457A01F">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olor w:val="auto"/>
          <w:sz w:val="24"/>
          <w:highlight w:val="none"/>
        </w:rPr>
        <w:t>乙方负责货物运输，</w:t>
      </w:r>
      <w:r>
        <w:rPr>
          <w:rFonts w:hint="eastAsia" w:ascii="宋体" w:hAnsi="宋体" w:cs="宋体"/>
          <w:color w:val="auto"/>
          <w:sz w:val="24"/>
          <w:highlight w:val="none"/>
        </w:rPr>
        <w:t>货物的运输方式：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078561">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CF53D3">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第四条　包装、运输</w:t>
      </w:r>
    </w:p>
    <w:p w14:paraId="5DA373B1">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1.原厂原包装，包装完好完整、无破损、未开封。</w:t>
      </w:r>
    </w:p>
    <w:p w14:paraId="51B60721">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2.包装及运输方式应综合考虑运输距离、防潮、防锈、防震和防破损装卸等要求。</w:t>
      </w:r>
    </w:p>
    <w:p w14:paraId="3CC5E98B">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3.国家对包装和运输有相关强制性标准或要求的，乙方应当执行。</w:t>
      </w:r>
    </w:p>
    <w:p w14:paraId="55C20C3E">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4.产品（含包装）运抵甲方指定交付地点前发生损坏的，相应损失由乙方自行承担。</w:t>
      </w:r>
    </w:p>
    <w:p w14:paraId="6F0A8235">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color w:val="auto"/>
          <w:sz w:val="24"/>
          <w:highlight w:val="none"/>
        </w:rPr>
      </w:pPr>
      <w:r>
        <w:rPr>
          <w:rFonts w:hint="eastAsia" w:ascii="宋体" w:hAnsi="宋体"/>
          <w:b/>
          <w:color w:val="auto"/>
          <w:sz w:val="24"/>
          <w:highlight w:val="none"/>
        </w:rPr>
        <w:t>第五条　安装和培训</w:t>
      </w:r>
    </w:p>
    <w:p w14:paraId="56994E93">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安装时间：</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23F102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 xml:space="preserve">  安装地点：</w:t>
      </w:r>
      <w:r>
        <w:rPr>
          <w:rFonts w:hint="eastAsia" w:ascii="宋体" w:hAnsi="宋体" w:cs="宋体"/>
          <w:color w:val="auto"/>
          <w:sz w:val="24"/>
          <w:highlight w:val="none"/>
          <w:u w:val="single"/>
        </w:rPr>
        <w:t>广西师范大学雁山校区环境与资源学院甲方指定地点</w:t>
      </w:r>
      <w:r>
        <w:rPr>
          <w:rFonts w:hint="eastAsia" w:ascii="宋体" w:hAnsi="宋体"/>
          <w:color w:val="auto"/>
          <w:sz w:val="24"/>
          <w:highlight w:val="none"/>
        </w:rPr>
        <w:t>。</w:t>
      </w:r>
    </w:p>
    <w:p w14:paraId="68C052B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安装要求：</w:t>
      </w:r>
      <w:r>
        <w:rPr>
          <w:rFonts w:hint="eastAsia" w:ascii="宋体" w:hAnsi="宋体"/>
          <w:color w:val="auto"/>
          <w:sz w:val="24"/>
          <w:highlight w:val="none"/>
          <w:u w:val="single"/>
        </w:rPr>
        <w:t>乙方应当按甲方要求进行安装</w:t>
      </w:r>
      <w:r>
        <w:rPr>
          <w:rFonts w:hint="eastAsia" w:ascii="宋体" w:hAnsi="宋体"/>
          <w:color w:val="auto"/>
          <w:sz w:val="24"/>
          <w:highlight w:val="none"/>
        </w:rPr>
        <w:t>。</w:t>
      </w:r>
    </w:p>
    <w:p w14:paraId="34E0D7F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甲方应提供必要安装条件（如场地、电源、水源等）。</w:t>
      </w:r>
    </w:p>
    <w:p w14:paraId="0C4EC1E2">
      <w:pPr>
        <w:pStyle w:val="11"/>
        <w:keepNext w:val="0"/>
        <w:keepLines w:val="0"/>
        <w:pageBreakBefore w:val="0"/>
        <w:widowControl w:val="0"/>
        <w:kinsoku/>
        <w:wordWrap/>
        <w:overflowPunct/>
        <w:topLinePunct w:val="0"/>
        <w:bidi w:val="0"/>
        <w:spacing w:line="500" w:lineRule="exact"/>
        <w:ind w:firstLine="480" w:firstLineChars="200"/>
        <w:textAlignment w:val="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乙方应当按照响应文件的承诺对甲方有关人员进行培训。</w:t>
      </w:r>
    </w:p>
    <w:p w14:paraId="416132A5">
      <w:pPr>
        <w:pStyle w:val="11"/>
        <w:keepNext w:val="0"/>
        <w:keepLines w:val="0"/>
        <w:pageBreakBefore w:val="0"/>
        <w:widowControl w:val="0"/>
        <w:kinsoku/>
        <w:wordWrap/>
        <w:overflowPunct/>
        <w:topLinePunct w:val="0"/>
        <w:bidi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培训时间：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F14CBA0">
      <w:pPr>
        <w:pStyle w:val="11"/>
        <w:keepNext w:val="0"/>
        <w:keepLines w:val="0"/>
        <w:pageBreakBefore w:val="0"/>
        <w:widowControl w:val="0"/>
        <w:kinsoku/>
        <w:wordWrap/>
        <w:overflowPunct/>
        <w:topLinePunct w:val="0"/>
        <w:bidi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培训地点：</w:t>
      </w:r>
      <w:r>
        <w:rPr>
          <w:rFonts w:hint="eastAsia" w:ascii="宋体" w:hAnsi="宋体" w:cs="宋体"/>
          <w:color w:val="auto"/>
          <w:sz w:val="24"/>
          <w:highlight w:val="none"/>
          <w:u w:val="single"/>
        </w:rPr>
        <w:t>广西师范大学雁山校区环境与资源学院甲方指定地点</w:t>
      </w:r>
      <w:r>
        <w:rPr>
          <w:rFonts w:hint="eastAsia" w:ascii="宋体" w:hAnsi="宋体"/>
          <w:color w:val="auto"/>
          <w:sz w:val="24"/>
          <w:highlight w:val="none"/>
        </w:rPr>
        <w:t>。</w:t>
      </w:r>
    </w:p>
    <w:p w14:paraId="7A6AF8A2">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第六条　合同价款及支付</w:t>
      </w:r>
    </w:p>
    <w:p w14:paraId="1B35F476">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本合同以人民币付款。</w:t>
      </w:r>
    </w:p>
    <w:p w14:paraId="2F48FFD1">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合同价款：</w:t>
      </w:r>
    </w:p>
    <w:p w14:paraId="2A456624">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合同价款包括</w:t>
      </w:r>
      <w:r>
        <w:rPr>
          <w:rFonts w:hint="eastAsia" w:ascii="宋体" w:hAnsi="宋体" w:cs="宋体"/>
          <w:color w:val="auto"/>
          <w:sz w:val="24"/>
          <w:highlight w:val="none"/>
          <w:u w:val="single"/>
        </w:rPr>
        <w:t>竞标货物（包括货物标准附件、备品备件、专用工具等）的价格，竞标货物包装运输（含保险）、安装、调试、检验、技术服务、</w:t>
      </w:r>
      <w:r>
        <w:rPr>
          <w:rFonts w:hint="eastAsia" w:ascii="宋体" w:hAnsi="宋体" w:cs="宋体"/>
          <w:color w:val="auto"/>
          <w:sz w:val="24"/>
          <w:highlight w:val="none"/>
          <w:u w:val="single"/>
          <w:lang w:eastAsia="zh-CN"/>
        </w:rPr>
        <w:t>售后服务、</w:t>
      </w:r>
      <w:r>
        <w:rPr>
          <w:rFonts w:hint="eastAsia" w:ascii="宋体" w:hAnsi="宋体" w:cs="宋体"/>
          <w:color w:val="auto"/>
          <w:sz w:val="24"/>
          <w:highlight w:val="none"/>
          <w:u w:val="single"/>
        </w:rPr>
        <w:t>培训和</w:t>
      </w:r>
      <w:r>
        <w:rPr>
          <w:rFonts w:hint="eastAsia" w:ascii="宋体" w:hAnsi="宋体" w:cs="宋体"/>
          <w:color w:val="auto"/>
          <w:sz w:val="24"/>
          <w:highlight w:val="none"/>
          <w:u w:val="single"/>
          <w:lang w:eastAsia="zh-CN"/>
        </w:rPr>
        <w:t>其他</w:t>
      </w:r>
      <w:r>
        <w:rPr>
          <w:rFonts w:hint="eastAsia" w:ascii="宋体" w:hAnsi="宋体" w:cs="宋体"/>
          <w:color w:val="auto"/>
          <w:sz w:val="24"/>
          <w:highlight w:val="none"/>
          <w:u w:val="single"/>
        </w:rPr>
        <w:t>相伴随</w:t>
      </w:r>
      <w:r>
        <w:rPr>
          <w:rFonts w:hint="eastAsia" w:ascii="宋体" w:hAnsi="宋体" w:cs="宋体"/>
          <w:color w:val="auto"/>
          <w:sz w:val="24"/>
          <w:highlight w:val="none"/>
          <w:u w:val="single"/>
          <w:lang w:eastAsia="zh-CN"/>
        </w:rPr>
        <w:t>的</w:t>
      </w:r>
      <w:r>
        <w:rPr>
          <w:rFonts w:hint="eastAsia" w:ascii="宋体" w:hAnsi="宋体" w:cs="宋体"/>
          <w:color w:val="auto"/>
          <w:sz w:val="24"/>
          <w:highlight w:val="none"/>
          <w:u w:val="single"/>
        </w:rPr>
        <w:t>费用和税费。</w:t>
      </w:r>
    </w:p>
    <w:p w14:paraId="02994475">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s="宋体"/>
          <w:color w:val="auto"/>
          <w:kern w:val="2"/>
          <w:sz w:val="24"/>
          <w:szCs w:val="24"/>
          <w:highlight w:val="none"/>
          <w:u w:val="single"/>
        </w:rPr>
      </w:pPr>
      <w:r>
        <w:rPr>
          <w:rFonts w:hAnsi="宋体"/>
          <w:bCs/>
          <w:color w:val="auto"/>
          <w:sz w:val="24"/>
          <w:szCs w:val="24"/>
          <w:highlight w:val="none"/>
        </w:rPr>
        <w:t>4.</w:t>
      </w:r>
      <w:r>
        <w:rPr>
          <w:rFonts w:hint="eastAsia" w:hAnsi="宋体"/>
          <w:color w:val="auto"/>
          <w:sz w:val="24"/>
          <w:szCs w:val="24"/>
          <w:highlight w:val="none"/>
        </w:rPr>
        <w:t>付款进度安排</w:t>
      </w:r>
      <w:r>
        <w:rPr>
          <w:rFonts w:hint="eastAsia" w:hAnsi="宋体"/>
          <w:i/>
          <w:color w:val="auto"/>
          <w:sz w:val="24"/>
          <w:szCs w:val="24"/>
          <w:highlight w:val="none"/>
        </w:rPr>
        <w:t>：</w:t>
      </w:r>
      <w:r>
        <w:rPr>
          <w:rFonts w:hint="eastAsia" w:hAnsi="宋体" w:cs="宋体"/>
          <w:color w:val="auto"/>
          <w:kern w:val="2"/>
          <w:sz w:val="24"/>
          <w:szCs w:val="24"/>
          <w:highlight w:val="none"/>
          <w:u w:val="single"/>
        </w:rPr>
        <w:t>乙方按合同约定交货安装验收合格，乙方向甲方提供相应发票后的60日内，甲方向乙方支付合同总金额的100%（无息）。</w:t>
      </w:r>
    </w:p>
    <w:p w14:paraId="38AF2B80">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b/>
          <w:color w:val="auto"/>
          <w:sz w:val="24"/>
          <w:highlight w:val="none"/>
        </w:rPr>
      </w:pPr>
      <w:r>
        <w:rPr>
          <w:rFonts w:ascii="宋体" w:hAnsi="宋体"/>
          <w:color w:val="auto"/>
          <w:sz w:val="24"/>
          <w:highlight w:val="none"/>
        </w:rPr>
        <w:t>5.</w:t>
      </w:r>
      <w:r>
        <w:rPr>
          <w:rFonts w:hint="eastAsia" w:ascii="宋体" w:hAnsi="宋体"/>
          <w:color w:val="auto"/>
          <w:sz w:val="24"/>
          <w:highlight w:val="none"/>
        </w:rPr>
        <w:t>资金支付方式：</w:t>
      </w:r>
      <w:r>
        <w:rPr>
          <w:rFonts w:hint="eastAsia" w:ascii="宋体" w:hAnsi="宋体" w:cs="宋体"/>
          <w:color w:val="auto"/>
          <w:sz w:val="24"/>
          <w:highlight w:val="none"/>
          <w:u w:val="single"/>
        </w:rPr>
        <w:t>银行转账</w:t>
      </w:r>
      <w:r>
        <w:rPr>
          <w:rFonts w:hint="eastAsia" w:ascii="宋体" w:hAnsi="宋体"/>
          <w:color w:val="auto"/>
          <w:sz w:val="24"/>
          <w:highlight w:val="none"/>
        </w:rPr>
        <w:t>。</w:t>
      </w:r>
    </w:p>
    <w:p w14:paraId="1538AA56">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第七条　验收、交付标准和方法</w:t>
      </w:r>
    </w:p>
    <w:p w14:paraId="68EE4659">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验收标准和方法</w:t>
      </w:r>
    </w:p>
    <w:p w14:paraId="0DEEFB0F">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）验收标准：</w:t>
      </w:r>
    </w:p>
    <w:p w14:paraId="08E654BB">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本项目执行国家相关标准、行业标准、地方标准或者其他标准、规范。如具体采购需求与标准、规范不一致的，高于标准、规范的按具体采购需求执行；低于标准、规范的按标准、规范执行。乙方所提供的产品必须是全新、完好、无破损、未经使用的原装产品，产品符合制造厂家合格产品的出厂质量标准，且在正常安装、使用和保养条件下，其使用寿命期内各项指标均达到质量要求。</w:t>
      </w:r>
    </w:p>
    <w:p w14:paraId="7317BD9C">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产品到货后，甲方现场根据谈判文件要求及响应文件承诺逐条对应进行核验（含测试或试运行），核验不合格的，甲方有权不予验收，同时报相关监督管理部门，由此造成甲方经济损失的由乙方负责承担全部赔偿责任。</w:t>
      </w:r>
    </w:p>
    <w:p w14:paraId="33E945E8">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3）因产品质量问题发生争议的，应邀请国家认可的质量检测机构对产品质量进行鉴定。产品符合标准的，鉴定费由甲方承担；产品不符合标准的，鉴定费由乙方承担。</w:t>
      </w:r>
    </w:p>
    <w:p w14:paraId="09A66AE1">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）验收程序及方法：</w:t>
      </w:r>
    </w:p>
    <w:p w14:paraId="0CD0D706">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）乙方履行完合同义务后，书面向甲方提交验收申请。</w:t>
      </w:r>
    </w:p>
    <w:p w14:paraId="68FE3E00">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）甲方收到乙方验收申请之日起</w:t>
      </w:r>
      <w:r>
        <w:rPr>
          <w:rFonts w:ascii="宋体" w:hAnsi="宋体"/>
          <w:color w:val="auto"/>
          <w:sz w:val="24"/>
          <w:highlight w:val="none"/>
          <w:u w:val="single"/>
        </w:rPr>
        <w:t>7</w:t>
      </w:r>
      <w:r>
        <w:rPr>
          <w:rFonts w:hint="eastAsia" w:ascii="宋体" w:hAnsi="宋体"/>
          <w:color w:val="auto"/>
          <w:sz w:val="24"/>
          <w:highlight w:val="none"/>
        </w:rPr>
        <w:t>个工作日进行验收，逾期不验收的，视同验收合格。甲方委托第三方机构组织项目验收的，其验收时间以该项目验收方案确定的验收时间为准。</w:t>
      </w:r>
    </w:p>
    <w:p w14:paraId="08D459E2">
      <w:pPr>
        <w:keepNext w:val="0"/>
        <w:keepLines w:val="0"/>
        <w:pageBreakBefore w:val="0"/>
        <w:widowControl w:val="0"/>
        <w:kinsoku/>
        <w:wordWrap/>
        <w:overflowPunct/>
        <w:topLinePunct w:val="0"/>
        <w:bidi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）本项目验收由验收小组按照采购合同约定对每一项技术和商务要求的履约情况进行确认。</w:t>
      </w:r>
    </w:p>
    <w:p w14:paraId="639EAB35">
      <w:pPr>
        <w:keepNext w:val="0"/>
        <w:keepLines w:val="0"/>
        <w:pageBreakBefore w:val="0"/>
        <w:widowControl w:val="0"/>
        <w:kinsoku/>
        <w:wordWrap/>
        <w:overflowPunct/>
        <w:topLinePunct w:val="0"/>
        <w:bidi w:val="0"/>
        <w:spacing w:line="500" w:lineRule="exact"/>
        <w:ind w:firstLine="480" w:firstLineChars="200"/>
        <w:textAlignment w:val="auto"/>
        <w:rPr>
          <w:rFonts w:ascii="宋体" w:cs="宋体"/>
          <w:color w:val="auto"/>
          <w:kern w:val="0"/>
          <w:sz w:val="24"/>
          <w:highlight w:val="none"/>
        </w:rPr>
      </w:pPr>
      <w:r>
        <w:rPr>
          <w:rFonts w:ascii="宋体" w:hAnsi="宋体"/>
          <w:color w:val="auto"/>
          <w:sz w:val="24"/>
          <w:highlight w:val="none"/>
        </w:rPr>
        <w:t>4</w:t>
      </w:r>
      <w:r>
        <w:rPr>
          <w:rFonts w:hint="eastAsia" w:ascii="宋体" w:hAnsi="宋体"/>
          <w:color w:val="auto"/>
          <w:sz w:val="24"/>
          <w:highlight w:val="none"/>
        </w:rPr>
        <w:t>）验收结束后，验收小组出具采购验收书，验收书应当包括每一项技术和商务要求的履约情况，并列明项目总体评价，由验收小组、甲方和乙方共同签署。甲方委托第三方机构组织项目验收的，其验收结果以第三方机构出具验收结论为准，甲方和乙方共同签署确认。</w:t>
      </w:r>
    </w:p>
    <w:p w14:paraId="77BD83EF">
      <w:pPr>
        <w:keepNext w:val="0"/>
        <w:keepLines w:val="0"/>
        <w:pageBreakBefore w:val="0"/>
        <w:widowControl w:val="0"/>
        <w:kinsoku/>
        <w:wordWrap/>
        <w:overflowPunct/>
        <w:topLinePunct w:val="0"/>
        <w:bidi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）验收过程中所产生的一切费用均由乙方承担。</w:t>
      </w:r>
    </w:p>
    <w:p w14:paraId="6E4AA108">
      <w:pPr>
        <w:keepNext w:val="0"/>
        <w:keepLines w:val="0"/>
        <w:pageBreakBefore w:val="0"/>
        <w:widowControl w:val="0"/>
        <w:kinsoku/>
        <w:wordWrap/>
        <w:overflowPunct/>
        <w:topLinePunct w:val="0"/>
        <w:bidi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）验收书一式</w:t>
      </w:r>
      <w:r>
        <w:rPr>
          <w:rFonts w:hint="eastAsia" w:ascii="宋体" w:hAnsi="宋体"/>
          <w:color w:val="auto"/>
          <w:sz w:val="24"/>
          <w:highlight w:val="none"/>
          <w:u w:val="single"/>
        </w:rPr>
        <w:t>五</w:t>
      </w:r>
      <w:r>
        <w:rPr>
          <w:rFonts w:hint="eastAsia" w:ascii="宋体" w:hAnsi="宋体"/>
          <w:color w:val="auto"/>
          <w:sz w:val="24"/>
          <w:highlight w:val="none"/>
        </w:rPr>
        <w:t>份，甲乙双方各执</w:t>
      </w:r>
      <w:r>
        <w:rPr>
          <w:rFonts w:hint="eastAsia" w:ascii="宋体" w:hAnsi="宋体"/>
          <w:color w:val="auto"/>
          <w:sz w:val="24"/>
          <w:highlight w:val="none"/>
          <w:u w:val="single"/>
        </w:rPr>
        <w:t>二</w:t>
      </w:r>
      <w:r>
        <w:rPr>
          <w:rFonts w:hint="eastAsia" w:ascii="宋体" w:hAnsi="宋体"/>
          <w:color w:val="auto"/>
          <w:sz w:val="24"/>
          <w:highlight w:val="none"/>
        </w:rPr>
        <w:t>份、受托第三方机构一份（如有）。</w:t>
      </w:r>
    </w:p>
    <w:p w14:paraId="639FBC4D">
      <w:pPr>
        <w:keepNext w:val="0"/>
        <w:keepLines w:val="0"/>
        <w:pageBreakBefore w:val="0"/>
        <w:widowControl w:val="0"/>
        <w:kinsoku/>
        <w:wordWrap/>
        <w:overflowPunct/>
        <w:topLinePunct w:val="0"/>
        <w:bidi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交付标准和方法</w:t>
      </w:r>
    </w:p>
    <w:p w14:paraId="1EA1EF42">
      <w:pPr>
        <w:keepNext w:val="0"/>
        <w:keepLines w:val="0"/>
        <w:pageBreakBefore w:val="0"/>
        <w:widowControl w:val="0"/>
        <w:kinsoku/>
        <w:wordWrap/>
        <w:overflowPunct/>
        <w:topLinePunct w:val="0"/>
        <w:bidi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）除售后服务验收外，验收结论合格的，乙方应自收到验收书后</w:t>
      </w:r>
      <w:r>
        <w:rPr>
          <w:rFonts w:ascii="宋体" w:hAnsi="宋体"/>
          <w:color w:val="auto"/>
          <w:sz w:val="24"/>
          <w:highlight w:val="none"/>
          <w:u w:val="single"/>
        </w:rPr>
        <w:t>7</w:t>
      </w:r>
      <w:r>
        <w:rPr>
          <w:rFonts w:hint="eastAsia" w:ascii="宋体" w:hAnsi="宋体"/>
          <w:color w:val="auto"/>
          <w:sz w:val="24"/>
          <w:highlight w:val="none"/>
        </w:rPr>
        <w:t>日内向甲方交付使用。</w:t>
      </w:r>
    </w:p>
    <w:p w14:paraId="1404D964">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b/>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）货物的所有权和风险自交付时起由乙方转移至甲方，货物交付给甲方之前所有风险均由乙方承担。</w:t>
      </w:r>
    </w:p>
    <w:p w14:paraId="65182EB5">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第八条  售后服务</w:t>
      </w:r>
    </w:p>
    <w:p w14:paraId="28796AC0">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乙方应按照国家有关法律法规规定以及响应文件承诺，为甲方提供售后服务。</w:t>
      </w:r>
    </w:p>
    <w:p w14:paraId="5EA4E34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乙方提供的售后服务所产生的相关费用均包含在合同价中，乙方不再另行支付相关费用，具体要求如下：</w:t>
      </w:r>
    </w:p>
    <w:p w14:paraId="368B07C3">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质保（保修、维护、升级）范围：</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01F66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质保（保修、维护、升级）期：</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452DD17">
      <w:pPr>
        <w:keepNext w:val="0"/>
        <w:keepLines w:val="0"/>
        <w:pageBreakBefore w:val="0"/>
        <w:widowControl w:val="0"/>
        <w:kinsoku/>
        <w:wordWrap/>
        <w:overflowPunct/>
        <w:topLinePunct w:val="0"/>
        <w:bidi w:val="0"/>
        <w:snapToGrid w:val="0"/>
        <w:spacing w:line="500" w:lineRule="exact"/>
        <w:ind w:left="-61" w:leftChars="-29" w:firstLine="590" w:firstLineChars="245"/>
        <w:textAlignment w:val="auto"/>
        <w:rPr>
          <w:rFonts w:ascii="宋体"/>
          <w:b/>
          <w:color w:val="auto"/>
          <w:sz w:val="24"/>
          <w:highlight w:val="none"/>
        </w:rPr>
      </w:pPr>
      <w:r>
        <w:rPr>
          <w:rFonts w:hint="eastAsia" w:ascii="宋体" w:hAnsi="宋体"/>
          <w:b/>
          <w:color w:val="auto"/>
          <w:sz w:val="24"/>
          <w:highlight w:val="none"/>
        </w:rPr>
        <w:t>第九条　履约保证金</w:t>
      </w:r>
    </w:p>
    <w:p w14:paraId="6548D84D">
      <w:pPr>
        <w:keepNext w:val="0"/>
        <w:keepLines w:val="0"/>
        <w:pageBreakBefore w:val="0"/>
        <w:widowControl w:val="0"/>
        <w:kinsoku/>
        <w:wordWrap/>
        <w:overflowPunct/>
        <w:topLinePunct w:val="0"/>
        <w:bidi w:val="0"/>
        <w:snapToGrid w:val="0"/>
        <w:spacing w:line="500" w:lineRule="exact"/>
        <w:ind w:firstLine="480" w:firstLineChars="200"/>
        <w:textAlignment w:val="auto"/>
        <w:rPr>
          <w:color w:val="auto"/>
          <w:szCs w:val="21"/>
          <w:highlight w:val="none"/>
        </w:rPr>
      </w:pPr>
      <w:r>
        <w:rPr>
          <w:rFonts w:hint="eastAsia" w:ascii="宋体" w:hAnsi="宋体"/>
          <w:color w:val="auto"/>
          <w:sz w:val="24"/>
          <w:highlight w:val="none"/>
        </w:rPr>
        <w:t>履约保证金金额：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E06EC5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履约保证金递交方式及时限：乙方必须在成交通知书发出后25日内且必须在签订合同前以银行转账、支票、汇票、本票或者金融、担保机构出具的保函（包含电子保函）等非现金方式向甲方交纳履约保证金，否则，不予签订合同。</w:t>
      </w:r>
    </w:p>
    <w:p w14:paraId="37A12D39">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履约保证金退付方式、时间及条件：</w:t>
      </w:r>
    </w:p>
    <w:p w14:paraId="209A95A0">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履约保证金在乙方按合同约定履行合同后，由乙方凭《广西壮族自治区政府采购项目合同验收书》向甲方申请办理履约保证金退还手续，甲方在收到合格材料后5个工作日内以银行转账方式如数退还（不计利息）。</w:t>
      </w:r>
    </w:p>
    <w:p w14:paraId="057F57DF">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）在履约保证金退还日期前，若乙方的开户名称、开户银行、账号有变动的，请以书面形式通知履约保证金收取单位，否则由此产生的后果由乙方自负。</w:t>
      </w:r>
    </w:p>
    <w:p w14:paraId="36CD92FB">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）乙方在签订合同后存在违约情形的，履约保证金不予退还。履约保证金不足以赔偿损失的，按实际损失赔偿。</w:t>
      </w:r>
    </w:p>
    <w:p w14:paraId="25F37C0A">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履约保证金指定账户：</w:t>
      </w:r>
    </w:p>
    <w:p w14:paraId="0629A515">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开户名称：广西师范大学</w:t>
      </w:r>
    </w:p>
    <w:p w14:paraId="31AFE59E">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开户银行：中国工商银行股份有限公司桂林市高新科技支行</w:t>
      </w:r>
    </w:p>
    <w:p w14:paraId="1F58BB28">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账号：</w:t>
      </w:r>
      <w:r>
        <w:rPr>
          <w:rFonts w:ascii="宋体" w:hAnsi="宋体"/>
          <w:color w:val="auto"/>
          <w:sz w:val="24"/>
          <w:highlight w:val="none"/>
        </w:rPr>
        <w:t>2103215109264004618</w:t>
      </w:r>
    </w:p>
    <w:p w14:paraId="38F68637">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备注：</w:t>
      </w:r>
    </w:p>
    <w:p w14:paraId="243558D6">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hint="eastAsia" w:ascii="宋体" w:hAnsi="宋体"/>
          <w:color w:val="auto"/>
          <w:sz w:val="24"/>
          <w:highlight w:val="none"/>
        </w:rPr>
        <w:t>履约保证金不足额缴纳的（包含保函、电子保函额度不足的），或者不按规定提交方式提交的，或者保函有效期低于合同履行期限（即合同中规定的当事人履行自己的义务，如交付标的物、价款或者报酬，履行劳务、完成工作的时间界限）的，不予签订合同。</w:t>
      </w:r>
    </w:p>
    <w:p w14:paraId="51C35ABC">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第十条　违约责任</w:t>
      </w:r>
    </w:p>
    <w:p w14:paraId="082C2E39">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合同一方不履行合同义务、履行合同义务不符合约定或者违反合同项下所作保证的，应向对方承担继续履行、采取修理、更换、退货等补救措施或者赔偿损失等违约责任。</w:t>
      </w:r>
    </w:p>
    <w:p w14:paraId="57A6E97F">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乙方未能按时交付货物的，应向甲方支付迟延交付违约金。迟延交付违约金的计算方法如下：</w:t>
      </w:r>
    </w:p>
    <w:p w14:paraId="28487848">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）从迟交的第一周到第四周，每周迟延交付违约金为合同价款（报酬）的</w:t>
      </w:r>
      <w:r>
        <w:rPr>
          <w:rFonts w:hAnsi="宋体"/>
          <w:color w:val="auto"/>
          <w:sz w:val="24"/>
          <w:szCs w:val="24"/>
          <w:highlight w:val="none"/>
          <w:u w:val="single"/>
        </w:rPr>
        <w:t xml:space="preserve"> 0.5% </w:t>
      </w:r>
      <w:r>
        <w:rPr>
          <w:rFonts w:hint="eastAsia" w:hAnsi="宋体"/>
          <w:color w:val="auto"/>
          <w:sz w:val="24"/>
          <w:szCs w:val="24"/>
          <w:highlight w:val="none"/>
        </w:rPr>
        <w:t>；</w:t>
      </w:r>
    </w:p>
    <w:p w14:paraId="1AD3D3C1">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）从迟交的第五周到第八周，每周迟延交付违约金为合同价款（报酬）的</w:t>
      </w:r>
      <w:r>
        <w:rPr>
          <w:rFonts w:hAnsi="宋体"/>
          <w:color w:val="auto"/>
          <w:sz w:val="24"/>
          <w:szCs w:val="24"/>
          <w:highlight w:val="none"/>
          <w:u w:val="single"/>
        </w:rPr>
        <w:t xml:space="preserve"> 1% </w:t>
      </w:r>
      <w:r>
        <w:rPr>
          <w:rFonts w:hint="eastAsia" w:hAnsi="宋体"/>
          <w:color w:val="auto"/>
          <w:sz w:val="24"/>
          <w:szCs w:val="24"/>
          <w:highlight w:val="none"/>
        </w:rPr>
        <w:t>；</w:t>
      </w:r>
    </w:p>
    <w:p w14:paraId="772A1152">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）从迟交第九周起，每周迟延交付违约金为合同价款（报酬）的</w:t>
      </w:r>
      <w:r>
        <w:rPr>
          <w:rFonts w:hAnsi="宋体"/>
          <w:color w:val="auto"/>
          <w:sz w:val="24"/>
          <w:szCs w:val="24"/>
          <w:highlight w:val="none"/>
          <w:u w:val="single"/>
        </w:rPr>
        <w:t xml:space="preserve"> 1.5% </w:t>
      </w:r>
      <w:r>
        <w:rPr>
          <w:rFonts w:hint="eastAsia" w:hAnsi="宋体"/>
          <w:color w:val="auto"/>
          <w:sz w:val="24"/>
          <w:szCs w:val="24"/>
          <w:highlight w:val="none"/>
        </w:rPr>
        <w:t>。在计算迟延交付违约金时，迟交不足一周的按一周计算。迟延交付违约金的总额不得超过合同价款（报酬）的</w:t>
      </w:r>
      <w:r>
        <w:rPr>
          <w:rFonts w:hAnsi="宋体"/>
          <w:color w:val="auto"/>
          <w:sz w:val="24"/>
          <w:szCs w:val="24"/>
          <w:highlight w:val="none"/>
          <w:u w:val="single"/>
        </w:rPr>
        <w:t xml:space="preserve"> 10% </w:t>
      </w:r>
      <w:r>
        <w:rPr>
          <w:rFonts w:hint="eastAsia" w:hAnsi="宋体"/>
          <w:color w:val="auto"/>
          <w:sz w:val="24"/>
          <w:szCs w:val="24"/>
          <w:highlight w:val="none"/>
        </w:rPr>
        <w:t>。迟延交付违约金的总额超过合同价款（报酬）10%的，甲方有权解除合同。迟延交付违约金的支付不能免除乙方继续交付相关合同货物的义务，但如迟延交付必然导致合同货物安装、调试、验收等工作推迟的，相关工作应相应顺延。</w:t>
      </w:r>
    </w:p>
    <w:p w14:paraId="46039910">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甲方未能按合同约定支付合同价款的，应向乙方支付延迟付款违约金。迟延付款违约金的计算方法如下：</w:t>
      </w:r>
    </w:p>
    <w:p w14:paraId="3133FC6C">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）从迟付的第一周到第四周，每周迟延付款违约金为迟延付款金额的</w:t>
      </w:r>
      <w:r>
        <w:rPr>
          <w:rFonts w:hAnsi="宋体"/>
          <w:color w:val="auto"/>
          <w:sz w:val="24"/>
          <w:szCs w:val="24"/>
          <w:highlight w:val="none"/>
          <w:u w:val="single"/>
        </w:rPr>
        <w:t xml:space="preserve"> 0.5% </w:t>
      </w:r>
      <w:r>
        <w:rPr>
          <w:rFonts w:hint="eastAsia" w:hAnsi="宋体"/>
          <w:color w:val="auto"/>
          <w:sz w:val="24"/>
          <w:szCs w:val="24"/>
          <w:highlight w:val="none"/>
        </w:rPr>
        <w:t>；</w:t>
      </w:r>
    </w:p>
    <w:p w14:paraId="52CFA3FE">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）从迟付的第五周到第八周，每周迟延付款违约金为迟延付款金额的</w:t>
      </w:r>
      <w:r>
        <w:rPr>
          <w:rFonts w:hAnsi="宋体"/>
          <w:color w:val="auto"/>
          <w:sz w:val="24"/>
          <w:szCs w:val="24"/>
          <w:highlight w:val="none"/>
          <w:u w:val="single"/>
        </w:rPr>
        <w:t xml:space="preserve"> 1% </w:t>
      </w:r>
      <w:r>
        <w:rPr>
          <w:rFonts w:hint="eastAsia" w:hAnsi="宋体"/>
          <w:color w:val="auto"/>
          <w:sz w:val="24"/>
          <w:szCs w:val="24"/>
          <w:highlight w:val="none"/>
        </w:rPr>
        <w:t>；</w:t>
      </w:r>
    </w:p>
    <w:p w14:paraId="24AE2CA3">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）从迟付第九周起，每周迟延付款违约金为迟延付款金额的</w:t>
      </w:r>
      <w:r>
        <w:rPr>
          <w:rFonts w:hAnsi="宋体"/>
          <w:color w:val="auto"/>
          <w:sz w:val="24"/>
          <w:szCs w:val="24"/>
          <w:highlight w:val="none"/>
          <w:u w:val="single"/>
        </w:rPr>
        <w:t xml:space="preserve"> 1.5% </w:t>
      </w:r>
      <w:r>
        <w:rPr>
          <w:rFonts w:hint="eastAsia" w:hAnsi="宋体"/>
          <w:color w:val="auto"/>
          <w:sz w:val="24"/>
          <w:szCs w:val="24"/>
          <w:highlight w:val="none"/>
        </w:rPr>
        <w:t>。在计算迟延付款违约金时，迟付不足一周的按一周计算。迟延付款违约金的总额不得超过合同价格的</w:t>
      </w:r>
      <w:r>
        <w:rPr>
          <w:rFonts w:hAnsi="宋体"/>
          <w:color w:val="auto"/>
          <w:sz w:val="24"/>
          <w:szCs w:val="24"/>
          <w:highlight w:val="none"/>
          <w:u w:val="single"/>
        </w:rPr>
        <w:t xml:space="preserve"> 10% </w:t>
      </w:r>
      <w:r>
        <w:rPr>
          <w:rFonts w:hint="eastAsia" w:hAnsi="宋体"/>
          <w:color w:val="auto"/>
          <w:sz w:val="24"/>
          <w:szCs w:val="24"/>
          <w:highlight w:val="none"/>
        </w:rPr>
        <w:t>。</w:t>
      </w:r>
    </w:p>
    <w:p w14:paraId="1FB0F46A">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乙方未按本合同和响应文件承诺提供售后服务的，乙方应按本合同价款（报酬）的</w:t>
      </w:r>
      <w:r>
        <w:rPr>
          <w:rFonts w:hAnsi="宋体"/>
          <w:color w:val="auto"/>
          <w:sz w:val="24"/>
          <w:szCs w:val="24"/>
          <w:highlight w:val="none"/>
          <w:u w:val="single"/>
        </w:rPr>
        <w:t xml:space="preserve"> 5%  </w:t>
      </w:r>
      <w:r>
        <w:rPr>
          <w:rFonts w:hint="eastAsia" w:hAnsi="宋体"/>
          <w:color w:val="auto"/>
          <w:sz w:val="24"/>
          <w:szCs w:val="24"/>
          <w:highlight w:val="none"/>
        </w:rPr>
        <w:t>向甲方支付违约金。</w:t>
      </w:r>
    </w:p>
    <w:p w14:paraId="2B971301">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因某一方原因导致变更、中止或者终止政府采购合同的，该方应当对另一方受到的损失予以赔偿或者补偿。</w:t>
      </w:r>
    </w:p>
    <w:p w14:paraId="283F5C22">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其它违约责任按《中华人民共和国民法典》处理。</w:t>
      </w:r>
    </w:p>
    <w:p w14:paraId="4A2FABCD">
      <w:pPr>
        <w:pStyle w:val="15"/>
        <w:keepNext w:val="0"/>
        <w:keepLines w:val="0"/>
        <w:pageBreakBefore w:val="0"/>
        <w:widowControl w:val="0"/>
        <w:kinsoku/>
        <w:wordWrap/>
        <w:overflowPunct/>
        <w:topLinePunct w:val="0"/>
        <w:bidi w:val="0"/>
        <w:snapToGrid w:val="0"/>
        <w:spacing w:line="500" w:lineRule="exact"/>
        <w:ind w:firstLine="472" w:firstLineChars="196"/>
        <w:textAlignment w:val="auto"/>
        <w:rPr>
          <w:rFonts w:hAnsi="宋体"/>
          <w:b/>
          <w:color w:val="auto"/>
          <w:sz w:val="24"/>
          <w:szCs w:val="24"/>
          <w:highlight w:val="none"/>
        </w:rPr>
      </w:pPr>
      <w:r>
        <w:rPr>
          <w:rFonts w:hint="eastAsia" w:hAnsi="宋体"/>
          <w:b/>
          <w:color w:val="auto"/>
          <w:sz w:val="24"/>
          <w:szCs w:val="24"/>
          <w:highlight w:val="none"/>
        </w:rPr>
        <w:t>第十一条  不可抗力事件处理</w:t>
      </w:r>
    </w:p>
    <w:p w14:paraId="1C8BEEEB">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在合同有效期内，任何一方因不可抗力事件导致不能履行合同，则合同履行期可延长，其延长期与不可抗力影响期相同。</w:t>
      </w:r>
    </w:p>
    <w:p w14:paraId="1E90517B">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不可抗力事件发生后，应立即通知对方，并寄送有关权威机构出具的证明。</w:t>
      </w:r>
    </w:p>
    <w:p w14:paraId="6E6874BA">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不可抗力事件延续一百二十天以上，双方应通过友好协商，确定是否继续履行合同。</w:t>
      </w:r>
    </w:p>
    <w:p w14:paraId="3A28EBA2">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color w:val="auto"/>
          <w:sz w:val="24"/>
          <w:highlight w:val="none"/>
        </w:rPr>
      </w:pPr>
      <w:r>
        <w:rPr>
          <w:rFonts w:hint="eastAsia" w:ascii="宋体" w:hAnsi="宋体"/>
          <w:b/>
          <w:color w:val="auto"/>
          <w:sz w:val="24"/>
          <w:highlight w:val="none"/>
        </w:rPr>
        <w:t>第十二条  合同争议解决</w:t>
      </w:r>
    </w:p>
    <w:p w14:paraId="7F1A9B50">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因货物质量问题发生争议的，应邀请国家认可的质量检测机构对货物质量进行鉴定。货物符合标准的，鉴定费由甲方承担；货物不符合标准的，鉴定费由乙方承担。</w:t>
      </w:r>
    </w:p>
    <w:p w14:paraId="050B6F85">
      <w:pPr>
        <w:keepNext w:val="0"/>
        <w:keepLines w:val="0"/>
        <w:pageBreakBefore w:val="0"/>
        <w:widowControl w:val="0"/>
        <w:kinsoku/>
        <w:wordWrap/>
        <w:overflowPunct/>
        <w:topLinePunct w:val="0"/>
        <w:autoSpaceDE w:val="0"/>
        <w:autoSpaceDN w:val="0"/>
        <w:bidi w:val="0"/>
        <w:adjustRightInd w:val="0"/>
        <w:spacing w:line="500" w:lineRule="exact"/>
        <w:ind w:left="100" w:right="42" w:firstLine="42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因履行本合同引起的或者与本合同有关的争议，甲乙双方应首先通过友好协商解决，如果协商不能解决，按下列</w:t>
      </w:r>
      <w:r>
        <w:rPr>
          <w:rFonts w:hint="eastAsia" w:ascii="宋体" w:hAnsi="宋体"/>
          <w:color w:val="auto"/>
          <w:sz w:val="24"/>
          <w:highlight w:val="none"/>
          <w:u w:val="single"/>
        </w:rPr>
        <w:t>（</w:t>
      </w:r>
      <w:r>
        <w:rPr>
          <w:rFonts w:ascii="宋体" w:hAnsi="宋体"/>
          <w:color w:val="auto"/>
          <w:sz w:val="24"/>
          <w:highlight w:val="none"/>
          <w:u w:val="single"/>
        </w:rPr>
        <w:t>2</w:t>
      </w:r>
      <w:r>
        <w:rPr>
          <w:rFonts w:hint="eastAsia" w:ascii="宋体" w:hAnsi="宋体"/>
          <w:color w:val="auto"/>
          <w:sz w:val="24"/>
          <w:highlight w:val="none"/>
          <w:u w:val="single"/>
        </w:rPr>
        <w:t>）</w:t>
      </w:r>
      <w:r>
        <w:rPr>
          <w:rFonts w:hint="eastAsia" w:ascii="宋体" w:hAnsi="宋体"/>
          <w:color w:val="auto"/>
          <w:sz w:val="24"/>
          <w:highlight w:val="none"/>
        </w:rPr>
        <w:t>方式解决：</w:t>
      </w:r>
    </w:p>
    <w:p w14:paraId="3ECB8574">
      <w:pPr>
        <w:keepNext w:val="0"/>
        <w:keepLines w:val="0"/>
        <w:pageBreakBefore w:val="0"/>
        <w:widowControl w:val="0"/>
        <w:kinsoku/>
        <w:wordWrap/>
        <w:overflowPunct/>
        <w:topLinePunct w:val="0"/>
        <w:autoSpaceDE w:val="0"/>
        <w:autoSpaceDN w:val="0"/>
        <w:bidi w:val="0"/>
        <w:adjustRightInd w:val="0"/>
        <w:spacing w:line="500" w:lineRule="exact"/>
        <w:ind w:right="40" w:firstLine="42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）向</w:t>
      </w:r>
      <w:r>
        <w:rPr>
          <w:rFonts w:ascii="宋体" w:hAnsi="宋体"/>
          <w:color w:val="auto"/>
          <w:sz w:val="24"/>
          <w:highlight w:val="none"/>
          <w:u w:val="single"/>
        </w:rPr>
        <w:t xml:space="preserve">  /   </w:t>
      </w:r>
      <w:r>
        <w:rPr>
          <w:rFonts w:hint="eastAsia" w:ascii="宋体" w:hAnsi="宋体"/>
          <w:color w:val="auto"/>
          <w:sz w:val="24"/>
          <w:highlight w:val="none"/>
        </w:rPr>
        <w:t>仲裁委员会申请仲裁；</w:t>
      </w:r>
    </w:p>
    <w:p w14:paraId="206D66B0">
      <w:pPr>
        <w:keepNext w:val="0"/>
        <w:keepLines w:val="0"/>
        <w:pageBreakBefore w:val="0"/>
        <w:widowControl w:val="0"/>
        <w:kinsoku/>
        <w:wordWrap/>
        <w:overflowPunct/>
        <w:topLinePunct w:val="0"/>
        <w:autoSpaceDE w:val="0"/>
        <w:autoSpaceDN w:val="0"/>
        <w:bidi w:val="0"/>
        <w:adjustRightInd w:val="0"/>
        <w:spacing w:line="500" w:lineRule="exact"/>
        <w:ind w:right="40" w:firstLine="420"/>
        <w:textAlignment w:val="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）向有管辖权的人民法院提起诉讼。</w:t>
      </w:r>
    </w:p>
    <w:p w14:paraId="3BF3C9D3">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第十三条　合同的变更、中止或者终止</w:t>
      </w:r>
    </w:p>
    <w:p w14:paraId="32193B3D">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除《中华人民共和国政府采购法》第五十条规定的情形外，本合同一经签订，甲乙双方不得擅自变更、中止或者终止合同。</w:t>
      </w:r>
    </w:p>
    <w:p w14:paraId="18331DEE">
      <w:pPr>
        <w:pStyle w:val="11"/>
        <w:keepNext w:val="0"/>
        <w:keepLines w:val="0"/>
        <w:pageBreakBefore w:val="0"/>
        <w:widowControl w:val="0"/>
        <w:kinsoku/>
        <w:wordWrap/>
        <w:overflowPunct/>
        <w:topLinePunct w:val="0"/>
        <w:bidi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采购合同继续履行将损害国家利益和社会公共利益的，双方当事人应当变更、中止或者终止合同。有过错的一方应当承担赔偿责任，双方都有过错的，各自承担相应的责任。</w:t>
      </w:r>
    </w:p>
    <w:p w14:paraId="778D2017">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b/>
          <w:color w:val="auto"/>
          <w:sz w:val="24"/>
          <w:highlight w:val="none"/>
        </w:rPr>
      </w:pPr>
      <w:r>
        <w:rPr>
          <w:rFonts w:hint="eastAsia" w:ascii="宋体" w:hAnsi="宋体"/>
          <w:b/>
          <w:color w:val="auto"/>
          <w:sz w:val="24"/>
          <w:highlight w:val="none"/>
        </w:rPr>
        <w:t>第十四条　</w:t>
      </w:r>
      <w:r>
        <w:rPr>
          <w:rFonts w:hint="eastAsia" w:ascii="宋体" w:hAnsi="宋体" w:cs="微软雅黑"/>
          <w:b/>
          <w:color w:val="auto"/>
          <w:kern w:val="0"/>
          <w:sz w:val="24"/>
          <w:highlight w:val="none"/>
        </w:rPr>
        <w:t>合</w:t>
      </w:r>
      <w:r>
        <w:rPr>
          <w:rFonts w:hint="eastAsia" w:ascii="宋体" w:hAnsi="宋体" w:cs="微软雅黑"/>
          <w:b/>
          <w:color w:val="auto"/>
          <w:spacing w:val="-2"/>
          <w:kern w:val="0"/>
          <w:sz w:val="24"/>
          <w:highlight w:val="none"/>
        </w:rPr>
        <w:t>同</w:t>
      </w:r>
      <w:r>
        <w:rPr>
          <w:rFonts w:hint="eastAsia" w:ascii="宋体" w:hAnsi="宋体" w:cs="微软雅黑"/>
          <w:b/>
          <w:color w:val="auto"/>
          <w:kern w:val="0"/>
          <w:sz w:val="24"/>
          <w:highlight w:val="none"/>
        </w:rPr>
        <w:t>文</w:t>
      </w:r>
      <w:r>
        <w:rPr>
          <w:rFonts w:hint="eastAsia" w:ascii="宋体" w:hAnsi="宋体" w:cs="微软雅黑"/>
          <w:b/>
          <w:color w:val="auto"/>
          <w:spacing w:val="-2"/>
          <w:kern w:val="0"/>
          <w:sz w:val="24"/>
          <w:highlight w:val="none"/>
        </w:rPr>
        <w:t>件构成</w:t>
      </w:r>
    </w:p>
    <w:p w14:paraId="16675443">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int="eastAsia" w:hAnsi="宋体" w:eastAsia="宋体"/>
          <w:color w:val="auto"/>
          <w:sz w:val="24"/>
          <w:szCs w:val="24"/>
          <w:highlight w:val="none"/>
          <w:lang w:eastAsia="zh-CN"/>
        </w:rPr>
      </w:pPr>
      <w:r>
        <w:rPr>
          <w:rFonts w:hAnsi="宋体"/>
          <w:color w:val="auto"/>
          <w:sz w:val="24"/>
          <w:szCs w:val="24"/>
          <w:highlight w:val="none"/>
        </w:rPr>
        <w:t>1.</w:t>
      </w:r>
      <w:r>
        <w:rPr>
          <w:rFonts w:hint="eastAsia" w:hAnsi="宋体"/>
          <w:color w:val="auto"/>
          <w:sz w:val="24"/>
          <w:szCs w:val="24"/>
          <w:highlight w:val="none"/>
        </w:rPr>
        <w:t>合同</w:t>
      </w:r>
      <w:r>
        <w:rPr>
          <w:rFonts w:hint="eastAsia" w:hAnsi="宋体"/>
          <w:color w:val="auto"/>
          <w:sz w:val="24"/>
          <w:szCs w:val="24"/>
          <w:highlight w:val="none"/>
          <w:lang w:eastAsia="zh-CN"/>
        </w:rPr>
        <w:t>文本</w:t>
      </w:r>
    </w:p>
    <w:p w14:paraId="7DB1E580">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成交通知书；</w:t>
      </w:r>
    </w:p>
    <w:p w14:paraId="2D1CF397">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响应文件；</w:t>
      </w:r>
    </w:p>
    <w:p w14:paraId="22F978C4">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lang w:eastAsia="zh-CN"/>
        </w:rPr>
        <w:t>竞争性谈判</w:t>
      </w:r>
      <w:r>
        <w:rPr>
          <w:rFonts w:hint="eastAsia" w:hAnsi="宋体"/>
          <w:color w:val="auto"/>
          <w:sz w:val="24"/>
          <w:szCs w:val="24"/>
          <w:highlight w:val="none"/>
        </w:rPr>
        <w:t>文件；</w:t>
      </w:r>
    </w:p>
    <w:p w14:paraId="28DDE775">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标准、规范及有关技术文件；</w:t>
      </w:r>
    </w:p>
    <w:p w14:paraId="4676D5AE">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竞标声明；</w:t>
      </w:r>
    </w:p>
    <w:p w14:paraId="5CB1847F">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商务要求响应承诺表、售后服务承诺书、技术要求响应承诺表；</w:t>
      </w:r>
    </w:p>
    <w:p w14:paraId="3497CCDA">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8.</w:t>
      </w:r>
      <w:r>
        <w:rPr>
          <w:rFonts w:hint="eastAsia" w:hAnsi="宋体"/>
          <w:color w:val="auto"/>
          <w:sz w:val="24"/>
          <w:szCs w:val="24"/>
          <w:highlight w:val="none"/>
        </w:rPr>
        <w:t>货物配置清单（如有）；</w:t>
      </w:r>
    </w:p>
    <w:p w14:paraId="1D19EDE8">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9.</w:t>
      </w:r>
      <w:r>
        <w:rPr>
          <w:rFonts w:hint="eastAsia" w:hAnsi="宋体"/>
          <w:color w:val="auto"/>
          <w:sz w:val="24"/>
          <w:szCs w:val="24"/>
          <w:highlight w:val="none"/>
        </w:rPr>
        <w:t>采购需求；</w:t>
      </w:r>
    </w:p>
    <w:p w14:paraId="4FA77BE9">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10.</w:t>
      </w:r>
      <w:r>
        <w:rPr>
          <w:rFonts w:hint="eastAsia" w:hAnsi="宋体"/>
          <w:color w:val="auto"/>
          <w:sz w:val="24"/>
          <w:szCs w:val="24"/>
          <w:highlight w:val="none"/>
        </w:rPr>
        <w:t>竞标报价表；</w:t>
      </w:r>
    </w:p>
    <w:p w14:paraId="11002558">
      <w:pPr>
        <w:pStyle w:val="15"/>
        <w:keepNext w:val="0"/>
        <w:keepLines w:val="0"/>
        <w:pageBreakBefore w:val="0"/>
        <w:widowControl w:val="0"/>
        <w:kinsoku/>
        <w:wordWrap/>
        <w:overflowPunct/>
        <w:topLinePunct w:val="0"/>
        <w:bidi w:val="0"/>
        <w:snapToGrid w:val="0"/>
        <w:spacing w:line="500" w:lineRule="exact"/>
        <w:ind w:left="420" w:leftChars="200"/>
        <w:textAlignment w:val="auto"/>
        <w:rPr>
          <w:rFonts w:hAnsi="宋体"/>
          <w:color w:val="auto"/>
          <w:sz w:val="24"/>
          <w:szCs w:val="24"/>
          <w:highlight w:val="none"/>
        </w:rPr>
      </w:pPr>
      <w:r>
        <w:rPr>
          <w:rFonts w:hAnsi="宋体"/>
          <w:color w:val="auto"/>
          <w:sz w:val="24"/>
          <w:szCs w:val="24"/>
          <w:highlight w:val="none"/>
        </w:rPr>
        <w:t>11.</w:t>
      </w:r>
      <w:r>
        <w:rPr>
          <w:rFonts w:hint="eastAsia" w:hAnsi="宋体"/>
          <w:color w:val="auto"/>
          <w:sz w:val="24"/>
          <w:szCs w:val="24"/>
          <w:highlight w:val="none"/>
        </w:rPr>
        <w:t>双方约定的其他合同文件。</w:t>
      </w:r>
    </w:p>
    <w:p w14:paraId="687C66C4">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上述合同文件互相补充和解释。如果合同文件之间存在矛盾或者不一致之处，以上述文件的排列顺序在先者为准。</w:t>
      </w:r>
    </w:p>
    <w:p w14:paraId="5746A82F">
      <w:pPr>
        <w:keepNext w:val="0"/>
        <w:keepLines w:val="0"/>
        <w:pageBreakBefore w:val="0"/>
        <w:widowControl w:val="0"/>
        <w:kinsoku/>
        <w:wordWrap/>
        <w:overflowPunct/>
        <w:topLinePunct w:val="0"/>
        <w:bidi w:val="0"/>
        <w:snapToGrid w:val="0"/>
        <w:spacing w:line="500" w:lineRule="exact"/>
        <w:ind w:firstLine="482" w:firstLineChars="200"/>
        <w:textAlignment w:val="auto"/>
        <w:rPr>
          <w:rFonts w:ascii="宋体"/>
          <w:color w:val="auto"/>
          <w:sz w:val="24"/>
          <w:highlight w:val="none"/>
        </w:rPr>
      </w:pPr>
      <w:r>
        <w:rPr>
          <w:rFonts w:hint="eastAsia" w:ascii="宋体" w:hAnsi="宋体"/>
          <w:b/>
          <w:color w:val="auto"/>
          <w:sz w:val="24"/>
          <w:highlight w:val="none"/>
        </w:rPr>
        <w:t>第十五条　知识产权和保密要求</w:t>
      </w:r>
    </w:p>
    <w:p w14:paraId="30B8D0BE">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甲方在履行合同过程中提供给乙方的全部图纸、文件和其他含有数据和信息的资料，其知识产权属于甲方。</w:t>
      </w:r>
    </w:p>
    <w:p w14:paraId="7C93BF26">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除采购文件及采购需求另有约定外，甲方不因签署和履行合同而享有乙方在履行合同过程中提供给甲方的图纸、文件、配套软件、电子辅助程序和其他含有数据和信息的资料的知识产权。</w:t>
      </w:r>
    </w:p>
    <w:p w14:paraId="7DB25942">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48B71A28">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w:t>
      </w:r>
      <w:r>
        <w:rPr>
          <w:rFonts w:ascii="宋体" w:hAnsi="宋体"/>
          <w:color w:val="auto"/>
          <w:sz w:val="24"/>
          <w:highlight w:val="none"/>
        </w:rPr>
        <w:t>28</w:t>
      </w:r>
      <w:r>
        <w:rPr>
          <w:rFonts w:hint="eastAsia" w:ascii="宋体" w:hAnsi="宋体"/>
          <w:color w:val="auto"/>
          <w:sz w:val="24"/>
          <w:highlight w:val="none"/>
        </w:rPr>
        <w:t>日内未作表示，甲方可以自己的名义进行这些索赔或诉讼，因此发生的费用和遭受的损失均应由乙方承担。</w:t>
      </w:r>
    </w:p>
    <w:p w14:paraId="1E12930B">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5B23125B">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乙方保证将要交付的货物的所有权完全属于乙方且无任何抵押、质押、查封等产权瑕疵。</w:t>
      </w:r>
    </w:p>
    <w:p w14:paraId="35ECBF72">
      <w:pPr>
        <w:pStyle w:val="15"/>
        <w:keepNext w:val="0"/>
        <w:keepLines w:val="0"/>
        <w:pageBreakBefore w:val="0"/>
        <w:widowControl w:val="0"/>
        <w:kinsoku/>
        <w:wordWrap/>
        <w:overflowPunct/>
        <w:topLinePunct w:val="0"/>
        <w:bidi w:val="0"/>
        <w:snapToGrid w:val="0"/>
        <w:spacing w:line="500" w:lineRule="exact"/>
        <w:ind w:firstLine="472" w:firstLineChars="196"/>
        <w:textAlignment w:val="auto"/>
        <w:rPr>
          <w:rFonts w:hAnsi="宋体"/>
          <w:b/>
          <w:color w:val="auto"/>
          <w:sz w:val="24"/>
          <w:szCs w:val="24"/>
          <w:highlight w:val="none"/>
        </w:rPr>
      </w:pPr>
      <w:r>
        <w:rPr>
          <w:rFonts w:hint="eastAsia" w:hAnsi="宋体"/>
          <w:b/>
          <w:color w:val="auto"/>
          <w:sz w:val="24"/>
          <w:szCs w:val="24"/>
          <w:highlight w:val="none"/>
        </w:rPr>
        <w:t>第十六条  合同生效及其它</w:t>
      </w:r>
    </w:p>
    <w:p w14:paraId="6E8BBD2C">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合同经双方法定代表人或者委托代理人签字并加盖单位公章后生效（委托代理人签字的需后附授权委托书，格式自拟）。</w:t>
      </w:r>
    </w:p>
    <w:p w14:paraId="3E799317">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合同执行中涉及采购资金和采购内容修改或者补充的，并签书面补充协议报财政部门备案，方可作为主合同不可分割的一部分。</w:t>
      </w:r>
    </w:p>
    <w:p w14:paraId="03888E2A">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合同生效后，甲乙双方不得因姓名、名称的变更或者法定代表人、负责人、承办人的变动而不履行合同义务。</w:t>
      </w:r>
    </w:p>
    <w:p w14:paraId="4E8801CF">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本合同未尽事宜，遵照《中华人民共和国民法典》有关条文执行。</w:t>
      </w:r>
    </w:p>
    <w:p w14:paraId="43B058B0">
      <w:pPr>
        <w:pStyle w:val="15"/>
        <w:keepNext w:val="0"/>
        <w:keepLines w:val="0"/>
        <w:pageBreakBefore w:val="0"/>
        <w:widowControl w:val="0"/>
        <w:kinsoku/>
        <w:wordWrap/>
        <w:overflowPunct/>
        <w:topLinePunct w:val="0"/>
        <w:bidi w:val="0"/>
        <w:snapToGrid w:val="0"/>
        <w:spacing w:line="500" w:lineRule="exact"/>
        <w:ind w:firstLine="480" w:firstLineChars="200"/>
        <w:textAlignment w:val="auto"/>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本合同一式四份，具有同等法律效力，甲方二份，乙方一份，采购代理机构一份（可根据需要另增加）。</w:t>
      </w:r>
    </w:p>
    <w:p w14:paraId="7C0A1AA2">
      <w:pPr>
        <w:snapToGrid w:val="0"/>
        <w:spacing w:line="360" w:lineRule="auto"/>
        <w:rPr>
          <w:rFonts w:ascii="宋体"/>
          <w:color w:val="auto"/>
          <w:sz w:val="24"/>
          <w:highlight w:val="none"/>
        </w:rPr>
      </w:pPr>
    </w:p>
    <w:p w14:paraId="5AA9FE8D">
      <w:pPr>
        <w:tabs>
          <w:tab w:val="left" w:pos="4395"/>
        </w:tabs>
        <w:spacing w:line="360" w:lineRule="auto"/>
        <w:rPr>
          <w:rFonts w:ascii="宋体"/>
          <w:b/>
          <w:color w:val="auto"/>
          <w:sz w:val="24"/>
          <w:highlight w:val="none"/>
        </w:rPr>
      </w:pPr>
      <w:r>
        <w:rPr>
          <w:rFonts w:hint="eastAsia" w:ascii="宋体" w:hAnsi="宋体"/>
          <w:b/>
          <w:color w:val="auto"/>
          <w:sz w:val="24"/>
          <w:highlight w:val="none"/>
        </w:rPr>
        <w:t>甲方（盖章）：</w:t>
      </w:r>
      <w:r>
        <w:rPr>
          <w:rFonts w:ascii="宋体"/>
          <w:b/>
          <w:color w:val="auto"/>
          <w:sz w:val="24"/>
          <w:highlight w:val="none"/>
        </w:rPr>
        <w:tab/>
      </w:r>
      <w:r>
        <w:rPr>
          <w:rFonts w:hint="eastAsia" w:ascii="宋体" w:hAnsi="宋体"/>
          <w:b/>
          <w:color w:val="auto"/>
          <w:sz w:val="24"/>
          <w:highlight w:val="none"/>
        </w:rPr>
        <w:t>乙方（盖章）：</w:t>
      </w:r>
    </w:p>
    <w:p w14:paraId="4FD1B88B">
      <w:pPr>
        <w:tabs>
          <w:tab w:val="left" w:pos="4395"/>
        </w:tabs>
        <w:spacing w:line="360" w:lineRule="auto"/>
        <w:rPr>
          <w:rFonts w:ascii="宋体"/>
          <w:b/>
          <w:color w:val="auto"/>
          <w:sz w:val="24"/>
          <w:highlight w:val="none"/>
        </w:rPr>
      </w:pPr>
      <w:r>
        <w:rPr>
          <w:rFonts w:hint="eastAsia" w:ascii="宋体" w:hAnsi="宋体"/>
          <w:b/>
          <w:color w:val="auto"/>
          <w:sz w:val="24"/>
          <w:highlight w:val="none"/>
        </w:rPr>
        <w:t>法定代表人或者委托代理人（签字）：</w:t>
      </w:r>
      <w:r>
        <w:rPr>
          <w:rFonts w:ascii="宋体"/>
          <w:b/>
          <w:color w:val="auto"/>
          <w:sz w:val="24"/>
          <w:highlight w:val="none"/>
        </w:rPr>
        <w:tab/>
      </w:r>
      <w:r>
        <w:rPr>
          <w:rFonts w:hint="eastAsia" w:ascii="宋体" w:hAnsi="宋体"/>
          <w:b/>
          <w:color w:val="auto"/>
          <w:sz w:val="24"/>
          <w:highlight w:val="none"/>
        </w:rPr>
        <w:t>法定代表人或者委托代理人（签字）：</w:t>
      </w:r>
    </w:p>
    <w:p w14:paraId="21B929CC">
      <w:pPr>
        <w:tabs>
          <w:tab w:val="left" w:pos="4395"/>
        </w:tabs>
        <w:spacing w:line="360" w:lineRule="auto"/>
        <w:rPr>
          <w:rFonts w:ascii="宋体"/>
          <w:b/>
          <w:color w:val="auto"/>
          <w:sz w:val="24"/>
          <w:highlight w:val="none"/>
        </w:rPr>
      </w:pPr>
    </w:p>
    <w:p w14:paraId="0F06DA33">
      <w:pPr>
        <w:tabs>
          <w:tab w:val="left" w:pos="4395"/>
        </w:tabs>
        <w:spacing w:line="360" w:lineRule="auto"/>
        <w:rPr>
          <w:rFonts w:ascii="宋体"/>
          <w:b/>
          <w:color w:val="auto"/>
          <w:sz w:val="24"/>
          <w:highlight w:val="none"/>
        </w:rPr>
      </w:pPr>
      <w:r>
        <w:rPr>
          <w:rFonts w:hint="eastAsia" w:ascii="宋体" w:hAnsi="宋体"/>
          <w:b/>
          <w:color w:val="auto"/>
          <w:sz w:val="24"/>
          <w:highlight w:val="none"/>
        </w:rPr>
        <w:t>签订日期：　　　年　　月　　日</w:t>
      </w:r>
      <w:r>
        <w:rPr>
          <w:rFonts w:ascii="宋体"/>
          <w:b/>
          <w:color w:val="auto"/>
          <w:sz w:val="24"/>
          <w:highlight w:val="none"/>
        </w:rPr>
        <w:tab/>
      </w:r>
      <w:r>
        <w:rPr>
          <w:rFonts w:hint="eastAsia" w:ascii="宋体" w:hAnsi="宋体"/>
          <w:b/>
          <w:color w:val="auto"/>
          <w:sz w:val="24"/>
          <w:highlight w:val="none"/>
        </w:rPr>
        <w:t>签订日期：　　　年　　月　　日</w:t>
      </w:r>
    </w:p>
    <w:p w14:paraId="476EFD5D">
      <w:pPr>
        <w:tabs>
          <w:tab w:val="left" w:pos="4395"/>
        </w:tabs>
        <w:spacing w:line="360" w:lineRule="auto"/>
        <w:rPr>
          <w:rFonts w:ascii="宋体"/>
          <w:b/>
          <w:color w:val="auto"/>
          <w:sz w:val="24"/>
          <w:highlight w:val="none"/>
        </w:rPr>
      </w:pPr>
      <w:r>
        <w:rPr>
          <w:rFonts w:ascii="宋体"/>
          <w:b/>
          <w:color w:val="auto"/>
          <w:sz w:val="24"/>
          <w:highlight w:val="none"/>
        </w:rPr>
        <w:tab/>
      </w:r>
      <w:r>
        <w:rPr>
          <w:rFonts w:hint="eastAsia" w:ascii="宋体" w:hAnsi="宋体"/>
          <w:b/>
          <w:color w:val="auto"/>
          <w:sz w:val="24"/>
          <w:highlight w:val="none"/>
        </w:rPr>
        <w:t>开户名称：</w:t>
      </w:r>
    </w:p>
    <w:p w14:paraId="571BF9DE">
      <w:pPr>
        <w:tabs>
          <w:tab w:val="left" w:pos="4395"/>
        </w:tabs>
        <w:spacing w:line="360" w:lineRule="auto"/>
        <w:rPr>
          <w:rFonts w:ascii="宋体"/>
          <w:b/>
          <w:color w:val="auto"/>
          <w:sz w:val="24"/>
          <w:highlight w:val="none"/>
        </w:rPr>
      </w:pPr>
      <w:r>
        <w:rPr>
          <w:rFonts w:ascii="宋体"/>
          <w:b/>
          <w:color w:val="auto"/>
          <w:sz w:val="24"/>
          <w:highlight w:val="none"/>
        </w:rPr>
        <w:tab/>
      </w:r>
      <w:r>
        <w:rPr>
          <w:rFonts w:hint="eastAsia" w:ascii="宋体" w:hAnsi="宋体"/>
          <w:b/>
          <w:color w:val="auto"/>
          <w:sz w:val="24"/>
          <w:highlight w:val="none"/>
        </w:rPr>
        <w:t>银行账号：</w:t>
      </w:r>
    </w:p>
    <w:p w14:paraId="76886F09">
      <w:pPr>
        <w:tabs>
          <w:tab w:val="left" w:pos="4395"/>
        </w:tabs>
        <w:spacing w:line="360" w:lineRule="auto"/>
        <w:rPr>
          <w:rFonts w:ascii="宋体"/>
          <w:bCs/>
          <w:color w:val="auto"/>
          <w:sz w:val="24"/>
          <w:highlight w:val="none"/>
        </w:rPr>
      </w:pPr>
      <w:r>
        <w:rPr>
          <w:rFonts w:ascii="宋体"/>
          <w:b/>
          <w:color w:val="auto"/>
          <w:sz w:val="24"/>
          <w:highlight w:val="none"/>
        </w:rPr>
        <w:tab/>
      </w:r>
      <w:r>
        <w:rPr>
          <w:rFonts w:hint="eastAsia" w:ascii="宋体" w:hAnsi="宋体"/>
          <w:b/>
          <w:color w:val="auto"/>
          <w:sz w:val="24"/>
          <w:highlight w:val="none"/>
        </w:rPr>
        <w:t>开户行：</w:t>
      </w:r>
    </w:p>
    <w:sectPr>
      <w:headerReference r:id="rId9" w:type="first"/>
      <w:footerReference r:id="rId10" w:type="first"/>
      <w:headerReference r:id="rId7" w:type="default"/>
      <w:headerReference r:id="rId8" w:type="even"/>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810CAF3-4DD8-4F72-B7BD-82FC77A5652B}"/>
  </w:font>
  <w:font w:name="黑体">
    <w:panose1 w:val="02010609060101010101"/>
    <w:charset w:val="86"/>
    <w:family w:val="auto"/>
    <w:pitch w:val="default"/>
    <w:sig w:usb0="800002BF" w:usb1="38CF7CFA" w:usb2="00000016" w:usb3="00000000" w:csb0="00040001" w:csb1="00000000"/>
    <w:embedRegular r:id="rId2" w:fontKey="{6D8E7C8A-2902-44EC-8AE7-51B1E770B5C9}"/>
  </w:font>
  <w:font w:name="Courier New">
    <w:panose1 w:val="02070309020205020404"/>
    <w:charset w:val="01"/>
    <w:family w:val="modern"/>
    <w:pitch w:val="default"/>
    <w:sig w:usb0="E0002AFF" w:usb1="C0007843" w:usb2="00000009" w:usb3="00000000" w:csb0="400001FF" w:csb1="FFFF0000"/>
    <w:embedRegular r:id="rId3" w:fontKey="{BD4A00BD-10EC-4BEC-84CA-13AF0D580B4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embedRegular r:id="rId4" w:fontKey="{CFBC1CD4-469F-4385-B09F-D6B119E95CCB}"/>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5" w:fontKey="{34828A72-C7DD-4BA4-B05C-D2090F188258}"/>
  </w:font>
  <w:font w:name="华文新魏">
    <w:panose1 w:val="02010800040101010101"/>
    <w:charset w:val="86"/>
    <w:family w:val="auto"/>
    <w:pitch w:val="default"/>
    <w:sig w:usb0="00000001" w:usb1="080F0000" w:usb2="00000000" w:usb3="00000000" w:csb0="00040000" w:csb1="00000000"/>
    <w:embedRegular r:id="rId6" w:fontKey="{C8B068F4-DF8F-49AD-B4ED-3215521D2945}"/>
  </w:font>
  <w:font w:name="仿宋">
    <w:panose1 w:val="02010609060101010101"/>
    <w:charset w:val="86"/>
    <w:family w:val="modern"/>
    <w:pitch w:val="default"/>
    <w:sig w:usb0="800002BF" w:usb1="38CF7CFA" w:usb2="00000016" w:usb3="00000000" w:csb0="00040001" w:csb1="00000000"/>
    <w:embedRegular r:id="rId7" w:fontKey="{63BCCAD1-5EA4-4B28-8D52-C46CC6397B20}"/>
  </w:font>
  <w:font w:name="Verdana">
    <w:panose1 w:val="020B0604030504040204"/>
    <w:charset w:val="00"/>
    <w:family w:val="swiss"/>
    <w:pitch w:val="default"/>
    <w:sig w:usb0="A10006FF" w:usb1="4000205B" w:usb2="00000010" w:usb3="00000000" w:csb0="2000019F" w:csb1="00000000"/>
    <w:embedRegular r:id="rId8" w:fontKey="{29B286A4-7ACC-43CF-A30D-2F07120AF14C}"/>
  </w:font>
  <w:font w:name="Arial Unicode MS">
    <w:panose1 w:val="020B0604020202020204"/>
    <w:charset w:val="86"/>
    <w:family w:val="swiss"/>
    <w:pitch w:val="default"/>
    <w:sig w:usb0="FFFFFFFF" w:usb1="E9FFFFFF" w:usb2="0000003F" w:usb3="00000000" w:csb0="603F01FF" w:csb1="FFFF0000"/>
    <w:embedRegular r:id="rId9" w:fontKey="{9F1F4AE4-B53E-48D9-A023-42E3918E5B11}"/>
  </w:font>
  <w:font w:name="Wingdings 2">
    <w:panose1 w:val="05020102010507070707"/>
    <w:charset w:val="02"/>
    <w:family w:val="roman"/>
    <w:pitch w:val="default"/>
    <w:sig w:usb0="00000000" w:usb1="00000000" w:usb2="00000000" w:usb3="00000000" w:csb0="80000000" w:csb1="00000000"/>
    <w:embedRegular r:id="rId10" w:fontKey="{3FDACE03-31EA-4E43-91CF-339C99DA3420}"/>
  </w:font>
  <w:font w:name="微软雅黑">
    <w:panose1 w:val="020B0503020204020204"/>
    <w:charset w:val="86"/>
    <w:family w:val="swiss"/>
    <w:pitch w:val="default"/>
    <w:sig w:usb0="80000287" w:usb1="280F3C52" w:usb2="00000016" w:usb3="00000000" w:csb0="0004001F" w:csb1="00000000"/>
    <w:embedRegular r:id="rId11" w:fontKey="{FD8B7913-2D3F-4BF8-A32B-7F16C21370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94C6">
    <w:pPr>
      <w:pStyle w:val="18"/>
      <w:jc w:val="center"/>
    </w:pPr>
    <w:r>
      <w:fldChar w:fldCharType="begin"/>
    </w:r>
    <w:r>
      <w:instrText xml:space="preserve"> PAGE   \* MERGEFORMAT </w:instrText>
    </w:r>
    <w:r>
      <w:fldChar w:fldCharType="separate"/>
    </w:r>
    <w:r>
      <w:rPr>
        <w:lang w:val="zh-CN"/>
      </w:rPr>
      <w:t>37</w:t>
    </w:r>
    <w:r>
      <w:rPr>
        <w:lang w:val="zh-CN"/>
      </w:rPr>
      <w:fldChar w:fldCharType="end"/>
    </w:r>
  </w:p>
  <w:p w14:paraId="4D0549B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1BE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74085BCF">
                          <w:pPr>
                            <w:pStyle w:val="1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5&#10;uc8AAAAFAQAADwAAAAAAAAABACAAAAAiAAAAZHJzL2Rvd25yZXYueG1sUEsBAhQAFAAAAAgAh07i&#10;QOG7zd7yAQAA5QMAAA4AAAAAAAAAAQAgAAAAHgEAAGRycy9lMm9Eb2MueG1sUEsFBgAAAAAGAAYA&#10;WQEAAIIFAAAAAA==&#10;">
              <v:fill on="f" focussize="0,0"/>
              <v:stroke on="f"/>
              <v:imagedata o:title=""/>
              <o:lock v:ext="edit" aspectratio="f"/>
              <v:textbox inset="0mm,0mm,0mm,0mm" style="mso-fit-shape-to-text:t;">
                <w:txbxContent>
                  <w:p w14:paraId="74085BC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FE85">
    <w:pPr>
      <w:pStyle w:val="19"/>
      <w:pBdr>
        <w:bottom w:val="none" w:color="auto" w:sz="0" w:space="0"/>
      </w:pBd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4660900"/>
          <wp:effectExtent l="0" t="0" r="2540" b="6350"/>
          <wp:wrapNone/>
          <wp:docPr id="1"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0AAD">
    <w:pPr>
      <w:pStyle w:val="1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542280" cy="4897755"/>
          <wp:effectExtent l="0" t="0" r="5080" b="9525"/>
          <wp:wrapNone/>
          <wp:docPr id="4" name="WordPictureWatermark7392467"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392467"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7F4B">
    <w:pPr>
      <w:pStyle w:val="19"/>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4660900"/>
          <wp:effectExtent l="0" t="0" r="2540" b="6350"/>
          <wp:wrapNone/>
          <wp:docPr id="3"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12AC9">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4660900"/>
          <wp:effectExtent l="0" t="0" r="2540" b="6350"/>
          <wp:wrapNone/>
          <wp:docPr id="5"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3843">
    <w:pPr>
      <w:pStyle w:val="19"/>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542280" cy="4897755"/>
          <wp:effectExtent l="0" t="0" r="5080" b="9525"/>
          <wp:wrapNone/>
          <wp:docPr id="7" name="WordPictureWatermark739247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7392470"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C4F7">
    <w:pPr>
      <w:pStyle w:val="19"/>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542280" cy="4897755"/>
          <wp:effectExtent l="0" t="0" r="5080" b="9525"/>
          <wp:wrapNone/>
          <wp:docPr id="6" name="WordPictureWatermark7392469"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7392469" descr="云龙水印"/>
                  <pic:cNvPicPr>
                    <a:picLocks noChangeAspect="1"/>
                  </pic:cNvPicPr>
                </pic:nvPicPr>
                <pic:blipFill>
                  <a:blip r:embed="rId1">
                    <a:lum bright="70001" contrast="-70000"/>
                  </a:blip>
                  <a:stretch>
                    <a:fillRect/>
                  </a:stretch>
                </pic:blipFill>
                <pic:spPr>
                  <a:xfrm>
                    <a:off x="0" y="0"/>
                    <a:ext cx="5542280" cy="48977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0BBF2A"/>
    <w:multiLevelType w:val="singleLevel"/>
    <w:tmpl w:val="680BBF2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C3NLAwNzEytzQ3NbVQ0lEKTi0uzszPAykwqQUAIDYXgSwAAAA="/>
    <w:docVar w:name="commondata" w:val="eyJoZGlkIjoiNjYxNGMxOWE1NmJmNjE2NWUxMWZiOTdlYWFjMjI2YjIifQ=="/>
  </w:docVars>
  <w:rsids>
    <w:rsidRoot w:val="00F34B14"/>
    <w:rsid w:val="00000672"/>
    <w:rsid w:val="000009D3"/>
    <w:rsid w:val="00001799"/>
    <w:rsid w:val="00001BEA"/>
    <w:rsid w:val="00002D29"/>
    <w:rsid w:val="000040C5"/>
    <w:rsid w:val="00004514"/>
    <w:rsid w:val="00004A8A"/>
    <w:rsid w:val="00005E55"/>
    <w:rsid w:val="00005FDF"/>
    <w:rsid w:val="00006586"/>
    <w:rsid w:val="000078A4"/>
    <w:rsid w:val="00007BE9"/>
    <w:rsid w:val="0001014C"/>
    <w:rsid w:val="00010D39"/>
    <w:rsid w:val="000112BB"/>
    <w:rsid w:val="0001149B"/>
    <w:rsid w:val="0001172C"/>
    <w:rsid w:val="00012854"/>
    <w:rsid w:val="00012EA6"/>
    <w:rsid w:val="000139C7"/>
    <w:rsid w:val="000139DC"/>
    <w:rsid w:val="00013D8C"/>
    <w:rsid w:val="00013DFE"/>
    <w:rsid w:val="000141EA"/>
    <w:rsid w:val="00014385"/>
    <w:rsid w:val="00014B02"/>
    <w:rsid w:val="00015777"/>
    <w:rsid w:val="00016395"/>
    <w:rsid w:val="000166C4"/>
    <w:rsid w:val="00016960"/>
    <w:rsid w:val="00017396"/>
    <w:rsid w:val="000177DB"/>
    <w:rsid w:val="00020227"/>
    <w:rsid w:val="000203E4"/>
    <w:rsid w:val="00020455"/>
    <w:rsid w:val="00021729"/>
    <w:rsid w:val="00021E83"/>
    <w:rsid w:val="000226BE"/>
    <w:rsid w:val="00022731"/>
    <w:rsid w:val="00022792"/>
    <w:rsid w:val="0002392D"/>
    <w:rsid w:val="00024B43"/>
    <w:rsid w:val="00025382"/>
    <w:rsid w:val="00025636"/>
    <w:rsid w:val="00025E36"/>
    <w:rsid w:val="00026627"/>
    <w:rsid w:val="00026886"/>
    <w:rsid w:val="00030496"/>
    <w:rsid w:val="00030B1D"/>
    <w:rsid w:val="00031785"/>
    <w:rsid w:val="0003201C"/>
    <w:rsid w:val="000329A1"/>
    <w:rsid w:val="000329E0"/>
    <w:rsid w:val="000333A0"/>
    <w:rsid w:val="00033E6B"/>
    <w:rsid w:val="000345D7"/>
    <w:rsid w:val="000352E9"/>
    <w:rsid w:val="00035872"/>
    <w:rsid w:val="00036A07"/>
    <w:rsid w:val="00036E33"/>
    <w:rsid w:val="00037717"/>
    <w:rsid w:val="00037E2D"/>
    <w:rsid w:val="00040571"/>
    <w:rsid w:val="0004156E"/>
    <w:rsid w:val="00041597"/>
    <w:rsid w:val="0004392E"/>
    <w:rsid w:val="00043A45"/>
    <w:rsid w:val="0004440C"/>
    <w:rsid w:val="00044D55"/>
    <w:rsid w:val="00045880"/>
    <w:rsid w:val="000462CB"/>
    <w:rsid w:val="00046B5E"/>
    <w:rsid w:val="0004783A"/>
    <w:rsid w:val="000509D9"/>
    <w:rsid w:val="00050B27"/>
    <w:rsid w:val="00050EED"/>
    <w:rsid w:val="000523F8"/>
    <w:rsid w:val="00053E2D"/>
    <w:rsid w:val="000552A6"/>
    <w:rsid w:val="00055D41"/>
    <w:rsid w:val="00055E86"/>
    <w:rsid w:val="00056E90"/>
    <w:rsid w:val="00057CEC"/>
    <w:rsid w:val="00060203"/>
    <w:rsid w:val="00060DCE"/>
    <w:rsid w:val="00061382"/>
    <w:rsid w:val="000623B4"/>
    <w:rsid w:val="000634A7"/>
    <w:rsid w:val="00063E85"/>
    <w:rsid w:val="00063F81"/>
    <w:rsid w:val="00064847"/>
    <w:rsid w:val="0006484B"/>
    <w:rsid w:val="00065BBC"/>
    <w:rsid w:val="00066149"/>
    <w:rsid w:val="00066DDD"/>
    <w:rsid w:val="000673E2"/>
    <w:rsid w:val="000675A3"/>
    <w:rsid w:val="0007073B"/>
    <w:rsid w:val="000711E4"/>
    <w:rsid w:val="000725FC"/>
    <w:rsid w:val="00072AED"/>
    <w:rsid w:val="00073F47"/>
    <w:rsid w:val="00075B7E"/>
    <w:rsid w:val="000765D0"/>
    <w:rsid w:val="0007692D"/>
    <w:rsid w:val="00076A88"/>
    <w:rsid w:val="00077C70"/>
    <w:rsid w:val="00080B57"/>
    <w:rsid w:val="000817D1"/>
    <w:rsid w:val="00081BA3"/>
    <w:rsid w:val="00081D2E"/>
    <w:rsid w:val="0008267B"/>
    <w:rsid w:val="00082D02"/>
    <w:rsid w:val="00083B91"/>
    <w:rsid w:val="000844EA"/>
    <w:rsid w:val="00084765"/>
    <w:rsid w:val="00084C27"/>
    <w:rsid w:val="0008520B"/>
    <w:rsid w:val="00086BBB"/>
    <w:rsid w:val="000871B8"/>
    <w:rsid w:val="00087DB6"/>
    <w:rsid w:val="00090639"/>
    <w:rsid w:val="000913BE"/>
    <w:rsid w:val="000918F8"/>
    <w:rsid w:val="00092442"/>
    <w:rsid w:val="0009299D"/>
    <w:rsid w:val="00092E9D"/>
    <w:rsid w:val="00094632"/>
    <w:rsid w:val="00094960"/>
    <w:rsid w:val="0009552B"/>
    <w:rsid w:val="0009588E"/>
    <w:rsid w:val="000959EE"/>
    <w:rsid w:val="00095B2F"/>
    <w:rsid w:val="00095B51"/>
    <w:rsid w:val="00097DA0"/>
    <w:rsid w:val="000A0D6B"/>
    <w:rsid w:val="000A0EEE"/>
    <w:rsid w:val="000A1389"/>
    <w:rsid w:val="000A166E"/>
    <w:rsid w:val="000A17D0"/>
    <w:rsid w:val="000A2B0E"/>
    <w:rsid w:val="000A3062"/>
    <w:rsid w:val="000A398F"/>
    <w:rsid w:val="000A4AEE"/>
    <w:rsid w:val="000A509C"/>
    <w:rsid w:val="000A54D8"/>
    <w:rsid w:val="000A6007"/>
    <w:rsid w:val="000A65A6"/>
    <w:rsid w:val="000A7275"/>
    <w:rsid w:val="000A73F3"/>
    <w:rsid w:val="000A7A12"/>
    <w:rsid w:val="000A7AD8"/>
    <w:rsid w:val="000A7CA5"/>
    <w:rsid w:val="000B039A"/>
    <w:rsid w:val="000B15D6"/>
    <w:rsid w:val="000B1801"/>
    <w:rsid w:val="000B197E"/>
    <w:rsid w:val="000B19B3"/>
    <w:rsid w:val="000B1D0C"/>
    <w:rsid w:val="000B24D9"/>
    <w:rsid w:val="000B2D03"/>
    <w:rsid w:val="000B3815"/>
    <w:rsid w:val="000B3C7B"/>
    <w:rsid w:val="000B6C95"/>
    <w:rsid w:val="000C0C58"/>
    <w:rsid w:val="000C1679"/>
    <w:rsid w:val="000C2898"/>
    <w:rsid w:val="000C2F89"/>
    <w:rsid w:val="000C3232"/>
    <w:rsid w:val="000C326D"/>
    <w:rsid w:val="000C3775"/>
    <w:rsid w:val="000C435F"/>
    <w:rsid w:val="000C4635"/>
    <w:rsid w:val="000C548E"/>
    <w:rsid w:val="000C6DE4"/>
    <w:rsid w:val="000D01EB"/>
    <w:rsid w:val="000D056E"/>
    <w:rsid w:val="000D0675"/>
    <w:rsid w:val="000D0A89"/>
    <w:rsid w:val="000D1389"/>
    <w:rsid w:val="000D1798"/>
    <w:rsid w:val="000D1A2A"/>
    <w:rsid w:val="000D2626"/>
    <w:rsid w:val="000D2B86"/>
    <w:rsid w:val="000D3797"/>
    <w:rsid w:val="000D4A06"/>
    <w:rsid w:val="000D5375"/>
    <w:rsid w:val="000D54D4"/>
    <w:rsid w:val="000D73DD"/>
    <w:rsid w:val="000D7D9B"/>
    <w:rsid w:val="000E18E2"/>
    <w:rsid w:val="000E28AB"/>
    <w:rsid w:val="000E2E3E"/>
    <w:rsid w:val="000E2EAA"/>
    <w:rsid w:val="000E33C5"/>
    <w:rsid w:val="000E3583"/>
    <w:rsid w:val="000E3AF0"/>
    <w:rsid w:val="000E3B01"/>
    <w:rsid w:val="000E3D53"/>
    <w:rsid w:val="000E4E04"/>
    <w:rsid w:val="000E5711"/>
    <w:rsid w:val="000E6E77"/>
    <w:rsid w:val="000E6EC9"/>
    <w:rsid w:val="000E70B4"/>
    <w:rsid w:val="000F2116"/>
    <w:rsid w:val="000F29AA"/>
    <w:rsid w:val="000F2D7B"/>
    <w:rsid w:val="000F3281"/>
    <w:rsid w:val="000F3733"/>
    <w:rsid w:val="000F4D88"/>
    <w:rsid w:val="000F5B1B"/>
    <w:rsid w:val="000F64AA"/>
    <w:rsid w:val="000F79A3"/>
    <w:rsid w:val="000F7AF4"/>
    <w:rsid w:val="000F7C33"/>
    <w:rsid w:val="000F7F0C"/>
    <w:rsid w:val="00100246"/>
    <w:rsid w:val="001004D6"/>
    <w:rsid w:val="00100618"/>
    <w:rsid w:val="00100B55"/>
    <w:rsid w:val="00100D90"/>
    <w:rsid w:val="0010173A"/>
    <w:rsid w:val="00103816"/>
    <w:rsid w:val="00103918"/>
    <w:rsid w:val="00104324"/>
    <w:rsid w:val="00104889"/>
    <w:rsid w:val="00104897"/>
    <w:rsid w:val="00104EDE"/>
    <w:rsid w:val="00105372"/>
    <w:rsid w:val="00106BEE"/>
    <w:rsid w:val="001124FE"/>
    <w:rsid w:val="00113134"/>
    <w:rsid w:val="00113AC0"/>
    <w:rsid w:val="00113E75"/>
    <w:rsid w:val="001141F4"/>
    <w:rsid w:val="00114851"/>
    <w:rsid w:val="00115B91"/>
    <w:rsid w:val="00115E11"/>
    <w:rsid w:val="00115F56"/>
    <w:rsid w:val="00117CBD"/>
    <w:rsid w:val="0012006A"/>
    <w:rsid w:val="001204D2"/>
    <w:rsid w:val="00120990"/>
    <w:rsid w:val="001217B5"/>
    <w:rsid w:val="00121979"/>
    <w:rsid w:val="00122064"/>
    <w:rsid w:val="00125004"/>
    <w:rsid w:val="001263B8"/>
    <w:rsid w:val="00126763"/>
    <w:rsid w:val="00130217"/>
    <w:rsid w:val="00130783"/>
    <w:rsid w:val="001312CB"/>
    <w:rsid w:val="00131B75"/>
    <w:rsid w:val="00132A95"/>
    <w:rsid w:val="00132B04"/>
    <w:rsid w:val="00132B47"/>
    <w:rsid w:val="00132E64"/>
    <w:rsid w:val="00133C22"/>
    <w:rsid w:val="001351CB"/>
    <w:rsid w:val="001359A2"/>
    <w:rsid w:val="00135E37"/>
    <w:rsid w:val="00136020"/>
    <w:rsid w:val="0013632E"/>
    <w:rsid w:val="00136445"/>
    <w:rsid w:val="00140132"/>
    <w:rsid w:val="00140163"/>
    <w:rsid w:val="00141C9C"/>
    <w:rsid w:val="001434BE"/>
    <w:rsid w:val="0014479F"/>
    <w:rsid w:val="001452B4"/>
    <w:rsid w:val="0014550E"/>
    <w:rsid w:val="00145F28"/>
    <w:rsid w:val="00146EC6"/>
    <w:rsid w:val="0014755F"/>
    <w:rsid w:val="001478D2"/>
    <w:rsid w:val="001507EE"/>
    <w:rsid w:val="00150CC9"/>
    <w:rsid w:val="001514DB"/>
    <w:rsid w:val="00151BA2"/>
    <w:rsid w:val="00151FFC"/>
    <w:rsid w:val="00152A87"/>
    <w:rsid w:val="001536D8"/>
    <w:rsid w:val="00154486"/>
    <w:rsid w:val="00156D0E"/>
    <w:rsid w:val="00157B5F"/>
    <w:rsid w:val="0016086E"/>
    <w:rsid w:val="00160D0C"/>
    <w:rsid w:val="00161172"/>
    <w:rsid w:val="0016139E"/>
    <w:rsid w:val="00161E65"/>
    <w:rsid w:val="00162597"/>
    <w:rsid w:val="001629AF"/>
    <w:rsid w:val="0016428A"/>
    <w:rsid w:val="001647C9"/>
    <w:rsid w:val="0016565A"/>
    <w:rsid w:val="001661A3"/>
    <w:rsid w:val="001668A0"/>
    <w:rsid w:val="0016782B"/>
    <w:rsid w:val="001713FA"/>
    <w:rsid w:val="00171EB1"/>
    <w:rsid w:val="00173256"/>
    <w:rsid w:val="001733E1"/>
    <w:rsid w:val="00173F74"/>
    <w:rsid w:val="00175086"/>
    <w:rsid w:val="00175BA6"/>
    <w:rsid w:val="00176CA7"/>
    <w:rsid w:val="00176CD5"/>
    <w:rsid w:val="001778C5"/>
    <w:rsid w:val="00177E56"/>
    <w:rsid w:val="00177F0A"/>
    <w:rsid w:val="00180669"/>
    <w:rsid w:val="001814A4"/>
    <w:rsid w:val="00182B6B"/>
    <w:rsid w:val="00183088"/>
    <w:rsid w:val="00185617"/>
    <w:rsid w:val="0018574E"/>
    <w:rsid w:val="00185BF2"/>
    <w:rsid w:val="00186CEF"/>
    <w:rsid w:val="00187BFF"/>
    <w:rsid w:val="0019171E"/>
    <w:rsid w:val="0019220F"/>
    <w:rsid w:val="0019242D"/>
    <w:rsid w:val="001928B1"/>
    <w:rsid w:val="0019299D"/>
    <w:rsid w:val="00194ED5"/>
    <w:rsid w:val="00195424"/>
    <w:rsid w:val="001955FF"/>
    <w:rsid w:val="0019777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B44"/>
    <w:rsid w:val="001A6D8B"/>
    <w:rsid w:val="001B0734"/>
    <w:rsid w:val="001B079E"/>
    <w:rsid w:val="001B0CDA"/>
    <w:rsid w:val="001B0E26"/>
    <w:rsid w:val="001B125A"/>
    <w:rsid w:val="001B1E05"/>
    <w:rsid w:val="001B1EBA"/>
    <w:rsid w:val="001B2142"/>
    <w:rsid w:val="001B26CF"/>
    <w:rsid w:val="001B28BE"/>
    <w:rsid w:val="001B2F2B"/>
    <w:rsid w:val="001B327A"/>
    <w:rsid w:val="001B35DE"/>
    <w:rsid w:val="001B3A13"/>
    <w:rsid w:val="001B59FF"/>
    <w:rsid w:val="001B636D"/>
    <w:rsid w:val="001B65D7"/>
    <w:rsid w:val="001B6752"/>
    <w:rsid w:val="001B6768"/>
    <w:rsid w:val="001B6F1F"/>
    <w:rsid w:val="001B7D93"/>
    <w:rsid w:val="001B7ECC"/>
    <w:rsid w:val="001B7F1E"/>
    <w:rsid w:val="001C163C"/>
    <w:rsid w:val="001C1AED"/>
    <w:rsid w:val="001C25A7"/>
    <w:rsid w:val="001C2F67"/>
    <w:rsid w:val="001C318C"/>
    <w:rsid w:val="001C4287"/>
    <w:rsid w:val="001C4479"/>
    <w:rsid w:val="001C76B7"/>
    <w:rsid w:val="001C76FB"/>
    <w:rsid w:val="001C7B14"/>
    <w:rsid w:val="001D2764"/>
    <w:rsid w:val="001D3697"/>
    <w:rsid w:val="001D48BD"/>
    <w:rsid w:val="001D51DE"/>
    <w:rsid w:val="001D52E9"/>
    <w:rsid w:val="001D540E"/>
    <w:rsid w:val="001D58A1"/>
    <w:rsid w:val="001D5A8A"/>
    <w:rsid w:val="001D5EDF"/>
    <w:rsid w:val="001D626E"/>
    <w:rsid w:val="001D709B"/>
    <w:rsid w:val="001D735E"/>
    <w:rsid w:val="001D73C8"/>
    <w:rsid w:val="001D74D4"/>
    <w:rsid w:val="001D7E1F"/>
    <w:rsid w:val="001E0756"/>
    <w:rsid w:val="001E0A8D"/>
    <w:rsid w:val="001E0FFB"/>
    <w:rsid w:val="001E129E"/>
    <w:rsid w:val="001E1322"/>
    <w:rsid w:val="001E2B9F"/>
    <w:rsid w:val="001E37AA"/>
    <w:rsid w:val="001E4A8D"/>
    <w:rsid w:val="001E5A94"/>
    <w:rsid w:val="001E7648"/>
    <w:rsid w:val="001F127B"/>
    <w:rsid w:val="001F2A2E"/>
    <w:rsid w:val="001F2E3D"/>
    <w:rsid w:val="001F3B72"/>
    <w:rsid w:val="001F3C63"/>
    <w:rsid w:val="001F4460"/>
    <w:rsid w:val="001F55D5"/>
    <w:rsid w:val="001F5DAF"/>
    <w:rsid w:val="001F637C"/>
    <w:rsid w:val="001F6869"/>
    <w:rsid w:val="001F6AB8"/>
    <w:rsid w:val="001F6B6C"/>
    <w:rsid w:val="001F711A"/>
    <w:rsid w:val="001F75B0"/>
    <w:rsid w:val="001F7686"/>
    <w:rsid w:val="00200CE5"/>
    <w:rsid w:val="002014DB"/>
    <w:rsid w:val="00201E12"/>
    <w:rsid w:val="0020231A"/>
    <w:rsid w:val="002031E2"/>
    <w:rsid w:val="002033B5"/>
    <w:rsid w:val="0020382C"/>
    <w:rsid w:val="00203CB0"/>
    <w:rsid w:val="0020437A"/>
    <w:rsid w:val="00204B5F"/>
    <w:rsid w:val="00204FEE"/>
    <w:rsid w:val="0020532C"/>
    <w:rsid w:val="00205D23"/>
    <w:rsid w:val="0021064F"/>
    <w:rsid w:val="00211046"/>
    <w:rsid w:val="00211207"/>
    <w:rsid w:val="002114C7"/>
    <w:rsid w:val="002118F3"/>
    <w:rsid w:val="00212174"/>
    <w:rsid w:val="0021248A"/>
    <w:rsid w:val="00212756"/>
    <w:rsid w:val="00212797"/>
    <w:rsid w:val="0021302C"/>
    <w:rsid w:val="00213045"/>
    <w:rsid w:val="00213483"/>
    <w:rsid w:val="00213B1C"/>
    <w:rsid w:val="00214202"/>
    <w:rsid w:val="002146F3"/>
    <w:rsid w:val="002148E3"/>
    <w:rsid w:val="00215373"/>
    <w:rsid w:val="0021552D"/>
    <w:rsid w:val="002156AE"/>
    <w:rsid w:val="00217861"/>
    <w:rsid w:val="00217D22"/>
    <w:rsid w:val="00217F54"/>
    <w:rsid w:val="002204C9"/>
    <w:rsid w:val="0022054D"/>
    <w:rsid w:val="0022290A"/>
    <w:rsid w:val="00224DE1"/>
    <w:rsid w:val="00225281"/>
    <w:rsid w:val="00225664"/>
    <w:rsid w:val="002262AF"/>
    <w:rsid w:val="002269DC"/>
    <w:rsid w:val="002271D2"/>
    <w:rsid w:val="00227BBA"/>
    <w:rsid w:val="00227F2D"/>
    <w:rsid w:val="0023089D"/>
    <w:rsid w:val="00230F58"/>
    <w:rsid w:val="00231851"/>
    <w:rsid w:val="002319FB"/>
    <w:rsid w:val="00231B89"/>
    <w:rsid w:val="002335A0"/>
    <w:rsid w:val="0023445E"/>
    <w:rsid w:val="002355BE"/>
    <w:rsid w:val="00236DE9"/>
    <w:rsid w:val="00237D5A"/>
    <w:rsid w:val="00237EA9"/>
    <w:rsid w:val="0024023A"/>
    <w:rsid w:val="00241300"/>
    <w:rsid w:val="0024170C"/>
    <w:rsid w:val="00241D3C"/>
    <w:rsid w:val="0024274D"/>
    <w:rsid w:val="002439AB"/>
    <w:rsid w:val="002450D5"/>
    <w:rsid w:val="00245587"/>
    <w:rsid w:val="00245BFB"/>
    <w:rsid w:val="00245F2B"/>
    <w:rsid w:val="00246F95"/>
    <w:rsid w:val="00247F3A"/>
    <w:rsid w:val="00250122"/>
    <w:rsid w:val="002503A8"/>
    <w:rsid w:val="00250755"/>
    <w:rsid w:val="00250AE3"/>
    <w:rsid w:val="002517DA"/>
    <w:rsid w:val="00251C4A"/>
    <w:rsid w:val="0025271C"/>
    <w:rsid w:val="00252858"/>
    <w:rsid w:val="00252A91"/>
    <w:rsid w:val="002533CD"/>
    <w:rsid w:val="002537F9"/>
    <w:rsid w:val="002544C1"/>
    <w:rsid w:val="00254E13"/>
    <w:rsid w:val="00254EAB"/>
    <w:rsid w:val="002553AE"/>
    <w:rsid w:val="002557AF"/>
    <w:rsid w:val="002561FA"/>
    <w:rsid w:val="00256474"/>
    <w:rsid w:val="002566B1"/>
    <w:rsid w:val="002575E3"/>
    <w:rsid w:val="002603C1"/>
    <w:rsid w:val="002609A1"/>
    <w:rsid w:val="00260A3D"/>
    <w:rsid w:val="002612B1"/>
    <w:rsid w:val="00266165"/>
    <w:rsid w:val="00266790"/>
    <w:rsid w:val="0027125E"/>
    <w:rsid w:val="002713FC"/>
    <w:rsid w:val="00271767"/>
    <w:rsid w:val="00272293"/>
    <w:rsid w:val="002723C8"/>
    <w:rsid w:val="00272676"/>
    <w:rsid w:val="00273CBE"/>
    <w:rsid w:val="00274122"/>
    <w:rsid w:val="00277441"/>
    <w:rsid w:val="002802D7"/>
    <w:rsid w:val="0028232C"/>
    <w:rsid w:val="002827F1"/>
    <w:rsid w:val="00282A52"/>
    <w:rsid w:val="00282EC3"/>
    <w:rsid w:val="002835B0"/>
    <w:rsid w:val="0028407E"/>
    <w:rsid w:val="0028410F"/>
    <w:rsid w:val="0028454D"/>
    <w:rsid w:val="002859A9"/>
    <w:rsid w:val="00286603"/>
    <w:rsid w:val="00286A98"/>
    <w:rsid w:val="00286FB5"/>
    <w:rsid w:val="00287763"/>
    <w:rsid w:val="00290089"/>
    <w:rsid w:val="00290606"/>
    <w:rsid w:val="00290ABE"/>
    <w:rsid w:val="00290F9D"/>
    <w:rsid w:val="002918A7"/>
    <w:rsid w:val="002918AE"/>
    <w:rsid w:val="00291D6D"/>
    <w:rsid w:val="00291FF1"/>
    <w:rsid w:val="002923F6"/>
    <w:rsid w:val="00293361"/>
    <w:rsid w:val="00293679"/>
    <w:rsid w:val="00293770"/>
    <w:rsid w:val="00293957"/>
    <w:rsid w:val="00295287"/>
    <w:rsid w:val="002952B1"/>
    <w:rsid w:val="00295D11"/>
    <w:rsid w:val="00295FA0"/>
    <w:rsid w:val="0029683E"/>
    <w:rsid w:val="00297A7A"/>
    <w:rsid w:val="002A0432"/>
    <w:rsid w:val="002A0C3A"/>
    <w:rsid w:val="002A1130"/>
    <w:rsid w:val="002A14D3"/>
    <w:rsid w:val="002A1880"/>
    <w:rsid w:val="002A1D47"/>
    <w:rsid w:val="002A23B7"/>
    <w:rsid w:val="002A3A57"/>
    <w:rsid w:val="002A6D22"/>
    <w:rsid w:val="002A6DC2"/>
    <w:rsid w:val="002A6DEF"/>
    <w:rsid w:val="002A7411"/>
    <w:rsid w:val="002A7C24"/>
    <w:rsid w:val="002B00C7"/>
    <w:rsid w:val="002B013E"/>
    <w:rsid w:val="002B058D"/>
    <w:rsid w:val="002B0C16"/>
    <w:rsid w:val="002B11C9"/>
    <w:rsid w:val="002B169E"/>
    <w:rsid w:val="002B199F"/>
    <w:rsid w:val="002B2621"/>
    <w:rsid w:val="002B2AC5"/>
    <w:rsid w:val="002B3528"/>
    <w:rsid w:val="002B3539"/>
    <w:rsid w:val="002B374F"/>
    <w:rsid w:val="002B3828"/>
    <w:rsid w:val="002B38FD"/>
    <w:rsid w:val="002B3B2B"/>
    <w:rsid w:val="002B5296"/>
    <w:rsid w:val="002B6D17"/>
    <w:rsid w:val="002B70E9"/>
    <w:rsid w:val="002B7691"/>
    <w:rsid w:val="002C0C1C"/>
    <w:rsid w:val="002C184E"/>
    <w:rsid w:val="002C2227"/>
    <w:rsid w:val="002C29C1"/>
    <w:rsid w:val="002C41B2"/>
    <w:rsid w:val="002C54C2"/>
    <w:rsid w:val="002C58F6"/>
    <w:rsid w:val="002C5D34"/>
    <w:rsid w:val="002C5EA7"/>
    <w:rsid w:val="002C661A"/>
    <w:rsid w:val="002C730C"/>
    <w:rsid w:val="002D0262"/>
    <w:rsid w:val="002D0AF5"/>
    <w:rsid w:val="002D1C54"/>
    <w:rsid w:val="002D2231"/>
    <w:rsid w:val="002D25FC"/>
    <w:rsid w:val="002D318B"/>
    <w:rsid w:val="002D3380"/>
    <w:rsid w:val="002D40A9"/>
    <w:rsid w:val="002D4925"/>
    <w:rsid w:val="002D4AC6"/>
    <w:rsid w:val="002D5C7B"/>
    <w:rsid w:val="002D6DFC"/>
    <w:rsid w:val="002D7648"/>
    <w:rsid w:val="002D7909"/>
    <w:rsid w:val="002D7E56"/>
    <w:rsid w:val="002D7F2C"/>
    <w:rsid w:val="002E109C"/>
    <w:rsid w:val="002E115E"/>
    <w:rsid w:val="002E17AE"/>
    <w:rsid w:val="002E193E"/>
    <w:rsid w:val="002E1D76"/>
    <w:rsid w:val="002E243C"/>
    <w:rsid w:val="002E26C4"/>
    <w:rsid w:val="002E26FF"/>
    <w:rsid w:val="002E2A81"/>
    <w:rsid w:val="002E31ED"/>
    <w:rsid w:val="002E4B37"/>
    <w:rsid w:val="002E4BF9"/>
    <w:rsid w:val="002E6523"/>
    <w:rsid w:val="002E6F5B"/>
    <w:rsid w:val="002F0631"/>
    <w:rsid w:val="002F0F56"/>
    <w:rsid w:val="002F16DD"/>
    <w:rsid w:val="002F199D"/>
    <w:rsid w:val="002F23B2"/>
    <w:rsid w:val="002F2AC5"/>
    <w:rsid w:val="002F4084"/>
    <w:rsid w:val="002F4672"/>
    <w:rsid w:val="002F4A08"/>
    <w:rsid w:val="002F4ADB"/>
    <w:rsid w:val="002F50E5"/>
    <w:rsid w:val="002F531E"/>
    <w:rsid w:val="002F5ACC"/>
    <w:rsid w:val="002F6C2C"/>
    <w:rsid w:val="002F6E11"/>
    <w:rsid w:val="002F704B"/>
    <w:rsid w:val="002F70A6"/>
    <w:rsid w:val="002F72C3"/>
    <w:rsid w:val="002F768C"/>
    <w:rsid w:val="002F7D1E"/>
    <w:rsid w:val="00300F92"/>
    <w:rsid w:val="00301839"/>
    <w:rsid w:val="00302089"/>
    <w:rsid w:val="00302929"/>
    <w:rsid w:val="00302C01"/>
    <w:rsid w:val="00302F0F"/>
    <w:rsid w:val="00303243"/>
    <w:rsid w:val="00303730"/>
    <w:rsid w:val="00303BCC"/>
    <w:rsid w:val="00303F2B"/>
    <w:rsid w:val="00303F8D"/>
    <w:rsid w:val="00304541"/>
    <w:rsid w:val="00304580"/>
    <w:rsid w:val="0030586A"/>
    <w:rsid w:val="003061D7"/>
    <w:rsid w:val="0030744B"/>
    <w:rsid w:val="003074C5"/>
    <w:rsid w:val="00307A3C"/>
    <w:rsid w:val="00307FA4"/>
    <w:rsid w:val="00310CC1"/>
    <w:rsid w:val="0031202C"/>
    <w:rsid w:val="0031299D"/>
    <w:rsid w:val="00313026"/>
    <w:rsid w:val="00313300"/>
    <w:rsid w:val="00313EFD"/>
    <w:rsid w:val="0031421F"/>
    <w:rsid w:val="00314B31"/>
    <w:rsid w:val="00314B36"/>
    <w:rsid w:val="00315158"/>
    <w:rsid w:val="00315346"/>
    <w:rsid w:val="00315A65"/>
    <w:rsid w:val="00315E52"/>
    <w:rsid w:val="00316A34"/>
    <w:rsid w:val="00316CEC"/>
    <w:rsid w:val="00317BA7"/>
    <w:rsid w:val="00317D26"/>
    <w:rsid w:val="003204AD"/>
    <w:rsid w:val="00320BE2"/>
    <w:rsid w:val="00321235"/>
    <w:rsid w:val="00321886"/>
    <w:rsid w:val="00321902"/>
    <w:rsid w:val="00322F03"/>
    <w:rsid w:val="00323694"/>
    <w:rsid w:val="00323A51"/>
    <w:rsid w:val="00324D63"/>
    <w:rsid w:val="00325187"/>
    <w:rsid w:val="003255AF"/>
    <w:rsid w:val="003256EB"/>
    <w:rsid w:val="003259DB"/>
    <w:rsid w:val="00331060"/>
    <w:rsid w:val="003311ED"/>
    <w:rsid w:val="00331454"/>
    <w:rsid w:val="00331A48"/>
    <w:rsid w:val="003330C9"/>
    <w:rsid w:val="0033351F"/>
    <w:rsid w:val="0033364C"/>
    <w:rsid w:val="00333A63"/>
    <w:rsid w:val="00334415"/>
    <w:rsid w:val="00334E38"/>
    <w:rsid w:val="00334F92"/>
    <w:rsid w:val="003353E8"/>
    <w:rsid w:val="0033691E"/>
    <w:rsid w:val="00336CCB"/>
    <w:rsid w:val="0033745F"/>
    <w:rsid w:val="00337631"/>
    <w:rsid w:val="00337F44"/>
    <w:rsid w:val="003411D1"/>
    <w:rsid w:val="003416BA"/>
    <w:rsid w:val="00341BD6"/>
    <w:rsid w:val="003428F1"/>
    <w:rsid w:val="00342A8A"/>
    <w:rsid w:val="00342F99"/>
    <w:rsid w:val="00343A29"/>
    <w:rsid w:val="00343EF6"/>
    <w:rsid w:val="0034442A"/>
    <w:rsid w:val="00344726"/>
    <w:rsid w:val="00344F05"/>
    <w:rsid w:val="00344F5A"/>
    <w:rsid w:val="003454A4"/>
    <w:rsid w:val="0034583A"/>
    <w:rsid w:val="00350E6C"/>
    <w:rsid w:val="00351685"/>
    <w:rsid w:val="003518A6"/>
    <w:rsid w:val="00351CB0"/>
    <w:rsid w:val="00351E7F"/>
    <w:rsid w:val="00352953"/>
    <w:rsid w:val="00353E6C"/>
    <w:rsid w:val="00354062"/>
    <w:rsid w:val="003549F9"/>
    <w:rsid w:val="00355C0D"/>
    <w:rsid w:val="003566A9"/>
    <w:rsid w:val="00356988"/>
    <w:rsid w:val="00356B20"/>
    <w:rsid w:val="00356E94"/>
    <w:rsid w:val="00357128"/>
    <w:rsid w:val="0035755E"/>
    <w:rsid w:val="00357A80"/>
    <w:rsid w:val="00360968"/>
    <w:rsid w:val="00361083"/>
    <w:rsid w:val="00361783"/>
    <w:rsid w:val="00361AA6"/>
    <w:rsid w:val="00361B8B"/>
    <w:rsid w:val="00361B95"/>
    <w:rsid w:val="00363562"/>
    <w:rsid w:val="00363F39"/>
    <w:rsid w:val="00364A17"/>
    <w:rsid w:val="00364AB0"/>
    <w:rsid w:val="003667B0"/>
    <w:rsid w:val="003667DD"/>
    <w:rsid w:val="00366B48"/>
    <w:rsid w:val="0036755A"/>
    <w:rsid w:val="00367764"/>
    <w:rsid w:val="00367CC2"/>
    <w:rsid w:val="00367E24"/>
    <w:rsid w:val="00370316"/>
    <w:rsid w:val="00370DC7"/>
    <w:rsid w:val="0037156C"/>
    <w:rsid w:val="00371CBD"/>
    <w:rsid w:val="00373CBE"/>
    <w:rsid w:val="00373F90"/>
    <w:rsid w:val="003740CC"/>
    <w:rsid w:val="0037435E"/>
    <w:rsid w:val="00374E79"/>
    <w:rsid w:val="00375388"/>
    <w:rsid w:val="00375EF2"/>
    <w:rsid w:val="00375FB9"/>
    <w:rsid w:val="00376851"/>
    <w:rsid w:val="00376FA2"/>
    <w:rsid w:val="003771C9"/>
    <w:rsid w:val="00377A3B"/>
    <w:rsid w:val="00377E3C"/>
    <w:rsid w:val="00380BBE"/>
    <w:rsid w:val="00381775"/>
    <w:rsid w:val="00381AE8"/>
    <w:rsid w:val="00381D70"/>
    <w:rsid w:val="00382128"/>
    <w:rsid w:val="0038235E"/>
    <w:rsid w:val="003829D0"/>
    <w:rsid w:val="00382FBA"/>
    <w:rsid w:val="0038444F"/>
    <w:rsid w:val="00384E83"/>
    <w:rsid w:val="00385333"/>
    <w:rsid w:val="00387051"/>
    <w:rsid w:val="00387712"/>
    <w:rsid w:val="00387ECF"/>
    <w:rsid w:val="0039021B"/>
    <w:rsid w:val="00390429"/>
    <w:rsid w:val="0039044F"/>
    <w:rsid w:val="0039272E"/>
    <w:rsid w:val="00392A7A"/>
    <w:rsid w:val="0039327C"/>
    <w:rsid w:val="003933A2"/>
    <w:rsid w:val="0039366C"/>
    <w:rsid w:val="003938F3"/>
    <w:rsid w:val="00393C25"/>
    <w:rsid w:val="00393EC8"/>
    <w:rsid w:val="00394BC6"/>
    <w:rsid w:val="00395E42"/>
    <w:rsid w:val="00395E50"/>
    <w:rsid w:val="00396052"/>
    <w:rsid w:val="00396A2D"/>
    <w:rsid w:val="00396FC3"/>
    <w:rsid w:val="00397162"/>
    <w:rsid w:val="003972E4"/>
    <w:rsid w:val="003A0B61"/>
    <w:rsid w:val="003A1554"/>
    <w:rsid w:val="003A1A94"/>
    <w:rsid w:val="003A204E"/>
    <w:rsid w:val="003A2D25"/>
    <w:rsid w:val="003A3834"/>
    <w:rsid w:val="003A39B2"/>
    <w:rsid w:val="003A4DA4"/>
    <w:rsid w:val="003A4DDB"/>
    <w:rsid w:val="003A5911"/>
    <w:rsid w:val="003A60E7"/>
    <w:rsid w:val="003A6150"/>
    <w:rsid w:val="003A6E03"/>
    <w:rsid w:val="003B0B6A"/>
    <w:rsid w:val="003B0F79"/>
    <w:rsid w:val="003B1483"/>
    <w:rsid w:val="003B1CFD"/>
    <w:rsid w:val="003B29CF"/>
    <w:rsid w:val="003B41B5"/>
    <w:rsid w:val="003B4F8C"/>
    <w:rsid w:val="003B54DF"/>
    <w:rsid w:val="003B5F96"/>
    <w:rsid w:val="003B6659"/>
    <w:rsid w:val="003B7733"/>
    <w:rsid w:val="003B7C70"/>
    <w:rsid w:val="003C0166"/>
    <w:rsid w:val="003C350C"/>
    <w:rsid w:val="003C3903"/>
    <w:rsid w:val="003C3BA0"/>
    <w:rsid w:val="003C4580"/>
    <w:rsid w:val="003C52D8"/>
    <w:rsid w:val="003C5C5E"/>
    <w:rsid w:val="003C6746"/>
    <w:rsid w:val="003C7133"/>
    <w:rsid w:val="003C7555"/>
    <w:rsid w:val="003C7898"/>
    <w:rsid w:val="003D010A"/>
    <w:rsid w:val="003D0D2F"/>
    <w:rsid w:val="003D0FF5"/>
    <w:rsid w:val="003D2041"/>
    <w:rsid w:val="003D2D1B"/>
    <w:rsid w:val="003D30AB"/>
    <w:rsid w:val="003D3D94"/>
    <w:rsid w:val="003D467E"/>
    <w:rsid w:val="003D48C7"/>
    <w:rsid w:val="003D4B26"/>
    <w:rsid w:val="003D4C08"/>
    <w:rsid w:val="003D51ED"/>
    <w:rsid w:val="003D5C02"/>
    <w:rsid w:val="003D5DED"/>
    <w:rsid w:val="003D5FD6"/>
    <w:rsid w:val="003D77D1"/>
    <w:rsid w:val="003D7CE8"/>
    <w:rsid w:val="003E1032"/>
    <w:rsid w:val="003E1904"/>
    <w:rsid w:val="003E285E"/>
    <w:rsid w:val="003E3300"/>
    <w:rsid w:val="003E4A5B"/>
    <w:rsid w:val="003E59DD"/>
    <w:rsid w:val="003E65AC"/>
    <w:rsid w:val="003E6E24"/>
    <w:rsid w:val="003E72B9"/>
    <w:rsid w:val="003E7812"/>
    <w:rsid w:val="003E7ED4"/>
    <w:rsid w:val="003F0E52"/>
    <w:rsid w:val="003F0EF2"/>
    <w:rsid w:val="003F0F6B"/>
    <w:rsid w:val="003F1F40"/>
    <w:rsid w:val="003F1FE3"/>
    <w:rsid w:val="003F2CA0"/>
    <w:rsid w:val="003F3865"/>
    <w:rsid w:val="003F3A0A"/>
    <w:rsid w:val="003F4632"/>
    <w:rsid w:val="003F47BA"/>
    <w:rsid w:val="003F6617"/>
    <w:rsid w:val="003F69A4"/>
    <w:rsid w:val="0040059B"/>
    <w:rsid w:val="00401127"/>
    <w:rsid w:val="004011F5"/>
    <w:rsid w:val="00402332"/>
    <w:rsid w:val="004025C2"/>
    <w:rsid w:val="004027FB"/>
    <w:rsid w:val="00403E55"/>
    <w:rsid w:val="00404532"/>
    <w:rsid w:val="00404681"/>
    <w:rsid w:val="0040496D"/>
    <w:rsid w:val="00405010"/>
    <w:rsid w:val="004050F1"/>
    <w:rsid w:val="0040595A"/>
    <w:rsid w:val="00406923"/>
    <w:rsid w:val="00406972"/>
    <w:rsid w:val="0040713A"/>
    <w:rsid w:val="0040763D"/>
    <w:rsid w:val="00407746"/>
    <w:rsid w:val="004105B0"/>
    <w:rsid w:val="00410624"/>
    <w:rsid w:val="00410EC5"/>
    <w:rsid w:val="0041250F"/>
    <w:rsid w:val="00412968"/>
    <w:rsid w:val="004133A8"/>
    <w:rsid w:val="00413821"/>
    <w:rsid w:val="00413D43"/>
    <w:rsid w:val="00413FE3"/>
    <w:rsid w:val="004141A3"/>
    <w:rsid w:val="00414909"/>
    <w:rsid w:val="00415E66"/>
    <w:rsid w:val="00416112"/>
    <w:rsid w:val="00416DF0"/>
    <w:rsid w:val="00417219"/>
    <w:rsid w:val="00417AE0"/>
    <w:rsid w:val="00417BAA"/>
    <w:rsid w:val="004202F4"/>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7A9"/>
    <w:rsid w:val="00431A22"/>
    <w:rsid w:val="00431E65"/>
    <w:rsid w:val="004320FE"/>
    <w:rsid w:val="00432589"/>
    <w:rsid w:val="00432A94"/>
    <w:rsid w:val="0043366D"/>
    <w:rsid w:val="00433827"/>
    <w:rsid w:val="00433AAB"/>
    <w:rsid w:val="004360C8"/>
    <w:rsid w:val="00436D2A"/>
    <w:rsid w:val="0044006B"/>
    <w:rsid w:val="0044033F"/>
    <w:rsid w:val="00440630"/>
    <w:rsid w:val="00441123"/>
    <w:rsid w:val="00442095"/>
    <w:rsid w:val="00442965"/>
    <w:rsid w:val="00444157"/>
    <w:rsid w:val="0044417C"/>
    <w:rsid w:val="00444762"/>
    <w:rsid w:val="0044485B"/>
    <w:rsid w:val="00444DB3"/>
    <w:rsid w:val="004452B9"/>
    <w:rsid w:val="00445A2F"/>
    <w:rsid w:val="00446328"/>
    <w:rsid w:val="00446341"/>
    <w:rsid w:val="00446648"/>
    <w:rsid w:val="0044684E"/>
    <w:rsid w:val="00447715"/>
    <w:rsid w:val="00447832"/>
    <w:rsid w:val="004479CA"/>
    <w:rsid w:val="004503A4"/>
    <w:rsid w:val="00450555"/>
    <w:rsid w:val="00450DC6"/>
    <w:rsid w:val="00450FF6"/>
    <w:rsid w:val="004516A5"/>
    <w:rsid w:val="00451FE8"/>
    <w:rsid w:val="00452179"/>
    <w:rsid w:val="004522E3"/>
    <w:rsid w:val="00452836"/>
    <w:rsid w:val="00452965"/>
    <w:rsid w:val="00452E99"/>
    <w:rsid w:val="0045326B"/>
    <w:rsid w:val="004534A5"/>
    <w:rsid w:val="004535AE"/>
    <w:rsid w:val="00453C42"/>
    <w:rsid w:val="0045463A"/>
    <w:rsid w:val="00454907"/>
    <w:rsid w:val="00454AC9"/>
    <w:rsid w:val="00454E26"/>
    <w:rsid w:val="004554A3"/>
    <w:rsid w:val="00455A6E"/>
    <w:rsid w:val="00456758"/>
    <w:rsid w:val="004569CD"/>
    <w:rsid w:val="004578EB"/>
    <w:rsid w:val="00460303"/>
    <w:rsid w:val="004605F7"/>
    <w:rsid w:val="00460697"/>
    <w:rsid w:val="004618A1"/>
    <w:rsid w:val="00462593"/>
    <w:rsid w:val="00462C9E"/>
    <w:rsid w:val="00463ECF"/>
    <w:rsid w:val="00465EEF"/>
    <w:rsid w:val="00466D03"/>
    <w:rsid w:val="00466FCF"/>
    <w:rsid w:val="0046711B"/>
    <w:rsid w:val="00467312"/>
    <w:rsid w:val="00471156"/>
    <w:rsid w:val="00472429"/>
    <w:rsid w:val="004725E5"/>
    <w:rsid w:val="004726FE"/>
    <w:rsid w:val="00472751"/>
    <w:rsid w:val="00472ED1"/>
    <w:rsid w:val="00473128"/>
    <w:rsid w:val="00473D68"/>
    <w:rsid w:val="00475078"/>
    <w:rsid w:val="00475226"/>
    <w:rsid w:val="00475D84"/>
    <w:rsid w:val="00476374"/>
    <w:rsid w:val="00476859"/>
    <w:rsid w:val="004779A0"/>
    <w:rsid w:val="00477EFD"/>
    <w:rsid w:val="004808E3"/>
    <w:rsid w:val="00481016"/>
    <w:rsid w:val="0048107A"/>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0F37"/>
    <w:rsid w:val="00492920"/>
    <w:rsid w:val="00492A25"/>
    <w:rsid w:val="0049474A"/>
    <w:rsid w:val="004955B2"/>
    <w:rsid w:val="004961EA"/>
    <w:rsid w:val="00496350"/>
    <w:rsid w:val="00496F91"/>
    <w:rsid w:val="00497274"/>
    <w:rsid w:val="00497708"/>
    <w:rsid w:val="0049797C"/>
    <w:rsid w:val="00497C2C"/>
    <w:rsid w:val="00497E9D"/>
    <w:rsid w:val="004A0347"/>
    <w:rsid w:val="004A07AC"/>
    <w:rsid w:val="004A1405"/>
    <w:rsid w:val="004A1FC6"/>
    <w:rsid w:val="004A3C03"/>
    <w:rsid w:val="004A3DB7"/>
    <w:rsid w:val="004A3FB3"/>
    <w:rsid w:val="004A4594"/>
    <w:rsid w:val="004A5088"/>
    <w:rsid w:val="004A5255"/>
    <w:rsid w:val="004A5B59"/>
    <w:rsid w:val="004A6097"/>
    <w:rsid w:val="004A6CB0"/>
    <w:rsid w:val="004A70FF"/>
    <w:rsid w:val="004A7B8E"/>
    <w:rsid w:val="004A7CCC"/>
    <w:rsid w:val="004B00B9"/>
    <w:rsid w:val="004B1B84"/>
    <w:rsid w:val="004B29AC"/>
    <w:rsid w:val="004B315A"/>
    <w:rsid w:val="004B35DF"/>
    <w:rsid w:val="004B3627"/>
    <w:rsid w:val="004B3F3A"/>
    <w:rsid w:val="004B46EC"/>
    <w:rsid w:val="004B4779"/>
    <w:rsid w:val="004B4922"/>
    <w:rsid w:val="004B57DF"/>
    <w:rsid w:val="004B5CB2"/>
    <w:rsid w:val="004B7F0A"/>
    <w:rsid w:val="004C03A0"/>
    <w:rsid w:val="004C04AB"/>
    <w:rsid w:val="004C096B"/>
    <w:rsid w:val="004C2138"/>
    <w:rsid w:val="004C262D"/>
    <w:rsid w:val="004C2ED0"/>
    <w:rsid w:val="004C32D4"/>
    <w:rsid w:val="004C3940"/>
    <w:rsid w:val="004C3DF1"/>
    <w:rsid w:val="004C4757"/>
    <w:rsid w:val="004C51FD"/>
    <w:rsid w:val="004C534B"/>
    <w:rsid w:val="004C65A8"/>
    <w:rsid w:val="004C6F74"/>
    <w:rsid w:val="004C786C"/>
    <w:rsid w:val="004C7963"/>
    <w:rsid w:val="004D1042"/>
    <w:rsid w:val="004D114E"/>
    <w:rsid w:val="004D2F63"/>
    <w:rsid w:val="004D35BA"/>
    <w:rsid w:val="004D4095"/>
    <w:rsid w:val="004D4701"/>
    <w:rsid w:val="004D47C7"/>
    <w:rsid w:val="004D4836"/>
    <w:rsid w:val="004D618D"/>
    <w:rsid w:val="004D62A9"/>
    <w:rsid w:val="004D6AEE"/>
    <w:rsid w:val="004D6FC3"/>
    <w:rsid w:val="004D7476"/>
    <w:rsid w:val="004E0306"/>
    <w:rsid w:val="004E0572"/>
    <w:rsid w:val="004E178B"/>
    <w:rsid w:val="004E2568"/>
    <w:rsid w:val="004E25A8"/>
    <w:rsid w:val="004E2616"/>
    <w:rsid w:val="004E2AA0"/>
    <w:rsid w:val="004E3930"/>
    <w:rsid w:val="004E3ED9"/>
    <w:rsid w:val="004E4038"/>
    <w:rsid w:val="004E448E"/>
    <w:rsid w:val="004E5866"/>
    <w:rsid w:val="004E5D94"/>
    <w:rsid w:val="004E5DB1"/>
    <w:rsid w:val="004E6097"/>
    <w:rsid w:val="004E61EF"/>
    <w:rsid w:val="004E6772"/>
    <w:rsid w:val="004E76A7"/>
    <w:rsid w:val="004E7736"/>
    <w:rsid w:val="004E7B03"/>
    <w:rsid w:val="004F0064"/>
    <w:rsid w:val="004F06AC"/>
    <w:rsid w:val="004F12EB"/>
    <w:rsid w:val="004F1AE6"/>
    <w:rsid w:val="004F243F"/>
    <w:rsid w:val="004F3E0C"/>
    <w:rsid w:val="004F44FB"/>
    <w:rsid w:val="004F6A2D"/>
    <w:rsid w:val="004F7160"/>
    <w:rsid w:val="00500258"/>
    <w:rsid w:val="0050175E"/>
    <w:rsid w:val="00501A99"/>
    <w:rsid w:val="00502017"/>
    <w:rsid w:val="00502022"/>
    <w:rsid w:val="00503180"/>
    <w:rsid w:val="0050417C"/>
    <w:rsid w:val="00504A9F"/>
    <w:rsid w:val="00504CC0"/>
    <w:rsid w:val="00505450"/>
    <w:rsid w:val="0050608B"/>
    <w:rsid w:val="0050652F"/>
    <w:rsid w:val="005072AC"/>
    <w:rsid w:val="00507411"/>
    <w:rsid w:val="005079B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17A71"/>
    <w:rsid w:val="005210F7"/>
    <w:rsid w:val="00521753"/>
    <w:rsid w:val="00521779"/>
    <w:rsid w:val="005218CF"/>
    <w:rsid w:val="00521A44"/>
    <w:rsid w:val="00521D16"/>
    <w:rsid w:val="005222BE"/>
    <w:rsid w:val="005224EE"/>
    <w:rsid w:val="00522E9C"/>
    <w:rsid w:val="00523BB1"/>
    <w:rsid w:val="0052451A"/>
    <w:rsid w:val="00524737"/>
    <w:rsid w:val="00524758"/>
    <w:rsid w:val="00525132"/>
    <w:rsid w:val="00526265"/>
    <w:rsid w:val="0052652D"/>
    <w:rsid w:val="0052655D"/>
    <w:rsid w:val="005265E0"/>
    <w:rsid w:val="00526BC3"/>
    <w:rsid w:val="00530F9E"/>
    <w:rsid w:val="0053274E"/>
    <w:rsid w:val="00532DE9"/>
    <w:rsid w:val="00533237"/>
    <w:rsid w:val="0053358A"/>
    <w:rsid w:val="005340E5"/>
    <w:rsid w:val="005341D9"/>
    <w:rsid w:val="00534668"/>
    <w:rsid w:val="00534DDD"/>
    <w:rsid w:val="00535291"/>
    <w:rsid w:val="0053553B"/>
    <w:rsid w:val="00535A94"/>
    <w:rsid w:val="00536D88"/>
    <w:rsid w:val="00537224"/>
    <w:rsid w:val="00537874"/>
    <w:rsid w:val="00540204"/>
    <w:rsid w:val="00540578"/>
    <w:rsid w:val="005407D2"/>
    <w:rsid w:val="00540808"/>
    <w:rsid w:val="0054080E"/>
    <w:rsid w:val="00540EA1"/>
    <w:rsid w:val="00541449"/>
    <w:rsid w:val="00541B97"/>
    <w:rsid w:val="00541F62"/>
    <w:rsid w:val="00542AD8"/>
    <w:rsid w:val="0054358E"/>
    <w:rsid w:val="00543865"/>
    <w:rsid w:val="00543AF4"/>
    <w:rsid w:val="00544191"/>
    <w:rsid w:val="00544F39"/>
    <w:rsid w:val="0054515D"/>
    <w:rsid w:val="00545BA0"/>
    <w:rsid w:val="00547EFB"/>
    <w:rsid w:val="005503AF"/>
    <w:rsid w:val="00550499"/>
    <w:rsid w:val="00552563"/>
    <w:rsid w:val="00552992"/>
    <w:rsid w:val="005531DF"/>
    <w:rsid w:val="00553874"/>
    <w:rsid w:val="00553ACC"/>
    <w:rsid w:val="00554196"/>
    <w:rsid w:val="00554AD8"/>
    <w:rsid w:val="00554F78"/>
    <w:rsid w:val="005556A5"/>
    <w:rsid w:val="00556BF7"/>
    <w:rsid w:val="00556BFD"/>
    <w:rsid w:val="00562149"/>
    <w:rsid w:val="00562242"/>
    <w:rsid w:val="0056229E"/>
    <w:rsid w:val="005630D8"/>
    <w:rsid w:val="005633F5"/>
    <w:rsid w:val="00563FFD"/>
    <w:rsid w:val="0056407B"/>
    <w:rsid w:val="00564F6C"/>
    <w:rsid w:val="0056502A"/>
    <w:rsid w:val="00565855"/>
    <w:rsid w:val="005677CE"/>
    <w:rsid w:val="00567B5D"/>
    <w:rsid w:val="00567EA3"/>
    <w:rsid w:val="0057188B"/>
    <w:rsid w:val="00571B3A"/>
    <w:rsid w:val="00573567"/>
    <w:rsid w:val="00573733"/>
    <w:rsid w:val="00574554"/>
    <w:rsid w:val="00575152"/>
    <w:rsid w:val="00575FE7"/>
    <w:rsid w:val="00576089"/>
    <w:rsid w:val="005764B1"/>
    <w:rsid w:val="00576A0C"/>
    <w:rsid w:val="00576A56"/>
    <w:rsid w:val="00576D06"/>
    <w:rsid w:val="00577126"/>
    <w:rsid w:val="005779E4"/>
    <w:rsid w:val="0058034C"/>
    <w:rsid w:val="00580AC5"/>
    <w:rsid w:val="00580EB3"/>
    <w:rsid w:val="00581A2A"/>
    <w:rsid w:val="0058289C"/>
    <w:rsid w:val="00582C35"/>
    <w:rsid w:val="00582DC6"/>
    <w:rsid w:val="00582FAF"/>
    <w:rsid w:val="005836C7"/>
    <w:rsid w:val="00583896"/>
    <w:rsid w:val="00583E30"/>
    <w:rsid w:val="0058408E"/>
    <w:rsid w:val="00585374"/>
    <w:rsid w:val="00585696"/>
    <w:rsid w:val="0058576D"/>
    <w:rsid w:val="00586F3C"/>
    <w:rsid w:val="00587DBE"/>
    <w:rsid w:val="00590B77"/>
    <w:rsid w:val="00590FEB"/>
    <w:rsid w:val="005913A3"/>
    <w:rsid w:val="00591814"/>
    <w:rsid w:val="005918DB"/>
    <w:rsid w:val="00591DCD"/>
    <w:rsid w:val="00591E6C"/>
    <w:rsid w:val="00594A7B"/>
    <w:rsid w:val="00594AFA"/>
    <w:rsid w:val="00595532"/>
    <w:rsid w:val="0059580E"/>
    <w:rsid w:val="00596A6F"/>
    <w:rsid w:val="005976E1"/>
    <w:rsid w:val="005A0541"/>
    <w:rsid w:val="005A0706"/>
    <w:rsid w:val="005A1525"/>
    <w:rsid w:val="005A1EC3"/>
    <w:rsid w:val="005A252B"/>
    <w:rsid w:val="005A2A71"/>
    <w:rsid w:val="005A3204"/>
    <w:rsid w:val="005A3341"/>
    <w:rsid w:val="005A3FA1"/>
    <w:rsid w:val="005A46EC"/>
    <w:rsid w:val="005A4847"/>
    <w:rsid w:val="005A494F"/>
    <w:rsid w:val="005A598C"/>
    <w:rsid w:val="005A79A6"/>
    <w:rsid w:val="005B0160"/>
    <w:rsid w:val="005B0185"/>
    <w:rsid w:val="005B07EC"/>
    <w:rsid w:val="005B09D8"/>
    <w:rsid w:val="005B120C"/>
    <w:rsid w:val="005B135C"/>
    <w:rsid w:val="005B14FC"/>
    <w:rsid w:val="005B24F3"/>
    <w:rsid w:val="005B2B11"/>
    <w:rsid w:val="005B2C4E"/>
    <w:rsid w:val="005B2E00"/>
    <w:rsid w:val="005B370E"/>
    <w:rsid w:val="005B4DA3"/>
    <w:rsid w:val="005B5BEE"/>
    <w:rsid w:val="005B6F37"/>
    <w:rsid w:val="005B77D2"/>
    <w:rsid w:val="005B7860"/>
    <w:rsid w:val="005C019B"/>
    <w:rsid w:val="005C0932"/>
    <w:rsid w:val="005C144E"/>
    <w:rsid w:val="005C14A8"/>
    <w:rsid w:val="005C1EB1"/>
    <w:rsid w:val="005C30F5"/>
    <w:rsid w:val="005C357E"/>
    <w:rsid w:val="005C3951"/>
    <w:rsid w:val="005C3DD5"/>
    <w:rsid w:val="005C51A5"/>
    <w:rsid w:val="005C557A"/>
    <w:rsid w:val="005C61DD"/>
    <w:rsid w:val="005C6438"/>
    <w:rsid w:val="005C695B"/>
    <w:rsid w:val="005C6B8B"/>
    <w:rsid w:val="005C70F4"/>
    <w:rsid w:val="005C794B"/>
    <w:rsid w:val="005C7A13"/>
    <w:rsid w:val="005D02E3"/>
    <w:rsid w:val="005D0310"/>
    <w:rsid w:val="005D039C"/>
    <w:rsid w:val="005D1F34"/>
    <w:rsid w:val="005D2529"/>
    <w:rsid w:val="005D2C1F"/>
    <w:rsid w:val="005D34B2"/>
    <w:rsid w:val="005D38C5"/>
    <w:rsid w:val="005D3B54"/>
    <w:rsid w:val="005D404C"/>
    <w:rsid w:val="005D40CD"/>
    <w:rsid w:val="005D6B59"/>
    <w:rsid w:val="005D6D83"/>
    <w:rsid w:val="005D7037"/>
    <w:rsid w:val="005E03E4"/>
    <w:rsid w:val="005E0454"/>
    <w:rsid w:val="005E1413"/>
    <w:rsid w:val="005E171D"/>
    <w:rsid w:val="005E34C2"/>
    <w:rsid w:val="005E35C6"/>
    <w:rsid w:val="005E48BA"/>
    <w:rsid w:val="005E5B01"/>
    <w:rsid w:val="005E7933"/>
    <w:rsid w:val="005E7E0B"/>
    <w:rsid w:val="005F009E"/>
    <w:rsid w:val="005F0A88"/>
    <w:rsid w:val="005F0DF1"/>
    <w:rsid w:val="005F1516"/>
    <w:rsid w:val="005F229E"/>
    <w:rsid w:val="005F2564"/>
    <w:rsid w:val="005F2FEF"/>
    <w:rsid w:val="005F3822"/>
    <w:rsid w:val="005F3E0B"/>
    <w:rsid w:val="005F40FB"/>
    <w:rsid w:val="005F478A"/>
    <w:rsid w:val="005F4D16"/>
    <w:rsid w:val="005F4E52"/>
    <w:rsid w:val="005F5590"/>
    <w:rsid w:val="005F5967"/>
    <w:rsid w:val="005F6A62"/>
    <w:rsid w:val="005F77C8"/>
    <w:rsid w:val="0060058E"/>
    <w:rsid w:val="006015C1"/>
    <w:rsid w:val="00602740"/>
    <w:rsid w:val="00602A3C"/>
    <w:rsid w:val="00602CA2"/>
    <w:rsid w:val="0060353A"/>
    <w:rsid w:val="00603905"/>
    <w:rsid w:val="00603BE3"/>
    <w:rsid w:val="00603EFD"/>
    <w:rsid w:val="006041DF"/>
    <w:rsid w:val="006045FF"/>
    <w:rsid w:val="0060475B"/>
    <w:rsid w:val="00604BFA"/>
    <w:rsid w:val="00604FB6"/>
    <w:rsid w:val="00605387"/>
    <w:rsid w:val="00606302"/>
    <w:rsid w:val="006072EF"/>
    <w:rsid w:val="006076FD"/>
    <w:rsid w:val="00607BA3"/>
    <w:rsid w:val="00610651"/>
    <w:rsid w:val="0061143F"/>
    <w:rsid w:val="006114D8"/>
    <w:rsid w:val="00611585"/>
    <w:rsid w:val="00611B17"/>
    <w:rsid w:val="00612931"/>
    <w:rsid w:val="00613601"/>
    <w:rsid w:val="00613791"/>
    <w:rsid w:val="00613AAB"/>
    <w:rsid w:val="00614505"/>
    <w:rsid w:val="006148C7"/>
    <w:rsid w:val="006150D6"/>
    <w:rsid w:val="00615769"/>
    <w:rsid w:val="00617EEE"/>
    <w:rsid w:val="00620096"/>
    <w:rsid w:val="00620D46"/>
    <w:rsid w:val="00620DD9"/>
    <w:rsid w:val="006210FE"/>
    <w:rsid w:val="006212ED"/>
    <w:rsid w:val="00622811"/>
    <w:rsid w:val="00622894"/>
    <w:rsid w:val="00622BB7"/>
    <w:rsid w:val="00622F3B"/>
    <w:rsid w:val="00623389"/>
    <w:rsid w:val="0062352A"/>
    <w:rsid w:val="0062432E"/>
    <w:rsid w:val="00625B3C"/>
    <w:rsid w:val="00625E45"/>
    <w:rsid w:val="006265C4"/>
    <w:rsid w:val="00627383"/>
    <w:rsid w:val="00627733"/>
    <w:rsid w:val="006301BB"/>
    <w:rsid w:val="00630B19"/>
    <w:rsid w:val="00631674"/>
    <w:rsid w:val="00632605"/>
    <w:rsid w:val="00633F8D"/>
    <w:rsid w:val="006341EF"/>
    <w:rsid w:val="00634BED"/>
    <w:rsid w:val="00635A4A"/>
    <w:rsid w:val="00635FB9"/>
    <w:rsid w:val="00636148"/>
    <w:rsid w:val="00636F3B"/>
    <w:rsid w:val="00637774"/>
    <w:rsid w:val="0064024C"/>
    <w:rsid w:val="00640291"/>
    <w:rsid w:val="00640B71"/>
    <w:rsid w:val="00640CBD"/>
    <w:rsid w:val="0064155D"/>
    <w:rsid w:val="00641FAC"/>
    <w:rsid w:val="00642AF6"/>
    <w:rsid w:val="006432A5"/>
    <w:rsid w:val="00643664"/>
    <w:rsid w:val="00643CAA"/>
    <w:rsid w:val="00644085"/>
    <w:rsid w:val="006440FB"/>
    <w:rsid w:val="00650FD0"/>
    <w:rsid w:val="00651E6C"/>
    <w:rsid w:val="00652137"/>
    <w:rsid w:val="00652680"/>
    <w:rsid w:val="00652A09"/>
    <w:rsid w:val="006530A1"/>
    <w:rsid w:val="00653CDE"/>
    <w:rsid w:val="006540B4"/>
    <w:rsid w:val="006556FD"/>
    <w:rsid w:val="0065636A"/>
    <w:rsid w:val="00656C3C"/>
    <w:rsid w:val="00657003"/>
    <w:rsid w:val="00657126"/>
    <w:rsid w:val="006572C1"/>
    <w:rsid w:val="00657930"/>
    <w:rsid w:val="00657C75"/>
    <w:rsid w:val="00660238"/>
    <w:rsid w:val="006602EF"/>
    <w:rsid w:val="00660F41"/>
    <w:rsid w:val="00661222"/>
    <w:rsid w:val="00661277"/>
    <w:rsid w:val="006616FE"/>
    <w:rsid w:val="006619D1"/>
    <w:rsid w:val="00663446"/>
    <w:rsid w:val="00663F5B"/>
    <w:rsid w:val="00663FEA"/>
    <w:rsid w:val="00664253"/>
    <w:rsid w:val="006647AE"/>
    <w:rsid w:val="00664803"/>
    <w:rsid w:val="006661A4"/>
    <w:rsid w:val="006666C3"/>
    <w:rsid w:val="00666EF7"/>
    <w:rsid w:val="006670E0"/>
    <w:rsid w:val="00667532"/>
    <w:rsid w:val="006704FD"/>
    <w:rsid w:val="00670CEB"/>
    <w:rsid w:val="00671CFB"/>
    <w:rsid w:val="0067294B"/>
    <w:rsid w:val="00673AA4"/>
    <w:rsid w:val="00673FF8"/>
    <w:rsid w:val="00674187"/>
    <w:rsid w:val="0067508F"/>
    <w:rsid w:val="00675349"/>
    <w:rsid w:val="00675E7E"/>
    <w:rsid w:val="0068023F"/>
    <w:rsid w:val="0068051E"/>
    <w:rsid w:val="00680B9D"/>
    <w:rsid w:val="006814D0"/>
    <w:rsid w:val="00681C91"/>
    <w:rsid w:val="00681F13"/>
    <w:rsid w:val="0068231C"/>
    <w:rsid w:val="00682344"/>
    <w:rsid w:val="00682F28"/>
    <w:rsid w:val="00683838"/>
    <w:rsid w:val="00684842"/>
    <w:rsid w:val="006859A6"/>
    <w:rsid w:val="00685BD6"/>
    <w:rsid w:val="00687454"/>
    <w:rsid w:val="006878A6"/>
    <w:rsid w:val="00687EDC"/>
    <w:rsid w:val="00690437"/>
    <w:rsid w:val="00690986"/>
    <w:rsid w:val="00690E65"/>
    <w:rsid w:val="0069128E"/>
    <w:rsid w:val="0069188E"/>
    <w:rsid w:val="00691974"/>
    <w:rsid w:val="00692CE6"/>
    <w:rsid w:val="00693B6C"/>
    <w:rsid w:val="00693D1D"/>
    <w:rsid w:val="00694202"/>
    <w:rsid w:val="006942AE"/>
    <w:rsid w:val="0069483C"/>
    <w:rsid w:val="00695421"/>
    <w:rsid w:val="00696D4B"/>
    <w:rsid w:val="00697A79"/>
    <w:rsid w:val="00697BD3"/>
    <w:rsid w:val="00697DFA"/>
    <w:rsid w:val="006A0C53"/>
    <w:rsid w:val="006A10F3"/>
    <w:rsid w:val="006A16D5"/>
    <w:rsid w:val="006A1772"/>
    <w:rsid w:val="006A1780"/>
    <w:rsid w:val="006A25A5"/>
    <w:rsid w:val="006A2790"/>
    <w:rsid w:val="006A3CEC"/>
    <w:rsid w:val="006A3CFB"/>
    <w:rsid w:val="006A3F75"/>
    <w:rsid w:val="006A4FB3"/>
    <w:rsid w:val="006A5A3E"/>
    <w:rsid w:val="006A6CA7"/>
    <w:rsid w:val="006A703E"/>
    <w:rsid w:val="006A7BE3"/>
    <w:rsid w:val="006B01D1"/>
    <w:rsid w:val="006B084B"/>
    <w:rsid w:val="006B08E2"/>
    <w:rsid w:val="006B16EA"/>
    <w:rsid w:val="006B1780"/>
    <w:rsid w:val="006B224E"/>
    <w:rsid w:val="006B2AE0"/>
    <w:rsid w:val="006B376E"/>
    <w:rsid w:val="006B3C9D"/>
    <w:rsid w:val="006B4589"/>
    <w:rsid w:val="006B5138"/>
    <w:rsid w:val="006B6805"/>
    <w:rsid w:val="006B6BBE"/>
    <w:rsid w:val="006B6DE0"/>
    <w:rsid w:val="006B7D5F"/>
    <w:rsid w:val="006C26EF"/>
    <w:rsid w:val="006C318F"/>
    <w:rsid w:val="006C32F4"/>
    <w:rsid w:val="006C3C54"/>
    <w:rsid w:val="006C40F4"/>
    <w:rsid w:val="006C427B"/>
    <w:rsid w:val="006C4D5D"/>
    <w:rsid w:val="006C4E5A"/>
    <w:rsid w:val="006C4F9F"/>
    <w:rsid w:val="006C61AB"/>
    <w:rsid w:val="006C650D"/>
    <w:rsid w:val="006C671A"/>
    <w:rsid w:val="006C748D"/>
    <w:rsid w:val="006C74E2"/>
    <w:rsid w:val="006D0C1D"/>
    <w:rsid w:val="006D0CE1"/>
    <w:rsid w:val="006D2004"/>
    <w:rsid w:val="006D2A8C"/>
    <w:rsid w:val="006D2E9D"/>
    <w:rsid w:val="006D4C1E"/>
    <w:rsid w:val="006D4C42"/>
    <w:rsid w:val="006D4FD9"/>
    <w:rsid w:val="006D5809"/>
    <w:rsid w:val="006D630A"/>
    <w:rsid w:val="006D668D"/>
    <w:rsid w:val="006D7363"/>
    <w:rsid w:val="006D74F2"/>
    <w:rsid w:val="006D7A88"/>
    <w:rsid w:val="006E04C8"/>
    <w:rsid w:val="006E0712"/>
    <w:rsid w:val="006E0754"/>
    <w:rsid w:val="006E181A"/>
    <w:rsid w:val="006E2668"/>
    <w:rsid w:val="006E2D39"/>
    <w:rsid w:val="006E32B0"/>
    <w:rsid w:val="006E36D8"/>
    <w:rsid w:val="006E396A"/>
    <w:rsid w:val="006E3A73"/>
    <w:rsid w:val="006E4C94"/>
    <w:rsid w:val="006E5BE8"/>
    <w:rsid w:val="006E5DD8"/>
    <w:rsid w:val="006E5EA1"/>
    <w:rsid w:val="006E7ABC"/>
    <w:rsid w:val="006F0760"/>
    <w:rsid w:val="006F0EC0"/>
    <w:rsid w:val="006F0FF1"/>
    <w:rsid w:val="006F11E2"/>
    <w:rsid w:val="006F12F5"/>
    <w:rsid w:val="006F2574"/>
    <w:rsid w:val="006F3231"/>
    <w:rsid w:val="006F3DE3"/>
    <w:rsid w:val="006F511F"/>
    <w:rsid w:val="006F525D"/>
    <w:rsid w:val="006F52EE"/>
    <w:rsid w:val="006F53F1"/>
    <w:rsid w:val="006F54B3"/>
    <w:rsid w:val="006F61D8"/>
    <w:rsid w:val="006F62B7"/>
    <w:rsid w:val="006F6457"/>
    <w:rsid w:val="006F6F74"/>
    <w:rsid w:val="006F70BC"/>
    <w:rsid w:val="006F713A"/>
    <w:rsid w:val="006F76BF"/>
    <w:rsid w:val="00700077"/>
    <w:rsid w:val="00703DCB"/>
    <w:rsid w:val="007045C7"/>
    <w:rsid w:val="00705BC1"/>
    <w:rsid w:val="007066A4"/>
    <w:rsid w:val="00706A1C"/>
    <w:rsid w:val="00706F37"/>
    <w:rsid w:val="00707D09"/>
    <w:rsid w:val="007105AA"/>
    <w:rsid w:val="00711208"/>
    <w:rsid w:val="0071209F"/>
    <w:rsid w:val="007125A2"/>
    <w:rsid w:val="00712DA3"/>
    <w:rsid w:val="00713F79"/>
    <w:rsid w:val="00714637"/>
    <w:rsid w:val="007148A8"/>
    <w:rsid w:val="00714AA4"/>
    <w:rsid w:val="00715B80"/>
    <w:rsid w:val="00716040"/>
    <w:rsid w:val="0071668C"/>
    <w:rsid w:val="007171E0"/>
    <w:rsid w:val="0072033C"/>
    <w:rsid w:val="00720B1B"/>
    <w:rsid w:val="00720EC1"/>
    <w:rsid w:val="00721062"/>
    <w:rsid w:val="00721E5D"/>
    <w:rsid w:val="00721E9B"/>
    <w:rsid w:val="007229D4"/>
    <w:rsid w:val="00722CD9"/>
    <w:rsid w:val="007230F8"/>
    <w:rsid w:val="007233F4"/>
    <w:rsid w:val="0072340F"/>
    <w:rsid w:val="00723948"/>
    <w:rsid w:val="00724044"/>
    <w:rsid w:val="007244E1"/>
    <w:rsid w:val="007248D3"/>
    <w:rsid w:val="00725137"/>
    <w:rsid w:val="00725366"/>
    <w:rsid w:val="007263ED"/>
    <w:rsid w:val="00727A43"/>
    <w:rsid w:val="00727FF2"/>
    <w:rsid w:val="007323E0"/>
    <w:rsid w:val="00733791"/>
    <w:rsid w:val="0073391B"/>
    <w:rsid w:val="00733DE2"/>
    <w:rsid w:val="00734A5E"/>
    <w:rsid w:val="00735172"/>
    <w:rsid w:val="007352EA"/>
    <w:rsid w:val="0073586F"/>
    <w:rsid w:val="007364E5"/>
    <w:rsid w:val="00736FD0"/>
    <w:rsid w:val="0073792F"/>
    <w:rsid w:val="00740DA6"/>
    <w:rsid w:val="00741A0E"/>
    <w:rsid w:val="00741D1E"/>
    <w:rsid w:val="00741EE2"/>
    <w:rsid w:val="00741FFC"/>
    <w:rsid w:val="00742367"/>
    <w:rsid w:val="00742EAA"/>
    <w:rsid w:val="00743818"/>
    <w:rsid w:val="007439E2"/>
    <w:rsid w:val="00743D6F"/>
    <w:rsid w:val="00743DD8"/>
    <w:rsid w:val="007441FB"/>
    <w:rsid w:val="00744517"/>
    <w:rsid w:val="00744810"/>
    <w:rsid w:val="00747A88"/>
    <w:rsid w:val="00747A90"/>
    <w:rsid w:val="00747B7A"/>
    <w:rsid w:val="00747DE2"/>
    <w:rsid w:val="007504BF"/>
    <w:rsid w:val="007506CD"/>
    <w:rsid w:val="0075267F"/>
    <w:rsid w:val="007526EC"/>
    <w:rsid w:val="0075310C"/>
    <w:rsid w:val="00753347"/>
    <w:rsid w:val="00753C48"/>
    <w:rsid w:val="00754C97"/>
    <w:rsid w:val="00754FE4"/>
    <w:rsid w:val="00755538"/>
    <w:rsid w:val="0075555D"/>
    <w:rsid w:val="00756236"/>
    <w:rsid w:val="00756271"/>
    <w:rsid w:val="00756521"/>
    <w:rsid w:val="00756AB7"/>
    <w:rsid w:val="00760477"/>
    <w:rsid w:val="00760815"/>
    <w:rsid w:val="00761AF4"/>
    <w:rsid w:val="00761E34"/>
    <w:rsid w:val="00762071"/>
    <w:rsid w:val="007623FB"/>
    <w:rsid w:val="0076347B"/>
    <w:rsid w:val="007636E2"/>
    <w:rsid w:val="0076376A"/>
    <w:rsid w:val="007638C5"/>
    <w:rsid w:val="0076500F"/>
    <w:rsid w:val="0076504E"/>
    <w:rsid w:val="007650DA"/>
    <w:rsid w:val="00765E6A"/>
    <w:rsid w:val="00765FCE"/>
    <w:rsid w:val="00766F30"/>
    <w:rsid w:val="00767EA0"/>
    <w:rsid w:val="0077068F"/>
    <w:rsid w:val="00771722"/>
    <w:rsid w:val="0077408D"/>
    <w:rsid w:val="00774270"/>
    <w:rsid w:val="00775679"/>
    <w:rsid w:val="00775803"/>
    <w:rsid w:val="00775EBC"/>
    <w:rsid w:val="00777B32"/>
    <w:rsid w:val="0078051E"/>
    <w:rsid w:val="00781FDD"/>
    <w:rsid w:val="00782A9F"/>
    <w:rsid w:val="0078508A"/>
    <w:rsid w:val="00786D5C"/>
    <w:rsid w:val="00786E96"/>
    <w:rsid w:val="00787F93"/>
    <w:rsid w:val="007907CA"/>
    <w:rsid w:val="00790A92"/>
    <w:rsid w:val="00790C2F"/>
    <w:rsid w:val="00790E12"/>
    <w:rsid w:val="007913A1"/>
    <w:rsid w:val="00791529"/>
    <w:rsid w:val="00791E6D"/>
    <w:rsid w:val="007928DC"/>
    <w:rsid w:val="007933E4"/>
    <w:rsid w:val="007939CC"/>
    <w:rsid w:val="00794AD7"/>
    <w:rsid w:val="007955FB"/>
    <w:rsid w:val="007956FB"/>
    <w:rsid w:val="00796FB8"/>
    <w:rsid w:val="00797559"/>
    <w:rsid w:val="00797F03"/>
    <w:rsid w:val="007A05DA"/>
    <w:rsid w:val="007A0A5E"/>
    <w:rsid w:val="007A0AFB"/>
    <w:rsid w:val="007A11C2"/>
    <w:rsid w:val="007A2367"/>
    <w:rsid w:val="007A41BF"/>
    <w:rsid w:val="007A490A"/>
    <w:rsid w:val="007A4A57"/>
    <w:rsid w:val="007A581D"/>
    <w:rsid w:val="007A76D1"/>
    <w:rsid w:val="007A7B95"/>
    <w:rsid w:val="007B0297"/>
    <w:rsid w:val="007B0F53"/>
    <w:rsid w:val="007B1DD8"/>
    <w:rsid w:val="007B21AE"/>
    <w:rsid w:val="007B2570"/>
    <w:rsid w:val="007B2736"/>
    <w:rsid w:val="007B3113"/>
    <w:rsid w:val="007B3304"/>
    <w:rsid w:val="007B332B"/>
    <w:rsid w:val="007B394D"/>
    <w:rsid w:val="007B3C64"/>
    <w:rsid w:val="007B69B9"/>
    <w:rsid w:val="007B736A"/>
    <w:rsid w:val="007B7490"/>
    <w:rsid w:val="007B774A"/>
    <w:rsid w:val="007C0525"/>
    <w:rsid w:val="007C0B56"/>
    <w:rsid w:val="007C13F7"/>
    <w:rsid w:val="007C218D"/>
    <w:rsid w:val="007C2CB1"/>
    <w:rsid w:val="007C2D28"/>
    <w:rsid w:val="007C357C"/>
    <w:rsid w:val="007C3E22"/>
    <w:rsid w:val="007C5153"/>
    <w:rsid w:val="007C67C6"/>
    <w:rsid w:val="007C707A"/>
    <w:rsid w:val="007C7E59"/>
    <w:rsid w:val="007D0B91"/>
    <w:rsid w:val="007D0EFD"/>
    <w:rsid w:val="007D0F53"/>
    <w:rsid w:val="007D1452"/>
    <w:rsid w:val="007D1E0A"/>
    <w:rsid w:val="007D1E29"/>
    <w:rsid w:val="007D2B94"/>
    <w:rsid w:val="007D378B"/>
    <w:rsid w:val="007D460C"/>
    <w:rsid w:val="007D4AD3"/>
    <w:rsid w:val="007D4C8D"/>
    <w:rsid w:val="007D5D19"/>
    <w:rsid w:val="007D5FDC"/>
    <w:rsid w:val="007D6232"/>
    <w:rsid w:val="007D6D68"/>
    <w:rsid w:val="007D7009"/>
    <w:rsid w:val="007E01DA"/>
    <w:rsid w:val="007E1232"/>
    <w:rsid w:val="007E1603"/>
    <w:rsid w:val="007E2566"/>
    <w:rsid w:val="007E32DA"/>
    <w:rsid w:val="007E4383"/>
    <w:rsid w:val="007E4998"/>
    <w:rsid w:val="007E4A9C"/>
    <w:rsid w:val="007E5FCE"/>
    <w:rsid w:val="007E6914"/>
    <w:rsid w:val="007E7C00"/>
    <w:rsid w:val="007E7F78"/>
    <w:rsid w:val="007F0C8B"/>
    <w:rsid w:val="007F0F53"/>
    <w:rsid w:val="007F1517"/>
    <w:rsid w:val="007F1D44"/>
    <w:rsid w:val="007F2B47"/>
    <w:rsid w:val="007F2C13"/>
    <w:rsid w:val="007F2CEC"/>
    <w:rsid w:val="007F3F30"/>
    <w:rsid w:val="007F55DE"/>
    <w:rsid w:val="007F5605"/>
    <w:rsid w:val="007F601D"/>
    <w:rsid w:val="007F6132"/>
    <w:rsid w:val="007F6147"/>
    <w:rsid w:val="007F6FCD"/>
    <w:rsid w:val="007F78FF"/>
    <w:rsid w:val="00800F6C"/>
    <w:rsid w:val="008025BE"/>
    <w:rsid w:val="00802615"/>
    <w:rsid w:val="00803507"/>
    <w:rsid w:val="00804C86"/>
    <w:rsid w:val="00804DA9"/>
    <w:rsid w:val="008051FC"/>
    <w:rsid w:val="008055A9"/>
    <w:rsid w:val="00806372"/>
    <w:rsid w:val="008070EB"/>
    <w:rsid w:val="00807167"/>
    <w:rsid w:val="00807376"/>
    <w:rsid w:val="00810E8E"/>
    <w:rsid w:val="0081142D"/>
    <w:rsid w:val="00811F89"/>
    <w:rsid w:val="00812462"/>
    <w:rsid w:val="008131C3"/>
    <w:rsid w:val="0081333D"/>
    <w:rsid w:val="008140A5"/>
    <w:rsid w:val="0081481D"/>
    <w:rsid w:val="0081498E"/>
    <w:rsid w:val="00814BE8"/>
    <w:rsid w:val="00814F6E"/>
    <w:rsid w:val="00815B84"/>
    <w:rsid w:val="00817147"/>
    <w:rsid w:val="00817E14"/>
    <w:rsid w:val="00820433"/>
    <w:rsid w:val="00821A3D"/>
    <w:rsid w:val="00821B36"/>
    <w:rsid w:val="00822037"/>
    <w:rsid w:val="00822A93"/>
    <w:rsid w:val="00823E0A"/>
    <w:rsid w:val="00823E97"/>
    <w:rsid w:val="00823FC6"/>
    <w:rsid w:val="00823FFC"/>
    <w:rsid w:val="00824811"/>
    <w:rsid w:val="00825C74"/>
    <w:rsid w:val="00826AB9"/>
    <w:rsid w:val="00826E0E"/>
    <w:rsid w:val="0082731F"/>
    <w:rsid w:val="00827583"/>
    <w:rsid w:val="00827C60"/>
    <w:rsid w:val="00827D11"/>
    <w:rsid w:val="00827E0F"/>
    <w:rsid w:val="00827F6E"/>
    <w:rsid w:val="0083022F"/>
    <w:rsid w:val="00831758"/>
    <w:rsid w:val="0083279F"/>
    <w:rsid w:val="00833B7F"/>
    <w:rsid w:val="00834906"/>
    <w:rsid w:val="00835394"/>
    <w:rsid w:val="00836075"/>
    <w:rsid w:val="00836417"/>
    <w:rsid w:val="00840F84"/>
    <w:rsid w:val="008411F9"/>
    <w:rsid w:val="008413AB"/>
    <w:rsid w:val="00842D10"/>
    <w:rsid w:val="0084301D"/>
    <w:rsid w:val="0084322B"/>
    <w:rsid w:val="008433BC"/>
    <w:rsid w:val="00843B93"/>
    <w:rsid w:val="00843F81"/>
    <w:rsid w:val="00844087"/>
    <w:rsid w:val="0084519E"/>
    <w:rsid w:val="00846370"/>
    <w:rsid w:val="008465BA"/>
    <w:rsid w:val="00846BCA"/>
    <w:rsid w:val="00847C2B"/>
    <w:rsid w:val="0085270D"/>
    <w:rsid w:val="00852C35"/>
    <w:rsid w:val="008532BF"/>
    <w:rsid w:val="00853A90"/>
    <w:rsid w:val="00853BF4"/>
    <w:rsid w:val="00854294"/>
    <w:rsid w:val="0085595B"/>
    <w:rsid w:val="00855F80"/>
    <w:rsid w:val="008560A6"/>
    <w:rsid w:val="008566B8"/>
    <w:rsid w:val="0085710F"/>
    <w:rsid w:val="0085788B"/>
    <w:rsid w:val="00857A9E"/>
    <w:rsid w:val="00857D0B"/>
    <w:rsid w:val="00857DE2"/>
    <w:rsid w:val="0086353C"/>
    <w:rsid w:val="0086407F"/>
    <w:rsid w:val="00864D79"/>
    <w:rsid w:val="00864E79"/>
    <w:rsid w:val="00866111"/>
    <w:rsid w:val="00866466"/>
    <w:rsid w:val="0086661F"/>
    <w:rsid w:val="00866A0D"/>
    <w:rsid w:val="00866DB5"/>
    <w:rsid w:val="0086716F"/>
    <w:rsid w:val="0086784E"/>
    <w:rsid w:val="00867AF1"/>
    <w:rsid w:val="0087017D"/>
    <w:rsid w:val="00870445"/>
    <w:rsid w:val="00870B53"/>
    <w:rsid w:val="00872057"/>
    <w:rsid w:val="00872118"/>
    <w:rsid w:val="0087227F"/>
    <w:rsid w:val="008725E6"/>
    <w:rsid w:val="00872827"/>
    <w:rsid w:val="00872888"/>
    <w:rsid w:val="00872A32"/>
    <w:rsid w:val="00872CB5"/>
    <w:rsid w:val="00872D92"/>
    <w:rsid w:val="00872E21"/>
    <w:rsid w:val="00874ECA"/>
    <w:rsid w:val="0087539F"/>
    <w:rsid w:val="0087567A"/>
    <w:rsid w:val="00876EAE"/>
    <w:rsid w:val="00880F95"/>
    <w:rsid w:val="008816E9"/>
    <w:rsid w:val="008819C6"/>
    <w:rsid w:val="00882B44"/>
    <w:rsid w:val="00882FE5"/>
    <w:rsid w:val="00883102"/>
    <w:rsid w:val="008842B9"/>
    <w:rsid w:val="008845A4"/>
    <w:rsid w:val="00885D3C"/>
    <w:rsid w:val="00886138"/>
    <w:rsid w:val="00886E66"/>
    <w:rsid w:val="008871B0"/>
    <w:rsid w:val="0089217C"/>
    <w:rsid w:val="008928A1"/>
    <w:rsid w:val="00892A3A"/>
    <w:rsid w:val="00892AF1"/>
    <w:rsid w:val="008934CE"/>
    <w:rsid w:val="00893671"/>
    <w:rsid w:val="00894D23"/>
    <w:rsid w:val="00894E85"/>
    <w:rsid w:val="00895838"/>
    <w:rsid w:val="00895A72"/>
    <w:rsid w:val="00895CDF"/>
    <w:rsid w:val="008968C7"/>
    <w:rsid w:val="00897A55"/>
    <w:rsid w:val="008A0650"/>
    <w:rsid w:val="008A0FC9"/>
    <w:rsid w:val="008A1682"/>
    <w:rsid w:val="008A1956"/>
    <w:rsid w:val="008A2B5F"/>
    <w:rsid w:val="008A30DB"/>
    <w:rsid w:val="008A30E5"/>
    <w:rsid w:val="008A40D3"/>
    <w:rsid w:val="008A469C"/>
    <w:rsid w:val="008A484A"/>
    <w:rsid w:val="008A5877"/>
    <w:rsid w:val="008A6539"/>
    <w:rsid w:val="008A6685"/>
    <w:rsid w:val="008A701C"/>
    <w:rsid w:val="008A75E0"/>
    <w:rsid w:val="008B04F0"/>
    <w:rsid w:val="008B05DD"/>
    <w:rsid w:val="008B17E8"/>
    <w:rsid w:val="008B1925"/>
    <w:rsid w:val="008B1E89"/>
    <w:rsid w:val="008B266C"/>
    <w:rsid w:val="008B2D03"/>
    <w:rsid w:val="008B2E7C"/>
    <w:rsid w:val="008B42EB"/>
    <w:rsid w:val="008B45A7"/>
    <w:rsid w:val="008B4A70"/>
    <w:rsid w:val="008B502F"/>
    <w:rsid w:val="008B5A88"/>
    <w:rsid w:val="008B677D"/>
    <w:rsid w:val="008B6AFE"/>
    <w:rsid w:val="008B7034"/>
    <w:rsid w:val="008B7227"/>
    <w:rsid w:val="008B7A87"/>
    <w:rsid w:val="008C0FC3"/>
    <w:rsid w:val="008C191C"/>
    <w:rsid w:val="008C1DA4"/>
    <w:rsid w:val="008C1DDA"/>
    <w:rsid w:val="008C2CD5"/>
    <w:rsid w:val="008C3048"/>
    <w:rsid w:val="008C3618"/>
    <w:rsid w:val="008C37C2"/>
    <w:rsid w:val="008C3AE1"/>
    <w:rsid w:val="008C3F20"/>
    <w:rsid w:val="008C43AD"/>
    <w:rsid w:val="008C59FB"/>
    <w:rsid w:val="008C6687"/>
    <w:rsid w:val="008C68F0"/>
    <w:rsid w:val="008C6F92"/>
    <w:rsid w:val="008C731F"/>
    <w:rsid w:val="008C74D9"/>
    <w:rsid w:val="008D01FF"/>
    <w:rsid w:val="008D0765"/>
    <w:rsid w:val="008D1052"/>
    <w:rsid w:val="008D124C"/>
    <w:rsid w:val="008D1BB3"/>
    <w:rsid w:val="008D22AE"/>
    <w:rsid w:val="008D234A"/>
    <w:rsid w:val="008D2600"/>
    <w:rsid w:val="008D566C"/>
    <w:rsid w:val="008D58D9"/>
    <w:rsid w:val="008D6426"/>
    <w:rsid w:val="008D66EA"/>
    <w:rsid w:val="008D6E59"/>
    <w:rsid w:val="008D7155"/>
    <w:rsid w:val="008D7DE4"/>
    <w:rsid w:val="008E0103"/>
    <w:rsid w:val="008E09B3"/>
    <w:rsid w:val="008E141A"/>
    <w:rsid w:val="008E1A44"/>
    <w:rsid w:val="008E28E6"/>
    <w:rsid w:val="008E2B60"/>
    <w:rsid w:val="008E2F5C"/>
    <w:rsid w:val="008E3232"/>
    <w:rsid w:val="008E3674"/>
    <w:rsid w:val="008E36CD"/>
    <w:rsid w:val="008E3B6C"/>
    <w:rsid w:val="008E4A55"/>
    <w:rsid w:val="008E68BB"/>
    <w:rsid w:val="008E6C9B"/>
    <w:rsid w:val="008E77D4"/>
    <w:rsid w:val="008E7E1F"/>
    <w:rsid w:val="008F0981"/>
    <w:rsid w:val="008F0AFD"/>
    <w:rsid w:val="008F17B2"/>
    <w:rsid w:val="008F28EE"/>
    <w:rsid w:val="008F357B"/>
    <w:rsid w:val="008F44CA"/>
    <w:rsid w:val="008F49B9"/>
    <w:rsid w:val="008F49D3"/>
    <w:rsid w:val="008F50D0"/>
    <w:rsid w:val="008F5760"/>
    <w:rsid w:val="008F6519"/>
    <w:rsid w:val="008F7012"/>
    <w:rsid w:val="008F7B17"/>
    <w:rsid w:val="00900042"/>
    <w:rsid w:val="0090034B"/>
    <w:rsid w:val="0090052F"/>
    <w:rsid w:val="00902623"/>
    <w:rsid w:val="00902890"/>
    <w:rsid w:val="00902E22"/>
    <w:rsid w:val="00903445"/>
    <w:rsid w:val="00904BE4"/>
    <w:rsid w:val="0090504A"/>
    <w:rsid w:val="009050A0"/>
    <w:rsid w:val="00905D7E"/>
    <w:rsid w:val="009063B7"/>
    <w:rsid w:val="0090692B"/>
    <w:rsid w:val="00906B83"/>
    <w:rsid w:val="00907037"/>
    <w:rsid w:val="009071D7"/>
    <w:rsid w:val="00910743"/>
    <w:rsid w:val="0091114B"/>
    <w:rsid w:val="0091160A"/>
    <w:rsid w:val="0091160E"/>
    <w:rsid w:val="00913258"/>
    <w:rsid w:val="009144D0"/>
    <w:rsid w:val="009150B1"/>
    <w:rsid w:val="0091564D"/>
    <w:rsid w:val="009156DA"/>
    <w:rsid w:val="00915BFF"/>
    <w:rsid w:val="00915F15"/>
    <w:rsid w:val="0091698E"/>
    <w:rsid w:val="00916BC5"/>
    <w:rsid w:val="0091726A"/>
    <w:rsid w:val="00920184"/>
    <w:rsid w:val="00920A19"/>
    <w:rsid w:val="00920EA4"/>
    <w:rsid w:val="009210B3"/>
    <w:rsid w:val="00921330"/>
    <w:rsid w:val="00921792"/>
    <w:rsid w:val="00921BEA"/>
    <w:rsid w:val="00923998"/>
    <w:rsid w:val="00923DB4"/>
    <w:rsid w:val="0092430E"/>
    <w:rsid w:val="009249D7"/>
    <w:rsid w:val="00924DFC"/>
    <w:rsid w:val="0092508C"/>
    <w:rsid w:val="0092625F"/>
    <w:rsid w:val="009268A9"/>
    <w:rsid w:val="00927B37"/>
    <w:rsid w:val="009300EE"/>
    <w:rsid w:val="009301B2"/>
    <w:rsid w:val="00930CF5"/>
    <w:rsid w:val="009313DD"/>
    <w:rsid w:val="00931811"/>
    <w:rsid w:val="00931BDE"/>
    <w:rsid w:val="009321B1"/>
    <w:rsid w:val="00932ED7"/>
    <w:rsid w:val="0093357E"/>
    <w:rsid w:val="0093422D"/>
    <w:rsid w:val="00934325"/>
    <w:rsid w:val="00934DD7"/>
    <w:rsid w:val="009369A9"/>
    <w:rsid w:val="00936CF7"/>
    <w:rsid w:val="00937201"/>
    <w:rsid w:val="0093734A"/>
    <w:rsid w:val="00937783"/>
    <w:rsid w:val="00940FE1"/>
    <w:rsid w:val="009419E7"/>
    <w:rsid w:val="00942306"/>
    <w:rsid w:val="009424B8"/>
    <w:rsid w:val="009433A4"/>
    <w:rsid w:val="00943558"/>
    <w:rsid w:val="0094435B"/>
    <w:rsid w:val="00944377"/>
    <w:rsid w:val="00944668"/>
    <w:rsid w:val="00944DC6"/>
    <w:rsid w:val="0094515F"/>
    <w:rsid w:val="0094537D"/>
    <w:rsid w:val="0094573F"/>
    <w:rsid w:val="009458B0"/>
    <w:rsid w:val="00945B52"/>
    <w:rsid w:val="00945C72"/>
    <w:rsid w:val="00945DC0"/>
    <w:rsid w:val="00945F05"/>
    <w:rsid w:val="00946348"/>
    <w:rsid w:val="009471AD"/>
    <w:rsid w:val="009478A2"/>
    <w:rsid w:val="00947946"/>
    <w:rsid w:val="00947CC3"/>
    <w:rsid w:val="00950404"/>
    <w:rsid w:val="00951ED5"/>
    <w:rsid w:val="00952060"/>
    <w:rsid w:val="009535D8"/>
    <w:rsid w:val="00954585"/>
    <w:rsid w:val="00954800"/>
    <w:rsid w:val="009552B2"/>
    <w:rsid w:val="00955643"/>
    <w:rsid w:val="00955CF5"/>
    <w:rsid w:val="00955FBB"/>
    <w:rsid w:val="0095694B"/>
    <w:rsid w:val="00956BD5"/>
    <w:rsid w:val="009574BB"/>
    <w:rsid w:val="009577B5"/>
    <w:rsid w:val="009608E6"/>
    <w:rsid w:val="00961054"/>
    <w:rsid w:val="00961779"/>
    <w:rsid w:val="00961D5A"/>
    <w:rsid w:val="00962EB1"/>
    <w:rsid w:val="009635EB"/>
    <w:rsid w:val="00963E52"/>
    <w:rsid w:val="00966522"/>
    <w:rsid w:val="00967D3F"/>
    <w:rsid w:val="00967E78"/>
    <w:rsid w:val="00970D7E"/>
    <w:rsid w:val="00970F18"/>
    <w:rsid w:val="00971CF1"/>
    <w:rsid w:val="009721E9"/>
    <w:rsid w:val="00972A58"/>
    <w:rsid w:val="00972E20"/>
    <w:rsid w:val="00973359"/>
    <w:rsid w:val="009736D6"/>
    <w:rsid w:val="00973772"/>
    <w:rsid w:val="009738FC"/>
    <w:rsid w:val="00974F7D"/>
    <w:rsid w:val="00975D77"/>
    <w:rsid w:val="00975E1E"/>
    <w:rsid w:val="00975E70"/>
    <w:rsid w:val="00977749"/>
    <w:rsid w:val="00977CD6"/>
    <w:rsid w:val="00980CBF"/>
    <w:rsid w:val="00981972"/>
    <w:rsid w:val="00982481"/>
    <w:rsid w:val="00982D26"/>
    <w:rsid w:val="0098330E"/>
    <w:rsid w:val="009833AC"/>
    <w:rsid w:val="009833DD"/>
    <w:rsid w:val="009840AB"/>
    <w:rsid w:val="009849E9"/>
    <w:rsid w:val="009866F3"/>
    <w:rsid w:val="00987812"/>
    <w:rsid w:val="00990225"/>
    <w:rsid w:val="0099041F"/>
    <w:rsid w:val="0099244B"/>
    <w:rsid w:val="0099314D"/>
    <w:rsid w:val="00993186"/>
    <w:rsid w:val="0099388D"/>
    <w:rsid w:val="009947B6"/>
    <w:rsid w:val="00994FCC"/>
    <w:rsid w:val="0099513C"/>
    <w:rsid w:val="00995150"/>
    <w:rsid w:val="009957F3"/>
    <w:rsid w:val="00995D67"/>
    <w:rsid w:val="009970BF"/>
    <w:rsid w:val="00997992"/>
    <w:rsid w:val="00997F48"/>
    <w:rsid w:val="009A00DE"/>
    <w:rsid w:val="009A013B"/>
    <w:rsid w:val="009A02F4"/>
    <w:rsid w:val="009A1844"/>
    <w:rsid w:val="009A1F12"/>
    <w:rsid w:val="009A2494"/>
    <w:rsid w:val="009A26CA"/>
    <w:rsid w:val="009A3158"/>
    <w:rsid w:val="009A36F2"/>
    <w:rsid w:val="009A3CF7"/>
    <w:rsid w:val="009A4B98"/>
    <w:rsid w:val="009A5749"/>
    <w:rsid w:val="009A57D0"/>
    <w:rsid w:val="009A5F6E"/>
    <w:rsid w:val="009A6199"/>
    <w:rsid w:val="009A6559"/>
    <w:rsid w:val="009A68FC"/>
    <w:rsid w:val="009A7514"/>
    <w:rsid w:val="009A7E7A"/>
    <w:rsid w:val="009A7FF6"/>
    <w:rsid w:val="009B1584"/>
    <w:rsid w:val="009B1585"/>
    <w:rsid w:val="009B2469"/>
    <w:rsid w:val="009B314F"/>
    <w:rsid w:val="009B439C"/>
    <w:rsid w:val="009B4A6C"/>
    <w:rsid w:val="009B5777"/>
    <w:rsid w:val="009B5779"/>
    <w:rsid w:val="009B6753"/>
    <w:rsid w:val="009B6A26"/>
    <w:rsid w:val="009C079D"/>
    <w:rsid w:val="009C0D70"/>
    <w:rsid w:val="009C13D1"/>
    <w:rsid w:val="009C1854"/>
    <w:rsid w:val="009C2913"/>
    <w:rsid w:val="009C3008"/>
    <w:rsid w:val="009C3138"/>
    <w:rsid w:val="009C3FE8"/>
    <w:rsid w:val="009C50C6"/>
    <w:rsid w:val="009C5592"/>
    <w:rsid w:val="009C5AFE"/>
    <w:rsid w:val="009C5EB9"/>
    <w:rsid w:val="009C6606"/>
    <w:rsid w:val="009C6CE5"/>
    <w:rsid w:val="009C6D50"/>
    <w:rsid w:val="009C7547"/>
    <w:rsid w:val="009C7966"/>
    <w:rsid w:val="009C7A7B"/>
    <w:rsid w:val="009C7EF4"/>
    <w:rsid w:val="009D0F85"/>
    <w:rsid w:val="009D1678"/>
    <w:rsid w:val="009D1693"/>
    <w:rsid w:val="009D2577"/>
    <w:rsid w:val="009D2721"/>
    <w:rsid w:val="009D2F60"/>
    <w:rsid w:val="009D338C"/>
    <w:rsid w:val="009D33BC"/>
    <w:rsid w:val="009D3D0D"/>
    <w:rsid w:val="009D4C68"/>
    <w:rsid w:val="009D5BAC"/>
    <w:rsid w:val="009D64BD"/>
    <w:rsid w:val="009D7F58"/>
    <w:rsid w:val="009E0D0A"/>
    <w:rsid w:val="009E0D1A"/>
    <w:rsid w:val="009E153F"/>
    <w:rsid w:val="009E19A9"/>
    <w:rsid w:val="009E2D6C"/>
    <w:rsid w:val="009E388B"/>
    <w:rsid w:val="009E393E"/>
    <w:rsid w:val="009E41B1"/>
    <w:rsid w:val="009E444E"/>
    <w:rsid w:val="009E4968"/>
    <w:rsid w:val="009E663C"/>
    <w:rsid w:val="009E6BB1"/>
    <w:rsid w:val="009E7699"/>
    <w:rsid w:val="009E7A81"/>
    <w:rsid w:val="009F0092"/>
    <w:rsid w:val="009F0C6A"/>
    <w:rsid w:val="009F0CD9"/>
    <w:rsid w:val="009F1A79"/>
    <w:rsid w:val="009F1F57"/>
    <w:rsid w:val="009F2E26"/>
    <w:rsid w:val="009F42DF"/>
    <w:rsid w:val="009F4FCF"/>
    <w:rsid w:val="009F5DE2"/>
    <w:rsid w:val="009F5E38"/>
    <w:rsid w:val="009F638C"/>
    <w:rsid w:val="009F65F4"/>
    <w:rsid w:val="009F676B"/>
    <w:rsid w:val="009F6EA6"/>
    <w:rsid w:val="00A004DF"/>
    <w:rsid w:val="00A00735"/>
    <w:rsid w:val="00A00BAE"/>
    <w:rsid w:val="00A00D29"/>
    <w:rsid w:val="00A00FD5"/>
    <w:rsid w:val="00A019A8"/>
    <w:rsid w:val="00A01B03"/>
    <w:rsid w:val="00A01F22"/>
    <w:rsid w:val="00A026E7"/>
    <w:rsid w:val="00A02C66"/>
    <w:rsid w:val="00A03861"/>
    <w:rsid w:val="00A0464C"/>
    <w:rsid w:val="00A04C39"/>
    <w:rsid w:val="00A04D48"/>
    <w:rsid w:val="00A054E0"/>
    <w:rsid w:val="00A05ABE"/>
    <w:rsid w:val="00A0663F"/>
    <w:rsid w:val="00A066CE"/>
    <w:rsid w:val="00A069FB"/>
    <w:rsid w:val="00A0740B"/>
    <w:rsid w:val="00A075A9"/>
    <w:rsid w:val="00A07B7D"/>
    <w:rsid w:val="00A100DC"/>
    <w:rsid w:val="00A10966"/>
    <w:rsid w:val="00A11042"/>
    <w:rsid w:val="00A12D97"/>
    <w:rsid w:val="00A133D8"/>
    <w:rsid w:val="00A1469C"/>
    <w:rsid w:val="00A14E97"/>
    <w:rsid w:val="00A15660"/>
    <w:rsid w:val="00A20069"/>
    <w:rsid w:val="00A20280"/>
    <w:rsid w:val="00A211D3"/>
    <w:rsid w:val="00A2130D"/>
    <w:rsid w:val="00A2244D"/>
    <w:rsid w:val="00A2253D"/>
    <w:rsid w:val="00A22AEC"/>
    <w:rsid w:val="00A22FDB"/>
    <w:rsid w:val="00A2324F"/>
    <w:rsid w:val="00A2418A"/>
    <w:rsid w:val="00A247B8"/>
    <w:rsid w:val="00A24D39"/>
    <w:rsid w:val="00A24D8F"/>
    <w:rsid w:val="00A252D3"/>
    <w:rsid w:val="00A25B8B"/>
    <w:rsid w:val="00A26130"/>
    <w:rsid w:val="00A269AF"/>
    <w:rsid w:val="00A269C3"/>
    <w:rsid w:val="00A26ECA"/>
    <w:rsid w:val="00A3057D"/>
    <w:rsid w:val="00A311F3"/>
    <w:rsid w:val="00A3142C"/>
    <w:rsid w:val="00A31D37"/>
    <w:rsid w:val="00A324AE"/>
    <w:rsid w:val="00A324C1"/>
    <w:rsid w:val="00A32F39"/>
    <w:rsid w:val="00A337DB"/>
    <w:rsid w:val="00A3419D"/>
    <w:rsid w:val="00A3467F"/>
    <w:rsid w:val="00A3551A"/>
    <w:rsid w:val="00A372AA"/>
    <w:rsid w:val="00A376E8"/>
    <w:rsid w:val="00A37E56"/>
    <w:rsid w:val="00A37E69"/>
    <w:rsid w:val="00A37F8E"/>
    <w:rsid w:val="00A41737"/>
    <w:rsid w:val="00A42B8F"/>
    <w:rsid w:val="00A43254"/>
    <w:rsid w:val="00A43896"/>
    <w:rsid w:val="00A43A26"/>
    <w:rsid w:val="00A444B0"/>
    <w:rsid w:val="00A447A0"/>
    <w:rsid w:val="00A44D4F"/>
    <w:rsid w:val="00A4598B"/>
    <w:rsid w:val="00A459F5"/>
    <w:rsid w:val="00A45FC0"/>
    <w:rsid w:val="00A46B32"/>
    <w:rsid w:val="00A47301"/>
    <w:rsid w:val="00A47307"/>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6E83"/>
    <w:rsid w:val="00A575B8"/>
    <w:rsid w:val="00A57A8D"/>
    <w:rsid w:val="00A62784"/>
    <w:rsid w:val="00A63635"/>
    <w:rsid w:val="00A647B1"/>
    <w:rsid w:val="00A64D50"/>
    <w:rsid w:val="00A64DEF"/>
    <w:rsid w:val="00A65E4E"/>
    <w:rsid w:val="00A660C5"/>
    <w:rsid w:val="00A66214"/>
    <w:rsid w:val="00A665DF"/>
    <w:rsid w:val="00A66A02"/>
    <w:rsid w:val="00A66EB0"/>
    <w:rsid w:val="00A67F1B"/>
    <w:rsid w:val="00A67FCC"/>
    <w:rsid w:val="00A70FF0"/>
    <w:rsid w:val="00A716DC"/>
    <w:rsid w:val="00A71ABE"/>
    <w:rsid w:val="00A72127"/>
    <w:rsid w:val="00A7217B"/>
    <w:rsid w:val="00A7293E"/>
    <w:rsid w:val="00A72EE4"/>
    <w:rsid w:val="00A73067"/>
    <w:rsid w:val="00A737C4"/>
    <w:rsid w:val="00A739A6"/>
    <w:rsid w:val="00A73BB5"/>
    <w:rsid w:val="00A75090"/>
    <w:rsid w:val="00A75EF9"/>
    <w:rsid w:val="00A76BC9"/>
    <w:rsid w:val="00A76FD8"/>
    <w:rsid w:val="00A77566"/>
    <w:rsid w:val="00A80563"/>
    <w:rsid w:val="00A8151F"/>
    <w:rsid w:val="00A8311C"/>
    <w:rsid w:val="00A84BC8"/>
    <w:rsid w:val="00A84C5F"/>
    <w:rsid w:val="00A854F0"/>
    <w:rsid w:val="00A86275"/>
    <w:rsid w:val="00A86973"/>
    <w:rsid w:val="00A8721F"/>
    <w:rsid w:val="00A873DD"/>
    <w:rsid w:val="00A8740B"/>
    <w:rsid w:val="00A87519"/>
    <w:rsid w:val="00A87CBE"/>
    <w:rsid w:val="00A87D5E"/>
    <w:rsid w:val="00A90575"/>
    <w:rsid w:val="00A90DE4"/>
    <w:rsid w:val="00A91044"/>
    <w:rsid w:val="00A9246D"/>
    <w:rsid w:val="00A93644"/>
    <w:rsid w:val="00A93BD0"/>
    <w:rsid w:val="00A94C99"/>
    <w:rsid w:val="00A95D69"/>
    <w:rsid w:val="00A966C5"/>
    <w:rsid w:val="00A971A7"/>
    <w:rsid w:val="00A975A4"/>
    <w:rsid w:val="00A979E3"/>
    <w:rsid w:val="00AA0E26"/>
    <w:rsid w:val="00AA2001"/>
    <w:rsid w:val="00AA25CA"/>
    <w:rsid w:val="00AA2B5C"/>
    <w:rsid w:val="00AA3935"/>
    <w:rsid w:val="00AA4E59"/>
    <w:rsid w:val="00AA5328"/>
    <w:rsid w:val="00AA5393"/>
    <w:rsid w:val="00AA5771"/>
    <w:rsid w:val="00AA63D4"/>
    <w:rsid w:val="00AA6767"/>
    <w:rsid w:val="00AB03FD"/>
    <w:rsid w:val="00AB2AEC"/>
    <w:rsid w:val="00AB38CB"/>
    <w:rsid w:val="00AB3BEC"/>
    <w:rsid w:val="00AB3C37"/>
    <w:rsid w:val="00AB44E4"/>
    <w:rsid w:val="00AB4AEB"/>
    <w:rsid w:val="00AB5352"/>
    <w:rsid w:val="00AB56AE"/>
    <w:rsid w:val="00AB57D4"/>
    <w:rsid w:val="00AB5811"/>
    <w:rsid w:val="00AB58A8"/>
    <w:rsid w:val="00AB62D5"/>
    <w:rsid w:val="00AB65B5"/>
    <w:rsid w:val="00AB6DCD"/>
    <w:rsid w:val="00AB6EE0"/>
    <w:rsid w:val="00AB7D91"/>
    <w:rsid w:val="00AC2DFD"/>
    <w:rsid w:val="00AC352D"/>
    <w:rsid w:val="00AC39B7"/>
    <w:rsid w:val="00AC40B7"/>
    <w:rsid w:val="00AC523F"/>
    <w:rsid w:val="00AC531F"/>
    <w:rsid w:val="00AC5918"/>
    <w:rsid w:val="00AC6121"/>
    <w:rsid w:val="00AC626D"/>
    <w:rsid w:val="00AC6CB1"/>
    <w:rsid w:val="00AD0091"/>
    <w:rsid w:val="00AD04A2"/>
    <w:rsid w:val="00AD0817"/>
    <w:rsid w:val="00AD15DD"/>
    <w:rsid w:val="00AD23D8"/>
    <w:rsid w:val="00AD23EF"/>
    <w:rsid w:val="00AD2DDF"/>
    <w:rsid w:val="00AD307B"/>
    <w:rsid w:val="00AD41B3"/>
    <w:rsid w:val="00AD4C48"/>
    <w:rsid w:val="00AD57AF"/>
    <w:rsid w:val="00AD6267"/>
    <w:rsid w:val="00AD6884"/>
    <w:rsid w:val="00AD7317"/>
    <w:rsid w:val="00AD744A"/>
    <w:rsid w:val="00AD77B8"/>
    <w:rsid w:val="00AE01A8"/>
    <w:rsid w:val="00AE0CBD"/>
    <w:rsid w:val="00AE123A"/>
    <w:rsid w:val="00AE130A"/>
    <w:rsid w:val="00AE158C"/>
    <w:rsid w:val="00AE21F8"/>
    <w:rsid w:val="00AE28A7"/>
    <w:rsid w:val="00AE33A6"/>
    <w:rsid w:val="00AE33C1"/>
    <w:rsid w:val="00AE3446"/>
    <w:rsid w:val="00AE3715"/>
    <w:rsid w:val="00AE3729"/>
    <w:rsid w:val="00AE55B2"/>
    <w:rsid w:val="00AE5C6A"/>
    <w:rsid w:val="00AE65F7"/>
    <w:rsid w:val="00AE7280"/>
    <w:rsid w:val="00AF033A"/>
    <w:rsid w:val="00AF1699"/>
    <w:rsid w:val="00AF193C"/>
    <w:rsid w:val="00AF2D11"/>
    <w:rsid w:val="00AF3896"/>
    <w:rsid w:val="00AF5909"/>
    <w:rsid w:val="00AF5D5E"/>
    <w:rsid w:val="00AF6360"/>
    <w:rsid w:val="00AF6C33"/>
    <w:rsid w:val="00B0098A"/>
    <w:rsid w:val="00B00A5F"/>
    <w:rsid w:val="00B0225F"/>
    <w:rsid w:val="00B029B8"/>
    <w:rsid w:val="00B02F60"/>
    <w:rsid w:val="00B032B8"/>
    <w:rsid w:val="00B04B46"/>
    <w:rsid w:val="00B050F2"/>
    <w:rsid w:val="00B0534D"/>
    <w:rsid w:val="00B0576A"/>
    <w:rsid w:val="00B06368"/>
    <w:rsid w:val="00B06FC6"/>
    <w:rsid w:val="00B07163"/>
    <w:rsid w:val="00B07429"/>
    <w:rsid w:val="00B12FE6"/>
    <w:rsid w:val="00B1303F"/>
    <w:rsid w:val="00B1364A"/>
    <w:rsid w:val="00B13D3C"/>
    <w:rsid w:val="00B13FC6"/>
    <w:rsid w:val="00B1468D"/>
    <w:rsid w:val="00B1525C"/>
    <w:rsid w:val="00B15A8B"/>
    <w:rsid w:val="00B162C0"/>
    <w:rsid w:val="00B16715"/>
    <w:rsid w:val="00B171B4"/>
    <w:rsid w:val="00B174A8"/>
    <w:rsid w:val="00B17910"/>
    <w:rsid w:val="00B20F18"/>
    <w:rsid w:val="00B20F97"/>
    <w:rsid w:val="00B21516"/>
    <w:rsid w:val="00B22CE0"/>
    <w:rsid w:val="00B23738"/>
    <w:rsid w:val="00B23BEF"/>
    <w:rsid w:val="00B247BB"/>
    <w:rsid w:val="00B254B8"/>
    <w:rsid w:val="00B25806"/>
    <w:rsid w:val="00B25C11"/>
    <w:rsid w:val="00B25EDF"/>
    <w:rsid w:val="00B25EE6"/>
    <w:rsid w:val="00B26B53"/>
    <w:rsid w:val="00B30696"/>
    <w:rsid w:val="00B3075A"/>
    <w:rsid w:val="00B3115A"/>
    <w:rsid w:val="00B31A5C"/>
    <w:rsid w:val="00B33C19"/>
    <w:rsid w:val="00B33EB0"/>
    <w:rsid w:val="00B34861"/>
    <w:rsid w:val="00B34BBC"/>
    <w:rsid w:val="00B34CB7"/>
    <w:rsid w:val="00B35F6E"/>
    <w:rsid w:val="00B363BD"/>
    <w:rsid w:val="00B369C8"/>
    <w:rsid w:val="00B369F7"/>
    <w:rsid w:val="00B36A99"/>
    <w:rsid w:val="00B37537"/>
    <w:rsid w:val="00B37736"/>
    <w:rsid w:val="00B3790B"/>
    <w:rsid w:val="00B41B81"/>
    <w:rsid w:val="00B42980"/>
    <w:rsid w:val="00B434B2"/>
    <w:rsid w:val="00B434C7"/>
    <w:rsid w:val="00B437C6"/>
    <w:rsid w:val="00B43D45"/>
    <w:rsid w:val="00B44771"/>
    <w:rsid w:val="00B4532E"/>
    <w:rsid w:val="00B457D3"/>
    <w:rsid w:val="00B46048"/>
    <w:rsid w:val="00B4650E"/>
    <w:rsid w:val="00B468F2"/>
    <w:rsid w:val="00B46B45"/>
    <w:rsid w:val="00B46F6B"/>
    <w:rsid w:val="00B47286"/>
    <w:rsid w:val="00B47894"/>
    <w:rsid w:val="00B50234"/>
    <w:rsid w:val="00B51238"/>
    <w:rsid w:val="00B51794"/>
    <w:rsid w:val="00B51BF4"/>
    <w:rsid w:val="00B52470"/>
    <w:rsid w:val="00B52C68"/>
    <w:rsid w:val="00B5300A"/>
    <w:rsid w:val="00B542FE"/>
    <w:rsid w:val="00B557A2"/>
    <w:rsid w:val="00B55A1B"/>
    <w:rsid w:val="00B55F24"/>
    <w:rsid w:val="00B561DB"/>
    <w:rsid w:val="00B563DA"/>
    <w:rsid w:val="00B56AEA"/>
    <w:rsid w:val="00B57494"/>
    <w:rsid w:val="00B601C2"/>
    <w:rsid w:val="00B61DCE"/>
    <w:rsid w:val="00B62188"/>
    <w:rsid w:val="00B62467"/>
    <w:rsid w:val="00B62515"/>
    <w:rsid w:val="00B62F79"/>
    <w:rsid w:val="00B62F82"/>
    <w:rsid w:val="00B6325B"/>
    <w:rsid w:val="00B648FA"/>
    <w:rsid w:val="00B64B36"/>
    <w:rsid w:val="00B65298"/>
    <w:rsid w:val="00B662FF"/>
    <w:rsid w:val="00B725F0"/>
    <w:rsid w:val="00B72C80"/>
    <w:rsid w:val="00B730B4"/>
    <w:rsid w:val="00B73E28"/>
    <w:rsid w:val="00B74340"/>
    <w:rsid w:val="00B744E0"/>
    <w:rsid w:val="00B7481A"/>
    <w:rsid w:val="00B74F2F"/>
    <w:rsid w:val="00B756FB"/>
    <w:rsid w:val="00B766BF"/>
    <w:rsid w:val="00B769BC"/>
    <w:rsid w:val="00B76D34"/>
    <w:rsid w:val="00B77349"/>
    <w:rsid w:val="00B7761E"/>
    <w:rsid w:val="00B803FB"/>
    <w:rsid w:val="00B80A37"/>
    <w:rsid w:val="00B80A3D"/>
    <w:rsid w:val="00B823E0"/>
    <w:rsid w:val="00B82AB4"/>
    <w:rsid w:val="00B82B78"/>
    <w:rsid w:val="00B83199"/>
    <w:rsid w:val="00B8347F"/>
    <w:rsid w:val="00B83E3C"/>
    <w:rsid w:val="00B84662"/>
    <w:rsid w:val="00B85402"/>
    <w:rsid w:val="00B864A3"/>
    <w:rsid w:val="00B86C2A"/>
    <w:rsid w:val="00B87BE1"/>
    <w:rsid w:val="00B902A5"/>
    <w:rsid w:val="00B90420"/>
    <w:rsid w:val="00B90C2A"/>
    <w:rsid w:val="00B9136E"/>
    <w:rsid w:val="00B913E4"/>
    <w:rsid w:val="00B91410"/>
    <w:rsid w:val="00B91650"/>
    <w:rsid w:val="00B91DB9"/>
    <w:rsid w:val="00B92741"/>
    <w:rsid w:val="00B929ED"/>
    <w:rsid w:val="00B93EFE"/>
    <w:rsid w:val="00B94956"/>
    <w:rsid w:val="00B94C7F"/>
    <w:rsid w:val="00B9507C"/>
    <w:rsid w:val="00B956B5"/>
    <w:rsid w:val="00B95904"/>
    <w:rsid w:val="00B95C3A"/>
    <w:rsid w:val="00B95FCE"/>
    <w:rsid w:val="00B97FB8"/>
    <w:rsid w:val="00BA0D44"/>
    <w:rsid w:val="00BA0E26"/>
    <w:rsid w:val="00BA15B2"/>
    <w:rsid w:val="00BA30DB"/>
    <w:rsid w:val="00BA31BF"/>
    <w:rsid w:val="00BA382C"/>
    <w:rsid w:val="00BA43FC"/>
    <w:rsid w:val="00BA478B"/>
    <w:rsid w:val="00BA5224"/>
    <w:rsid w:val="00BA6DE4"/>
    <w:rsid w:val="00BA7456"/>
    <w:rsid w:val="00BA7925"/>
    <w:rsid w:val="00BA7B27"/>
    <w:rsid w:val="00BA7E3B"/>
    <w:rsid w:val="00BB066B"/>
    <w:rsid w:val="00BB079C"/>
    <w:rsid w:val="00BB0F78"/>
    <w:rsid w:val="00BB32A1"/>
    <w:rsid w:val="00BB39C1"/>
    <w:rsid w:val="00BB4067"/>
    <w:rsid w:val="00BB5555"/>
    <w:rsid w:val="00BB5D16"/>
    <w:rsid w:val="00BB6180"/>
    <w:rsid w:val="00BB68BC"/>
    <w:rsid w:val="00BB69E6"/>
    <w:rsid w:val="00BB7714"/>
    <w:rsid w:val="00BC0652"/>
    <w:rsid w:val="00BC0BB6"/>
    <w:rsid w:val="00BC0E66"/>
    <w:rsid w:val="00BC167F"/>
    <w:rsid w:val="00BC1B7A"/>
    <w:rsid w:val="00BC2817"/>
    <w:rsid w:val="00BC2BC7"/>
    <w:rsid w:val="00BC2C01"/>
    <w:rsid w:val="00BC2C17"/>
    <w:rsid w:val="00BC3504"/>
    <w:rsid w:val="00BC3ACD"/>
    <w:rsid w:val="00BC5C09"/>
    <w:rsid w:val="00BC6300"/>
    <w:rsid w:val="00BC6E73"/>
    <w:rsid w:val="00BC7D69"/>
    <w:rsid w:val="00BD0014"/>
    <w:rsid w:val="00BD01D8"/>
    <w:rsid w:val="00BD0C58"/>
    <w:rsid w:val="00BD1B17"/>
    <w:rsid w:val="00BD2512"/>
    <w:rsid w:val="00BD255F"/>
    <w:rsid w:val="00BD312C"/>
    <w:rsid w:val="00BD383D"/>
    <w:rsid w:val="00BD4236"/>
    <w:rsid w:val="00BD5CCA"/>
    <w:rsid w:val="00BD5CD4"/>
    <w:rsid w:val="00BD6EF9"/>
    <w:rsid w:val="00BD7588"/>
    <w:rsid w:val="00BD77DD"/>
    <w:rsid w:val="00BD7D3D"/>
    <w:rsid w:val="00BE0ACB"/>
    <w:rsid w:val="00BE1A90"/>
    <w:rsid w:val="00BE2C0A"/>
    <w:rsid w:val="00BE3537"/>
    <w:rsid w:val="00BE360F"/>
    <w:rsid w:val="00BE50FD"/>
    <w:rsid w:val="00BE51CA"/>
    <w:rsid w:val="00BE520C"/>
    <w:rsid w:val="00BE5E5A"/>
    <w:rsid w:val="00BE652B"/>
    <w:rsid w:val="00BE6703"/>
    <w:rsid w:val="00BE6D47"/>
    <w:rsid w:val="00BE7032"/>
    <w:rsid w:val="00BE7330"/>
    <w:rsid w:val="00BF01C5"/>
    <w:rsid w:val="00BF045B"/>
    <w:rsid w:val="00BF066A"/>
    <w:rsid w:val="00BF0D14"/>
    <w:rsid w:val="00BF1BEF"/>
    <w:rsid w:val="00BF2B59"/>
    <w:rsid w:val="00BF2FE3"/>
    <w:rsid w:val="00BF361C"/>
    <w:rsid w:val="00BF3C51"/>
    <w:rsid w:val="00BF4342"/>
    <w:rsid w:val="00BF4BB6"/>
    <w:rsid w:val="00BF5050"/>
    <w:rsid w:val="00BF5422"/>
    <w:rsid w:val="00BF54CF"/>
    <w:rsid w:val="00BF59B1"/>
    <w:rsid w:val="00BF606B"/>
    <w:rsid w:val="00BF6076"/>
    <w:rsid w:val="00BF6A78"/>
    <w:rsid w:val="00BF6E19"/>
    <w:rsid w:val="00BF79B4"/>
    <w:rsid w:val="00C00251"/>
    <w:rsid w:val="00C0099F"/>
    <w:rsid w:val="00C01427"/>
    <w:rsid w:val="00C016A1"/>
    <w:rsid w:val="00C045F4"/>
    <w:rsid w:val="00C04AAB"/>
    <w:rsid w:val="00C058AF"/>
    <w:rsid w:val="00C064EC"/>
    <w:rsid w:val="00C07644"/>
    <w:rsid w:val="00C11708"/>
    <w:rsid w:val="00C124C1"/>
    <w:rsid w:val="00C12713"/>
    <w:rsid w:val="00C128AE"/>
    <w:rsid w:val="00C1294F"/>
    <w:rsid w:val="00C12959"/>
    <w:rsid w:val="00C136D6"/>
    <w:rsid w:val="00C13D5B"/>
    <w:rsid w:val="00C15CB5"/>
    <w:rsid w:val="00C16EBF"/>
    <w:rsid w:val="00C16FBC"/>
    <w:rsid w:val="00C17AE2"/>
    <w:rsid w:val="00C20F27"/>
    <w:rsid w:val="00C215CF"/>
    <w:rsid w:val="00C2244B"/>
    <w:rsid w:val="00C2263D"/>
    <w:rsid w:val="00C22B0D"/>
    <w:rsid w:val="00C22F55"/>
    <w:rsid w:val="00C23336"/>
    <w:rsid w:val="00C240C1"/>
    <w:rsid w:val="00C250D0"/>
    <w:rsid w:val="00C252AC"/>
    <w:rsid w:val="00C255AB"/>
    <w:rsid w:val="00C267E0"/>
    <w:rsid w:val="00C27214"/>
    <w:rsid w:val="00C27597"/>
    <w:rsid w:val="00C30382"/>
    <w:rsid w:val="00C30D6F"/>
    <w:rsid w:val="00C31063"/>
    <w:rsid w:val="00C31B7E"/>
    <w:rsid w:val="00C321A1"/>
    <w:rsid w:val="00C3242A"/>
    <w:rsid w:val="00C32AE2"/>
    <w:rsid w:val="00C32CB4"/>
    <w:rsid w:val="00C33201"/>
    <w:rsid w:val="00C332C4"/>
    <w:rsid w:val="00C343A1"/>
    <w:rsid w:val="00C349A6"/>
    <w:rsid w:val="00C35CE6"/>
    <w:rsid w:val="00C360B3"/>
    <w:rsid w:val="00C36363"/>
    <w:rsid w:val="00C3679B"/>
    <w:rsid w:val="00C3688F"/>
    <w:rsid w:val="00C37027"/>
    <w:rsid w:val="00C37470"/>
    <w:rsid w:val="00C3778D"/>
    <w:rsid w:val="00C405A3"/>
    <w:rsid w:val="00C420B5"/>
    <w:rsid w:val="00C42752"/>
    <w:rsid w:val="00C42973"/>
    <w:rsid w:val="00C44F9C"/>
    <w:rsid w:val="00C45C04"/>
    <w:rsid w:val="00C46D58"/>
    <w:rsid w:val="00C4730E"/>
    <w:rsid w:val="00C47EE9"/>
    <w:rsid w:val="00C5019C"/>
    <w:rsid w:val="00C5034F"/>
    <w:rsid w:val="00C514D3"/>
    <w:rsid w:val="00C52479"/>
    <w:rsid w:val="00C5291F"/>
    <w:rsid w:val="00C52BC8"/>
    <w:rsid w:val="00C52C59"/>
    <w:rsid w:val="00C5349E"/>
    <w:rsid w:val="00C5354B"/>
    <w:rsid w:val="00C5377F"/>
    <w:rsid w:val="00C54467"/>
    <w:rsid w:val="00C54D3D"/>
    <w:rsid w:val="00C55116"/>
    <w:rsid w:val="00C555FA"/>
    <w:rsid w:val="00C55A30"/>
    <w:rsid w:val="00C57C58"/>
    <w:rsid w:val="00C6028F"/>
    <w:rsid w:val="00C6036D"/>
    <w:rsid w:val="00C608F1"/>
    <w:rsid w:val="00C631E1"/>
    <w:rsid w:val="00C638D8"/>
    <w:rsid w:val="00C638F4"/>
    <w:rsid w:val="00C63C84"/>
    <w:rsid w:val="00C63D26"/>
    <w:rsid w:val="00C641EB"/>
    <w:rsid w:val="00C65053"/>
    <w:rsid w:val="00C65471"/>
    <w:rsid w:val="00C65BD9"/>
    <w:rsid w:val="00C66061"/>
    <w:rsid w:val="00C661D6"/>
    <w:rsid w:val="00C66F69"/>
    <w:rsid w:val="00C67223"/>
    <w:rsid w:val="00C67CFF"/>
    <w:rsid w:val="00C70609"/>
    <w:rsid w:val="00C707B8"/>
    <w:rsid w:val="00C7084B"/>
    <w:rsid w:val="00C71C15"/>
    <w:rsid w:val="00C71F3D"/>
    <w:rsid w:val="00C72750"/>
    <w:rsid w:val="00C72F53"/>
    <w:rsid w:val="00C74035"/>
    <w:rsid w:val="00C746B3"/>
    <w:rsid w:val="00C76FF4"/>
    <w:rsid w:val="00C77818"/>
    <w:rsid w:val="00C77AE3"/>
    <w:rsid w:val="00C80298"/>
    <w:rsid w:val="00C8063F"/>
    <w:rsid w:val="00C81549"/>
    <w:rsid w:val="00C829A1"/>
    <w:rsid w:val="00C83B36"/>
    <w:rsid w:val="00C83F04"/>
    <w:rsid w:val="00C84952"/>
    <w:rsid w:val="00C84F8A"/>
    <w:rsid w:val="00C85209"/>
    <w:rsid w:val="00C8618F"/>
    <w:rsid w:val="00C90372"/>
    <w:rsid w:val="00C9041F"/>
    <w:rsid w:val="00C90594"/>
    <w:rsid w:val="00C90DE3"/>
    <w:rsid w:val="00C91A45"/>
    <w:rsid w:val="00C91ED2"/>
    <w:rsid w:val="00C91FB4"/>
    <w:rsid w:val="00C94127"/>
    <w:rsid w:val="00C94D41"/>
    <w:rsid w:val="00C94F00"/>
    <w:rsid w:val="00C9534E"/>
    <w:rsid w:val="00C95745"/>
    <w:rsid w:val="00C962E3"/>
    <w:rsid w:val="00C965BD"/>
    <w:rsid w:val="00C96717"/>
    <w:rsid w:val="00C978F0"/>
    <w:rsid w:val="00C97997"/>
    <w:rsid w:val="00CA08FE"/>
    <w:rsid w:val="00CA0FAC"/>
    <w:rsid w:val="00CA2513"/>
    <w:rsid w:val="00CA25C0"/>
    <w:rsid w:val="00CA3451"/>
    <w:rsid w:val="00CA37A3"/>
    <w:rsid w:val="00CA40AA"/>
    <w:rsid w:val="00CA4948"/>
    <w:rsid w:val="00CA52F9"/>
    <w:rsid w:val="00CA568B"/>
    <w:rsid w:val="00CA5F86"/>
    <w:rsid w:val="00CA7500"/>
    <w:rsid w:val="00CB0111"/>
    <w:rsid w:val="00CB0696"/>
    <w:rsid w:val="00CB1239"/>
    <w:rsid w:val="00CB144C"/>
    <w:rsid w:val="00CB19FE"/>
    <w:rsid w:val="00CB21C6"/>
    <w:rsid w:val="00CB2A78"/>
    <w:rsid w:val="00CB304C"/>
    <w:rsid w:val="00CB494C"/>
    <w:rsid w:val="00CB4B1D"/>
    <w:rsid w:val="00CB5218"/>
    <w:rsid w:val="00CB53E8"/>
    <w:rsid w:val="00CB594A"/>
    <w:rsid w:val="00CB5CB2"/>
    <w:rsid w:val="00CB66FA"/>
    <w:rsid w:val="00CB6979"/>
    <w:rsid w:val="00CC0A3D"/>
    <w:rsid w:val="00CC2373"/>
    <w:rsid w:val="00CC3D24"/>
    <w:rsid w:val="00CC3F91"/>
    <w:rsid w:val="00CC40B6"/>
    <w:rsid w:val="00CC4B0A"/>
    <w:rsid w:val="00CC544A"/>
    <w:rsid w:val="00CC55D7"/>
    <w:rsid w:val="00CC57EA"/>
    <w:rsid w:val="00CC5954"/>
    <w:rsid w:val="00CC6291"/>
    <w:rsid w:val="00CC6C4E"/>
    <w:rsid w:val="00CC6DD8"/>
    <w:rsid w:val="00CC725C"/>
    <w:rsid w:val="00CC7962"/>
    <w:rsid w:val="00CD05A2"/>
    <w:rsid w:val="00CD19DA"/>
    <w:rsid w:val="00CD29D4"/>
    <w:rsid w:val="00CD38F5"/>
    <w:rsid w:val="00CD437E"/>
    <w:rsid w:val="00CD4AE5"/>
    <w:rsid w:val="00CD5833"/>
    <w:rsid w:val="00CD5A89"/>
    <w:rsid w:val="00CD5C50"/>
    <w:rsid w:val="00CD5DAD"/>
    <w:rsid w:val="00CD6D4B"/>
    <w:rsid w:val="00CD72C5"/>
    <w:rsid w:val="00CD79A7"/>
    <w:rsid w:val="00CE0789"/>
    <w:rsid w:val="00CE1A03"/>
    <w:rsid w:val="00CE2346"/>
    <w:rsid w:val="00CE3529"/>
    <w:rsid w:val="00CE35C8"/>
    <w:rsid w:val="00CE37F6"/>
    <w:rsid w:val="00CE3962"/>
    <w:rsid w:val="00CE5105"/>
    <w:rsid w:val="00CE56BD"/>
    <w:rsid w:val="00CE5EC0"/>
    <w:rsid w:val="00CE6F9F"/>
    <w:rsid w:val="00CE773B"/>
    <w:rsid w:val="00CE781A"/>
    <w:rsid w:val="00CE797F"/>
    <w:rsid w:val="00CE7FEF"/>
    <w:rsid w:val="00CF0815"/>
    <w:rsid w:val="00CF10FC"/>
    <w:rsid w:val="00CF1D74"/>
    <w:rsid w:val="00CF1DEE"/>
    <w:rsid w:val="00CF2BE2"/>
    <w:rsid w:val="00CF3072"/>
    <w:rsid w:val="00CF55F9"/>
    <w:rsid w:val="00CF71A6"/>
    <w:rsid w:val="00CF7495"/>
    <w:rsid w:val="00CF7671"/>
    <w:rsid w:val="00CF7C5B"/>
    <w:rsid w:val="00D01CF9"/>
    <w:rsid w:val="00D02246"/>
    <w:rsid w:val="00D0334D"/>
    <w:rsid w:val="00D0374D"/>
    <w:rsid w:val="00D0382C"/>
    <w:rsid w:val="00D04976"/>
    <w:rsid w:val="00D05A76"/>
    <w:rsid w:val="00D070AA"/>
    <w:rsid w:val="00D07BEF"/>
    <w:rsid w:val="00D07F1D"/>
    <w:rsid w:val="00D10558"/>
    <w:rsid w:val="00D1101D"/>
    <w:rsid w:val="00D1203E"/>
    <w:rsid w:val="00D13E70"/>
    <w:rsid w:val="00D16C58"/>
    <w:rsid w:val="00D17019"/>
    <w:rsid w:val="00D170C1"/>
    <w:rsid w:val="00D178DE"/>
    <w:rsid w:val="00D17C6E"/>
    <w:rsid w:val="00D21168"/>
    <w:rsid w:val="00D22384"/>
    <w:rsid w:val="00D235C8"/>
    <w:rsid w:val="00D23740"/>
    <w:rsid w:val="00D2384A"/>
    <w:rsid w:val="00D23D4B"/>
    <w:rsid w:val="00D2438C"/>
    <w:rsid w:val="00D24B1D"/>
    <w:rsid w:val="00D25973"/>
    <w:rsid w:val="00D25E9E"/>
    <w:rsid w:val="00D26C3F"/>
    <w:rsid w:val="00D27185"/>
    <w:rsid w:val="00D273EF"/>
    <w:rsid w:val="00D31CA2"/>
    <w:rsid w:val="00D32773"/>
    <w:rsid w:val="00D32B84"/>
    <w:rsid w:val="00D337AE"/>
    <w:rsid w:val="00D33AB3"/>
    <w:rsid w:val="00D33F24"/>
    <w:rsid w:val="00D346B7"/>
    <w:rsid w:val="00D346B8"/>
    <w:rsid w:val="00D35AC8"/>
    <w:rsid w:val="00D35D34"/>
    <w:rsid w:val="00D36F87"/>
    <w:rsid w:val="00D37C00"/>
    <w:rsid w:val="00D37E4E"/>
    <w:rsid w:val="00D4226A"/>
    <w:rsid w:val="00D42D5A"/>
    <w:rsid w:val="00D42E6C"/>
    <w:rsid w:val="00D43218"/>
    <w:rsid w:val="00D43B80"/>
    <w:rsid w:val="00D44236"/>
    <w:rsid w:val="00D44AE2"/>
    <w:rsid w:val="00D45B1E"/>
    <w:rsid w:val="00D45BA4"/>
    <w:rsid w:val="00D471AF"/>
    <w:rsid w:val="00D4724F"/>
    <w:rsid w:val="00D4741A"/>
    <w:rsid w:val="00D47BFB"/>
    <w:rsid w:val="00D50519"/>
    <w:rsid w:val="00D516A5"/>
    <w:rsid w:val="00D5264C"/>
    <w:rsid w:val="00D5289A"/>
    <w:rsid w:val="00D537FE"/>
    <w:rsid w:val="00D538F0"/>
    <w:rsid w:val="00D53AE6"/>
    <w:rsid w:val="00D54A6A"/>
    <w:rsid w:val="00D54BF8"/>
    <w:rsid w:val="00D54D7C"/>
    <w:rsid w:val="00D553AA"/>
    <w:rsid w:val="00D55951"/>
    <w:rsid w:val="00D572BE"/>
    <w:rsid w:val="00D57EB6"/>
    <w:rsid w:val="00D60ED7"/>
    <w:rsid w:val="00D61C5E"/>
    <w:rsid w:val="00D63586"/>
    <w:rsid w:val="00D646CB"/>
    <w:rsid w:val="00D64DD6"/>
    <w:rsid w:val="00D65538"/>
    <w:rsid w:val="00D664BF"/>
    <w:rsid w:val="00D66514"/>
    <w:rsid w:val="00D66CE3"/>
    <w:rsid w:val="00D66D8B"/>
    <w:rsid w:val="00D66DBC"/>
    <w:rsid w:val="00D67954"/>
    <w:rsid w:val="00D71B1A"/>
    <w:rsid w:val="00D72A1C"/>
    <w:rsid w:val="00D73580"/>
    <w:rsid w:val="00D73802"/>
    <w:rsid w:val="00D73868"/>
    <w:rsid w:val="00D73C2C"/>
    <w:rsid w:val="00D73D52"/>
    <w:rsid w:val="00D74042"/>
    <w:rsid w:val="00D7453F"/>
    <w:rsid w:val="00D745E7"/>
    <w:rsid w:val="00D7526D"/>
    <w:rsid w:val="00D753E2"/>
    <w:rsid w:val="00D75530"/>
    <w:rsid w:val="00D76A70"/>
    <w:rsid w:val="00D77495"/>
    <w:rsid w:val="00D774ED"/>
    <w:rsid w:val="00D777F6"/>
    <w:rsid w:val="00D77F88"/>
    <w:rsid w:val="00D8002D"/>
    <w:rsid w:val="00D8016E"/>
    <w:rsid w:val="00D8047C"/>
    <w:rsid w:val="00D81052"/>
    <w:rsid w:val="00D81EAA"/>
    <w:rsid w:val="00D8259F"/>
    <w:rsid w:val="00D825F2"/>
    <w:rsid w:val="00D828B1"/>
    <w:rsid w:val="00D83E9B"/>
    <w:rsid w:val="00D83F68"/>
    <w:rsid w:val="00D84803"/>
    <w:rsid w:val="00D84F27"/>
    <w:rsid w:val="00D850D4"/>
    <w:rsid w:val="00D862D1"/>
    <w:rsid w:val="00D873C6"/>
    <w:rsid w:val="00D90594"/>
    <w:rsid w:val="00D90906"/>
    <w:rsid w:val="00D91027"/>
    <w:rsid w:val="00D93789"/>
    <w:rsid w:val="00D947E1"/>
    <w:rsid w:val="00D94C7D"/>
    <w:rsid w:val="00D94CA4"/>
    <w:rsid w:val="00D94FB4"/>
    <w:rsid w:val="00D95931"/>
    <w:rsid w:val="00D95E99"/>
    <w:rsid w:val="00D96F80"/>
    <w:rsid w:val="00DA098C"/>
    <w:rsid w:val="00DA10BF"/>
    <w:rsid w:val="00DA1A3A"/>
    <w:rsid w:val="00DA2712"/>
    <w:rsid w:val="00DA2718"/>
    <w:rsid w:val="00DA2826"/>
    <w:rsid w:val="00DA2C65"/>
    <w:rsid w:val="00DA2C8C"/>
    <w:rsid w:val="00DA3511"/>
    <w:rsid w:val="00DA360D"/>
    <w:rsid w:val="00DA395D"/>
    <w:rsid w:val="00DA550A"/>
    <w:rsid w:val="00DA6D33"/>
    <w:rsid w:val="00DB0E02"/>
    <w:rsid w:val="00DB151B"/>
    <w:rsid w:val="00DB16B8"/>
    <w:rsid w:val="00DB1869"/>
    <w:rsid w:val="00DB1D52"/>
    <w:rsid w:val="00DB1F62"/>
    <w:rsid w:val="00DB2E03"/>
    <w:rsid w:val="00DB3369"/>
    <w:rsid w:val="00DB36D9"/>
    <w:rsid w:val="00DB3742"/>
    <w:rsid w:val="00DB3F4B"/>
    <w:rsid w:val="00DB4750"/>
    <w:rsid w:val="00DB61A4"/>
    <w:rsid w:val="00DB6692"/>
    <w:rsid w:val="00DB67C1"/>
    <w:rsid w:val="00DB70CD"/>
    <w:rsid w:val="00DB70F4"/>
    <w:rsid w:val="00DB7343"/>
    <w:rsid w:val="00DC1056"/>
    <w:rsid w:val="00DC211E"/>
    <w:rsid w:val="00DC21D8"/>
    <w:rsid w:val="00DC282A"/>
    <w:rsid w:val="00DC2CEE"/>
    <w:rsid w:val="00DC34DC"/>
    <w:rsid w:val="00DC3CC6"/>
    <w:rsid w:val="00DC495A"/>
    <w:rsid w:val="00DC514A"/>
    <w:rsid w:val="00DC64EC"/>
    <w:rsid w:val="00DC67B1"/>
    <w:rsid w:val="00DC7833"/>
    <w:rsid w:val="00DC7CE9"/>
    <w:rsid w:val="00DD132B"/>
    <w:rsid w:val="00DD1725"/>
    <w:rsid w:val="00DD1A7E"/>
    <w:rsid w:val="00DD2427"/>
    <w:rsid w:val="00DD27A4"/>
    <w:rsid w:val="00DD2A18"/>
    <w:rsid w:val="00DD32DB"/>
    <w:rsid w:val="00DD36DA"/>
    <w:rsid w:val="00DD474D"/>
    <w:rsid w:val="00DD489E"/>
    <w:rsid w:val="00DD5B1A"/>
    <w:rsid w:val="00DD61E8"/>
    <w:rsid w:val="00DD62C0"/>
    <w:rsid w:val="00DD6BFA"/>
    <w:rsid w:val="00DD7859"/>
    <w:rsid w:val="00DE03AC"/>
    <w:rsid w:val="00DE0A1D"/>
    <w:rsid w:val="00DE15B2"/>
    <w:rsid w:val="00DE1A9A"/>
    <w:rsid w:val="00DE3D2C"/>
    <w:rsid w:val="00DE439F"/>
    <w:rsid w:val="00DE52D6"/>
    <w:rsid w:val="00DE59F8"/>
    <w:rsid w:val="00DE5C7F"/>
    <w:rsid w:val="00DE5E82"/>
    <w:rsid w:val="00DE5FA6"/>
    <w:rsid w:val="00DE6494"/>
    <w:rsid w:val="00DE65DC"/>
    <w:rsid w:val="00DE6AA1"/>
    <w:rsid w:val="00DE74D7"/>
    <w:rsid w:val="00DE7EF7"/>
    <w:rsid w:val="00DF0621"/>
    <w:rsid w:val="00DF106A"/>
    <w:rsid w:val="00DF1185"/>
    <w:rsid w:val="00DF1299"/>
    <w:rsid w:val="00DF133B"/>
    <w:rsid w:val="00DF1A70"/>
    <w:rsid w:val="00DF23A8"/>
    <w:rsid w:val="00DF2F27"/>
    <w:rsid w:val="00DF66E5"/>
    <w:rsid w:val="00DF6CCC"/>
    <w:rsid w:val="00DF6D0C"/>
    <w:rsid w:val="00DF6DC2"/>
    <w:rsid w:val="00DF6F64"/>
    <w:rsid w:val="00DF721E"/>
    <w:rsid w:val="00DF7AD5"/>
    <w:rsid w:val="00DF7C87"/>
    <w:rsid w:val="00E009B0"/>
    <w:rsid w:val="00E031C0"/>
    <w:rsid w:val="00E03AFE"/>
    <w:rsid w:val="00E03D5C"/>
    <w:rsid w:val="00E0406E"/>
    <w:rsid w:val="00E0454E"/>
    <w:rsid w:val="00E046A9"/>
    <w:rsid w:val="00E04C0F"/>
    <w:rsid w:val="00E053C3"/>
    <w:rsid w:val="00E0570B"/>
    <w:rsid w:val="00E057B2"/>
    <w:rsid w:val="00E05996"/>
    <w:rsid w:val="00E068D9"/>
    <w:rsid w:val="00E10035"/>
    <w:rsid w:val="00E10A2C"/>
    <w:rsid w:val="00E10B87"/>
    <w:rsid w:val="00E135A5"/>
    <w:rsid w:val="00E1478B"/>
    <w:rsid w:val="00E14FAC"/>
    <w:rsid w:val="00E15007"/>
    <w:rsid w:val="00E16EC7"/>
    <w:rsid w:val="00E1714F"/>
    <w:rsid w:val="00E17995"/>
    <w:rsid w:val="00E21078"/>
    <w:rsid w:val="00E211FF"/>
    <w:rsid w:val="00E21576"/>
    <w:rsid w:val="00E21801"/>
    <w:rsid w:val="00E219CE"/>
    <w:rsid w:val="00E21C47"/>
    <w:rsid w:val="00E22E04"/>
    <w:rsid w:val="00E22F89"/>
    <w:rsid w:val="00E23101"/>
    <w:rsid w:val="00E23961"/>
    <w:rsid w:val="00E23ACD"/>
    <w:rsid w:val="00E24071"/>
    <w:rsid w:val="00E24C4C"/>
    <w:rsid w:val="00E24EBC"/>
    <w:rsid w:val="00E2522C"/>
    <w:rsid w:val="00E2587A"/>
    <w:rsid w:val="00E2599B"/>
    <w:rsid w:val="00E27383"/>
    <w:rsid w:val="00E2793D"/>
    <w:rsid w:val="00E307DD"/>
    <w:rsid w:val="00E31AFA"/>
    <w:rsid w:val="00E31F84"/>
    <w:rsid w:val="00E324EE"/>
    <w:rsid w:val="00E34462"/>
    <w:rsid w:val="00E359FF"/>
    <w:rsid w:val="00E36083"/>
    <w:rsid w:val="00E36AA7"/>
    <w:rsid w:val="00E36E39"/>
    <w:rsid w:val="00E405F1"/>
    <w:rsid w:val="00E42F2B"/>
    <w:rsid w:val="00E43054"/>
    <w:rsid w:val="00E434C4"/>
    <w:rsid w:val="00E44DDE"/>
    <w:rsid w:val="00E44FE4"/>
    <w:rsid w:val="00E45EB8"/>
    <w:rsid w:val="00E46013"/>
    <w:rsid w:val="00E477C3"/>
    <w:rsid w:val="00E5048D"/>
    <w:rsid w:val="00E50AC4"/>
    <w:rsid w:val="00E50C05"/>
    <w:rsid w:val="00E51077"/>
    <w:rsid w:val="00E5132D"/>
    <w:rsid w:val="00E51420"/>
    <w:rsid w:val="00E51741"/>
    <w:rsid w:val="00E51E16"/>
    <w:rsid w:val="00E52151"/>
    <w:rsid w:val="00E53730"/>
    <w:rsid w:val="00E53C46"/>
    <w:rsid w:val="00E54010"/>
    <w:rsid w:val="00E54177"/>
    <w:rsid w:val="00E54511"/>
    <w:rsid w:val="00E548BE"/>
    <w:rsid w:val="00E54978"/>
    <w:rsid w:val="00E5568E"/>
    <w:rsid w:val="00E55DC3"/>
    <w:rsid w:val="00E561E3"/>
    <w:rsid w:val="00E57577"/>
    <w:rsid w:val="00E6035D"/>
    <w:rsid w:val="00E6165A"/>
    <w:rsid w:val="00E618B3"/>
    <w:rsid w:val="00E62043"/>
    <w:rsid w:val="00E626B9"/>
    <w:rsid w:val="00E627C9"/>
    <w:rsid w:val="00E629D8"/>
    <w:rsid w:val="00E630F3"/>
    <w:rsid w:val="00E63657"/>
    <w:rsid w:val="00E65198"/>
    <w:rsid w:val="00E664FB"/>
    <w:rsid w:val="00E66F0D"/>
    <w:rsid w:val="00E70615"/>
    <w:rsid w:val="00E71A5E"/>
    <w:rsid w:val="00E7207B"/>
    <w:rsid w:val="00E7347A"/>
    <w:rsid w:val="00E746F4"/>
    <w:rsid w:val="00E75325"/>
    <w:rsid w:val="00E75A47"/>
    <w:rsid w:val="00E75D8C"/>
    <w:rsid w:val="00E76DD7"/>
    <w:rsid w:val="00E77771"/>
    <w:rsid w:val="00E777F2"/>
    <w:rsid w:val="00E779ED"/>
    <w:rsid w:val="00E802C9"/>
    <w:rsid w:val="00E80EDD"/>
    <w:rsid w:val="00E80F0A"/>
    <w:rsid w:val="00E81A6A"/>
    <w:rsid w:val="00E8291B"/>
    <w:rsid w:val="00E82C22"/>
    <w:rsid w:val="00E8395F"/>
    <w:rsid w:val="00E83BAE"/>
    <w:rsid w:val="00E8473F"/>
    <w:rsid w:val="00E857EB"/>
    <w:rsid w:val="00E85E41"/>
    <w:rsid w:val="00E85EA1"/>
    <w:rsid w:val="00E8610B"/>
    <w:rsid w:val="00E8676B"/>
    <w:rsid w:val="00E86C86"/>
    <w:rsid w:val="00E87C76"/>
    <w:rsid w:val="00E87D0B"/>
    <w:rsid w:val="00E91044"/>
    <w:rsid w:val="00E910D3"/>
    <w:rsid w:val="00E9214B"/>
    <w:rsid w:val="00E923CF"/>
    <w:rsid w:val="00E9335F"/>
    <w:rsid w:val="00E95111"/>
    <w:rsid w:val="00E9743F"/>
    <w:rsid w:val="00EA004F"/>
    <w:rsid w:val="00EA061E"/>
    <w:rsid w:val="00EA14C8"/>
    <w:rsid w:val="00EA19D3"/>
    <w:rsid w:val="00EA2358"/>
    <w:rsid w:val="00EA2C8B"/>
    <w:rsid w:val="00EA3582"/>
    <w:rsid w:val="00EA614C"/>
    <w:rsid w:val="00EA6649"/>
    <w:rsid w:val="00EA7ADE"/>
    <w:rsid w:val="00EA7D78"/>
    <w:rsid w:val="00EB05D0"/>
    <w:rsid w:val="00EB07C5"/>
    <w:rsid w:val="00EB107E"/>
    <w:rsid w:val="00EB163F"/>
    <w:rsid w:val="00EB1D49"/>
    <w:rsid w:val="00EB42DD"/>
    <w:rsid w:val="00EB45D0"/>
    <w:rsid w:val="00EB559F"/>
    <w:rsid w:val="00EB5F3D"/>
    <w:rsid w:val="00EB60D9"/>
    <w:rsid w:val="00EB6EC2"/>
    <w:rsid w:val="00EC1CEB"/>
    <w:rsid w:val="00EC2036"/>
    <w:rsid w:val="00EC240F"/>
    <w:rsid w:val="00EC268C"/>
    <w:rsid w:val="00EC342B"/>
    <w:rsid w:val="00EC3602"/>
    <w:rsid w:val="00EC3753"/>
    <w:rsid w:val="00EC3CB8"/>
    <w:rsid w:val="00EC3D46"/>
    <w:rsid w:val="00EC4A6A"/>
    <w:rsid w:val="00EC4E71"/>
    <w:rsid w:val="00EC546C"/>
    <w:rsid w:val="00EC569A"/>
    <w:rsid w:val="00EC6667"/>
    <w:rsid w:val="00ED0365"/>
    <w:rsid w:val="00ED0865"/>
    <w:rsid w:val="00ED094F"/>
    <w:rsid w:val="00ED16B6"/>
    <w:rsid w:val="00ED1A2B"/>
    <w:rsid w:val="00ED1C60"/>
    <w:rsid w:val="00ED2EB9"/>
    <w:rsid w:val="00ED366D"/>
    <w:rsid w:val="00ED4469"/>
    <w:rsid w:val="00ED5F23"/>
    <w:rsid w:val="00ED6DC0"/>
    <w:rsid w:val="00ED79CE"/>
    <w:rsid w:val="00ED7A7A"/>
    <w:rsid w:val="00EE038C"/>
    <w:rsid w:val="00EE040B"/>
    <w:rsid w:val="00EE390B"/>
    <w:rsid w:val="00EE47C5"/>
    <w:rsid w:val="00EE490C"/>
    <w:rsid w:val="00EE4E02"/>
    <w:rsid w:val="00EE5156"/>
    <w:rsid w:val="00EE613B"/>
    <w:rsid w:val="00EE732E"/>
    <w:rsid w:val="00EE7E17"/>
    <w:rsid w:val="00EF2C8E"/>
    <w:rsid w:val="00EF3A0D"/>
    <w:rsid w:val="00EF3CEB"/>
    <w:rsid w:val="00EF3E8A"/>
    <w:rsid w:val="00EF41A8"/>
    <w:rsid w:val="00EF44FB"/>
    <w:rsid w:val="00EF4D3C"/>
    <w:rsid w:val="00EF5554"/>
    <w:rsid w:val="00EF5AD8"/>
    <w:rsid w:val="00EF5D2F"/>
    <w:rsid w:val="00EF63F5"/>
    <w:rsid w:val="00EF6758"/>
    <w:rsid w:val="00EF6B90"/>
    <w:rsid w:val="00EF70AE"/>
    <w:rsid w:val="00EF79F7"/>
    <w:rsid w:val="00EF7AAE"/>
    <w:rsid w:val="00F00418"/>
    <w:rsid w:val="00F006C0"/>
    <w:rsid w:val="00F011A7"/>
    <w:rsid w:val="00F019AA"/>
    <w:rsid w:val="00F0267E"/>
    <w:rsid w:val="00F02686"/>
    <w:rsid w:val="00F0459B"/>
    <w:rsid w:val="00F04E15"/>
    <w:rsid w:val="00F05ACB"/>
    <w:rsid w:val="00F05DF3"/>
    <w:rsid w:val="00F05F56"/>
    <w:rsid w:val="00F0641B"/>
    <w:rsid w:val="00F069EA"/>
    <w:rsid w:val="00F076DD"/>
    <w:rsid w:val="00F07B6E"/>
    <w:rsid w:val="00F07DF8"/>
    <w:rsid w:val="00F11461"/>
    <w:rsid w:val="00F11675"/>
    <w:rsid w:val="00F1182D"/>
    <w:rsid w:val="00F12557"/>
    <w:rsid w:val="00F13A8F"/>
    <w:rsid w:val="00F1448E"/>
    <w:rsid w:val="00F144F8"/>
    <w:rsid w:val="00F14CCE"/>
    <w:rsid w:val="00F14DF8"/>
    <w:rsid w:val="00F154E4"/>
    <w:rsid w:val="00F16496"/>
    <w:rsid w:val="00F164A3"/>
    <w:rsid w:val="00F17281"/>
    <w:rsid w:val="00F17AD9"/>
    <w:rsid w:val="00F17CF9"/>
    <w:rsid w:val="00F17F74"/>
    <w:rsid w:val="00F202C2"/>
    <w:rsid w:val="00F21AB2"/>
    <w:rsid w:val="00F22756"/>
    <w:rsid w:val="00F22E9F"/>
    <w:rsid w:val="00F23890"/>
    <w:rsid w:val="00F2447A"/>
    <w:rsid w:val="00F24638"/>
    <w:rsid w:val="00F24808"/>
    <w:rsid w:val="00F2504D"/>
    <w:rsid w:val="00F25F4E"/>
    <w:rsid w:val="00F2637F"/>
    <w:rsid w:val="00F263A8"/>
    <w:rsid w:val="00F26569"/>
    <w:rsid w:val="00F268F7"/>
    <w:rsid w:val="00F27280"/>
    <w:rsid w:val="00F3053D"/>
    <w:rsid w:val="00F30BDB"/>
    <w:rsid w:val="00F30CF8"/>
    <w:rsid w:val="00F317E3"/>
    <w:rsid w:val="00F31EDF"/>
    <w:rsid w:val="00F32CDE"/>
    <w:rsid w:val="00F32D4C"/>
    <w:rsid w:val="00F32FF4"/>
    <w:rsid w:val="00F33BE7"/>
    <w:rsid w:val="00F33FEE"/>
    <w:rsid w:val="00F34811"/>
    <w:rsid w:val="00F34B14"/>
    <w:rsid w:val="00F36846"/>
    <w:rsid w:val="00F36A2A"/>
    <w:rsid w:val="00F36A6A"/>
    <w:rsid w:val="00F40101"/>
    <w:rsid w:val="00F404F7"/>
    <w:rsid w:val="00F40CCA"/>
    <w:rsid w:val="00F41521"/>
    <w:rsid w:val="00F41975"/>
    <w:rsid w:val="00F41C0E"/>
    <w:rsid w:val="00F42D97"/>
    <w:rsid w:val="00F43F09"/>
    <w:rsid w:val="00F44021"/>
    <w:rsid w:val="00F44555"/>
    <w:rsid w:val="00F45A72"/>
    <w:rsid w:val="00F46345"/>
    <w:rsid w:val="00F46723"/>
    <w:rsid w:val="00F468F0"/>
    <w:rsid w:val="00F50016"/>
    <w:rsid w:val="00F50647"/>
    <w:rsid w:val="00F5118A"/>
    <w:rsid w:val="00F51A21"/>
    <w:rsid w:val="00F5276E"/>
    <w:rsid w:val="00F529F9"/>
    <w:rsid w:val="00F52E9F"/>
    <w:rsid w:val="00F53304"/>
    <w:rsid w:val="00F537B6"/>
    <w:rsid w:val="00F53D40"/>
    <w:rsid w:val="00F545ED"/>
    <w:rsid w:val="00F5687F"/>
    <w:rsid w:val="00F575C7"/>
    <w:rsid w:val="00F60305"/>
    <w:rsid w:val="00F61B12"/>
    <w:rsid w:val="00F61CC5"/>
    <w:rsid w:val="00F62398"/>
    <w:rsid w:val="00F631E8"/>
    <w:rsid w:val="00F63223"/>
    <w:rsid w:val="00F63264"/>
    <w:rsid w:val="00F6379E"/>
    <w:rsid w:val="00F63F02"/>
    <w:rsid w:val="00F64142"/>
    <w:rsid w:val="00F657E9"/>
    <w:rsid w:val="00F663EC"/>
    <w:rsid w:val="00F67F9A"/>
    <w:rsid w:val="00F70799"/>
    <w:rsid w:val="00F70906"/>
    <w:rsid w:val="00F70A8B"/>
    <w:rsid w:val="00F724FB"/>
    <w:rsid w:val="00F72578"/>
    <w:rsid w:val="00F72A26"/>
    <w:rsid w:val="00F72BA3"/>
    <w:rsid w:val="00F72CB9"/>
    <w:rsid w:val="00F72F3F"/>
    <w:rsid w:val="00F733C3"/>
    <w:rsid w:val="00F756DD"/>
    <w:rsid w:val="00F75DB3"/>
    <w:rsid w:val="00F762B4"/>
    <w:rsid w:val="00F762FD"/>
    <w:rsid w:val="00F7763A"/>
    <w:rsid w:val="00F80047"/>
    <w:rsid w:val="00F8104D"/>
    <w:rsid w:val="00F81587"/>
    <w:rsid w:val="00F81B59"/>
    <w:rsid w:val="00F82070"/>
    <w:rsid w:val="00F82571"/>
    <w:rsid w:val="00F83694"/>
    <w:rsid w:val="00F852A0"/>
    <w:rsid w:val="00F85B72"/>
    <w:rsid w:val="00F865C8"/>
    <w:rsid w:val="00F86B6D"/>
    <w:rsid w:val="00F8766F"/>
    <w:rsid w:val="00F877D7"/>
    <w:rsid w:val="00F90A76"/>
    <w:rsid w:val="00F9104C"/>
    <w:rsid w:val="00F91082"/>
    <w:rsid w:val="00F91A9A"/>
    <w:rsid w:val="00F91C9F"/>
    <w:rsid w:val="00F93ABB"/>
    <w:rsid w:val="00F94D79"/>
    <w:rsid w:val="00F97E7E"/>
    <w:rsid w:val="00F97FED"/>
    <w:rsid w:val="00FA118A"/>
    <w:rsid w:val="00FA31C7"/>
    <w:rsid w:val="00FA4455"/>
    <w:rsid w:val="00FA472D"/>
    <w:rsid w:val="00FA47FB"/>
    <w:rsid w:val="00FA7254"/>
    <w:rsid w:val="00FA731E"/>
    <w:rsid w:val="00FB0214"/>
    <w:rsid w:val="00FB0503"/>
    <w:rsid w:val="00FB080C"/>
    <w:rsid w:val="00FB0BCC"/>
    <w:rsid w:val="00FB12BC"/>
    <w:rsid w:val="00FB18F6"/>
    <w:rsid w:val="00FB1C69"/>
    <w:rsid w:val="00FB1FD4"/>
    <w:rsid w:val="00FB2A52"/>
    <w:rsid w:val="00FB2F13"/>
    <w:rsid w:val="00FB344C"/>
    <w:rsid w:val="00FB5A71"/>
    <w:rsid w:val="00FB5E51"/>
    <w:rsid w:val="00FB6E19"/>
    <w:rsid w:val="00FB6FB3"/>
    <w:rsid w:val="00FB71F6"/>
    <w:rsid w:val="00FC0C25"/>
    <w:rsid w:val="00FC10A0"/>
    <w:rsid w:val="00FC1483"/>
    <w:rsid w:val="00FC1C47"/>
    <w:rsid w:val="00FC284C"/>
    <w:rsid w:val="00FC3408"/>
    <w:rsid w:val="00FC39ED"/>
    <w:rsid w:val="00FC4419"/>
    <w:rsid w:val="00FC47E2"/>
    <w:rsid w:val="00FC4AA5"/>
    <w:rsid w:val="00FC4D15"/>
    <w:rsid w:val="00FC5148"/>
    <w:rsid w:val="00FC5528"/>
    <w:rsid w:val="00FC75AC"/>
    <w:rsid w:val="00FD01BF"/>
    <w:rsid w:val="00FD0442"/>
    <w:rsid w:val="00FD0525"/>
    <w:rsid w:val="00FD15BF"/>
    <w:rsid w:val="00FD171D"/>
    <w:rsid w:val="00FD297D"/>
    <w:rsid w:val="00FD298C"/>
    <w:rsid w:val="00FD2D13"/>
    <w:rsid w:val="00FD3D26"/>
    <w:rsid w:val="00FD3D33"/>
    <w:rsid w:val="00FD4789"/>
    <w:rsid w:val="00FD523F"/>
    <w:rsid w:val="00FD59FE"/>
    <w:rsid w:val="00FD6071"/>
    <w:rsid w:val="00FD71B4"/>
    <w:rsid w:val="00FD729B"/>
    <w:rsid w:val="00FE0794"/>
    <w:rsid w:val="00FE0CEC"/>
    <w:rsid w:val="00FE1041"/>
    <w:rsid w:val="00FE1912"/>
    <w:rsid w:val="00FE2483"/>
    <w:rsid w:val="00FE24CB"/>
    <w:rsid w:val="00FE2754"/>
    <w:rsid w:val="00FE3166"/>
    <w:rsid w:val="00FE3320"/>
    <w:rsid w:val="00FE3473"/>
    <w:rsid w:val="00FE353B"/>
    <w:rsid w:val="00FE3E81"/>
    <w:rsid w:val="00FE4049"/>
    <w:rsid w:val="00FE4794"/>
    <w:rsid w:val="00FE51FF"/>
    <w:rsid w:val="00FE5975"/>
    <w:rsid w:val="00FE5CDC"/>
    <w:rsid w:val="00FE5DF7"/>
    <w:rsid w:val="00FE5F72"/>
    <w:rsid w:val="00FF0231"/>
    <w:rsid w:val="00FF1C9B"/>
    <w:rsid w:val="00FF1D49"/>
    <w:rsid w:val="00FF2111"/>
    <w:rsid w:val="00FF2562"/>
    <w:rsid w:val="00FF2CE1"/>
    <w:rsid w:val="00FF3A41"/>
    <w:rsid w:val="00FF3E5B"/>
    <w:rsid w:val="00FF544F"/>
    <w:rsid w:val="00FF57E4"/>
    <w:rsid w:val="00FF75D9"/>
    <w:rsid w:val="00FF78E5"/>
    <w:rsid w:val="01147F82"/>
    <w:rsid w:val="012F3F7C"/>
    <w:rsid w:val="01663C43"/>
    <w:rsid w:val="024153C0"/>
    <w:rsid w:val="024C44DD"/>
    <w:rsid w:val="02511F9D"/>
    <w:rsid w:val="028716FF"/>
    <w:rsid w:val="02905213"/>
    <w:rsid w:val="02A8425B"/>
    <w:rsid w:val="03056ED3"/>
    <w:rsid w:val="03A314B8"/>
    <w:rsid w:val="03D44F38"/>
    <w:rsid w:val="03D82B98"/>
    <w:rsid w:val="03F83E8B"/>
    <w:rsid w:val="045F1F9A"/>
    <w:rsid w:val="04B96D4E"/>
    <w:rsid w:val="04FA2D68"/>
    <w:rsid w:val="0731197B"/>
    <w:rsid w:val="07B72767"/>
    <w:rsid w:val="07B94814"/>
    <w:rsid w:val="07EF0236"/>
    <w:rsid w:val="08077E72"/>
    <w:rsid w:val="083164A1"/>
    <w:rsid w:val="08332819"/>
    <w:rsid w:val="083E102C"/>
    <w:rsid w:val="08445D2D"/>
    <w:rsid w:val="085F5E09"/>
    <w:rsid w:val="08B20896"/>
    <w:rsid w:val="08C2549A"/>
    <w:rsid w:val="091A22A0"/>
    <w:rsid w:val="09270E73"/>
    <w:rsid w:val="093E76C7"/>
    <w:rsid w:val="09982F49"/>
    <w:rsid w:val="09CC2AAC"/>
    <w:rsid w:val="09D820EE"/>
    <w:rsid w:val="0A652D3E"/>
    <w:rsid w:val="0A695807"/>
    <w:rsid w:val="0A700171"/>
    <w:rsid w:val="0A881610"/>
    <w:rsid w:val="0ABC6864"/>
    <w:rsid w:val="0ACA2107"/>
    <w:rsid w:val="0B253A7F"/>
    <w:rsid w:val="0B27108D"/>
    <w:rsid w:val="0B332B30"/>
    <w:rsid w:val="0B3A48F0"/>
    <w:rsid w:val="0B9B3B25"/>
    <w:rsid w:val="0BC10907"/>
    <w:rsid w:val="0C081081"/>
    <w:rsid w:val="0C1110C3"/>
    <w:rsid w:val="0C607954"/>
    <w:rsid w:val="0C80510A"/>
    <w:rsid w:val="0C92213C"/>
    <w:rsid w:val="0D4F221D"/>
    <w:rsid w:val="0D6D3BB0"/>
    <w:rsid w:val="0D84032B"/>
    <w:rsid w:val="0D897EC9"/>
    <w:rsid w:val="0DAC6369"/>
    <w:rsid w:val="0DB056D2"/>
    <w:rsid w:val="0DDC300B"/>
    <w:rsid w:val="0DE87E75"/>
    <w:rsid w:val="0E946C2E"/>
    <w:rsid w:val="0ED317E0"/>
    <w:rsid w:val="0ED600BF"/>
    <w:rsid w:val="0EFF07A0"/>
    <w:rsid w:val="0F0A0484"/>
    <w:rsid w:val="0FBD0C1A"/>
    <w:rsid w:val="0FC908FB"/>
    <w:rsid w:val="10374E70"/>
    <w:rsid w:val="10A27F31"/>
    <w:rsid w:val="10C01415"/>
    <w:rsid w:val="10C428F5"/>
    <w:rsid w:val="10CA487C"/>
    <w:rsid w:val="110411F6"/>
    <w:rsid w:val="11294580"/>
    <w:rsid w:val="11927058"/>
    <w:rsid w:val="11B746D6"/>
    <w:rsid w:val="12534C63"/>
    <w:rsid w:val="126537F7"/>
    <w:rsid w:val="1294601D"/>
    <w:rsid w:val="13267322"/>
    <w:rsid w:val="13565CC4"/>
    <w:rsid w:val="135B507B"/>
    <w:rsid w:val="13AF4F03"/>
    <w:rsid w:val="143E63FC"/>
    <w:rsid w:val="14592458"/>
    <w:rsid w:val="14736E66"/>
    <w:rsid w:val="149B6AC2"/>
    <w:rsid w:val="14CB3DD9"/>
    <w:rsid w:val="14EB780B"/>
    <w:rsid w:val="1501011E"/>
    <w:rsid w:val="1527239D"/>
    <w:rsid w:val="15293653"/>
    <w:rsid w:val="15317FA1"/>
    <w:rsid w:val="1534169A"/>
    <w:rsid w:val="15C03E03"/>
    <w:rsid w:val="15F20C1E"/>
    <w:rsid w:val="16053838"/>
    <w:rsid w:val="162A25EB"/>
    <w:rsid w:val="1636448C"/>
    <w:rsid w:val="16C95806"/>
    <w:rsid w:val="16FD2A55"/>
    <w:rsid w:val="17366761"/>
    <w:rsid w:val="177C01F0"/>
    <w:rsid w:val="178057B9"/>
    <w:rsid w:val="17CE6630"/>
    <w:rsid w:val="188B3FAB"/>
    <w:rsid w:val="18A26634"/>
    <w:rsid w:val="18EB3B07"/>
    <w:rsid w:val="19071F47"/>
    <w:rsid w:val="191B532F"/>
    <w:rsid w:val="19820BA0"/>
    <w:rsid w:val="198B02A1"/>
    <w:rsid w:val="19CE7740"/>
    <w:rsid w:val="19D22FFA"/>
    <w:rsid w:val="1A2C3809"/>
    <w:rsid w:val="1A637614"/>
    <w:rsid w:val="1A6E23ED"/>
    <w:rsid w:val="1AF71484"/>
    <w:rsid w:val="1AFA16D5"/>
    <w:rsid w:val="1B4F19F8"/>
    <w:rsid w:val="1B5E15C2"/>
    <w:rsid w:val="1B5F1EAD"/>
    <w:rsid w:val="1B7E6377"/>
    <w:rsid w:val="1B8E65EB"/>
    <w:rsid w:val="1BD92184"/>
    <w:rsid w:val="1BEB7604"/>
    <w:rsid w:val="1BEF4851"/>
    <w:rsid w:val="1C1A538F"/>
    <w:rsid w:val="1C435B1C"/>
    <w:rsid w:val="1C5170A2"/>
    <w:rsid w:val="1C837981"/>
    <w:rsid w:val="1CF57074"/>
    <w:rsid w:val="1D4061A8"/>
    <w:rsid w:val="1D4C74F8"/>
    <w:rsid w:val="1D4D0670"/>
    <w:rsid w:val="1D5E55B3"/>
    <w:rsid w:val="1DEE580E"/>
    <w:rsid w:val="1E540E82"/>
    <w:rsid w:val="1E6257AE"/>
    <w:rsid w:val="1E9B4F4B"/>
    <w:rsid w:val="1E9F255E"/>
    <w:rsid w:val="1EB31BFD"/>
    <w:rsid w:val="1ED433B6"/>
    <w:rsid w:val="1F063325"/>
    <w:rsid w:val="1F6546B2"/>
    <w:rsid w:val="1FAE75FA"/>
    <w:rsid w:val="1FBC5DF5"/>
    <w:rsid w:val="1FC55574"/>
    <w:rsid w:val="1FF97C68"/>
    <w:rsid w:val="2035537D"/>
    <w:rsid w:val="2060534A"/>
    <w:rsid w:val="20947775"/>
    <w:rsid w:val="20C90675"/>
    <w:rsid w:val="212D5480"/>
    <w:rsid w:val="218940D0"/>
    <w:rsid w:val="21B83F86"/>
    <w:rsid w:val="21E55E66"/>
    <w:rsid w:val="221178A8"/>
    <w:rsid w:val="221213CF"/>
    <w:rsid w:val="22327A92"/>
    <w:rsid w:val="223718D7"/>
    <w:rsid w:val="22486A69"/>
    <w:rsid w:val="22965435"/>
    <w:rsid w:val="22B56E61"/>
    <w:rsid w:val="22BD6F35"/>
    <w:rsid w:val="22C925A9"/>
    <w:rsid w:val="231D53A2"/>
    <w:rsid w:val="23775858"/>
    <w:rsid w:val="23A82B1D"/>
    <w:rsid w:val="23B7504C"/>
    <w:rsid w:val="240D7F6A"/>
    <w:rsid w:val="24571307"/>
    <w:rsid w:val="245E28AA"/>
    <w:rsid w:val="24BA2984"/>
    <w:rsid w:val="25246333"/>
    <w:rsid w:val="25326543"/>
    <w:rsid w:val="2566706B"/>
    <w:rsid w:val="25A246E2"/>
    <w:rsid w:val="26195FDF"/>
    <w:rsid w:val="262E2065"/>
    <w:rsid w:val="26446DE3"/>
    <w:rsid w:val="264D165B"/>
    <w:rsid w:val="269252D8"/>
    <w:rsid w:val="26D7699F"/>
    <w:rsid w:val="26E563AD"/>
    <w:rsid w:val="270B530F"/>
    <w:rsid w:val="274A5E17"/>
    <w:rsid w:val="283D3CB6"/>
    <w:rsid w:val="284D4FC9"/>
    <w:rsid w:val="285E12CD"/>
    <w:rsid w:val="285F643D"/>
    <w:rsid w:val="28805E9D"/>
    <w:rsid w:val="28832D32"/>
    <w:rsid w:val="28A15980"/>
    <w:rsid w:val="29622437"/>
    <w:rsid w:val="29970C8B"/>
    <w:rsid w:val="2A4E3F4B"/>
    <w:rsid w:val="2A635B27"/>
    <w:rsid w:val="2AA42CAA"/>
    <w:rsid w:val="2ACC6B14"/>
    <w:rsid w:val="2AD86F38"/>
    <w:rsid w:val="2B09065E"/>
    <w:rsid w:val="2B32046F"/>
    <w:rsid w:val="2B332A57"/>
    <w:rsid w:val="2B4A7790"/>
    <w:rsid w:val="2B774624"/>
    <w:rsid w:val="2BC068DD"/>
    <w:rsid w:val="2BC365EA"/>
    <w:rsid w:val="2BF0565E"/>
    <w:rsid w:val="2C0E47C8"/>
    <w:rsid w:val="2C2A0B5D"/>
    <w:rsid w:val="2C3A38C6"/>
    <w:rsid w:val="2C7A72BE"/>
    <w:rsid w:val="2CA23219"/>
    <w:rsid w:val="2CAB0320"/>
    <w:rsid w:val="2CD73E3A"/>
    <w:rsid w:val="2CDD18FA"/>
    <w:rsid w:val="2CF36B9C"/>
    <w:rsid w:val="2D845CE8"/>
    <w:rsid w:val="2D964D6E"/>
    <w:rsid w:val="2E631D6B"/>
    <w:rsid w:val="2EAF7A9D"/>
    <w:rsid w:val="2EB771D0"/>
    <w:rsid w:val="2EE64331"/>
    <w:rsid w:val="2F401D3C"/>
    <w:rsid w:val="2F7234E0"/>
    <w:rsid w:val="2FA95C88"/>
    <w:rsid w:val="2FC56437"/>
    <w:rsid w:val="2FDF7740"/>
    <w:rsid w:val="3041370F"/>
    <w:rsid w:val="30751371"/>
    <w:rsid w:val="30D065A7"/>
    <w:rsid w:val="30E54627"/>
    <w:rsid w:val="31083A05"/>
    <w:rsid w:val="31696965"/>
    <w:rsid w:val="32453A27"/>
    <w:rsid w:val="3263064A"/>
    <w:rsid w:val="32A9391E"/>
    <w:rsid w:val="32AC0C06"/>
    <w:rsid w:val="32EA7C14"/>
    <w:rsid w:val="335F4C42"/>
    <w:rsid w:val="33653796"/>
    <w:rsid w:val="33673F3A"/>
    <w:rsid w:val="33997124"/>
    <w:rsid w:val="33A269E5"/>
    <w:rsid w:val="33AE3D61"/>
    <w:rsid w:val="341C52A3"/>
    <w:rsid w:val="341E1D1F"/>
    <w:rsid w:val="343713B3"/>
    <w:rsid w:val="3499503C"/>
    <w:rsid w:val="34A14965"/>
    <w:rsid w:val="35237B60"/>
    <w:rsid w:val="3537750C"/>
    <w:rsid w:val="3537798C"/>
    <w:rsid w:val="357F7ED5"/>
    <w:rsid w:val="35C13FC9"/>
    <w:rsid w:val="362E6D87"/>
    <w:rsid w:val="364257B6"/>
    <w:rsid w:val="36475F4B"/>
    <w:rsid w:val="36704FA0"/>
    <w:rsid w:val="367C4ADB"/>
    <w:rsid w:val="36F16332"/>
    <w:rsid w:val="36F834D1"/>
    <w:rsid w:val="370278E8"/>
    <w:rsid w:val="37114E2D"/>
    <w:rsid w:val="372B09DB"/>
    <w:rsid w:val="374264D3"/>
    <w:rsid w:val="37A2313F"/>
    <w:rsid w:val="37DB7874"/>
    <w:rsid w:val="37EA5922"/>
    <w:rsid w:val="3801798E"/>
    <w:rsid w:val="38276B93"/>
    <w:rsid w:val="38A66EF0"/>
    <w:rsid w:val="38C108C0"/>
    <w:rsid w:val="38EF6087"/>
    <w:rsid w:val="398C6B1A"/>
    <w:rsid w:val="39FF74C3"/>
    <w:rsid w:val="3A0B64A7"/>
    <w:rsid w:val="3A2B695F"/>
    <w:rsid w:val="3A417382"/>
    <w:rsid w:val="3A6774BB"/>
    <w:rsid w:val="3AF74C02"/>
    <w:rsid w:val="3B6D3030"/>
    <w:rsid w:val="3C0059A5"/>
    <w:rsid w:val="3C134E78"/>
    <w:rsid w:val="3CCE453B"/>
    <w:rsid w:val="3CDB25BF"/>
    <w:rsid w:val="3DF4502D"/>
    <w:rsid w:val="3DF6345D"/>
    <w:rsid w:val="3E4C6BBF"/>
    <w:rsid w:val="3E4F65FC"/>
    <w:rsid w:val="3E67726F"/>
    <w:rsid w:val="3EC357A9"/>
    <w:rsid w:val="3EE13701"/>
    <w:rsid w:val="3F1A4BB3"/>
    <w:rsid w:val="3F832FFD"/>
    <w:rsid w:val="3F9A4B7F"/>
    <w:rsid w:val="3FBD419A"/>
    <w:rsid w:val="40192BA6"/>
    <w:rsid w:val="40275EE8"/>
    <w:rsid w:val="40997D4E"/>
    <w:rsid w:val="40B90D30"/>
    <w:rsid w:val="40CA71E8"/>
    <w:rsid w:val="40E65973"/>
    <w:rsid w:val="40F356DF"/>
    <w:rsid w:val="4105229D"/>
    <w:rsid w:val="410951EF"/>
    <w:rsid w:val="417938BC"/>
    <w:rsid w:val="41CD173C"/>
    <w:rsid w:val="421A6164"/>
    <w:rsid w:val="421E1ADE"/>
    <w:rsid w:val="42314467"/>
    <w:rsid w:val="42550A18"/>
    <w:rsid w:val="42797FD7"/>
    <w:rsid w:val="42F473A1"/>
    <w:rsid w:val="43130808"/>
    <w:rsid w:val="43A37CD1"/>
    <w:rsid w:val="43AF44D7"/>
    <w:rsid w:val="441E62C0"/>
    <w:rsid w:val="44274ACD"/>
    <w:rsid w:val="4477237A"/>
    <w:rsid w:val="451D153C"/>
    <w:rsid w:val="45266E88"/>
    <w:rsid w:val="457B387A"/>
    <w:rsid w:val="45811C7C"/>
    <w:rsid w:val="45AF31D8"/>
    <w:rsid w:val="46053138"/>
    <w:rsid w:val="468B3EFB"/>
    <w:rsid w:val="46D17856"/>
    <w:rsid w:val="46D83730"/>
    <w:rsid w:val="46F74436"/>
    <w:rsid w:val="470A6193"/>
    <w:rsid w:val="4760533F"/>
    <w:rsid w:val="47A4657E"/>
    <w:rsid w:val="47C43BCF"/>
    <w:rsid w:val="47DC4F5C"/>
    <w:rsid w:val="47E31939"/>
    <w:rsid w:val="47E86474"/>
    <w:rsid w:val="4836049D"/>
    <w:rsid w:val="48927A27"/>
    <w:rsid w:val="48A2691A"/>
    <w:rsid w:val="48B40671"/>
    <w:rsid w:val="48B87EA7"/>
    <w:rsid w:val="48D25DC7"/>
    <w:rsid w:val="49463453"/>
    <w:rsid w:val="498273BD"/>
    <w:rsid w:val="499B5738"/>
    <w:rsid w:val="499F244D"/>
    <w:rsid w:val="49C56A6D"/>
    <w:rsid w:val="4A062BE2"/>
    <w:rsid w:val="4A0D22AA"/>
    <w:rsid w:val="4A6511C2"/>
    <w:rsid w:val="4A71427F"/>
    <w:rsid w:val="4A871F75"/>
    <w:rsid w:val="4A8F58C2"/>
    <w:rsid w:val="4AE253A3"/>
    <w:rsid w:val="4AF96BC7"/>
    <w:rsid w:val="4B4A1E61"/>
    <w:rsid w:val="4B742E09"/>
    <w:rsid w:val="4B774920"/>
    <w:rsid w:val="4BFB4050"/>
    <w:rsid w:val="4C773805"/>
    <w:rsid w:val="4C8A419C"/>
    <w:rsid w:val="4C8C1658"/>
    <w:rsid w:val="4C903422"/>
    <w:rsid w:val="4CA369EE"/>
    <w:rsid w:val="4CBD006F"/>
    <w:rsid w:val="4CC44FA6"/>
    <w:rsid w:val="4CEF36E2"/>
    <w:rsid w:val="4D0D4E16"/>
    <w:rsid w:val="4D3B1120"/>
    <w:rsid w:val="4D8A4609"/>
    <w:rsid w:val="4D9E5604"/>
    <w:rsid w:val="4E100EE5"/>
    <w:rsid w:val="4E1315AB"/>
    <w:rsid w:val="4EDE2D8A"/>
    <w:rsid w:val="4F1A7658"/>
    <w:rsid w:val="4F372FFB"/>
    <w:rsid w:val="4FA76FA4"/>
    <w:rsid w:val="4FA843DD"/>
    <w:rsid w:val="503A547F"/>
    <w:rsid w:val="50623E9C"/>
    <w:rsid w:val="50DD23FB"/>
    <w:rsid w:val="513F391C"/>
    <w:rsid w:val="51564E44"/>
    <w:rsid w:val="51A0391C"/>
    <w:rsid w:val="51E611C2"/>
    <w:rsid w:val="51F36455"/>
    <w:rsid w:val="526479F4"/>
    <w:rsid w:val="52C10D75"/>
    <w:rsid w:val="52D558BD"/>
    <w:rsid w:val="5308363F"/>
    <w:rsid w:val="537C1F57"/>
    <w:rsid w:val="550C4BD7"/>
    <w:rsid w:val="552A14E7"/>
    <w:rsid w:val="55572986"/>
    <w:rsid w:val="56537644"/>
    <w:rsid w:val="56B3692E"/>
    <w:rsid w:val="56F2777F"/>
    <w:rsid w:val="578A4FAD"/>
    <w:rsid w:val="578F4217"/>
    <w:rsid w:val="57AA47D6"/>
    <w:rsid w:val="57BE3CA3"/>
    <w:rsid w:val="58104E13"/>
    <w:rsid w:val="58505C1C"/>
    <w:rsid w:val="586456A3"/>
    <w:rsid w:val="59631F10"/>
    <w:rsid w:val="5A922724"/>
    <w:rsid w:val="5A957D93"/>
    <w:rsid w:val="5AAE0E59"/>
    <w:rsid w:val="5B014BCB"/>
    <w:rsid w:val="5B3760D9"/>
    <w:rsid w:val="5B411CCC"/>
    <w:rsid w:val="5B7528EE"/>
    <w:rsid w:val="5B857E0A"/>
    <w:rsid w:val="5BBD0424"/>
    <w:rsid w:val="5C592816"/>
    <w:rsid w:val="5C763BF7"/>
    <w:rsid w:val="5C922AF6"/>
    <w:rsid w:val="5C990788"/>
    <w:rsid w:val="5CB43A14"/>
    <w:rsid w:val="5CBA4860"/>
    <w:rsid w:val="5D2317D1"/>
    <w:rsid w:val="5D647542"/>
    <w:rsid w:val="5D6D6F18"/>
    <w:rsid w:val="5D950D99"/>
    <w:rsid w:val="5DCD5607"/>
    <w:rsid w:val="5E066834"/>
    <w:rsid w:val="5E205A4D"/>
    <w:rsid w:val="5E207A91"/>
    <w:rsid w:val="5E686F4D"/>
    <w:rsid w:val="5EBF464F"/>
    <w:rsid w:val="5F19665E"/>
    <w:rsid w:val="5F1C4797"/>
    <w:rsid w:val="5F2B63A4"/>
    <w:rsid w:val="5F73366C"/>
    <w:rsid w:val="5F80710D"/>
    <w:rsid w:val="5FF63F7F"/>
    <w:rsid w:val="6003138B"/>
    <w:rsid w:val="600B4656"/>
    <w:rsid w:val="606007BB"/>
    <w:rsid w:val="60AC7F66"/>
    <w:rsid w:val="61164C5A"/>
    <w:rsid w:val="61422372"/>
    <w:rsid w:val="614607A4"/>
    <w:rsid w:val="61724F50"/>
    <w:rsid w:val="618835DC"/>
    <w:rsid w:val="619E7E05"/>
    <w:rsid w:val="61BF10D9"/>
    <w:rsid w:val="61F238FA"/>
    <w:rsid w:val="625A3C98"/>
    <w:rsid w:val="628E2BF2"/>
    <w:rsid w:val="629F7BDB"/>
    <w:rsid w:val="62B04FE0"/>
    <w:rsid w:val="62B762F2"/>
    <w:rsid w:val="62BD01EA"/>
    <w:rsid w:val="630A6E47"/>
    <w:rsid w:val="630B6D4C"/>
    <w:rsid w:val="63390FA7"/>
    <w:rsid w:val="640C7C21"/>
    <w:rsid w:val="647153D0"/>
    <w:rsid w:val="64D9713B"/>
    <w:rsid w:val="64DA2E59"/>
    <w:rsid w:val="64E45EF7"/>
    <w:rsid w:val="651F29C7"/>
    <w:rsid w:val="657324B0"/>
    <w:rsid w:val="659D56EB"/>
    <w:rsid w:val="66445A65"/>
    <w:rsid w:val="664C1462"/>
    <w:rsid w:val="664F64CD"/>
    <w:rsid w:val="6674153C"/>
    <w:rsid w:val="66A57729"/>
    <w:rsid w:val="66F71800"/>
    <w:rsid w:val="67635EC3"/>
    <w:rsid w:val="677435B2"/>
    <w:rsid w:val="67B53825"/>
    <w:rsid w:val="67E47ECF"/>
    <w:rsid w:val="67EF75F1"/>
    <w:rsid w:val="685E4BEE"/>
    <w:rsid w:val="68637725"/>
    <w:rsid w:val="68CC2040"/>
    <w:rsid w:val="69124F16"/>
    <w:rsid w:val="69706376"/>
    <w:rsid w:val="69845BA5"/>
    <w:rsid w:val="69C64B0E"/>
    <w:rsid w:val="69CD5C14"/>
    <w:rsid w:val="69CF0D33"/>
    <w:rsid w:val="69D52033"/>
    <w:rsid w:val="6A2C3962"/>
    <w:rsid w:val="6AB24495"/>
    <w:rsid w:val="6AEA268C"/>
    <w:rsid w:val="6B9946B3"/>
    <w:rsid w:val="6BC43C9C"/>
    <w:rsid w:val="6BF025F8"/>
    <w:rsid w:val="6C117498"/>
    <w:rsid w:val="6C1242E2"/>
    <w:rsid w:val="6C2F1113"/>
    <w:rsid w:val="6C535179"/>
    <w:rsid w:val="6CA17546"/>
    <w:rsid w:val="6D1837C6"/>
    <w:rsid w:val="6D633D24"/>
    <w:rsid w:val="6D8016E0"/>
    <w:rsid w:val="6DE76850"/>
    <w:rsid w:val="6DE76F6B"/>
    <w:rsid w:val="6DEB0015"/>
    <w:rsid w:val="6E930D59"/>
    <w:rsid w:val="6E997D72"/>
    <w:rsid w:val="6E9A1018"/>
    <w:rsid w:val="6EE60872"/>
    <w:rsid w:val="6F1F14D8"/>
    <w:rsid w:val="6F7779BF"/>
    <w:rsid w:val="6F815E7A"/>
    <w:rsid w:val="6FA96657"/>
    <w:rsid w:val="6FB20BD4"/>
    <w:rsid w:val="6FBA59BE"/>
    <w:rsid w:val="6FF47E2E"/>
    <w:rsid w:val="701952D0"/>
    <w:rsid w:val="70296B3E"/>
    <w:rsid w:val="702E0619"/>
    <w:rsid w:val="704E4817"/>
    <w:rsid w:val="70611204"/>
    <w:rsid w:val="70716758"/>
    <w:rsid w:val="70E229E5"/>
    <w:rsid w:val="70FB26A1"/>
    <w:rsid w:val="7105409D"/>
    <w:rsid w:val="71880AA7"/>
    <w:rsid w:val="71A027A3"/>
    <w:rsid w:val="71DA756B"/>
    <w:rsid w:val="71F61E79"/>
    <w:rsid w:val="722A4EBB"/>
    <w:rsid w:val="72336190"/>
    <w:rsid w:val="7234593E"/>
    <w:rsid w:val="72387C4D"/>
    <w:rsid w:val="723F30B1"/>
    <w:rsid w:val="72565C3D"/>
    <w:rsid w:val="72682551"/>
    <w:rsid w:val="72EF4CB6"/>
    <w:rsid w:val="73156623"/>
    <w:rsid w:val="73A330CC"/>
    <w:rsid w:val="73B71539"/>
    <w:rsid w:val="73C020AA"/>
    <w:rsid w:val="74012C6F"/>
    <w:rsid w:val="742F1838"/>
    <w:rsid w:val="744F5002"/>
    <w:rsid w:val="749D0E4E"/>
    <w:rsid w:val="74FA2C30"/>
    <w:rsid w:val="756E64E9"/>
    <w:rsid w:val="75F91BD5"/>
    <w:rsid w:val="765F165D"/>
    <w:rsid w:val="768B1787"/>
    <w:rsid w:val="76911D29"/>
    <w:rsid w:val="76BC49EB"/>
    <w:rsid w:val="76F66D87"/>
    <w:rsid w:val="77000DA2"/>
    <w:rsid w:val="772236B3"/>
    <w:rsid w:val="775B5A6C"/>
    <w:rsid w:val="77A47413"/>
    <w:rsid w:val="77D46C75"/>
    <w:rsid w:val="78064B19"/>
    <w:rsid w:val="781E69D1"/>
    <w:rsid w:val="782868C6"/>
    <w:rsid w:val="78324E5D"/>
    <w:rsid w:val="78340059"/>
    <w:rsid w:val="786A29DE"/>
    <w:rsid w:val="786E094F"/>
    <w:rsid w:val="78A07BDA"/>
    <w:rsid w:val="78EC258E"/>
    <w:rsid w:val="7901431F"/>
    <w:rsid w:val="797B0E8C"/>
    <w:rsid w:val="79D20267"/>
    <w:rsid w:val="79FE2CCF"/>
    <w:rsid w:val="7A280F5B"/>
    <w:rsid w:val="7A28232F"/>
    <w:rsid w:val="7AB13B5A"/>
    <w:rsid w:val="7AC878BC"/>
    <w:rsid w:val="7AD04B7D"/>
    <w:rsid w:val="7AD93EE7"/>
    <w:rsid w:val="7ADD0453"/>
    <w:rsid w:val="7AF46346"/>
    <w:rsid w:val="7B0F5EBF"/>
    <w:rsid w:val="7B130FB9"/>
    <w:rsid w:val="7B695E25"/>
    <w:rsid w:val="7B7C5344"/>
    <w:rsid w:val="7B8D5C55"/>
    <w:rsid w:val="7BB0282A"/>
    <w:rsid w:val="7BBE1BED"/>
    <w:rsid w:val="7BDE0625"/>
    <w:rsid w:val="7BEC67B3"/>
    <w:rsid w:val="7BF21C79"/>
    <w:rsid w:val="7BF64EDE"/>
    <w:rsid w:val="7C400C1E"/>
    <w:rsid w:val="7C55517F"/>
    <w:rsid w:val="7C794841"/>
    <w:rsid w:val="7C8D240D"/>
    <w:rsid w:val="7CDD67E8"/>
    <w:rsid w:val="7DC025DB"/>
    <w:rsid w:val="7DD11708"/>
    <w:rsid w:val="7E000C25"/>
    <w:rsid w:val="7E3E606D"/>
    <w:rsid w:val="7E5B0638"/>
    <w:rsid w:val="7E6D1B30"/>
    <w:rsid w:val="7E743AB1"/>
    <w:rsid w:val="7EAF35DA"/>
    <w:rsid w:val="7EBC46EA"/>
    <w:rsid w:val="7EC167BD"/>
    <w:rsid w:val="7F2A292D"/>
    <w:rsid w:val="7F5E081D"/>
    <w:rsid w:val="7FF82C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99"/>
    <w:pPr>
      <w:keepNext/>
      <w:keepLines/>
      <w:spacing w:before="260" w:after="260" w:line="416" w:lineRule="auto"/>
      <w:outlineLvl w:val="2"/>
    </w:pPr>
    <w:rPr>
      <w:b/>
      <w:bCs/>
      <w:sz w:val="32"/>
      <w:szCs w:val="32"/>
    </w:rPr>
  </w:style>
  <w:style w:type="paragraph" w:styleId="5">
    <w:name w:val="heading 5"/>
    <w:basedOn w:val="1"/>
    <w:next w:val="6"/>
    <w:link w:val="36"/>
    <w:qFormat/>
    <w:uiPriority w:val="99"/>
    <w:pPr>
      <w:keepNext/>
      <w:keepLines/>
      <w:spacing w:before="280" w:after="290" w:line="376" w:lineRule="auto"/>
      <w:outlineLvl w:val="4"/>
    </w:pPr>
    <w:rPr>
      <w:b/>
      <w:bCs/>
      <w:sz w:val="28"/>
      <w:szCs w:val="28"/>
    </w:rPr>
  </w:style>
  <w:style w:type="paragraph" w:styleId="7">
    <w:name w:val="heading 8"/>
    <w:basedOn w:val="1"/>
    <w:next w:val="1"/>
    <w:link w:val="76"/>
    <w:semiHidden/>
    <w:unhideWhenUsed/>
    <w:qFormat/>
    <w:locked/>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8">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7"/>
    <w:qFormat/>
    <w:uiPriority w:val="0"/>
    <w:pPr>
      <w:jc w:val="left"/>
    </w:pPr>
  </w:style>
  <w:style w:type="paragraph" w:styleId="10">
    <w:name w:val="Body Text 3"/>
    <w:basedOn w:val="1"/>
    <w:link w:val="38"/>
    <w:qFormat/>
    <w:uiPriority w:val="99"/>
    <w:pPr>
      <w:spacing w:after="120"/>
    </w:pPr>
    <w:rPr>
      <w:sz w:val="16"/>
      <w:szCs w:val="16"/>
    </w:rPr>
  </w:style>
  <w:style w:type="paragraph" w:styleId="11">
    <w:name w:val="Body Text"/>
    <w:basedOn w:val="1"/>
    <w:link w:val="39"/>
    <w:qFormat/>
    <w:uiPriority w:val="99"/>
    <w:pPr>
      <w:spacing w:after="120"/>
    </w:pPr>
  </w:style>
  <w:style w:type="paragraph" w:styleId="12">
    <w:name w:val="Body Text Indent"/>
    <w:basedOn w:val="1"/>
    <w:link w:val="40"/>
    <w:qFormat/>
    <w:uiPriority w:val="99"/>
    <w:pPr>
      <w:ind w:firstLine="830" w:firstLineChars="352"/>
    </w:pPr>
    <w:rPr>
      <w:rFonts w:ascii="仿宋_GB2312" w:eastAsia="仿宋_GB2312"/>
      <w:kern w:val="0"/>
      <w:sz w:val="32"/>
      <w:szCs w:val="20"/>
    </w:rPr>
  </w:style>
  <w:style w:type="paragraph" w:styleId="13">
    <w:name w:val="List 2"/>
    <w:basedOn w:val="1"/>
    <w:qFormat/>
    <w:uiPriority w:val="99"/>
    <w:pPr>
      <w:ind w:left="100" w:leftChars="200" w:hanging="200" w:hangingChars="200"/>
      <w:contextualSpacing/>
    </w:pPr>
  </w:style>
  <w:style w:type="paragraph" w:styleId="14">
    <w:name w:val="Block Text"/>
    <w:basedOn w:val="1"/>
    <w:qFormat/>
    <w:uiPriority w:val="99"/>
    <w:pPr>
      <w:adjustRightInd w:val="0"/>
      <w:ind w:left="420" w:right="33"/>
      <w:jc w:val="left"/>
      <w:textAlignment w:val="baseline"/>
    </w:pPr>
    <w:rPr>
      <w:kern w:val="0"/>
      <w:szCs w:val="20"/>
    </w:rPr>
  </w:style>
  <w:style w:type="paragraph" w:styleId="15">
    <w:name w:val="Plain Text"/>
    <w:basedOn w:val="1"/>
    <w:link w:val="41"/>
    <w:qFormat/>
    <w:uiPriority w:val="0"/>
    <w:rPr>
      <w:rFonts w:ascii="宋体" w:hAnsi="Courier New"/>
      <w:kern w:val="0"/>
      <w:sz w:val="20"/>
      <w:szCs w:val="21"/>
    </w:rPr>
  </w:style>
  <w:style w:type="paragraph" w:styleId="16">
    <w:name w:val="Date"/>
    <w:basedOn w:val="1"/>
    <w:next w:val="1"/>
    <w:link w:val="42"/>
    <w:qFormat/>
    <w:uiPriority w:val="99"/>
    <w:pPr>
      <w:ind w:left="100" w:leftChars="2500"/>
    </w:pPr>
  </w:style>
  <w:style w:type="paragraph" w:styleId="17">
    <w:name w:val="Balloon Text"/>
    <w:basedOn w:val="1"/>
    <w:link w:val="43"/>
    <w:semiHidden/>
    <w:qFormat/>
    <w:uiPriority w:val="99"/>
    <w:rPr>
      <w:sz w:val="18"/>
      <w:szCs w:val="18"/>
    </w:rPr>
  </w:style>
  <w:style w:type="paragraph" w:styleId="18">
    <w:name w:val="footer"/>
    <w:basedOn w:val="1"/>
    <w:link w:val="44"/>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99"/>
  </w:style>
  <w:style w:type="paragraph" w:styleId="21">
    <w:name w:val="Subtitle"/>
    <w:basedOn w:val="1"/>
    <w:next w:val="1"/>
    <w:qFormat/>
    <w:locked/>
    <w:uiPriority w:val="0"/>
    <w:pPr>
      <w:spacing w:before="240" w:after="60" w:line="312" w:lineRule="auto"/>
      <w:jc w:val="center"/>
      <w:outlineLvl w:val="1"/>
    </w:pPr>
    <w:rPr>
      <w:rFonts w:ascii="Arial" w:hAnsi="Arial" w:cs="Arial"/>
      <w:b/>
      <w:bCs/>
      <w:kern w:val="28"/>
      <w:sz w:val="32"/>
      <w:szCs w:val="32"/>
    </w:rPr>
  </w:style>
  <w:style w:type="paragraph" w:styleId="22">
    <w:name w:val="toc 2"/>
    <w:basedOn w:val="1"/>
    <w:next w:val="1"/>
    <w:qFormat/>
    <w:uiPriority w:val="99"/>
    <w:pPr>
      <w:tabs>
        <w:tab w:val="right" w:leader="dot" w:pos="8296"/>
      </w:tabs>
      <w:ind w:left="420" w:leftChars="200"/>
    </w:pPr>
  </w:style>
  <w:style w:type="paragraph" w:styleId="23">
    <w:name w:val="Normal (Web)"/>
    <w:basedOn w:val="1"/>
    <w:qFormat/>
    <w:uiPriority w:val="99"/>
    <w:rPr>
      <w:rFonts w:ascii="Calibri" w:hAnsi="Calibri"/>
      <w:kern w:val="0"/>
      <w:sz w:val="24"/>
    </w:rPr>
  </w:style>
  <w:style w:type="paragraph" w:styleId="24">
    <w:name w:val="annotation subject"/>
    <w:basedOn w:val="9"/>
    <w:next w:val="9"/>
    <w:link w:val="46"/>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99"/>
    <w:rPr>
      <w:rFonts w:cs="Times New Roman"/>
      <w:b/>
      <w:bCs/>
    </w:rPr>
  </w:style>
  <w:style w:type="character" w:styleId="29">
    <w:name w:val="FollowedHyperlink"/>
    <w:basedOn w:val="27"/>
    <w:semiHidden/>
    <w:unhideWhenUsed/>
    <w:qFormat/>
    <w:uiPriority w:val="99"/>
    <w:rPr>
      <w:color w:val="014CCC"/>
      <w:u w:val="none"/>
    </w:rPr>
  </w:style>
  <w:style w:type="character" w:styleId="30">
    <w:name w:val="Emphasis"/>
    <w:qFormat/>
    <w:uiPriority w:val="99"/>
    <w:rPr>
      <w:rFonts w:cs="Times New Roman"/>
      <w:i/>
      <w:iCs/>
    </w:rPr>
  </w:style>
  <w:style w:type="character" w:styleId="31">
    <w:name w:val="Hyperlink"/>
    <w:qFormat/>
    <w:uiPriority w:val="99"/>
    <w:rPr>
      <w:rFonts w:cs="Times New Roman"/>
      <w:color w:val="0000FF"/>
      <w:u w:val="single"/>
    </w:rPr>
  </w:style>
  <w:style w:type="character" w:styleId="32">
    <w:name w:val="annotation reference"/>
    <w:qFormat/>
    <w:uiPriority w:val="0"/>
    <w:rPr>
      <w:rFonts w:cs="Times New Roman"/>
      <w:sz w:val="21"/>
    </w:rPr>
  </w:style>
  <w:style w:type="character" w:customStyle="1" w:styleId="33">
    <w:name w:val="标题 1 字符1"/>
    <w:link w:val="2"/>
    <w:qFormat/>
    <w:locked/>
    <w:uiPriority w:val="99"/>
    <w:rPr>
      <w:b/>
      <w:kern w:val="44"/>
      <w:sz w:val="44"/>
    </w:rPr>
  </w:style>
  <w:style w:type="character" w:customStyle="1" w:styleId="34">
    <w:name w:val="标题 2 字符"/>
    <w:link w:val="3"/>
    <w:qFormat/>
    <w:locked/>
    <w:uiPriority w:val="99"/>
    <w:rPr>
      <w:rFonts w:ascii="Cambria" w:hAnsi="Cambria" w:eastAsia="宋体"/>
      <w:b/>
      <w:kern w:val="2"/>
      <w:sz w:val="32"/>
    </w:rPr>
  </w:style>
  <w:style w:type="character" w:customStyle="1" w:styleId="35">
    <w:name w:val="标题 3 字符"/>
    <w:link w:val="4"/>
    <w:semiHidden/>
    <w:qFormat/>
    <w:locked/>
    <w:uiPriority w:val="99"/>
    <w:rPr>
      <w:rFonts w:cs="Times New Roman"/>
      <w:b/>
      <w:bCs/>
      <w:kern w:val="2"/>
      <w:sz w:val="32"/>
      <w:szCs w:val="32"/>
    </w:rPr>
  </w:style>
  <w:style w:type="character" w:customStyle="1" w:styleId="36">
    <w:name w:val="标题 5 字符"/>
    <w:link w:val="5"/>
    <w:autoRedefine/>
    <w:semiHidden/>
    <w:qFormat/>
    <w:locked/>
    <w:uiPriority w:val="99"/>
    <w:rPr>
      <w:rFonts w:ascii="Times New Roman" w:hAnsi="Times New Roman"/>
      <w:b/>
      <w:kern w:val="2"/>
      <w:sz w:val="28"/>
    </w:rPr>
  </w:style>
  <w:style w:type="character" w:customStyle="1" w:styleId="37">
    <w:name w:val="批注文字 字符"/>
    <w:link w:val="9"/>
    <w:autoRedefine/>
    <w:qFormat/>
    <w:locked/>
    <w:uiPriority w:val="0"/>
    <w:rPr>
      <w:rFonts w:ascii="Times New Roman" w:hAnsi="Times New Roman"/>
      <w:kern w:val="2"/>
      <w:sz w:val="24"/>
    </w:rPr>
  </w:style>
  <w:style w:type="character" w:customStyle="1" w:styleId="38">
    <w:name w:val="正文文本 3 字符"/>
    <w:link w:val="10"/>
    <w:autoRedefine/>
    <w:semiHidden/>
    <w:qFormat/>
    <w:locked/>
    <w:uiPriority w:val="99"/>
    <w:rPr>
      <w:rFonts w:ascii="Times New Roman" w:hAnsi="Times New Roman"/>
      <w:kern w:val="2"/>
      <w:sz w:val="16"/>
    </w:rPr>
  </w:style>
  <w:style w:type="character" w:customStyle="1" w:styleId="39">
    <w:name w:val="正文文本 字符"/>
    <w:link w:val="11"/>
    <w:autoRedefine/>
    <w:qFormat/>
    <w:locked/>
    <w:uiPriority w:val="99"/>
    <w:rPr>
      <w:rFonts w:ascii="Times New Roman" w:hAnsi="Times New Roman"/>
      <w:kern w:val="2"/>
      <w:sz w:val="24"/>
    </w:rPr>
  </w:style>
  <w:style w:type="character" w:customStyle="1" w:styleId="40">
    <w:name w:val="正文文本缩进 字符"/>
    <w:link w:val="12"/>
    <w:autoRedefine/>
    <w:qFormat/>
    <w:locked/>
    <w:uiPriority w:val="99"/>
    <w:rPr>
      <w:rFonts w:ascii="仿宋_GB2312" w:hAnsi="Times New Roman" w:eastAsia="仿宋_GB2312"/>
      <w:sz w:val="20"/>
    </w:rPr>
  </w:style>
  <w:style w:type="character" w:customStyle="1" w:styleId="41">
    <w:name w:val="纯文本 字符"/>
    <w:link w:val="15"/>
    <w:autoRedefine/>
    <w:qFormat/>
    <w:locked/>
    <w:uiPriority w:val="0"/>
    <w:rPr>
      <w:rFonts w:ascii="宋体" w:hAnsi="Courier New" w:eastAsia="宋体"/>
      <w:sz w:val="21"/>
    </w:rPr>
  </w:style>
  <w:style w:type="character" w:customStyle="1" w:styleId="42">
    <w:name w:val="日期 字符"/>
    <w:link w:val="16"/>
    <w:autoRedefine/>
    <w:semiHidden/>
    <w:qFormat/>
    <w:locked/>
    <w:uiPriority w:val="99"/>
    <w:rPr>
      <w:rFonts w:ascii="Times New Roman" w:hAnsi="Times New Roman"/>
      <w:kern w:val="2"/>
      <w:sz w:val="24"/>
    </w:rPr>
  </w:style>
  <w:style w:type="character" w:customStyle="1" w:styleId="43">
    <w:name w:val="批注框文本 字符"/>
    <w:link w:val="17"/>
    <w:autoRedefine/>
    <w:semiHidden/>
    <w:qFormat/>
    <w:uiPriority w:val="99"/>
    <w:rPr>
      <w:sz w:val="0"/>
      <w:szCs w:val="0"/>
    </w:rPr>
  </w:style>
  <w:style w:type="character" w:customStyle="1" w:styleId="44">
    <w:name w:val="页脚 字符"/>
    <w:link w:val="18"/>
    <w:autoRedefine/>
    <w:qFormat/>
    <w:locked/>
    <w:uiPriority w:val="99"/>
    <w:rPr>
      <w:sz w:val="18"/>
    </w:rPr>
  </w:style>
  <w:style w:type="character" w:customStyle="1" w:styleId="45">
    <w:name w:val="页眉 字符"/>
    <w:link w:val="19"/>
    <w:autoRedefine/>
    <w:qFormat/>
    <w:locked/>
    <w:uiPriority w:val="99"/>
    <w:rPr>
      <w:sz w:val="18"/>
    </w:rPr>
  </w:style>
  <w:style w:type="character" w:customStyle="1" w:styleId="46">
    <w:name w:val="批注主题 字符"/>
    <w:link w:val="24"/>
    <w:autoRedefine/>
    <w:qFormat/>
    <w:locked/>
    <w:uiPriority w:val="99"/>
    <w:rPr>
      <w:rFonts w:ascii="Times New Roman" w:hAnsi="Times New Roman"/>
      <w:b/>
      <w:kern w:val="2"/>
      <w:sz w:val="24"/>
    </w:rPr>
  </w:style>
  <w:style w:type="paragraph" w:customStyle="1" w:styleId="47">
    <w:name w:val="Style1"/>
    <w:basedOn w:val="1"/>
    <w:autoRedefine/>
    <w:qFormat/>
    <w:uiPriority w:val="99"/>
    <w:pPr>
      <w:widowControl/>
      <w:tabs>
        <w:tab w:val="left" w:pos="-720"/>
      </w:tabs>
      <w:spacing w:after="120"/>
    </w:pPr>
    <w:rPr>
      <w:spacing w:val="-3"/>
      <w:kern w:val="0"/>
      <w:sz w:val="24"/>
      <w:szCs w:val="20"/>
      <w:lang w:val="en-AU" w:eastAsia="en-US"/>
    </w:rPr>
  </w:style>
  <w:style w:type="character" w:customStyle="1" w:styleId="48">
    <w:name w:val="批注文字 Char2"/>
    <w:autoRedefine/>
    <w:qFormat/>
    <w:uiPriority w:val="99"/>
    <w:rPr>
      <w:rFonts w:ascii="Times New Roman" w:hAnsi="Times New Roman"/>
      <w:kern w:val="2"/>
      <w:sz w:val="24"/>
    </w:rPr>
  </w:style>
  <w:style w:type="character" w:customStyle="1" w:styleId="49">
    <w:name w:val="纯文本 字符2"/>
    <w:autoRedefine/>
    <w:qFormat/>
    <w:uiPriority w:val="99"/>
    <w:rPr>
      <w:rFonts w:ascii="宋体" w:hAnsi="Courier New" w:eastAsia="宋体"/>
      <w:sz w:val="21"/>
    </w:rPr>
  </w:style>
  <w:style w:type="character" w:customStyle="1" w:styleId="50">
    <w:name w:val="正文2 Char Char"/>
    <w:link w:val="51"/>
    <w:autoRedefine/>
    <w:qFormat/>
    <w:locked/>
    <w:uiPriority w:val="99"/>
    <w:rPr>
      <w:kern w:val="2"/>
      <w:sz w:val="24"/>
    </w:rPr>
  </w:style>
  <w:style w:type="paragraph" w:customStyle="1" w:styleId="51">
    <w:name w:val="正文2"/>
    <w:basedOn w:val="1"/>
    <w:link w:val="50"/>
    <w:autoRedefine/>
    <w:qFormat/>
    <w:uiPriority w:val="99"/>
    <w:pPr>
      <w:adjustRightInd w:val="0"/>
      <w:spacing w:before="156" w:line="360" w:lineRule="auto"/>
      <w:ind w:firstLine="510" w:firstLineChars="200"/>
    </w:pPr>
    <w:rPr>
      <w:sz w:val="24"/>
      <w:szCs w:val="20"/>
    </w:rPr>
  </w:style>
  <w:style w:type="character" w:customStyle="1" w:styleId="52">
    <w:name w:val="标题 1 字符"/>
    <w:autoRedefine/>
    <w:qFormat/>
    <w:uiPriority w:val="99"/>
    <w:rPr>
      <w:b/>
      <w:kern w:val="44"/>
      <w:sz w:val="44"/>
    </w:rPr>
  </w:style>
  <w:style w:type="character" w:customStyle="1" w:styleId="53">
    <w:name w:val="批注文字 字符2"/>
    <w:autoRedefine/>
    <w:qFormat/>
    <w:uiPriority w:val="99"/>
    <w:rPr>
      <w:rFonts w:ascii="Times New Roman" w:hAnsi="Times New Roman"/>
      <w:kern w:val="2"/>
      <w:sz w:val="24"/>
    </w:rPr>
  </w:style>
  <w:style w:type="character" w:customStyle="1" w:styleId="54">
    <w:name w:val="批注文字 Char1"/>
    <w:autoRedefine/>
    <w:qFormat/>
    <w:uiPriority w:val="99"/>
    <w:rPr>
      <w:rFonts w:ascii="Times New Roman" w:hAnsi="Times New Roman"/>
      <w:kern w:val="2"/>
      <w:sz w:val="24"/>
    </w:rPr>
  </w:style>
  <w:style w:type="character" w:customStyle="1" w:styleId="55">
    <w:name w:val="页脚 Char"/>
    <w:autoRedefine/>
    <w:qFormat/>
    <w:uiPriority w:val="99"/>
    <w:rPr>
      <w:lang w:eastAsia="zh-CN"/>
    </w:rPr>
  </w:style>
  <w:style w:type="character" w:customStyle="1" w:styleId="56">
    <w:name w:val="textcontents"/>
    <w:autoRedefine/>
    <w:qFormat/>
    <w:uiPriority w:val="99"/>
  </w:style>
  <w:style w:type="character" w:customStyle="1" w:styleId="57">
    <w:name w:val="纯文本 字符1"/>
    <w:autoRedefine/>
    <w:qFormat/>
    <w:uiPriority w:val="99"/>
    <w:rPr>
      <w:rFonts w:ascii="宋体" w:hAnsi="Courier New"/>
    </w:rPr>
  </w:style>
  <w:style w:type="character" w:customStyle="1" w:styleId="58">
    <w:name w:val="正文文本缩进 字符1"/>
    <w:autoRedefine/>
    <w:qFormat/>
    <w:uiPriority w:val="99"/>
    <w:rPr>
      <w:rFonts w:ascii="仿宋_GB2312" w:hAnsi="Times New Roman" w:eastAsia="仿宋_GB2312"/>
      <w:sz w:val="20"/>
    </w:rPr>
  </w:style>
  <w:style w:type="character" w:customStyle="1" w:styleId="59">
    <w:name w:val="正文文本 (26) + 间距 0 pt"/>
    <w:autoRedefine/>
    <w:qFormat/>
    <w:uiPriority w:val="99"/>
    <w:rPr>
      <w:rFonts w:ascii="宋体" w:hAnsi="宋体" w:eastAsia="宋体"/>
      <w:color w:val="000000"/>
      <w:spacing w:val="0"/>
      <w:w w:val="100"/>
      <w:position w:val="0"/>
      <w:sz w:val="22"/>
      <w:u w:val="none"/>
      <w:lang w:val="zh-CN" w:eastAsia="zh-CN"/>
    </w:rPr>
  </w:style>
  <w:style w:type="character" w:customStyle="1" w:styleId="60">
    <w:name w:val="apple-style-span"/>
    <w:autoRedefine/>
    <w:qFormat/>
    <w:uiPriority w:val="99"/>
  </w:style>
  <w:style w:type="character" w:customStyle="1" w:styleId="61">
    <w:name w:val="纯文本 Char1"/>
    <w:autoRedefine/>
    <w:qFormat/>
    <w:uiPriority w:val="0"/>
    <w:rPr>
      <w:rFonts w:ascii="宋体" w:hAnsi="Courier New" w:eastAsia="宋体"/>
      <w:sz w:val="21"/>
    </w:rPr>
  </w:style>
  <w:style w:type="character" w:customStyle="1" w:styleId="62">
    <w:name w:val="批注文字 字符1"/>
    <w:autoRedefine/>
    <w:qFormat/>
    <w:uiPriority w:val="99"/>
    <w:rPr>
      <w:kern w:val="2"/>
      <w:sz w:val="24"/>
    </w:rPr>
  </w:style>
  <w:style w:type="paragraph" w:customStyle="1" w:styleId="63">
    <w:name w:val="Table Paragraph"/>
    <w:basedOn w:val="1"/>
    <w:autoRedefine/>
    <w:qFormat/>
    <w:uiPriority w:val="99"/>
    <w:pPr>
      <w:jc w:val="left"/>
    </w:pPr>
    <w:rPr>
      <w:rFonts w:ascii="Calibri" w:hAnsi="Calibri"/>
      <w:kern w:val="0"/>
      <w:sz w:val="22"/>
      <w:szCs w:val="22"/>
      <w:lang w:eastAsia="en-US"/>
    </w:rPr>
  </w:style>
  <w:style w:type="paragraph" w:styleId="64">
    <w:name w:val="List Paragraph"/>
    <w:basedOn w:val="1"/>
    <w:autoRedefine/>
    <w:qFormat/>
    <w:uiPriority w:val="99"/>
    <w:pPr>
      <w:ind w:firstLine="420" w:firstLineChars="200"/>
    </w:pPr>
  </w:style>
  <w:style w:type="paragraph" w:customStyle="1" w:styleId="65">
    <w:name w:val="默认段落字体 Para Char Char Char Char Char Char Char Char Char1 Char Char Char Char"/>
    <w:basedOn w:val="1"/>
    <w:autoRedefine/>
    <w:qFormat/>
    <w:uiPriority w:val="99"/>
    <w:rPr>
      <w:rFonts w:ascii="Tahoma" w:hAnsi="Tahoma"/>
      <w:sz w:val="24"/>
      <w:szCs w:val="20"/>
    </w:rPr>
  </w:style>
  <w:style w:type="paragraph" w:customStyle="1" w:styleId="66">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customStyle="1" w:styleId="67">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8">
    <w:name w:val="font21"/>
    <w:autoRedefine/>
    <w:qFormat/>
    <w:uiPriority w:val="99"/>
    <w:rPr>
      <w:rFonts w:ascii="宋体" w:hAnsi="宋体" w:eastAsia="宋体"/>
      <w:color w:val="000000"/>
      <w:sz w:val="21"/>
      <w:u w:val="none"/>
    </w:rPr>
  </w:style>
  <w:style w:type="paragraph" w:customStyle="1" w:styleId="69">
    <w:name w:val="Revision1"/>
    <w:autoRedefine/>
    <w:qFormat/>
    <w:uiPriority w:val="99"/>
    <w:rPr>
      <w:rFonts w:ascii="Times New Roman" w:hAnsi="Times New Roman" w:eastAsia="宋体" w:cs="Times New Roman"/>
      <w:kern w:val="2"/>
      <w:sz w:val="21"/>
      <w:szCs w:val="24"/>
      <w:lang w:val="en-US" w:eastAsia="zh-CN" w:bidi="ar-SA"/>
    </w:rPr>
  </w:style>
  <w:style w:type="paragraph" w:customStyle="1" w:styleId="70">
    <w:name w:val="ItemDescription"/>
    <w:basedOn w:val="1"/>
    <w:autoRedefine/>
    <w:qFormat/>
    <w:uiPriority w:val="99"/>
    <w:pPr>
      <w:tabs>
        <w:tab w:val="right" w:pos="1420"/>
        <w:tab w:val="left" w:pos="1580"/>
        <w:tab w:val="right" w:pos="9620"/>
      </w:tabs>
      <w:spacing w:before="200"/>
    </w:pPr>
    <w:rPr>
      <w:rFonts w:ascii="宋体"/>
      <w:b/>
    </w:rPr>
  </w:style>
  <w:style w:type="paragraph" w:customStyle="1" w:styleId="71">
    <w:name w:val="Standard"/>
    <w:autoRedefine/>
    <w:qFormat/>
    <w:uiPriority w:val="99"/>
    <w:pPr>
      <w:widowControl w:val="0"/>
    </w:pPr>
    <w:rPr>
      <w:rFonts w:ascii="Arial" w:hAnsi="Arial" w:eastAsia="宋体" w:cs="Times New Roman"/>
      <w:lang w:val="de-DE" w:eastAsia="zh-CN" w:bidi="ar-SA"/>
    </w:rPr>
  </w:style>
  <w:style w:type="paragraph" w:customStyle="1" w:styleId="72">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PlainText"/>
    <w:basedOn w:val="1"/>
    <w:autoRedefine/>
    <w:qFormat/>
    <w:uiPriority w:val="0"/>
    <w:rPr>
      <w:rFonts w:ascii="宋体" w:hAnsi="Courier New"/>
      <w:szCs w:val="21"/>
    </w:rPr>
  </w:style>
  <w:style w:type="paragraph" w:customStyle="1" w:styleId="74">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表格文字"/>
    <w:basedOn w:val="1"/>
    <w:autoRedefine/>
    <w:qFormat/>
    <w:uiPriority w:val="99"/>
    <w:pPr>
      <w:spacing w:before="25" w:after="25"/>
      <w:ind w:firstLine="315" w:firstLineChars="150"/>
    </w:pPr>
    <w:rPr>
      <w:bCs/>
      <w:color w:val="000000"/>
    </w:rPr>
  </w:style>
  <w:style w:type="character" w:customStyle="1" w:styleId="76">
    <w:name w:val="标题 8 字符"/>
    <w:basedOn w:val="27"/>
    <w:link w:val="7"/>
    <w:autoRedefine/>
    <w:qFormat/>
    <w:uiPriority w:val="0"/>
    <w:rPr>
      <w:rFonts w:asciiTheme="majorHAnsi" w:hAnsiTheme="majorHAnsi" w:eastAsiaTheme="majorEastAsia" w:cstheme="maj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EF532-FE47-41B9-9D49-2AF09404F046}">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96</Pages>
  <Words>19319</Words>
  <Characters>20455</Characters>
  <Lines>532</Lines>
  <Paragraphs>150</Paragraphs>
  <TotalTime>94</TotalTime>
  <ScaleCrop>false</ScaleCrop>
  <LinksUpToDate>false</LinksUpToDate>
  <CharactersWithSpaces>20530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2025-06-12T09:24:00Z</dcterms:created>
  <dc:creator>唐冰</dc:creator>
  <cp:lastModifiedBy>用户</cp:lastModifiedBy>
  <cp:lastPrinted>2025-06-18T07:56:00Z</cp:lastPrinted>
  <dcterms:modified xsi:type="dcterms:W3CDTF">2025-06-20T08:58:39Z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0772795A716C4FBF9327FF808FED39E1_13</vt:lpwstr>
  </property>
  <property fmtid="{D5CDD505-2E9C-101B-9397-08002B2CF9AE}" pid="4" name="KSOTemplateDocerSaveRecord">
    <vt:lpwstr>eyJoZGlkIjoiNjYxNGMxOWE1NmJmNjE2NWUxMWZiOTdlYWFjMjI2YjIiLCJ1c2VySWQiOiIyNDA5MzM3NzAifQ==</vt:lpwstr>
  </property>
</Properties>
</file>