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1B4FF">
      <w:pPr>
        <w:spacing w:line="360" w:lineRule="auto"/>
        <w:jc w:val="center"/>
        <w:rPr>
          <w:rFonts w:hint="eastAsia" w:ascii="方正小标宋简体" w:hAnsi="方正小标宋简体" w:eastAsia="方正小标宋简体" w:cs="方正小标宋简体"/>
          <w:color w:val="auto"/>
          <w:sz w:val="52"/>
          <w:szCs w:val="52"/>
        </w:rPr>
      </w:pPr>
    </w:p>
    <w:p w14:paraId="4DE98EA0">
      <w:pPr>
        <w:spacing w:line="360" w:lineRule="auto"/>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云之龙咨询集团有限公司</w:t>
      </w:r>
    </w:p>
    <w:p w14:paraId="141170DC">
      <w:pPr>
        <w:spacing w:line="360" w:lineRule="auto"/>
        <w:jc w:val="center"/>
        <w:rPr>
          <w:rFonts w:hint="eastAsia" w:ascii="宋体" w:hAnsi="宋体"/>
          <w:i/>
          <w:color w:val="auto"/>
          <w:sz w:val="52"/>
          <w:szCs w:val="52"/>
        </w:rPr>
      </w:pPr>
    </w:p>
    <w:p w14:paraId="7C236E80">
      <w:pPr>
        <w:spacing w:line="360" w:lineRule="auto"/>
        <w:jc w:val="center"/>
        <w:rPr>
          <w:rFonts w:hint="eastAsia" w:ascii="方正小标宋简体" w:hAnsi="方正小标宋简体" w:eastAsia="方正小标宋简体" w:cs="方正小标宋简体"/>
          <w:b/>
          <w:color w:val="auto"/>
          <w:sz w:val="44"/>
          <w:szCs w:val="44"/>
        </w:rPr>
      </w:pPr>
    </w:p>
    <w:p w14:paraId="765328BF">
      <w:pPr>
        <w:spacing w:line="360" w:lineRule="auto"/>
        <w:jc w:val="center"/>
        <w:rPr>
          <w:rFonts w:hint="eastAsia" w:ascii="方正小标宋简体" w:hAnsi="方正小标宋简体" w:eastAsia="方正小标宋简体" w:cs="方正小标宋简体"/>
          <w:b/>
          <w:color w:val="auto"/>
          <w:sz w:val="44"/>
          <w:szCs w:val="44"/>
        </w:rPr>
      </w:pPr>
    </w:p>
    <w:p w14:paraId="6F4F1827">
      <w:pPr>
        <w:snapToGrid w:val="0"/>
        <w:spacing w:before="156" w:beforeLines="50" w:line="360" w:lineRule="auto"/>
        <w:jc w:val="center"/>
        <w:rPr>
          <w:rFonts w:hint="eastAsia" w:ascii="华文新魏" w:hAnsi="宋体" w:eastAsia="华文新魏"/>
          <w:color w:val="auto"/>
          <w:sz w:val="120"/>
          <w:szCs w:val="120"/>
        </w:rPr>
      </w:pPr>
      <w:r>
        <w:rPr>
          <w:rFonts w:hint="eastAsia" w:ascii="华文新魏" w:hAnsi="宋体" w:eastAsia="华文新魏"/>
          <w:color w:val="auto"/>
          <w:sz w:val="120"/>
          <w:szCs w:val="120"/>
        </w:rPr>
        <w:t>竞争性谈判文件</w:t>
      </w:r>
    </w:p>
    <w:p w14:paraId="485E783E">
      <w:pPr>
        <w:snapToGrid w:val="0"/>
        <w:spacing w:before="156" w:beforeLines="50" w:line="360" w:lineRule="auto"/>
        <w:jc w:val="center"/>
        <w:rPr>
          <w:rFonts w:hint="eastAsia" w:ascii="仿宋_GB2312" w:hAnsi="宋体" w:eastAsia="仿宋_GB2312"/>
          <w:b/>
          <w:color w:val="auto"/>
          <w:sz w:val="30"/>
          <w:szCs w:val="72"/>
        </w:rPr>
      </w:pPr>
      <w:r>
        <w:rPr>
          <w:rFonts w:hint="eastAsia" w:ascii="仿宋_GB2312" w:hAnsi="宋体" w:eastAsia="仿宋_GB2312"/>
          <w:b/>
          <w:color w:val="auto"/>
          <w:sz w:val="48"/>
          <w:szCs w:val="48"/>
        </w:rPr>
        <w:t>（全流程电子化采购）</w:t>
      </w:r>
    </w:p>
    <w:p w14:paraId="6B37C7E6">
      <w:pPr>
        <w:snapToGrid w:val="0"/>
        <w:spacing w:line="360" w:lineRule="auto"/>
        <w:rPr>
          <w:rFonts w:hint="eastAsia" w:ascii="仿宋_GB2312" w:hAnsi="宋体" w:eastAsia="仿宋_GB2312"/>
          <w:color w:val="auto"/>
          <w:sz w:val="30"/>
          <w:szCs w:val="72"/>
        </w:rPr>
      </w:pPr>
    </w:p>
    <w:p w14:paraId="55FCB98A">
      <w:pPr>
        <w:pStyle w:val="27"/>
        <w:snapToGrid w:val="0"/>
        <w:spacing w:line="360" w:lineRule="auto"/>
        <w:ind w:firstLine="1193" w:firstLineChars="396"/>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项目</w:t>
      </w:r>
      <w:r>
        <w:rPr>
          <w:rFonts w:hint="eastAsia" w:ascii="仿宋_GB2312" w:hAnsi="宋体" w:eastAsia="仿宋_GB2312" w:cs="Courier New"/>
          <w:b/>
          <w:bCs/>
          <w:color w:val="auto"/>
          <w:w w:val="95"/>
          <w:sz w:val="30"/>
          <w:szCs w:val="30"/>
        </w:rPr>
        <w:t>名称</w:t>
      </w:r>
      <w:r>
        <w:rPr>
          <w:rFonts w:hint="eastAsia" w:ascii="仿宋_GB2312" w:hAnsi="宋体" w:eastAsia="仿宋_GB2312"/>
          <w:b/>
          <w:bCs/>
          <w:color w:val="auto"/>
          <w:sz w:val="30"/>
          <w:szCs w:val="30"/>
        </w:rPr>
        <w:t>：南溪山医院大礼堂修缮工程</w:t>
      </w:r>
    </w:p>
    <w:p w14:paraId="5B66CE0E">
      <w:pPr>
        <w:snapToGrid w:val="0"/>
        <w:spacing w:line="360" w:lineRule="auto"/>
        <w:ind w:firstLine="1145" w:firstLineChars="400"/>
        <w:rPr>
          <w:rFonts w:hint="eastAsia" w:ascii="仿宋_GB2312" w:hAnsi="宋体" w:eastAsia="仿宋_GB2312"/>
          <w:color w:val="auto"/>
          <w:sz w:val="30"/>
          <w:szCs w:val="72"/>
        </w:rPr>
      </w:pPr>
      <w:r>
        <w:rPr>
          <w:rFonts w:hint="eastAsia" w:ascii="仿宋_GB2312" w:hAnsi="宋体" w:eastAsia="仿宋_GB2312" w:cs="Courier New"/>
          <w:b/>
          <w:bCs/>
          <w:color w:val="auto"/>
          <w:w w:val="95"/>
          <w:sz w:val="30"/>
          <w:szCs w:val="30"/>
        </w:rPr>
        <w:t>项目</w:t>
      </w:r>
      <w:r>
        <w:rPr>
          <w:rFonts w:hint="eastAsia" w:ascii="仿宋_GB2312" w:hAnsi="宋体" w:eastAsia="仿宋_GB2312"/>
          <w:b/>
          <w:bCs/>
          <w:color w:val="auto"/>
          <w:sz w:val="30"/>
          <w:szCs w:val="30"/>
        </w:rPr>
        <w:t>编号</w:t>
      </w:r>
      <w:r>
        <w:rPr>
          <w:rFonts w:hint="eastAsia" w:ascii="仿宋_GB2312" w:hAnsi="宋体" w:eastAsia="仿宋_GB2312" w:cs="Courier New"/>
          <w:b/>
          <w:bCs/>
          <w:color w:val="auto"/>
          <w:w w:val="95"/>
          <w:sz w:val="30"/>
          <w:szCs w:val="30"/>
        </w:rPr>
        <w:t>：GXZC2025-J2-001510-YZLZ</w:t>
      </w:r>
    </w:p>
    <w:p w14:paraId="11FBD0A5">
      <w:pPr>
        <w:pStyle w:val="27"/>
        <w:snapToGrid w:val="0"/>
        <w:spacing w:line="360" w:lineRule="auto"/>
        <w:ind w:firstLine="1145" w:firstLineChars="400"/>
        <w:rPr>
          <w:rFonts w:hint="eastAsia" w:ascii="仿宋_GB2312" w:hAnsi="宋体" w:eastAsia="仿宋_GB2312"/>
          <w:b/>
          <w:bCs/>
          <w:color w:val="auto"/>
          <w:w w:val="95"/>
          <w:sz w:val="30"/>
          <w:szCs w:val="30"/>
        </w:rPr>
      </w:pPr>
      <w:r>
        <w:rPr>
          <w:rFonts w:hint="eastAsia" w:ascii="仿宋_GB2312" w:hAnsi="宋体" w:eastAsia="仿宋_GB2312"/>
          <w:b/>
          <w:bCs/>
          <w:color w:val="auto"/>
          <w:w w:val="95"/>
          <w:sz w:val="30"/>
          <w:szCs w:val="30"/>
        </w:rPr>
        <w:t>采 购 人：广西壮族自治区南溪山医院</w:t>
      </w:r>
    </w:p>
    <w:p w14:paraId="04801074">
      <w:pPr>
        <w:pStyle w:val="27"/>
        <w:snapToGrid w:val="0"/>
        <w:spacing w:line="360" w:lineRule="auto"/>
        <w:ind w:firstLine="2576" w:firstLineChars="900"/>
        <w:rPr>
          <w:rFonts w:hint="eastAsia" w:ascii="仿宋_GB2312" w:hAnsi="宋体" w:eastAsia="仿宋_GB2312"/>
          <w:b/>
          <w:bCs/>
          <w:color w:val="auto"/>
          <w:w w:val="95"/>
          <w:sz w:val="30"/>
          <w:szCs w:val="30"/>
        </w:rPr>
      </w:pPr>
      <w:r>
        <w:rPr>
          <w:rFonts w:hint="eastAsia" w:ascii="仿宋_GB2312" w:hAnsi="宋体" w:eastAsia="仿宋_GB2312"/>
          <w:b/>
          <w:bCs/>
          <w:color w:val="auto"/>
          <w:w w:val="95"/>
          <w:sz w:val="30"/>
          <w:szCs w:val="30"/>
        </w:rPr>
        <w:t xml:space="preserve">（广西壮族自治区第二人民医院） </w:t>
      </w:r>
    </w:p>
    <w:p w14:paraId="4003E2B2">
      <w:pPr>
        <w:pStyle w:val="27"/>
        <w:snapToGrid w:val="0"/>
        <w:spacing w:line="360" w:lineRule="auto"/>
        <w:ind w:firstLine="1125" w:firstLineChars="393"/>
        <w:rPr>
          <w:rFonts w:hint="eastAsia" w:ascii="仿宋_GB2312" w:hAnsi="宋体" w:eastAsia="仿宋_GB2312"/>
          <w:b/>
          <w:bCs/>
          <w:color w:val="auto"/>
          <w:w w:val="95"/>
          <w:sz w:val="30"/>
          <w:szCs w:val="30"/>
        </w:rPr>
      </w:pPr>
      <w:r>
        <w:rPr>
          <w:rFonts w:hint="eastAsia" w:ascii="仿宋_GB2312" w:hAnsi="宋体" w:eastAsia="仿宋_GB2312"/>
          <w:b/>
          <w:bCs/>
          <w:color w:val="auto"/>
          <w:w w:val="95"/>
          <w:sz w:val="30"/>
          <w:szCs w:val="30"/>
        </w:rPr>
        <w:t>采购代理机构：云之龙咨询集团有限公司</w:t>
      </w:r>
    </w:p>
    <w:p w14:paraId="701C951D">
      <w:pPr>
        <w:pStyle w:val="27"/>
        <w:snapToGrid w:val="0"/>
        <w:spacing w:line="360" w:lineRule="auto"/>
        <w:ind w:firstLine="1125" w:firstLineChars="393"/>
        <w:rPr>
          <w:rFonts w:hint="eastAsia" w:ascii="仿宋_GB2312" w:hAnsi="宋体" w:eastAsia="仿宋_GB2312"/>
          <w:b/>
          <w:bCs/>
          <w:color w:val="auto"/>
          <w:w w:val="95"/>
          <w:sz w:val="30"/>
          <w:szCs w:val="30"/>
        </w:rPr>
      </w:pPr>
    </w:p>
    <w:p w14:paraId="13915A32">
      <w:pPr>
        <w:pStyle w:val="27"/>
        <w:snapToGrid w:val="0"/>
        <w:spacing w:line="360" w:lineRule="auto"/>
        <w:ind w:left="420" w:firstLine="841" w:firstLineChars="294"/>
        <w:rPr>
          <w:rFonts w:ascii="仿宋_GB2312" w:eastAsia="仿宋_GB2312"/>
          <w:color w:val="auto"/>
          <w:szCs w:val="20"/>
        </w:rPr>
      </w:pPr>
      <w:r>
        <w:rPr>
          <w:rFonts w:hint="eastAsia" w:ascii="仿宋_GB2312" w:hAnsi="宋体" w:eastAsia="仿宋_GB2312"/>
          <w:b/>
          <w:bCs/>
          <w:color w:val="auto"/>
          <w:w w:val="95"/>
          <w:sz w:val="30"/>
          <w:szCs w:val="30"/>
        </w:rPr>
        <w:t xml:space="preserve">               2025年</w:t>
      </w:r>
      <w:r>
        <w:rPr>
          <w:rFonts w:hint="eastAsia" w:ascii="仿宋_GB2312" w:hAnsi="宋体" w:eastAsia="仿宋_GB2312"/>
          <w:b/>
          <w:bCs/>
          <w:color w:val="auto"/>
          <w:w w:val="95"/>
          <w:sz w:val="30"/>
          <w:szCs w:val="30"/>
          <w:lang w:val="en-US" w:eastAsia="zh-CN"/>
        </w:rPr>
        <w:t>6</w:t>
      </w:r>
      <w:r>
        <w:rPr>
          <w:rFonts w:hint="eastAsia" w:ascii="仿宋_GB2312" w:hAnsi="宋体" w:eastAsia="仿宋_GB2312"/>
          <w:b/>
          <w:bCs/>
          <w:color w:val="auto"/>
          <w:w w:val="95"/>
          <w:sz w:val="30"/>
          <w:szCs w:val="30"/>
        </w:rPr>
        <w:t>月</w:t>
      </w:r>
      <w:r>
        <w:rPr>
          <w:rFonts w:hint="eastAsia" w:ascii="仿宋_GB2312" w:hAnsi="宋体" w:eastAsia="仿宋_GB2312"/>
          <w:b/>
          <w:bCs/>
          <w:color w:val="auto"/>
          <w:w w:val="95"/>
          <w:sz w:val="30"/>
          <w:szCs w:val="30"/>
          <w:lang w:val="en-US" w:eastAsia="zh-CN"/>
        </w:rPr>
        <w:t>9</w:t>
      </w:r>
      <w:r>
        <w:rPr>
          <w:rFonts w:hint="eastAsia" w:ascii="仿宋_GB2312" w:hAnsi="宋体" w:eastAsia="仿宋_GB2312"/>
          <w:b/>
          <w:bCs/>
          <w:color w:val="auto"/>
          <w:w w:val="95"/>
          <w:sz w:val="30"/>
          <w:szCs w:val="30"/>
        </w:rPr>
        <w:t>日</w:t>
      </w:r>
    </w:p>
    <w:p w14:paraId="4A3DEFEE">
      <w:pPr>
        <w:spacing w:line="360" w:lineRule="auto"/>
        <w:jc w:val="center"/>
        <w:rPr>
          <w:rFonts w:hint="eastAsia" w:ascii="宋体" w:hAnsi="宋体" w:cs="宋体"/>
          <w:b/>
          <w:bCs/>
          <w:color w:val="auto"/>
          <w:kern w:val="0"/>
          <w:sz w:val="32"/>
          <w:szCs w:val="32"/>
        </w:rPr>
      </w:pPr>
    </w:p>
    <w:p w14:paraId="452A470A">
      <w:pPr>
        <w:spacing w:line="360" w:lineRule="auto"/>
        <w:jc w:val="center"/>
        <w:rPr>
          <w:rFonts w:hint="eastAsia" w:ascii="宋体" w:hAnsi="宋体"/>
          <w:b/>
          <w:color w:val="auto"/>
          <w:sz w:val="44"/>
          <w:szCs w:val="44"/>
        </w:rPr>
      </w:pPr>
      <w:r>
        <w:rPr>
          <w:rFonts w:hint="eastAsia" w:ascii="黑体" w:hAnsi="黑体" w:eastAsia="黑体" w:cs="宋体"/>
          <w:b/>
          <w:bCs/>
          <w:color w:val="auto"/>
          <w:kern w:val="0"/>
          <w:sz w:val="32"/>
          <w:szCs w:val="32"/>
        </w:rPr>
        <w:br w:type="page"/>
      </w:r>
      <w:r>
        <w:rPr>
          <w:rFonts w:hint="eastAsia" w:ascii="宋体" w:hAnsi="宋体"/>
          <w:b/>
          <w:color w:val="auto"/>
          <w:sz w:val="44"/>
          <w:szCs w:val="44"/>
        </w:rPr>
        <w:t>目  录</w:t>
      </w:r>
    </w:p>
    <w:p w14:paraId="01F432B6">
      <w:pPr>
        <w:spacing w:line="400" w:lineRule="exact"/>
        <w:jc w:val="center"/>
        <w:rPr>
          <w:rFonts w:hint="eastAsia" w:ascii="宋体" w:hAnsi="宋体"/>
          <w:b/>
          <w:color w:val="auto"/>
          <w:sz w:val="44"/>
          <w:szCs w:val="44"/>
        </w:rPr>
      </w:pPr>
    </w:p>
    <w:p w14:paraId="104A2F0F">
      <w:pPr>
        <w:pStyle w:val="34"/>
        <w:tabs>
          <w:tab w:val="right" w:leader="dot" w:pos="8869"/>
        </w:tabs>
        <w:snapToGrid w:val="0"/>
        <w:spacing w:line="500" w:lineRule="atLeast"/>
        <w:rPr>
          <w:rStyle w:val="59"/>
          <w:color w:val="auto"/>
        </w:rPr>
      </w:pPr>
      <w:r>
        <w:rPr>
          <w:rFonts w:ascii="宋体" w:hAnsi="宋体"/>
          <w:b/>
          <w:color w:val="auto"/>
          <w:sz w:val="24"/>
        </w:rPr>
        <w:fldChar w:fldCharType="begin"/>
      </w:r>
      <w:r>
        <w:rPr>
          <w:rFonts w:ascii="宋体" w:hAnsi="宋体"/>
          <w:b/>
          <w:color w:val="auto"/>
          <w:sz w:val="24"/>
        </w:rPr>
        <w:instrText xml:space="preserve"> </w:instrText>
      </w:r>
      <w:r>
        <w:rPr>
          <w:rFonts w:hint="eastAsia" w:ascii="宋体" w:hAnsi="宋体"/>
          <w:b/>
          <w:color w:val="auto"/>
          <w:sz w:val="24"/>
        </w:rPr>
        <w:instrText xml:space="preserve">TOC \o "1-3" \h \z \u</w:instrText>
      </w:r>
      <w:r>
        <w:rPr>
          <w:rFonts w:ascii="宋体" w:hAnsi="宋体"/>
          <w:b/>
          <w:color w:val="auto"/>
          <w:sz w:val="24"/>
        </w:rPr>
        <w:instrText xml:space="preserve"> </w:instrText>
      </w:r>
      <w:r>
        <w:rPr>
          <w:rFonts w:ascii="宋体" w:hAnsi="宋体"/>
          <w:b/>
          <w:color w:val="auto"/>
          <w:sz w:val="24"/>
        </w:rPr>
        <w:fldChar w:fldCharType="separate"/>
      </w:r>
      <w:r>
        <w:rPr>
          <w:color w:val="auto"/>
        </w:rPr>
        <w:fldChar w:fldCharType="begin"/>
      </w:r>
      <w:r>
        <w:rPr>
          <w:color w:val="auto"/>
        </w:rPr>
        <w:instrText xml:space="preserve"> HYPERLINK \l "_Toc74323456" </w:instrText>
      </w:r>
      <w:r>
        <w:rPr>
          <w:color w:val="auto"/>
        </w:rPr>
        <w:fldChar w:fldCharType="separate"/>
      </w:r>
      <w:r>
        <w:rPr>
          <w:rStyle w:val="59"/>
          <w:rFonts w:hint="eastAsia" w:ascii="宋体" w:hAnsi="宋体"/>
          <w:b/>
          <w:color w:val="auto"/>
          <w:sz w:val="24"/>
        </w:rPr>
        <w:t>第一章</w:t>
      </w:r>
      <w:r>
        <w:rPr>
          <w:rStyle w:val="59"/>
          <w:rFonts w:ascii="宋体" w:hAnsi="宋体"/>
          <w:b/>
          <w:color w:val="auto"/>
          <w:sz w:val="24"/>
        </w:rPr>
        <w:t xml:space="preserve"> </w:t>
      </w:r>
      <w:r>
        <w:rPr>
          <w:rStyle w:val="59"/>
          <w:rFonts w:hint="eastAsia" w:ascii="宋体" w:hAnsi="宋体"/>
          <w:b/>
          <w:color w:val="auto"/>
          <w:sz w:val="24"/>
        </w:rPr>
        <w:t>竞争性谈判公告</w:t>
      </w:r>
      <w:r>
        <w:rPr>
          <w:rStyle w:val="59"/>
          <w:color w:val="auto"/>
        </w:rPr>
        <w:tab/>
      </w:r>
      <w:r>
        <w:rPr>
          <w:rStyle w:val="59"/>
          <w:rFonts w:hint="eastAsia"/>
          <w:color w:val="auto"/>
        </w:rPr>
        <w:t>1</w:t>
      </w:r>
      <w:r>
        <w:rPr>
          <w:rStyle w:val="59"/>
          <w:rFonts w:hint="eastAsia"/>
          <w:color w:val="auto"/>
        </w:rPr>
        <w:fldChar w:fldCharType="end"/>
      </w:r>
    </w:p>
    <w:p w14:paraId="08FC1C1C">
      <w:pPr>
        <w:pStyle w:val="34"/>
        <w:tabs>
          <w:tab w:val="right" w:leader="dot" w:pos="8869"/>
        </w:tabs>
        <w:snapToGrid w:val="0"/>
        <w:spacing w:line="500" w:lineRule="atLeast"/>
        <w:rPr>
          <w:rStyle w:val="59"/>
          <w:color w:val="auto"/>
        </w:rPr>
      </w:pPr>
      <w:r>
        <w:rPr>
          <w:color w:val="auto"/>
        </w:rPr>
        <w:fldChar w:fldCharType="begin"/>
      </w:r>
      <w:r>
        <w:rPr>
          <w:color w:val="auto"/>
        </w:rPr>
        <w:instrText xml:space="preserve"> HYPERLINK \l "_Toc74323457" </w:instrText>
      </w:r>
      <w:r>
        <w:rPr>
          <w:color w:val="auto"/>
        </w:rPr>
        <w:fldChar w:fldCharType="separate"/>
      </w:r>
      <w:r>
        <w:rPr>
          <w:rStyle w:val="59"/>
          <w:rFonts w:hint="eastAsia" w:ascii="宋体" w:hAnsi="宋体"/>
          <w:b/>
          <w:color w:val="auto"/>
          <w:sz w:val="24"/>
        </w:rPr>
        <w:t>第二章</w:t>
      </w:r>
      <w:r>
        <w:rPr>
          <w:rStyle w:val="59"/>
          <w:rFonts w:ascii="宋体" w:hAnsi="宋体"/>
          <w:b/>
          <w:color w:val="auto"/>
          <w:sz w:val="24"/>
        </w:rPr>
        <w:t xml:space="preserve"> </w:t>
      </w:r>
      <w:r>
        <w:rPr>
          <w:rStyle w:val="59"/>
          <w:rFonts w:hint="eastAsia" w:ascii="宋体" w:hAnsi="宋体"/>
          <w:b/>
          <w:color w:val="auto"/>
          <w:sz w:val="24"/>
        </w:rPr>
        <w:t>供应</w:t>
      </w:r>
      <w:bookmarkStart w:id="0" w:name="_Hlt82161237"/>
      <w:r>
        <w:rPr>
          <w:rStyle w:val="59"/>
          <w:rFonts w:hint="eastAsia" w:ascii="宋体" w:hAnsi="宋体"/>
          <w:b/>
          <w:color w:val="auto"/>
          <w:sz w:val="24"/>
        </w:rPr>
        <w:t>商</w:t>
      </w:r>
      <w:bookmarkEnd w:id="0"/>
      <w:r>
        <w:rPr>
          <w:rStyle w:val="59"/>
          <w:rFonts w:hint="eastAsia" w:ascii="宋体" w:hAnsi="宋体"/>
          <w:b/>
          <w:color w:val="auto"/>
          <w:sz w:val="24"/>
        </w:rPr>
        <w:t>须知</w:t>
      </w:r>
      <w:r>
        <w:rPr>
          <w:rStyle w:val="59"/>
          <w:color w:val="auto"/>
        </w:rPr>
        <w:tab/>
      </w:r>
      <w:r>
        <w:rPr>
          <w:rStyle w:val="59"/>
          <w:rFonts w:hint="eastAsia"/>
          <w:color w:val="auto"/>
        </w:rPr>
        <w:t>4</w:t>
      </w:r>
      <w:r>
        <w:rPr>
          <w:rStyle w:val="59"/>
          <w:rFonts w:hint="eastAsia"/>
          <w:color w:val="auto"/>
        </w:rPr>
        <w:fldChar w:fldCharType="end"/>
      </w:r>
    </w:p>
    <w:p w14:paraId="4ACF177E">
      <w:pPr>
        <w:pStyle w:val="34"/>
        <w:tabs>
          <w:tab w:val="right" w:leader="dot" w:pos="8869"/>
        </w:tabs>
        <w:snapToGrid w:val="0"/>
        <w:spacing w:line="500" w:lineRule="atLeast"/>
        <w:rPr>
          <w:rStyle w:val="59"/>
          <w:color w:val="auto"/>
        </w:rPr>
      </w:pPr>
      <w:r>
        <w:rPr>
          <w:color w:val="auto"/>
        </w:rPr>
        <w:fldChar w:fldCharType="begin"/>
      </w:r>
      <w:r>
        <w:rPr>
          <w:color w:val="auto"/>
        </w:rPr>
        <w:instrText xml:space="preserve"> HYPERLINK \l "_Toc74323458" </w:instrText>
      </w:r>
      <w:r>
        <w:rPr>
          <w:color w:val="auto"/>
        </w:rPr>
        <w:fldChar w:fldCharType="separate"/>
      </w:r>
      <w:r>
        <w:rPr>
          <w:rStyle w:val="59"/>
          <w:rFonts w:hint="eastAsia" w:ascii="宋体" w:hAnsi="宋体"/>
          <w:b/>
          <w:color w:val="auto"/>
          <w:sz w:val="24"/>
        </w:rPr>
        <w:t>第三章</w:t>
      </w:r>
      <w:r>
        <w:rPr>
          <w:rStyle w:val="59"/>
          <w:rFonts w:ascii="宋体" w:hAnsi="宋体"/>
          <w:b/>
          <w:color w:val="auto"/>
          <w:sz w:val="24"/>
        </w:rPr>
        <w:t xml:space="preserve"> </w:t>
      </w:r>
      <w:r>
        <w:rPr>
          <w:rStyle w:val="59"/>
          <w:rFonts w:hint="eastAsia" w:ascii="宋体" w:hAnsi="宋体"/>
          <w:b/>
          <w:color w:val="auto"/>
          <w:sz w:val="24"/>
        </w:rPr>
        <w:t>采购需</w:t>
      </w:r>
      <w:bookmarkStart w:id="1" w:name="_Hlt82166940"/>
      <w:r>
        <w:rPr>
          <w:rStyle w:val="59"/>
          <w:rFonts w:hint="eastAsia" w:ascii="宋体" w:hAnsi="宋体"/>
          <w:b/>
          <w:color w:val="auto"/>
          <w:sz w:val="24"/>
        </w:rPr>
        <w:t>求</w:t>
      </w:r>
      <w:bookmarkEnd w:id="1"/>
      <w:r>
        <w:rPr>
          <w:rStyle w:val="59"/>
          <w:color w:val="auto"/>
        </w:rPr>
        <w:tab/>
      </w:r>
      <w:r>
        <w:rPr>
          <w:rStyle w:val="59"/>
          <w:rFonts w:hint="eastAsia"/>
          <w:color w:val="auto"/>
        </w:rPr>
        <w:t>23</w:t>
      </w:r>
      <w:r>
        <w:rPr>
          <w:rStyle w:val="59"/>
          <w:rFonts w:hint="eastAsia"/>
          <w:color w:val="auto"/>
        </w:rPr>
        <w:fldChar w:fldCharType="end"/>
      </w:r>
    </w:p>
    <w:p w14:paraId="05C514E5">
      <w:pPr>
        <w:pStyle w:val="34"/>
        <w:tabs>
          <w:tab w:val="right" w:leader="dot" w:pos="8869"/>
        </w:tabs>
        <w:snapToGrid w:val="0"/>
        <w:spacing w:line="500" w:lineRule="atLeast"/>
        <w:rPr>
          <w:rStyle w:val="59"/>
          <w:color w:val="auto"/>
        </w:rPr>
      </w:pPr>
      <w:r>
        <w:rPr>
          <w:color w:val="auto"/>
        </w:rPr>
        <w:fldChar w:fldCharType="begin"/>
      </w:r>
      <w:r>
        <w:rPr>
          <w:color w:val="auto"/>
        </w:rPr>
        <w:instrText xml:space="preserve"> HYPERLINK \l "_Toc74323459" </w:instrText>
      </w:r>
      <w:r>
        <w:rPr>
          <w:color w:val="auto"/>
        </w:rPr>
        <w:fldChar w:fldCharType="separate"/>
      </w:r>
      <w:r>
        <w:rPr>
          <w:rStyle w:val="59"/>
          <w:rFonts w:hint="eastAsia" w:ascii="宋体" w:hAnsi="宋体"/>
          <w:b/>
          <w:color w:val="auto"/>
          <w:sz w:val="24"/>
        </w:rPr>
        <w:t>第四章</w:t>
      </w:r>
      <w:r>
        <w:rPr>
          <w:rStyle w:val="59"/>
          <w:rFonts w:ascii="宋体" w:hAnsi="宋体"/>
          <w:b/>
          <w:color w:val="auto"/>
          <w:sz w:val="24"/>
        </w:rPr>
        <w:t xml:space="preserve"> </w:t>
      </w:r>
      <w:r>
        <w:rPr>
          <w:rStyle w:val="59"/>
          <w:rFonts w:hint="eastAsia" w:ascii="宋体" w:hAnsi="宋体"/>
          <w:b/>
          <w:color w:val="auto"/>
          <w:sz w:val="24"/>
        </w:rPr>
        <w:t>评审程序和评定成交的标准</w:t>
      </w:r>
      <w:r>
        <w:rPr>
          <w:rStyle w:val="59"/>
          <w:color w:val="auto"/>
        </w:rPr>
        <w:tab/>
      </w:r>
      <w:r>
        <w:rPr>
          <w:rStyle w:val="59"/>
          <w:rFonts w:hint="eastAsia"/>
          <w:color w:val="auto"/>
        </w:rPr>
        <w:t>26</w:t>
      </w:r>
      <w:r>
        <w:rPr>
          <w:rStyle w:val="59"/>
          <w:rFonts w:hint="eastAsia"/>
          <w:color w:val="auto"/>
        </w:rPr>
        <w:fldChar w:fldCharType="end"/>
      </w:r>
    </w:p>
    <w:p w14:paraId="74BF39AE">
      <w:pPr>
        <w:pStyle w:val="34"/>
        <w:tabs>
          <w:tab w:val="right" w:leader="dot" w:pos="8869"/>
        </w:tabs>
        <w:snapToGrid w:val="0"/>
        <w:spacing w:line="500" w:lineRule="atLeast"/>
        <w:rPr>
          <w:rStyle w:val="59"/>
          <w:rFonts w:hint="eastAsia" w:ascii="宋体" w:hAnsi="宋体"/>
          <w:b/>
          <w:color w:val="auto"/>
          <w:sz w:val="24"/>
        </w:rPr>
      </w:pPr>
      <w:r>
        <w:rPr>
          <w:color w:val="auto"/>
        </w:rPr>
        <w:fldChar w:fldCharType="begin"/>
      </w:r>
      <w:r>
        <w:rPr>
          <w:color w:val="auto"/>
        </w:rPr>
        <w:instrText xml:space="preserve"> HYPERLINK \l "_Toc74323460" </w:instrText>
      </w:r>
      <w:r>
        <w:rPr>
          <w:color w:val="auto"/>
        </w:rPr>
        <w:fldChar w:fldCharType="separate"/>
      </w:r>
      <w:r>
        <w:rPr>
          <w:rStyle w:val="59"/>
          <w:rFonts w:hint="eastAsia" w:ascii="宋体" w:hAnsi="宋体"/>
          <w:b/>
          <w:color w:val="auto"/>
          <w:sz w:val="24"/>
        </w:rPr>
        <w:t>第五章</w:t>
      </w:r>
      <w:r>
        <w:rPr>
          <w:rStyle w:val="59"/>
          <w:rFonts w:ascii="宋体" w:hAnsi="宋体"/>
          <w:b/>
          <w:color w:val="auto"/>
          <w:sz w:val="24"/>
        </w:rPr>
        <w:t xml:space="preserve"> </w:t>
      </w:r>
      <w:r>
        <w:rPr>
          <w:rStyle w:val="59"/>
          <w:rFonts w:hint="eastAsia" w:ascii="宋体" w:hAnsi="宋体"/>
          <w:b/>
          <w:color w:val="auto"/>
          <w:sz w:val="24"/>
        </w:rPr>
        <w:t>工程量清单及图纸</w:t>
      </w:r>
      <w:r>
        <w:rPr>
          <w:rStyle w:val="59"/>
          <w:color w:val="auto"/>
        </w:rPr>
        <w:tab/>
      </w:r>
      <w:r>
        <w:rPr>
          <w:rStyle w:val="59"/>
          <w:rFonts w:hint="eastAsia"/>
          <w:color w:val="auto"/>
        </w:rPr>
        <w:t>3</w:t>
      </w:r>
      <w:r>
        <w:rPr>
          <w:rStyle w:val="59"/>
          <w:rFonts w:hint="eastAsia"/>
          <w:color w:val="auto"/>
        </w:rPr>
        <w:fldChar w:fldCharType="end"/>
      </w:r>
      <w:r>
        <w:rPr>
          <w:rStyle w:val="59"/>
          <w:rFonts w:hint="eastAsia"/>
          <w:color w:val="auto"/>
        </w:rPr>
        <w:t>1</w:t>
      </w:r>
    </w:p>
    <w:p w14:paraId="6714B3A8">
      <w:pPr>
        <w:pStyle w:val="34"/>
        <w:tabs>
          <w:tab w:val="right" w:leader="dot" w:pos="8869"/>
        </w:tabs>
        <w:snapToGrid w:val="0"/>
        <w:spacing w:line="500" w:lineRule="atLeast"/>
        <w:rPr>
          <w:rStyle w:val="59"/>
          <w:color w:val="auto"/>
        </w:rPr>
      </w:pPr>
      <w:r>
        <w:rPr>
          <w:rStyle w:val="59"/>
          <w:rFonts w:hint="eastAsia" w:ascii="宋体" w:hAnsi="宋体"/>
          <w:b/>
          <w:color w:val="auto"/>
          <w:sz w:val="24"/>
          <w:u w:val="none"/>
        </w:rPr>
        <w:t>第六章</w:t>
      </w:r>
      <w:r>
        <w:rPr>
          <w:rStyle w:val="59"/>
          <w:rFonts w:ascii="宋体" w:hAnsi="宋体"/>
          <w:b/>
          <w:color w:val="auto"/>
          <w:sz w:val="24"/>
          <w:u w:val="none"/>
        </w:rPr>
        <w:t xml:space="preserve"> </w:t>
      </w:r>
      <w:r>
        <w:rPr>
          <w:rStyle w:val="59"/>
          <w:rFonts w:hint="eastAsia" w:ascii="宋体" w:hAnsi="宋体"/>
          <w:b/>
          <w:color w:val="auto"/>
          <w:sz w:val="24"/>
          <w:u w:val="none"/>
        </w:rPr>
        <w:t>响应文件格式</w:t>
      </w:r>
      <w:r>
        <w:rPr>
          <w:rStyle w:val="59"/>
          <w:color w:val="auto"/>
          <w:u w:val="none"/>
        </w:rPr>
        <w:tab/>
      </w:r>
      <w:r>
        <w:rPr>
          <w:rStyle w:val="59"/>
          <w:rFonts w:hint="eastAsia"/>
          <w:color w:val="auto"/>
          <w:u w:val="none"/>
        </w:rPr>
        <w:t>36</w:t>
      </w:r>
    </w:p>
    <w:p w14:paraId="203D2028">
      <w:pPr>
        <w:pStyle w:val="34"/>
        <w:tabs>
          <w:tab w:val="right" w:leader="dot" w:pos="8869"/>
        </w:tabs>
        <w:snapToGrid w:val="0"/>
        <w:spacing w:line="500" w:lineRule="atLeast"/>
        <w:rPr>
          <w:rFonts w:hint="eastAsia" w:ascii="宋体" w:hAnsi="宋体"/>
          <w:color w:val="auto"/>
          <w:sz w:val="24"/>
        </w:rPr>
      </w:pPr>
      <w:r>
        <w:rPr>
          <w:color w:val="auto"/>
        </w:rPr>
        <w:fldChar w:fldCharType="begin"/>
      </w:r>
      <w:r>
        <w:rPr>
          <w:color w:val="auto"/>
        </w:rPr>
        <w:instrText xml:space="preserve"> HYPERLINK \l "_Toc74323461" </w:instrText>
      </w:r>
      <w:r>
        <w:rPr>
          <w:color w:val="auto"/>
        </w:rPr>
        <w:fldChar w:fldCharType="separate"/>
      </w:r>
      <w:r>
        <w:rPr>
          <w:rStyle w:val="59"/>
          <w:rFonts w:hint="eastAsia" w:ascii="宋体" w:hAnsi="宋体"/>
          <w:b/>
          <w:color w:val="auto"/>
          <w:sz w:val="24"/>
        </w:rPr>
        <w:t>第七章</w:t>
      </w:r>
      <w:r>
        <w:rPr>
          <w:rStyle w:val="59"/>
          <w:rFonts w:ascii="宋体" w:hAnsi="宋体"/>
          <w:b/>
          <w:color w:val="auto"/>
          <w:sz w:val="24"/>
        </w:rPr>
        <w:t xml:space="preserve"> </w:t>
      </w:r>
      <w:r>
        <w:rPr>
          <w:rStyle w:val="59"/>
          <w:rFonts w:hint="eastAsia" w:ascii="宋体" w:hAnsi="宋体"/>
          <w:b/>
          <w:color w:val="auto"/>
          <w:sz w:val="24"/>
        </w:rPr>
        <w:t>合同文本</w:t>
      </w:r>
      <w:r>
        <w:rPr>
          <w:rStyle w:val="59"/>
          <w:color w:val="auto"/>
        </w:rPr>
        <w:tab/>
      </w:r>
      <w:r>
        <w:rPr>
          <w:rStyle w:val="59"/>
          <w:color w:val="auto"/>
        </w:rPr>
        <w:fldChar w:fldCharType="end"/>
      </w:r>
      <w:r>
        <w:rPr>
          <w:rStyle w:val="59"/>
          <w:rFonts w:hint="eastAsia"/>
          <w:color w:val="auto"/>
        </w:rPr>
        <w:t>67</w:t>
      </w:r>
    </w:p>
    <w:p w14:paraId="64075620">
      <w:pPr>
        <w:pStyle w:val="40"/>
        <w:tabs>
          <w:tab w:val="right" w:leader="dot" w:pos="8931"/>
          <w:tab w:val="clear" w:pos="8296"/>
        </w:tabs>
        <w:snapToGrid w:val="0"/>
        <w:spacing w:line="500" w:lineRule="atLeast"/>
        <w:ind w:left="0" w:leftChars="0"/>
        <w:rPr>
          <w:rFonts w:hint="eastAsia" w:ascii="宋体" w:hAnsi="宋体"/>
          <w:b/>
          <w:color w:val="auto"/>
          <w:sz w:val="24"/>
        </w:rPr>
      </w:pPr>
      <w:r>
        <w:rPr>
          <w:rFonts w:ascii="宋体" w:hAnsi="宋体"/>
          <w:b/>
          <w:color w:val="auto"/>
          <w:sz w:val="24"/>
        </w:rPr>
        <w:fldChar w:fldCharType="end"/>
      </w:r>
    </w:p>
    <w:p w14:paraId="0880014A">
      <w:pPr>
        <w:spacing w:line="400" w:lineRule="exact"/>
        <w:jc w:val="left"/>
        <w:rPr>
          <w:rFonts w:hint="eastAsia" w:ascii="宋体" w:hAnsi="宋体"/>
          <w:b/>
          <w:color w:val="auto"/>
          <w:sz w:val="32"/>
          <w:szCs w:val="32"/>
        </w:rPr>
      </w:pPr>
    </w:p>
    <w:p w14:paraId="31BE2A6F">
      <w:pPr>
        <w:spacing w:line="400" w:lineRule="exact"/>
        <w:jc w:val="center"/>
        <w:rPr>
          <w:rFonts w:hint="eastAsia" w:ascii="宋体" w:hAnsi="宋体"/>
          <w:b/>
          <w:color w:val="auto"/>
          <w:sz w:val="32"/>
          <w:szCs w:val="32"/>
        </w:rPr>
      </w:pPr>
    </w:p>
    <w:p w14:paraId="676EA0CA">
      <w:pPr>
        <w:spacing w:line="400" w:lineRule="exact"/>
        <w:jc w:val="center"/>
        <w:rPr>
          <w:rFonts w:hint="eastAsia" w:ascii="宋体" w:hAnsi="宋体"/>
          <w:b/>
          <w:color w:val="auto"/>
          <w:sz w:val="32"/>
          <w:szCs w:val="32"/>
        </w:rPr>
      </w:pPr>
    </w:p>
    <w:p w14:paraId="1A1B55A1">
      <w:pPr>
        <w:spacing w:line="400" w:lineRule="exact"/>
        <w:jc w:val="center"/>
        <w:rPr>
          <w:rFonts w:hint="eastAsia" w:ascii="宋体" w:hAnsi="宋体"/>
          <w:b/>
          <w:color w:val="auto"/>
          <w:sz w:val="32"/>
          <w:szCs w:val="32"/>
        </w:rPr>
      </w:pPr>
    </w:p>
    <w:p w14:paraId="25B0B8B6">
      <w:pPr>
        <w:spacing w:line="400" w:lineRule="exact"/>
        <w:jc w:val="center"/>
        <w:rPr>
          <w:rFonts w:hint="eastAsia" w:ascii="宋体" w:hAnsi="宋体"/>
          <w:b/>
          <w:color w:val="auto"/>
          <w:sz w:val="32"/>
          <w:szCs w:val="32"/>
        </w:rPr>
      </w:pPr>
    </w:p>
    <w:p w14:paraId="07AAF2F1">
      <w:pPr>
        <w:spacing w:line="400" w:lineRule="exact"/>
        <w:rPr>
          <w:rFonts w:hint="eastAsia" w:ascii="宋体" w:hAnsi="宋体"/>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4436AC57">
      <w:pPr>
        <w:pStyle w:val="3"/>
        <w:spacing w:after="340" w:line="360" w:lineRule="auto"/>
        <w:jc w:val="center"/>
        <w:rPr>
          <w:color w:val="auto"/>
        </w:rPr>
      </w:pPr>
      <w:bookmarkStart w:id="2" w:name="_Toc74323456"/>
      <w:r>
        <w:rPr>
          <w:rFonts w:hint="eastAsia"/>
          <w:color w:val="auto"/>
        </w:rPr>
        <w:t>第一章 竞争性谈判公告</w:t>
      </w:r>
      <w:bookmarkEnd w:id="2"/>
    </w:p>
    <w:p w14:paraId="007E6691">
      <w:pPr>
        <w:spacing w:line="400" w:lineRule="exact"/>
        <w:jc w:val="center"/>
        <w:rPr>
          <w:rFonts w:hint="eastAsia" w:ascii="宋体" w:hAnsi="宋体"/>
          <w:b/>
          <w:bCs/>
          <w:color w:val="auto"/>
          <w:sz w:val="32"/>
          <w:szCs w:val="32"/>
        </w:rPr>
      </w:pPr>
      <w:r>
        <w:rPr>
          <w:rFonts w:hint="eastAsia" w:ascii="宋体" w:hAnsi="宋体"/>
          <w:b/>
          <w:bCs/>
          <w:color w:val="auto"/>
          <w:sz w:val="32"/>
          <w:szCs w:val="32"/>
        </w:rPr>
        <w:t>竞争性谈判公告</w:t>
      </w:r>
    </w:p>
    <w:p w14:paraId="0C317DCE">
      <w:pPr>
        <w:spacing w:line="360" w:lineRule="auto"/>
        <w:rPr>
          <w:rFonts w:hint="eastAsia" w:ascii="宋体" w:hAnsi="宋体"/>
          <w:color w:val="auto"/>
          <w:szCs w:val="21"/>
        </w:rPr>
      </w:pPr>
    </w:p>
    <w:p w14:paraId="61B3F2F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rPr>
      </w:pPr>
      <w:bookmarkStart w:id="3" w:name="_Hlk37430271"/>
      <w:r>
        <w:rPr>
          <w:rFonts w:hint="eastAsia" w:ascii="宋体" w:hAnsi="宋体"/>
          <w:color w:val="auto"/>
          <w:szCs w:val="21"/>
        </w:rPr>
        <w:t>项目概况</w:t>
      </w:r>
    </w:p>
    <w:p w14:paraId="4F7DF79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rPr>
      </w:pPr>
      <w:r>
        <w:rPr>
          <w:rFonts w:hint="eastAsia" w:ascii="宋体" w:hAnsi="宋体"/>
          <w:color w:val="auto"/>
          <w:szCs w:val="21"/>
          <w:u w:val="single"/>
        </w:rPr>
        <w:t>南溪山医院大礼堂修缮工程</w:t>
      </w:r>
      <w:r>
        <w:rPr>
          <w:rFonts w:hint="eastAsia" w:ascii="宋体" w:hAnsi="宋体"/>
          <w:color w:val="auto"/>
          <w:szCs w:val="21"/>
        </w:rPr>
        <w:t>采购项目的潜在供应商应在广西政府采购云平台（https://www.gcy.zfcg.gxzf.gov.cn）获取（下载）竞争性谈判文件，并于</w:t>
      </w:r>
      <w:r>
        <w:rPr>
          <w:rFonts w:hint="eastAsia" w:ascii="宋体" w:hAnsi="宋体"/>
          <w:bCs/>
          <w:color w:val="auto"/>
          <w:szCs w:val="21"/>
          <w:u w:val="single"/>
        </w:rPr>
        <w:t>2025</w:t>
      </w:r>
      <w:r>
        <w:rPr>
          <w:rFonts w:hint="eastAsia" w:ascii="宋体" w:hAnsi="宋体"/>
          <w:bCs/>
          <w:color w:val="auto"/>
          <w:szCs w:val="21"/>
        </w:rPr>
        <w:t>年</w:t>
      </w:r>
      <w:r>
        <w:rPr>
          <w:rFonts w:hint="eastAsia" w:ascii="宋体" w:hAnsi="宋体"/>
          <w:bCs/>
          <w:color w:val="auto"/>
          <w:szCs w:val="21"/>
          <w:u w:val="single"/>
          <w:lang w:val="en-US" w:eastAsia="zh-CN"/>
        </w:rPr>
        <w:t>6</w:t>
      </w:r>
      <w:r>
        <w:rPr>
          <w:rFonts w:hint="eastAsia" w:ascii="宋体" w:hAnsi="宋体"/>
          <w:bCs/>
          <w:color w:val="auto"/>
          <w:szCs w:val="21"/>
        </w:rPr>
        <w:t>月</w:t>
      </w:r>
      <w:r>
        <w:rPr>
          <w:rFonts w:hint="eastAsia" w:ascii="宋体" w:hAnsi="宋体"/>
          <w:bCs/>
          <w:color w:val="auto"/>
          <w:szCs w:val="21"/>
          <w:u w:val="single"/>
          <w:lang w:val="en-US" w:eastAsia="zh-CN"/>
        </w:rPr>
        <w:t>13</w:t>
      </w:r>
      <w:r>
        <w:rPr>
          <w:rFonts w:hint="eastAsia" w:ascii="宋体" w:hAnsi="宋体"/>
          <w:bCs/>
          <w:color w:val="auto"/>
          <w:szCs w:val="21"/>
        </w:rPr>
        <w:t>日</w:t>
      </w:r>
      <w:r>
        <w:rPr>
          <w:rFonts w:hint="eastAsia" w:ascii="宋体" w:hAnsi="宋体"/>
          <w:bCs/>
          <w:color w:val="auto"/>
          <w:szCs w:val="21"/>
          <w:u w:val="single"/>
        </w:rPr>
        <w:t>10</w:t>
      </w:r>
      <w:r>
        <w:rPr>
          <w:rFonts w:hint="eastAsia" w:ascii="宋体" w:hAnsi="宋体"/>
          <w:bCs/>
          <w:color w:val="auto"/>
          <w:szCs w:val="21"/>
        </w:rPr>
        <w:t>时</w:t>
      </w:r>
      <w:r>
        <w:rPr>
          <w:rFonts w:hint="eastAsia" w:ascii="宋体" w:hAnsi="宋体"/>
          <w:bCs/>
          <w:color w:val="auto"/>
          <w:szCs w:val="21"/>
          <w:u w:val="single"/>
        </w:rPr>
        <w:t>00</w:t>
      </w:r>
      <w:r>
        <w:rPr>
          <w:rFonts w:hint="eastAsia" w:ascii="宋体" w:hAnsi="宋体"/>
          <w:bCs/>
          <w:color w:val="auto"/>
          <w:szCs w:val="21"/>
        </w:rPr>
        <w:t>分（北京时间）前提交（上传）</w:t>
      </w:r>
      <w:r>
        <w:rPr>
          <w:rFonts w:hint="eastAsia" w:ascii="宋体" w:hAnsi="宋体"/>
          <w:color w:val="auto"/>
          <w:szCs w:val="21"/>
        </w:rPr>
        <w:t>响应</w:t>
      </w:r>
      <w:r>
        <w:rPr>
          <w:rFonts w:hint="eastAsia" w:ascii="宋体" w:hAnsi="宋体"/>
          <w:bCs/>
          <w:color w:val="auto"/>
          <w:szCs w:val="21"/>
        </w:rPr>
        <w:t>文件</w:t>
      </w:r>
      <w:r>
        <w:rPr>
          <w:rFonts w:hint="eastAsia" w:ascii="宋体" w:hAnsi="宋体"/>
          <w:color w:val="auto"/>
          <w:szCs w:val="21"/>
        </w:rPr>
        <w:t>。</w:t>
      </w:r>
    </w:p>
    <w:p w14:paraId="2E904103">
      <w:pPr>
        <w:spacing w:line="380" w:lineRule="exact"/>
        <w:ind w:firstLine="354" w:firstLineChars="147"/>
        <w:rPr>
          <w:rFonts w:hint="eastAsia" w:ascii="黑体" w:hAnsi="黑体" w:eastAsia="黑体"/>
          <w:b/>
          <w:color w:val="auto"/>
          <w:sz w:val="24"/>
        </w:rPr>
      </w:pPr>
      <w:bookmarkStart w:id="4" w:name="_Toc35393629"/>
      <w:bookmarkStart w:id="5" w:name="_Toc44229878"/>
      <w:bookmarkStart w:id="6" w:name="_Toc28359012"/>
      <w:bookmarkStart w:id="7" w:name="_Toc28359089"/>
      <w:bookmarkStart w:id="8" w:name="_Toc35393798"/>
      <w:bookmarkStart w:id="9" w:name="_Toc71365905"/>
      <w:r>
        <w:rPr>
          <w:rFonts w:hint="eastAsia" w:ascii="黑体" w:hAnsi="黑体" w:eastAsia="黑体"/>
          <w:b/>
          <w:color w:val="auto"/>
          <w:sz w:val="24"/>
        </w:rPr>
        <w:t>一、项目基本情况</w:t>
      </w:r>
      <w:bookmarkEnd w:id="4"/>
      <w:bookmarkEnd w:id="5"/>
      <w:bookmarkEnd w:id="6"/>
      <w:bookmarkEnd w:id="7"/>
      <w:bookmarkEnd w:id="8"/>
      <w:bookmarkEnd w:id="9"/>
    </w:p>
    <w:p w14:paraId="6F1ACBCE">
      <w:pPr>
        <w:spacing w:line="360" w:lineRule="exact"/>
        <w:ind w:left="210" w:leftChars="100" w:firstLine="210" w:firstLineChars="100"/>
        <w:rPr>
          <w:rFonts w:hint="eastAsia" w:ascii="宋体" w:hAnsi="宋体"/>
          <w:color w:val="auto"/>
          <w:szCs w:val="21"/>
        </w:rPr>
      </w:pPr>
      <w:r>
        <w:rPr>
          <w:rFonts w:hint="eastAsia" w:ascii="宋体" w:hAnsi="宋体"/>
          <w:color w:val="auto"/>
          <w:szCs w:val="21"/>
        </w:rPr>
        <w:t>项目编号：GXZC2025-J2-001510-YZLZ（代理编号：YZLGL2025-J7-013-GXZC；政府采购计划编号：广西政采[2025]10066号）</w:t>
      </w:r>
    </w:p>
    <w:p w14:paraId="7209951E">
      <w:pPr>
        <w:spacing w:line="360" w:lineRule="exact"/>
        <w:ind w:firstLine="420" w:firstLineChars="200"/>
        <w:rPr>
          <w:rFonts w:hint="eastAsia" w:ascii="宋体" w:hAnsi="宋体"/>
          <w:color w:val="auto"/>
          <w:szCs w:val="21"/>
          <w:u w:val="single"/>
        </w:rPr>
      </w:pPr>
      <w:r>
        <w:rPr>
          <w:rFonts w:hint="eastAsia" w:ascii="宋体" w:hAnsi="宋体"/>
          <w:color w:val="auto"/>
          <w:szCs w:val="21"/>
        </w:rPr>
        <w:t>项目名称：南溪山医院大礼堂修缮工程</w:t>
      </w:r>
    </w:p>
    <w:p w14:paraId="74AAA6B1">
      <w:pPr>
        <w:spacing w:line="360" w:lineRule="exact"/>
        <w:ind w:firstLine="420" w:firstLineChars="200"/>
        <w:rPr>
          <w:rFonts w:hint="eastAsia" w:ascii="宋体" w:hAnsi="宋体"/>
          <w:color w:val="auto"/>
          <w:szCs w:val="21"/>
        </w:rPr>
      </w:pPr>
      <w:r>
        <w:rPr>
          <w:rFonts w:hint="eastAsia" w:ascii="宋体" w:hAnsi="宋体"/>
          <w:color w:val="auto"/>
          <w:szCs w:val="21"/>
        </w:rPr>
        <w:t>采购方式：竞争性谈判</w:t>
      </w:r>
    </w:p>
    <w:p w14:paraId="51C9CBD0">
      <w:pPr>
        <w:spacing w:line="360" w:lineRule="exact"/>
        <w:ind w:firstLine="420" w:firstLineChars="200"/>
        <w:rPr>
          <w:rFonts w:hint="eastAsia" w:ascii="宋体" w:hAnsi="宋体"/>
          <w:color w:val="auto"/>
          <w:szCs w:val="21"/>
        </w:rPr>
      </w:pPr>
      <w:r>
        <w:rPr>
          <w:rFonts w:hint="eastAsia" w:ascii="宋体" w:hAnsi="宋体"/>
          <w:color w:val="auto"/>
          <w:szCs w:val="21"/>
        </w:rPr>
        <w:t>预算金额：人民币壹佰叁拾伍万壹仟肆佰捌拾柒元玖角叁分（</w:t>
      </w:r>
      <w:r>
        <w:rPr>
          <w:rFonts w:hint="eastAsia" w:ascii="华文细黑" w:hAnsi="华文细黑" w:eastAsia="华文细黑" w:cs="华文细黑"/>
          <w:color w:val="auto"/>
          <w:szCs w:val="21"/>
        </w:rPr>
        <w:t>￥</w:t>
      </w:r>
      <w:r>
        <w:rPr>
          <w:rFonts w:ascii="宋体" w:hAnsi="宋体"/>
          <w:color w:val="auto"/>
          <w:szCs w:val="21"/>
        </w:rPr>
        <w:t>1351487.93</w:t>
      </w:r>
      <w:r>
        <w:rPr>
          <w:rFonts w:hint="eastAsia" w:ascii="宋体" w:hAnsi="宋体"/>
          <w:color w:val="auto"/>
          <w:szCs w:val="21"/>
        </w:rPr>
        <w:t>）</w:t>
      </w:r>
    </w:p>
    <w:p w14:paraId="459CB99D">
      <w:pPr>
        <w:spacing w:line="360" w:lineRule="exact"/>
        <w:ind w:firstLine="420" w:firstLineChars="200"/>
        <w:rPr>
          <w:rFonts w:hint="eastAsia" w:ascii="宋体" w:hAnsi="宋体"/>
          <w:color w:val="auto"/>
          <w:szCs w:val="21"/>
        </w:rPr>
      </w:pPr>
      <w:r>
        <w:rPr>
          <w:rFonts w:hint="eastAsia" w:ascii="宋体" w:hAnsi="宋体"/>
          <w:color w:val="auto"/>
          <w:szCs w:val="21"/>
        </w:rPr>
        <w:t>最高限价：人民币壹佰叁拾伍万壹仟肆佰捌拾柒元玖角叁分（</w:t>
      </w:r>
      <w:r>
        <w:rPr>
          <w:rFonts w:hint="eastAsia" w:ascii="华文细黑" w:hAnsi="华文细黑" w:eastAsia="华文细黑" w:cs="华文细黑"/>
          <w:color w:val="auto"/>
          <w:szCs w:val="21"/>
        </w:rPr>
        <w:t>￥</w:t>
      </w:r>
      <w:r>
        <w:rPr>
          <w:rFonts w:ascii="宋体" w:hAnsi="宋体"/>
          <w:color w:val="auto"/>
          <w:szCs w:val="21"/>
        </w:rPr>
        <w:t>1351487.93</w:t>
      </w:r>
      <w:r>
        <w:rPr>
          <w:rFonts w:hint="eastAsia" w:ascii="宋体" w:hAnsi="宋体"/>
          <w:color w:val="auto"/>
          <w:szCs w:val="21"/>
        </w:rPr>
        <w:t>）</w:t>
      </w:r>
    </w:p>
    <w:p w14:paraId="288987B7">
      <w:pPr>
        <w:spacing w:line="360" w:lineRule="exact"/>
        <w:ind w:firstLine="420" w:firstLineChars="200"/>
        <w:rPr>
          <w:rFonts w:hint="eastAsia" w:ascii="宋体" w:hAnsi="宋体"/>
          <w:color w:val="auto"/>
          <w:szCs w:val="21"/>
        </w:rPr>
      </w:pPr>
      <w:r>
        <w:rPr>
          <w:rFonts w:hint="eastAsia" w:ascii="宋体" w:hAnsi="宋体"/>
          <w:color w:val="auto"/>
          <w:szCs w:val="21"/>
        </w:rPr>
        <w:t>采购需求：标的的名称、数量：南溪山医院大礼堂修缮工程1项；简要技术需求或者服务要求：工程概况：根据《桂林市文化广电和旅游局关于公布广西壮族自治区南溪山医院院区不可移动文物的通知》，广西壮族自治区南溪山医院大礼堂列为桂林市不可移动文物。南溪山医院大礼堂占地面积1668平方米，主体建筑南北</w:t>
      </w:r>
      <w:r>
        <w:rPr>
          <w:rFonts w:hint="eastAsia" w:ascii="宋体" w:hAnsi="宋体"/>
          <w:color w:val="auto"/>
          <w:szCs w:val="21"/>
          <w:lang w:eastAsia="zh-CN"/>
        </w:rPr>
        <w:t>跨度</w:t>
      </w:r>
      <w:r>
        <w:rPr>
          <w:rFonts w:hint="eastAsia" w:ascii="宋体" w:hAnsi="宋体"/>
          <w:color w:val="auto"/>
          <w:szCs w:val="21"/>
        </w:rPr>
        <w:t>宽</w:t>
      </w:r>
      <w:r>
        <w:rPr>
          <w:rFonts w:hint="eastAsia" w:ascii="宋体" w:hAnsi="宋体"/>
          <w:color w:val="auto"/>
          <w:szCs w:val="21"/>
          <w:lang w:eastAsia="zh-CN"/>
        </w:rPr>
        <w:t>约</w:t>
      </w:r>
      <w:r>
        <w:rPr>
          <w:rFonts w:hint="eastAsia" w:ascii="宋体" w:hAnsi="宋体"/>
          <w:color w:val="auto"/>
          <w:szCs w:val="21"/>
        </w:rPr>
        <w:t>30米，东西长50米，高15米，内部为大跨度、无立柱结构，屋顶为木制梁结构。因医院大礼堂已使用超过50年以上，目前屋顶出现不同程度漏水，房屋顶部部分木质结构梁白蚁啃噬严重，形成安全隐患，墙体局部出现裂纹，需对大礼堂整体进行修缮，能达到安全使用条件。</w:t>
      </w:r>
      <w:r>
        <w:rPr>
          <w:rFonts w:hint="eastAsia" w:ascii="宋体" w:hAnsi="宋体" w:cs="宋体"/>
          <w:color w:val="auto"/>
          <w:szCs w:val="21"/>
        </w:rPr>
        <w:t>工程内容：</w:t>
      </w:r>
      <w:r>
        <w:rPr>
          <w:rFonts w:hint="eastAsia" w:ascii="宋体" w:hAnsi="宋体"/>
          <w:color w:val="auto"/>
          <w:szCs w:val="21"/>
        </w:rPr>
        <w:t>本工程为南溪山医院大礼堂修缮工程，位于桂林市市区内，主要建设内容包括外墙面改造，木走廊修缮，屋面修整。具体详见工程量清单及图纸。</w:t>
      </w:r>
    </w:p>
    <w:p w14:paraId="3F283C7D">
      <w:pPr>
        <w:spacing w:line="360" w:lineRule="exact"/>
        <w:ind w:firstLine="420" w:firstLineChars="200"/>
        <w:rPr>
          <w:rFonts w:hint="eastAsia" w:ascii="宋体" w:hAnsi="宋体"/>
          <w:color w:val="auto"/>
          <w:szCs w:val="21"/>
        </w:rPr>
      </w:pPr>
      <w:r>
        <w:rPr>
          <w:rFonts w:hint="eastAsia" w:ascii="宋体" w:hAnsi="宋体"/>
          <w:color w:val="auto"/>
          <w:szCs w:val="21"/>
        </w:rPr>
        <w:t>合同履行期限：75天（日历天）。</w:t>
      </w:r>
    </w:p>
    <w:p w14:paraId="05A56C6B">
      <w:pPr>
        <w:spacing w:line="360" w:lineRule="exact"/>
        <w:ind w:firstLine="420" w:firstLineChars="200"/>
        <w:rPr>
          <w:rFonts w:hint="eastAsia" w:ascii="宋体" w:hAnsi="宋体"/>
          <w:color w:val="auto"/>
          <w:szCs w:val="21"/>
        </w:rPr>
      </w:pPr>
      <w:r>
        <w:rPr>
          <w:rFonts w:hint="eastAsia" w:ascii="宋体" w:hAnsi="宋体"/>
          <w:color w:val="auto"/>
          <w:szCs w:val="21"/>
        </w:rPr>
        <w:t>本项目不接受联合体参与谈判。</w:t>
      </w:r>
    </w:p>
    <w:p w14:paraId="363CF2A7">
      <w:pPr>
        <w:spacing w:line="360" w:lineRule="exact"/>
        <w:ind w:firstLine="354" w:firstLineChars="147"/>
        <w:rPr>
          <w:rFonts w:hint="eastAsia" w:ascii="黑体" w:hAnsi="黑体" w:eastAsia="黑体"/>
          <w:b/>
          <w:color w:val="auto"/>
          <w:sz w:val="24"/>
        </w:rPr>
      </w:pPr>
      <w:bookmarkStart w:id="10" w:name="_Toc35393630"/>
      <w:bookmarkStart w:id="11" w:name="_Toc71365906"/>
      <w:bookmarkStart w:id="12" w:name="_Toc28359090"/>
      <w:bookmarkStart w:id="13" w:name="_Toc35393799"/>
      <w:bookmarkStart w:id="14" w:name="_Toc28359013"/>
      <w:bookmarkStart w:id="15" w:name="_Toc44229879"/>
      <w:r>
        <w:rPr>
          <w:rFonts w:hint="eastAsia" w:ascii="黑体" w:hAnsi="黑体" w:eastAsia="黑体"/>
          <w:b/>
          <w:color w:val="auto"/>
          <w:sz w:val="24"/>
        </w:rPr>
        <w:t>二、申请人的资格条件：</w:t>
      </w:r>
      <w:bookmarkEnd w:id="10"/>
      <w:bookmarkEnd w:id="11"/>
      <w:bookmarkEnd w:id="12"/>
      <w:bookmarkEnd w:id="13"/>
      <w:bookmarkEnd w:id="14"/>
      <w:bookmarkEnd w:id="15"/>
    </w:p>
    <w:p w14:paraId="5B35C9D5">
      <w:pPr>
        <w:spacing w:line="360" w:lineRule="exact"/>
        <w:ind w:firstLine="420" w:firstLineChars="200"/>
        <w:rPr>
          <w:rFonts w:hint="eastAsia" w:ascii="宋体" w:hAnsi="宋体"/>
          <w:color w:val="auto"/>
          <w:szCs w:val="21"/>
        </w:rPr>
      </w:pPr>
      <w:bookmarkStart w:id="16" w:name="_Toc35393631"/>
      <w:bookmarkStart w:id="17" w:name="_Toc44229880"/>
      <w:bookmarkStart w:id="18" w:name="_Toc35393800"/>
      <w:bookmarkStart w:id="19" w:name="_Toc28359014"/>
      <w:bookmarkStart w:id="20" w:name="_Toc28359091"/>
      <w:r>
        <w:rPr>
          <w:rFonts w:hint="eastAsia" w:ascii="宋体" w:hAnsi="宋体"/>
          <w:color w:val="auto"/>
          <w:szCs w:val="21"/>
        </w:rPr>
        <w:t>1.满足《中华人民共和国政府采购法》第二十二条规定；</w:t>
      </w:r>
    </w:p>
    <w:p w14:paraId="398CD010">
      <w:pPr>
        <w:spacing w:line="36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r>
        <w:rPr>
          <w:rFonts w:hint="eastAsia" w:ascii="宋体" w:hAnsi="宋体" w:cs="宋体"/>
          <w:color w:val="auto"/>
          <w:szCs w:val="21"/>
        </w:rPr>
        <w:t>本项目专门面向中小企业采购，供应商须满足《政府采购促进中小企业发展管理办法》（财库〔2020〕46号）第二条规定。监狱企业、残疾人福利单位视同小型、微型企业</w:t>
      </w:r>
      <w:r>
        <w:rPr>
          <w:rFonts w:hint="eastAsia" w:ascii="宋体" w:hAnsi="宋体"/>
          <w:color w:val="auto"/>
          <w:szCs w:val="21"/>
        </w:rPr>
        <w:t>；</w:t>
      </w:r>
    </w:p>
    <w:p w14:paraId="6A16CDED">
      <w:pPr>
        <w:spacing w:line="360" w:lineRule="exact"/>
        <w:ind w:firstLine="420" w:firstLineChars="200"/>
        <w:rPr>
          <w:rFonts w:hint="eastAsia" w:ascii="宋体" w:hAnsi="宋体"/>
          <w:color w:val="auto"/>
          <w:szCs w:val="21"/>
        </w:rPr>
      </w:pPr>
      <w:r>
        <w:rPr>
          <w:rFonts w:hint="eastAsia" w:ascii="宋体" w:hAnsi="宋体"/>
          <w:color w:val="auto"/>
          <w:szCs w:val="21"/>
        </w:rPr>
        <w:t>3.本项目的特定资格要求：</w:t>
      </w:r>
    </w:p>
    <w:p w14:paraId="07E6EE51">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3.1资质及其他相关要求：</w:t>
      </w:r>
    </w:p>
    <w:p w14:paraId="41515E83">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（1）供应商须具备文物行政主管部门颁发的文物保护工程施工二级及以上资质（业务范围须包含近现代重要史迹及代表性建筑）</w:t>
      </w:r>
      <w:r>
        <w:rPr>
          <w:rFonts w:hint="eastAsia" w:ascii="宋体" w:hAnsi="宋体" w:cs="宋体"/>
          <w:color w:val="auto"/>
          <w:szCs w:val="21"/>
          <w:lang w:eastAsia="zh-CN"/>
        </w:rPr>
        <w:t>及建设行政主管部门颁发的建筑工程施工总承包</w:t>
      </w:r>
      <w:r>
        <w:rPr>
          <w:rFonts w:hint="eastAsia" w:ascii="宋体" w:hAnsi="宋体" w:cs="宋体"/>
          <w:color w:val="auto"/>
          <w:szCs w:val="21"/>
        </w:rPr>
        <w:t>二级及以上资质；</w:t>
      </w:r>
    </w:p>
    <w:p w14:paraId="69A38D32">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（2）供应商须具有有效的安全生产许可证；</w:t>
      </w:r>
    </w:p>
    <w:p w14:paraId="426CAD8D">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（3）供应商在人员、设备、资金等方面具有相应的施工履约能力。</w:t>
      </w:r>
    </w:p>
    <w:p w14:paraId="5E4AD3C3">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3.2项目经理（即责任工程师）要求（1人），须为供应商本单位在职员工：</w:t>
      </w:r>
    </w:p>
    <w:p w14:paraId="77AABC00">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①拟投入本工程项目经理（即责任工程师）须具有中国古迹遗址保护协会颁发的文物保护工程责任工程师资格证书（业务范围须包含近现代重要史迹及代表性建筑）；</w:t>
      </w:r>
    </w:p>
    <w:p w14:paraId="6BFB35DF">
      <w:pPr>
        <w:spacing w:line="360" w:lineRule="exact"/>
        <w:ind w:firstLine="420" w:firstLineChars="200"/>
        <w:rPr>
          <w:color w:val="auto"/>
        </w:rPr>
      </w:pPr>
      <w:r>
        <w:rPr>
          <w:rFonts w:hint="eastAsia" w:ascii="宋体" w:hAnsi="宋体" w:cs="宋体"/>
          <w:color w:val="auto"/>
          <w:szCs w:val="21"/>
        </w:rPr>
        <w:t>②</w:t>
      </w:r>
      <w:r>
        <w:rPr>
          <w:rFonts w:hint="eastAsia"/>
          <w:color w:val="auto"/>
        </w:rPr>
        <w:t>本项目不接受有在建、已中标（成交）未开工或已列为其他项目中标（成交）候选人第一名的责任工程师作为责任工程师。</w:t>
      </w:r>
    </w:p>
    <w:p w14:paraId="1F4E9F2E">
      <w:pPr>
        <w:spacing w:line="360" w:lineRule="exact"/>
        <w:ind w:firstLine="354" w:firstLineChars="147"/>
        <w:rPr>
          <w:rFonts w:hint="eastAsia" w:ascii="黑体" w:hAnsi="黑体" w:eastAsia="黑体"/>
          <w:b/>
          <w:color w:val="auto"/>
          <w:sz w:val="24"/>
        </w:rPr>
      </w:pPr>
      <w:bookmarkStart w:id="21" w:name="_Toc71365907"/>
      <w:r>
        <w:rPr>
          <w:rFonts w:hint="eastAsia" w:ascii="黑体" w:hAnsi="黑体" w:eastAsia="黑体"/>
          <w:b/>
          <w:color w:val="auto"/>
          <w:sz w:val="24"/>
        </w:rPr>
        <w:t>三、获取竞争性谈判文件</w:t>
      </w:r>
      <w:bookmarkEnd w:id="16"/>
      <w:bookmarkEnd w:id="17"/>
      <w:bookmarkEnd w:id="18"/>
      <w:bookmarkEnd w:id="19"/>
      <w:bookmarkEnd w:id="20"/>
      <w:bookmarkEnd w:id="21"/>
    </w:p>
    <w:p w14:paraId="263D623B">
      <w:pPr>
        <w:spacing w:line="360" w:lineRule="exact"/>
        <w:ind w:firstLine="424" w:firstLineChars="202"/>
        <w:rPr>
          <w:rFonts w:hint="eastAsia" w:ascii="宋体" w:hAnsi="宋体" w:cs="宋体"/>
          <w:bCs/>
          <w:color w:val="auto"/>
          <w:kern w:val="0"/>
          <w:szCs w:val="21"/>
        </w:rPr>
      </w:pPr>
      <w:bookmarkStart w:id="22" w:name="_Toc44229881"/>
      <w:bookmarkStart w:id="23" w:name="_Toc35393801"/>
      <w:bookmarkStart w:id="24" w:name="_Toc35393632"/>
      <w:bookmarkStart w:id="25" w:name="_Toc28359092"/>
      <w:bookmarkStart w:id="26" w:name="_Toc28359015"/>
      <w:r>
        <w:rPr>
          <w:rFonts w:hint="eastAsia" w:ascii="宋体" w:hAnsi="宋体" w:cs="宋体"/>
          <w:bCs/>
          <w:color w:val="auto"/>
          <w:kern w:val="0"/>
          <w:szCs w:val="21"/>
        </w:rPr>
        <w:t>时间：2025年</w:t>
      </w:r>
      <w:r>
        <w:rPr>
          <w:rFonts w:hint="eastAsia" w:ascii="宋体" w:hAnsi="宋体" w:cs="宋体"/>
          <w:bCs/>
          <w:color w:val="auto"/>
          <w:kern w:val="0"/>
          <w:szCs w:val="21"/>
          <w:lang w:val="en-US" w:eastAsia="zh-CN"/>
        </w:rPr>
        <w:t>6</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日至2025年</w:t>
      </w:r>
      <w:r>
        <w:rPr>
          <w:rFonts w:hint="eastAsia" w:ascii="宋体" w:hAnsi="宋体" w:cs="宋体"/>
          <w:bCs/>
          <w:color w:val="auto"/>
          <w:kern w:val="0"/>
          <w:szCs w:val="21"/>
          <w:lang w:val="en-US" w:eastAsia="zh-CN"/>
        </w:rPr>
        <w:t>6</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12</w:t>
      </w:r>
      <w:r>
        <w:rPr>
          <w:rFonts w:hint="eastAsia" w:ascii="宋体" w:hAnsi="宋体" w:cs="宋体"/>
          <w:bCs/>
          <w:color w:val="auto"/>
          <w:kern w:val="0"/>
          <w:szCs w:val="21"/>
        </w:rPr>
        <w:t>日，每天上午00:00至11:59，下午12:00至23:59（北京时间，法定节假日除外）</w:t>
      </w:r>
    </w:p>
    <w:p w14:paraId="1BEE45F5">
      <w:pPr>
        <w:spacing w:line="360" w:lineRule="exact"/>
        <w:ind w:firstLine="424" w:firstLineChars="202"/>
        <w:rPr>
          <w:rFonts w:hint="eastAsia" w:ascii="宋体" w:hAnsi="宋体" w:cs="宋体"/>
          <w:bCs/>
          <w:color w:val="auto"/>
          <w:kern w:val="0"/>
          <w:szCs w:val="21"/>
        </w:rPr>
      </w:pPr>
      <w:r>
        <w:rPr>
          <w:rFonts w:hint="eastAsia" w:ascii="宋体" w:hAnsi="宋体" w:cs="宋体"/>
          <w:bCs/>
          <w:color w:val="auto"/>
          <w:kern w:val="0"/>
          <w:szCs w:val="21"/>
        </w:rPr>
        <w:t>地点：广西政府采购云平台（https://www.gcy.zfcg.gxzf.gov.cn）</w:t>
      </w:r>
    </w:p>
    <w:p w14:paraId="1EFE7749">
      <w:pPr>
        <w:spacing w:line="360" w:lineRule="exact"/>
        <w:ind w:firstLine="424" w:firstLineChars="202"/>
        <w:rPr>
          <w:rFonts w:hint="eastAsia" w:ascii="宋体" w:hAnsi="宋体" w:cs="宋体"/>
          <w:bCs/>
          <w:color w:val="auto"/>
          <w:kern w:val="0"/>
          <w:szCs w:val="21"/>
        </w:rPr>
      </w:pPr>
      <w:r>
        <w:rPr>
          <w:rFonts w:hint="eastAsia" w:ascii="宋体" w:hAnsi="宋体" w:cs="宋体"/>
          <w:bCs/>
          <w:color w:val="auto"/>
          <w:kern w:val="0"/>
          <w:szCs w:val="21"/>
        </w:rPr>
        <w:t>方式：网上下载。本项目不提供纸质文件，潜在供应商需使用账号登录或者使用CA登录广西政府采购云平台（https://www.gcy.zfcg.gxzf.gov.cn）-进入“项目采购”应用，在获取采购文件菜单中选择项目，获取竞争性谈判文件。</w:t>
      </w:r>
      <w:r>
        <w:rPr>
          <w:rFonts w:hint="eastAsia" w:ascii="宋体" w:hAnsi="宋体"/>
          <w:color w:val="auto"/>
          <w:szCs w:val="21"/>
        </w:rPr>
        <w:t>电子</w:t>
      </w:r>
      <w:r>
        <w:rPr>
          <w:rFonts w:hint="eastAsia"/>
          <w:color w:val="auto"/>
        </w:rPr>
        <w:t>响应文件</w:t>
      </w:r>
      <w:r>
        <w:rPr>
          <w:rFonts w:hint="eastAsia" w:ascii="宋体" w:hAnsi="宋体"/>
          <w:color w:val="auto"/>
          <w:szCs w:val="21"/>
        </w:rPr>
        <w:t>制作需要基于广西政府采购云平台获取的谈判文件编制，</w:t>
      </w:r>
      <w:r>
        <w:rPr>
          <w:rFonts w:hint="eastAsia" w:ascii="宋体" w:hAnsi="宋体" w:cs="宋体"/>
          <w:bCs/>
          <w:color w:val="auto"/>
          <w:kern w:val="0"/>
          <w:szCs w:val="21"/>
        </w:rPr>
        <w:t>通过其他方式获取谈判文件的，将有可能导致供应商无法在</w:t>
      </w:r>
      <w:r>
        <w:rPr>
          <w:rFonts w:hint="eastAsia" w:ascii="宋体" w:hAnsi="宋体"/>
          <w:color w:val="auto"/>
          <w:szCs w:val="21"/>
        </w:rPr>
        <w:t>广西政府采购云平台</w:t>
      </w:r>
      <w:r>
        <w:rPr>
          <w:rFonts w:hint="eastAsia" w:ascii="宋体" w:hAnsi="宋体" w:cs="宋体"/>
          <w:bCs/>
          <w:color w:val="auto"/>
          <w:kern w:val="0"/>
          <w:szCs w:val="21"/>
        </w:rPr>
        <w:t>编制及上传响应文件。</w:t>
      </w:r>
    </w:p>
    <w:p w14:paraId="2332F69A">
      <w:pPr>
        <w:spacing w:line="360" w:lineRule="exact"/>
        <w:ind w:firstLine="424" w:firstLineChars="202"/>
        <w:rPr>
          <w:rFonts w:hint="eastAsia" w:ascii="宋体" w:hAnsi="宋体" w:cs="宋体"/>
          <w:bCs/>
          <w:color w:val="auto"/>
          <w:kern w:val="0"/>
          <w:szCs w:val="21"/>
        </w:rPr>
      </w:pPr>
      <w:r>
        <w:rPr>
          <w:rFonts w:hint="eastAsia" w:ascii="宋体" w:hAnsi="宋体" w:cs="宋体"/>
          <w:bCs/>
          <w:color w:val="auto"/>
          <w:kern w:val="0"/>
          <w:szCs w:val="21"/>
        </w:rPr>
        <w:t>售价：0元</w:t>
      </w:r>
    </w:p>
    <w:p w14:paraId="752B2591">
      <w:pPr>
        <w:spacing w:line="360" w:lineRule="exact"/>
        <w:ind w:firstLine="354" w:firstLineChars="147"/>
        <w:rPr>
          <w:rFonts w:hint="eastAsia" w:ascii="黑体" w:hAnsi="黑体" w:eastAsia="黑体"/>
          <w:b/>
          <w:color w:val="auto"/>
          <w:sz w:val="24"/>
        </w:rPr>
      </w:pPr>
      <w:bookmarkStart w:id="27" w:name="_Toc71365908"/>
      <w:r>
        <w:rPr>
          <w:rFonts w:hint="eastAsia" w:ascii="黑体" w:hAnsi="黑体" w:eastAsia="黑体"/>
          <w:b/>
          <w:color w:val="auto"/>
          <w:sz w:val="24"/>
        </w:rPr>
        <w:t>四、响应文件提交</w:t>
      </w:r>
      <w:bookmarkEnd w:id="22"/>
      <w:bookmarkEnd w:id="23"/>
      <w:bookmarkEnd w:id="24"/>
      <w:bookmarkEnd w:id="25"/>
      <w:bookmarkEnd w:id="26"/>
      <w:bookmarkEnd w:id="27"/>
    </w:p>
    <w:p w14:paraId="134D31A7">
      <w:pPr>
        <w:spacing w:line="360" w:lineRule="exact"/>
        <w:ind w:firstLine="420" w:firstLineChars="200"/>
        <w:rPr>
          <w:rFonts w:hint="eastAsia" w:ascii="宋体" w:hAnsi="宋体"/>
          <w:color w:val="auto"/>
          <w:szCs w:val="21"/>
        </w:rPr>
      </w:pPr>
      <w:bookmarkStart w:id="28" w:name="_Toc44229882"/>
      <w:bookmarkStart w:id="29" w:name="_Toc35393802"/>
      <w:bookmarkStart w:id="30" w:name="_Toc35393633"/>
      <w:bookmarkStart w:id="31" w:name="_Toc28359093"/>
      <w:bookmarkStart w:id="32" w:name="_Toc28359016"/>
      <w:r>
        <w:rPr>
          <w:rFonts w:hint="eastAsia" w:ascii="宋体" w:hAnsi="宋体"/>
          <w:color w:val="auto"/>
          <w:szCs w:val="21"/>
        </w:rPr>
        <w:t>截止时间：</w:t>
      </w:r>
      <w:r>
        <w:rPr>
          <w:rFonts w:hint="eastAsia" w:ascii="宋体" w:hAnsi="宋体"/>
          <w:bCs/>
          <w:color w:val="auto"/>
          <w:szCs w:val="21"/>
          <w:u w:val="none"/>
        </w:rPr>
        <w:t>2025年</w:t>
      </w:r>
      <w:r>
        <w:rPr>
          <w:rFonts w:hint="eastAsia" w:ascii="宋体" w:hAnsi="宋体"/>
          <w:bCs/>
          <w:color w:val="auto"/>
          <w:szCs w:val="21"/>
          <w:u w:val="none"/>
          <w:lang w:val="en-US" w:eastAsia="zh-CN"/>
        </w:rPr>
        <w:t>6</w:t>
      </w:r>
      <w:r>
        <w:rPr>
          <w:rFonts w:hint="eastAsia" w:ascii="宋体" w:hAnsi="宋体"/>
          <w:bCs/>
          <w:color w:val="auto"/>
          <w:szCs w:val="21"/>
          <w:u w:val="none"/>
        </w:rPr>
        <w:t>月</w:t>
      </w:r>
      <w:r>
        <w:rPr>
          <w:rFonts w:hint="eastAsia" w:ascii="宋体" w:hAnsi="宋体"/>
          <w:bCs/>
          <w:color w:val="auto"/>
          <w:szCs w:val="21"/>
          <w:u w:val="none"/>
          <w:lang w:val="en-US" w:eastAsia="zh-CN"/>
        </w:rPr>
        <w:t>13</w:t>
      </w:r>
      <w:r>
        <w:rPr>
          <w:rFonts w:hint="eastAsia" w:ascii="宋体" w:hAnsi="宋体"/>
          <w:bCs/>
          <w:color w:val="auto"/>
          <w:szCs w:val="21"/>
          <w:u w:val="none"/>
        </w:rPr>
        <w:t>日</w:t>
      </w:r>
      <w:r>
        <w:rPr>
          <w:rFonts w:hint="eastAsia" w:ascii="宋体" w:hAnsi="宋体"/>
          <w:color w:val="auto"/>
          <w:szCs w:val="21"/>
        </w:rPr>
        <w:t>上午10点00分（北京时间）</w:t>
      </w:r>
    </w:p>
    <w:p w14:paraId="13767E74">
      <w:pPr>
        <w:spacing w:line="360" w:lineRule="exact"/>
        <w:ind w:firstLine="420" w:firstLineChars="200"/>
        <w:rPr>
          <w:rFonts w:hint="eastAsia" w:ascii="宋体" w:hAnsi="宋体"/>
          <w:color w:val="auto"/>
          <w:szCs w:val="21"/>
        </w:rPr>
      </w:pPr>
      <w:r>
        <w:rPr>
          <w:rFonts w:hint="eastAsia" w:ascii="宋体" w:hAnsi="宋体"/>
          <w:color w:val="auto"/>
          <w:szCs w:val="21"/>
        </w:rPr>
        <w:t>地点：广西政府采购云平台（</w:t>
      </w:r>
      <w:r>
        <w:rPr>
          <w:rFonts w:hint="eastAsia" w:ascii="宋体" w:hAnsi="宋体"/>
          <w:bCs/>
          <w:color w:val="auto"/>
          <w:szCs w:val="21"/>
        </w:rPr>
        <w:t>https://www.gcy.zfcg.gxzf.gov.cn）</w:t>
      </w:r>
    </w:p>
    <w:p w14:paraId="43DDF71D">
      <w:pPr>
        <w:spacing w:line="360" w:lineRule="exact"/>
        <w:ind w:firstLine="354" w:firstLineChars="147"/>
        <w:rPr>
          <w:rFonts w:hint="eastAsia" w:ascii="黑体" w:hAnsi="黑体" w:eastAsia="黑体"/>
          <w:b/>
          <w:color w:val="auto"/>
          <w:sz w:val="24"/>
        </w:rPr>
      </w:pPr>
      <w:bookmarkStart w:id="33" w:name="_Toc71365909"/>
      <w:r>
        <w:rPr>
          <w:rFonts w:hint="eastAsia" w:ascii="黑体" w:hAnsi="黑体" w:eastAsia="黑体"/>
          <w:b/>
          <w:color w:val="auto"/>
          <w:sz w:val="24"/>
        </w:rPr>
        <w:t>五、开启</w:t>
      </w:r>
      <w:bookmarkEnd w:id="28"/>
      <w:bookmarkEnd w:id="29"/>
      <w:bookmarkEnd w:id="30"/>
      <w:bookmarkEnd w:id="31"/>
      <w:bookmarkEnd w:id="32"/>
      <w:bookmarkEnd w:id="33"/>
    </w:p>
    <w:p w14:paraId="355DFE9C">
      <w:pPr>
        <w:spacing w:line="360" w:lineRule="exact"/>
        <w:ind w:firstLine="420" w:firstLineChars="200"/>
        <w:rPr>
          <w:rFonts w:hint="eastAsia" w:ascii="宋体" w:hAnsi="宋体"/>
          <w:bCs/>
          <w:color w:val="auto"/>
          <w:szCs w:val="21"/>
          <w:u w:val="single"/>
        </w:rPr>
      </w:pPr>
      <w:r>
        <w:rPr>
          <w:rFonts w:hint="eastAsia" w:ascii="宋体" w:hAnsi="宋体"/>
          <w:color w:val="auto"/>
          <w:szCs w:val="21"/>
        </w:rPr>
        <w:t>时间：</w:t>
      </w:r>
      <w:r>
        <w:rPr>
          <w:rFonts w:hint="eastAsia" w:ascii="宋体" w:hAnsi="宋体"/>
          <w:bCs/>
          <w:color w:val="auto"/>
          <w:szCs w:val="21"/>
          <w:u w:val="none"/>
        </w:rPr>
        <w:t>2025年</w:t>
      </w:r>
      <w:r>
        <w:rPr>
          <w:rFonts w:hint="eastAsia" w:ascii="宋体" w:hAnsi="宋体"/>
          <w:bCs/>
          <w:color w:val="auto"/>
          <w:szCs w:val="21"/>
          <w:u w:val="none"/>
          <w:lang w:val="en-US" w:eastAsia="zh-CN"/>
        </w:rPr>
        <w:t>6</w:t>
      </w:r>
      <w:r>
        <w:rPr>
          <w:rFonts w:hint="eastAsia" w:ascii="宋体" w:hAnsi="宋体"/>
          <w:bCs/>
          <w:color w:val="auto"/>
          <w:szCs w:val="21"/>
          <w:u w:val="none"/>
        </w:rPr>
        <w:t>月</w:t>
      </w:r>
      <w:r>
        <w:rPr>
          <w:rFonts w:hint="eastAsia" w:ascii="宋体" w:hAnsi="宋体"/>
          <w:bCs/>
          <w:color w:val="auto"/>
          <w:szCs w:val="21"/>
          <w:u w:val="none"/>
          <w:lang w:val="en-US" w:eastAsia="zh-CN"/>
        </w:rPr>
        <w:t>13</w:t>
      </w:r>
      <w:r>
        <w:rPr>
          <w:rFonts w:hint="eastAsia" w:ascii="宋体" w:hAnsi="宋体"/>
          <w:bCs/>
          <w:color w:val="auto"/>
          <w:szCs w:val="21"/>
          <w:u w:val="none"/>
        </w:rPr>
        <w:t>日</w:t>
      </w:r>
      <w:r>
        <w:rPr>
          <w:rFonts w:hint="eastAsia" w:ascii="宋体" w:hAnsi="宋体"/>
          <w:bCs/>
          <w:color w:val="auto"/>
          <w:szCs w:val="21"/>
        </w:rPr>
        <w:t>上午10时00分（北京时间）</w:t>
      </w:r>
    </w:p>
    <w:p w14:paraId="71FD6FCD">
      <w:pPr>
        <w:spacing w:line="360" w:lineRule="exact"/>
        <w:ind w:firstLine="420" w:firstLineChars="200"/>
        <w:rPr>
          <w:rFonts w:hint="eastAsia" w:ascii="宋体" w:hAnsi="宋体"/>
          <w:bCs/>
          <w:color w:val="auto"/>
          <w:szCs w:val="21"/>
          <w:u w:val="single"/>
        </w:rPr>
      </w:pPr>
      <w:r>
        <w:rPr>
          <w:rFonts w:hint="eastAsia" w:ascii="宋体" w:hAnsi="宋体"/>
          <w:color w:val="auto"/>
          <w:szCs w:val="21"/>
        </w:rPr>
        <w:t>地点：广西政府采购云平台（</w:t>
      </w:r>
      <w:r>
        <w:rPr>
          <w:rFonts w:hint="eastAsia" w:ascii="宋体" w:hAnsi="宋体"/>
          <w:bCs/>
          <w:color w:val="auto"/>
          <w:szCs w:val="21"/>
        </w:rPr>
        <w:t>https://www.gcy.zfcg.gxzf.gov.cn）</w:t>
      </w:r>
    </w:p>
    <w:p w14:paraId="22B6F01A">
      <w:pPr>
        <w:spacing w:line="360" w:lineRule="exact"/>
        <w:ind w:firstLine="354" w:firstLineChars="147"/>
        <w:rPr>
          <w:rFonts w:hint="eastAsia" w:ascii="黑体" w:hAnsi="黑体" w:eastAsia="黑体"/>
          <w:b/>
          <w:color w:val="auto"/>
          <w:sz w:val="24"/>
        </w:rPr>
      </w:pPr>
      <w:bookmarkStart w:id="34" w:name="_Toc44229883"/>
      <w:bookmarkStart w:id="35" w:name="_Toc28359094"/>
      <w:bookmarkStart w:id="36" w:name="_Toc35393634"/>
      <w:bookmarkStart w:id="37" w:name="_Toc35393803"/>
      <w:bookmarkStart w:id="38" w:name="_Toc71365910"/>
      <w:bookmarkStart w:id="39" w:name="_Toc28359017"/>
      <w:r>
        <w:rPr>
          <w:rFonts w:hint="eastAsia" w:ascii="黑体" w:hAnsi="黑体" w:eastAsia="黑体"/>
          <w:b/>
          <w:color w:val="auto"/>
          <w:sz w:val="24"/>
        </w:rPr>
        <w:t>六、公告期限</w:t>
      </w:r>
      <w:bookmarkEnd w:id="34"/>
      <w:bookmarkEnd w:id="35"/>
      <w:bookmarkEnd w:id="36"/>
      <w:bookmarkEnd w:id="37"/>
      <w:bookmarkEnd w:id="38"/>
      <w:bookmarkEnd w:id="39"/>
    </w:p>
    <w:p w14:paraId="5F25ED2F">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自本公告发布之日起3个工作日。</w:t>
      </w:r>
    </w:p>
    <w:p w14:paraId="4D0918D0">
      <w:pPr>
        <w:spacing w:line="360" w:lineRule="exact"/>
        <w:ind w:firstLine="354" w:firstLineChars="147"/>
        <w:rPr>
          <w:rFonts w:hint="eastAsia" w:ascii="黑体" w:hAnsi="黑体" w:eastAsia="黑体"/>
          <w:b/>
          <w:color w:val="auto"/>
          <w:sz w:val="24"/>
        </w:rPr>
      </w:pPr>
      <w:bookmarkStart w:id="40" w:name="_Toc35393804"/>
      <w:bookmarkStart w:id="41" w:name="_Toc71365911"/>
      <w:bookmarkStart w:id="42" w:name="_Toc44229884"/>
      <w:bookmarkStart w:id="43" w:name="_Toc35393635"/>
      <w:r>
        <w:rPr>
          <w:rFonts w:hint="eastAsia" w:ascii="黑体" w:hAnsi="黑体" w:eastAsia="黑体"/>
          <w:b/>
          <w:color w:val="auto"/>
          <w:sz w:val="24"/>
        </w:rPr>
        <w:t>七、其他补充事宜</w:t>
      </w:r>
      <w:bookmarkEnd w:id="40"/>
      <w:bookmarkEnd w:id="41"/>
      <w:bookmarkEnd w:id="42"/>
      <w:bookmarkEnd w:id="43"/>
    </w:p>
    <w:p w14:paraId="7109BD40">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网上查询地址</w:t>
      </w:r>
    </w:p>
    <w:p w14:paraId="1DAE2A5A">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中国政府采购网（</w:t>
      </w:r>
      <w:r>
        <w:rPr>
          <w:rFonts w:ascii="宋体" w:hAnsi="宋体" w:cs="宋体"/>
          <w:color w:val="auto"/>
          <w:kern w:val="0"/>
          <w:szCs w:val="21"/>
        </w:rPr>
        <w:t>http://www.ccgp.gov.cn/</w:t>
      </w:r>
      <w:r>
        <w:rPr>
          <w:rFonts w:hint="eastAsia" w:ascii="宋体" w:hAnsi="宋体" w:cs="宋体"/>
          <w:color w:val="auto"/>
          <w:kern w:val="0"/>
          <w:szCs w:val="21"/>
        </w:rPr>
        <w:t>）、广西壮族自治区政府采购网（</w:t>
      </w:r>
      <w:r>
        <w:rPr>
          <w:rFonts w:ascii="宋体" w:hAnsi="宋体" w:cs="宋体"/>
          <w:color w:val="auto"/>
          <w:kern w:val="0"/>
          <w:szCs w:val="21"/>
        </w:rPr>
        <w:t>http://zfcg.gxzf.gov.cn/</w:t>
      </w:r>
      <w:r>
        <w:rPr>
          <w:rFonts w:hint="eastAsia" w:ascii="宋体" w:hAnsi="宋体" w:cs="宋体"/>
          <w:color w:val="auto"/>
          <w:kern w:val="0"/>
          <w:szCs w:val="21"/>
        </w:rPr>
        <w:t>）</w:t>
      </w:r>
      <w:r>
        <w:rPr>
          <w:rFonts w:hint="eastAsia" w:ascii="宋体" w:hAnsi="宋体" w:cs="宋体"/>
          <w:i/>
          <w:color w:val="auto"/>
          <w:kern w:val="0"/>
          <w:szCs w:val="21"/>
        </w:rPr>
        <w:t>。</w:t>
      </w:r>
    </w:p>
    <w:p w14:paraId="3D9B79F7">
      <w:pPr>
        <w:spacing w:line="360" w:lineRule="exact"/>
        <w:ind w:firstLine="420" w:firstLineChars="200"/>
        <w:rPr>
          <w:rFonts w:hint="eastAsia" w:ascii="宋体" w:hAnsi="宋体" w:cs="宋体"/>
          <w:color w:val="auto"/>
          <w:kern w:val="0"/>
          <w:szCs w:val="21"/>
        </w:rPr>
      </w:pPr>
      <w:bookmarkStart w:id="44" w:name="_Hlk37429674"/>
      <w:bookmarkStart w:id="45" w:name="_Toc28359095"/>
      <w:bookmarkStart w:id="46" w:name="_Toc35393636"/>
      <w:bookmarkStart w:id="47" w:name="_Toc35393805"/>
      <w:bookmarkStart w:id="48" w:name="_Toc44229885"/>
      <w:bookmarkStart w:id="49" w:name="_Toc28359018"/>
      <w:r>
        <w:rPr>
          <w:rFonts w:hint="eastAsia" w:ascii="宋体" w:hAnsi="宋体" w:cs="宋体"/>
          <w:color w:val="auto"/>
          <w:kern w:val="0"/>
          <w:szCs w:val="21"/>
        </w:rPr>
        <w:t>2</w:t>
      </w:r>
      <w:r>
        <w:rPr>
          <w:rFonts w:ascii="宋体" w:hAnsi="宋体" w:cs="宋体"/>
          <w:color w:val="auto"/>
          <w:kern w:val="0"/>
          <w:szCs w:val="21"/>
        </w:rPr>
        <w:t>.</w:t>
      </w:r>
      <w:r>
        <w:rPr>
          <w:rFonts w:hint="eastAsia" w:ascii="宋体" w:hAnsi="宋体" w:cs="宋体"/>
          <w:color w:val="auto"/>
          <w:kern w:val="0"/>
          <w:szCs w:val="21"/>
        </w:rPr>
        <w:t>本项目需要落实的政府采购政策</w:t>
      </w:r>
    </w:p>
    <w:p w14:paraId="10A2C636">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14:paraId="4F9AB20D">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（2）政府采购支持采用本国产品的政策。</w:t>
      </w:r>
    </w:p>
    <w:p w14:paraId="7CAD6B8B">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2403B6FF">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（4）政府采购促进残疾人就业政策。</w:t>
      </w:r>
    </w:p>
    <w:p w14:paraId="3D902616">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（5）政府采购支持监狱企业发展。</w:t>
      </w:r>
    </w:p>
    <w:bookmarkEnd w:id="44"/>
    <w:p w14:paraId="5E11DE7A">
      <w:pPr>
        <w:widowControl/>
        <w:spacing w:line="360" w:lineRule="exact"/>
        <w:ind w:firstLine="420" w:firstLineChars="200"/>
        <w:jc w:val="left"/>
        <w:rPr>
          <w:rFonts w:hint="eastAsia" w:ascii="宋体" w:hAnsi="宋体"/>
          <w:color w:val="auto"/>
          <w:szCs w:val="21"/>
        </w:rPr>
      </w:pPr>
      <w:r>
        <w:rPr>
          <w:rFonts w:hint="eastAsia" w:ascii="宋体" w:hAnsi="宋体" w:cs="宋体"/>
          <w:color w:val="auto"/>
          <w:kern w:val="0"/>
          <w:szCs w:val="21"/>
        </w:rPr>
        <w:t>3.供应商</w:t>
      </w:r>
      <w:r>
        <w:rPr>
          <w:rFonts w:hint="eastAsia" w:ascii="宋体" w:hAnsi="宋体"/>
          <w:color w:val="auto"/>
          <w:szCs w:val="21"/>
        </w:rPr>
        <w:t>竞标注意事项</w:t>
      </w:r>
    </w:p>
    <w:p w14:paraId="6E90C8E8">
      <w:pPr>
        <w:spacing w:line="360" w:lineRule="exact"/>
        <w:ind w:firstLine="424" w:firstLineChars="202"/>
        <w:rPr>
          <w:rFonts w:hint="eastAsia" w:ascii="宋体" w:hAnsi="宋体"/>
          <w:color w:val="auto"/>
          <w:szCs w:val="21"/>
        </w:rPr>
      </w:pPr>
      <w:r>
        <w:rPr>
          <w:rFonts w:hint="eastAsia" w:ascii="宋体" w:hAnsi="宋体"/>
          <w:color w:val="auto"/>
          <w:szCs w:val="21"/>
        </w:rPr>
        <w:t>（1）本项目为全流程电子化采购项目，通过广西政府采购云平台（</w:t>
      </w:r>
      <w:r>
        <w:rPr>
          <w:rFonts w:hint="eastAsia" w:ascii="宋体" w:hAnsi="宋体"/>
          <w:bCs/>
          <w:color w:val="auto"/>
          <w:szCs w:val="21"/>
        </w:rPr>
        <w:t>https://www.gcy.zfcg.gxzf.gov.cn）实行在线电子竞标，供应商应按照本项目竞争性谈判文件和广西政府采购云平台的要求编制、加密</w:t>
      </w:r>
      <w:r>
        <w:rPr>
          <w:rFonts w:hint="eastAsia" w:ascii="宋体" w:hAnsi="宋体"/>
          <w:color w:val="auto"/>
          <w:szCs w:val="21"/>
        </w:rPr>
        <w:t>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43785D46">
      <w:pPr>
        <w:spacing w:line="360" w:lineRule="exact"/>
        <w:ind w:firstLine="424" w:firstLineChars="202"/>
        <w:rPr>
          <w:rFonts w:hint="eastAsia" w:ascii="宋体" w:hAnsi="宋体"/>
          <w:color w:val="auto"/>
          <w:szCs w:val="21"/>
        </w:rPr>
      </w:pPr>
      <w:r>
        <w:rPr>
          <w:rFonts w:hint="eastAsia" w:ascii="宋体" w:hAnsi="宋体"/>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0771-3381253）。</w:t>
      </w:r>
    </w:p>
    <w:p w14:paraId="7B9F1CF8">
      <w:pPr>
        <w:spacing w:line="360" w:lineRule="exact"/>
        <w:ind w:firstLine="424" w:firstLineChars="202"/>
        <w:rPr>
          <w:rFonts w:hint="eastAsia" w:ascii="宋体" w:hAnsi="宋体"/>
          <w:color w:val="auto"/>
          <w:szCs w:val="21"/>
        </w:rPr>
      </w:pPr>
      <w:r>
        <w:rPr>
          <w:rFonts w:hint="eastAsia" w:ascii="宋体" w:hAnsi="宋体"/>
          <w:color w:val="auto"/>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22274E6E">
      <w:pPr>
        <w:spacing w:line="360" w:lineRule="exact"/>
        <w:ind w:firstLine="424" w:firstLineChars="202"/>
        <w:rPr>
          <w:rFonts w:hint="eastAsia" w:ascii="宋体" w:hAnsi="宋体"/>
          <w:color w:val="auto"/>
          <w:szCs w:val="21"/>
        </w:rPr>
      </w:pPr>
      <w:r>
        <w:rPr>
          <w:rFonts w:hint="eastAsia" w:ascii="宋体" w:hAnsi="宋体"/>
          <w:color w:val="auto"/>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8F8A102">
      <w:pPr>
        <w:spacing w:line="360" w:lineRule="exact"/>
        <w:ind w:firstLine="424" w:firstLineChars="202"/>
        <w:rPr>
          <w:rFonts w:hint="eastAsia" w:ascii="宋体" w:hAnsi="宋体"/>
          <w:color w:val="auto"/>
          <w:szCs w:val="21"/>
        </w:rPr>
      </w:pPr>
      <w:r>
        <w:rPr>
          <w:rFonts w:hint="eastAsia" w:ascii="宋体" w:hAnsi="宋体"/>
          <w:color w:val="auto"/>
          <w:szCs w:val="21"/>
        </w:rPr>
        <w:t>（4）供应商需要在具备摄像头及语音功能且互联网网络状况良好的电脑登录广西政府采购云平台远程开标大厅参与本次谈判，否则后果自负。</w:t>
      </w:r>
    </w:p>
    <w:p w14:paraId="5545BBC4">
      <w:pPr>
        <w:spacing w:line="360" w:lineRule="exact"/>
        <w:ind w:firstLine="354" w:firstLineChars="147"/>
        <w:rPr>
          <w:rFonts w:hint="eastAsia" w:ascii="黑体" w:hAnsi="黑体" w:eastAsia="黑体"/>
          <w:b/>
          <w:color w:val="auto"/>
          <w:sz w:val="24"/>
        </w:rPr>
      </w:pPr>
      <w:r>
        <w:rPr>
          <w:rFonts w:hint="eastAsia" w:ascii="黑体" w:hAnsi="黑体" w:eastAsia="黑体"/>
          <w:b/>
          <w:color w:val="auto"/>
          <w:sz w:val="24"/>
        </w:rPr>
        <w:t>八、凡对本次采购提出询问，请按</w:t>
      </w:r>
      <w:r>
        <w:rPr>
          <w:rFonts w:ascii="黑体" w:hAnsi="黑体" w:eastAsia="黑体"/>
          <w:b/>
          <w:color w:val="auto"/>
          <w:sz w:val="24"/>
        </w:rPr>
        <w:t>以下方式</w:t>
      </w:r>
      <w:r>
        <w:rPr>
          <w:rFonts w:hint="eastAsia" w:ascii="黑体" w:hAnsi="黑体" w:eastAsia="黑体"/>
          <w:b/>
          <w:color w:val="auto"/>
          <w:sz w:val="24"/>
        </w:rPr>
        <w:t>联系。</w:t>
      </w:r>
      <w:bookmarkEnd w:id="45"/>
      <w:bookmarkEnd w:id="46"/>
      <w:bookmarkEnd w:id="47"/>
      <w:bookmarkEnd w:id="48"/>
      <w:bookmarkEnd w:id="49"/>
    </w:p>
    <w:p w14:paraId="6F413993">
      <w:pPr>
        <w:spacing w:line="360" w:lineRule="exact"/>
        <w:ind w:firstLine="424" w:firstLineChars="202"/>
        <w:rPr>
          <w:rFonts w:hint="eastAsia" w:ascii="宋体" w:hAnsi="宋体"/>
          <w:color w:val="auto"/>
          <w:szCs w:val="21"/>
        </w:rPr>
      </w:pPr>
      <w:r>
        <w:rPr>
          <w:rFonts w:hint="eastAsia" w:ascii="宋体" w:hAnsi="宋体"/>
          <w:color w:val="auto"/>
          <w:szCs w:val="21"/>
        </w:rPr>
        <w:t>1.采购人信息</w:t>
      </w:r>
    </w:p>
    <w:p w14:paraId="344AA168">
      <w:pPr>
        <w:widowControl/>
        <w:spacing w:line="360" w:lineRule="exact"/>
        <w:ind w:firstLine="420" w:firstLineChars="200"/>
        <w:jc w:val="left"/>
        <w:rPr>
          <w:rFonts w:hint="eastAsia" w:ascii="宋体" w:hAnsi="宋体" w:cs="宋体"/>
          <w:bCs/>
          <w:color w:val="auto"/>
          <w:szCs w:val="21"/>
        </w:rPr>
      </w:pPr>
      <w:bookmarkStart w:id="50" w:name="_Toc28359086"/>
      <w:bookmarkStart w:id="51" w:name="_Toc28359009"/>
      <w:r>
        <w:rPr>
          <w:rFonts w:hint="eastAsia" w:ascii="宋体" w:hAnsi="宋体" w:cs="宋体"/>
          <w:bCs/>
          <w:color w:val="auto"/>
          <w:szCs w:val="21"/>
        </w:rPr>
        <w:t>名称：广西壮族自治区南溪山医院（广西壮族自治区第二人民医院）</w:t>
      </w:r>
    </w:p>
    <w:p w14:paraId="2E1EE6ED">
      <w:pPr>
        <w:widowControl/>
        <w:spacing w:line="36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地址：广西桂林市象山区崇信路46号　</w:t>
      </w:r>
    </w:p>
    <w:p w14:paraId="728DEB42">
      <w:pPr>
        <w:spacing w:line="360" w:lineRule="exact"/>
        <w:ind w:firstLine="424" w:firstLineChars="202"/>
        <w:rPr>
          <w:rFonts w:hint="eastAsia" w:ascii="宋体" w:hAnsi="宋体"/>
          <w:color w:val="auto"/>
          <w:szCs w:val="21"/>
        </w:rPr>
      </w:pPr>
      <w:r>
        <w:rPr>
          <w:rFonts w:hint="eastAsia" w:ascii="宋体" w:hAnsi="宋体" w:cs="宋体"/>
          <w:bCs/>
          <w:color w:val="auto"/>
          <w:szCs w:val="21"/>
        </w:rPr>
        <w:t>联系方式：温麟   0773-7592156</w:t>
      </w:r>
    </w:p>
    <w:bookmarkEnd w:id="50"/>
    <w:bookmarkEnd w:id="51"/>
    <w:p w14:paraId="49874906">
      <w:pPr>
        <w:spacing w:line="360" w:lineRule="exact"/>
        <w:ind w:firstLine="424" w:firstLineChars="202"/>
        <w:rPr>
          <w:rFonts w:hint="eastAsia" w:ascii="宋体" w:hAnsi="宋体"/>
          <w:color w:val="auto"/>
          <w:szCs w:val="21"/>
        </w:rPr>
      </w:pPr>
      <w:r>
        <w:rPr>
          <w:rFonts w:hint="eastAsia" w:ascii="宋体" w:hAnsi="宋体"/>
          <w:color w:val="auto"/>
          <w:szCs w:val="21"/>
        </w:rPr>
        <w:t>2.采购代理机构信息</w:t>
      </w:r>
    </w:p>
    <w:p w14:paraId="6609435E">
      <w:pPr>
        <w:spacing w:line="360" w:lineRule="exact"/>
        <w:ind w:firstLine="424" w:firstLineChars="202"/>
        <w:rPr>
          <w:rFonts w:hint="eastAsia" w:ascii="宋体" w:hAnsi="宋体"/>
          <w:color w:val="auto"/>
          <w:szCs w:val="21"/>
        </w:rPr>
      </w:pPr>
      <w:bookmarkStart w:id="52" w:name="_Toc28359010"/>
      <w:bookmarkStart w:id="53" w:name="_Toc28359087"/>
      <w:r>
        <w:rPr>
          <w:rFonts w:hint="eastAsia" w:ascii="宋体" w:hAnsi="宋体"/>
          <w:color w:val="auto"/>
          <w:szCs w:val="21"/>
        </w:rPr>
        <w:t>名称：云之龙咨询集团有限公司</w:t>
      </w:r>
    </w:p>
    <w:p w14:paraId="0C6A6556">
      <w:pPr>
        <w:spacing w:line="360" w:lineRule="exact"/>
        <w:ind w:firstLine="424" w:firstLineChars="202"/>
        <w:rPr>
          <w:rFonts w:hint="eastAsia" w:ascii="宋体" w:hAnsi="宋体"/>
          <w:color w:val="auto"/>
          <w:szCs w:val="21"/>
        </w:rPr>
      </w:pPr>
      <w:r>
        <w:rPr>
          <w:rFonts w:hint="eastAsia" w:ascii="宋体" w:hAnsi="宋体"/>
          <w:color w:val="auto"/>
          <w:szCs w:val="21"/>
        </w:rPr>
        <w:t>地址：广西桂林市临桂区西城北路</w:t>
      </w:r>
      <w:r>
        <w:rPr>
          <w:rFonts w:ascii="宋体" w:hAnsi="宋体"/>
          <w:color w:val="auto"/>
          <w:szCs w:val="21"/>
        </w:rPr>
        <w:t>2</w:t>
      </w:r>
      <w:r>
        <w:rPr>
          <w:rFonts w:hint="eastAsia" w:ascii="宋体" w:hAnsi="宋体"/>
          <w:color w:val="auto"/>
          <w:szCs w:val="21"/>
        </w:rPr>
        <w:t>号耀辉</w:t>
      </w:r>
      <w:r>
        <w:rPr>
          <w:rFonts w:ascii="宋体" w:hAnsi="宋体"/>
          <w:color w:val="auto"/>
          <w:szCs w:val="21"/>
        </w:rPr>
        <w:t>•</w:t>
      </w:r>
      <w:r>
        <w:rPr>
          <w:rFonts w:hint="eastAsia" w:ascii="宋体" w:hAnsi="宋体"/>
          <w:color w:val="auto"/>
          <w:szCs w:val="21"/>
        </w:rPr>
        <w:t>美好家园</w:t>
      </w:r>
      <w:r>
        <w:rPr>
          <w:rFonts w:ascii="宋体" w:hAnsi="宋体"/>
          <w:color w:val="auto"/>
          <w:szCs w:val="21"/>
        </w:rPr>
        <w:t>2</w:t>
      </w:r>
      <w:r>
        <w:rPr>
          <w:rFonts w:hint="eastAsia" w:ascii="宋体" w:hAnsi="宋体"/>
          <w:color w:val="auto"/>
          <w:szCs w:val="21"/>
        </w:rPr>
        <w:t>幢</w:t>
      </w:r>
      <w:r>
        <w:rPr>
          <w:rFonts w:ascii="宋体" w:hAnsi="宋体"/>
          <w:color w:val="auto"/>
          <w:szCs w:val="21"/>
        </w:rPr>
        <w:t>12</w:t>
      </w:r>
      <w:r>
        <w:rPr>
          <w:rFonts w:hint="eastAsia" w:ascii="宋体" w:hAnsi="宋体"/>
          <w:color w:val="auto"/>
          <w:szCs w:val="21"/>
        </w:rPr>
        <w:t>层1号房</w:t>
      </w:r>
    </w:p>
    <w:p w14:paraId="68BE5534">
      <w:pPr>
        <w:spacing w:line="360" w:lineRule="exact"/>
        <w:ind w:firstLine="424" w:firstLineChars="202"/>
        <w:rPr>
          <w:rFonts w:hint="eastAsia" w:ascii="宋体" w:hAnsi="宋体"/>
          <w:color w:val="auto"/>
          <w:szCs w:val="21"/>
        </w:rPr>
      </w:pPr>
      <w:r>
        <w:rPr>
          <w:rFonts w:hint="eastAsia" w:ascii="宋体" w:hAnsi="宋体"/>
          <w:color w:val="auto"/>
          <w:szCs w:val="21"/>
        </w:rPr>
        <w:t>联系方式：</w:t>
      </w:r>
      <w:r>
        <w:rPr>
          <w:rFonts w:ascii="宋体" w:hAnsi="宋体"/>
          <w:color w:val="auto"/>
          <w:szCs w:val="21"/>
        </w:rPr>
        <w:t>0773-2887388  2887399</w:t>
      </w:r>
      <w:r>
        <w:rPr>
          <w:rFonts w:hint="eastAsia" w:ascii="宋体" w:hAnsi="宋体"/>
          <w:color w:val="auto"/>
          <w:szCs w:val="21"/>
        </w:rPr>
        <w:t xml:space="preserve">  传真：</w:t>
      </w:r>
      <w:r>
        <w:rPr>
          <w:rFonts w:ascii="宋体" w:hAnsi="宋体"/>
          <w:color w:val="auto"/>
          <w:szCs w:val="21"/>
        </w:rPr>
        <w:t>0773-2889218</w:t>
      </w:r>
    </w:p>
    <w:p w14:paraId="68D7983C">
      <w:pPr>
        <w:spacing w:line="360" w:lineRule="exact"/>
        <w:ind w:firstLine="424" w:firstLineChars="202"/>
        <w:rPr>
          <w:rFonts w:hint="eastAsia" w:ascii="宋体" w:hAnsi="宋体"/>
          <w:color w:val="auto"/>
          <w:szCs w:val="21"/>
        </w:rPr>
      </w:pPr>
      <w:r>
        <w:rPr>
          <w:rFonts w:hint="eastAsia" w:ascii="宋体" w:hAnsi="宋体"/>
          <w:color w:val="auto"/>
          <w:szCs w:val="21"/>
        </w:rPr>
        <w:t>3.项目联系方式</w:t>
      </w:r>
      <w:bookmarkEnd w:id="52"/>
      <w:bookmarkEnd w:id="53"/>
    </w:p>
    <w:p w14:paraId="31F828AA">
      <w:pPr>
        <w:spacing w:line="360" w:lineRule="exact"/>
        <w:ind w:firstLine="424" w:firstLineChars="202"/>
        <w:rPr>
          <w:rFonts w:hint="eastAsia" w:ascii="宋体" w:hAnsi="宋体"/>
          <w:color w:val="auto"/>
          <w:szCs w:val="21"/>
        </w:rPr>
      </w:pPr>
      <w:r>
        <w:rPr>
          <w:rFonts w:hint="eastAsia" w:ascii="宋体" w:hAnsi="宋体"/>
          <w:color w:val="auto"/>
          <w:szCs w:val="21"/>
        </w:rPr>
        <w:t>项目联系人：李贞</w:t>
      </w:r>
      <w:r>
        <w:rPr>
          <w:rFonts w:ascii="宋体" w:hAnsi="宋体"/>
          <w:color w:val="auto"/>
          <w:szCs w:val="21"/>
        </w:rPr>
        <w:tab/>
      </w:r>
    </w:p>
    <w:p w14:paraId="183CC6B2">
      <w:pPr>
        <w:spacing w:line="360" w:lineRule="exact"/>
        <w:ind w:firstLine="424" w:firstLineChars="202"/>
        <w:rPr>
          <w:rFonts w:hint="eastAsia" w:ascii="宋体" w:hAnsi="宋体"/>
          <w:color w:val="auto"/>
          <w:szCs w:val="21"/>
        </w:rPr>
      </w:pPr>
      <w:r>
        <w:rPr>
          <w:rFonts w:hint="eastAsia" w:ascii="宋体" w:hAnsi="宋体"/>
          <w:color w:val="auto"/>
          <w:szCs w:val="21"/>
        </w:rPr>
        <w:t>电话：</w:t>
      </w:r>
      <w:r>
        <w:rPr>
          <w:rFonts w:ascii="宋体" w:hAnsi="宋体"/>
          <w:color w:val="auto"/>
          <w:szCs w:val="21"/>
        </w:rPr>
        <w:t>0773-2887388  2887399</w:t>
      </w:r>
    </w:p>
    <w:p w14:paraId="6E9F5255">
      <w:pPr>
        <w:pStyle w:val="66"/>
        <w:ind w:firstLine="480"/>
        <w:rPr>
          <w:rFonts w:hint="eastAsia" w:ascii="宋体" w:hAnsi="宋体"/>
          <w:color w:val="auto"/>
          <w:szCs w:val="21"/>
          <w:lang w:eastAsia="zh-CN"/>
        </w:rPr>
      </w:pPr>
    </w:p>
    <w:p w14:paraId="71268581">
      <w:pPr>
        <w:pStyle w:val="66"/>
        <w:ind w:firstLine="480"/>
        <w:rPr>
          <w:rFonts w:hint="eastAsia" w:ascii="宋体" w:hAnsi="宋体"/>
          <w:color w:val="auto"/>
          <w:szCs w:val="21"/>
          <w:lang w:eastAsia="zh-CN"/>
        </w:rPr>
      </w:pPr>
    </w:p>
    <w:p w14:paraId="6DDCA52A">
      <w:pPr>
        <w:pStyle w:val="66"/>
        <w:ind w:firstLine="480"/>
        <w:rPr>
          <w:rFonts w:hint="eastAsia" w:ascii="宋体" w:hAnsi="宋体"/>
          <w:color w:val="auto"/>
          <w:szCs w:val="21"/>
          <w:lang w:eastAsia="zh-CN"/>
        </w:rPr>
      </w:pPr>
    </w:p>
    <w:bookmarkEnd w:id="3"/>
    <w:p w14:paraId="44B92D79">
      <w:pPr>
        <w:pStyle w:val="3"/>
        <w:spacing w:before="300" w:after="300" w:line="360" w:lineRule="auto"/>
        <w:jc w:val="center"/>
        <w:rPr>
          <w:color w:val="auto"/>
        </w:rPr>
      </w:pPr>
      <w:bookmarkStart w:id="54" w:name="_Toc74323457"/>
      <w:r>
        <w:rPr>
          <w:rFonts w:hint="eastAsia"/>
          <w:color w:val="auto"/>
        </w:rPr>
        <w:t>第二章 供应商须知</w:t>
      </w:r>
      <w:bookmarkEnd w:id="54"/>
    </w:p>
    <w:p w14:paraId="0F12667C">
      <w:pPr>
        <w:spacing w:line="400" w:lineRule="exact"/>
        <w:jc w:val="center"/>
        <w:rPr>
          <w:rFonts w:hint="eastAsia" w:ascii="宋体" w:hAnsi="宋体"/>
          <w:b/>
          <w:color w:val="auto"/>
          <w:sz w:val="32"/>
          <w:szCs w:val="32"/>
        </w:rPr>
      </w:pPr>
      <w:r>
        <w:rPr>
          <w:rFonts w:hint="eastAsia" w:ascii="宋体" w:hAnsi="宋体"/>
          <w:b/>
          <w:color w:val="auto"/>
          <w:sz w:val="32"/>
          <w:szCs w:val="32"/>
        </w:rPr>
        <w:t>供应商须知前附表</w:t>
      </w:r>
    </w:p>
    <w:p w14:paraId="4FF24942">
      <w:pPr>
        <w:spacing w:line="400" w:lineRule="exact"/>
        <w:jc w:val="center"/>
        <w:rPr>
          <w:rFonts w:hint="eastAsia" w:ascii="宋体" w:hAnsi="宋体"/>
          <w:b/>
          <w:color w:val="auto"/>
          <w:sz w:val="32"/>
          <w:szCs w:val="32"/>
        </w:rPr>
      </w:pPr>
    </w:p>
    <w:tbl>
      <w:tblPr>
        <w:tblStyle w:val="4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A302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CF15B3F">
            <w:pPr>
              <w:spacing w:line="360" w:lineRule="auto"/>
              <w:jc w:val="center"/>
              <w:rPr>
                <w:rFonts w:hint="eastAsia" w:ascii="宋体" w:hAnsi="宋体" w:cs="宋体"/>
                <w:b/>
                <w:color w:val="auto"/>
                <w:szCs w:val="21"/>
              </w:rPr>
            </w:pPr>
            <w:r>
              <w:rPr>
                <w:rFonts w:hint="eastAsia" w:ascii="宋体" w:hAnsi="宋体" w:cs="宋体"/>
                <w:b/>
                <w:color w:val="auto"/>
                <w:szCs w:val="21"/>
              </w:rPr>
              <w:t>条款号</w:t>
            </w:r>
          </w:p>
        </w:tc>
        <w:tc>
          <w:tcPr>
            <w:tcW w:w="7912" w:type="dxa"/>
          </w:tcPr>
          <w:p w14:paraId="7246336F">
            <w:pPr>
              <w:spacing w:line="360" w:lineRule="auto"/>
              <w:jc w:val="center"/>
              <w:rPr>
                <w:rFonts w:hint="eastAsia" w:ascii="宋体" w:hAnsi="宋体" w:cs="宋体"/>
                <w:b/>
                <w:color w:val="auto"/>
                <w:szCs w:val="21"/>
              </w:rPr>
            </w:pPr>
            <w:r>
              <w:rPr>
                <w:rFonts w:hint="eastAsia" w:ascii="宋体" w:hAnsi="宋体" w:cs="宋体"/>
                <w:b/>
                <w:color w:val="auto"/>
                <w:szCs w:val="21"/>
              </w:rPr>
              <w:t>内    容</w:t>
            </w:r>
          </w:p>
        </w:tc>
      </w:tr>
      <w:tr w14:paraId="11206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487F3DB">
            <w:pPr>
              <w:spacing w:line="360" w:lineRule="auto"/>
              <w:jc w:val="center"/>
              <w:rPr>
                <w:rFonts w:hint="eastAsia" w:ascii="宋体" w:hAnsi="宋体" w:cs="宋体"/>
                <w:color w:val="auto"/>
                <w:szCs w:val="21"/>
              </w:rPr>
            </w:pPr>
            <w:r>
              <w:rPr>
                <w:rFonts w:hint="eastAsia" w:ascii="宋体" w:hAnsi="宋体" w:cs="宋体"/>
                <w:color w:val="auto"/>
                <w:szCs w:val="21"/>
              </w:rPr>
              <w:t>3</w:t>
            </w:r>
          </w:p>
        </w:tc>
        <w:tc>
          <w:tcPr>
            <w:tcW w:w="7912" w:type="dxa"/>
            <w:vAlign w:val="center"/>
          </w:tcPr>
          <w:p w14:paraId="1EA3147E">
            <w:pPr>
              <w:spacing w:line="360" w:lineRule="auto"/>
              <w:rPr>
                <w:rFonts w:hint="eastAsia"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：详见竞争性谈判公告</w:t>
            </w:r>
          </w:p>
          <w:p w14:paraId="7155EA08">
            <w:pPr>
              <w:spacing w:line="360" w:lineRule="auto"/>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14:paraId="080020F5">
            <w:pPr>
              <w:spacing w:line="360" w:lineRule="auto"/>
              <w:rPr>
                <w:rFonts w:hint="eastAsia"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7FD07C9">
            <w:pPr>
              <w:spacing w:line="360" w:lineRule="auto"/>
              <w:rPr>
                <w:rFonts w:hint="eastAsia" w:ascii="宋体" w:hAnsi="宋体" w:cs="宋体"/>
                <w:color w:val="auto"/>
                <w:szCs w:val="21"/>
              </w:rPr>
            </w:pPr>
            <w:r>
              <w:rPr>
                <w:rFonts w:hint="eastAsia" w:ascii="宋体" w:hAnsi="宋体" w:cs="宋体"/>
                <w:color w:val="auto"/>
                <w:szCs w:val="21"/>
              </w:rPr>
              <w:t>2.2对在“信用中国”网站（</w:t>
            </w:r>
            <w:r>
              <w:rPr>
                <w:rFonts w:ascii="宋体" w:hAnsi="宋体" w:cs="宋体"/>
                <w:color w:val="auto"/>
                <w:szCs w:val="21"/>
              </w:rPr>
              <w:t>https://www.creditchina.gov.cn</w:t>
            </w:r>
            <w:r>
              <w:rPr>
                <w:rFonts w:hint="eastAsia" w:ascii="宋体" w:hAnsi="宋体" w:cs="宋体"/>
                <w:color w:val="auto"/>
                <w:szCs w:val="21"/>
              </w:rPr>
              <w:t>） 、中国政府采购网（</w:t>
            </w:r>
            <w:r>
              <w:rPr>
                <w:rFonts w:ascii="宋体" w:hAnsi="宋体" w:cs="宋体"/>
                <w:color w:val="auto"/>
                <w:szCs w:val="21"/>
              </w:rPr>
              <w:t>http://www.ccgp.gov.cn</w:t>
            </w:r>
            <w:r>
              <w:rPr>
                <w:rFonts w:hint="eastAsia" w:ascii="宋体" w:hAnsi="宋体" w:cs="宋体"/>
                <w:color w:val="auto"/>
                <w:szCs w:val="21"/>
              </w:rPr>
              <w:t>）被列入失信被执行人、重大税收违法失信主体、政府采购严重违法失信行为记录名单及其他不符合《中华人民共和国政府采购法》第二十二条规定条件的供应商，不得参与政府采购活动。</w:t>
            </w:r>
          </w:p>
        </w:tc>
      </w:tr>
      <w:tr w14:paraId="1B631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1CB263">
            <w:pPr>
              <w:spacing w:line="360" w:lineRule="auto"/>
              <w:jc w:val="center"/>
              <w:rPr>
                <w:rFonts w:hint="eastAsia" w:ascii="宋体" w:hAnsi="宋体" w:cs="宋体"/>
                <w:color w:val="auto"/>
                <w:szCs w:val="21"/>
              </w:rPr>
            </w:pPr>
            <w:r>
              <w:rPr>
                <w:rFonts w:hint="eastAsia" w:ascii="宋体" w:hAnsi="宋体" w:cs="宋体"/>
                <w:color w:val="auto"/>
                <w:szCs w:val="21"/>
              </w:rPr>
              <w:t>5.1</w:t>
            </w:r>
          </w:p>
        </w:tc>
        <w:tc>
          <w:tcPr>
            <w:tcW w:w="7912" w:type="dxa"/>
            <w:vAlign w:val="center"/>
          </w:tcPr>
          <w:p w14:paraId="1EF440B5">
            <w:pPr>
              <w:spacing w:line="360" w:lineRule="auto"/>
              <w:rPr>
                <w:rFonts w:hint="eastAsia" w:ascii="宋体" w:hAnsi="宋体" w:cs="宋体"/>
                <w:color w:val="auto"/>
                <w:szCs w:val="21"/>
              </w:rPr>
            </w:pPr>
            <w:r>
              <w:rPr>
                <w:rFonts w:hint="eastAsia" w:ascii="宋体" w:hAnsi="宋体" w:cs="宋体"/>
                <w:color w:val="auto"/>
                <w:szCs w:val="21"/>
              </w:rPr>
              <w:t>是否接受联合体竞标： 详见竞争性谈判公告</w:t>
            </w:r>
          </w:p>
        </w:tc>
      </w:tr>
      <w:tr w14:paraId="7A39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89943E">
            <w:pPr>
              <w:spacing w:line="360" w:lineRule="auto"/>
              <w:jc w:val="center"/>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vAlign w:val="center"/>
          </w:tcPr>
          <w:p w14:paraId="3308F8B3">
            <w:pPr>
              <w:spacing w:line="360" w:lineRule="auto"/>
              <w:rPr>
                <w:rFonts w:hint="eastAsia" w:ascii="宋体" w:hAnsi="宋体" w:cs="宋体"/>
                <w:color w:val="auto"/>
                <w:szCs w:val="21"/>
              </w:rPr>
            </w:pPr>
            <w:r>
              <w:rPr>
                <w:rFonts w:hint="eastAsia" w:ascii="宋体" w:hAnsi="宋体" w:cs="宋体"/>
                <w:color w:val="auto"/>
                <w:szCs w:val="21"/>
              </w:rPr>
              <w:t>本项目不接受联合体参与谈判</w:t>
            </w:r>
          </w:p>
        </w:tc>
      </w:tr>
      <w:tr w14:paraId="1269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B8D310">
            <w:pPr>
              <w:spacing w:line="360" w:lineRule="auto"/>
              <w:jc w:val="center"/>
              <w:rPr>
                <w:rFonts w:hint="eastAsia" w:ascii="宋体" w:hAnsi="宋体" w:cs="宋体"/>
                <w:color w:val="auto"/>
                <w:szCs w:val="21"/>
              </w:rPr>
            </w:pPr>
            <w:r>
              <w:rPr>
                <w:rFonts w:hint="eastAsia" w:ascii="宋体" w:hAnsi="宋体" w:cs="宋体"/>
                <w:color w:val="auto"/>
                <w:szCs w:val="21"/>
              </w:rPr>
              <w:t>6.2</w:t>
            </w:r>
          </w:p>
        </w:tc>
        <w:tc>
          <w:tcPr>
            <w:tcW w:w="7912" w:type="dxa"/>
            <w:vAlign w:val="center"/>
          </w:tcPr>
          <w:p w14:paraId="7A85B9B1">
            <w:pPr>
              <w:pStyle w:val="18"/>
              <w:spacing w:line="360" w:lineRule="auto"/>
              <w:rPr>
                <w:rFonts w:hint="eastAsia" w:ascii="宋体" w:hAnsi="宋体"/>
                <w:color w:val="auto"/>
              </w:rPr>
            </w:pPr>
            <w:r>
              <w:rPr>
                <w:color w:val="auto"/>
              </w:rPr>
              <w:sym w:font="Wingdings" w:char="00FE"/>
            </w:r>
            <w:r>
              <w:rPr>
                <w:rFonts w:hint="eastAsia" w:ascii="宋体" w:hAnsi="宋体"/>
                <w:color w:val="auto"/>
              </w:rPr>
              <w:t>不允许分包</w:t>
            </w:r>
          </w:p>
          <w:p w14:paraId="7731B3EF">
            <w:pPr>
              <w:pStyle w:val="18"/>
              <w:spacing w:line="360" w:lineRule="auto"/>
              <w:rPr>
                <w:rFonts w:hint="eastAsia" w:ascii="宋体" w:hAnsi="宋体"/>
                <w:color w:val="auto"/>
              </w:rPr>
            </w:pPr>
            <w:r>
              <w:rPr>
                <w:rFonts w:hint="eastAsia" w:ascii="宋体" w:hAnsi="宋体"/>
                <w:color w:val="auto"/>
              </w:rPr>
              <w:t>□允许分包</w:t>
            </w:r>
          </w:p>
          <w:p w14:paraId="48D0C2BF">
            <w:pPr>
              <w:pStyle w:val="18"/>
              <w:spacing w:line="360" w:lineRule="auto"/>
              <w:rPr>
                <w:rFonts w:hint="eastAsia" w:ascii="宋体" w:hAnsi="宋体"/>
                <w:color w:val="auto"/>
                <w:u w:val="single"/>
              </w:rPr>
            </w:pPr>
            <w:r>
              <w:rPr>
                <w:rFonts w:hint="eastAsia" w:ascii="宋体" w:hAnsi="宋体"/>
                <w:color w:val="auto"/>
              </w:rPr>
              <w:t>分包内容：</w:t>
            </w:r>
            <w:r>
              <w:rPr>
                <w:rFonts w:hint="eastAsia" w:ascii="宋体" w:hAnsi="宋体"/>
                <w:color w:val="auto"/>
                <w:u w:val="single"/>
              </w:rPr>
              <w:t xml:space="preserve">                                     </w:t>
            </w:r>
            <w:r>
              <w:rPr>
                <w:rFonts w:hint="eastAsia" w:ascii="宋体" w:hAnsi="宋体"/>
                <w:color w:val="auto"/>
              </w:rPr>
              <w:t>。</w:t>
            </w:r>
          </w:p>
          <w:p w14:paraId="0BCBFB06">
            <w:pPr>
              <w:pStyle w:val="18"/>
              <w:spacing w:line="360" w:lineRule="auto"/>
              <w:rPr>
                <w:rFonts w:hint="eastAsia" w:ascii="宋体" w:hAnsi="宋体"/>
                <w:color w:val="auto"/>
                <w:u w:val="single"/>
              </w:rPr>
            </w:pPr>
            <w:r>
              <w:rPr>
                <w:rFonts w:hint="eastAsia" w:ascii="宋体" w:hAnsi="宋体"/>
                <w:color w:val="auto"/>
              </w:rPr>
              <w:t>分包金额或者比例：</w:t>
            </w:r>
            <w:r>
              <w:rPr>
                <w:rFonts w:hint="eastAsia" w:ascii="宋体" w:hAnsi="宋体"/>
                <w:color w:val="auto"/>
                <w:u w:val="single"/>
              </w:rPr>
              <w:t xml:space="preserve">                                     </w:t>
            </w:r>
            <w:r>
              <w:rPr>
                <w:rFonts w:hint="eastAsia" w:ascii="宋体" w:hAnsi="宋体"/>
                <w:color w:val="auto"/>
              </w:rPr>
              <w:t>。</w:t>
            </w:r>
          </w:p>
          <w:p w14:paraId="2B69BC4B">
            <w:pPr>
              <w:pStyle w:val="18"/>
              <w:spacing w:line="360" w:lineRule="auto"/>
              <w:rPr>
                <w:rFonts w:hint="eastAsia" w:ascii="宋体" w:hAnsi="宋体"/>
                <w:color w:val="auto"/>
              </w:rPr>
            </w:pPr>
            <w:r>
              <w:rPr>
                <w:rFonts w:hint="eastAsia" w:ascii="宋体" w:hAnsi="宋体"/>
                <w:color w:val="auto"/>
              </w:rPr>
              <w:t>分包供应商必须具备的资质：</w:t>
            </w:r>
            <w:r>
              <w:rPr>
                <w:rFonts w:hint="eastAsia" w:ascii="宋体" w:hAnsi="宋体"/>
                <w:color w:val="auto"/>
                <w:u w:val="single"/>
              </w:rPr>
              <w:t xml:space="preserve">                                </w:t>
            </w:r>
            <w:r>
              <w:rPr>
                <w:rFonts w:hint="eastAsia" w:ascii="宋体" w:hAnsi="宋体"/>
                <w:color w:val="auto"/>
              </w:rPr>
              <w:t>。</w:t>
            </w:r>
          </w:p>
        </w:tc>
      </w:tr>
      <w:tr w14:paraId="71DC2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FCE0D1">
            <w:pPr>
              <w:spacing w:line="360" w:lineRule="auto"/>
              <w:jc w:val="center"/>
              <w:rPr>
                <w:rFonts w:hint="eastAsia"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vAlign w:val="center"/>
          </w:tcPr>
          <w:p w14:paraId="7649B56C">
            <w:pPr>
              <w:snapToGrid w:val="0"/>
              <w:spacing w:line="360" w:lineRule="auto"/>
              <w:jc w:val="left"/>
              <w:rPr>
                <w:rFonts w:hint="eastAsia" w:ascii="宋体" w:hAnsi="宋体" w:cs="宋体"/>
                <w:b/>
                <w:color w:val="auto"/>
                <w:szCs w:val="21"/>
              </w:rPr>
            </w:pPr>
            <w:r>
              <w:rPr>
                <w:rFonts w:hint="eastAsia" w:ascii="宋体" w:hAnsi="宋体" w:cs="宋体"/>
                <w:b/>
                <w:color w:val="auto"/>
                <w:szCs w:val="21"/>
              </w:rPr>
              <w:t>资格证明文件</w:t>
            </w:r>
          </w:p>
          <w:p w14:paraId="04C1E80C">
            <w:pPr>
              <w:pStyle w:val="18"/>
              <w:spacing w:line="360" w:lineRule="auto"/>
              <w:rPr>
                <w:rFonts w:hint="eastAsia" w:ascii="宋体" w:hAnsi="宋体"/>
                <w:color w:val="auto"/>
              </w:rPr>
            </w:pPr>
            <w:r>
              <w:rPr>
                <w:rFonts w:hint="eastAsia" w:ascii="宋体" w:hAnsi="宋体"/>
                <w:color w:val="auto"/>
              </w:rPr>
              <w:t>1.供应商为法人或者其他组织的提供其营业执照等证明文件复印件（如营业执照或者事业单位法人证书或者执业许可证或者登记证书等）；（</w:t>
            </w:r>
            <w:r>
              <w:rPr>
                <w:rFonts w:hint="eastAsia" w:ascii="宋体" w:hAnsi="宋体"/>
                <w:b/>
                <w:color w:val="auto"/>
              </w:rPr>
              <w:t>必须提供，否则响应文件按无效处理</w:t>
            </w:r>
            <w:r>
              <w:rPr>
                <w:rFonts w:hint="eastAsia" w:ascii="宋体" w:hAnsi="宋体"/>
                <w:color w:val="auto"/>
              </w:rPr>
              <w:t>）</w:t>
            </w:r>
          </w:p>
          <w:p w14:paraId="1DEFD8EC">
            <w:pPr>
              <w:spacing w:line="360" w:lineRule="auto"/>
              <w:contextualSpacing/>
              <w:jc w:val="left"/>
              <w:rPr>
                <w:rFonts w:hint="eastAsia" w:ascii="宋体" w:hAnsi="宋体" w:cs="宋体"/>
                <w:color w:val="auto"/>
                <w:szCs w:val="21"/>
              </w:rPr>
            </w:pPr>
            <w:r>
              <w:rPr>
                <w:rFonts w:hint="eastAsia" w:ascii="宋体" w:hAnsi="宋体" w:cs="宋体"/>
                <w:color w:val="auto"/>
                <w:szCs w:val="21"/>
              </w:rPr>
              <w:t>2.供应商依法缴纳税收的相关材料（</w:t>
            </w:r>
            <w:r>
              <w:rPr>
                <w:rFonts w:hint="eastAsia" w:ascii="宋体" w:hAnsi="宋体" w:cs="宋体"/>
                <w:color w:val="auto"/>
                <w:szCs w:val="21"/>
                <w:u w:val="single"/>
              </w:rPr>
              <w:t>2025</w:t>
            </w:r>
            <w:r>
              <w:rPr>
                <w:rFonts w:hint="eastAsia" w:ascii="宋体" w:hAnsi="宋体" w:cs="宋体"/>
                <w:color w:val="auto"/>
                <w:szCs w:val="21"/>
              </w:rPr>
              <w:t>年</w:t>
            </w:r>
            <w:r>
              <w:rPr>
                <w:rFonts w:hint="eastAsia" w:ascii="宋体" w:hAnsi="宋体" w:cs="宋体"/>
                <w:color w:val="auto"/>
                <w:szCs w:val="21"/>
                <w:u w:val="single"/>
              </w:rPr>
              <w:t>1</w:t>
            </w:r>
            <w:r>
              <w:rPr>
                <w:rFonts w:hint="eastAsia" w:ascii="宋体" w:hAnsi="宋体" w:cs="宋体"/>
                <w:color w:val="auto"/>
                <w:szCs w:val="21"/>
              </w:rPr>
              <w:t>月以来任意1个月的依法缴纳税收的证明材料复印件；</w:t>
            </w:r>
            <w:r>
              <w:rPr>
                <w:rFonts w:hint="eastAsia"/>
                <w:color w:val="auto"/>
              </w:rPr>
              <w:t>依法免税的供应商，必须提供符合免税条件的证明材料。</w:t>
            </w:r>
            <w:r>
              <w:rPr>
                <w:rFonts w:hint="eastAsia" w:ascii="宋体" w:hAnsi="宋体" w:cs="宋体"/>
                <w:color w:val="auto"/>
                <w:szCs w:val="21"/>
              </w:rPr>
              <w:t>从</w:t>
            </w:r>
            <w:r>
              <w:rPr>
                <w:color w:val="auto"/>
                <w:szCs w:val="21"/>
              </w:rPr>
              <w:t>成立</w:t>
            </w:r>
            <w:r>
              <w:rPr>
                <w:rFonts w:hint="eastAsia"/>
                <w:color w:val="auto"/>
                <w:szCs w:val="21"/>
              </w:rPr>
              <w:t>之日起</w:t>
            </w:r>
            <w:r>
              <w:rPr>
                <w:rFonts w:hint="eastAsia" w:ascii="宋体" w:hAnsi="宋体" w:cs="宋体"/>
                <w:color w:val="auto"/>
                <w:szCs w:val="21"/>
              </w:rPr>
              <w:t>到响应文件提交截止时间止不足要求月数的，则无需提供）；（</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156190EE">
            <w:pPr>
              <w:spacing w:line="360" w:lineRule="auto"/>
              <w:contextualSpacing/>
              <w:jc w:val="left"/>
              <w:rPr>
                <w:rFonts w:hint="eastAsia" w:ascii="宋体" w:hAnsi="宋体" w:cs="宋体"/>
                <w:color w:val="auto"/>
                <w:szCs w:val="21"/>
              </w:rPr>
            </w:pPr>
            <w:r>
              <w:rPr>
                <w:rFonts w:hint="eastAsia" w:ascii="宋体" w:hAnsi="宋体" w:cs="宋体"/>
                <w:color w:val="auto"/>
                <w:szCs w:val="21"/>
              </w:rPr>
              <w:t>3.供应商依法缴纳社会保障资金的相关材料[</w:t>
            </w:r>
            <w:r>
              <w:rPr>
                <w:rFonts w:hint="eastAsia" w:ascii="宋体" w:hAnsi="宋体" w:cs="宋体"/>
                <w:color w:val="auto"/>
                <w:szCs w:val="21"/>
                <w:u w:val="single"/>
              </w:rPr>
              <w:t>2025</w:t>
            </w:r>
            <w:r>
              <w:rPr>
                <w:rFonts w:hint="eastAsia" w:ascii="宋体" w:hAnsi="宋体" w:cs="宋体"/>
                <w:color w:val="auto"/>
                <w:szCs w:val="21"/>
              </w:rPr>
              <w:t>年</w:t>
            </w:r>
            <w:r>
              <w:rPr>
                <w:rFonts w:hint="eastAsia" w:ascii="宋体" w:hAnsi="宋体" w:cs="宋体"/>
                <w:color w:val="auto"/>
                <w:szCs w:val="21"/>
                <w:u w:val="single"/>
              </w:rPr>
              <w:t>1</w:t>
            </w:r>
            <w:r>
              <w:rPr>
                <w:rFonts w:hint="eastAsia" w:ascii="宋体" w:hAnsi="宋体" w:cs="宋体"/>
                <w:color w:val="auto"/>
                <w:szCs w:val="21"/>
              </w:rPr>
              <w:t>月以来任意1个月的依法缴纳社会保障资金的缴费证明材料（专用收据、社会保险缴纳清单或社保部门的证明）复印件；</w:t>
            </w:r>
            <w:r>
              <w:rPr>
                <w:rFonts w:hint="eastAsia"/>
                <w:color w:val="auto"/>
              </w:rPr>
              <w:t>依法不需要缴纳社会保障资金的供应商，必须提供相应文件证明不需要缴纳社会保障资金。</w:t>
            </w:r>
            <w:r>
              <w:rPr>
                <w:rFonts w:hint="eastAsia" w:ascii="宋体" w:hAnsi="宋体" w:cs="宋体"/>
                <w:color w:val="auto"/>
                <w:szCs w:val="21"/>
              </w:rPr>
              <w:t>从</w:t>
            </w:r>
            <w:r>
              <w:rPr>
                <w:color w:val="auto"/>
                <w:szCs w:val="21"/>
              </w:rPr>
              <w:t>成立</w:t>
            </w:r>
            <w:r>
              <w:rPr>
                <w:rFonts w:hint="eastAsia"/>
                <w:color w:val="auto"/>
                <w:szCs w:val="21"/>
              </w:rPr>
              <w:t>之日起</w:t>
            </w:r>
            <w:r>
              <w:rPr>
                <w:rFonts w:hint="eastAsia" w:ascii="宋体" w:hAnsi="宋体" w:cs="宋体"/>
                <w:color w:val="auto"/>
                <w:szCs w:val="21"/>
              </w:rPr>
              <w:t>到响应文件提交截止时间止不足要求月数的，则无需提供]；（</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5B01C0F8">
            <w:pPr>
              <w:spacing w:line="360" w:lineRule="auto"/>
              <w:contextualSpacing/>
              <w:jc w:val="left"/>
              <w:rPr>
                <w:rFonts w:hint="eastAsia" w:ascii="宋体" w:hAnsi="宋体" w:cs="宋体"/>
                <w:b/>
                <w:color w:val="auto"/>
                <w:szCs w:val="21"/>
              </w:rPr>
            </w:pPr>
            <w:r>
              <w:rPr>
                <w:rFonts w:hint="eastAsia" w:ascii="宋体" w:hAnsi="宋体" w:cs="宋体"/>
                <w:color w:val="auto"/>
                <w:szCs w:val="21"/>
              </w:rPr>
              <w:t>4.供应商</w:t>
            </w:r>
            <w:r>
              <w:rPr>
                <w:rFonts w:hint="eastAsia"/>
                <w:color w:val="auto"/>
                <w:szCs w:val="21"/>
              </w:rPr>
              <w:t>财务状况报告</w:t>
            </w:r>
            <w:r>
              <w:rPr>
                <w:rFonts w:hint="eastAsia" w:ascii="宋体" w:hAnsi="宋体" w:cs="宋体"/>
                <w:color w:val="auto"/>
                <w:szCs w:val="21"/>
              </w:rPr>
              <w:t>【2024年度经会计师事务所或审计机构审计的财务状况报告复印件（包括资产负债表、现金流量表、利润表），</w:t>
            </w:r>
            <w:r>
              <w:rPr>
                <w:rFonts w:hint="eastAsia" w:asciiTheme="minorEastAsia" w:hAnsiTheme="minorEastAsia" w:eastAsiaTheme="minorEastAsia"/>
                <w:color w:val="auto"/>
                <w:szCs w:val="21"/>
              </w:rPr>
              <w:t>或者20</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5年以来银行出具的资信证明，或者2</w:t>
            </w:r>
            <w:r>
              <w:rPr>
                <w:rFonts w:asciiTheme="minorEastAsia" w:hAnsiTheme="minorEastAsia" w:eastAsiaTheme="minorEastAsia"/>
                <w:color w:val="auto"/>
                <w:szCs w:val="21"/>
              </w:rPr>
              <w:t>02</w:t>
            </w:r>
            <w:r>
              <w:rPr>
                <w:rFonts w:hint="eastAsia" w:asciiTheme="minorEastAsia" w:hAnsiTheme="minorEastAsia" w:eastAsiaTheme="minorEastAsia"/>
                <w:color w:val="auto"/>
                <w:szCs w:val="21"/>
              </w:rPr>
              <w:t>5年</w:t>
            </w:r>
            <w:r>
              <w:rPr>
                <w:rFonts w:hint="eastAsia"/>
                <w:color w:val="auto"/>
                <w:szCs w:val="21"/>
              </w:rPr>
              <w:t>以来中国人民银行征信中心出具的信用报告；供应商属于</w:t>
            </w:r>
            <w:r>
              <w:rPr>
                <w:rFonts w:hint="eastAsia"/>
                <w:color w:val="auto"/>
              </w:rPr>
              <w:t>成立时间</w:t>
            </w:r>
            <w:r>
              <w:rPr>
                <w:rFonts w:hint="eastAsia"/>
                <w:color w:val="auto"/>
                <w:kern w:val="0"/>
              </w:rPr>
              <w:t>在规定年度之后</w:t>
            </w:r>
            <w:r>
              <w:rPr>
                <w:rFonts w:hint="eastAsia"/>
                <w:color w:val="auto"/>
              </w:rPr>
              <w:t>的</w:t>
            </w:r>
            <w:r>
              <w:rPr>
                <w:rFonts w:hint="eastAsia"/>
                <w:color w:val="auto"/>
                <w:szCs w:val="21"/>
              </w:rPr>
              <w:t>法人或其他组织</w:t>
            </w:r>
            <w:r>
              <w:rPr>
                <w:rFonts w:hint="eastAsia"/>
                <w:color w:val="auto"/>
              </w:rPr>
              <w:t>，需提供成立之日起至响应文件提交截止时间前的月报表</w:t>
            </w:r>
            <w:r>
              <w:rPr>
                <w:rFonts w:hint="eastAsia"/>
                <w:color w:val="auto"/>
                <w:szCs w:val="21"/>
              </w:rPr>
              <w:t>或银行出具的资信证明或者中国人民银行征信中心出具的企业信用报告】</w:t>
            </w:r>
            <w:r>
              <w:rPr>
                <w:rFonts w:hint="eastAsia" w:ascii="宋体" w:hAnsi="宋体" w:cs="宋体"/>
                <w:color w:val="auto"/>
                <w:szCs w:val="21"/>
              </w:rPr>
              <w:t>；</w:t>
            </w:r>
            <w:r>
              <w:rPr>
                <w:rFonts w:hint="eastAsia" w:ascii="宋体" w:hAnsi="宋体" w:cs="宋体"/>
                <w:bCs/>
                <w:color w:val="auto"/>
                <w:szCs w:val="21"/>
              </w:rPr>
              <w:t>（</w:t>
            </w:r>
            <w:r>
              <w:rPr>
                <w:rFonts w:hint="eastAsia" w:ascii="宋体" w:hAnsi="宋体"/>
                <w:b/>
                <w:color w:val="auto"/>
                <w:szCs w:val="21"/>
              </w:rPr>
              <w:t>必须提供</w:t>
            </w:r>
            <w:r>
              <w:rPr>
                <w:rFonts w:hint="eastAsia" w:ascii="宋体" w:hAnsi="宋体" w:cs="宋体"/>
                <w:b/>
                <w:color w:val="auto"/>
                <w:szCs w:val="21"/>
              </w:rPr>
              <w:t>，否则响应文件按无效处理</w:t>
            </w:r>
            <w:r>
              <w:rPr>
                <w:rFonts w:hint="eastAsia" w:ascii="宋体" w:hAnsi="宋体" w:cs="宋体"/>
                <w:bCs/>
                <w:color w:val="auto"/>
                <w:szCs w:val="21"/>
              </w:rPr>
              <w:t>）</w:t>
            </w:r>
          </w:p>
          <w:p w14:paraId="6D54C102">
            <w:pPr>
              <w:snapToGrid w:val="0"/>
              <w:spacing w:line="360" w:lineRule="auto"/>
              <w:jc w:val="left"/>
              <w:rPr>
                <w:rFonts w:hint="eastAsia" w:ascii="宋体" w:hAnsi="宋体" w:cs="宋体"/>
                <w:color w:val="auto"/>
                <w:szCs w:val="21"/>
              </w:rPr>
            </w:pPr>
            <w:r>
              <w:rPr>
                <w:rFonts w:hint="eastAsia" w:ascii="宋体" w:hAnsi="宋体" w:cs="宋体"/>
                <w:color w:val="auto"/>
                <w:szCs w:val="21"/>
              </w:rPr>
              <w:t>5.供应商直接控股、管理关系信息表（格式后附）；（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677D5E8A">
            <w:pPr>
              <w:snapToGrid w:val="0"/>
              <w:spacing w:line="360" w:lineRule="auto"/>
              <w:jc w:val="left"/>
              <w:rPr>
                <w:rFonts w:hint="eastAsia" w:ascii="宋体" w:hAnsi="宋体" w:cs="宋体"/>
                <w:color w:val="auto"/>
                <w:szCs w:val="21"/>
              </w:rPr>
            </w:pPr>
            <w:r>
              <w:rPr>
                <w:rFonts w:hint="eastAsia" w:ascii="宋体" w:hAnsi="宋体" w:cs="宋体"/>
                <w:color w:val="auto"/>
                <w:szCs w:val="21"/>
              </w:rPr>
              <w:t>6.竞标声明（格式后附）；（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4FA0B4DD">
            <w:pPr>
              <w:spacing w:line="360" w:lineRule="auto"/>
              <w:contextualSpacing/>
              <w:jc w:val="left"/>
              <w:rPr>
                <w:color w:val="auto"/>
                <w:kern w:val="0"/>
              </w:rPr>
            </w:pPr>
            <w:r>
              <w:rPr>
                <w:rFonts w:hint="eastAsia"/>
                <w:color w:val="auto"/>
                <w:kern w:val="0"/>
              </w:rPr>
              <w:t>7.供应商为中小企业的相关证明材料；</w:t>
            </w:r>
            <w:r>
              <w:rPr>
                <w:rFonts w:hint="eastAsia"/>
                <w:b/>
                <w:bCs/>
                <w:color w:val="auto"/>
                <w:kern w:val="0"/>
              </w:rPr>
              <w:t>（必须提供，否则响应文件按无效处理）</w:t>
            </w:r>
          </w:p>
          <w:p w14:paraId="63476F3B">
            <w:pPr>
              <w:spacing w:line="360" w:lineRule="auto"/>
              <w:contextualSpacing/>
              <w:jc w:val="left"/>
              <w:rPr>
                <w:color w:val="auto"/>
                <w:kern w:val="0"/>
              </w:rPr>
            </w:pPr>
            <w:r>
              <w:rPr>
                <w:rFonts w:hint="eastAsia"/>
                <w:color w:val="auto"/>
                <w:kern w:val="0"/>
              </w:rPr>
              <w:t>注：本项目专门面向中小企业采购，供应商须满足《政府采购促进中小企业发展管理办法》（财库</w:t>
            </w:r>
            <w:r>
              <w:rPr>
                <w:rFonts w:hint="eastAsia" w:ascii="宋体" w:hAnsi="宋体" w:eastAsia="宋体" w:cs="宋体"/>
                <w:color w:val="auto"/>
                <w:kern w:val="0"/>
              </w:rPr>
              <w:t>〔2020〕46号）第</w:t>
            </w:r>
            <w:r>
              <w:rPr>
                <w:rFonts w:hint="eastAsia"/>
                <w:color w:val="auto"/>
                <w:kern w:val="0"/>
              </w:rPr>
              <w:t>二条规定。监狱企业、残疾人福利单位视同小型、微型企业。供应商根据自身情况，必须提供以下任一证明材料（格式后附）：</w:t>
            </w:r>
          </w:p>
          <w:p w14:paraId="46830852">
            <w:pPr>
              <w:snapToGrid w:val="0"/>
              <w:spacing w:line="360" w:lineRule="auto"/>
              <w:jc w:val="left"/>
              <w:rPr>
                <w:rFonts w:hint="eastAsia" w:ascii="宋体" w:hAnsi="宋体" w:cs="宋体"/>
                <w:color w:val="auto"/>
                <w:szCs w:val="21"/>
              </w:rPr>
            </w:pPr>
            <w:r>
              <w:rPr>
                <w:rFonts w:hint="eastAsia" w:ascii="宋体" w:hAnsi="宋体" w:cs="宋体"/>
                <w:color w:val="auto"/>
                <w:szCs w:val="21"/>
              </w:rPr>
              <w:t>①供应商如为符合政策要求的中小企业且承接本项目工程的，提供《中小企业声明函》；</w:t>
            </w:r>
          </w:p>
          <w:p w14:paraId="2BE2FC1F">
            <w:pPr>
              <w:snapToGrid w:val="0"/>
              <w:spacing w:line="360" w:lineRule="auto"/>
              <w:jc w:val="left"/>
              <w:rPr>
                <w:rFonts w:hint="eastAsia" w:ascii="宋体" w:hAnsi="宋体" w:cs="宋体"/>
                <w:color w:val="auto"/>
                <w:szCs w:val="21"/>
              </w:rPr>
            </w:pPr>
            <w:r>
              <w:rPr>
                <w:rFonts w:hint="eastAsia" w:ascii="宋体" w:hAnsi="宋体" w:cs="宋体"/>
                <w:color w:val="auto"/>
                <w:szCs w:val="21"/>
              </w:rPr>
              <w:t>②供应商如属于监狱企业且承接本项目工程的，提供由省级以上监狱管理局、戒毒管理局（含新疆生产建设兵团）出具的属于监狱企业的证明文件；</w:t>
            </w:r>
          </w:p>
          <w:p w14:paraId="3DEEEBEE">
            <w:pPr>
              <w:snapToGrid w:val="0"/>
              <w:spacing w:line="360" w:lineRule="auto"/>
              <w:jc w:val="left"/>
              <w:rPr>
                <w:rFonts w:hint="eastAsia" w:ascii="宋体" w:hAnsi="宋体" w:cs="宋体"/>
                <w:color w:val="auto"/>
                <w:szCs w:val="21"/>
              </w:rPr>
            </w:pPr>
            <w:r>
              <w:rPr>
                <w:rFonts w:hint="eastAsia" w:ascii="宋体" w:hAnsi="宋体" w:cs="宋体"/>
                <w:color w:val="auto"/>
                <w:szCs w:val="21"/>
              </w:rPr>
              <w:t>③供应商如属于符合条件的残疾人福利性单位且承接本项目工程的，提供《残疾人福利性单位声明函》（并对声明的真实性负责）。</w:t>
            </w:r>
          </w:p>
          <w:p w14:paraId="11DDEBEB">
            <w:pPr>
              <w:snapToGrid w:val="0"/>
              <w:spacing w:line="360" w:lineRule="auto"/>
              <w:jc w:val="left"/>
              <w:rPr>
                <w:rFonts w:hint="eastAsia" w:ascii="宋体" w:hAnsi="宋体" w:cs="宋体"/>
                <w:color w:val="auto"/>
                <w:szCs w:val="21"/>
              </w:rPr>
            </w:pPr>
            <w:r>
              <w:rPr>
                <w:rFonts w:hint="eastAsia" w:ascii="宋体" w:hAnsi="宋体" w:cs="宋体"/>
                <w:color w:val="auto"/>
                <w:szCs w:val="21"/>
              </w:rPr>
              <w:t>8.本项目特定资格要求证明材料（</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09B063C7">
            <w:pPr>
              <w:snapToGrid w:val="0"/>
              <w:spacing w:line="360" w:lineRule="auto"/>
              <w:jc w:val="left"/>
              <w:rPr>
                <w:rFonts w:hint="eastAsia" w:ascii="宋体" w:hAnsi="宋体" w:cs="宋体"/>
                <w:color w:val="auto"/>
                <w:szCs w:val="21"/>
              </w:rPr>
            </w:pPr>
            <w:r>
              <w:rPr>
                <w:rFonts w:hint="eastAsia" w:ascii="宋体" w:hAnsi="宋体" w:cs="宋体"/>
                <w:color w:val="auto"/>
                <w:szCs w:val="21"/>
              </w:rPr>
              <w:t>8.1资质及其他相关要求的相关证明材料：</w:t>
            </w:r>
          </w:p>
          <w:p w14:paraId="4EF06EC2">
            <w:pPr>
              <w:snapToGrid w:val="0"/>
              <w:spacing w:line="360" w:lineRule="auto"/>
              <w:jc w:val="left"/>
              <w:rPr>
                <w:rFonts w:hint="eastAsia" w:ascii="宋体" w:hAnsi="宋体" w:cs="宋体"/>
                <w:color w:val="auto"/>
                <w:szCs w:val="21"/>
              </w:rPr>
            </w:pPr>
            <w:r>
              <w:rPr>
                <w:rFonts w:hint="eastAsia" w:ascii="宋体" w:hAnsi="宋体" w:cs="宋体"/>
                <w:color w:val="auto"/>
                <w:szCs w:val="21"/>
              </w:rPr>
              <w:t>（1）供应商具备文物行政主管部门颁发的文物保护工程施工二级及以上资质证书复印件（业务范围须包含近现代重要史迹及代表性建筑）</w:t>
            </w:r>
            <w:r>
              <w:rPr>
                <w:rFonts w:hint="eastAsia" w:ascii="宋体" w:hAnsi="宋体" w:cs="宋体"/>
                <w:color w:val="auto"/>
                <w:szCs w:val="21"/>
                <w:lang w:eastAsia="zh-CN"/>
              </w:rPr>
              <w:t>及建设行政主管部门颁发的建筑工程施工总承包</w:t>
            </w:r>
            <w:r>
              <w:rPr>
                <w:rFonts w:hint="eastAsia" w:ascii="宋体" w:hAnsi="宋体" w:cs="宋体"/>
                <w:color w:val="auto"/>
                <w:szCs w:val="21"/>
              </w:rPr>
              <w:t>二级及以上资质</w:t>
            </w:r>
            <w:r>
              <w:rPr>
                <w:rFonts w:hint="eastAsia" w:ascii="宋体" w:hAnsi="宋体" w:cs="宋体"/>
                <w:color w:val="auto"/>
                <w:szCs w:val="21"/>
                <w:lang w:eastAsia="zh-CN"/>
              </w:rPr>
              <w:t>证书复印件</w:t>
            </w:r>
            <w:r>
              <w:rPr>
                <w:rFonts w:hint="eastAsia" w:ascii="宋体" w:hAnsi="宋体" w:cs="宋体"/>
                <w:color w:val="auto"/>
                <w:szCs w:val="21"/>
              </w:rPr>
              <w:t>；</w:t>
            </w:r>
          </w:p>
          <w:p w14:paraId="78D5DB6B">
            <w:pPr>
              <w:snapToGrid w:val="0"/>
              <w:spacing w:line="360" w:lineRule="auto"/>
              <w:jc w:val="left"/>
              <w:rPr>
                <w:rFonts w:hint="eastAsia" w:ascii="宋体" w:hAnsi="宋体" w:cs="宋体"/>
                <w:color w:val="auto"/>
                <w:szCs w:val="21"/>
              </w:rPr>
            </w:pPr>
            <w:r>
              <w:rPr>
                <w:rFonts w:hint="eastAsia" w:ascii="宋体" w:hAnsi="宋体" w:cs="宋体"/>
                <w:color w:val="auto"/>
                <w:szCs w:val="21"/>
              </w:rPr>
              <w:t>（2）供应商有效的安全生产许可证复印件；</w:t>
            </w:r>
          </w:p>
          <w:p w14:paraId="3F4F9AFF">
            <w:pPr>
              <w:snapToGrid w:val="0"/>
              <w:spacing w:line="360" w:lineRule="auto"/>
              <w:jc w:val="left"/>
              <w:rPr>
                <w:rFonts w:hint="eastAsia" w:ascii="宋体" w:hAnsi="宋体" w:cs="宋体"/>
                <w:color w:val="auto"/>
                <w:szCs w:val="21"/>
              </w:rPr>
            </w:pPr>
            <w:r>
              <w:rPr>
                <w:rFonts w:hint="eastAsia" w:ascii="宋体" w:hAnsi="宋体" w:cs="宋体"/>
                <w:color w:val="auto"/>
                <w:szCs w:val="21"/>
              </w:rPr>
              <w:t>（3）供应商在人员、设备、资金等方面具有相应的施工履约能力的承诺函（格式后附）。</w:t>
            </w:r>
          </w:p>
          <w:p w14:paraId="6BF9FDAE">
            <w:pPr>
              <w:snapToGrid w:val="0"/>
              <w:spacing w:line="360" w:lineRule="auto"/>
              <w:jc w:val="left"/>
              <w:rPr>
                <w:rFonts w:hint="eastAsia" w:ascii="宋体" w:hAnsi="宋体" w:cs="宋体"/>
                <w:color w:val="auto"/>
                <w:szCs w:val="21"/>
              </w:rPr>
            </w:pPr>
            <w:r>
              <w:rPr>
                <w:rFonts w:hint="eastAsia" w:ascii="宋体" w:hAnsi="宋体" w:cs="宋体"/>
                <w:color w:val="auto"/>
                <w:szCs w:val="21"/>
              </w:rPr>
              <w:t>8.2项目经理（即责任工程师）相关证明材料（1人）：</w:t>
            </w:r>
          </w:p>
          <w:p w14:paraId="7085DC44">
            <w:pPr>
              <w:snapToGrid w:val="0"/>
              <w:spacing w:line="360" w:lineRule="auto"/>
              <w:jc w:val="left"/>
              <w:rPr>
                <w:rFonts w:hint="eastAsia" w:ascii="宋体" w:hAnsi="宋体" w:cs="宋体"/>
                <w:color w:val="auto"/>
                <w:szCs w:val="21"/>
              </w:rPr>
            </w:pPr>
            <w:r>
              <w:rPr>
                <w:rFonts w:hint="eastAsia" w:ascii="宋体" w:hAnsi="宋体" w:cs="宋体"/>
                <w:color w:val="auto"/>
                <w:szCs w:val="21"/>
              </w:rPr>
              <w:t>（1）供应商拟投入本工程项目经理（即责任工程师）的中国古迹遗址保护协会颁发的文物保护工程责任工程师资格证书复印件（业务范围须包含近现代重要史迹及代表性建筑）、身份证正反面复印件</w:t>
            </w:r>
            <w:r>
              <w:rPr>
                <w:rFonts w:hint="eastAsia" w:ascii="宋体" w:hAnsi="宋体" w:cs="宋体"/>
                <w:bCs/>
                <w:color w:val="auto"/>
                <w:szCs w:val="21"/>
              </w:rPr>
              <w:t>及2025年1月以来任意1个月供应商为其交纳的社保证明材料复印件（若新聘请的员工在供应商单位工作不足1个月的，则提供劳动合同复印件，无需提供社保证明）</w:t>
            </w:r>
            <w:r>
              <w:rPr>
                <w:rFonts w:hint="eastAsia" w:ascii="宋体" w:hAnsi="宋体" w:cs="宋体"/>
                <w:color w:val="auto"/>
                <w:szCs w:val="21"/>
              </w:rPr>
              <w:t>；</w:t>
            </w:r>
          </w:p>
          <w:p w14:paraId="5A6017CF">
            <w:pPr>
              <w:snapToGrid w:val="0"/>
              <w:spacing w:line="360" w:lineRule="auto"/>
              <w:jc w:val="left"/>
              <w:rPr>
                <w:rFonts w:hint="eastAsia" w:ascii="宋体" w:hAnsi="宋体" w:cs="宋体"/>
                <w:color w:val="auto"/>
                <w:szCs w:val="21"/>
              </w:rPr>
            </w:pPr>
            <w:r>
              <w:rPr>
                <w:rFonts w:hint="eastAsia" w:ascii="宋体" w:hAnsi="宋体" w:cs="宋体"/>
                <w:color w:val="auto"/>
                <w:szCs w:val="21"/>
              </w:rPr>
              <w:t>（2）供应商拟投入本工程项目经理（即责任工程师）的承诺函【关于项目经理（即责任工程师）不存在有在建、已中标（成交）未开工或已列为其他项目中标（成交）候选人第一名的责任工程师的情形】（格式后附）。</w:t>
            </w:r>
          </w:p>
          <w:p w14:paraId="337E4AD3">
            <w:pPr>
              <w:snapToGrid w:val="0"/>
              <w:spacing w:line="360" w:lineRule="auto"/>
              <w:jc w:val="left"/>
              <w:rPr>
                <w:rFonts w:hint="eastAsia" w:ascii="宋体" w:hAnsi="宋体" w:cs="宋体"/>
                <w:color w:val="auto"/>
                <w:szCs w:val="21"/>
              </w:rPr>
            </w:pPr>
            <w:r>
              <w:rPr>
                <w:rFonts w:hint="eastAsia" w:ascii="宋体" w:hAnsi="宋体" w:cs="宋体"/>
                <w:color w:val="auto"/>
                <w:szCs w:val="21"/>
              </w:rPr>
              <w:t>9.除谈判文件规定必须提供以外，供应商认为需要提供的其他证明材料；</w:t>
            </w:r>
          </w:p>
          <w:p w14:paraId="0F094657">
            <w:pPr>
              <w:snapToGrid w:val="0"/>
              <w:spacing w:line="360" w:lineRule="auto"/>
              <w:jc w:val="left"/>
              <w:rPr>
                <w:rFonts w:hint="eastAsia" w:ascii="宋体" w:hAnsi="宋体"/>
                <w:b/>
                <w:color w:val="auto"/>
              </w:rPr>
            </w:pPr>
            <w:r>
              <w:rPr>
                <w:rFonts w:hint="eastAsia" w:ascii="宋体" w:hAnsi="宋体" w:cs="宋体"/>
                <w:b/>
                <w:color w:val="auto"/>
                <w:szCs w:val="21"/>
              </w:rPr>
              <w:t>注：以上标明“必须提供”的材料，必须加盖供应商</w:t>
            </w:r>
            <w:r>
              <w:rPr>
                <w:rFonts w:hint="eastAsia"/>
                <w:b/>
                <w:color w:val="auto"/>
              </w:rPr>
              <w:t>电子签章</w:t>
            </w:r>
            <w:r>
              <w:rPr>
                <w:rFonts w:hint="eastAsia" w:ascii="宋体" w:hAnsi="宋体" w:cs="宋体"/>
                <w:b/>
                <w:color w:val="auto"/>
                <w:szCs w:val="21"/>
              </w:rPr>
              <w:t>，</w:t>
            </w:r>
            <w:r>
              <w:rPr>
                <w:rFonts w:hint="eastAsia" w:ascii="宋体" w:hAnsi="宋体" w:cs="Courier New"/>
                <w:b/>
                <w:color w:val="auto"/>
                <w:szCs w:val="21"/>
              </w:rPr>
              <w:t>必须提供的材料在第六章“响应文件格式”中有要求法定代表人或委托代理人签字（或者电子签名）的，必须由法定代表人或委托代理人签字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tc>
      </w:tr>
      <w:tr w14:paraId="42A02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005B38">
            <w:pPr>
              <w:spacing w:line="360" w:lineRule="auto"/>
              <w:jc w:val="center"/>
              <w:rPr>
                <w:rFonts w:hint="eastAsia" w:ascii="宋体" w:hAnsi="宋体" w:cs="宋体"/>
                <w:color w:val="auto"/>
                <w:szCs w:val="21"/>
              </w:rPr>
            </w:pPr>
            <w:r>
              <w:rPr>
                <w:rFonts w:hint="eastAsia" w:ascii="宋体" w:hAnsi="宋体" w:cs="宋体"/>
                <w:color w:val="auto"/>
                <w:szCs w:val="21"/>
              </w:rPr>
              <w:t>12.1.2</w:t>
            </w:r>
          </w:p>
        </w:tc>
        <w:tc>
          <w:tcPr>
            <w:tcW w:w="7912" w:type="dxa"/>
            <w:vAlign w:val="center"/>
          </w:tcPr>
          <w:p w14:paraId="76B82984">
            <w:pPr>
              <w:spacing w:line="360" w:lineRule="auto"/>
              <w:rPr>
                <w:rFonts w:hint="eastAsia" w:ascii="宋体" w:hAnsi="宋体" w:cs="宋体"/>
                <w:color w:val="auto"/>
                <w:szCs w:val="21"/>
              </w:rPr>
            </w:pPr>
            <w:r>
              <w:rPr>
                <w:rFonts w:hint="eastAsia" w:ascii="宋体" w:hAnsi="宋体" w:cs="宋体"/>
                <w:color w:val="auto"/>
                <w:szCs w:val="21"/>
              </w:rPr>
              <w:t>报价文件</w:t>
            </w:r>
          </w:p>
          <w:p w14:paraId="121D934F">
            <w:pPr>
              <w:spacing w:line="360" w:lineRule="auto"/>
              <w:rPr>
                <w:rFonts w:hint="eastAsia" w:ascii="宋体" w:hAnsi="宋体" w:cs="宋体"/>
                <w:color w:val="auto"/>
                <w:szCs w:val="21"/>
              </w:rPr>
            </w:pPr>
            <w:r>
              <w:rPr>
                <w:rFonts w:hint="eastAsia" w:ascii="宋体" w:hAnsi="宋体" w:cs="宋体"/>
                <w:color w:val="auto"/>
                <w:szCs w:val="21"/>
              </w:rPr>
              <w:t>1.竞标函及竞标函附录（格式后附）；（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13A8F5F9">
            <w:pPr>
              <w:spacing w:line="360" w:lineRule="auto"/>
              <w:rPr>
                <w:rFonts w:hint="eastAsia" w:ascii="宋体" w:hAnsi="宋体" w:cs="宋体"/>
                <w:color w:val="auto"/>
                <w:szCs w:val="21"/>
              </w:rPr>
            </w:pPr>
            <w:r>
              <w:rPr>
                <w:rFonts w:hint="eastAsia" w:ascii="宋体" w:hAnsi="宋体" w:cs="宋体"/>
                <w:color w:val="auto"/>
                <w:szCs w:val="21"/>
              </w:rPr>
              <w:t>2.竞标报价表（格式后附）；（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53F114BE">
            <w:pPr>
              <w:spacing w:line="360" w:lineRule="auto"/>
              <w:rPr>
                <w:rFonts w:hint="eastAsia" w:ascii="宋体" w:hAnsi="宋体" w:cs="宋体"/>
                <w:color w:val="auto"/>
                <w:szCs w:val="21"/>
              </w:rPr>
            </w:pPr>
            <w:r>
              <w:rPr>
                <w:rFonts w:hint="eastAsia" w:ascii="宋体" w:hAnsi="宋体" w:cs="宋体"/>
                <w:color w:val="auto"/>
                <w:szCs w:val="21"/>
              </w:rPr>
              <w:t>3.已标价工程量清单；（</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62B59B35">
            <w:pPr>
              <w:spacing w:line="360" w:lineRule="auto"/>
              <w:rPr>
                <w:rFonts w:hint="eastAsia" w:ascii="宋体" w:hAnsi="宋体" w:cs="宋体"/>
                <w:color w:val="auto"/>
                <w:szCs w:val="21"/>
              </w:rPr>
            </w:pPr>
            <w:r>
              <w:rPr>
                <w:rFonts w:hint="eastAsia" w:ascii="宋体" w:hAnsi="宋体" w:cs="宋体"/>
                <w:color w:val="auto"/>
                <w:szCs w:val="21"/>
              </w:rPr>
              <w:t>4.供应商认为需要提供的其他有关资料。</w:t>
            </w:r>
          </w:p>
          <w:p w14:paraId="6C102674">
            <w:pPr>
              <w:snapToGrid w:val="0"/>
              <w:spacing w:line="360" w:lineRule="auto"/>
              <w:ind w:firstLine="8" w:firstLineChars="4"/>
              <w:jc w:val="left"/>
              <w:rPr>
                <w:b/>
                <w:color w:val="auto"/>
              </w:rPr>
            </w:pPr>
            <w:r>
              <w:rPr>
                <w:rFonts w:hint="eastAsia" w:ascii="宋体" w:hAnsi="宋体" w:cs="宋体"/>
                <w:b/>
                <w:color w:val="auto"/>
                <w:szCs w:val="21"/>
              </w:rPr>
              <w:t>注：</w:t>
            </w:r>
            <w:r>
              <w:rPr>
                <w:rFonts w:hint="eastAsia" w:ascii="宋体" w:hAnsi="宋体" w:cs="Courier New"/>
                <w:b/>
                <w:color w:val="auto"/>
                <w:szCs w:val="21"/>
              </w:rPr>
              <w:t>以上标明“必须提供”的材料，必须加盖供应商电子签章，必须提供的材料在第六章“响应文件格式”中有要求法定代表人或委托代理人签字（或者电子签名）的，必须由法定代表人或委托代理人签字（或者电子签名），否则响应文件按无效处理。</w:t>
            </w:r>
          </w:p>
        </w:tc>
      </w:tr>
      <w:tr w14:paraId="61E55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0701C1">
            <w:pPr>
              <w:spacing w:line="360" w:lineRule="auto"/>
              <w:jc w:val="center"/>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.3</w:t>
            </w:r>
          </w:p>
        </w:tc>
        <w:tc>
          <w:tcPr>
            <w:tcW w:w="7912" w:type="dxa"/>
            <w:vAlign w:val="center"/>
          </w:tcPr>
          <w:p w14:paraId="48DB0F65">
            <w:pPr>
              <w:spacing w:line="360" w:lineRule="auto"/>
              <w:rPr>
                <w:rFonts w:hint="eastAsia" w:ascii="宋体" w:hAnsi="宋体" w:cs="宋体"/>
                <w:b/>
                <w:bCs/>
                <w:color w:val="auto"/>
                <w:szCs w:val="21"/>
              </w:rPr>
            </w:pPr>
            <w:r>
              <w:rPr>
                <w:rFonts w:hint="eastAsia" w:ascii="宋体" w:hAnsi="宋体" w:cs="宋体"/>
                <w:b/>
                <w:bCs/>
                <w:color w:val="auto"/>
                <w:szCs w:val="21"/>
              </w:rPr>
              <w:t>商务技术文件</w:t>
            </w:r>
          </w:p>
          <w:p w14:paraId="16EA7E12">
            <w:pPr>
              <w:spacing w:line="360" w:lineRule="auto"/>
              <w:rPr>
                <w:rFonts w:hint="eastAsia"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3CF32CFD">
            <w:pPr>
              <w:snapToGrid w:val="0"/>
              <w:spacing w:line="360" w:lineRule="auto"/>
              <w:jc w:val="left"/>
              <w:rPr>
                <w:rFonts w:hint="eastAsia" w:ascii="宋体" w:hAnsi="宋体" w:cs="宋体"/>
                <w:color w:val="auto"/>
                <w:szCs w:val="21"/>
              </w:rPr>
            </w:pPr>
            <w:r>
              <w:rPr>
                <w:rFonts w:hint="eastAsia" w:ascii="宋体" w:hAnsi="宋体" w:cs="宋体"/>
                <w:color w:val="auto"/>
                <w:szCs w:val="21"/>
              </w:rPr>
              <w:t>2.法定代表人身份证明书及法定代表人有效身份证正反面复印件（格式后附）；（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5811C571">
            <w:pPr>
              <w:spacing w:line="360" w:lineRule="auto"/>
              <w:rPr>
                <w:rFonts w:hint="eastAsia" w:ascii="宋体" w:hAnsi="宋体" w:cs="宋体"/>
                <w:b/>
                <w:color w:val="auto"/>
                <w:szCs w:val="21"/>
              </w:rPr>
            </w:pPr>
            <w:r>
              <w:rPr>
                <w:rFonts w:hint="eastAsia" w:ascii="宋体" w:hAnsi="宋体" w:cs="宋体"/>
                <w:color w:val="auto"/>
                <w:szCs w:val="21"/>
              </w:rPr>
              <w:t>3.授权委托书及委托代理人有效身份证正反面复印件（格式后附）；（</w:t>
            </w:r>
            <w:r>
              <w:rPr>
                <w:rFonts w:hint="eastAsia" w:ascii="宋体" w:hAnsi="宋体" w:cs="宋体"/>
                <w:b/>
                <w:color w:val="auto"/>
                <w:szCs w:val="21"/>
              </w:rPr>
              <w:t>委托时必须提供，否则响应文件按无效处理</w:t>
            </w:r>
            <w:r>
              <w:rPr>
                <w:rFonts w:hint="eastAsia" w:ascii="宋体" w:hAnsi="宋体" w:cs="宋体"/>
                <w:color w:val="auto"/>
                <w:szCs w:val="21"/>
              </w:rPr>
              <w:t>）</w:t>
            </w:r>
          </w:p>
          <w:p w14:paraId="3CD07098">
            <w:pPr>
              <w:spacing w:line="360" w:lineRule="auto"/>
              <w:rPr>
                <w:rFonts w:hint="eastAsia" w:ascii="宋体" w:hAnsi="宋体" w:cs="宋体"/>
                <w:color w:val="auto"/>
                <w:szCs w:val="21"/>
              </w:rPr>
            </w:pPr>
            <w:r>
              <w:rPr>
                <w:rFonts w:hint="eastAsia" w:ascii="宋体" w:hAnsi="宋体" w:cs="宋体"/>
                <w:color w:val="auto"/>
                <w:szCs w:val="21"/>
              </w:rPr>
              <w:t>4.谈判保证金提交凭证；（</w:t>
            </w:r>
            <w:r>
              <w:rPr>
                <w:rFonts w:hint="eastAsia"/>
                <w:b/>
                <w:bCs/>
                <w:color w:val="auto"/>
              </w:rPr>
              <w:t>如要求提交谈判保证金的则必须提供</w:t>
            </w:r>
            <w:r>
              <w:rPr>
                <w:rFonts w:hint="eastAsia" w:ascii="宋体" w:hAnsi="宋体" w:cs="宋体"/>
                <w:b/>
                <w:color w:val="auto"/>
                <w:szCs w:val="21"/>
              </w:rPr>
              <w:t>，否则响应文件按无效处理</w:t>
            </w:r>
            <w:r>
              <w:rPr>
                <w:rFonts w:hint="eastAsia" w:ascii="宋体" w:hAnsi="宋体" w:cs="宋体"/>
                <w:color w:val="auto"/>
                <w:szCs w:val="21"/>
              </w:rPr>
              <w:t>）</w:t>
            </w:r>
          </w:p>
          <w:p w14:paraId="237C4A51">
            <w:pPr>
              <w:spacing w:line="360" w:lineRule="auto"/>
              <w:rPr>
                <w:rFonts w:hint="eastAsia" w:ascii="宋体" w:hAnsi="宋体" w:cs="宋体"/>
                <w:color w:val="auto"/>
                <w:szCs w:val="21"/>
              </w:rPr>
            </w:pPr>
            <w:r>
              <w:rPr>
                <w:rFonts w:hint="eastAsia" w:ascii="宋体" w:hAnsi="宋体" w:cs="宋体"/>
                <w:color w:val="auto"/>
                <w:szCs w:val="21"/>
              </w:rPr>
              <w:t>5.技术及其他要求、商务要求响应承诺表（格式后附）；（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723BC9C2">
            <w:pPr>
              <w:pStyle w:val="2"/>
              <w:rPr>
                <w:color w:val="auto"/>
              </w:rPr>
            </w:pPr>
            <w:r>
              <w:rPr>
                <w:rFonts w:hint="eastAsia" w:ascii="宋体" w:hAnsi="宋体" w:cs="宋体"/>
                <w:color w:val="auto"/>
                <w:szCs w:val="21"/>
              </w:rPr>
              <w:t>6.施工技术人员配备情况表（格式后附）；（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7AB80A7D">
            <w:pPr>
              <w:spacing w:line="360" w:lineRule="auto"/>
              <w:rPr>
                <w:rFonts w:hint="eastAsia" w:ascii="宋体" w:hAnsi="宋体"/>
                <w:bCs/>
                <w:color w:val="auto"/>
                <w:szCs w:val="21"/>
              </w:rPr>
            </w:pPr>
            <w:r>
              <w:rPr>
                <w:rFonts w:hint="eastAsia" w:ascii="宋体" w:hAnsi="宋体" w:cs="宋体"/>
                <w:bCs/>
                <w:color w:val="auto"/>
                <w:szCs w:val="21"/>
              </w:rPr>
              <w:t>7</w:t>
            </w:r>
            <w:r>
              <w:rPr>
                <w:rFonts w:hint="eastAsia" w:ascii="宋体" w:hAnsi="宋体"/>
                <w:bCs/>
                <w:color w:val="auto"/>
                <w:szCs w:val="21"/>
              </w:rPr>
              <w:t>.施工组织设计（格式后附）；</w:t>
            </w:r>
            <w:r>
              <w:rPr>
                <w:rFonts w:hint="eastAsia" w:ascii="宋体" w:hAnsi="宋体" w:cs="宋体"/>
                <w:b/>
                <w:color w:val="auto"/>
                <w:szCs w:val="21"/>
              </w:rPr>
              <w:t xml:space="preserve">（必须提供，否则响应文件按无效处理） </w:t>
            </w:r>
          </w:p>
          <w:p w14:paraId="017756B9">
            <w:pPr>
              <w:spacing w:line="360" w:lineRule="auto"/>
              <w:rPr>
                <w:rFonts w:hint="eastAsia" w:ascii="宋体" w:hAnsi="宋体"/>
                <w:bCs/>
                <w:color w:val="auto"/>
                <w:szCs w:val="21"/>
              </w:rPr>
            </w:pPr>
            <w:r>
              <w:rPr>
                <w:rFonts w:hint="eastAsia" w:ascii="宋体" w:hAnsi="宋体"/>
                <w:bCs/>
                <w:color w:val="auto"/>
                <w:szCs w:val="21"/>
              </w:rPr>
              <w:t>注：施工组织设计包括但不限于：①</w:t>
            </w:r>
            <w:r>
              <w:rPr>
                <w:rFonts w:hint="eastAsia" w:ascii="宋体" w:hAnsi="宋体" w:cs="宋体"/>
                <w:color w:val="auto"/>
              </w:rPr>
              <w:t>总体概述</w:t>
            </w:r>
            <w:r>
              <w:rPr>
                <w:rFonts w:hint="eastAsia" w:ascii="宋体" w:hAnsi="宋体"/>
                <w:bCs/>
                <w:color w:val="auto"/>
                <w:szCs w:val="21"/>
              </w:rPr>
              <w:t>；②</w:t>
            </w:r>
            <w:r>
              <w:rPr>
                <w:rFonts w:hint="eastAsia" w:ascii="宋体" w:hAnsi="宋体" w:cs="宋体"/>
                <w:color w:val="auto"/>
              </w:rPr>
              <w:t>主要施工方法</w:t>
            </w:r>
            <w:r>
              <w:rPr>
                <w:rFonts w:hint="eastAsia" w:ascii="宋体" w:hAnsi="宋体"/>
                <w:bCs/>
                <w:color w:val="auto"/>
                <w:szCs w:val="21"/>
              </w:rPr>
              <w:t>；③</w:t>
            </w:r>
            <w:r>
              <w:rPr>
                <w:rFonts w:hint="eastAsia" w:ascii="宋体" w:hAnsi="宋体" w:cs="宋体"/>
                <w:color w:val="auto"/>
              </w:rPr>
              <w:t>施工进度、施工进度计划和各阶段进度的保证措施</w:t>
            </w:r>
            <w:r>
              <w:rPr>
                <w:rFonts w:hint="eastAsia" w:ascii="宋体" w:hAnsi="宋体"/>
                <w:bCs/>
                <w:color w:val="auto"/>
                <w:szCs w:val="21"/>
              </w:rPr>
              <w:t>；④</w:t>
            </w:r>
            <w:r>
              <w:rPr>
                <w:rFonts w:hint="eastAsia" w:ascii="宋体" w:hAnsi="宋体" w:cs="宋体"/>
                <w:color w:val="auto"/>
              </w:rPr>
              <w:t>劳动力、材料和机械、检测设备投入计划及其保证措施</w:t>
            </w:r>
            <w:r>
              <w:rPr>
                <w:rFonts w:hint="eastAsia" w:ascii="宋体" w:hAnsi="宋体"/>
                <w:bCs/>
                <w:color w:val="auto"/>
                <w:szCs w:val="21"/>
              </w:rPr>
              <w:t>；⑤</w:t>
            </w:r>
            <w:r>
              <w:rPr>
                <w:rFonts w:hint="eastAsia" w:ascii="宋体" w:hAnsi="宋体" w:cs="宋体"/>
                <w:color w:val="auto"/>
              </w:rPr>
              <w:t>关键施工技术、工艺及工程实施的重点、难点和解决方案</w:t>
            </w:r>
            <w:r>
              <w:rPr>
                <w:rFonts w:hint="eastAsia" w:ascii="宋体" w:hAnsi="宋体"/>
                <w:bCs/>
                <w:color w:val="auto"/>
                <w:szCs w:val="21"/>
              </w:rPr>
              <w:t>；⑥</w:t>
            </w:r>
            <w:r>
              <w:rPr>
                <w:rFonts w:hint="eastAsia" w:ascii="宋体" w:hAnsi="宋体" w:cs="宋体"/>
                <w:color w:val="auto"/>
              </w:rPr>
              <w:t>安全文明施工措施</w:t>
            </w:r>
            <w:r>
              <w:rPr>
                <w:rFonts w:hint="eastAsia" w:ascii="宋体" w:hAnsi="宋体"/>
                <w:bCs/>
                <w:color w:val="auto"/>
                <w:szCs w:val="21"/>
              </w:rPr>
              <w:t>；⑦</w:t>
            </w:r>
            <w:r>
              <w:rPr>
                <w:rFonts w:hint="eastAsia" w:ascii="宋体" w:hAnsi="宋体" w:cs="宋体"/>
                <w:color w:val="auto"/>
              </w:rPr>
              <w:t>质量保证与承诺</w:t>
            </w:r>
            <w:r>
              <w:rPr>
                <w:rFonts w:hint="eastAsia" w:ascii="宋体" w:hAnsi="宋体"/>
                <w:bCs/>
                <w:color w:val="auto"/>
                <w:szCs w:val="21"/>
              </w:rPr>
              <w:t>；⑧</w:t>
            </w:r>
            <w:r>
              <w:rPr>
                <w:rFonts w:hint="eastAsia" w:ascii="宋体" w:hAnsi="宋体" w:cs="宋体"/>
                <w:color w:val="auto"/>
              </w:rPr>
              <w:t>新技术应用与承诺</w:t>
            </w:r>
            <w:r>
              <w:rPr>
                <w:rFonts w:hint="eastAsia" w:ascii="宋体" w:hAnsi="宋体" w:cs="宋体"/>
                <w:b/>
                <w:color w:val="auto"/>
                <w:szCs w:val="21"/>
              </w:rPr>
              <w:t>。</w:t>
            </w:r>
          </w:p>
          <w:p w14:paraId="5A46ADAE">
            <w:pPr>
              <w:spacing w:line="360" w:lineRule="auto"/>
              <w:rPr>
                <w:rFonts w:hint="eastAsia" w:ascii="宋体" w:hAnsi="宋体" w:cs="宋体"/>
                <w:color w:val="auto"/>
                <w:szCs w:val="21"/>
              </w:rPr>
            </w:pPr>
            <w:r>
              <w:rPr>
                <w:rFonts w:hint="eastAsia" w:ascii="宋体" w:hAnsi="宋体"/>
                <w:bCs/>
                <w:color w:val="auto"/>
                <w:szCs w:val="21"/>
              </w:rPr>
              <w:t>8.供应商认为需要提供的其他有关资料。</w:t>
            </w:r>
          </w:p>
          <w:p w14:paraId="6481C813">
            <w:pPr>
              <w:spacing w:line="360" w:lineRule="auto"/>
              <w:rPr>
                <w:rFonts w:hint="eastAsia" w:ascii="宋体" w:hAnsi="宋体" w:cs="宋体"/>
                <w:b/>
                <w:color w:val="auto"/>
                <w:szCs w:val="21"/>
              </w:rPr>
            </w:pPr>
            <w:r>
              <w:rPr>
                <w:rFonts w:hint="eastAsia" w:ascii="宋体" w:hAnsi="宋体" w:cs="宋体"/>
                <w:b/>
                <w:color w:val="auto"/>
                <w:szCs w:val="21"/>
              </w:rPr>
              <w:t>注：以上标明“必须提供”的材料，必须加盖供应商</w:t>
            </w:r>
            <w:r>
              <w:rPr>
                <w:rFonts w:hint="eastAsia"/>
                <w:b/>
                <w:color w:val="auto"/>
              </w:rPr>
              <w:t>电子签章</w:t>
            </w:r>
            <w:r>
              <w:rPr>
                <w:rFonts w:hint="eastAsia" w:ascii="宋体" w:hAnsi="宋体" w:cs="宋体"/>
                <w:b/>
                <w:color w:val="auto"/>
                <w:szCs w:val="21"/>
              </w:rPr>
              <w:t>，</w:t>
            </w:r>
            <w:r>
              <w:rPr>
                <w:rFonts w:hint="eastAsia" w:ascii="宋体" w:hAnsi="宋体" w:cs="Courier New"/>
                <w:b/>
                <w:color w:val="auto"/>
                <w:szCs w:val="21"/>
              </w:rPr>
              <w:t>必须提供的材料在第六章“响应文件格式”中有要求法定代表人或委托代理人签字（或者电子签名）的，必须由法定代表人或委托代理人签字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tc>
      </w:tr>
      <w:tr w14:paraId="10A8E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C89D58">
            <w:pPr>
              <w:spacing w:line="360" w:lineRule="auto"/>
              <w:jc w:val="center"/>
              <w:rPr>
                <w:rFonts w:hint="eastAsia" w:ascii="宋体" w:hAnsi="宋体" w:cs="宋体"/>
                <w:color w:val="auto"/>
                <w:szCs w:val="21"/>
              </w:rPr>
            </w:pPr>
            <w:r>
              <w:rPr>
                <w:rFonts w:hint="eastAsia" w:ascii="宋体" w:hAnsi="宋体" w:cs="宋体"/>
                <w:color w:val="auto"/>
                <w:szCs w:val="21"/>
              </w:rPr>
              <w:t>15.2</w:t>
            </w:r>
          </w:p>
        </w:tc>
        <w:tc>
          <w:tcPr>
            <w:tcW w:w="7912" w:type="dxa"/>
            <w:vAlign w:val="center"/>
          </w:tcPr>
          <w:p w14:paraId="4949009A">
            <w:pPr>
              <w:spacing w:line="360" w:lineRule="auto"/>
              <w:contextualSpacing/>
              <w:jc w:val="left"/>
              <w:rPr>
                <w:rFonts w:hint="eastAsia" w:ascii="宋体" w:hAnsi="宋体" w:cs="宋体"/>
                <w:color w:val="auto"/>
                <w:szCs w:val="21"/>
              </w:rPr>
            </w:pPr>
            <w:r>
              <w:rPr>
                <w:rFonts w:hint="eastAsia" w:ascii="宋体" w:hAnsi="宋体"/>
                <w:color w:val="auto"/>
                <w:szCs w:val="21"/>
              </w:rPr>
              <w:t>采用工程量清单报价。竞标报价包括施工设备（含脚手架）、主要材料、辅助材料、安装（如工程量清单中未列所安装设备则包含所安装设备的采购）、垃圾清运、劳务、管理、维护、保险、利润、增值税、政策性文件规定及合同包含的所有风险、责任等各项应有费用。</w:t>
            </w:r>
          </w:p>
        </w:tc>
      </w:tr>
      <w:tr w14:paraId="3A418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9B1A0F9">
            <w:pPr>
              <w:spacing w:line="360" w:lineRule="auto"/>
              <w:jc w:val="center"/>
              <w:rPr>
                <w:rFonts w:hint="eastAsia" w:ascii="宋体" w:hAnsi="宋体" w:cs="宋体"/>
                <w:color w:val="auto"/>
                <w:szCs w:val="21"/>
              </w:rPr>
            </w:pPr>
            <w:r>
              <w:rPr>
                <w:rFonts w:hint="eastAsia" w:ascii="宋体" w:hAnsi="宋体" w:cs="宋体"/>
                <w:color w:val="auto"/>
                <w:szCs w:val="21"/>
              </w:rPr>
              <w:t>15.3</w:t>
            </w:r>
          </w:p>
        </w:tc>
        <w:tc>
          <w:tcPr>
            <w:tcW w:w="7912" w:type="dxa"/>
            <w:vAlign w:val="center"/>
          </w:tcPr>
          <w:p w14:paraId="6E79305E">
            <w:pPr>
              <w:spacing w:line="360" w:lineRule="auto"/>
              <w:contextualSpacing/>
              <w:jc w:val="left"/>
              <w:rPr>
                <w:rFonts w:hint="eastAsia" w:ascii="宋体" w:hAnsi="宋体"/>
                <w:color w:val="auto"/>
                <w:szCs w:val="21"/>
              </w:rPr>
            </w:pPr>
            <w:r>
              <w:rPr>
                <w:rFonts w:hint="eastAsia" w:cs="宋体"/>
                <w:color w:val="auto"/>
              </w:rPr>
              <w:t>本工程增值税计税方法：除拆除采用简易计税法，其余部分采用一般计税法。</w:t>
            </w:r>
          </w:p>
        </w:tc>
      </w:tr>
      <w:tr w14:paraId="385B7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72E05F">
            <w:pPr>
              <w:spacing w:line="360" w:lineRule="auto"/>
              <w:jc w:val="center"/>
              <w:rPr>
                <w:rFonts w:hint="eastAsia"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vAlign w:val="center"/>
          </w:tcPr>
          <w:p w14:paraId="1816A8EE">
            <w:pPr>
              <w:pStyle w:val="15"/>
              <w:widowControl w:val="0"/>
              <w:tabs>
                <w:tab w:val="clear" w:pos="454"/>
              </w:tabs>
              <w:snapToGrid w:val="0"/>
              <w:spacing w:afterLines="0" w:line="360" w:lineRule="auto"/>
              <w:ind w:left="283" w:hanging="283" w:hangingChars="135"/>
              <w:rPr>
                <w:rFonts w:hint="eastAsia"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竞标有效期：自首次响应文件提交截止之日起90日。</w:t>
            </w:r>
          </w:p>
        </w:tc>
      </w:tr>
      <w:tr w14:paraId="5D630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ACDF7B">
            <w:pPr>
              <w:spacing w:line="360" w:lineRule="auto"/>
              <w:jc w:val="center"/>
              <w:rPr>
                <w:rFonts w:hint="eastAsia" w:ascii="宋体" w:hAnsi="宋体" w:cs="宋体"/>
                <w:color w:val="auto"/>
                <w:szCs w:val="21"/>
              </w:rPr>
            </w:pPr>
            <w:r>
              <w:rPr>
                <w:rFonts w:hint="eastAsia" w:ascii="宋体" w:hAnsi="宋体" w:cs="宋体"/>
                <w:color w:val="auto"/>
                <w:szCs w:val="21"/>
              </w:rPr>
              <w:t>17.1</w:t>
            </w:r>
          </w:p>
        </w:tc>
        <w:tc>
          <w:tcPr>
            <w:tcW w:w="7912" w:type="dxa"/>
            <w:vAlign w:val="center"/>
          </w:tcPr>
          <w:p w14:paraId="2E062802">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□本项目不收取谈判保证金。</w:t>
            </w:r>
          </w:p>
          <w:p w14:paraId="3D39A2A7">
            <w:pPr>
              <w:snapToGrid w:val="0"/>
              <w:spacing w:line="360" w:lineRule="auto"/>
              <w:rPr>
                <w:rFonts w:hint="eastAsia" w:ascii="宋体" w:hAnsi="宋体"/>
                <w:color w:val="auto"/>
                <w:szCs w:val="21"/>
              </w:rPr>
            </w:pPr>
            <w:r>
              <w:rPr>
                <w:color w:val="auto"/>
              </w:rPr>
              <w:sym w:font="Wingdings" w:char="00FE"/>
            </w:r>
            <w:r>
              <w:rPr>
                <w:rFonts w:hint="eastAsia" w:ascii="宋体" w:hAnsi="宋体"/>
                <w:color w:val="auto"/>
                <w:szCs w:val="21"/>
              </w:rPr>
              <w:t>本项目收取谈判保证金，具体规定如下：</w:t>
            </w:r>
          </w:p>
          <w:p w14:paraId="6721B6E9">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谈判保证金人民币壹万元整（</w:t>
            </w:r>
            <w:r>
              <w:rPr>
                <w:rFonts w:hint="eastAsia" w:ascii="华文细黑" w:hAnsi="华文细黑" w:eastAsia="华文细黑" w:cs="华文细黑"/>
                <w:color w:val="auto"/>
                <w:kern w:val="0"/>
                <w:szCs w:val="21"/>
              </w:rPr>
              <w:t>￥</w:t>
            </w:r>
            <w:r>
              <w:rPr>
                <w:rFonts w:hint="eastAsia" w:ascii="宋体" w:hAnsi="宋体" w:cs="宋体"/>
                <w:color w:val="auto"/>
                <w:kern w:val="0"/>
                <w:szCs w:val="21"/>
              </w:rPr>
              <w:t>10000.00）。</w:t>
            </w:r>
          </w:p>
          <w:p w14:paraId="1372E51C">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谈判保证金的交纳方式：银行转账、支票、汇票、本票或者金融、担保机构出具的保函（包括电子保函），禁止采用现钞方式。采用银行转账方式的，在响应文件提交截止时间前交至指定账户并且到账</w:t>
            </w:r>
            <w:r>
              <w:rPr>
                <w:rFonts w:hint="eastAsia"/>
                <w:b/>
                <w:color w:val="auto"/>
                <w:kern w:val="0"/>
                <w:szCs w:val="21"/>
              </w:rPr>
              <w:t>（开户名称：云之龙咨询集团有限公司桂林分公司；开户银行：中信银行股份有限公司南宁东葛支行；银行账号：</w:t>
            </w:r>
            <w:r>
              <w:rPr>
                <w:b/>
                <w:color w:val="auto"/>
                <w:kern w:val="0"/>
                <w:szCs w:val="21"/>
              </w:rPr>
              <w:t>8113001013100074449</w:t>
            </w:r>
            <w:r>
              <w:rPr>
                <w:rFonts w:hint="eastAsia"/>
                <w:b/>
                <w:color w:val="auto"/>
                <w:kern w:val="0"/>
                <w:szCs w:val="21"/>
              </w:rPr>
              <w:t>）</w:t>
            </w:r>
            <w:r>
              <w:rPr>
                <w:rFonts w:hint="eastAsia" w:ascii="宋体" w:hAnsi="宋体" w:cs="宋体"/>
                <w:color w:val="auto"/>
                <w:kern w:val="0"/>
                <w:szCs w:val="21"/>
              </w:rPr>
              <w:t>；采用支票、汇票、本票或者保函等方式的，在响应文件提交截止时间前，供应商必须提交单独密封的支票、汇票、本票或者保函原件。</w:t>
            </w:r>
            <w:r>
              <w:rPr>
                <w:rFonts w:hint="eastAsia" w:ascii="宋体" w:hAnsi="宋体" w:cs="宋体"/>
                <w:b/>
                <w:color w:val="auto"/>
                <w:kern w:val="0"/>
                <w:szCs w:val="21"/>
              </w:rPr>
              <w:t>否则视为无效谈判保证金。</w:t>
            </w:r>
          </w:p>
          <w:p w14:paraId="39CC1C31">
            <w:pPr>
              <w:snapToGrid w:val="0"/>
              <w:spacing w:line="360" w:lineRule="auto"/>
              <w:rPr>
                <w:rFonts w:hint="eastAsia" w:ascii="宋体" w:hAnsi="宋体" w:cs="宋体"/>
                <w:b/>
                <w:color w:val="auto"/>
                <w:szCs w:val="21"/>
              </w:rPr>
            </w:pPr>
            <w:r>
              <w:rPr>
                <w:rFonts w:hint="eastAsia" w:ascii="宋体" w:hAnsi="宋体" w:cs="宋体"/>
                <w:b/>
                <w:color w:val="auto"/>
                <w:szCs w:val="21"/>
              </w:rPr>
              <w:t>相关要求：</w:t>
            </w:r>
          </w:p>
          <w:p w14:paraId="66626668">
            <w:pPr>
              <w:snapToGrid w:val="0"/>
              <w:spacing w:line="360" w:lineRule="auto"/>
              <w:rPr>
                <w:rFonts w:hint="eastAsia" w:ascii="宋体" w:hAnsi="宋体" w:cs="宋体"/>
                <w:color w:val="auto"/>
                <w:szCs w:val="21"/>
              </w:rPr>
            </w:pPr>
            <w:r>
              <w:rPr>
                <w:rFonts w:hint="eastAsia" w:ascii="宋体" w:hAnsi="宋体" w:cs="宋体"/>
                <w:color w:val="auto"/>
                <w:szCs w:val="21"/>
              </w:rPr>
              <w:t>1.谈判保证金采用银行转账交纳方式的，在响应文件提交截止时间前交至指定账户并且到账，供应商应将银行转账底单的复印件作为谈判保证金提交凭证，放置于商务技术文件中，</w:t>
            </w:r>
            <w:r>
              <w:rPr>
                <w:rFonts w:hint="eastAsia" w:ascii="宋体" w:hAnsi="宋体" w:cs="宋体"/>
                <w:b/>
                <w:color w:val="auto"/>
                <w:szCs w:val="21"/>
              </w:rPr>
              <w:t>否则响应文件按无效处理</w:t>
            </w:r>
            <w:r>
              <w:rPr>
                <w:rFonts w:hint="eastAsia" w:ascii="宋体" w:hAnsi="宋体" w:cs="宋体"/>
                <w:color w:val="auto"/>
                <w:szCs w:val="21"/>
              </w:rPr>
              <w:t>。</w:t>
            </w:r>
          </w:p>
          <w:p w14:paraId="67FF7F1E">
            <w:pPr>
              <w:snapToGrid w:val="0"/>
              <w:spacing w:line="360" w:lineRule="auto"/>
              <w:rPr>
                <w:rFonts w:hint="eastAsia" w:ascii="宋体" w:hAnsi="宋体"/>
                <w:color w:val="auto"/>
                <w:szCs w:val="21"/>
              </w:rPr>
            </w:pPr>
            <w:r>
              <w:rPr>
                <w:rFonts w:hint="eastAsia" w:ascii="宋体" w:hAnsi="宋体"/>
                <w:color w:val="auto"/>
                <w:szCs w:val="21"/>
              </w:rPr>
              <w:t>2.谈判保证金采用支票、汇票、本票或者金融、担保机构出具的保函</w:t>
            </w:r>
            <w:r>
              <w:rPr>
                <w:rFonts w:hint="eastAsia" w:ascii="宋体" w:hAnsi="宋体" w:cs="宋体"/>
                <w:color w:val="auto"/>
                <w:kern w:val="0"/>
                <w:szCs w:val="21"/>
              </w:rPr>
              <w:t>（包括电子保函）</w:t>
            </w:r>
            <w:r>
              <w:rPr>
                <w:rFonts w:hint="eastAsia" w:ascii="宋体" w:hAnsi="宋体"/>
                <w:color w:val="auto"/>
                <w:szCs w:val="21"/>
              </w:rPr>
              <w:t>交纳方式的，供应商应将支票、汇票、本票或者金融、担保机构出具的保函的复印件作为谈判保证金提交凭证，放置于</w:t>
            </w:r>
            <w:r>
              <w:rPr>
                <w:rFonts w:hint="eastAsia" w:ascii="宋体" w:hAnsi="宋体" w:cs="宋体"/>
                <w:color w:val="auto"/>
                <w:szCs w:val="21"/>
              </w:rPr>
              <w:t>商务技术文件</w:t>
            </w:r>
            <w:r>
              <w:rPr>
                <w:rFonts w:hint="eastAsia" w:ascii="宋体" w:hAnsi="宋体"/>
                <w:color w:val="auto"/>
                <w:szCs w:val="21"/>
              </w:rPr>
              <w:t>中，</w:t>
            </w:r>
            <w:r>
              <w:rPr>
                <w:rFonts w:hint="eastAsia" w:ascii="宋体" w:hAnsi="宋体" w:cs="宋体"/>
                <w:b/>
                <w:color w:val="auto"/>
                <w:szCs w:val="21"/>
              </w:rPr>
              <w:t>否则响应文件按无效处理</w:t>
            </w:r>
            <w:r>
              <w:rPr>
                <w:rFonts w:hint="eastAsia" w:ascii="宋体" w:hAnsi="宋体"/>
                <w:color w:val="auto"/>
                <w:szCs w:val="21"/>
              </w:rPr>
              <w:t>。供应商必须</w:t>
            </w:r>
            <w:r>
              <w:rPr>
                <w:rFonts w:hint="eastAsia"/>
                <w:color w:val="auto"/>
              </w:rPr>
              <w:t>在响应文件提交截止时间前采用现场或邮寄方式【现场提交地址：云之龙咨询集团有限公司开标大厅（广西桂林市临桂区西城北路</w:t>
            </w:r>
            <w:r>
              <w:rPr>
                <w:color w:val="auto"/>
              </w:rPr>
              <w:t>2</w:t>
            </w:r>
            <w:r>
              <w:rPr>
                <w:rFonts w:hint="eastAsia"/>
                <w:color w:val="auto"/>
              </w:rPr>
              <w:t>号耀辉</w:t>
            </w:r>
            <w:r>
              <w:rPr>
                <w:color w:val="auto"/>
              </w:rPr>
              <w:t>•</w:t>
            </w:r>
            <w:r>
              <w:rPr>
                <w:rFonts w:hint="eastAsia"/>
                <w:color w:val="auto"/>
              </w:rPr>
              <w:t>美好家园</w:t>
            </w:r>
            <w:r>
              <w:rPr>
                <w:color w:val="auto"/>
              </w:rPr>
              <w:t>2</w:t>
            </w:r>
            <w:r>
              <w:rPr>
                <w:rFonts w:hint="eastAsia"/>
                <w:color w:val="auto"/>
              </w:rPr>
              <w:t>幢</w:t>
            </w:r>
            <w:r>
              <w:rPr>
                <w:color w:val="auto"/>
              </w:rPr>
              <w:t>12</w:t>
            </w:r>
            <w:r>
              <w:rPr>
                <w:rFonts w:hint="eastAsia"/>
                <w:color w:val="auto"/>
              </w:rPr>
              <w:t>层1号房）；邮寄地址：云之龙咨询集团有限公司（广西桂林市临桂区西城北路</w:t>
            </w:r>
            <w:r>
              <w:rPr>
                <w:color w:val="auto"/>
              </w:rPr>
              <w:t>2</w:t>
            </w:r>
            <w:r>
              <w:rPr>
                <w:rFonts w:hint="eastAsia"/>
                <w:color w:val="auto"/>
              </w:rPr>
              <w:t>号耀辉</w:t>
            </w:r>
            <w:r>
              <w:rPr>
                <w:color w:val="auto"/>
              </w:rPr>
              <w:t>•</w:t>
            </w:r>
            <w:r>
              <w:rPr>
                <w:rFonts w:hint="eastAsia"/>
                <w:color w:val="auto"/>
              </w:rPr>
              <w:t>美好家园</w:t>
            </w:r>
            <w:r>
              <w:rPr>
                <w:color w:val="auto"/>
              </w:rPr>
              <w:t>2</w:t>
            </w:r>
            <w:r>
              <w:rPr>
                <w:rFonts w:hint="eastAsia"/>
                <w:color w:val="auto"/>
              </w:rPr>
              <w:t>幢</w:t>
            </w:r>
            <w:r>
              <w:rPr>
                <w:color w:val="auto"/>
              </w:rPr>
              <w:t>12</w:t>
            </w:r>
            <w:r>
              <w:rPr>
                <w:rFonts w:hint="eastAsia"/>
                <w:color w:val="auto"/>
              </w:rPr>
              <w:t>层1号房），收件人：</w:t>
            </w:r>
            <w:r>
              <w:rPr>
                <w:rFonts w:hint="eastAsia"/>
                <w:color w:val="auto"/>
                <w:u w:val="single"/>
              </w:rPr>
              <w:t>李贞</w:t>
            </w:r>
            <w:r>
              <w:rPr>
                <w:rFonts w:hint="eastAsia"/>
                <w:color w:val="auto"/>
              </w:rPr>
              <w:t>，联系方式：</w:t>
            </w:r>
            <w:r>
              <w:rPr>
                <w:color w:val="auto"/>
                <w:u w:val="single"/>
              </w:rPr>
              <w:t>0773-2887388</w:t>
            </w:r>
            <w:r>
              <w:rPr>
                <w:rFonts w:hint="eastAsia"/>
                <w:color w:val="auto"/>
                <w:u w:val="single"/>
              </w:rPr>
              <w:t>、</w:t>
            </w:r>
            <w:r>
              <w:rPr>
                <w:color w:val="auto"/>
                <w:u w:val="single"/>
              </w:rPr>
              <w:t>2887399</w:t>
            </w:r>
            <w:r>
              <w:rPr>
                <w:rFonts w:hint="eastAsia"/>
                <w:color w:val="auto"/>
              </w:rPr>
              <w:t>）】</w:t>
            </w:r>
            <w:r>
              <w:rPr>
                <w:rFonts w:hint="eastAsia" w:ascii="宋体" w:hAnsi="宋体"/>
                <w:color w:val="auto"/>
                <w:szCs w:val="21"/>
              </w:rPr>
              <w:t>将</w:t>
            </w:r>
            <w:r>
              <w:rPr>
                <w:rFonts w:hint="eastAsia" w:ascii="宋体" w:hAnsi="宋体" w:cs="宋体"/>
                <w:color w:val="auto"/>
                <w:kern w:val="0"/>
                <w:szCs w:val="21"/>
              </w:rPr>
              <w:t>单独密封的</w:t>
            </w:r>
            <w:r>
              <w:rPr>
                <w:rFonts w:hint="eastAsia" w:ascii="宋体" w:hAnsi="宋体"/>
                <w:color w:val="auto"/>
                <w:szCs w:val="21"/>
              </w:rPr>
              <w:t>支票、汇票、本票或者金融、担保机构出具的保函原件提交给采购人或者采购代理机构，由采购人或者采购代理机构向供应商出具回执（邮寄方式的除外），并妥善保管。</w:t>
            </w:r>
          </w:p>
          <w:p w14:paraId="4FBC8BD9">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备注： </w:t>
            </w:r>
          </w:p>
          <w:p w14:paraId="0F4DD788">
            <w:pPr>
              <w:snapToGrid w:val="0"/>
              <w:spacing w:line="360" w:lineRule="auto"/>
              <w:rPr>
                <w:rFonts w:hint="eastAsia" w:ascii="宋体" w:hAnsi="宋体" w:cs="宋体"/>
                <w:b/>
                <w:color w:val="auto"/>
                <w:szCs w:val="21"/>
              </w:rPr>
            </w:pPr>
            <w:r>
              <w:rPr>
                <w:rFonts w:hint="eastAsia" w:ascii="宋体" w:hAnsi="宋体" w:cs="宋体"/>
                <w:b/>
                <w:color w:val="auto"/>
                <w:szCs w:val="21"/>
              </w:rPr>
              <w:t>①谈判保证金在响应文件提交截止时间后提交的，或者不按规定交纳方式交纳的，或者未足额交纳的（包含保函额度不足的），视为无效谈判保证金。</w:t>
            </w:r>
          </w:p>
          <w:p w14:paraId="38522BC3">
            <w:pPr>
              <w:snapToGrid w:val="0"/>
              <w:spacing w:line="360" w:lineRule="auto"/>
              <w:rPr>
                <w:rFonts w:hint="eastAsia" w:ascii="宋体" w:hAnsi="宋体" w:cs="宋体"/>
                <w:b/>
                <w:color w:val="auto"/>
                <w:szCs w:val="21"/>
              </w:rPr>
            </w:pPr>
            <w:r>
              <w:rPr>
                <w:rFonts w:hint="eastAsia" w:ascii="宋体" w:hAnsi="宋体" w:cs="宋体"/>
                <w:b/>
                <w:color w:val="auto"/>
                <w:szCs w:val="21"/>
              </w:rPr>
              <w:t>②供应商采用现钞方式或者从个人账户转出的谈判保证金，视为无效谈判保证金。</w:t>
            </w:r>
          </w:p>
          <w:p w14:paraId="4365A9E3">
            <w:pPr>
              <w:snapToGrid w:val="0"/>
              <w:spacing w:line="360" w:lineRule="auto"/>
              <w:rPr>
                <w:rFonts w:hint="eastAsia" w:ascii="宋体" w:hAnsi="宋体" w:cs="宋体"/>
                <w:b/>
                <w:color w:val="auto"/>
                <w:szCs w:val="21"/>
              </w:rPr>
            </w:pPr>
            <w:r>
              <w:rPr>
                <w:rFonts w:hint="eastAsia" w:ascii="宋体" w:hAnsi="宋体" w:cs="宋体"/>
                <w:b/>
                <w:color w:val="auto"/>
                <w:szCs w:val="21"/>
              </w:rPr>
              <w:t>③支票、汇票或者本票出现无效或者背书情形的，视为无效谈判保证金。</w:t>
            </w:r>
          </w:p>
          <w:p w14:paraId="2E333F56">
            <w:pPr>
              <w:snapToGrid w:val="0"/>
              <w:spacing w:line="360" w:lineRule="auto"/>
              <w:rPr>
                <w:rFonts w:hint="eastAsia" w:ascii="宋体" w:hAnsi="宋体" w:cs="宋体"/>
                <w:b/>
                <w:color w:val="auto"/>
                <w:szCs w:val="21"/>
              </w:rPr>
            </w:pPr>
            <w:r>
              <w:rPr>
                <w:rFonts w:hint="eastAsia" w:ascii="宋体" w:hAnsi="宋体" w:cs="宋体"/>
                <w:b/>
                <w:color w:val="auto"/>
                <w:szCs w:val="21"/>
              </w:rPr>
              <w:t>④保函有效期低于竞标有效期的，视为无效谈判保证金。</w:t>
            </w:r>
          </w:p>
          <w:p w14:paraId="7F117FDC">
            <w:pPr>
              <w:snapToGrid w:val="0"/>
              <w:spacing w:line="360" w:lineRule="auto"/>
              <w:rPr>
                <w:rFonts w:hint="eastAsia" w:ascii="宋体" w:hAnsi="宋体" w:cs="宋体"/>
                <w:color w:val="auto"/>
                <w:szCs w:val="21"/>
              </w:rPr>
            </w:pPr>
            <w:r>
              <w:rPr>
                <w:rFonts w:hint="eastAsia" w:ascii="宋体" w:hAnsi="宋体"/>
                <w:b/>
                <w:color w:val="auto"/>
                <w:szCs w:val="21"/>
              </w:rPr>
              <w:t>⑤广西政府采购云平台暂未</w:t>
            </w:r>
            <w:r>
              <w:rPr>
                <w:rFonts w:ascii="宋体" w:hAnsi="宋体"/>
                <w:b/>
                <w:color w:val="auto"/>
                <w:szCs w:val="21"/>
              </w:rPr>
              <w:t>支持电子保函功能</w:t>
            </w:r>
            <w:r>
              <w:rPr>
                <w:rFonts w:hint="eastAsia" w:ascii="宋体" w:hAnsi="宋体"/>
                <w:b/>
                <w:color w:val="auto"/>
                <w:szCs w:val="21"/>
              </w:rPr>
              <w:t>，</w:t>
            </w:r>
            <w:r>
              <w:rPr>
                <w:rFonts w:ascii="宋体" w:hAnsi="宋体"/>
                <w:b/>
                <w:color w:val="auto"/>
                <w:szCs w:val="21"/>
              </w:rPr>
              <w:t>故本项目暂不接受电子保函形式的保证金</w:t>
            </w:r>
            <w:r>
              <w:rPr>
                <w:rFonts w:hint="eastAsia" w:ascii="宋体" w:hAnsi="宋体"/>
                <w:b/>
                <w:color w:val="auto"/>
                <w:szCs w:val="21"/>
              </w:rPr>
              <w:t>。</w:t>
            </w:r>
          </w:p>
        </w:tc>
      </w:tr>
      <w:tr w14:paraId="5816B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3FE161">
            <w:pPr>
              <w:spacing w:line="360" w:lineRule="auto"/>
              <w:jc w:val="center"/>
              <w:rPr>
                <w:rFonts w:hint="eastAsia" w:ascii="宋体" w:hAnsi="宋体" w:cs="宋体"/>
                <w:color w:val="auto"/>
                <w:szCs w:val="21"/>
              </w:rPr>
            </w:pPr>
            <w:r>
              <w:rPr>
                <w:rFonts w:ascii="宋体" w:hAnsi="宋体" w:cs="宋体"/>
                <w:color w:val="auto"/>
                <w:szCs w:val="21"/>
              </w:rPr>
              <w:t>19</w:t>
            </w:r>
          </w:p>
        </w:tc>
        <w:tc>
          <w:tcPr>
            <w:tcW w:w="7912" w:type="dxa"/>
            <w:vAlign w:val="center"/>
          </w:tcPr>
          <w:p w14:paraId="79B60CD1">
            <w:pPr>
              <w:spacing w:line="360" w:lineRule="auto"/>
              <w:rPr>
                <w:rFonts w:hint="eastAsia" w:ascii="宋体" w:hAnsi="宋体" w:cs="宋体"/>
                <w:color w:val="auto"/>
                <w:szCs w:val="21"/>
              </w:rPr>
            </w:pP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备份响应文件</w:t>
            </w:r>
          </w:p>
        </w:tc>
      </w:tr>
      <w:tr w14:paraId="00C17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BE32C0">
            <w:pPr>
              <w:spacing w:line="360" w:lineRule="auto"/>
              <w:jc w:val="center"/>
              <w:rPr>
                <w:rFonts w:hint="eastAsia" w:ascii="宋体" w:hAnsi="宋体" w:cs="宋体"/>
                <w:color w:val="auto"/>
                <w:szCs w:val="21"/>
              </w:rPr>
            </w:pPr>
            <w:r>
              <w:rPr>
                <w:rFonts w:hint="eastAsia" w:ascii="宋体" w:hAnsi="宋体" w:cs="宋体"/>
                <w:color w:val="auto"/>
                <w:szCs w:val="21"/>
              </w:rPr>
              <w:t>20.1</w:t>
            </w:r>
          </w:p>
        </w:tc>
        <w:tc>
          <w:tcPr>
            <w:tcW w:w="7912" w:type="dxa"/>
            <w:vAlign w:val="center"/>
          </w:tcPr>
          <w:p w14:paraId="10ADD7C1">
            <w:pPr>
              <w:spacing w:line="360" w:lineRule="auto"/>
              <w:contextualSpacing/>
              <w:jc w:val="left"/>
              <w:rPr>
                <w:rFonts w:hint="eastAsia" w:ascii="宋体" w:hAnsi="宋体" w:cs="宋体"/>
                <w:color w:val="auto"/>
                <w:szCs w:val="21"/>
                <w:u w:val="single"/>
              </w:rPr>
            </w:pPr>
            <w:r>
              <w:rPr>
                <w:rFonts w:hint="eastAsia" w:ascii="宋体" w:hAnsi="宋体" w:cs="宋体"/>
                <w:color w:val="auto"/>
                <w:szCs w:val="21"/>
              </w:rPr>
              <w:t>响应文件提交截止时间：详见竞争性谈判公告。</w:t>
            </w:r>
          </w:p>
          <w:p w14:paraId="783ABF15">
            <w:pPr>
              <w:spacing w:line="360" w:lineRule="auto"/>
              <w:contextualSpacing/>
              <w:jc w:val="left"/>
              <w:rPr>
                <w:rFonts w:hint="eastAsia" w:ascii="宋体" w:hAnsi="宋体" w:cs="宋体"/>
                <w:color w:val="auto"/>
                <w:szCs w:val="21"/>
              </w:rPr>
            </w:pPr>
            <w:r>
              <w:rPr>
                <w:rFonts w:hint="eastAsia" w:ascii="宋体" w:hAnsi="宋体" w:cs="宋体"/>
                <w:color w:val="auto"/>
                <w:szCs w:val="21"/>
              </w:rPr>
              <w:t>响应文件提交地点：详见竞争性谈判公告。</w:t>
            </w:r>
          </w:p>
        </w:tc>
      </w:tr>
      <w:tr w14:paraId="19F8B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DC5A06">
            <w:pPr>
              <w:spacing w:line="360" w:lineRule="auto"/>
              <w:jc w:val="center"/>
              <w:rPr>
                <w:rFonts w:hint="eastAsia" w:ascii="宋体" w:hAnsi="宋体" w:cs="宋体"/>
                <w:color w:val="auto"/>
                <w:szCs w:val="21"/>
              </w:rPr>
            </w:pPr>
            <w:r>
              <w:rPr>
                <w:rFonts w:hint="eastAsia" w:ascii="宋体" w:hAnsi="宋体" w:cs="宋体"/>
                <w:color w:val="auto"/>
                <w:szCs w:val="21"/>
              </w:rPr>
              <w:t>24.1</w:t>
            </w:r>
          </w:p>
        </w:tc>
        <w:tc>
          <w:tcPr>
            <w:tcW w:w="7912" w:type="dxa"/>
            <w:vAlign w:val="center"/>
          </w:tcPr>
          <w:p w14:paraId="35766475">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谈判小组的人数：</w:t>
            </w:r>
            <w:r>
              <w:rPr>
                <w:rFonts w:hint="eastAsia" w:ascii="宋体" w:hAnsi="宋体" w:cs="宋体"/>
                <w:color w:val="auto"/>
                <w:szCs w:val="21"/>
                <w:u w:val="single"/>
              </w:rPr>
              <w:t>3</w:t>
            </w:r>
            <w:r>
              <w:rPr>
                <w:rFonts w:hint="eastAsia" w:ascii="宋体" w:hAnsi="宋体" w:cs="宋体"/>
                <w:color w:val="auto"/>
                <w:szCs w:val="21"/>
              </w:rPr>
              <w:t>人。</w:t>
            </w:r>
          </w:p>
        </w:tc>
      </w:tr>
      <w:tr w14:paraId="26F20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AD21C6">
            <w:pPr>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7912" w:type="dxa"/>
            <w:vAlign w:val="center"/>
          </w:tcPr>
          <w:p w14:paraId="6AF59726">
            <w:pPr>
              <w:snapToGrid w:val="0"/>
              <w:spacing w:line="360" w:lineRule="auto"/>
              <w:jc w:val="left"/>
              <w:rPr>
                <w:rFonts w:hint="eastAsia" w:ascii="宋体" w:hAnsi="宋体" w:cs="宋体"/>
                <w:color w:val="auto"/>
                <w:szCs w:val="21"/>
              </w:rPr>
            </w:pPr>
            <w:r>
              <w:rPr>
                <w:rFonts w:hint="eastAsia" w:ascii="宋体" w:hAnsi="宋体" w:cs="宋体"/>
                <w:color w:val="auto"/>
                <w:szCs w:val="21"/>
              </w:rPr>
              <w:t>首次响应文件开启时间详见“竞争性谈判公告”</w:t>
            </w:r>
          </w:p>
          <w:p w14:paraId="6AB46E22">
            <w:pPr>
              <w:snapToGrid w:val="0"/>
              <w:spacing w:line="360" w:lineRule="auto"/>
              <w:jc w:val="left"/>
              <w:rPr>
                <w:rFonts w:hint="eastAsia" w:ascii="宋体" w:hAnsi="宋体" w:cs="宋体"/>
                <w:color w:val="auto"/>
                <w:szCs w:val="21"/>
              </w:rPr>
            </w:pPr>
            <w:r>
              <w:rPr>
                <w:rFonts w:hint="eastAsia" w:ascii="宋体" w:hAnsi="宋体" w:cs="宋体"/>
                <w:color w:val="auto"/>
                <w:szCs w:val="21"/>
              </w:rPr>
              <w:t>首次响应文件解密时间：</w:t>
            </w:r>
            <w:r>
              <w:rPr>
                <w:rFonts w:hint="eastAsia" w:hAnsi="宋体"/>
                <w:color w:val="auto"/>
                <w:u w:val="single"/>
              </w:rPr>
              <w:t>30</w:t>
            </w:r>
            <w:r>
              <w:rPr>
                <w:rFonts w:hint="eastAsia" w:hAnsi="宋体"/>
                <w:color w:val="auto"/>
              </w:rPr>
              <w:t>分钟</w:t>
            </w:r>
          </w:p>
        </w:tc>
      </w:tr>
      <w:tr w14:paraId="57117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2EE0325D">
            <w:pPr>
              <w:spacing w:line="360" w:lineRule="auto"/>
              <w:jc w:val="center"/>
              <w:rPr>
                <w:rFonts w:hint="eastAsia" w:ascii="宋体" w:hAnsi="宋体" w:cs="宋体"/>
                <w:color w:val="auto"/>
                <w:szCs w:val="21"/>
              </w:rPr>
            </w:pPr>
            <w:r>
              <w:rPr>
                <w:rFonts w:hint="eastAsia" w:ascii="宋体" w:hAnsi="宋体" w:cs="宋体"/>
                <w:color w:val="auto"/>
                <w:szCs w:val="21"/>
              </w:rPr>
              <w:t>26</w:t>
            </w:r>
          </w:p>
        </w:tc>
        <w:tc>
          <w:tcPr>
            <w:tcW w:w="7912" w:type="dxa"/>
            <w:vAlign w:val="center"/>
          </w:tcPr>
          <w:p w14:paraId="69F8E2FD">
            <w:pPr>
              <w:snapToGrid w:val="0"/>
              <w:spacing w:line="360" w:lineRule="auto"/>
              <w:jc w:val="left"/>
              <w:rPr>
                <w:rFonts w:hint="eastAsia" w:ascii="宋体" w:hAnsi="宋体" w:cs="宋体"/>
                <w:color w:val="auto"/>
                <w:szCs w:val="21"/>
              </w:rPr>
            </w:pPr>
            <w:r>
              <w:rPr>
                <w:rFonts w:hint="eastAsia" w:ascii="宋体" w:hAnsi="宋体" w:cs="宋体"/>
                <w:color w:val="auto"/>
                <w:szCs w:val="21"/>
              </w:rPr>
              <w:t>最后报价相同时，按节能、环保产品累计金额由高到低顺序依次推荐；节能、环保产品累计金额也相同时，按以下原则确定成交候选人的顺序：</w:t>
            </w:r>
          </w:p>
          <w:p w14:paraId="0C28EF83">
            <w:pPr>
              <w:snapToGrid w:val="0"/>
              <w:spacing w:line="360" w:lineRule="auto"/>
              <w:jc w:val="left"/>
              <w:rPr>
                <w:rFonts w:hint="eastAsia" w:ascii="宋体" w:hAnsi="宋体" w:cs="宋体"/>
                <w:color w:val="auto"/>
                <w:szCs w:val="21"/>
              </w:rPr>
            </w:pPr>
            <w:r>
              <w:rPr>
                <w:color w:val="auto"/>
              </w:rPr>
              <w:sym w:font="Wingdings" w:char="00FE"/>
            </w:r>
            <w:r>
              <w:rPr>
                <w:rFonts w:hint="eastAsia" w:ascii="宋体" w:hAnsi="宋体" w:cs="宋体"/>
                <w:color w:val="auto"/>
                <w:szCs w:val="21"/>
              </w:rPr>
              <w:t>承诺工期短的优先、施工组织设计优的优先的顺序推荐。</w:t>
            </w:r>
          </w:p>
          <w:p w14:paraId="197921C6">
            <w:pPr>
              <w:snapToGrid w:val="0"/>
              <w:spacing w:line="360" w:lineRule="auto"/>
              <w:jc w:val="left"/>
              <w:rPr>
                <w:rFonts w:hint="eastAsia" w:ascii="宋体" w:hAnsi="宋体" w:cs="宋体"/>
                <w:color w:val="auto"/>
                <w:szCs w:val="21"/>
              </w:rPr>
            </w:pPr>
            <w:r>
              <w:rPr>
                <w:rFonts w:hint="eastAsia" w:ascii="宋体" w:hAnsi="宋体" w:cs="宋体"/>
                <w:color w:val="auto"/>
                <w:szCs w:val="21"/>
              </w:rPr>
              <w:t>□由谈判小组推荐代表随机抽取。</w:t>
            </w:r>
          </w:p>
        </w:tc>
      </w:tr>
      <w:tr w14:paraId="1C5AC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31DD068">
            <w:pPr>
              <w:spacing w:line="360" w:lineRule="auto"/>
              <w:jc w:val="center"/>
              <w:rPr>
                <w:rFonts w:hint="eastAsia" w:ascii="宋体" w:hAnsi="宋体" w:cs="宋体"/>
                <w:color w:val="auto"/>
                <w:szCs w:val="21"/>
              </w:rPr>
            </w:pPr>
            <w:r>
              <w:rPr>
                <w:rFonts w:ascii="宋体" w:hAnsi="宋体" w:cs="宋体"/>
                <w:color w:val="auto"/>
                <w:szCs w:val="21"/>
              </w:rPr>
              <w:t>28.1</w:t>
            </w:r>
          </w:p>
        </w:tc>
        <w:tc>
          <w:tcPr>
            <w:tcW w:w="7912" w:type="dxa"/>
            <w:vAlign w:val="center"/>
          </w:tcPr>
          <w:p w14:paraId="39D0FAE7">
            <w:pPr>
              <w:autoSpaceDE w:val="0"/>
              <w:autoSpaceDN w:val="0"/>
              <w:snapToGrid w:val="0"/>
              <w:spacing w:line="380" w:lineRule="exact"/>
              <w:textAlignment w:val="bottom"/>
              <w:rPr>
                <w:color w:val="auto"/>
                <w:szCs w:val="21"/>
              </w:rPr>
            </w:pPr>
            <w:r>
              <w:rPr>
                <w:rFonts w:hint="eastAsia" w:hAnsi="宋体"/>
                <w:color w:val="auto"/>
                <w:szCs w:val="21"/>
              </w:rPr>
              <w:t>履约保证金金额：合同价款扣除采购人材料设备价款、暂估专业工程、暂列金额后的 2%；期限：成交人在收到成交通知书后，须在25日内（但在签订合同前）向采购人足额提交履约保证金，否则采购人可以取消其成交资格</w:t>
            </w:r>
            <w:r>
              <w:rPr>
                <w:rFonts w:hint="eastAsia"/>
                <w:color w:val="auto"/>
                <w:szCs w:val="21"/>
              </w:rPr>
              <w:t>。</w:t>
            </w:r>
          </w:p>
          <w:p w14:paraId="21363095">
            <w:pPr>
              <w:autoSpaceDE w:val="0"/>
              <w:autoSpaceDN w:val="0"/>
              <w:snapToGrid w:val="0"/>
              <w:spacing w:line="380" w:lineRule="exact"/>
              <w:textAlignment w:val="bottom"/>
              <w:rPr>
                <w:color w:val="auto"/>
                <w:szCs w:val="21"/>
              </w:rPr>
            </w:pPr>
            <w:r>
              <w:rPr>
                <w:rFonts w:hint="eastAsia" w:hAnsi="宋体"/>
                <w:color w:val="auto"/>
                <w:szCs w:val="21"/>
              </w:rPr>
              <w:t>履约保证金递交方式：</w:t>
            </w:r>
            <w:r>
              <w:rPr>
                <w:rFonts w:hint="eastAsia" w:hAnsi="宋体" w:cs="宋体"/>
                <w:color w:val="auto"/>
              </w:rPr>
              <w:t>可以是银行转账、电汇或网上支付、保函（银行保函、电子保函、保证保险保函、工程担保保函）等形式。</w:t>
            </w:r>
          </w:p>
          <w:p w14:paraId="36F2949A">
            <w:pPr>
              <w:autoSpaceDE w:val="0"/>
              <w:autoSpaceDN w:val="0"/>
              <w:snapToGrid w:val="0"/>
              <w:spacing w:line="380" w:lineRule="exact"/>
              <w:textAlignment w:val="bottom"/>
              <w:rPr>
                <w:color w:val="auto"/>
                <w:szCs w:val="21"/>
              </w:rPr>
            </w:pPr>
            <w:r>
              <w:rPr>
                <w:rFonts w:hint="eastAsia" w:hAnsi="宋体"/>
                <w:color w:val="auto"/>
                <w:szCs w:val="21"/>
              </w:rPr>
              <w:t>履约保证金退付方式、时间及条件：</w:t>
            </w:r>
          </w:p>
          <w:p w14:paraId="133BB4EF">
            <w:pPr>
              <w:autoSpaceDE w:val="0"/>
              <w:autoSpaceDN w:val="0"/>
              <w:snapToGrid w:val="0"/>
              <w:spacing w:line="380" w:lineRule="exact"/>
              <w:textAlignment w:val="bottom"/>
              <w:rPr>
                <w:color w:val="auto"/>
                <w:szCs w:val="21"/>
              </w:rPr>
            </w:pPr>
            <w:r>
              <w:rPr>
                <w:rFonts w:hint="eastAsia" w:hAnsi="宋体"/>
                <w:color w:val="auto"/>
                <w:szCs w:val="21"/>
              </w:rPr>
              <w:t>（</w:t>
            </w:r>
            <w:r>
              <w:rPr>
                <w:color w:val="auto"/>
                <w:szCs w:val="21"/>
              </w:rPr>
              <w:t>1</w:t>
            </w:r>
            <w:r>
              <w:rPr>
                <w:rFonts w:hint="eastAsia" w:hAnsi="宋体"/>
                <w:color w:val="auto"/>
                <w:szCs w:val="21"/>
              </w:rPr>
              <w:t>）履约保证金在成交供应商按合同约定履行合同后且验收合格，由成交供应商凭《广西壮族自治区政府采购项目合同验收书》（详见附表）向采购人申请办理履约保证金退还手续，采购人在收到合格材料后5个工作日内以银行转账方式如数退还（不计利息）。</w:t>
            </w:r>
          </w:p>
          <w:p w14:paraId="7498F842">
            <w:pPr>
              <w:autoSpaceDE w:val="0"/>
              <w:autoSpaceDN w:val="0"/>
              <w:snapToGrid w:val="0"/>
              <w:spacing w:line="380" w:lineRule="exact"/>
              <w:textAlignment w:val="bottom"/>
              <w:rPr>
                <w:color w:val="auto"/>
                <w:szCs w:val="21"/>
              </w:rPr>
            </w:pPr>
            <w:r>
              <w:rPr>
                <w:rFonts w:hint="eastAsia" w:hAnsi="宋体"/>
                <w:color w:val="auto"/>
                <w:szCs w:val="21"/>
              </w:rPr>
              <w:t>（</w:t>
            </w:r>
            <w:r>
              <w:rPr>
                <w:color w:val="auto"/>
                <w:szCs w:val="21"/>
              </w:rPr>
              <w:t>2</w:t>
            </w:r>
            <w:r>
              <w:rPr>
                <w:rFonts w:hint="eastAsia" w:hAnsi="宋体"/>
                <w:color w:val="auto"/>
                <w:szCs w:val="21"/>
              </w:rPr>
              <w:t>）在履约保证金退还日期前，若成交供应商的开户名称、开户银行、账号有变动的，请以书面形式通知履约保证金收取单位，否则由此产生的后果由成交供应商自负。</w:t>
            </w:r>
          </w:p>
          <w:p w14:paraId="2B78E81A">
            <w:pPr>
              <w:autoSpaceDE w:val="0"/>
              <w:autoSpaceDN w:val="0"/>
              <w:snapToGrid w:val="0"/>
              <w:spacing w:line="380" w:lineRule="exact"/>
              <w:textAlignment w:val="bottom"/>
              <w:rPr>
                <w:color w:val="auto"/>
                <w:szCs w:val="21"/>
              </w:rPr>
            </w:pPr>
            <w:r>
              <w:rPr>
                <w:rFonts w:hint="eastAsia" w:hAnsi="宋体"/>
                <w:color w:val="auto"/>
                <w:szCs w:val="21"/>
              </w:rPr>
              <w:t>（</w:t>
            </w:r>
            <w:r>
              <w:rPr>
                <w:color w:val="auto"/>
                <w:szCs w:val="21"/>
              </w:rPr>
              <w:t>3</w:t>
            </w:r>
            <w:r>
              <w:rPr>
                <w:rFonts w:hint="eastAsia" w:hAnsi="宋体"/>
                <w:color w:val="auto"/>
                <w:szCs w:val="21"/>
              </w:rPr>
              <w:t>）成交供应商在签订合同后存在违约情形的，履约保证金不予退还。履约保证金不足以赔偿损失的，按实际损失赔偿。</w:t>
            </w:r>
          </w:p>
          <w:p w14:paraId="586CE51E">
            <w:pPr>
              <w:autoSpaceDE w:val="0"/>
              <w:autoSpaceDN w:val="0"/>
              <w:snapToGrid w:val="0"/>
              <w:spacing w:line="380" w:lineRule="exact"/>
              <w:textAlignment w:val="bottom"/>
              <w:rPr>
                <w:rFonts w:hint="eastAsia" w:hAnsi="宋体"/>
                <w:color w:val="auto"/>
                <w:szCs w:val="21"/>
              </w:rPr>
            </w:pPr>
            <w:r>
              <w:rPr>
                <w:rFonts w:hint="eastAsia" w:hAnsi="宋体"/>
                <w:color w:val="auto"/>
                <w:szCs w:val="21"/>
              </w:rPr>
              <w:t>履约保证金指定账户：</w:t>
            </w:r>
          </w:p>
          <w:p w14:paraId="649E8829">
            <w:pPr>
              <w:autoSpaceDE w:val="0"/>
              <w:autoSpaceDN w:val="0"/>
              <w:snapToGrid w:val="0"/>
              <w:spacing w:line="380" w:lineRule="exact"/>
              <w:textAlignment w:val="bottom"/>
              <w:rPr>
                <w:rFonts w:hint="eastAsia" w:hAnsi="宋体"/>
                <w:color w:val="auto"/>
                <w:szCs w:val="21"/>
              </w:rPr>
            </w:pPr>
            <w:r>
              <w:rPr>
                <w:rFonts w:hint="eastAsia" w:hAnsi="宋体"/>
                <w:color w:val="auto"/>
                <w:szCs w:val="21"/>
              </w:rPr>
              <w:t>开户名称：广西壮族自治区南溪山医院（广西壮族自治区第二人民医院）</w:t>
            </w:r>
          </w:p>
          <w:p w14:paraId="30DA8C0D">
            <w:pPr>
              <w:autoSpaceDE w:val="0"/>
              <w:autoSpaceDN w:val="0"/>
              <w:snapToGrid w:val="0"/>
              <w:spacing w:line="380" w:lineRule="exact"/>
              <w:textAlignment w:val="bottom"/>
              <w:rPr>
                <w:rFonts w:hint="eastAsia" w:hAnsi="宋体"/>
                <w:color w:val="auto"/>
                <w:szCs w:val="21"/>
              </w:rPr>
            </w:pPr>
            <w:r>
              <w:rPr>
                <w:rFonts w:hint="eastAsia" w:hAnsi="宋体"/>
                <w:color w:val="auto"/>
                <w:szCs w:val="21"/>
              </w:rPr>
              <w:t>开户银行：中国建设银行股份有限公司桂林城南支行</w:t>
            </w:r>
          </w:p>
          <w:p w14:paraId="4B3B8B90">
            <w:pPr>
              <w:autoSpaceDE w:val="0"/>
              <w:autoSpaceDN w:val="0"/>
              <w:snapToGrid w:val="0"/>
              <w:spacing w:line="380" w:lineRule="exact"/>
              <w:textAlignment w:val="bottom"/>
              <w:rPr>
                <w:rFonts w:hint="eastAsia" w:hAnsi="宋体"/>
                <w:color w:val="auto"/>
                <w:szCs w:val="21"/>
              </w:rPr>
            </w:pPr>
            <w:r>
              <w:rPr>
                <w:rFonts w:hint="eastAsia" w:hAnsi="宋体"/>
                <w:color w:val="auto"/>
                <w:szCs w:val="21"/>
              </w:rPr>
              <w:t>账号：45001635305059666666</w:t>
            </w:r>
          </w:p>
          <w:p w14:paraId="46660009">
            <w:pPr>
              <w:autoSpaceDE w:val="0"/>
              <w:autoSpaceDN w:val="0"/>
              <w:snapToGrid w:val="0"/>
              <w:spacing w:line="380" w:lineRule="exact"/>
              <w:textAlignment w:val="bottom"/>
              <w:rPr>
                <w:rFonts w:hint="eastAsia" w:hAnsi="宋体"/>
                <w:color w:val="auto"/>
                <w:szCs w:val="21"/>
              </w:rPr>
            </w:pPr>
            <w:r>
              <w:rPr>
                <w:rFonts w:hint="eastAsia" w:hAnsi="宋体"/>
                <w:color w:val="auto"/>
                <w:szCs w:val="21"/>
              </w:rPr>
              <w:t>备    注：</w:t>
            </w:r>
          </w:p>
          <w:p w14:paraId="521C2240">
            <w:pPr>
              <w:autoSpaceDE w:val="0"/>
              <w:autoSpaceDN w:val="0"/>
              <w:spacing w:line="360" w:lineRule="exact"/>
              <w:textAlignment w:val="bottom"/>
              <w:rPr>
                <w:rFonts w:hint="eastAsia" w:ascii="宋体" w:hAnsi="宋体" w:cs="宋体"/>
                <w:color w:val="auto"/>
                <w:szCs w:val="21"/>
              </w:rPr>
            </w:pPr>
            <w:r>
              <w:rPr>
                <w:rFonts w:hint="eastAsia" w:hAnsi="宋体"/>
                <w:b/>
                <w:color w:val="auto"/>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tc>
      </w:tr>
      <w:tr w14:paraId="4A69F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B54875">
            <w:pPr>
              <w:spacing w:line="360" w:lineRule="auto"/>
              <w:jc w:val="center"/>
              <w:rPr>
                <w:rFonts w:hint="eastAsia" w:ascii="宋体" w:hAnsi="宋体" w:cs="宋体"/>
                <w:color w:val="auto"/>
                <w:szCs w:val="21"/>
              </w:rPr>
            </w:pPr>
            <w:r>
              <w:rPr>
                <w:rFonts w:ascii="宋体" w:hAnsi="宋体" w:cs="宋体"/>
                <w:color w:val="auto"/>
                <w:szCs w:val="21"/>
              </w:rPr>
              <w:t>29.1</w:t>
            </w:r>
          </w:p>
        </w:tc>
        <w:tc>
          <w:tcPr>
            <w:tcW w:w="7912" w:type="dxa"/>
            <w:vAlign w:val="center"/>
          </w:tcPr>
          <w:p w14:paraId="02A99D87">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 xml:space="preserve">签订合同携带的证明材料： </w:t>
            </w:r>
          </w:p>
          <w:p w14:paraId="400D0289">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14:paraId="4E2707FB">
            <w:pPr>
              <w:snapToGrid w:val="0"/>
              <w:spacing w:line="360" w:lineRule="auto"/>
              <w:rPr>
                <w:rFonts w:hint="eastAsia"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14:paraId="17850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B17F4D">
            <w:pPr>
              <w:spacing w:line="360" w:lineRule="auto"/>
              <w:jc w:val="center"/>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vAlign w:val="center"/>
          </w:tcPr>
          <w:p w14:paraId="5A6D8CF4">
            <w:pPr>
              <w:snapToGrid w:val="0"/>
              <w:spacing w:line="360" w:lineRule="auto"/>
              <w:rPr>
                <w:rFonts w:hint="eastAsia" w:ascii="宋体" w:hAnsi="宋体" w:cs="宋体"/>
                <w:color w:val="auto"/>
                <w:szCs w:val="21"/>
              </w:rPr>
            </w:pPr>
            <w:r>
              <w:rPr>
                <w:rFonts w:hint="eastAsia" w:ascii="宋体" w:hAnsi="宋体" w:cs="宋体"/>
                <w:color w:val="auto"/>
                <w:szCs w:val="21"/>
              </w:rPr>
              <w:t>接收质疑函方式：书面形式</w:t>
            </w:r>
          </w:p>
          <w:p w14:paraId="37C560A1">
            <w:pPr>
              <w:snapToGrid w:val="0"/>
              <w:spacing w:line="360" w:lineRule="auto"/>
              <w:rPr>
                <w:rFonts w:hint="eastAsia" w:ascii="宋体" w:hAnsi="宋体" w:cs="宋体"/>
                <w:color w:val="auto"/>
                <w:szCs w:val="21"/>
              </w:rPr>
            </w:pPr>
            <w:r>
              <w:rPr>
                <w:rFonts w:hint="eastAsia" w:ascii="宋体" w:hAnsi="宋体" w:cs="宋体"/>
                <w:color w:val="auto"/>
                <w:szCs w:val="21"/>
              </w:rPr>
              <w:t>质疑联系部门及联系方式：云之龙咨询集团有限公司，联系人：李贞，联系电话：</w:t>
            </w:r>
            <w:r>
              <w:rPr>
                <w:rFonts w:ascii="宋体" w:hAnsi="宋体" w:cs="宋体"/>
                <w:color w:val="auto"/>
                <w:szCs w:val="21"/>
              </w:rPr>
              <w:t xml:space="preserve">0773-2887388  2887399 </w:t>
            </w:r>
            <w:r>
              <w:rPr>
                <w:rFonts w:hint="eastAsia" w:ascii="宋体" w:hAnsi="宋体" w:cs="宋体"/>
                <w:color w:val="auto"/>
                <w:szCs w:val="21"/>
              </w:rPr>
              <w:t>。通讯地址：广西桂林市临桂区西城北路</w:t>
            </w:r>
            <w:r>
              <w:rPr>
                <w:rFonts w:ascii="宋体" w:hAnsi="宋体" w:cs="宋体"/>
                <w:color w:val="auto"/>
                <w:szCs w:val="21"/>
              </w:rPr>
              <w:t>2</w:t>
            </w:r>
            <w:r>
              <w:rPr>
                <w:rFonts w:hint="eastAsia" w:ascii="宋体" w:hAnsi="宋体" w:cs="宋体"/>
                <w:color w:val="auto"/>
                <w:szCs w:val="21"/>
              </w:rPr>
              <w:t>号耀辉•美好家园</w:t>
            </w:r>
            <w:r>
              <w:rPr>
                <w:rFonts w:ascii="宋体" w:hAnsi="宋体" w:cs="宋体"/>
                <w:color w:val="auto"/>
                <w:szCs w:val="21"/>
              </w:rPr>
              <w:t>2</w:t>
            </w:r>
            <w:r>
              <w:rPr>
                <w:rFonts w:hint="eastAsia" w:ascii="宋体" w:hAnsi="宋体" w:cs="宋体"/>
                <w:color w:val="auto"/>
                <w:szCs w:val="21"/>
              </w:rPr>
              <w:t>幢</w:t>
            </w:r>
            <w:r>
              <w:rPr>
                <w:rFonts w:ascii="宋体" w:hAnsi="宋体" w:cs="宋体"/>
                <w:color w:val="auto"/>
                <w:szCs w:val="21"/>
              </w:rPr>
              <w:t>12</w:t>
            </w:r>
            <w:r>
              <w:rPr>
                <w:rFonts w:hint="eastAsia" w:ascii="宋体" w:hAnsi="宋体" w:cs="宋体"/>
                <w:color w:val="auto"/>
                <w:szCs w:val="21"/>
              </w:rPr>
              <w:t>层1号房。</w:t>
            </w:r>
          </w:p>
          <w:p w14:paraId="2A18E139">
            <w:pPr>
              <w:snapToGrid w:val="0"/>
              <w:spacing w:line="360" w:lineRule="auto"/>
              <w:rPr>
                <w:rFonts w:hint="eastAsia" w:ascii="宋体" w:hAnsi="宋体"/>
                <w:color w:val="auto"/>
                <w:szCs w:val="21"/>
              </w:rPr>
            </w:pPr>
            <w:r>
              <w:rPr>
                <w:rFonts w:hint="eastAsia" w:ascii="宋体" w:hAnsi="宋体" w:cs="宋体"/>
                <w:color w:val="auto"/>
                <w:szCs w:val="21"/>
              </w:rPr>
              <w:t>业务时间：工作日每天上午9时</w:t>
            </w:r>
            <w:r>
              <w:rPr>
                <w:rFonts w:ascii="宋体" w:hAnsi="宋体" w:cs="宋体"/>
                <w:color w:val="auto"/>
                <w:szCs w:val="21"/>
              </w:rPr>
              <w:t>00</w:t>
            </w:r>
            <w:r>
              <w:rPr>
                <w:rFonts w:hint="eastAsia" w:ascii="宋体" w:hAnsi="宋体" w:cs="宋体"/>
                <w:color w:val="auto"/>
                <w:szCs w:val="21"/>
              </w:rPr>
              <w:t>分到</w:t>
            </w:r>
            <w:r>
              <w:rPr>
                <w:rFonts w:ascii="宋体" w:hAnsi="宋体" w:cs="宋体"/>
                <w:color w:val="auto"/>
                <w:szCs w:val="21"/>
              </w:rPr>
              <w:t>12</w:t>
            </w:r>
            <w:r>
              <w:rPr>
                <w:rFonts w:hint="eastAsia" w:ascii="宋体" w:hAnsi="宋体" w:cs="宋体"/>
                <w:color w:val="auto"/>
                <w:szCs w:val="21"/>
              </w:rPr>
              <w:t>时</w:t>
            </w:r>
            <w:r>
              <w:rPr>
                <w:rFonts w:ascii="宋体" w:hAnsi="宋体" w:cs="宋体"/>
                <w:color w:val="auto"/>
                <w:szCs w:val="21"/>
              </w:rPr>
              <w:t>00</w:t>
            </w:r>
            <w:r>
              <w:rPr>
                <w:rFonts w:hint="eastAsia" w:ascii="宋体" w:hAnsi="宋体" w:cs="宋体"/>
                <w:color w:val="auto"/>
                <w:szCs w:val="21"/>
              </w:rPr>
              <w:t>分，下午1时</w:t>
            </w:r>
            <w:r>
              <w:rPr>
                <w:rFonts w:ascii="宋体" w:hAnsi="宋体" w:cs="宋体"/>
                <w:color w:val="auto"/>
                <w:szCs w:val="21"/>
              </w:rPr>
              <w:t>00</w:t>
            </w:r>
            <w:r>
              <w:rPr>
                <w:rFonts w:hint="eastAsia" w:ascii="宋体" w:hAnsi="宋体" w:cs="宋体"/>
                <w:color w:val="auto"/>
                <w:szCs w:val="21"/>
              </w:rPr>
              <w:t>分到5时</w:t>
            </w:r>
            <w:r>
              <w:rPr>
                <w:rFonts w:ascii="宋体" w:hAnsi="宋体" w:cs="宋体"/>
                <w:color w:val="auto"/>
                <w:szCs w:val="21"/>
              </w:rPr>
              <w:t>00</w:t>
            </w:r>
            <w:r>
              <w:rPr>
                <w:rFonts w:hint="eastAsia" w:ascii="宋体" w:hAnsi="宋体" w:cs="宋体"/>
                <w:color w:val="auto"/>
                <w:szCs w:val="21"/>
              </w:rPr>
              <w:t>分。</w:t>
            </w:r>
          </w:p>
        </w:tc>
      </w:tr>
      <w:tr w14:paraId="4FB89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820AC4">
            <w:pPr>
              <w:spacing w:line="360" w:lineRule="auto"/>
              <w:jc w:val="center"/>
              <w:rPr>
                <w:rFonts w:hint="eastAsia" w:ascii="宋体" w:hAnsi="宋体" w:cs="宋体"/>
                <w:color w:val="auto"/>
                <w:szCs w:val="21"/>
              </w:rPr>
            </w:pPr>
            <w:r>
              <w:rPr>
                <w:rFonts w:ascii="宋体" w:hAnsi="宋体" w:cs="宋体"/>
                <w:color w:val="auto"/>
                <w:szCs w:val="21"/>
              </w:rPr>
              <w:t>32.1</w:t>
            </w:r>
          </w:p>
        </w:tc>
        <w:tc>
          <w:tcPr>
            <w:tcW w:w="7912" w:type="dxa"/>
            <w:vAlign w:val="center"/>
          </w:tcPr>
          <w:p w14:paraId="25E3F1E6">
            <w:pPr>
              <w:pStyle w:val="27"/>
              <w:snapToGrid w:val="0"/>
              <w:spacing w:line="390" w:lineRule="exact"/>
              <w:rPr>
                <w:rFonts w:hint="eastAsia" w:hAnsi="宋体"/>
                <w:color w:val="auto"/>
                <w:sz w:val="21"/>
              </w:rPr>
            </w:pPr>
            <w:r>
              <w:rPr>
                <w:rFonts w:hint="eastAsia" w:hAnsi="宋体"/>
                <w:color w:val="auto"/>
                <w:sz w:val="21"/>
              </w:rPr>
              <w:t>1.采购代理费支付方式：</w:t>
            </w:r>
          </w:p>
          <w:p w14:paraId="34C3BF39">
            <w:pPr>
              <w:pStyle w:val="27"/>
              <w:snapToGrid w:val="0"/>
              <w:spacing w:line="390" w:lineRule="exact"/>
              <w:rPr>
                <w:rFonts w:hint="eastAsia" w:hAnsi="宋体"/>
                <w:color w:val="auto"/>
                <w:sz w:val="21"/>
              </w:rPr>
            </w:pPr>
            <w:r>
              <w:rPr>
                <w:rFonts w:hAnsi="宋体"/>
                <w:color w:val="auto"/>
                <w:sz w:val="21"/>
              </w:rPr>
              <w:sym w:font="Wingdings" w:char="00FE"/>
            </w:r>
            <w:r>
              <w:rPr>
                <w:rFonts w:hint="eastAsia" w:hAnsi="宋体"/>
                <w:color w:val="auto"/>
                <w:sz w:val="21"/>
              </w:rPr>
              <w:t>本项目采购代理服务费由成交供应商在成交通知书发出前一次性向采购代理机构支付。</w:t>
            </w:r>
          </w:p>
          <w:p w14:paraId="548BD029">
            <w:pPr>
              <w:pStyle w:val="27"/>
              <w:snapToGrid w:val="0"/>
              <w:spacing w:line="390" w:lineRule="exact"/>
              <w:rPr>
                <w:rFonts w:hint="eastAsia" w:hAnsi="宋体"/>
                <w:color w:val="auto"/>
                <w:sz w:val="21"/>
              </w:rPr>
            </w:pPr>
            <w:r>
              <w:rPr>
                <w:rFonts w:hint="eastAsia" w:hAnsi="宋体"/>
                <w:color w:val="auto"/>
                <w:sz w:val="21"/>
              </w:rPr>
              <w:t>□采购人支付。</w:t>
            </w:r>
          </w:p>
          <w:p w14:paraId="12BDA8A9">
            <w:pPr>
              <w:pStyle w:val="27"/>
              <w:snapToGrid w:val="0"/>
              <w:spacing w:line="390" w:lineRule="exact"/>
              <w:rPr>
                <w:rFonts w:hint="eastAsia" w:hAnsi="宋体"/>
                <w:color w:val="auto"/>
                <w:sz w:val="21"/>
              </w:rPr>
            </w:pPr>
            <w:r>
              <w:rPr>
                <w:rFonts w:hint="eastAsia" w:hAnsi="宋体"/>
                <w:color w:val="auto"/>
                <w:sz w:val="21"/>
              </w:rPr>
              <w:t>2.采购代理费收取标准：</w:t>
            </w:r>
          </w:p>
          <w:p w14:paraId="10FC273A">
            <w:pPr>
              <w:pStyle w:val="27"/>
              <w:snapToGrid w:val="0"/>
              <w:spacing w:line="390" w:lineRule="exact"/>
              <w:rPr>
                <w:rFonts w:hint="eastAsia" w:hAnsi="宋体"/>
                <w:color w:val="auto"/>
                <w:sz w:val="21"/>
              </w:rPr>
            </w:pPr>
            <w:r>
              <w:rPr>
                <w:rFonts w:hAnsi="宋体"/>
                <w:color w:val="auto"/>
                <w:sz w:val="21"/>
              </w:rPr>
              <w:sym w:font="Wingdings" w:char="00FE"/>
            </w:r>
            <w:r>
              <w:rPr>
                <w:rFonts w:hint="eastAsia" w:hAnsi="宋体"/>
                <w:color w:val="auto"/>
                <w:sz w:val="21"/>
              </w:rPr>
              <w:t>以项目成交金额为计费额,本项目采购代理服务费按费率计。具体费率按照原国家计委关于《招标代理服务收费管理暂行办法》的通知（计价格〔2002〕1980号）、《国家发展改革委办公厅关于招标代理服务收费有关问题的通知》（发改办价格［2003］857号）以及《国家发展改革委关于降低部分建设项目收费标准规范收费行为等有关问题的通知》（发改价格〔2011〕534号）规定的计算标准（按差额定率累进法计算）基础上下浮25%的计算结果，再按67%的比例计。本项目招标代理服务费低于人民币叁仟叁佰伍拾元整（¥3350）的，按叁仟叁佰伍拾元整（¥3350）计。</w:t>
            </w:r>
          </w:p>
          <w:p w14:paraId="347988A7">
            <w:pPr>
              <w:pStyle w:val="27"/>
              <w:snapToGrid w:val="0"/>
              <w:spacing w:line="390" w:lineRule="exact"/>
              <w:rPr>
                <w:rFonts w:hint="eastAsia" w:hAnsi="宋体"/>
                <w:color w:val="auto"/>
                <w:sz w:val="21"/>
              </w:rPr>
            </w:pPr>
            <w:r>
              <w:rPr>
                <w:rFonts w:hint="eastAsia" w:hAnsi="宋体"/>
                <w:color w:val="auto"/>
                <w:sz w:val="21"/>
              </w:rPr>
              <w:t>□固定采购代理收费</w:t>
            </w:r>
            <w:r>
              <w:rPr>
                <w:rFonts w:hint="eastAsia" w:hAnsi="宋体"/>
                <w:color w:val="auto"/>
                <w:sz w:val="21"/>
                <w:u w:val="single"/>
              </w:rPr>
              <w:t xml:space="preserve">              </w:t>
            </w:r>
            <w:r>
              <w:rPr>
                <w:rFonts w:hint="eastAsia" w:hAnsi="宋体"/>
                <w:color w:val="auto"/>
                <w:sz w:val="21"/>
              </w:rPr>
              <w:t>。</w:t>
            </w:r>
          </w:p>
          <w:p w14:paraId="357C4B6E">
            <w:pPr>
              <w:pStyle w:val="27"/>
              <w:snapToGrid w:val="0"/>
              <w:spacing w:line="390" w:lineRule="exact"/>
              <w:rPr>
                <w:rFonts w:hint="eastAsia" w:hAnsi="宋体"/>
                <w:color w:val="auto"/>
                <w:sz w:val="21"/>
              </w:rPr>
            </w:pPr>
            <w:r>
              <w:rPr>
                <w:rFonts w:hint="eastAsia" w:hAnsi="宋体"/>
                <w:color w:val="auto"/>
                <w:sz w:val="21"/>
              </w:rPr>
              <w:t>3. 采购代理费收取银行账户</w:t>
            </w:r>
          </w:p>
          <w:p w14:paraId="7C668FDA">
            <w:pPr>
              <w:pStyle w:val="27"/>
              <w:snapToGrid w:val="0"/>
              <w:spacing w:line="390" w:lineRule="exact"/>
              <w:rPr>
                <w:rFonts w:hint="eastAsia" w:hAnsi="宋体"/>
                <w:color w:val="auto"/>
                <w:sz w:val="21"/>
              </w:rPr>
            </w:pPr>
            <w:r>
              <w:rPr>
                <w:rFonts w:hint="eastAsia" w:hAnsi="宋体"/>
                <w:color w:val="auto"/>
                <w:sz w:val="21"/>
              </w:rPr>
              <w:t>开户名称：云之龙咨询集团有限公司桂林分公司</w:t>
            </w:r>
          </w:p>
          <w:p w14:paraId="05A996AF">
            <w:pPr>
              <w:pStyle w:val="27"/>
              <w:snapToGrid w:val="0"/>
              <w:spacing w:line="390" w:lineRule="exact"/>
              <w:rPr>
                <w:rFonts w:hint="eastAsia" w:hAnsi="宋体"/>
                <w:color w:val="auto"/>
                <w:sz w:val="21"/>
              </w:rPr>
            </w:pPr>
            <w:r>
              <w:rPr>
                <w:rFonts w:hint="eastAsia" w:hAnsi="宋体"/>
                <w:color w:val="auto"/>
                <w:sz w:val="21"/>
              </w:rPr>
              <w:t>开户银行： 中信银行股份有限公司南宁东葛支行</w:t>
            </w:r>
          </w:p>
          <w:p w14:paraId="56066E0C">
            <w:pPr>
              <w:pStyle w:val="27"/>
              <w:snapToGrid w:val="0"/>
              <w:spacing w:line="390" w:lineRule="exact"/>
              <w:rPr>
                <w:rFonts w:hint="eastAsia" w:hAnsi="宋体"/>
                <w:color w:val="auto"/>
                <w:sz w:val="21"/>
              </w:rPr>
            </w:pPr>
            <w:r>
              <w:rPr>
                <w:rFonts w:hint="eastAsia" w:hAnsi="宋体"/>
                <w:color w:val="auto"/>
                <w:sz w:val="21"/>
              </w:rPr>
              <w:t>银行账号：8113001014300158041</w:t>
            </w:r>
          </w:p>
        </w:tc>
      </w:tr>
      <w:tr w14:paraId="19E59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9ABEB4">
            <w:pPr>
              <w:spacing w:line="360" w:lineRule="auto"/>
              <w:jc w:val="center"/>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vAlign w:val="center"/>
          </w:tcPr>
          <w:p w14:paraId="639302F6">
            <w:pPr>
              <w:pStyle w:val="27"/>
              <w:snapToGrid w:val="0"/>
              <w:spacing w:line="390" w:lineRule="exact"/>
              <w:rPr>
                <w:rFonts w:hint="eastAsia" w:hAnsi="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谈判文件</w:t>
            </w:r>
            <w:r>
              <w:rPr>
                <w:rFonts w:hAnsi="宋体"/>
                <w:color w:val="auto"/>
                <w:sz w:val="21"/>
              </w:rPr>
              <w:t>的各个组成文件应互为解释，互为说明；除</w:t>
            </w:r>
            <w:r>
              <w:rPr>
                <w:rFonts w:hint="eastAsia" w:hAnsi="宋体"/>
                <w:color w:val="auto"/>
                <w:sz w:val="21"/>
              </w:rPr>
              <w:t>谈判文件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竞争性谈判</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color w:val="auto"/>
                <w:sz w:val="21"/>
              </w:rPr>
              <w:t>评审程序和评定成交的标准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谈判文件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14:paraId="3972F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BB104D">
            <w:pPr>
              <w:spacing w:line="360" w:lineRule="auto"/>
              <w:jc w:val="center"/>
              <w:rPr>
                <w:rFonts w:hint="eastAsia" w:ascii="宋体" w:hAnsi="宋体" w:cs="宋体"/>
                <w:color w:val="auto"/>
                <w:szCs w:val="21"/>
              </w:rPr>
            </w:pPr>
            <w:r>
              <w:rPr>
                <w:rFonts w:hint="eastAsia" w:ascii="宋体" w:hAnsi="宋体" w:cs="宋体"/>
                <w:color w:val="auto"/>
                <w:szCs w:val="21"/>
              </w:rPr>
              <w:t>33.2</w:t>
            </w:r>
          </w:p>
        </w:tc>
        <w:tc>
          <w:tcPr>
            <w:tcW w:w="7912" w:type="dxa"/>
            <w:vAlign w:val="center"/>
          </w:tcPr>
          <w:p w14:paraId="7E6D12B1">
            <w:pPr>
              <w:pStyle w:val="27"/>
              <w:snapToGrid w:val="0"/>
              <w:spacing w:line="390" w:lineRule="exact"/>
              <w:rPr>
                <w:rFonts w:hint="eastAsia" w:hAnsi="宋体"/>
                <w:color w:val="auto"/>
                <w:sz w:val="21"/>
              </w:rPr>
            </w:pPr>
            <w:r>
              <w:rPr>
                <w:rFonts w:hint="eastAsia" w:hAnsi="宋体"/>
                <w:color w:val="auto"/>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375B1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6FF784">
            <w:pPr>
              <w:spacing w:line="360" w:lineRule="auto"/>
              <w:jc w:val="center"/>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3.</w:t>
            </w:r>
            <w:r>
              <w:rPr>
                <w:rFonts w:hint="eastAsia" w:ascii="宋体" w:hAnsi="宋体" w:cs="宋体"/>
                <w:color w:val="auto"/>
                <w:szCs w:val="21"/>
              </w:rPr>
              <w:t>3</w:t>
            </w:r>
          </w:p>
        </w:tc>
        <w:tc>
          <w:tcPr>
            <w:tcW w:w="7912" w:type="dxa"/>
            <w:vAlign w:val="center"/>
          </w:tcPr>
          <w:p w14:paraId="6177450A">
            <w:pPr>
              <w:pStyle w:val="27"/>
              <w:snapToGrid w:val="0"/>
              <w:spacing w:line="390" w:lineRule="exact"/>
              <w:rPr>
                <w:rFonts w:hint="eastAsia" w:hAnsi="宋体"/>
                <w:color w:val="auto"/>
                <w:sz w:val="21"/>
              </w:rPr>
            </w:pPr>
            <w:r>
              <w:rPr>
                <w:rFonts w:hint="eastAsia" w:hAnsi="宋体"/>
                <w:color w:val="auto"/>
                <w:sz w:val="21"/>
              </w:rPr>
              <w:t>1.本谈判文件中描述供应商的“公章”是指根据我国对公章的管理规定，用供应商法定主体行为名称制作的印章，除本谈判文件有特殊规定外，供应商的财务章、部门章、分公司章、工会章、合同章、竞标/投标专用章、业务专用章及银行的转账章、现金收讫章、现金付讫章等其他形式印章均不能代替公章。</w:t>
            </w:r>
          </w:p>
          <w:p w14:paraId="37A0726A">
            <w:pPr>
              <w:pStyle w:val="27"/>
              <w:snapToGrid w:val="0"/>
              <w:spacing w:line="390" w:lineRule="exact"/>
              <w:rPr>
                <w:rFonts w:hint="eastAsia" w:hAnsi="宋体"/>
                <w:color w:val="auto"/>
                <w:sz w:val="21"/>
              </w:rPr>
            </w:pPr>
            <w:r>
              <w:rPr>
                <w:rFonts w:hint="eastAsia" w:hAnsi="宋体"/>
                <w:color w:val="auto"/>
                <w:sz w:val="21"/>
              </w:rPr>
              <w:t>2.本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215227EC">
            <w:pPr>
              <w:pStyle w:val="27"/>
              <w:snapToGrid w:val="0"/>
              <w:spacing w:line="390" w:lineRule="exact"/>
              <w:rPr>
                <w:rFonts w:hint="eastAsia" w:hAnsi="宋体"/>
                <w:color w:val="auto"/>
                <w:sz w:val="21"/>
              </w:rPr>
            </w:pPr>
            <w:r>
              <w:rPr>
                <w:rFonts w:hAnsi="宋体"/>
                <w:color w:val="auto"/>
                <w:sz w:val="21"/>
              </w:rPr>
              <w:t>3</w:t>
            </w:r>
            <w:r>
              <w:rPr>
                <w:rFonts w:hint="eastAsia" w:hAnsi="宋体"/>
                <w:color w:val="auto"/>
                <w:sz w:val="21"/>
              </w:rPr>
              <w:t>.供应商为其他组织时，本谈判文件规定的法定代表人指负责人。本谈判文件所称负责人是指参加竞标的其他组织营业执照或者执业许可证等证照上的负责人。</w:t>
            </w:r>
          </w:p>
          <w:p w14:paraId="67D25349">
            <w:pPr>
              <w:pStyle w:val="27"/>
              <w:snapToGrid w:val="0"/>
              <w:spacing w:line="390" w:lineRule="exact"/>
              <w:rPr>
                <w:rFonts w:hint="eastAsia" w:hAnsi="宋体"/>
                <w:color w:val="auto"/>
                <w:sz w:val="21"/>
              </w:rPr>
            </w:pPr>
            <w:r>
              <w:rPr>
                <w:rFonts w:hAnsi="宋体"/>
                <w:color w:val="auto"/>
                <w:sz w:val="21"/>
              </w:rPr>
              <w:t>4.</w:t>
            </w:r>
            <w:r>
              <w:rPr>
                <w:rFonts w:hint="eastAsia" w:hAnsi="宋体"/>
                <w:color w:val="auto"/>
                <w:sz w:val="21"/>
              </w:rPr>
              <w:t>本谈判文件中描述供应商的“签字”是指供应商的法定代表人或者委托代理人亲自在文件规定签署处亲笔写上个人的名字的行为，私章、签字章、印鉴、影印等其他形式均不能代替亲笔签字。</w:t>
            </w:r>
          </w:p>
          <w:p w14:paraId="0AD20D76">
            <w:pPr>
              <w:pStyle w:val="27"/>
              <w:snapToGrid w:val="0"/>
              <w:spacing w:line="390" w:lineRule="exact"/>
              <w:rPr>
                <w:rFonts w:hint="eastAsia" w:hAnsi="宋体"/>
                <w:color w:val="auto"/>
                <w:sz w:val="21"/>
              </w:rPr>
            </w:pPr>
            <w:r>
              <w:rPr>
                <w:rFonts w:hint="eastAsia" w:hAnsi="宋体"/>
                <w:color w:val="auto"/>
                <w:sz w:val="21"/>
              </w:rPr>
              <w:t>5</w:t>
            </w:r>
            <w:r>
              <w:rPr>
                <w:rFonts w:hAnsi="宋体"/>
                <w:color w:val="auto"/>
                <w:sz w:val="21"/>
              </w:rPr>
              <w:t>.</w:t>
            </w:r>
            <w:r>
              <w:rPr>
                <w:rFonts w:hint="eastAsia" w:hAnsi="宋体"/>
                <w:color w:val="auto"/>
                <w:sz w:val="21"/>
              </w:rPr>
              <w:t>本谈判文件所称的“以上”“以下”“以内”“届满”，包括本数；所称的“不满”“超过”“以外”，不包括本数。</w:t>
            </w:r>
          </w:p>
        </w:tc>
      </w:tr>
    </w:tbl>
    <w:p w14:paraId="3CA5171B">
      <w:pPr>
        <w:spacing w:line="400" w:lineRule="exact"/>
        <w:jc w:val="center"/>
        <w:rPr>
          <w:rFonts w:hint="eastAsia"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14:paraId="24744E70">
      <w:pPr>
        <w:spacing w:line="400" w:lineRule="exact"/>
        <w:jc w:val="center"/>
        <w:rPr>
          <w:rFonts w:hint="eastAsia" w:ascii="宋体" w:hAnsi="宋体"/>
          <w:b/>
          <w:color w:val="auto"/>
          <w:sz w:val="32"/>
          <w:szCs w:val="32"/>
        </w:rPr>
      </w:pPr>
    </w:p>
    <w:p w14:paraId="1CF1DA2F">
      <w:pPr>
        <w:spacing w:line="400" w:lineRule="exact"/>
        <w:jc w:val="center"/>
        <w:rPr>
          <w:rFonts w:hint="eastAsia" w:ascii="宋体" w:hAnsi="宋体"/>
          <w:b/>
          <w:color w:val="auto"/>
          <w:sz w:val="32"/>
          <w:szCs w:val="32"/>
        </w:rPr>
      </w:pPr>
      <w:r>
        <w:rPr>
          <w:rFonts w:hint="eastAsia" w:ascii="宋体" w:hAnsi="宋体"/>
          <w:b/>
          <w:color w:val="auto"/>
          <w:sz w:val="32"/>
          <w:szCs w:val="32"/>
        </w:rPr>
        <w:t>一、总则</w:t>
      </w:r>
    </w:p>
    <w:p w14:paraId="054BF918">
      <w:pPr>
        <w:spacing w:line="400" w:lineRule="exact"/>
        <w:rPr>
          <w:rFonts w:hint="eastAsia" w:ascii="宋体" w:hAnsi="宋体"/>
          <w:color w:val="auto"/>
          <w:szCs w:val="21"/>
        </w:rPr>
      </w:pPr>
    </w:p>
    <w:p w14:paraId="4E9FD427">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1.适用范围</w:t>
      </w:r>
    </w:p>
    <w:p w14:paraId="649AAC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本项目采购人、采购代理机构、供应商、谈判小组的相关行为均受《中华人民共和国政府采购法》《中华人民共和国政府采购法实施条例》《政府采购非招标采购方式管理办法》（财政部74号令）及本项目本级和上级财政部门政府采购有关规定的约束和保护。</w:t>
      </w:r>
    </w:p>
    <w:p w14:paraId="1CC9CD7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1.2本竞争性谈判文件（以下简称谈判文件）适用于本项目的所有采购程序和环节（法律、法规另有规定的，从其规定）</w:t>
      </w:r>
      <w:r>
        <w:rPr>
          <w:rFonts w:hint="eastAsia" w:ascii="宋体" w:hAnsi="宋体" w:cs="宋体"/>
          <w:color w:val="auto"/>
          <w:spacing w:val="-6"/>
          <w:szCs w:val="21"/>
        </w:rPr>
        <w:t>。</w:t>
      </w:r>
    </w:p>
    <w:p w14:paraId="04DC54E1">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2.定义</w:t>
      </w:r>
    </w:p>
    <w:p w14:paraId="13B0FEE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2.1“采购人”是指依法进行政府采购的国家机关、事业单位、团体组织。</w:t>
      </w:r>
    </w:p>
    <w:p w14:paraId="082EA7A0">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00E16D3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63275A0D">
      <w:pPr>
        <w:spacing w:line="360" w:lineRule="auto"/>
        <w:ind w:firstLine="420" w:firstLineChars="200"/>
        <w:rPr>
          <w:rFonts w:hint="eastAsia" w:ascii="宋体" w:hAnsi="宋体" w:cs="宋体"/>
          <w:color w:val="auto"/>
          <w:szCs w:val="21"/>
        </w:rPr>
      </w:pPr>
      <w:r>
        <w:rPr>
          <w:rFonts w:hint="eastAsia" w:ascii="宋体" w:hAnsi="宋体"/>
          <w:color w:val="auto"/>
          <w:szCs w:val="21"/>
        </w:rPr>
        <w:t>2.4“工程”是指建设工程，包括建筑物和构筑物的新建、改建、扩建、装修、拆除、修缮等。</w:t>
      </w:r>
    </w:p>
    <w:p w14:paraId="77B68F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“竞标”是指供应商按照本项目竞争性谈判公告规定的方式获取谈判文件、提交响应文件并希望获得标的的行为。</w:t>
      </w:r>
    </w:p>
    <w:p w14:paraId="31B479D5">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14:paraId="73B2C11C">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2.7“响应文件”是指：供应商根据本谈判文件要求，编制包含资格证明、报价、商务技术等所有内容的文件</w:t>
      </w:r>
      <w:r>
        <w:rPr>
          <w:rFonts w:hint="eastAsia" w:ascii="宋体" w:hAnsi="宋体" w:cs="宋体"/>
          <w:color w:val="auto"/>
          <w:spacing w:val="-6"/>
          <w:szCs w:val="21"/>
        </w:rPr>
        <w:t>。</w:t>
      </w:r>
    </w:p>
    <w:p w14:paraId="2BA73C1F">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2.8“实质性要求”是指谈判文件中已经指明不满足则响应文件按无效处理的条款，或者不能负偏离的条款，或者采购需求中带“▲”的条款。</w:t>
      </w:r>
    </w:p>
    <w:p w14:paraId="49BA28EF">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2.9“正偏离”，是指响应文件对谈判文件“采购需求”中有关条款作出的响应优于条款要求并有利于采购人的情形。</w:t>
      </w:r>
    </w:p>
    <w:p w14:paraId="05C13118">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10“负偏离”，是指响应文件对谈判文件“采购需求”中有关条款作出的响应不满足条款要求，导致采购人要求不能得到满足的情形。</w:t>
      </w:r>
    </w:p>
    <w:p w14:paraId="5F851825">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2.11“允许负偏离的条款”是指采购需求中的不属于“实质性要求”的条款。</w:t>
      </w:r>
    </w:p>
    <w:p w14:paraId="0FFC26A6">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14:paraId="576374A9">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3.供应商的资格条件</w:t>
      </w:r>
    </w:p>
    <w:p w14:paraId="1D7F66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供应商的资格条件详见“供应商须知前附表”。</w:t>
      </w:r>
    </w:p>
    <w:p w14:paraId="3B95375A">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4.竞标费用</w:t>
      </w:r>
    </w:p>
    <w:p w14:paraId="6679579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供应商应承担参与本次采购活动有关的所有费用，包括但不限于获取谈判文件、勘查现场、编制和提交响应文件、参加谈判与应答、签订合同等，不论竞标结果如何，均应自行承担。</w:t>
      </w:r>
    </w:p>
    <w:p w14:paraId="58229BF7">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5.联合体竞标</w:t>
      </w:r>
    </w:p>
    <w:p w14:paraId="42C6379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5.1本项目是否接受联合体竞标，详见“供应商须知前附表”。</w:t>
      </w:r>
    </w:p>
    <w:p w14:paraId="494F3BB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14:paraId="7FB2236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5.3</w:t>
      </w:r>
      <w:bookmarkStart w:id="55" w:name="_Hlk66782192"/>
      <w:r>
        <w:rPr>
          <w:rFonts w:hint="eastAsia" w:ascii="宋体" w:hAnsi="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5"/>
    </w:p>
    <w:p w14:paraId="70063841">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 xml:space="preserve">6.转包与分包             </w:t>
      </w:r>
    </w:p>
    <w:p w14:paraId="39A91B36">
      <w:pPr>
        <w:pStyle w:val="7"/>
        <w:keepNext w:val="0"/>
        <w:keepLines w:val="0"/>
        <w:spacing w:before="0" w:after="0" w:line="360" w:lineRule="auto"/>
        <w:ind w:left="420" w:leftChars="200"/>
        <w:rPr>
          <w:rFonts w:hint="eastAsia" w:ascii="宋体" w:hAnsi="宋体"/>
          <w:b w:val="0"/>
          <w:color w:val="auto"/>
          <w:sz w:val="21"/>
          <w:szCs w:val="21"/>
        </w:rPr>
      </w:pPr>
      <w:bookmarkStart w:id="56" w:name="_Toc254970673"/>
      <w:bookmarkStart w:id="57" w:name="_Toc254970532"/>
      <w:r>
        <w:rPr>
          <w:rFonts w:hint="eastAsia" w:ascii="宋体" w:hAnsi="宋体"/>
          <w:b w:val="0"/>
          <w:color w:val="auto"/>
          <w:sz w:val="21"/>
          <w:szCs w:val="21"/>
        </w:rPr>
        <w:t>6.1本项目不允许转包。</w:t>
      </w:r>
    </w:p>
    <w:p w14:paraId="2785BB5D">
      <w:pPr>
        <w:pStyle w:val="7"/>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5071A2F8">
      <w:pPr>
        <w:pStyle w:val="7"/>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3285E92C">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7.特别说明</w:t>
      </w:r>
      <w:bookmarkEnd w:id="56"/>
      <w:bookmarkEnd w:id="57"/>
    </w:p>
    <w:p w14:paraId="564F1819">
      <w:pPr>
        <w:spacing w:line="360" w:lineRule="auto"/>
        <w:ind w:firstLine="420" w:firstLineChars="200"/>
        <w:rPr>
          <w:rFonts w:hint="eastAsia" w:ascii="宋体" w:hAnsi="宋体" w:cs="宋体"/>
          <w:color w:val="auto"/>
          <w:szCs w:val="21"/>
        </w:rPr>
      </w:pPr>
      <w:bookmarkStart w:id="58" w:name="_8.1提供相同品牌产品且通过资格审查、符合性审查的不同投标人参加同一合"/>
      <w:bookmarkEnd w:id="58"/>
      <w:r>
        <w:rPr>
          <w:rFonts w:hint="eastAsia" w:ascii="宋体" w:hAnsi="宋体" w:cs="宋体"/>
          <w:color w:val="auto"/>
          <w:szCs w:val="21"/>
        </w:rPr>
        <w:t>7.</w:t>
      </w:r>
      <w:r>
        <w:rPr>
          <w:rFonts w:ascii="宋体" w:hAnsi="宋体" w:cs="宋体"/>
          <w:color w:val="auto"/>
          <w:szCs w:val="21"/>
        </w:rPr>
        <w:t>1</w:t>
      </w:r>
      <w:bookmarkStart w:id="59" w:name="_Hlk65832145"/>
      <w:r>
        <w:rPr>
          <w:rFonts w:hint="eastAsia" w:ascii="宋体" w:hAnsi="宋体"/>
          <w:color w:val="auto"/>
          <w:szCs w:val="21"/>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59"/>
    <w:p w14:paraId="335C4C2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供应商应仔细阅读谈判文件的所有内容，按照谈判文件的要求提交响应文件，并对所提供的全部资料的真实性承担法律责任。</w:t>
      </w:r>
    </w:p>
    <w:p w14:paraId="76E147A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3B87D9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65A3234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（1）参加采购活动前3年内与供应商存在劳动关系；</w:t>
      </w:r>
    </w:p>
    <w:p w14:paraId="3E8E5BA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（2）参加采购活动前3年内担任供应商的董事、监事；</w:t>
      </w:r>
    </w:p>
    <w:p w14:paraId="765DDF5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（3）参加采购活动前3年内是供应商的控股股东或者实际控制人；</w:t>
      </w:r>
    </w:p>
    <w:p w14:paraId="0A4EF5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1231413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（5）与供应商有其他可能影响政府采购活动公平、公正进行的关系。</w:t>
      </w:r>
    </w:p>
    <w:p w14:paraId="069F587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A106D6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53428C9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（1）不同供应商的响应文件由同一单位或者个人编制； </w:t>
      </w:r>
    </w:p>
    <w:p w14:paraId="3B1789B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（2）不同供应商委托同一单位或者个人办理竞标事宜；</w:t>
      </w:r>
    </w:p>
    <w:p w14:paraId="110A1E2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（3）不同的供应商的响应文件载明的项目管理员为同一个人；</w:t>
      </w:r>
    </w:p>
    <w:p w14:paraId="4C3453C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（4）不同供应商的响应文件异常一致或者报价呈规律性差异；</w:t>
      </w:r>
    </w:p>
    <w:p w14:paraId="0E7ED2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（5）不同供应商的响应文件相互混装；</w:t>
      </w:r>
    </w:p>
    <w:p w14:paraId="3256F272">
      <w:pPr>
        <w:tabs>
          <w:tab w:val="left" w:pos="6931"/>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（6）不同供应商的谈判保证金从同一单位或者个人账户转出。</w:t>
      </w:r>
      <w:r>
        <w:rPr>
          <w:rFonts w:ascii="宋体" w:hAnsi="宋体" w:cs="宋体"/>
          <w:color w:val="auto"/>
          <w:szCs w:val="21"/>
        </w:rPr>
        <w:tab/>
      </w:r>
    </w:p>
    <w:p w14:paraId="4C9FDFC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2C5879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59281A6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728983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208704D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76D28F3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06CC1CC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5F78A6F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32AAB6DD">
      <w:pPr>
        <w:spacing w:line="360" w:lineRule="auto"/>
        <w:ind w:firstLine="420" w:firstLineChars="200"/>
        <w:rPr>
          <w:rFonts w:hint="eastAsia" w:ascii="宋体" w:hAnsi="宋体" w:cs="宋体"/>
          <w:color w:val="auto"/>
          <w:szCs w:val="21"/>
        </w:rPr>
      </w:pPr>
    </w:p>
    <w:p w14:paraId="5A36014B">
      <w:pPr>
        <w:spacing w:line="360" w:lineRule="auto"/>
        <w:ind w:left="1" w:firstLine="417" w:firstLineChars="199"/>
        <w:jc w:val="center"/>
        <w:rPr>
          <w:rFonts w:hint="eastAsia" w:ascii="宋体" w:hAnsi="宋体"/>
          <w:color w:val="auto"/>
        </w:rPr>
      </w:pPr>
      <w:bookmarkStart w:id="60" w:name="_Toc254970534"/>
      <w:bookmarkStart w:id="61" w:name="_Toc254970675"/>
    </w:p>
    <w:p w14:paraId="64DC7F3F">
      <w:pPr>
        <w:spacing w:line="360" w:lineRule="auto"/>
        <w:jc w:val="center"/>
        <w:rPr>
          <w:rFonts w:hint="eastAsia" w:ascii="宋体" w:hAnsi="宋体"/>
          <w:b/>
          <w:bCs/>
          <w:color w:val="auto"/>
          <w:sz w:val="32"/>
          <w:szCs w:val="32"/>
        </w:rPr>
      </w:pPr>
      <w:r>
        <w:rPr>
          <w:rFonts w:hint="eastAsia" w:ascii="宋体" w:hAnsi="宋体"/>
          <w:b/>
          <w:bCs/>
          <w:color w:val="auto"/>
          <w:sz w:val="32"/>
          <w:szCs w:val="32"/>
        </w:rPr>
        <w:t>二、谈判文件</w:t>
      </w:r>
      <w:bookmarkEnd w:id="60"/>
      <w:bookmarkEnd w:id="61"/>
    </w:p>
    <w:p w14:paraId="7A0A8E64">
      <w:pPr>
        <w:spacing w:line="360" w:lineRule="auto"/>
        <w:rPr>
          <w:rFonts w:hint="eastAsia" w:ascii="宋体" w:hAnsi="宋体"/>
          <w:color w:val="auto"/>
          <w:szCs w:val="21"/>
        </w:rPr>
      </w:pPr>
    </w:p>
    <w:p w14:paraId="020591DC">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8.谈判文件的构成</w:t>
      </w:r>
    </w:p>
    <w:p w14:paraId="2AB95E65">
      <w:pPr>
        <w:spacing w:line="360" w:lineRule="auto"/>
        <w:ind w:firstLine="420" w:firstLineChars="200"/>
        <w:jc w:val="left"/>
        <w:rPr>
          <w:rFonts w:hint="eastAsia" w:ascii="宋体" w:hAnsi="宋体"/>
          <w:color w:val="auto"/>
          <w:szCs w:val="21"/>
        </w:rPr>
      </w:pPr>
      <w:r>
        <w:rPr>
          <w:rFonts w:hint="eastAsia" w:ascii="宋体" w:hAnsi="宋体"/>
          <w:color w:val="auto"/>
          <w:szCs w:val="21"/>
        </w:rPr>
        <w:t>第一章  竞争性谈判公告；</w:t>
      </w:r>
    </w:p>
    <w:p w14:paraId="24670863">
      <w:pPr>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第二章  供应商须知； </w:t>
      </w:r>
    </w:p>
    <w:p w14:paraId="1FB97138">
      <w:pPr>
        <w:spacing w:line="360" w:lineRule="auto"/>
        <w:ind w:firstLine="420" w:firstLineChars="200"/>
        <w:jc w:val="left"/>
        <w:rPr>
          <w:rFonts w:hint="eastAsia" w:ascii="宋体" w:hAnsi="宋体"/>
          <w:color w:val="auto"/>
          <w:szCs w:val="21"/>
        </w:rPr>
      </w:pPr>
      <w:r>
        <w:rPr>
          <w:rFonts w:hint="eastAsia" w:ascii="宋体" w:hAnsi="宋体"/>
          <w:color w:val="auto"/>
          <w:szCs w:val="21"/>
        </w:rPr>
        <w:t>第三章  采购需求；</w:t>
      </w:r>
    </w:p>
    <w:p w14:paraId="28392E1D">
      <w:pPr>
        <w:spacing w:line="360" w:lineRule="auto"/>
        <w:ind w:firstLine="420" w:firstLineChars="200"/>
        <w:jc w:val="left"/>
        <w:rPr>
          <w:rFonts w:hint="eastAsia" w:ascii="宋体" w:hAnsi="宋体"/>
          <w:color w:val="auto"/>
          <w:szCs w:val="21"/>
        </w:rPr>
      </w:pPr>
      <w:r>
        <w:rPr>
          <w:rFonts w:hint="eastAsia" w:ascii="宋体" w:hAnsi="宋体"/>
          <w:color w:val="auto"/>
          <w:szCs w:val="21"/>
        </w:rPr>
        <w:t>第四章  评审程序和评定成交的标准；</w:t>
      </w:r>
    </w:p>
    <w:p w14:paraId="34AACDED">
      <w:pPr>
        <w:spacing w:line="360" w:lineRule="auto"/>
        <w:ind w:firstLine="420" w:firstLineChars="200"/>
        <w:jc w:val="left"/>
        <w:rPr>
          <w:rFonts w:hint="eastAsia" w:ascii="宋体" w:hAnsi="宋体"/>
          <w:color w:val="auto"/>
          <w:szCs w:val="21"/>
        </w:rPr>
      </w:pPr>
      <w:r>
        <w:rPr>
          <w:rFonts w:hint="eastAsia" w:ascii="宋体" w:hAnsi="宋体"/>
          <w:color w:val="auto"/>
          <w:szCs w:val="21"/>
        </w:rPr>
        <w:t>第五章  工程量清单及图纸；</w:t>
      </w:r>
    </w:p>
    <w:p w14:paraId="17AACA34">
      <w:pPr>
        <w:spacing w:line="360" w:lineRule="auto"/>
        <w:ind w:firstLine="420" w:firstLineChars="200"/>
        <w:jc w:val="left"/>
        <w:rPr>
          <w:rFonts w:hint="eastAsia" w:ascii="宋体" w:hAnsi="宋体"/>
          <w:color w:val="auto"/>
          <w:szCs w:val="21"/>
        </w:rPr>
      </w:pPr>
      <w:r>
        <w:rPr>
          <w:rFonts w:hint="eastAsia" w:ascii="宋体" w:hAnsi="宋体"/>
          <w:color w:val="auto"/>
          <w:szCs w:val="21"/>
        </w:rPr>
        <w:t>第六章  响应文件格式；</w:t>
      </w:r>
    </w:p>
    <w:p w14:paraId="0E1BDCD9">
      <w:pPr>
        <w:spacing w:line="360" w:lineRule="auto"/>
        <w:ind w:firstLine="420" w:firstLineChars="200"/>
        <w:jc w:val="left"/>
        <w:rPr>
          <w:rFonts w:hint="eastAsia" w:ascii="宋体" w:hAnsi="宋体"/>
          <w:color w:val="auto"/>
          <w:szCs w:val="21"/>
        </w:rPr>
      </w:pPr>
      <w:r>
        <w:rPr>
          <w:rFonts w:hint="eastAsia" w:ascii="宋体" w:hAnsi="宋体"/>
          <w:color w:val="auto"/>
          <w:szCs w:val="21"/>
        </w:rPr>
        <w:t>第七章  合同文本。</w:t>
      </w:r>
    </w:p>
    <w:p w14:paraId="5DF42DE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9.供应商的询问</w:t>
      </w:r>
    </w:p>
    <w:p w14:paraId="7B91ABD0">
      <w:pPr>
        <w:spacing w:line="360" w:lineRule="auto"/>
        <w:ind w:firstLine="420" w:firstLineChars="200"/>
        <w:rPr>
          <w:rFonts w:hint="eastAsia" w:ascii="宋体" w:hAnsi="宋体"/>
          <w:color w:val="auto"/>
          <w:szCs w:val="21"/>
        </w:rPr>
      </w:pPr>
      <w:r>
        <w:rPr>
          <w:rFonts w:hint="eastAsia" w:ascii="宋体" w:hAnsi="宋体"/>
          <w:color w:val="auto"/>
          <w:szCs w:val="21"/>
        </w:rPr>
        <w:t>供应商应认真阅读谈判文件的采购需求，如供应商对谈判文件有疑问的，如要求采购人作出澄清或者修改的，供应商尽可能在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14:paraId="1E7953E9">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10.谈判文件的澄清和修改</w:t>
      </w:r>
    </w:p>
    <w:p w14:paraId="2F94C32C">
      <w:pPr>
        <w:spacing w:line="360" w:lineRule="auto"/>
        <w:ind w:firstLine="420" w:firstLineChars="200"/>
        <w:rPr>
          <w:rFonts w:hint="eastAsia" w:ascii="宋体" w:hAnsi="宋体"/>
          <w:color w:val="auto"/>
          <w:szCs w:val="21"/>
        </w:rPr>
      </w:pPr>
      <w:r>
        <w:rPr>
          <w:rFonts w:ascii="宋体" w:hAnsi="宋体"/>
          <w:color w:val="auto"/>
          <w:szCs w:val="21"/>
        </w:rPr>
        <w:t>提交首次响应文件截止之日前，采购人或者采购代理机构可以对已发出的</w:t>
      </w:r>
      <w:r>
        <w:rPr>
          <w:rFonts w:hint="eastAsia" w:ascii="宋体" w:hAnsi="宋体"/>
          <w:color w:val="auto"/>
          <w:szCs w:val="21"/>
        </w:rPr>
        <w:t>谈判</w:t>
      </w:r>
      <w:r>
        <w:rPr>
          <w:rFonts w:ascii="宋体" w:hAnsi="宋体"/>
          <w:color w:val="auto"/>
          <w:szCs w:val="21"/>
        </w:rPr>
        <w:t>文件进行必要的澄清或者修改，澄清或者修改的内容作为</w:t>
      </w:r>
      <w:r>
        <w:rPr>
          <w:rFonts w:hint="eastAsia" w:ascii="宋体" w:hAnsi="宋体"/>
          <w:color w:val="auto"/>
          <w:szCs w:val="21"/>
        </w:rPr>
        <w:t>谈判</w:t>
      </w:r>
      <w:r>
        <w:rPr>
          <w:rFonts w:ascii="宋体" w:hAnsi="宋体"/>
          <w:color w:val="auto"/>
          <w:szCs w:val="21"/>
        </w:rPr>
        <w:t>文件的组成部分。澄清或者修改的内容可能影响响应文件编制的，</w:t>
      </w:r>
      <w:r>
        <w:rPr>
          <w:rFonts w:hint="eastAsia" w:ascii="宋体" w:hAnsi="宋体"/>
          <w:color w:val="auto"/>
          <w:szCs w:val="21"/>
        </w:rPr>
        <w:t>采购人或者采购代理机构应当</w:t>
      </w:r>
      <w:r>
        <w:rPr>
          <w:rFonts w:ascii="宋体" w:hAnsi="宋体"/>
          <w:color w:val="auto"/>
          <w:szCs w:val="21"/>
        </w:rPr>
        <w:t>在提交首次响应文件截止之日3个工作日前，以书面形式通知所有</w:t>
      </w:r>
      <w:r>
        <w:rPr>
          <w:rFonts w:hint="eastAsia" w:ascii="宋体" w:hAnsi="宋体"/>
          <w:color w:val="auto"/>
          <w:szCs w:val="21"/>
        </w:rPr>
        <w:t>获取谈判</w:t>
      </w:r>
      <w:r>
        <w:rPr>
          <w:rFonts w:ascii="宋体" w:hAnsi="宋体"/>
          <w:color w:val="auto"/>
          <w:szCs w:val="21"/>
        </w:rPr>
        <w:t>文件的供应商，不足3个工作日的，应当顺延提交首次响应文件截止之日。</w:t>
      </w:r>
    </w:p>
    <w:p w14:paraId="79104B4B">
      <w:pPr>
        <w:spacing w:line="360" w:lineRule="auto"/>
        <w:rPr>
          <w:rFonts w:hint="eastAsia" w:ascii="宋体" w:hAnsi="宋体"/>
          <w:color w:val="auto"/>
          <w:szCs w:val="21"/>
        </w:rPr>
      </w:pPr>
    </w:p>
    <w:p w14:paraId="01257410">
      <w:pPr>
        <w:spacing w:line="360" w:lineRule="auto"/>
        <w:jc w:val="center"/>
        <w:rPr>
          <w:rFonts w:hint="eastAsia" w:ascii="宋体" w:hAnsi="宋体"/>
          <w:b/>
          <w:bCs/>
          <w:color w:val="auto"/>
          <w:szCs w:val="21"/>
        </w:rPr>
      </w:pPr>
      <w:r>
        <w:rPr>
          <w:rFonts w:hint="eastAsia" w:ascii="宋体" w:hAnsi="宋体"/>
          <w:b/>
          <w:bCs/>
          <w:color w:val="auto"/>
          <w:sz w:val="32"/>
          <w:szCs w:val="32"/>
        </w:rPr>
        <w:t>三、响应文件的编制</w:t>
      </w:r>
    </w:p>
    <w:p w14:paraId="14E22803">
      <w:pPr>
        <w:spacing w:line="360" w:lineRule="auto"/>
        <w:rPr>
          <w:rFonts w:hint="eastAsia" w:ascii="宋体" w:hAnsi="宋体"/>
          <w:color w:val="auto"/>
          <w:szCs w:val="21"/>
        </w:rPr>
      </w:pPr>
    </w:p>
    <w:p w14:paraId="4325B649">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11.响应文件的编制原则</w:t>
      </w:r>
    </w:p>
    <w:p w14:paraId="18CEE08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供应商必须按照谈判文件的要求编制响应文件，并对其提交的响应文件的真实性、合法性承担法律责任。响应文件必须对谈判文件作出实质性响应。</w:t>
      </w:r>
    </w:p>
    <w:p w14:paraId="538880A5">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12.响应文件的组成</w:t>
      </w:r>
    </w:p>
    <w:p w14:paraId="36BC1F7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12.1响应文件由资格证明文件、报价文件、商务技术文件三部分组成。</w:t>
      </w:r>
    </w:p>
    <w:p w14:paraId="6A101D27">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12.1.1资格证明文件：详见“供应商须知前附表”</w:t>
      </w:r>
    </w:p>
    <w:p w14:paraId="073B43DA">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12.1.2报价文件：详见“供应商须知前附表”</w:t>
      </w:r>
    </w:p>
    <w:p w14:paraId="07A6BE24">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12.1.3商务技术文件：详见“供应商须知前附表”</w:t>
      </w:r>
    </w:p>
    <w:p w14:paraId="22D92A8B">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13.计量单位</w:t>
      </w:r>
    </w:p>
    <w:p w14:paraId="0041EA9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谈判文件已有明确规定的，使用谈判文件规定的计量单位；谈判文件没有规定的，应采用中华人民共和国法定计量单位，货币种类为人民币，否则视同未响应。</w:t>
      </w:r>
    </w:p>
    <w:p w14:paraId="7BD08EDE">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14.竞标的风险</w:t>
      </w:r>
    </w:p>
    <w:p w14:paraId="0B05E4D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供应商没有按照谈判文件要求提供全部资料，或者供应商没有对谈判文件在各方面作出实质性响应可能导致其响应无效，是供应商应当考虑的风险。</w:t>
      </w:r>
    </w:p>
    <w:p w14:paraId="7C280C0D">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15.竞标报价</w:t>
      </w:r>
    </w:p>
    <w:p w14:paraId="27633EAB">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15.1竞标报价应按谈判文件第五章“工程量清单及图纸”的要求及第六章“响应文件格式”填写相应表格。</w:t>
      </w:r>
    </w:p>
    <w:p w14:paraId="2567E7FC">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15.2竞标报价的内容见“供应商须知前附表”。</w:t>
      </w:r>
    </w:p>
    <w:p w14:paraId="1E3B7B6D">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15.3本项目的增值税计税方法见“供应商须知前附表”。</w:t>
      </w:r>
    </w:p>
    <w:p w14:paraId="6AFAC602">
      <w:pPr>
        <w:spacing w:line="360" w:lineRule="auto"/>
        <w:ind w:left="426" w:leftChars="203"/>
        <w:rPr>
          <w:rFonts w:hint="eastAsia" w:ascii="宋体" w:hAnsi="宋体" w:cs="宋体"/>
          <w:color w:val="auto"/>
          <w:szCs w:val="21"/>
        </w:rPr>
      </w:pPr>
      <w:r>
        <w:rPr>
          <w:rFonts w:hint="eastAsia" w:ascii="宋体" w:hAnsi="宋体" w:cs="宋体"/>
          <w:color w:val="auto"/>
          <w:szCs w:val="21"/>
        </w:rPr>
        <w:t>15.4竞标报价要求</w:t>
      </w:r>
    </w:p>
    <w:p w14:paraId="318B2A8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5.</w:t>
      </w: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供应商的竞标报价应符合以下要求，否则响应文件按无效处理：</w:t>
      </w:r>
    </w:p>
    <w:p w14:paraId="42EB0A75">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（1）供应商必须就“采购需求”中所竞标的全部内容分别作完整唯一总价报价，不得存在漏项报价；</w:t>
      </w:r>
    </w:p>
    <w:p w14:paraId="4DFCF1A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）供应商必须就本项目的单项内容作唯一报价。</w:t>
      </w:r>
    </w:p>
    <w:p w14:paraId="7BD0B5D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15.4.</w:t>
      </w:r>
      <w:r>
        <w:rPr>
          <w:rFonts w:ascii="宋体" w:hAnsi="宋体" w:cs="宋体"/>
          <w:color w:val="auto"/>
          <w:szCs w:val="21"/>
        </w:rPr>
        <w:t>2</w:t>
      </w:r>
      <w:r>
        <w:rPr>
          <w:rFonts w:hint="eastAsia" w:ascii="宋体" w:hAnsi="宋体" w:cs="宋体"/>
          <w:color w:val="auto"/>
          <w:szCs w:val="21"/>
        </w:rPr>
        <w:t>竞标报价（包含首次报价、最后报价）超过本项目规定的采购预算金额或者最高限价的，其响应文件将按无效处理。</w:t>
      </w:r>
    </w:p>
    <w:p w14:paraId="10DCEF3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15.4.</w:t>
      </w:r>
      <w:r>
        <w:rPr>
          <w:rFonts w:ascii="宋体" w:hAnsi="宋体" w:cs="宋体"/>
          <w:color w:val="auto"/>
          <w:szCs w:val="21"/>
        </w:rPr>
        <w:t>3</w:t>
      </w:r>
      <w:bookmarkStart w:id="62" w:name="_Hlk42592874"/>
      <w:r>
        <w:rPr>
          <w:rFonts w:hint="eastAsia" w:ascii="宋体" w:hAnsi="宋体" w:cs="宋体"/>
          <w:color w:val="auto"/>
          <w:szCs w:val="21"/>
        </w:rPr>
        <w:t>竞标报价（包含首次报价、最后报价）超过分项采购预算金额或者最高限价的（如有要求），其响应文件将按无效处理。</w:t>
      </w:r>
    </w:p>
    <w:p w14:paraId="06D10ED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15.4.4供应商在提交响应文件截止时间前修改竞标函中的竞标总报价，应同时修改响应文件“已标价工程量清单”中的相应报价。此修改须符合本须知正文第20条、第21条的有关要求。</w:t>
      </w:r>
    </w:p>
    <w:bookmarkEnd w:id="62"/>
    <w:p w14:paraId="1D32C7AA">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16.竞标有效期</w:t>
      </w:r>
    </w:p>
    <w:p w14:paraId="402286C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07990E6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15C97EC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16.3供应商的响应文件在竞标有效期内均保持有效。</w:t>
      </w:r>
    </w:p>
    <w:p w14:paraId="6E113C1B">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17.谈判保证金</w:t>
      </w:r>
    </w:p>
    <w:p w14:paraId="263BD145">
      <w:pPr>
        <w:spacing w:line="360" w:lineRule="auto"/>
        <w:ind w:left="420" w:leftChars="200"/>
        <w:rPr>
          <w:rFonts w:hint="eastAsia" w:ascii="宋体" w:hAnsi="宋体" w:cs="宋体"/>
          <w:color w:val="auto"/>
          <w:szCs w:val="21"/>
        </w:rPr>
      </w:pPr>
      <w:r>
        <w:rPr>
          <w:rFonts w:hint="eastAsia" w:ascii="宋体" w:hAnsi="宋体" w:cs="宋体"/>
          <w:color w:val="auto"/>
          <w:szCs w:val="21"/>
        </w:rPr>
        <w:t>17.1供应商须按“供应商须知前附表”的规定提交谈判保证金。</w:t>
      </w:r>
    </w:p>
    <w:p w14:paraId="5FD80879">
      <w:pPr>
        <w:spacing w:line="360" w:lineRule="auto"/>
        <w:ind w:left="420" w:leftChars="200"/>
        <w:rPr>
          <w:rFonts w:hint="eastAsia" w:ascii="宋体" w:hAnsi="宋体" w:cs="宋体"/>
          <w:color w:val="auto"/>
          <w:szCs w:val="21"/>
        </w:rPr>
      </w:pPr>
      <w:r>
        <w:rPr>
          <w:rFonts w:hint="eastAsia" w:ascii="宋体" w:hAnsi="宋体" w:cs="宋体"/>
          <w:color w:val="auto"/>
          <w:szCs w:val="21"/>
        </w:rPr>
        <w:t>17.2谈判保证金的退还</w:t>
      </w:r>
    </w:p>
    <w:p w14:paraId="7DCA03F0">
      <w:pPr>
        <w:spacing w:line="360" w:lineRule="auto"/>
        <w:ind w:firstLine="420" w:firstLineChars="200"/>
        <w:rPr>
          <w:rFonts w:hint="eastAsia" w:ascii="宋体" w:hAnsi="宋体" w:cs="宋体"/>
          <w:color w:val="auto"/>
          <w:szCs w:val="21"/>
        </w:rPr>
      </w:pPr>
      <w:bookmarkStart w:id="63" w:name="_Hlk66782243"/>
      <w:r>
        <w:rPr>
          <w:rFonts w:hint="eastAsia" w:ascii="宋体" w:hAnsi="宋体" w:cs="宋体"/>
          <w:color w:val="auto"/>
          <w:szCs w:val="21"/>
        </w:rPr>
        <w:t>未成交供应商的谈判保证金自成交通知书发出之日起5个工作日内退还；成交供应商的谈判保证金自签订合同之日起5个工作日内退还或者转为成交供应商的履约保证金。</w:t>
      </w:r>
      <w:bookmarkEnd w:id="63"/>
      <w:r>
        <w:rPr>
          <w:rFonts w:hint="eastAsia" w:ascii="宋体" w:hAnsi="宋体" w:cs="宋体"/>
          <w:color w:val="auto"/>
          <w:szCs w:val="21"/>
        </w:rPr>
        <w:t xml:space="preserve"> </w:t>
      </w:r>
    </w:p>
    <w:p w14:paraId="4A06034D">
      <w:pPr>
        <w:spacing w:line="360" w:lineRule="auto"/>
        <w:ind w:left="420" w:leftChars="200"/>
        <w:rPr>
          <w:rFonts w:hint="eastAsia" w:ascii="宋体" w:hAnsi="宋体" w:cs="宋体"/>
          <w:color w:val="auto"/>
          <w:szCs w:val="21"/>
        </w:rPr>
      </w:pPr>
      <w:r>
        <w:rPr>
          <w:rFonts w:hint="eastAsia" w:ascii="宋体" w:hAnsi="宋体" w:cs="宋体"/>
          <w:color w:val="auto"/>
          <w:szCs w:val="21"/>
        </w:rPr>
        <w:t>17.3谈判保证金不计息。</w:t>
      </w:r>
    </w:p>
    <w:p w14:paraId="63B97737">
      <w:pPr>
        <w:spacing w:line="360" w:lineRule="auto"/>
        <w:ind w:left="420" w:leftChars="200"/>
        <w:rPr>
          <w:rFonts w:hint="eastAsia" w:ascii="宋体" w:hAnsi="宋体" w:cs="宋体"/>
          <w:color w:val="auto"/>
          <w:szCs w:val="21"/>
        </w:rPr>
      </w:pPr>
      <w:r>
        <w:rPr>
          <w:rFonts w:hint="eastAsia" w:ascii="宋体" w:hAnsi="宋体" w:cs="宋体"/>
          <w:color w:val="auto"/>
          <w:szCs w:val="21"/>
        </w:rPr>
        <w:t xml:space="preserve">17.4供应商有下列情形之一的，谈判保证金将不予退还： </w:t>
      </w:r>
    </w:p>
    <w:p w14:paraId="5D1F5571">
      <w:pPr>
        <w:spacing w:line="360" w:lineRule="auto"/>
        <w:ind w:left="420" w:leftChars="200"/>
        <w:rPr>
          <w:rFonts w:hint="eastAsia" w:ascii="宋体" w:hAnsi="宋体" w:cs="宋体"/>
          <w:color w:val="auto"/>
          <w:szCs w:val="21"/>
        </w:rPr>
      </w:pPr>
      <w:r>
        <w:rPr>
          <w:rFonts w:hint="eastAsia" w:ascii="宋体" w:hAnsi="宋体" w:cs="宋体"/>
          <w:color w:val="auto"/>
          <w:szCs w:val="21"/>
        </w:rPr>
        <w:t>（1）供应商在提交响应文件截止时间后撤回响应文件的；</w:t>
      </w:r>
    </w:p>
    <w:p w14:paraId="161DAF70">
      <w:pPr>
        <w:spacing w:line="360" w:lineRule="auto"/>
        <w:ind w:left="420" w:leftChars="200"/>
        <w:rPr>
          <w:rFonts w:hint="eastAsia" w:ascii="宋体" w:hAnsi="宋体" w:cs="宋体"/>
          <w:color w:val="auto"/>
          <w:szCs w:val="21"/>
        </w:rPr>
      </w:pPr>
      <w:r>
        <w:rPr>
          <w:rFonts w:hint="eastAsia" w:ascii="宋体" w:hAnsi="宋体"/>
          <w:color w:val="auto"/>
          <w:szCs w:val="21"/>
        </w:rPr>
        <w:t>（2）未按规定提交履约保证金的；</w:t>
      </w:r>
    </w:p>
    <w:p w14:paraId="0BE017EF">
      <w:pPr>
        <w:spacing w:line="360" w:lineRule="auto"/>
        <w:ind w:left="420" w:leftChars="200"/>
        <w:rPr>
          <w:rFonts w:hint="eastAsia" w:ascii="宋体" w:hAnsi="宋体" w:cs="宋体"/>
          <w:color w:val="auto"/>
          <w:szCs w:val="21"/>
        </w:rPr>
      </w:pPr>
      <w:r>
        <w:rPr>
          <w:rFonts w:hint="eastAsia" w:ascii="宋体" w:hAnsi="宋体" w:cs="宋体"/>
          <w:color w:val="auto"/>
          <w:szCs w:val="21"/>
        </w:rPr>
        <w:t>（3）供应商在响应文件中提供虚假材料的；</w:t>
      </w:r>
    </w:p>
    <w:p w14:paraId="2F02E0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（4）除因不可抗力或者谈判文件认可的情形以外，成交供应商不与采购人签订合同的；</w:t>
      </w:r>
    </w:p>
    <w:p w14:paraId="1C76DC0F">
      <w:pPr>
        <w:spacing w:line="360" w:lineRule="auto"/>
        <w:ind w:left="420" w:leftChars="200"/>
        <w:rPr>
          <w:rFonts w:hint="eastAsia" w:ascii="宋体" w:hAnsi="宋体" w:cs="宋体"/>
          <w:color w:val="auto"/>
          <w:szCs w:val="21"/>
        </w:rPr>
      </w:pPr>
      <w:r>
        <w:rPr>
          <w:rFonts w:hint="eastAsia" w:ascii="宋体" w:hAnsi="宋体" w:cs="宋体"/>
          <w:color w:val="auto"/>
          <w:szCs w:val="21"/>
        </w:rPr>
        <w:t>（5）供应商与采购人、其他供应商或者采购代理机构恶意串通的；</w:t>
      </w:r>
    </w:p>
    <w:p w14:paraId="16E4FF26">
      <w:pPr>
        <w:spacing w:line="360" w:lineRule="auto"/>
        <w:ind w:left="420" w:leftChars="200"/>
        <w:rPr>
          <w:rFonts w:hint="eastAsia" w:ascii="宋体" w:hAnsi="宋体" w:cs="宋体"/>
          <w:color w:val="auto"/>
          <w:szCs w:val="21"/>
        </w:rPr>
      </w:pPr>
      <w:r>
        <w:rPr>
          <w:rFonts w:hint="eastAsia" w:ascii="宋体" w:hAnsi="宋体" w:cs="宋体"/>
          <w:color w:val="auto"/>
          <w:szCs w:val="21"/>
        </w:rPr>
        <w:t>（6）法律法规规定的其他情形。</w:t>
      </w:r>
    </w:p>
    <w:p w14:paraId="6A1D0428">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18.响应文件编制的要求</w:t>
      </w:r>
    </w:p>
    <w:p w14:paraId="76356AF0">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18.1</w:t>
      </w:r>
      <w:r>
        <w:rPr>
          <w:rFonts w:hint="eastAsia" w:ascii="宋体" w:hAnsi="宋体"/>
          <w:color w:val="auto"/>
          <w:szCs w:val="21"/>
        </w:rPr>
        <w:t>供应商应按照本项目竞争性谈判文件规定的格式和顺序和广西政府采购云平台的要求编制并加密</w:t>
      </w:r>
      <w:r>
        <w:rPr>
          <w:rFonts w:hint="eastAsia" w:ascii="宋体" w:hAnsi="宋体" w:cs="宋体"/>
          <w:color w:val="auto"/>
          <w:szCs w:val="21"/>
        </w:rPr>
        <w:t>。响应文件内容不完整、编排混乱导致响应文件被误读、漏读或者查找不到相关内容的，由此引发的后果由供应商承担。</w:t>
      </w:r>
    </w:p>
    <w:p w14:paraId="7A54756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18.2为确保网上操作合法、有效和安全，供应商应当在提交响应文件截止时间前完成在</w:t>
      </w:r>
      <w:r>
        <w:rPr>
          <w:rFonts w:hint="eastAsia" w:ascii="宋体" w:hAnsi="宋体"/>
          <w:color w:val="auto"/>
          <w:szCs w:val="21"/>
        </w:rPr>
        <w:t>广西政府采购云平台</w:t>
      </w:r>
      <w:r>
        <w:rPr>
          <w:rFonts w:hint="eastAsia" w:ascii="宋体" w:hAnsi="宋体" w:cs="宋体"/>
          <w:color w:val="auto"/>
          <w:szCs w:val="21"/>
        </w:rPr>
        <w:t>的身份认证，确保在电子竞标过程中能够对相关数据电文进行加密和使用电子签章。</w:t>
      </w:r>
    </w:p>
    <w:p w14:paraId="15296A0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18.3响应文件须由供应商在规定位置签字、盖章（具体以供应商须知前附表或响应文件格式规定为准），否则按无效响应处理。</w:t>
      </w:r>
    </w:p>
    <w:p w14:paraId="70D483F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18.4响应文件中标注的供应商名称应与主体资格证明（如营业执照或者事业单位法人证书或者执业许可证或者登记证书等）及公章一致，否则其响应文件按无效处理。</w:t>
      </w:r>
    </w:p>
    <w:p w14:paraId="23D8D3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035193A">
      <w:pPr>
        <w:spacing w:line="360" w:lineRule="auto"/>
        <w:ind w:firstLine="482" w:firstLineChars="200"/>
        <w:rPr>
          <w:rFonts w:hint="eastAsia" w:ascii="黑体" w:hAnsi="黑体" w:eastAsia="黑体"/>
          <w:color w:val="auto"/>
          <w:sz w:val="24"/>
        </w:rPr>
      </w:pPr>
      <w:r>
        <w:rPr>
          <w:rFonts w:hint="eastAsia" w:ascii="黑体" w:hAnsi="黑体" w:eastAsia="黑体" w:cs="宋体"/>
          <w:b/>
          <w:bCs/>
          <w:color w:val="auto"/>
          <w:sz w:val="24"/>
        </w:rPr>
        <w:t>19.电子</w:t>
      </w:r>
      <w:r>
        <w:rPr>
          <w:rFonts w:hint="eastAsia" w:ascii="黑体" w:hAnsi="黑体" w:eastAsia="黑体"/>
          <w:b/>
          <w:color w:val="auto"/>
          <w:sz w:val="24"/>
        </w:rPr>
        <w:t>备份响应文件</w:t>
      </w:r>
    </w:p>
    <w:p w14:paraId="2015AB3A">
      <w:pPr>
        <w:spacing w:line="360" w:lineRule="auto"/>
        <w:ind w:firstLine="420" w:firstLineChars="200"/>
        <w:rPr>
          <w:rFonts w:hint="eastAsia" w:ascii="宋体" w:hAnsi="宋体" w:cs="宋体"/>
          <w:color w:val="auto"/>
          <w:szCs w:val="21"/>
        </w:rPr>
      </w:pPr>
      <w:r>
        <w:rPr>
          <w:rFonts w:hint="eastAsia"/>
          <w:color w:val="auto"/>
        </w:rPr>
        <w:t>电子备份响应文件是指通过在线编制生成且后缀名为“</w:t>
      </w:r>
      <w:r>
        <w:rPr>
          <w:color w:val="auto"/>
        </w:rPr>
        <w:t>bfbs</w:t>
      </w:r>
      <w:r>
        <w:rPr>
          <w:rFonts w:hint="eastAsia"/>
          <w:color w:val="auto"/>
        </w:rPr>
        <w:t>”的文件，是否接受电子备份响应文件</w:t>
      </w:r>
      <w:r>
        <w:rPr>
          <w:rFonts w:hint="eastAsia" w:hAnsi="宋体"/>
          <w:bCs/>
          <w:color w:val="auto"/>
          <w:szCs w:val="21"/>
        </w:rPr>
        <w:t>详见“供应商须知前附表”。</w:t>
      </w:r>
    </w:p>
    <w:p w14:paraId="7A568BC9">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20.响应文件的提交</w:t>
      </w:r>
    </w:p>
    <w:p w14:paraId="653D954E">
      <w:pPr>
        <w:spacing w:line="360" w:lineRule="auto"/>
        <w:ind w:firstLine="420" w:firstLineChars="200"/>
        <w:rPr>
          <w:rFonts w:hint="eastAsia" w:hAnsi="宋体"/>
          <w:b/>
          <w:color w:val="auto"/>
        </w:rPr>
      </w:pPr>
      <w:r>
        <w:rPr>
          <w:rFonts w:hint="eastAsia" w:hAnsi="宋体"/>
          <w:bCs/>
          <w:color w:val="auto"/>
          <w:szCs w:val="21"/>
        </w:rPr>
        <w:t>20.1供应商必须按“供应商须知前附表”规定的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w:t>
      </w:r>
      <w:r>
        <w:rPr>
          <w:rFonts w:hAnsi="宋体"/>
          <w:bCs/>
          <w:color w:val="auto"/>
          <w:szCs w:val="21"/>
        </w:rPr>
        <w:t>在</w:t>
      </w:r>
      <w:r>
        <w:rPr>
          <w:rFonts w:hint="eastAsia" w:hAnsi="宋体"/>
          <w:bCs/>
          <w:color w:val="auto"/>
          <w:szCs w:val="21"/>
        </w:rPr>
        <w:t>提交响应文件截止</w:t>
      </w:r>
      <w:r>
        <w:rPr>
          <w:rFonts w:hAnsi="宋体"/>
          <w:bCs/>
          <w:color w:val="auto"/>
          <w:szCs w:val="21"/>
        </w:rPr>
        <w:t>时间前</w:t>
      </w:r>
      <w:r>
        <w:rPr>
          <w:rFonts w:hint="eastAsia" w:hAnsi="宋体"/>
          <w:bCs/>
          <w:color w:val="auto"/>
          <w:szCs w:val="21"/>
        </w:rPr>
        <w:t>通过有效数字证书（CA认证锁）进行电子签章、加密，然后通过网络将加密的电子响应文件提交至</w:t>
      </w:r>
      <w:r>
        <w:rPr>
          <w:rFonts w:hint="eastAsia" w:ascii="宋体" w:hAnsi="宋体"/>
          <w:color w:val="auto"/>
          <w:szCs w:val="21"/>
        </w:rPr>
        <w:t>广西政府采购云平台</w:t>
      </w:r>
      <w:r>
        <w:rPr>
          <w:rFonts w:hint="eastAsia" w:hAnsi="宋体"/>
          <w:bCs/>
          <w:color w:val="auto"/>
          <w:szCs w:val="21"/>
        </w:rPr>
        <w:t xml:space="preserve">。 </w:t>
      </w:r>
      <w:r>
        <w:rPr>
          <w:rFonts w:hint="eastAsia" w:hAnsi="宋体"/>
          <w:b/>
          <w:color w:val="auto"/>
        </w:rPr>
        <w:t xml:space="preserve"> </w:t>
      </w:r>
    </w:p>
    <w:p w14:paraId="0695B1C6">
      <w:pPr>
        <w:spacing w:line="360" w:lineRule="auto"/>
        <w:ind w:firstLine="420" w:firstLineChars="200"/>
        <w:rPr>
          <w:rFonts w:hint="eastAsia" w:ascii="宋体" w:hAnsi="宋体" w:cs="宋体"/>
          <w:color w:val="auto"/>
          <w:szCs w:val="21"/>
        </w:rPr>
      </w:pPr>
      <w:r>
        <w:rPr>
          <w:rFonts w:hint="eastAsia" w:ascii="宋体" w:hAnsi="宋体"/>
          <w:color w:val="auto"/>
          <w:szCs w:val="21"/>
        </w:rPr>
        <w:t>20.</w:t>
      </w:r>
      <w:r>
        <w:rPr>
          <w:rFonts w:ascii="宋体" w:hAnsi="宋体"/>
          <w:color w:val="auto"/>
          <w:szCs w:val="21"/>
        </w:rPr>
        <w:t>2</w:t>
      </w:r>
      <w:r>
        <w:rPr>
          <w:rFonts w:hint="eastAsia" w:ascii="宋体" w:hAnsi="宋体"/>
          <w:color w:val="auto"/>
          <w:szCs w:val="21"/>
        </w:rPr>
        <w:t>未在规定时间内提交或者未按照谈判文件要求加密的电子响应文件，广西政府采购云平台将拒收。</w:t>
      </w:r>
    </w:p>
    <w:p w14:paraId="37D1A3A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21.首次响应文件的补充、修改与撤回</w:t>
      </w:r>
    </w:p>
    <w:p w14:paraId="007F9297">
      <w:pPr>
        <w:spacing w:line="360" w:lineRule="auto"/>
        <w:ind w:firstLine="420" w:firstLineChars="200"/>
        <w:rPr>
          <w:rFonts w:hint="eastAsia" w:hAnsi="宋体"/>
          <w:bCs/>
          <w:color w:val="auto"/>
          <w:szCs w:val="21"/>
        </w:rPr>
      </w:pPr>
      <w:bookmarkStart w:id="64" w:name="_Toc254970543"/>
      <w:bookmarkStart w:id="65" w:name="_Toc254970684"/>
      <w:r>
        <w:rPr>
          <w:rFonts w:hAnsi="宋体"/>
          <w:bCs/>
          <w:color w:val="auto"/>
          <w:szCs w:val="21"/>
        </w:rPr>
        <w:t>2</w:t>
      </w:r>
      <w:r>
        <w:rPr>
          <w:rFonts w:hint="eastAsia" w:hAnsi="宋体"/>
          <w:bCs/>
          <w:color w:val="auto"/>
          <w:szCs w:val="21"/>
        </w:rPr>
        <w:t>1.1供应商应当在提交响应文件截止</w:t>
      </w:r>
      <w:r>
        <w:rPr>
          <w:rFonts w:hAnsi="宋体"/>
          <w:bCs/>
          <w:color w:val="auto"/>
          <w:szCs w:val="21"/>
        </w:rPr>
        <w:t>时间</w:t>
      </w:r>
      <w:r>
        <w:rPr>
          <w:rFonts w:hint="eastAsia" w:hAnsi="宋体"/>
          <w:bCs/>
          <w:color w:val="auto"/>
          <w:szCs w:val="21"/>
        </w:rPr>
        <w:t>前完成电子响应文件的提交（上传），提交响应文件截止</w:t>
      </w:r>
      <w:r>
        <w:rPr>
          <w:rFonts w:hAnsi="宋体"/>
          <w:bCs/>
          <w:color w:val="auto"/>
          <w:szCs w:val="21"/>
        </w:rPr>
        <w:t>时间</w:t>
      </w:r>
      <w:r>
        <w:rPr>
          <w:rFonts w:hint="eastAsia" w:hAnsi="宋体"/>
          <w:bCs/>
          <w:color w:val="auto"/>
          <w:szCs w:val="21"/>
        </w:rPr>
        <w:t>前可以补充、修改或者撤回响应文件。补充或者修改响应文件的，应当先行撤回原响应文件，补充、修改后重新提交（上传），提交响应文件截止</w:t>
      </w:r>
      <w:r>
        <w:rPr>
          <w:rFonts w:hAnsi="宋体"/>
          <w:bCs/>
          <w:color w:val="auto"/>
          <w:szCs w:val="21"/>
        </w:rPr>
        <w:t>时间</w:t>
      </w:r>
      <w:r>
        <w:rPr>
          <w:rFonts w:hint="eastAsia" w:hAnsi="宋体"/>
          <w:bCs/>
          <w:color w:val="auto"/>
          <w:szCs w:val="21"/>
        </w:rPr>
        <w:t>前未完成提交（上传）的，视为撤回响应文件。提交响应文件截止</w:t>
      </w:r>
      <w:r>
        <w:rPr>
          <w:rFonts w:hAnsi="宋体"/>
          <w:bCs/>
          <w:color w:val="auto"/>
          <w:szCs w:val="21"/>
        </w:rPr>
        <w:t>时间</w:t>
      </w:r>
      <w:r>
        <w:rPr>
          <w:rFonts w:hint="eastAsia" w:hAnsi="宋体"/>
          <w:bCs/>
          <w:color w:val="auto"/>
          <w:szCs w:val="21"/>
        </w:rPr>
        <w:t>以后提交（上传）的响应文件，</w:t>
      </w:r>
      <w:r>
        <w:rPr>
          <w:rFonts w:hint="eastAsia" w:ascii="宋体" w:hAnsi="宋体"/>
          <w:color w:val="auto"/>
          <w:szCs w:val="21"/>
        </w:rPr>
        <w:t>广西政府采购云平台</w:t>
      </w:r>
      <w:r>
        <w:rPr>
          <w:rFonts w:hint="eastAsia" w:hAnsi="宋体"/>
          <w:bCs/>
          <w:color w:val="auto"/>
          <w:szCs w:val="21"/>
        </w:rPr>
        <w:t>将予以拒收。（注：补充、修改或者撤回方式可登录</w:t>
      </w:r>
      <w:r>
        <w:rPr>
          <w:rFonts w:hint="eastAsia" w:ascii="宋体" w:hAnsi="宋体"/>
          <w:color w:val="auto"/>
          <w:szCs w:val="21"/>
        </w:rPr>
        <w:t>广西政府采购云平台</w:t>
      </w:r>
      <w:r>
        <w:rPr>
          <w:rFonts w:hint="eastAsia" w:hAnsi="宋体"/>
          <w:bCs/>
          <w:color w:val="auto"/>
          <w:szCs w:val="21"/>
        </w:rPr>
        <w:t>，进入“服务中心”中查看 “电子投标文件制作与投送教程”）</w:t>
      </w:r>
    </w:p>
    <w:bookmarkEnd w:id="64"/>
    <w:bookmarkEnd w:id="65"/>
    <w:p w14:paraId="39274D53">
      <w:pPr>
        <w:pStyle w:val="158"/>
        <w:spacing w:before="0"/>
        <w:ind w:firstLine="420"/>
        <w:rPr>
          <w:rFonts w:hint="eastAsia"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2在提交响应文件截止时间前，除供应商补充、修改或者撤回响应文件外，任何单位和个人不得解密或提取响应文件。</w:t>
      </w:r>
    </w:p>
    <w:p w14:paraId="33CE31E9">
      <w:pPr>
        <w:spacing w:line="360" w:lineRule="auto"/>
        <w:ind w:firstLine="482" w:firstLineChars="200"/>
        <w:rPr>
          <w:rFonts w:hint="eastAsia" w:ascii="黑体" w:hAnsi="黑体" w:eastAsia="黑体" w:cs="宋体"/>
          <w:b/>
          <w:bCs/>
          <w:color w:val="auto"/>
          <w:sz w:val="24"/>
        </w:rPr>
      </w:pPr>
      <w:bookmarkStart w:id="66" w:name="_Hlk45702405"/>
      <w:r>
        <w:rPr>
          <w:rFonts w:hint="eastAsia" w:ascii="黑体" w:hAnsi="黑体" w:eastAsia="黑体" w:cs="宋体"/>
          <w:b/>
          <w:bCs/>
          <w:color w:val="auto"/>
          <w:sz w:val="24"/>
        </w:rPr>
        <w:t>22.响应文件的退回</w:t>
      </w:r>
    </w:p>
    <w:p w14:paraId="085D84E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采购人和采购代理机构对已提交的响应文件概不退回。</w:t>
      </w:r>
    </w:p>
    <w:p w14:paraId="06C02973">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23.截止时间后的撤回</w:t>
      </w:r>
    </w:p>
    <w:p w14:paraId="1502D59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供应商在响应文件提交截止时间后向采购人、采购代理机构书面申请撤回响应文件的，将根据本须知正文第17.4条的规定不予退还其谈判保证金。</w:t>
      </w:r>
    </w:p>
    <w:bookmarkEnd w:id="66"/>
    <w:p w14:paraId="28C950F6">
      <w:pPr>
        <w:spacing w:line="360" w:lineRule="auto"/>
        <w:rPr>
          <w:rFonts w:hint="eastAsia" w:ascii="宋体" w:hAnsi="宋体"/>
          <w:color w:val="auto"/>
          <w:szCs w:val="21"/>
        </w:rPr>
      </w:pPr>
    </w:p>
    <w:p w14:paraId="4E33A2F1">
      <w:pPr>
        <w:spacing w:line="360" w:lineRule="auto"/>
        <w:ind w:left="420" w:firstLine="420"/>
        <w:jc w:val="center"/>
        <w:rPr>
          <w:rFonts w:hint="eastAsia" w:ascii="宋体" w:hAnsi="宋体"/>
          <w:b/>
          <w:bCs/>
          <w:color w:val="auto"/>
          <w:sz w:val="32"/>
          <w:szCs w:val="32"/>
        </w:rPr>
      </w:pPr>
      <w:r>
        <w:rPr>
          <w:rFonts w:hint="eastAsia" w:ascii="宋体" w:hAnsi="宋体"/>
          <w:b/>
          <w:bCs/>
          <w:color w:val="auto"/>
          <w:sz w:val="32"/>
          <w:szCs w:val="32"/>
        </w:rPr>
        <w:t>四、评审及谈判</w:t>
      </w:r>
    </w:p>
    <w:p w14:paraId="2DFECC85">
      <w:pPr>
        <w:spacing w:line="360" w:lineRule="auto"/>
        <w:ind w:left="420" w:firstLine="420"/>
        <w:rPr>
          <w:rFonts w:hint="eastAsia" w:ascii="宋体" w:hAnsi="宋体"/>
          <w:color w:val="auto"/>
          <w:szCs w:val="21"/>
        </w:rPr>
      </w:pPr>
    </w:p>
    <w:p w14:paraId="22F8E369">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24.谈判小组成立</w:t>
      </w:r>
    </w:p>
    <w:p w14:paraId="4138E57F">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3EC91560">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4345CE5B">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w:t>
      </w:r>
      <w:r>
        <w:rPr>
          <w:rFonts w:hint="eastAsia" w:hAnsi="宋体"/>
          <w:color w:val="auto"/>
        </w:rPr>
        <w:t>广西政府采购云平台</w:t>
      </w:r>
      <w:r>
        <w:rPr>
          <w:rFonts w:hint="eastAsia" w:hAnsi="宋体"/>
          <w:bCs/>
          <w:color w:val="auto"/>
          <w:szCs w:val="21"/>
        </w:rPr>
        <w:t>”</w:t>
      </w:r>
      <w:r>
        <w:rPr>
          <w:rFonts w:hint="eastAsia" w:hAnsi="宋体"/>
          <w:bCs/>
          <w:color w:val="auto"/>
        </w:rPr>
        <w:t>抽取</w:t>
      </w:r>
      <w:r>
        <w:rPr>
          <w:rFonts w:hint="eastAsia" w:hAnsi="宋体"/>
          <w:bCs/>
          <w:color w:val="auto"/>
          <w:szCs w:val="21"/>
        </w:rPr>
        <w:t>评审专家。</w:t>
      </w:r>
    </w:p>
    <w:p w14:paraId="680A41A9">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14:paraId="6C85F0F8">
      <w:pPr>
        <w:spacing w:line="360" w:lineRule="auto"/>
        <w:ind w:firstLine="420" w:firstLineChars="200"/>
        <w:rPr>
          <w:rFonts w:hint="eastAsia" w:ascii="宋体" w:hAns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间通过电子交易平台组织响应文件开启，供应商的法定代表人或其委托代理人须携带加密时所用的CA锁，按平台提示和谈判文件的规定登录到广西政府采购云平台电子开标大厅签到，</w:t>
      </w:r>
      <w:r>
        <w:rPr>
          <w:rFonts w:hint="eastAsia"/>
          <w:color w:val="auto"/>
        </w:rPr>
        <w:t>采购代理机构依托广西政府采购云平台向各供应商发出电子加密响应文件【开始解密】通知，由供应商按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w:t>
      </w:r>
      <w:r>
        <w:rPr>
          <w:b/>
          <w:color w:val="auto"/>
        </w:rPr>
        <w:t>规定的时间内解密</w:t>
      </w:r>
      <w:r>
        <w:rPr>
          <w:rFonts w:hint="eastAsia"/>
          <w:b/>
          <w:color w:val="auto"/>
        </w:rPr>
        <w:t>响应文件</w:t>
      </w:r>
      <w:r>
        <w:rPr>
          <w:b/>
          <w:color w:val="auto"/>
        </w:rPr>
        <w:t>或</w:t>
      </w:r>
      <w:r>
        <w:rPr>
          <w:rFonts w:hint="eastAsia"/>
          <w:b/>
          <w:color w:val="auto"/>
        </w:rPr>
        <w:t>者</w:t>
      </w:r>
      <w:r>
        <w:rPr>
          <w:b/>
          <w:color w:val="auto"/>
        </w:rPr>
        <w:t>解密失败的</w:t>
      </w:r>
      <w:r>
        <w:rPr>
          <w:rFonts w:hint="eastAsia"/>
          <w:b/>
          <w:color w:val="auto"/>
        </w:rPr>
        <w:t>，供应商</w:t>
      </w:r>
      <w:r>
        <w:rPr>
          <w:rFonts w:hint="eastAsia" w:ascii="宋体" w:hAnsi="宋体"/>
          <w:b/>
          <w:color w:val="auto"/>
          <w:szCs w:val="21"/>
        </w:rPr>
        <w:t>的响应文件按无效处理</w:t>
      </w:r>
      <w:r>
        <w:rPr>
          <w:b/>
          <w:color w:val="auto"/>
        </w:rPr>
        <w:t>。</w:t>
      </w:r>
    </w:p>
    <w:p w14:paraId="697A4E9B">
      <w:pPr>
        <w:spacing w:line="360" w:lineRule="auto"/>
        <w:ind w:firstLine="482" w:firstLineChars="200"/>
        <w:contextualSpacing/>
        <w:rPr>
          <w:rFonts w:hint="eastAsia"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 评审程序和评定成交的标准</w:t>
      </w:r>
    </w:p>
    <w:p w14:paraId="14267B89">
      <w:pPr>
        <w:spacing w:line="360" w:lineRule="auto"/>
        <w:ind w:firstLine="420" w:firstLineChars="200"/>
        <w:rPr>
          <w:color w:val="auto"/>
        </w:rPr>
      </w:pPr>
      <w:r>
        <w:rPr>
          <w:rFonts w:hint="eastAsia"/>
          <w:color w:val="auto"/>
        </w:rPr>
        <w:t>26.1谈判小组按照“第四章  评审程序和评定成交的标准”规定的评审程序对响应文件进行评审，并按照评定成交的标准推荐成交候选供应商。最后报价相同时，成交候选供应商推荐顺序见</w:t>
      </w:r>
      <w:r>
        <w:rPr>
          <w:rFonts w:hint="eastAsia" w:ascii="宋体" w:hAnsi="宋体"/>
          <w:color w:val="auto"/>
          <w:szCs w:val="21"/>
        </w:rPr>
        <w:t>“供应商须知前附表”。</w:t>
      </w:r>
    </w:p>
    <w:p w14:paraId="235DE77A">
      <w:pPr>
        <w:spacing w:line="360" w:lineRule="auto"/>
        <w:ind w:firstLine="420" w:firstLineChars="200"/>
        <w:rPr>
          <w:rFonts w:hint="eastAsia" w:ascii="宋体" w:hAnsi="宋体"/>
          <w:color w:val="auto"/>
          <w:szCs w:val="21"/>
        </w:rPr>
      </w:pPr>
      <w:r>
        <w:rPr>
          <w:rFonts w:hint="eastAsia" w:ascii="宋体" w:hAnsi="宋体" w:cs="宋体"/>
          <w:color w:val="auto"/>
        </w:rPr>
        <w:t>26.2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485E957">
      <w:pPr>
        <w:spacing w:line="360" w:lineRule="auto"/>
        <w:ind w:firstLine="420" w:firstLineChars="200"/>
        <w:rPr>
          <w:rFonts w:hint="eastAsia" w:ascii="宋体" w:hAnsi="宋体"/>
          <w:color w:val="auto"/>
        </w:rPr>
      </w:pPr>
      <w:r>
        <w:rPr>
          <w:rFonts w:ascii="宋体" w:hAnsi="宋体"/>
          <w:color w:val="auto"/>
        </w:rPr>
        <w:t>26.</w:t>
      </w:r>
      <w:r>
        <w:rPr>
          <w:rFonts w:hint="eastAsia" w:ascii="宋体" w:hAnsi="宋体"/>
          <w:color w:val="auto"/>
        </w:rPr>
        <w:t>3电子交易活动的中止。采购过程中出现以下情形，导致电子交易平台无法正常运行，或者无法保证电子交易的公平、公正和安全时，采购机构可中止电子交易活动：</w:t>
      </w:r>
    </w:p>
    <w:p w14:paraId="0055AD63">
      <w:pPr>
        <w:spacing w:line="360" w:lineRule="auto"/>
        <w:ind w:firstLine="420" w:firstLineChars="20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）电子交易平台发生故障而无法登录访问的；</w:t>
      </w:r>
      <w:r>
        <w:rPr>
          <w:rFonts w:ascii="宋体" w:hAnsi="宋体"/>
          <w:color w:val="auto"/>
        </w:rPr>
        <w:t xml:space="preserve"> </w:t>
      </w:r>
    </w:p>
    <w:p w14:paraId="71E96F53">
      <w:pPr>
        <w:spacing w:line="360" w:lineRule="auto"/>
        <w:ind w:firstLine="420" w:firstLineChars="200"/>
        <w:rPr>
          <w:rFonts w:hint="eastAsia"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）电子交易平台应用或数据库出现错误，不能进行正常操作的；</w:t>
      </w:r>
    </w:p>
    <w:p w14:paraId="2360C47B">
      <w:pPr>
        <w:spacing w:line="360" w:lineRule="auto"/>
        <w:ind w:firstLine="420" w:firstLineChars="200"/>
        <w:rPr>
          <w:rFonts w:hint="eastAsia"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）电子交易平台发现严重安全漏洞，有潜在泄密危险的；</w:t>
      </w:r>
    </w:p>
    <w:p w14:paraId="525E782D">
      <w:pPr>
        <w:spacing w:line="360" w:lineRule="auto"/>
        <w:ind w:firstLine="420" w:firstLineChars="200"/>
        <w:rPr>
          <w:rFonts w:hint="eastAsia"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）病毒发作导致不能进行正常操作的；</w:t>
      </w:r>
      <w:r>
        <w:rPr>
          <w:rFonts w:ascii="宋体" w:hAnsi="宋体"/>
          <w:color w:val="auto"/>
        </w:rPr>
        <w:t xml:space="preserve"> </w:t>
      </w:r>
    </w:p>
    <w:p w14:paraId="0D3539DB">
      <w:pPr>
        <w:spacing w:line="360" w:lineRule="auto"/>
        <w:ind w:firstLine="420" w:firstLineChars="200"/>
        <w:rPr>
          <w:rFonts w:hint="eastAsia"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）其他无法保证电子交易的公平、公正和安全的情况。</w:t>
      </w:r>
    </w:p>
    <w:p w14:paraId="4DF9426D">
      <w:pPr>
        <w:spacing w:line="360" w:lineRule="auto"/>
        <w:ind w:firstLine="420" w:firstLineChars="200"/>
        <w:contextualSpacing/>
        <w:rPr>
          <w:rFonts w:hint="eastAsia" w:ascii="宋体" w:hAnsi="宋体" w:cs="宋体"/>
          <w:b/>
          <w:bCs/>
          <w:color w:val="auto"/>
          <w:szCs w:val="21"/>
        </w:rPr>
      </w:pPr>
      <w:r>
        <w:rPr>
          <w:rFonts w:ascii="宋体" w:hAnsi="宋体"/>
          <w:color w:val="auto"/>
        </w:rPr>
        <w:t>26.</w:t>
      </w:r>
      <w:r>
        <w:rPr>
          <w:rFonts w:hint="eastAsia" w:ascii="宋体" w:hAnsi="宋体"/>
          <w:color w:val="auto"/>
        </w:rPr>
        <w:t>4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w:t>
      </w:r>
      <w:r>
        <w:rPr>
          <w:rFonts w:hint="eastAsia" w:hAnsi="宋体"/>
          <w:color w:val="auto"/>
        </w:rPr>
        <w:t>案。</w:t>
      </w:r>
    </w:p>
    <w:p w14:paraId="6E762E74">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14:paraId="46E116B2">
      <w:pPr>
        <w:spacing w:line="360" w:lineRule="auto"/>
        <w:ind w:firstLine="420" w:firstLineChars="200"/>
        <w:rPr>
          <w:rFonts w:hint="eastAsia" w:ascii="宋体" w:hAnsi="宋体" w:cs="宋体"/>
          <w:color w:val="auto"/>
          <w:szCs w:val="21"/>
        </w:rPr>
      </w:pPr>
      <w:r>
        <w:rPr>
          <w:rFonts w:ascii="宋体" w:hAnsi="宋体" w:cs="宋体"/>
          <w:color w:val="auto"/>
          <w:szCs w:val="21"/>
        </w:rPr>
        <w:t>27</w:t>
      </w:r>
      <w:r>
        <w:rPr>
          <w:rFonts w:hint="eastAsia" w:ascii="宋体" w:hAnsi="宋体" w:cs="宋体"/>
          <w:color w:val="auto"/>
          <w:szCs w:val="21"/>
        </w:rPr>
        <w:t>.1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谈判小组直接确定成交供应商。采购人逾期未确定成交供应商且不提出异议的，视为确定评审报告提出的排序第一的供应商为成交供应商。</w:t>
      </w:r>
    </w:p>
    <w:p w14:paraId="44307C90">
      <w:pPr>
        <w:spacing w:line="360" w:lineRule="auto"/>
        <w:ind w:firstLine="420" w:firstLineChars="200"/>
        <w:rPr>
          <w:rFonts w:hint="eastAsia" w:ascii="宋体" w:hAnsi="宋体" w:cs="Courier New"/>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67"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67"/>
    </w:p>
    <w:p w14:paraId="1327683F">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27.3出现下列情形之一的，采购人或者采购代理机构应当终止竞争性谈判采购活动，发布项目终止公告并说明原因，重新开展采购活动：</w:t>
      </w:r>
    </w:p>
    <w:p w14:paraId="69D6FABF">
      <w:pPr>
        <w:pStyle w:val="18"/>
        <w:spacing w:line="360" w:lineRule="auto"/>
        <w:ind w:firstLine="420" w:firstLineChars="200"/>
        <w:contextualSpacing/>
        <w:rPr>
          <w:rFonts w:hint="eastAsia" w:ascii="宋体" w:hAnsi="宋体"/>
          <w:bCs/>
          <w:color w:val="auto"/>
          <w:szCs w:val="21"/>
        </w:rPr>
      </w:pPr>
      <w:r>
        <w:rPr>
          <w:rFonts w:hint="eastAsia" w:ascii="宋体" w:hAnsi="宋体"/>
          <w:bCs/>
          <w:color w:val="auto"/>
          <w:szCs w:val="21"/>
        </w:rPr>
        <w:t>（1）因情况变化，不再符合规定的竞争性谈判采购方式适用情形的；</w:t>
      </w:r>
    </w:p>
    <w:p w14:paraId="775E64A0">
      <w:pPr>
        <w:pStyle w:val="18"/>
        <w:spacing w:line="360" w:lineRule="auto"/>
        <w:ind w:firstLine="420" w:firstLineChars="200"/>
        <w:contextualSpacing/>
        <w:rPr>
          <w:rFonts w:hint="eastAsia" w:ascii="宋体" w:hAnsi="宋体"/>
          <w:bCs/>
          <w:color w:val="auto"/>
          <w:szCs w:val="21"/>
        </w:rPr>
      </w:pPr>
      <w:r>
        <w:rPr>
          <w:rFonts w:hint="eastAsia" w:ascii="宋体" w:hAnsi="宋体"/>
          <w:bCs/>
          <w:color w:val="auto"/>
          <w:szCs w:val="21"/>
        </w:rPr>
        <w:t>（2）出现影响采购公正的违法、违规行为的；</w:t>
      </w:r>
    </w:p>
    <w:p w14:paraId="7B4735E6">
      <w:pPr>
        <w:pStyle w:val="18"/>
        <w:spacing w:line="360" w:lineRule="auto"/>
        <w:ind w:firstLine="420" w:firstLineChars="200"/>
        <w:contextualSpacing/>
        <w:rPr>
          <w:rFonts w:hint="eastAsia" w:ascii="宋体" w:hAnsi="宋体"/>
          <w:bCs/>
          <w:color w:val="auto"/>
          <w:szCs w:val="21"/>
        </w:rPr>
      </w:pPr>
      <w:r>
        <w:rPr>
          <w:rFonts w:hint="eastAsia" w:ascii="宋体" w:hAnsi="宋体"/>
          <w:bCs/>
          <w:color w:val="auto"/>
          <w:szCs w:val="21"/>
        </w:rPr>
        <w:t>（3）在采购过程中符合竞争要求的供应商或者报价未超过采购预算的供应商不足3家的，但“第四章 评审程序和评定成交的标准”第3.7条规定的情形除外。</w:t>
      </w:r>
    </w:p>
    <w:p w14:paraId="75EBA86B">
      <w:pPr>
        <w:spacing w:line="360" w:lineRule="auto"/>
        <w:ind w:firstLine="420" w:firstLineChars="200"/>
        <w:rPr>
          <w:rFonts w:hint="eastAsia" w:ascii="宋体" w:hAnsi="宋体" w:cs="宋体"/>
          <w:color w:val="auto"/>
          <w:szCs w:val="21"/>
        </w:rPr>
      </w:pPr>
      <w:r>
        <w:rPr>
          <w:rFonts w:hint="eastAsia" w:ascii="宋体" w:hAnsi="宋体" w:cs="Courier New"/>
          <w:color w:val="auto"/>
          <w:szCs w:val="21"/>
        </w:rPr>
        <w:t>27.4 在采购活动中因重大变故，采购任务取消的，采购人或者采购代理机构应当终止采购活动，通知所有参加采购活动的供应商，并将项目实施情况和采购任务取消原因报送本级财政部门。</w:t>
      </w:r>
    </w:p>
    <w:p w14:paraId="6CA9186A">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14:paraId="2E1A8AFA">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w:t>
      </w:r>
    </w:p>
    <w:p w14:paraId="4B526506">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.2在履约保证金退还日期前，若成交供应商的开户名称、开户银行、账号有变动的，请以书面形式通知履约保证金收取单位，否则由此产生的后果由成交供应商自行承担。</w:t>
      </w:r>
    </w:p>
    <w:p w14:paraId="32FA669B">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14:paraId="4B3F1077">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29.1签订电子采购合同：成交供应商领取电子成交通知书后，在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w:t>
      </w:r>
    </w:p>
    <w:p w14:paraId="4D677BFF">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14:paraId="160CCC84">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29.2签订合同时间：按成交通知书规定的时间与采购人签订合同。</w:t>
      </w:r>
    </w:p>
    <w:p w14:paraId="040EA67E">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w:t>
      </w:r>
      <w:r>
        <w:rPr>
          <w:rFonts w:ascii="宋体" w:hAnsi="宋体" w:cs="宋体"/>
          <w:color w:val="auto"/>
          <w:szCs w:val="21"/>
        </w:rPr>
        <w:t>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115EEA3">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170CC45">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29.5采购人或成交供应商不得单方面向合同另一方提出任何谈判文件没有约定的条件或不合理的要求，作为签订合同的条件；也不得协商另行订立背离谈判文件和合同实质性内容的协议。</w:t>
      </w:r>
    </w:p>
    <w:p w14:paraId="5F591981">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29.6如签订合同并生效后，供应商无故拒绝或延期，除按照合同条款处理外，将承担相应的法律责任。</w:t>
      </w:r>
    </w:p>
    <w:p w14:paraId="78344AAB">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09218181">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14:paraId="6571DD3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C419A3E">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14:paraId="5BC72CFD">
      <w:pPr>
        <w:pStyle w:val="8"/>
        <w:spacing w:line="360" w:lineRule="auto"/>
        <w:rPr>
          <w:rFonts w:hint="eastAsia" w:ascii="宋体" w:hAnsi="宋体"/>
          <w:color w:val="auto"/>
          <w:szCs w:val="21"/>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14:paraId="0315D868">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.2供应商认为谈判文件、采购过程或者成交结果使自己的合法权益受到损害的，应当在知道或者应知其权益受到损害之日起7个工作日内，以书面形式向采购人、采购代理机构提出质疑，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781BAFDF">
      <w:pPr>
        <w:spacing w:line="360" w:lineRule="auto"/>
        <w:ind w:firstLine="420" w:firstLineChars="200"/>
        <w:rPr>
          <w:rFonts w:hint="eastAsia" w:ascii="宋体" w:hAnsi="宋体" w:cs="宋体"/>
          <w:color w:val="auto"/>
        </w:rPr>
      </w:pPr>
      <w:r>
        <w:rPr>
          <w:rFonts w:hint="eastAsia" w:ascii="宋体" w:hAnsi="宋体" w:cs="宋体"/>
          <w:color w:val="auto"/>
        </w:rPr>
        <w:t>（1）对可以质疑的谈判文件提出质疑的，为获取谈判文件之日或者</w:t>
      </w:r>
      <w:r>
        <w:rPr>
          <w:rFonts w:hint="eastAsia" w:ascii="宋体" w:hAnsi="宋体"/>
          <w:color w:val="auto"/>
        </w:rPr>
        <w:t>竞争性谈判公告期限届满之日</w:t>
      </w:r>
      <w:r>
        <w:rPr>
          <w:rFonts w:hint="eastAsia" w:ascii="宋体" w:hAnsi="宋体" w:cs="宋体"/>
          <w:color w:val="auto"/>
        </w:rPr>
        <w:t>；</w:t>
      </w:r>
    </w:p>
    <w:p w14:paraId="5936F0A7">
      <w:pPr>
        <w:spacing w:line="360" w:lineRule="auto"/>
        <w:ind w:firstLine="420" w:firstLineChars="200"/>
        <w:rPr>
          <w:rFonts w:hint="eastAsia" w:ascii="宋体" w:hAnsi="宋体" w:cs="宋体"/>
          <w:color w:val="auto"/>
        </w:rPr>
      </w:pPr>
      <w:r>
        <w:rPr>
          <w:rFonts w:hint="eastAsia" w:ascii="宋体" w:hAnsi="宋体" w:cs="宋体"/>
          <w:color w:val="auto"/>
        </w:rPr>
        <w:t>（2）对采购过程提出质疑的，为各采购程序环节结束之日；</w:t>
      </w:r>
    </w:p>
    <w:p w14:paraId="2BBB2424">
      <w:pPr>
        <w:spacing w:line="360" w:lineRule="auto"/>
        <w:ind w:firstLine="420" w:firstLineChars="200"/>
        <w:rPr>
          <w:rFonts w:hint="eastAsia" w:ascii="宋体" w:hAnsi="宋体" w:cs="宋体"/>
          <w:color w:val="auto"/>
        </w:rPr>
      </w:pPr>
      <w:r>
        <w:rPr>
          <w:rFonts w:hint="eastAsia" w:ascii="宋体" w:hAnsi="宋体" w:cs="宋体"/>
          <w:color w:val="auto"/>
        </w:rPr>
        <w:t>（3）对成交结果提出质疑的，为成交结果公告期限届满之日。</w:t>
      </w:r>
    </w:p>
    <w:p w14:paraId="45663B04">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DF2DC4B">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68FA3343">
      <w:pPr>
        <w:spacing w:line="360" w:lineRule="auto"/>
        <w:ind w:firstLine="420" w:firstLineChars="200"/>
        <w:rPr>
          <w:rFonts w:hint="eastAsia" w:ascii="宋体" w:hAnsi="宋体" w:cs="宋体"/>
          <w:color w:val="auto"/>
        </w:rPr>
      </w:pPr>
      <w:r>
        <w:rPr>
          <w:rFonts w:hint="eastAsia" w:ascii="宋体" w:hAnsi="宋体" w:cs="宋体"/>
          <w:color w:val="auto"/>
        </w:rPr>
        <w:t>（1）供应商的姓名或者名称、地址、邮编、联系人及联系电话；</w:t>
      </w:r>
    </w:p>
    <w:p w14:paraId="618D81A8">
      <w:pPr>
        <w:spacing w:line="360" w:lineRule="auto"/>
        <w:ind w:firstLine="420" w:firstLineChars="200"/>
        <w:rPr>
          <w:rFonts w:hint="eastAsia" w:ascii="宋体" w:hAnsi="宋体" w:cs="宋体"/>
          <w:color w:val="auto"/>
        </w:rPr>
      </w:pPr>
      <w:r>
        <w:rPr>
          <w:rFonts w:hint="eastAsia" w:ascii="宋体" w:hAnsi="宋体" w:cs="宋体"/>
          <w:color w:val="auto"/>
        </w:rPr>
        <w:t>（2）质疑项目的名称、编号；</w:t>
      </w:r>
    </w:p>
    <w:p w14:paraId="0CB3EE97">
      <w:pPr>
        <w:spacing w:line="360" w:lineRule="auto"/>
        <w:ind w:firstLine="420" w:firstLineChars="200"/>
        <w:rPr>
          <w:rFonts w:hint="eastAsia" w:ascii="宋体" w:hAnsi="宋体" w:cs="宋体"/>
          <w:color w:val="auto"/>
        </w:rPr>
      </w:pPr>
      <w:r>
        <w:rPr>
          <w:rFonts w:hint="eastAsia" w:ascii="宋体" w:hAnsi="宋体" w:cs="宋体"/>
          <w:color w:val="auto"/>
        </w:rPr>
        <w:t>（3）具体、明确的质疑事项和与质疑事项相关的请求；</w:t>
      </w:r>
    </w:p>
    <w:p w14:paraId="6DD4C130">
      <w:pPr>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16044055">
      <w:pPr>
        <w:spacing w:line="360" w:lineRule="auto"/>
        <w:ind w:firstLine="420" w:firstLineChars="200"/>
        <w:rPr>
          <w:rFonts w:hint="eastAsia" w:ascii="宋体" w:hAnsi="宋体" w:cs="宋体"/>
          <w:color w:val="auto"/>
        </w:rPr>
      </w:pPr>
      <w:r>
        <w:rPr>
          <w:rFonts w:hint="eastAsia" w:ascii="宋体" w:hAnsi="宋体" w:cs="宋体"/>
          <w:color w:val="auto"/>
        </w:rPr>
        <w:t>（5）必要的法律依据；</w:t>
      </w:r>
    </w:p>
    <w:p w14:paraId="3C24B3F4">
      <w:pPr>
        <w:spacing w:line="360" w:lineRule="auto"/>
        <w:ind w:firstLine="420" w:firstLineChars="200"/>
        <w:rPr>
          <w:rFonts w:hint="eastAsia" w:ascii="宋体" w:hAnsi="宋体" w:cs="宋体"/>
          <w:color w:val="auto"/>
        </w:rPr>
      </w:pPr>
      <w:r>
        <w:rPr>
          <w:rFonts w:hint="eastAsia" w:ascii="宋体" w:hAnsi="宋体" w:cs="宋体"/>
          <w:color w:val="auto"/>
        </w:rPr>
        <w:t>（6）提出质疑的日期。</w:t>
      </w:r>
    </w:p>
    <w:p w14:paraId="67185E85">
      <w:pPr>
        <w:spacing w:line="360" w:lineRule="auto"/>
        <w:ind w:firstLine="420" w:firstLineChars="200"/>
        <w:rPr>
          <w:rFonts w:hint="eastAsia"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2CEF0E14">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69FBCF1C">
      <w:pPr>
        <w:spacing w:line="360" w:lineRule="auto"/>
        <w:ind w:firstLine="420" w:firstLineChars="200"/>
        <w:rPr>
          <w:rFonts w:hint="eastAsia"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7C4547B3">
      <w:pPr>
        <w:spacing w:line="360" w:lineRule="auto"/>
        <w:ind w:firstLine="420" w:firstLineChars="200"/>
        <w:rPr>
          <w:rFonts w:hint="eastAsia"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08DC98C3">
      <w:pPr>
        <w:spacing w:line="360" w:lineRule="auto"/>
        <w:ind w:firstLine="420" w:firstLineChars="200"/>
        <w:rPr>
          <w:rFonts w:hint="eastAsia"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11DD38B3">
      <w:pPr>
        <w:spacing w:line="360" w:lineRule="auto"/>
        <w:ind w:firstLine="420" w:firstLineChars="200"/>
        <w:rPr>
          <w:rFonts w:hint="eastAsia"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ED4E5EB">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14:paraId="78855FBB">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.1代理服务收取标准及缴费账户详见“供应商须知前附表”。</w:t>
      </w:r>
    </w:p>
    <w:p w14:paraId="2FB67069">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tbl>
      <w:tblPr>
        <w:tblStyle w:val="48"/>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6E8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5034025">
            <w:pPr>
              <w:spacing w:line="360" w:lineRule="auto"/>
              <w:rPr>
                <w:rFonts w:hint="eastAsia" w:ascii="宋体" w:hAnsi="宋体" w:cs="宋体"/>
                <w:color w:val="auto"/>
                <w:szCs w:val="21"/>
              </w:rPr>
            </w:pPr>
            <w:r>
              <w:rPr>
                <w:rFonts w:hint="eastAsia" w:ascii="宋体" w:hAnsi="宋体" w:cs="宋体"/>
                <w:color w:val="auto"/>
                <w:szCs w:val="21"/>
              </w:rPr>
              <w:t xml:space="preserve">               费率</w:t>
            </w:r>
          </w:p>
          <w:p w14:paraId="68C0704E">
            <w:pPr>
              <w:spacing w:line="360" w:lineRule="auto"/>
              <w:rPr>
                <w:rFonts w:hint="eastAsia" w:ascii="宋体" w:hAnsi="宋体" w:cs="宋体"/>
                <w:color w:val="auto"/>
                <w:szCs w:val="21"/>
              </w:rPr>
            </w:pPr>
            <w:r>
              <w:rPr>
                <w:rFonts w:hint="eastAsia" w:ascii="宋体" w:hAnsi="宋体" w:cs="宋体"/>
                <w:color w:val="auto"/>
                <w:szCs w:val="21"/>
              </w:rPr>
              <w:t>金额</w:t>
            </w:r>
          </w:p>
        </w:tc>
        <w:tc>
          <w:tcPr>
            <w:tcW w:w="1659" w:type="dxa"/>
            <w:vAlign w:val="center"/>
          </w:tcPr>
          <w:p w14:paraId="39A14843">
            <w:pPr>
              <w:spacing w:line="360" w:lineRule="auto"/>
              <w:ind w:firstLine="105" w:firstLineChars="50"/>
              <w:jc w:val="center"/>
              <w:rPr>
                <w:rFonts w:hint="eastAsia" w:ascii="宋体" w:hAnsi="宋体" w:cs="宋体"/>
                <w:color w:val="auto"/>
                <w:szCs w:val="21"/>
              </w:rPr>
            </w:pPr>
            <w:r>
              <w:rPr>
                <w:rFonts w:hint="eastAsia" w:ascii="宋体" w:hAnsi="宋体" w:cs="宋体"/>
                <w:color w:val="auto"/>
                <w:szCs w:val="21"/>
              </w:rPr>
              <w:t>货物类</w:t>
            </w:r>
          </w:p>
        </w:tc>
        <w:tc>
          <w:tcPr>
            <w:tcW w:w="1532" w:type="dxa"/>
            <w:vAlign w:val="center"/>
          </w:tcPr>
          <w:p w14:paraId="7B5E09B4">
            <w:pPr>
              <w:spacing w:line="360" w:lineRule="auto"/>
              <w:jc w:val="center"/>
              <w:rPr>
                <w:rFonts w:hint="eastAsia" w:ascii="宋体" w:hAnsi="宋体" w:cs="宋体"/>
                <w:color w:val="auto"/>
                <w:szCs w:val="21"/>
              </w:rPr>
            </w:pPr>
            <w:r>
              <w:rPr>
                <w:rFonts w:hint="eastAsia" w:ascii="宋体" w:hAnsi="宋体" w:cs="宋体"/>
                <w:color w:val="auto"/>
                <w:szCs w:val="21"/>
              </w:rPr>
              <w:t>服务类</w:t>
            </w:r>
          </w:p>
        </w:tc>
        <w:tc>
          <w:tcPr>
            <w:tcW w:w="1546" w:type="dxa"/>
            <w:vAlign w:val="center"/>
          </w:tcPr>
          <w:p w14:paraId="61A736A6">
            <w:pPr>
              <w:spacing w:line="360" w:lineRule="auto"/>
              <w:jc w:val="center"/>
              <w:rPr>
                <w:rFonts w:hint="eastAsia" w:ascii="宋体" w:hAnsi="宋体" w:cs="宋体"/>
                <w:color w:val="auto"/>
                <w:szCs w:val="21"/>
              </w:rPr>
            </w:pPr>
            <w:r>
              <w:rPr>
                <w:rFonts w:hint="eastAsia" w:ascii="宋体" w:hAnsi="宋体" w:cs="宋体"/>
                <w:color w:val="auto"/>
                <w:szCs w:val="21"/>
              </w:rPr>
              <w:t>工程类</w:t>
            </w:r>
          </w:p>
        </w:tc>
      </w:tr>
      <w:tr w14:paraId="7D10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D9DF1AD">
            <w:pPr>
              <w:spacing w:line="360" w:lineRule="auto"/>
              <w:rPr>
                <w:rFonts w:hint="eastAsia" w:ascii="宋体" w:hAnsi="宋体" w:cs="宋体"/>
                <w:color w:val="auto"/>
                <w:szCs w:val="21"/>
              </w:rPr>
            </w:pPr>
            <w:r>
              <w:rPr>
                <w:rFonts w:hint="eastAsia" w:ascii="宋体" w:hAnsi="宋体" w:cs="宋体"/>
                <w:color w:val="auto"/>
                <w:szCs w:val="21"/>
              </w:rPr>
              <w:t>100万元以下</w:t>
            </w:r>
          </w:p>
        </w:tc>
        <w:tc>
          <w:tcPr>
            <w:tcW w:w="1659" w:type="dxa"/>
          </w:tcPr>
          <w:p w14:paraId="2F4D68F8">
            <w:pPr>
              <w:spacing w:line="360" w:lineRule="auto"/>
              <w:rPr>
                <w:rFonts w:hint="eastAsia" w:ascii="宋体" w:hAnsi="宋体" w:cs="宋体"/>
                <w:color w:val="auto"/>
                <w:szCs w:val="21"/>
              </w:rPr>
            </w:pPr>
            <w:r>
              <w:rPr>
                <w:rFonts w:hint="eastAsia" w:ascii="宋体" w:hAnsi="宋体" w:cs="宋体"/>
                <w:color w:val="auto"/>
                <w:kern w:val="0"/>
                <w:szCs w:val="21"/>
              </w:rPr>
              <w:t xml:space="preserve">  1.5%                </w:t>
            </w:r>
          </w:p>
        </w:tc>
        <w:tc>
          <w:tcPr>
            <w:tcW w:w="1532" w:type="dxa"/>
          </w:tcPr>
          <w:p w14:paraId="47C0B3F5">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1.5%</w:t>
            </w:r>
          </w:p>
        </w:tc>
        <w:tc>
          <w:tcPr>
            <w:tcW w:w="1546" w:type="dxa"/>
          </w:tcPr>
          <w:p w14:paraId="46C48AE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1.0% </w:t>
            </w:r>
          </w:p>
        </w:tc>
      </w:tr>
      <w:tr w14:paraId="2697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6DCAE63">
            <w:pPr>
              <w:spacing w:line="360" w:lineRule="auto"/>
              <w:rPr>
                <w:rFonts w:hint="eastAsia" w:ascii="宋体" w:hAnsi="宋体" w:cs="宋体"/>
                <w:color w:val="auto"/>
                <w:szCs w:val="21"/>
              </w:rPr>
            </w:pPr>
            <w:r>
              <w:rPr>
                <w:rFonts w:hint="eastAsia" w:ascii="宋体" w:hAnsi="宋体" w:cs="宋体"/>
                <w:color w:val="auto"/>
                <w:szCs w:val="21"/>
              </w:rPr>
              <w:t>100～500万元</w:t>
            </w:r>
          </w:p>
        </w:tc>
        <w:tc>
          <w:tcPr>
            <w:tcW w:w="1659" w:type="dxa"/>
          </w:tcPr>
          <w:p w14:paraId="5B1ABFBD">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1.1%                 </w:t>
            </w:r>
          </w:p>
        </w:tc>
        <w:tc>
          <w:tcPr>
            <w:tcW w:w="1532" w:type="dxa"/>
          </w:tcPr>
          <w:p w14:paraId="2C3AA335">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0.8%</w:t>
            </w:r>
          </w:p>
        </w:tc>
        <w:tc>
          <w:tcPr>
            <w:tcW w:w="1546" w:type="dxa"/>
          </w:tcPr>
          <w:p w14:paraId="6093F128">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0.7% </w:t>
            </w:r>
          </w:p>
        </w:tc>
      </w:tr>
      <w:tr w14:paraId="6A21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D546E6E">
            <w:pPr>
              <w:spacing w:line="360" w:lineRule="auto"/>
              <w:rPr>
                <w:rFonts w:hint="eastAsia" w:ascii="宋体" w:hAnsi="宋体" w:cs="宋体"/>
                <w:color w:val="auto"/>
                <w:szCs w:val="21"/>
              </w:rPr>
            </w:pPr>
            <w:r>
              <w:rPr>
                <w:rFonts w:hint="eastAsia" w:ascii="宋体" w:hAnsi="宋体" w:cs="宋体"/>
                <w:color w:val="auto"/>
                <w:szCs w:val="21"/>
              </w:rPr>
              <w:t>500～1000万元</w:t>
            </w:r>
          </w:p>
        </w:tc>
        <w:tc>
          <w:tcPr>
            <w:tcW w:w="1659" w:type="dxa"/>
          </w:tcPr>
          <w:p w14:paraId="4B1D383E">
            <w:pPr>
              <w:spacing w:line="360" w:lineRule="auto"/>
              <w:rPr>
                <w:rFonts w:hint="eastAsia" w:ascii="宋体" w:hAnsi="宋体" w:cs="宋体"/>
                <w:color w:val="auto"/>
                <w:szCs w:val="21"/>
              </w:rPr>
            </w:pPr>
            <w:r>
              <w:rPr>
                <w:rFonts w:hint="eastAsia" w:ascii="宋体" w:hAnsi="宋体" w:cs="宋体"/>
                <w:color w:val="auto"/>
                <w:kern w:val="0"/>
                <w:szCs w:val="21"/>
              </w:rPr>
              <w:t xml:space="preserve">  0.8%                </w:t>
            </w:r>
          </w:p>
        </w:tc>
        <w:tc>
          <w:tcPr>
            <w:tcW w:w="1532" w:type="dxa"/>
          </w:tcPr>
          <w:p w14:paraId="3B038AE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0.45%</w:t>
            </w:r>
          </w:p>
        </w:tc>
        <w:tc>
          <w:tcPr>
            <w:tcW w:w="1546" w:type="dxa"/>
          </w:tcPr>
          <w:p w14:paraId="11F4745F">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0.55%</w:t>
            </w:r>
          </w:p>
        </w:tc>
      </w:tr>
      <w:tr w14:paraId="39FB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2E318C2">
            <w:pPr>
              <w:spacing w:line="360" w:lineRule="auto"/>
              <w:rPr>
                <w:rFonts w:hint="eastAsia" w:ascii="宋体" w:hAnsi="宋体" w:cs="宋体"/>
                <w:color w:val="auto"/>
                <w:szCs w:val="21"/>
              </w:rPr>
            </w:pPr>
            <w:r>
              <w:rPr>
                <w:rFonts w:hint="eastAsia" w:ascii="宋体" w:hAnsi="宋体" w:cs="宋体"/>
                <w:color w:val="auto"/>
                <w:szCs w:val="21"/>
              </w:rPr>
              <w:t>1000～5000万元</w:t>
            </w:r>
          </w:p>
        </w:tc>
        <w:tc>
          <w:tcPr>
            <w:tcW w:w="1659" w:type="dxa"/>
          </w:tcPr>
          <w:p w14:paraId="2D39773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0.5%                </w:t>
            </w:r>
          </w:p>
        </w:tc>
        <w:tc>
          <w:tcPr>
            <w:tcW w:w="1532" w:type="dxa"/>
          </w:tcPr>
          <w:p w14:paraId="109F16F4">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0.25%</w:t>
            </w:r>
          </w:p>
        </w:tc>
        <w:tc>
          <w:tcPr>
            <w:tcW w:w="1546" w:type="dxa"/>
          </w:tcPr>
          <w:p w14:paraId="42405B4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0.35% </w:t>
            </w:r>
          </w:p>
        </w:tc>
      </w:tr>
      <w:tr w14:paraId="26A4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1E597B0">
            <w:pPr>
              <w:spacing w:line="360" w:lineRule="auto"/>
              <w:rPr>
                <w:rFonts w:hint="eastAsia" w:ascii="宋体" w:hAnsi="宋体" w:cs="宋体"/>
                <w:color w:val="auto"/>
                <w:szCs w:val="21"/>
              </w:rPr>
            </w:pPr>
            <w:r>
              <w:rPr>
                <w:rFonts w:hint="eastAsia" w:ascii="宋体" w:hAnsi="宋体" w:cs="宋体"/>
                <w:color w:val="auto"/>
                <w:szCs w:val="21"/>
              </w:rPr>
              <w:t>5000万元～1亿元</w:t>
            </w:r>
          </w:p>
        </w:tc>
        <w:tc>
          <w:tcPr>
            <w:tcW w:w="1659" w:type="dxa"/>
          </w:tcPr>
          <w:p w14:paraId="0FF93A52">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0.25%                 </w:t>
            </w:r>
          </w:p>
        </w:tc>
        <w:tc>
          <w:tcPr>
            <w:tcW w:w="1532" w:type="dxa"/>
          </w:tcPr>
          <w:p w14:paraId="673F072C">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0.1%</w:t>
            </w:r>
          </w:p>
        </w:tc>
        <w:tc>
          <w:tcPr>
            <w:tcW w:w="1546" w:type="dxa"/>
          </w:tcPr>
          <w:p w14:paraId="78030357">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w:t>
            </w:r>
          </w:p>
        </w:tc>
      </w:tr>
      <w:tr w14:paraId="29D6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2FD21A">
            <w:pPr>
              <w:spacing w:line="360" w:lineRule="auto"/>
              <w:rPr>
                <w:rFonts w:hint="eastAsia" w:ascii="宋体" w:hAnsi="宋体" w:cs="宋体"/>
                <w:color w:val="auto"/>
                <w:szCs w:val="21"/>
              </w:rPr>
            </w:pPr>
            <w:r>
              <w:rPr>
                <w:rFonts w:hint="eastAsia" w:ascii="宋体" w:hAnsi="宋体" w:cs="宋体"/>
                <w:color w:val="auto"/>
                <w:szCs w:val="21"/>
              </w:rPr>
              <w:t>1～5亿元</w:t>
            </w:r>
          </w:p>
        </w:tc>
        <w:tc>
          <w:tcPr>
            <w:tcW w:w="1659" w:type="dxa"/>
          </w:tcPr>
          <w:p w14:paraId="689C253B">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0.05%</w:t>
            </w:r>
          </w:p>
        </w:tc>
        <w:tc>
          <w:tcPr>
            <w:tcW w:w="1532" w:type="dxa"/>
          </w:tcPr>
          <w:p w14:paraId="494D36F4">
            <w:pPr>
              <w:spacing w:line="360" w:lineRule="auto"/>
              <w:rPr>
                <w:rFonts w:hint="eastAsia" w:ascii="宋体" w:hAnsi="宋体" w:cs="宋体"/>
                <w:color w:val="auto"/>
                <w:szCs w:val="21"/>
              </w:rPr>
            </w:pPr>
            <w:r>
              <w:rPr>
                <w:rFonts w:hint="eastAsia" w:ascii="宋体" w:hAnsi="宋体" w:cs="宋体"/>
                <w:color w:val="auto"/>
                <w:szCs w:val="21"/>
              </w:rPr>
              <w:t xml:space="preserve">  0.05%</w:t>
            </w:r>
          </w:p>
        </w:tc>
        <w:tc>
          <w:tcPr>
            <w:tcW w:w="1546" w:type="dxa"/>
          </w:tcPr>
          <w:p w14:paraId="32420569">
            <w:pPr>
              <w:spacing w:line="360" w:lineRule="auto"/>
              <w:rPr>
                <w:rFonts w:hint="eastAsia" w:ascii="宋体" w:hAnsi="宋体" w:cs="宋体"/>
                <w:color w:val="auto"/>
                <w:szCs w:val="21"/>
              </w:rPr>
            </w:pPr>
            <w:r>
              <w:rPr>
                <w:rFonts w:hint="eastAsia" w:ascii="宋体" w:hAnsi="宋体" w:cs="宋体"/>
                <w:color w:val="auto"/>
                <w:szCs w:val="21"/>
              </w:rPr>
              <w:t xml:space="preserve">  0.05%</w:t>
            </w:r>
          </w:p>
        </w:tc>
      </w:tr>
      <w:tr w14:paraId="70BE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D6E0EEF">
            <w:pPr>
              <w:spacing w:line="360" w:lineRule="auto"/>
              <w:rPr>
                <w:rFonts w:hint="eastAsia" w:ascii="宋体" w:hAnsi="宋体" w:cs="宋体"/>
                <w:color w:val="auto"/>
                <w:szCs w:val="21"/>
              </w:rPr>
            </w:pPr>
            <w:r>
              <w:rPr>
                <w:rFonts w:hint="eastAsia" w:ascii="宋体" w:hAnsi="宋体" w:cs="宋体"/>
                <w:color w:val="auto"/>
                <w:szCs w:val="21"/>
              </w:rPr>
              <w:t>5～10亿元</w:t>
            </w:r>
          </w:p>
        </w:tc>
        <w:tc>
          <w:tcPr>
            <w:tcW w:w="1659" w:type="dxa"/>
          </w:tcPr>
          <w:p w14:paraId="223FA5B1">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c>
          <w:tcPr>
            <w:tcW w:w="1532" w:type="dxa"/>
          </w:tcPr>
          <w:p w14:paraId="7EC439FC">
            <w:pPr>
              <w:spacing w:line="360" w:lineRule="auto"/>
              <w:rPr>
                <w:rFonts w:hint="eastAsia" w:ascii="宋体" w:hAnsi="宋体" w:cs="宋体"/>
                <w:color w:val="auto"/>
                <w:szCs w:val="21"/>
              </w:rPr>
            </w:pPr>
            <w:r>
              <w:rPr>
                <w:rFonts w:hint="eastAsia" w:ascii="宋体" w:hAnsi="宋体" w:cs="宋体"/>
                <w:color w:val="auto"/>
                <w:szCs w:val="21"/>
              </w:rPr>
              <w:t xml:space="preserve">  0.035%</w:t>
            </w:r>
          </w:p>
        </w:tc>
        <w:tc>
          <w:tcPr>
            <w:tcW w:w="1546" w:type="dxa"/>
          </w:tcPr>
          <w:p w14:paraId="48F16BB6">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r>
      <w:tr w14:paraId="598F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4F90285">
            <w:pPr>
              <w:spacing w:line="360" w:lineRule="auto"/>
              <w:rPr>
                <w:rFonts w:hint="eastAsia" w:ascii="宋体" w:hAnsi="宋体" w:cs="宋体"/>
                <w:color w:val="auto"/>
                <w:szCs w:val="21"/>
              </w:rPr>
            </w:pPr>
            <w:r>
              <w:rPr>
                <w:rFonts w:hint="eastAsia" w:ascii="宋体" w:hAnsi="宋体" w:cs="宋体"/>
                <w:color w:val="auto"/>
                <w:szCs w:val="21"/>
              </w:rPr>
              <w:t>10～50亿元</w:t>
            </w:r>
          </w:p>
        </w:tc>
        <w:tc>
          <w:tcPr>
            <w:tcW w:w="1659" w:type="dxa"/>
          </w:tcPr>
          <w:p w14:paraId="1FE27DF6">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c>
          <w:tcPr>
            <w:tcW w:w="1532" w:type="dxa"/>
          </w:tcPr>
          <w:p w14:paraId="4F071172">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0.008%</w:t>
            </w:r>
          </w:p>
        </w:tc>
        <w:tc>
          <w:tcPr>
            <w:tcW w:w="1546" w:type="dxa"/>
          </w:tcPr>
          <w:p w14:paraId="5D351C67">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r>
      <w:tr w14:paraId="3973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06F8CB0">
            <w:pPr>
              <w:spacing w:line="360" w:lineRule="auto"/>
              <w:rPr>
                <w:rFonts w:hint="eastAsia" w:ascii="宋体" w:hAnsi="宋体" w:cs="宋体"/>
                <w:color w:val="auto"/>
                <w:szCs w:val="21"/>
              </w:rPr>
            </w:pPr>
            <w:r>
              <w:rPr>
                <w:rFonts w:hint="eastAsia" w:ascii="宋体" w:hAnsi="宋体" w:cs="宋体"/>
                <w:color w:val="auto"/>
                <w:szCs w:val="21"/>
              </w:rPr>
              <w:t>50～100亿元</w:t>
            </w:r>
          </w:p>
        </w:tc>
        <w:tc>
          <w:tcPr>
            <w:tcW w:w="1659" w:type="dxa"/>
          </w:tcPr>
          <w:p w14:paraId="02753148">
            <w:pPr>
              <w:spacing w:line="360" w:lineRule="auto"/>
              <w:rPr>
                <w:rFonts w:hint="eastAsia" w:ascii="宋体" w:hAnsi="宋体" w:cs="宋体"/>
                <w:color w:val="auto"/>
                <w:szCs w:val="21"/>
              </w:rPr>
            </w:pPr>
            <w:r>
              <w:rPr>
                <w:rFonts w:hint="eastAsia" w:ascii="宋体" w:hAnsi="宋体" w:cs="宋体"/>
                <w:color w:val="auto"/>
                <w:szCs w:val="21"/>
              </w:rPr>
              <w:t xml:space="preserve"> 0.006%</w:t>
            </w:r>
          </w:p>
        </w:tc>
        <w:tc>
          <w:tcPr>
            <w:tcW w:w="1532" w:type="dxa"/>
          </w:tcPr>
          <w:p w14:paraId="64F035A6">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0.006%</w:t>
            </w:r>
          </w:p>
        </w:tc>
        <w:tc>
          <w:tcPr>
            <w:tcW w:w="1546" w:type="dxa"/>
          </w:tcPr>
          <w:p w14:paraId="6E471EBC">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0.006%</w:t>
            </w:r>
          </w:p>
        </w:tc>
      </w:tr>
      <w:tr w14:paraId="452B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CAE004A">
            <w:pPr>
              <w:spacing w:line="360" w:lineRule="auto"/>
              <w:rPr>
                <w:rFonts w:hint="eastAsia" w:ascii="宋体" w:hAnsi="宋体" w:cs="宋体"/>
                <w:color w:val="auto"/>
                <w:szCs w:val="21"/>
              </w:rPr>
            </w:pPr>
            <w:r>
              <w:rPr>
                <w:rFonts w:hint="eastAsia" w:ascii="宋体" w:hAnsi="宋体" w:cs="宋体"/>
                <w:color w:val="auto"/>
                <w:szCs w:val="21"/>
              </w:rPr>
              <w:t>100亿以上</w:t>
            </w:r>
          </w:p>
        </w:tc>
        <w:tc>
          <w:tcPr>
            <w:tcW w:w="1659" w:type="dxa"/>
          </w:tcPr>
          <w:p w14:paraId="0A4DD813">
            <w:pPr>
              <w:spacing w:line="360" w:lineRule="auto"/>
              <w:rPr>
                <w:rFonts w:hint="eastAsia" w:ascii="宋体" w:hAnsi="宋体" w:cs="宋体"/>
                <w:color w:val="auto"/>
                <w:szCs w:val="21"/>
              </w:rPr>
            </w:pPr>
            <w:r>
              <w:rPr>
                <w:rFonts w:hint="eastAsia" w:ascii="宋体" w:hAnsi="宋体" w:cs="宋体"/>
                <w:color w:val="auto"/>
                <w:szCs w:val="21"/>
              </w:rPr>
              <w:t xml:space="preserve"> 0.004%</w:t>
            </w:r>
          </w:p>
        </w:tc>
        <w:tc>
          <w:tcPr>
            <w:tcW w:w="1532" w:type="dxa"/>
          </w:tcPr>
          <w:p w14:paraId="6767056D">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0.004%</w:t>
            </w:r>
          </w:p>
        </w:tc>
        <w:tc>
          <w:tcPr>
            <w:tcW w:w="1546" w:type="dxa"/>
          </w:tcPr>
          <w:p w14:paraId="76480D19">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0.004%</w:t>
            </w:r>
          </w:p>
        </w:tc>
      </w:tr>
    </w:tbl>
    <w:p w14:paraId="2CBB7C69">
      <w:pPr>
        <w:spacing w:line="360" w:lineRule="auto"/>
        <w:ind w:firstLine="420" w:firstLineChars="200"/>
        <w:rPr>
          <w:rFonts w:hint="eastAsia" w:ascii="宋体" w:hAnsi="宋体" w:cs="宋体"/>
          <w:color w:val="auto"/>
        </w:rPr>
      </w:pPr>
      <w:r>
        <w:rPr>
          <w:rFonts w:ascii="宋体" w:hAnsi="宋体" w:cs="宋体"/>
          <w:color w:val="auto"/>
        </w:rPr>
        <w:t>注：</w:t>
      </w:r>
    </w:p>
    <w:p w14:paraId="2FA08FED">
      <w:pPr>
        <w:spacing w:line="360" w:lineRule="auto"/>
        <w:ind w:firstLine="420" w:firstLineChars="200"/>
        <w:rPr>
          <w:rFonts w:hint="eastAsia"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14:paraId="3DBE5163">
      <w:pPr>
        <w:spacing w:line="360" w:lineRule="auto"/>
        <w:ind w:firstLine="420" w:firstLineChars="200"/>
        <w:rPr>
          <w:rFonts w:hint="eastAsia"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14:paraId="49451815">
      <w:pPr>
        <w:spacing w:line="360" w:lineRule="auto"/>
        <w:ind w:firstLine="420" w:firstLineChars="200"/>
        <w:rPr>
          <w:rFonts w:hint="eastAsia" w:ascii="宋体" w:hAnsi="宋体" w:cs="宋体"/>
          <w:color w:val="auto"/>
        </w:rPr>
      </w:pPr>
      <w:r>
        <w:rPr>
          <w:rFonts w:ascii="宋体" w:hAnsi="宋体" w:cs="宋体"/>
          <w:color w:val="auto"/>
        </w:rPr>
        <w:t>例如：某</w:t>
      </w:r>
      <w:r>
        <w:rPr>
          <w:rFonts w:hint="eastAsia" w:ascii="宋体" w:hAnsi="宋体" w:cs="宋体"/>
          <w:color w:val="auto"/>
        </w:rPr>
        <w:t>工程项目采购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金额为</w:t>
      </w:r>
      <w:bookmarkStart w:id="1535" w:name="_GoBack"/>
      <w:bookmarkEnd w:id="1535"/>
      <w:r>
        <w:rPr>
          <w:rFonts w:ascii="宋体" w:hAnsi="宋体" w:cs="宋体"/>
          <w:color w:val="auto"/>
        </w:rPr>
        <w:t>150万元，计算</w:t>
      </w:r>
      <w:r>
        <w:rPr>
          <w:rFonts w:hint="eastAsia" w:ascii="宋体" w:hAnsi="宋体" w:cs="宋体"/>
          <w:color w:val="auto"/>
        </w:rPr>
        <w:t>采购</w:t>
      </w:r>
      <w:r>
        <w:rPr>
          <w:rFonts w:ascii="宋体" w:hAnsi="宋体" w:cs="宋体"/>
          <w:color w:val="auto"/>
        </w:rPr>
        <w:t>代理收费额如下：</w:t>
      </w:r>
    </w:p>
    <w:p w14:paraId="7AB9C4A7">
      <w:pPr>
        <w:spacing w:line="360" w:lineRule="auto"/>
        <w:ind w:firstLine="420" w:firstLineChars="200"/>
        <w:rPr>
          <w:rFonts w:hint="eastAsia" w:ascii="宋体" w:hAnsi="宋体" w:cs="宋体"/>
          <w:color w:val="auto"/>
        </w:rPr>
      </w:pPr>
      <w:r>
        <w:rPr>
          <w:rFonts w:ascii="宋体" w:hAnsi="宋体" w:cs="宋体"/>
          <w:color w:val="auto"/>
        </w:rPr>
        <w:t>100 万元 ×l.</w:t>
      </w:r>
      <w:r>
        <w:rPr>
          <w:rFonts w:hint="eastAsia" w:ascii="宋体" w:hAnsi="宋体" w:cs="宋体"/>
          <w:color w:val="auto"/>
        </w:rPr>
        <w:t>0</w:t>
      </w:r>
      <w:r>
        <w:rPr>
          <w:rFonts w:ascii="宋体" w:hAnsi="宋体" w:cs="宋体"/>
          <w:color w:val="auto"/>
        </w:rPr>
        <w:t xml:space="preserve"> %＝ 1.</w:t>
      </w:r>
      <w:r>
        <w:rPr>
          <w:rFonts w:hint="eastAsia" w:ascii="宋体" w:hAnsi="宋体" w:cs="宋体"/>
          <w:color w:val="auto"/>
        </w:rPr>
        <w:t>0</w:t>
      </w:r>
      <w:r>
        <w:rPr>
          <w:rFonts w:ascii="宋体" w:hAnsi="宋体" w:cs="宋体"/>
          <w:color w:val="auto"/>
        </w:rPr>
        <w:t>万元</w:t>
      </w:r>
    </w:p>
    <w:p w14:paraId="43BA3181">
      <w:pPr>
        <w:spacing w:line="360" w:lineRule="auto"/>
        <w:ind w:firstLine="420" w:firstLineChars="200"/>
        <w:rPr>
          <w:rFonts w:hint="eastAsia" w:ascii="宋体" w:hAnsi="宋体" w:cs="宋体"/>
          <w:color w:val="auto"/>
        </w:rPr>
      </w:pPr>
      <w:r>
        <w:rPr>
          <w:rFonts w:ascii="宋体" w:hAnsi="宋体" w:cs="宋体"/>
          <w:color w:val="auto"/>
        </w:rPr>
        <w:t>（ 150</w:t>
      </w:r>
      <w:r>
        <w:rPr>
          <w:rFonts w:hint="eastAsia" w:ascii="宋体" w:hAnsi="宋体" w:cs="宋体"/>
          <w:color w:val="auto"/>
        </w:rPr>
        <w:t>-</w:t>
      </w:r>
      <w:r>
        <w:rPr>
          <w:rFonts w:ascii="宋体" w:hAnsi="宋体" w:cs="宋体"/>
          <w:color w:val="auto"/>
        </w:rPr>
        <w:t>100 ）万元 ×0.</w:t>
      </w:r>
      <w:r>
        <w:rPr>
          <w:rFonts w:hint="eastAsia" w:ascii="宋体" w:hAnsi="宋体" w:cs="宋体"/>
          <w:color w:val="auto"/>
        </w:rPr>
        <w:t>7</w:t>
      </w:r>
      <w:r>
        <w:rPr>
          <w:rFonts w:ascii="宋体" w:hAnsi="宋体" w:cs="宋体"/>
          <w:color w:val="auto"/>
        </w:rPr>
        <w:t>%</w:t>
      </w:r>
      <w:r>
        <w:rPr>
          <w:rFonts w:hint="eastAsia" w:ascii="宋体" w:hAnsi="宋体" w:cs="宋体"/>
          <w:color w:val="auto"/>
        </w:rPr>
        <w:t xml:space="preserve"> </w:t>
      </w:r>
      <w:r>
        <w:rPr>
          <w:rFonts w:ascii="宋体" w:hAnsi="宋体" w:cs="宋体"/>
          <w:color w:val="auto"/>
        </w:rPr>
        <w:t>＝ 0.</w:t>
      </w:r>
      <w:r>
        <w:rPr>
          <w:rFonts w:hint="eastAsia" w:ascii="宋体" w:hAnsi="宋体" w:cs="宋体"/>
          <w:color w:val="auto"/>
        </w:rPr>
        <w:t>35</w:t>
      </w:r>
      <w:r>
        <w:rPr>
          <w:rFonts w:ascii="宋体" w:hAnsi="宋体" w:cs="宋体"/>
          <w:color w:val="auto"/>
        </w:rPr>
        <w:t>万元</w:t>
      </w:r>
    </w:p>
    <w:p w14:paraId="5909FEFF">
      <w:pPr>
        <w:spacing w:line="360" w:lineRule="auto"/>
        <w:ind w:firstLine="420" w:firstLineChars="200"/>
        <w:rPr>
          <w:rFonts w:hint="eastAsia" w:ascii="宋体" w:hAnsi="宋体" w:cs="宋体"/>
          <w:color w:val="auto"/>
        </w:rPr>
      </w:pPr>
      <w:r>
        <w:rPr>
          <w:rFonts w:ascii="宋体" w:hAnsi="宋体" w:cs="宋体"/>
          <w:color w:val="auto"/>
        </w:rPr>
        <w:t>合计收费＝ 1.</w:t>
      </w:r>
      <w:r>
        <w:rPr>
          <w:rFonts w:hint="eastAsia" w:ascii="宋体" w:hAnsi="宋体" w:cs="宋体"/>
          <w:color w:val="auto"/>
        </w:rPr>
        <w:t xml:space="preserve">0 + </w:t>
      </w:r>
      <w:r>
        <w:rPr>
          <w:rFonts w:ascii="宋体" w:hAnsi="宋体" w:cs="宋体"/>
          <w:color w:val="auto"/>
        </w:rPr>
        <w:t>0.</w:t>
      </w:r>
      <w:r>
        <w:rPr>
          <w:rFonts w:hint="eastAsia" w:ascii="宋体" w:hAnsi="宋体" w:cs="宋体"/>
          <w:color w:val="auto"/>
        </w:rPr>
        <w:t xml:space="preserve">35 </w:t>
      </w:r>
      <w:r>
        <w:rPr>
          <w:rFonts w:ascii="宋体" w:hAnsi="宋体" w:cs="宋体"/>
          <w:color w:val="auto"/>
        </w:rPr>
        <w:t>＝ 1.</w:t>
      </w:r>
      <w:r>
        <w:rPr>
          <w:rFonts w:hint="eastAsia" w:ascii="宋体" w:hAnsi="宋体" w:cs="宋体"/>
          <w:color w:val="auto"/>
        </w:rPr>
        <w:t>35</w:t>
      </w:r>
      <w:r>
        <w:rPr>
          <w:rFonts w:ascii="宋体" w:hAnsi="宋体" w:cs="宋体"/>
          <w:color w:val="auto"/>
        </w:rPr>
        <w:t xml:space="preserve"> 万元</w:t>
      </w:r>
    </w:p>
    <w:p w14:paraId="6F88745F">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14:paraId="60E54464">
      <w:pPr>
        <w:pStyle w:val="27"/>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本谈判文件解释规则详见“供应商须知前附表”。</w:t>
      </w:r>
    </w:p>
    <w:p w14:paraId="567D8F1D">
      <w:pPr>
        <w:pStyle w:val="27"/>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33.2农民工工资保证金见“供应商须知前附表”。</w:t>
      </w:r>
    </w:p>
    <w:p w14:paraId="29E81CC2">
      <w:pPr>
        <w:pStyle w:val="27"/>
        <w:spacing w:line="360" w:lineRule="auto"/>
        <w:ind w:firstLine="420" w:firstLineChars="200"/>
        <w:textAlignment w:val="center"/>
        <w:rPr>
          <w:rFonts w:hint="eastAsia" w:hAnsi="宋体" w:cs="宋体"/>
          <w:color w:val="auto"/>
          <w:kern w:val="2"/>
          <w:sz w:val="21"/>
        </w:rPr>
      </w:pPr>
      <w:r>
        <w:rPr>
          <w:rFonts w:hAnsi="宋体" w:cs="宋体"/>
          <w:color w:val="auto"/>
          <w:kern w:val="2"/>
          <w:sz w:val="21"/>
        </w:rPr>
        <w:t>33.</w:t>
      </w:r>
      <w:r>
        <w:rPr>
          <w:rFonts w:hint="eastAsia" w:hAnsi="宋体" w:cs="宋体"/>
          <w:color w:val="auto"/>
          <w:kern w:val="2"/>
          <w:sz w:val="21"/>
        </w:rPr>
        <w:t>3 其他事项详见“供应商须知前附表”。</w:t>
      </w:r>
    </w:p>
    <w:p w14:paraId="48A4146B">
      <w:pPr>
        <w:pStyle w:val="27"/>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3</w:t>
      </w:r>
      <w:r>
        <w:rPr>
          <w:rFonts w:hAnsi="宋体" w:cs="宋体"/>
          <w:color w:val="auto"/>
          <w:kern w:val="2"/>
          <w:sz w:val="21"/>
        </w:rPr>
        <w:t>3.</w:t>
      </w:r>
      <w:r>
        <w:rPr>
          <w:rFonts w:hint="eastAsia" w:hAnsi="宋体" w:cs="宋体"/>
          <w:color w:val="auto"/>
          <w:kern w:val="2"/>
          <w:sz w:val="21"/>
        </w:rPr>
        <w:t>4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59B033D2">
      <w:pPr>
        <w:pStyle w:val="27"/>
        <w:spacing w:line="360" w:lineRule="auto"/>
        <w:ind w:firstLine="420" w:firstLineChars="200"/>
        <w:contextualSpacing/>
        <w:rPr>
          <w:rFonts w:hint="eastAsia"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14:paraId="57C0EF28">
      <w:pPr>
        <w:pStyle w:val="27"/>
        <w:spacing w:line="360" w:lineRule="auto"/>
        <w:ind w:firstLine="420" w:firstLineChars="200"/>
        <w:contextualSpacing/>
        <w:rPr>
          <w:rFonts w:hint="eastAsia"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14:paraId="1FA3B2A4">
      <w:pPr>
        <w:pStyle w:val="27"/>
        <w:spacing w:line="360" w:lineRule="auto"/>
        <w:ind w:firstLine="420" w:firstLineChars="200"/>
        <w:contextualSpacing/>
        <w:rPr>
          <w:rFonts w:hint="eastAsia" w:hAnsi="宋体"/>
          <w:color w:val="auto"/>
          <w:sz w:val="21"/>
        </w:rPr>
      </w:pPr>
      <w:r>
        <w:rPr>
          <w:rFonts w:hint="eastAsia" w:hAnsi="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660900A3">
      <w:pPr>
        <w:pStyle w:val="27"/>
        <w:spacing w:line="360" w:lineRule="auto"/>
        <w:ind w:firstLine="420" w:firstLineChars="200"/>
        <w:contextualSpacing/>
        <w:rPr>
          <w:rFonts w:hint="eastAsia" w:hAnsi="宋体"/>
          <w:color w:val="auto"/>
          <w:sz w:val="21"/>
        </w:rPr>
      </w:pPr>
      <w:r>
        <w:rPr>
          <w:rFonts w:hint="eastAsia" w:hAnsi="宋体" w:cs="宋体"/>
          <w:color w:val="auto"/>
          <w:kern w:val="2"/>
          <w:sz w:val="21"/>
        </w:rPr>
        <w:t>在货物采购项目中，供应商提供的货物既有中小企业制造货物，也有大型企业制造货物的，不享受本谈判文件规定的中小企业扶持政策。</w:t>
      </w:r>
    </w:p>
    <w:p w14:paraId="026A5CDD">
      <w:pPr>
        <w:pStyle w:val="27"/>
        <w:spacing w:line="360" w:lineRule="auto"/>
        <w:ind w:firstLine="420" w:firstLineChars="200"/>
        <w:contextualSpacing/>
        <w:rPr>
          <w:rFonts w:hint="eastAsia" w:hAnsi="宋体"/>
          <w:color w:val="auto"/>
          <w:sz w:val="21"/>
        </w:rPr>
      </w:pPr>
      <w:r>
        <w:rPr>
          <w:rFonts w:hint="eastAsia" w:hAnsi="宋体"/>
          <w:color w:val="auto"/>
          <w:sz w:val="21"/>
        </w:rPr>
        <w:t>依据本谈判文件规定享受扶持政策获得政府采购合同的，小微企业不得将合同分包给大中型企业，中型企业不得将合同分包给大型企业。</w:t>
      </w:r>
    </w:p>
    <w:p w14:paraId="45793020">
      <w:pPr>
        <w:pStyle w:val="27"/>
        <w:spacing w:line="360" w:lineRule="auto"/>
        <w:ind w:firstLine="420" w:firstLineChars="200"/>
        <w:contextualSpacing/>
        <w:rPr>
          <w:rFonts w:hint="eastAsia" w:hAnsi="宋体"/>
          <w:color w:val="auto"/>
          <w:sz w:val="21"/>
        </w:rPr>
      </w:pPr>
    </w:p>
    <w:p w14:paraId="55380B0D">
      <w:pPr>
        <w:pStyle w:val="27"/>
        <w:spacing w:line="360" w:lineRule="auto"/>
        <w:ind w:firstLine="420" w:firstLineChars="200"/>
        <w:contextualSpacing/>
        <w:rPr>
          <w:rFonts w:hint="eastAsia" w:hAnsi="宋体"/>
          <w:color w:val="auto"/>
          <w:sz w:val="21"/>
        </w:rPr>
      </w:pPr>
    </w:p>
    <w:p w14:paraId="620CD0E1">
      <w:pPr>
        <w:pStyle w:val="27"/>
        <w:spacing w:line="360" w:lineRule="auto"/>
        <w:ind w:firstLine="420" w:firstLineChars="200"/>
        <w:contextualSpacing/>
        <w:rPr>
          <w:rFonts w:hint="eastAsia" w:hAnsi="宋体"/>
          <w:color w:val="auto"/>
          <w:sz w:val="21"/>
        </w:rPr>
      </w:pPr>
    </w:p>
    <w:p w14:paraId="20B63BCE">
      <w:pPr>
        <w:pStyle w:val="27"/>
        <w:spacing w:line="360" w:lineRule="auto"/>
        <w:ind w:firstLine="420" w:firstLineChars="200"/>
        <w:contextualSpacing/>
        <w:rPr>
          <w:rFonts w:hint="eastAsia" w:hAnsi="宋体"/>
          <w:color w:val="auto"/>
          <w:sz w:val="21"/>
        </w:rPr>
      </w:pPr>
    </w:p>
    <w:p w14:paraId="0A210F2D">
      <w:pPr>
        <w:rPr>
          <w:rFonts w:hint="eastAsia" w:hAnsi="宋体"/>
          <w:color w:val="auto"/>
        </w:rPr>
      </w:pPr>
    </w:p>
    <w:p w14:paraId="314FF3CF">
      <w:pPr>
        <w:pStyle w:val="2"/>
        <w:rPr>
          <w:rFonts w:hint="eastAsia" w:hAnsi="宋体"/>
          <w:color w:val="auto"/>
        </w:rPr>
      </w:pPr>
    </w:p>
    <w:p w14:paraId="63492A75">
      <w:pPr>
        <w:pStyle w:val="2"/>
        <w:rPr>
          <w:rFonts w:hint="eastAsia" w:hAnsi="宋体"/>
          <w:color w:val="auto"/>
        </w:rPr>
      </w:pPr>
    </w:p>
    <w:p w14:paraId="08EEB7AE">
      <w:pPr>
        <w:pStyle w:val="2"/>
        <w:rPr>
          <w:rFonts w:hint="eastAsia" w:hAnsi="宋体"/>
          <w:color w:val="auto"/>
        </w:rPr>
      </w:pPr>
    </w:p>
    <w:p w14:paraId="49093446">
      <w:pPr>
        <w:pStyle w:val="2"/>
        <w:rPr>
          <w:rFonts w:hint="eastAsia" w:hAnsi="宋体"/>
          <w:color w:val="auto"/>
        </w:rPr>
      </w:pPr>
    </w:p>
    <w:p w14:paraId="012745C3">
      <w:pPr>
        <w:pStyle w:val="2"/>
        <w:rPr>
          <w:rFonts w:hint="eastAsia" w:hAnsi="宋体"/>
          <w:color w:val="auto"/>
        </w:rPr>
      </w:pPr>
    </w:p>
    <w:p w14:paraId="5AAC05A2">
      <w:pPr>
        <w:pStyle w:val="2"/>
        <w:rPr>
          <w:rFonts w:hint="eastAsia" w:hAnsi="宋体"/>
          <w:color w:val="auto"/>
        </w:rPr>
      </w:pPr>
    </w:p>
    <w:p w14:paraId="1460EFBF">
      <w:pPr>
        <w:pStyle w:val="2"/>
        <w:rPr>
          <w:rFonts w:hint="eastAsia" w:hAnsi="宋体"/>
          <w:color w:val="auto"/>
        </w:rPr>
      </w:pPr>
    </w:p>
    <w:p w14:paraId="65DA33CC">
      <w:pPr>
        <w:pStyle w:val="2"/>
        <w:rPr>
          <w:rFonts w:hint="eastAsia" w:hAnsi="宋体"/>
          <w:color w:val="auto"/>
        </w:rPr>
      </w:pPr>
    </w:p>
    <w:p w14:paraId="7F0208E6">
      <w:pPr>
        <w:pStyle w:val="2"/>
        <w:rPr>
          <w:rFonts w:hint="eastAsia" w:hAnsi="宋体"/>
          <w:color w:val="auto"/>
        </w:rPr>
      </w:pPr>
    </w:p>
    <w:p w14:paraId="0C1C600F">
      <w:pPr>
        <w:pStyle w:val="2"/>
        <w:rPr>
          <w:rFonts w:hint="eastAsia" w:hAnsi="宋体"/>
          <w:color w:val="auto"/>
        </w:rPr>
      </w:pPr>
    </w:p>
    <w:p w14:paraId="379DE6B5">
      <w:pPr>
        <w:pStyle w:val="27"/>
        <w:spacing w:line="360" w:lineRule="auto"/>
        <w:ind w:firstLine="420" w:firstLineChars="200"/>
        <w:contextualSpacing/>
        <w:rPr>
          <w:rFonts w:hint="eastAsia" w:hAnsi="宋体"/>
          <w:color w:val="auto"/>
          <w:sz w:val="21"/>
        </w:rPr>
      </w:pPr>
    </w:p>
    <w:p w14:paraId="3FA87DA1">
      <w:pPr>
        <w:pStyle w:val="27"/>
        <w:snapToGrid w:val="0"/>
        <w:rPr>
          <w:rFonts w:hint="eastAsia" w:hAnsi="宋体"/>
          <w:color w:val="auto"/>
        </w:rPr>
      </w:pPr>
      <w:r>
        <w:rPr>
          <w:rFonts w:hint="eastAsia" w:hAnsi="宋体" w:cs="黑体"/>
          <w:bCs/>
          <w:color w:val="auto"/>
          <w:sz w:val="32"/>
          <w:szCs w:val="32"/>
        </w:rPr>
        <w:t>附表：</w:t>
      </w:r>
    </w:p>
    <w:p w14:paraId="3DE85517">
      <w:pPr>
        <w:widowControl/>
        <w:shd w:val="clear" w:color="auto" w:fill="FFFFFF"/>
        <w:spacing w:line="480" w:lineRule="atLeast"/>
        <w:jc w:val="center"/>
        <w:rPr>
          <w:rFonts w:hint="eastAsia" w:ascii="宋体" w:hAnsi="宋体" w:cs="宋体"/>
          <w:color w:val="auto"/>
          <w:kern w:val="0"/>
          <w:sz w:val="32"/>
          <w:szCs w:val="32"/>
        </w:rPr>
      </w:pPr>
      <w:r>
        <w:rPr>
          <w:rFonts w:hint="eastAsia" w:ascii="宋体" w:hAnsi="宋体" w:cs="宋体"/>
          <w:b/>
          <w:bCs/>
          <w:color w:val="auto"/>
          <w:kern w:val="0"/>
          <w:sz w:val="32"/>
          <w:szCs w:val="32"/>
        </w:rPr>
        <w:t>广西壮族自治区政府采购项目合同验收书（格式）</w:t>
      </w:r>
    </w:p>
    <w:p w14:paraId="151537C3">
      <w:pPr>
        <w:widowControl/>
        <w:shd w:val="clear" w:color="auto" w:fill="FFFFFF"/>
        <w:snapToGrid w:val="0"/>
        <w:spacing w:line="320" w:lineRule="atLeast"/>
        <w:ind w:firstLine="480"/>
        <w:jc w:val="left"/>
        <w:rPr>
          <w:rFonts w:hint="eastAsia"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政府采购项目成交供应商（</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提供的货物（或工程、服务）进行了验收，验收情况如下：</w:t>
      </w:r>
    </w:p>
    <w:tbl>
      <w:tblPr>
        <w:tblStyle w:val="48"/>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4245A2B">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6A08F699">
            <w:pPr>
              <w:widowControl/>
              <w:snapToGrid w:val="0"/>
              <w:spacing w:before="100" w:beforeAutospacing="1" w:after="100" w:afterAutospacing="1" w:line="320" w:lineRule="atLeast"/>
              <w:ind w:firstLine="5"/>
              <w:jc w:val="center"/>
              <w:rPr>
                <w:rFonts w:hint="eastAsia" w:ascii="宋体" w:hAnsi="宋体" w:cs="宋体"/>
                <w:color w:val="auto"/>
                <w:kern w:val="0"/>
                <w:szCs w:val="21"/>
              </w:rPr>
            </w:pPr>
            <w:r>
              <w:rPr>
                <w:rFonts w:hint="eastAsia" w:ascii="宋体" w:hAnsi="宋体" w:cs="宋体"/>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74E945B6">
            <w:pPr>
              <w:widowControl/>
              <w:snapToGrid w:val="0"/>
              <w:spacing w:before="100" w:beforeAutospacing="1" w:after="100" w:afterAutospacing="1" w:line="320" w:lineRule="atLeast"/>
              <w:jc w:val="center"/>
              <w:rPr>
                <w:rFonts w:hint="eastAsia" w:ascii="宋体" w:hAnsi="宋体" w:cs="宋体"/>
                <w:color w:val="auto"/>
                <w:kern w:val="0"/>
                <w:szCs w:val="21"/>
              </w:rPr>
            </w:pPr>
            <w:r>
              <w:rPr>
                <w:rFonts w:hint="eastAsia" w:ascii="宋体" w:hAnsi="宋体" w:cs="宋体"/>
                <w:color w:val="auto"/>
                <w:kern w:val="0"/>
                <w:szCs w:val="21"/>
              </w:rPr>
              <w:t>□自行验收 □委托验收</w:t>
            </w:r>
          </w:p>
        </w:tc>
      </w:tr>
      <w:tr w14:paraId="0D6CB7C6">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71A3F19E">
            <w:pPr>
              <w:widowControl/>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2448" w:type="dxa"/>
            <w:gridSpan w:val="2"/>
            <w:tcBorders>
              <w:top w:val="nil"/>
              <w:left w:val="nil"/>
              <w:bottom w:val="single" w:color="auto" w:sz="8" w:space="0"/>
              <w:right w:val="single" w:color="auto" w:sz="8" w:space="0"/>
            </w:tcBorders>
            <w:vAlign w:val="center"/>
          </w:tcPr>
          <w:p w14:paraId="39793DF9">
            <w:pPr>
              <w:widowControl/>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名称</w:t>
            </w:r>
          </w:p>
        </w:tc>
        <w:tc>
          <w:tcPr>
            <w:tcW w:w="2902" w:type="dxa"/>
            <w:gridSpan w:val="3"/>
            <w:tcBorders>
              <w:top w:val="nil"/>
              <w:left w:val="nil"/>
              <w:bottom w:val="single" w:color="auto" w:sz="8" w:space="0"/>
              <w:right w:val="single" w:color="auto" w:sz="8" w:space="0"/>
            </w:tcBorders>
            <w:vAlign w:val="center"/>
          </w:tcPr>
          <w:p w14:paraId="7B4B51CB">
            <w:pPr>
              <w:widowControl/>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138DDEDF">
            <w:pPr>
              <w:widowControl/>
              <w:snapToGrid w:val="0"/>
              <w:spacing w:before="100" w:beforeAutospacing="1" w:after="100" w:afterAutospacing="1" w:line="320" w:lineRule="atLeas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1428" w:type="dxa"/>
            <w:tcBorders>
              <w:top w:val="nil"/>
              <w:left w:val="nil"/>
              <w:bottom w:val="single" w:color="auto" w:sz="8" w:space="0"/>
              <w:right w:val="single" w:color="auto" w:sz="8" w:space="0"/>
            </w:tcBorders>
            <w:vAlign w:val="center"/>
          </w:tcPr>
          <w:p w14:paraId="44ABC9E2">
            <w:pPr>
              <w:widowControl/>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金额</w:t>
            </w:r>
          </w:p>
        </w:tc>
      </w:tr>
      <w:tr w14:paraId="5D92811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ED2E426">
            <w:pPr>
              <w:widowControl/>
              <w:spacing w:before="100" w:beforeAutospacing="1" w:after="100" w:afterAutospacing="1" w:line="240" w:lineRule="atLeast"/>
              <w:jc w:val="center"/>
              <w:rPr>
                <w:rFonts w:hint="eastAsia" w:ascii="宋体" w:hAnsi="宋体"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1B8748A5">
            <w:pPr>
              <w:widowControl/>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2FFA9651">
            <w:pPr>
              <w:widowControl/>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3B6579FE">
            <w:pPr>
              <w:widowControl/>
              <w:spacing w:before="100" w:beforeAutospacing="1" w:after="100" w:afterAutospacing="1" w:line="240" w:lineRule="atLeast"/>
              <w:jc w:val="center"/>
              <w:rPr>
                <w:rFonts w:hint="eastAsia"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14:paraId="3F05D393">
            <w:pPr>
              <w:widowControl/>
              <w:spacing w:before="100" w:beforeAutospacing="1" w:after="100" w:afterAutospacing="1" w:line="240" w:lineRule="atLeast"/>
              <w:jc w:val="center"/>
              <w:rPr>
                <w:rFonts w:hint="eastAsia" w:ascii="宋体" w:hAnsi="宋体" w:cs="宋体"/>
                <w:color w:val="auto"/>
                <w:kern w:val="0"/>
                <w:szCs w:val="21"/>
              </w:rPr>
            </w:pPr>
          </w:p>
        </w:tc>
      </w:tr>
      <w:tr w14:paraId="4F9DD18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870707B">
            <w:pPr>
              <w:widowControl/>
              <w:spacing w:before="100" w:beforeAutospacing="1" w:after="100" w:afterAutospacing="1" w:line="240" w:lineRule="atLeast"/>
              <w:jc w:val="center"/>
              <w:rPr>
                <w:rFonts w:hint="eastAsia" w:ascii="宋体" w:hAnsi="宋体"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6C97FFF0">
            <w:pPr>
              <w:widowControl/>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1E42918D">
            <w:pPr>
              <w:widowControl/>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7AD68F55">
            <w:pPr>
              <w:widowControl/>
              <w:spacing w:before="100" w:beforeAutospacing="1" w:after="100" w:afterAutospacing="1" w:line="240" w:lineRule="atLeast"/>
              <w:jc w:val="center"/>
              <w:rPr>
                <w:rFonts w:hint="eastAsia"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14:paraId="1445AA2A">
            <w:pPr>
              <w:widowControl/>
              <w:spacing w:before="100" w:beforeAutospacing="1" w:after="100" w:afterAutospacing="1" w:line="240" w:lineRule="atLeast"/>
              <w:jc w:val="center"/>
              <w:rPr>
                <w:rFonts w:hint="eastAsia" w:ascii="宋体" w:hAnsi="宋体" w:cs="宋体"/>
                <w:color w:val="auto"/>
                <w:kern w:val="0"/>
                <w:szCs w:val="21"/>
              </w:rPr>
            </w:pPr>
          </w:p>
        </w:tc>
      </w:tr>
      <w:tr w14:paraId="45F40D7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47BA0FF">
            <w:pPr>
              <w:widowControl/>
              <w:spacing w:before="100" w:beforeAutospacing="1" w:after="100" w:afterAutospacing="1" w:line="240" w:lineRule="atLeast"/>
              <w:jc w:val="center"/>
              <w:rPr>
                <w:rFonts w:hint="eastAsia" w:ascii="宋体" w:hAnsi="宋体"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45DC53FE">
            <w:pPr>
              <w:widowControl/>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308F0CC5">
            <w:pPr>
              <w:widowControl/>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7AE99EB4">
            <w:pPr>
              <w:widowControl/>
              <w:spacing w:before="100" w:beforeAutospacing="1" w:after="100" w:afterAutospacing="1" w:line="240" w:lineRule="atLeast"/>
              <w:jc w:val="center"/>
              <w:rPr>
                <w:rFonts w:hint="eastAsia"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14:paraId="6F7A67FB">
            <w:pPr>
              <w:widowControl/>
              <w:spacing w:before="100" w:beforeAutospacing="1" w:after="100" w:afterAutospacing="1" w:line="240" w:lineRule="atLeast"/>
              <w:jc w:val="center"/>
              <w:rPr>
                <w:rFonts w:hint="eastAsia" w:ascii="宋体" w:hAnsi="宋体" w:cs="宋体"/>
                <w:color w:val="auto"/>
                <w:kern w:val="0"/>
                <w:szCs w:val="21"/>
              </w:rPr>
            </w:pPr>
          </w:p>
        </w:tc>
      </w:tr>
      <w:tr w14:paraId="37D481D1">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3EB606EB">
            <w:pPr>
              <w:widowControl/>
              <w:snapToGrid w:val="0"/>
              <w:spacing w:before="100" w:beforeAutospacing="1" w:after="100" w:afterAutospacing="1" w:line="320" w:lineRule="atLeast"/>
              <w:ind w:firstLine="5"/>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14:paraId="68343A0A">
            <w:pPr>
              <w:widowControl/>
              <w:spacing w:before="100" w:beforeAutospacing="1" w:after="100" w:afterAutospacing="1" w:line="240" w:lineRule="atLeast"/>
              <w:jc w:val="center"/>
              <w:rPr>
                <w:rFonts w:hint="eastAsia"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14:paraId="36A37537">
            <w:pPr>
              <w:widowControl/>
              <w:spacing w:before="100" w:beforeAutospacing="1" w:after="100" w:afterAutospacing="1" w:line="240" w:lineRule="atLeast"/>
              <w:jc w:val="center"/>
              <w:rPr>
                <w:rFonts w:hint="eastAsia" w:ascii="宋体" w:hAnsi="宋体" w:cs="宋体"/>
                <w:color w:val="auto"/>
                <w:kern w:val="0"/>
                <w:szCs w:val="21"/>
              </w:rPr>
            </w:pPr>
          </w:p>
        </w:tc>
      </w:tr>
      <w:tr w14:paraId="00D09754">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E8509A9">
            <w:pPr>
              <w:widowControl/>
              <w:snapToGrid w:val="0"/>
              <w:spacing w:before="100" w:beforeAutospacing="1" w:after="100" w:afterAutospacing="1" w:line="320" w:lineRule="atLeas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合计大写金额：  仟  佰  拾  万  仟  佰  拾  元</w:t>
            </w:r>
          </w:p>
        </w:tc>
      </w:tr>
      <w:tr w14:paraId="0619DCFF">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5D4A199A">
            <w:pPr>
              <w:widowControl/>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7EC5099A">
            <w:pPr>
              <w:widowControl/>
              <w:spacing w:before="100" w:beforeAutospacing="1" w:after="100" w:afterAutospacing="1" w:line="240" w:lineRule="atLeast"/>
              <w:jc w:val="center"/>
              <w:rPr>
                <w:rFonts w:hint="eastAsia"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680E4A62">
            <w:pPr>
              <w:widowControl/>
              <w:snapToGrid w:val="0"/>
              <w:spacing w:before="100" w:beforeAutospacing="1" w:after="100" w:afterAutospacing="1" w:line="320" w:lineRule="atLeast"/>
              <w:ind w:firstLine="46"/>
              <w:jc w:val="center"/>
              <w:rPr>
                <w:rFonts w:hint="eastAsia" w:ascii="宋体" w:hAnsi="宋体" w:cs="宋体"/>
                <w:color w:val="auto"/>
                <w:kern w:val="0"/>
                <w:szCs w:val="21"/>
              </w:rPr>
            </w:pPr>
            <w:r>
              <w:rPr>
                <w:rFonts w:hint="eastAsia" w:ascii="宋体" w:hAnsi="宋体" w:cs="宋体"/>
                <w:color w:val="auto"/>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0748921B">
            <w:pPr>
              <w:widowControl/>
              <w:spacing w:before="100" w:beforeAutospacing="1" w:after="100" w:afterAutospacing="1" w:line="240" w:lineRule="atLeast"/>
              <w:jc w:val="center"/>
              <w:rPr>
                <w:rFonts w:hint="eastAsia" w:ascii="宋体" w:hAnsi="宋体" w:cs="宋体"/>
                <w:color w:val="auto"/>
                <w:kern w:val="0"/>
                <w:szCs w:val="21"/>
              </w:rPr>
            </w:pPr>
          </w:p>
        </w:tc>
      </w:tr>
      <w:tr w14:paraId="2CB9A5FB">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293FC52E">
            <w:pPr>
              <w:widowControl/>
              <w:spacing w:before="100" w:beforeAutospacing="1" w:after="100" w:afterAutospacing="1" w:line="240" w:lineRule="atLeast"/>
              <w:jc w:val="center"/>
              <w:rPr>
                <w:rFonts w:hint="eastAsia" w:ascii="宋体" w:hAnsi="宋体" w:cs="宋体"/>
                <w:color w:val="auto"/>
                <w:kern w:val="0"/>
                <w:szCs w:val="21"/>
              </w:rPr>
            </w:pPr>
          </w:p>
        </w:tc>
        <w:tc>
          <w:tcPr>
            <w:tcW w:w="2421" w:type="dxa"/>
            <w:gridSpan w:val="2"/>
            <w:tcBorders>
              <w:top w:val="nil"/>
              <w:left w:val="nil"/>
              <w:bottom w:val="single" w:color="auto" w:sz="8" w:space="0"/>
              <w:right w:val="single" w:color="auto" w:sz="8" w:space="0"/>
            </w:tcBorders>
            <w:vAlign w:val="center"/>
          </w:tcPr>
          <w:p w14:paraId="0E7C4570">
            <w:pPr>
              <w:widowControl/>
              <w:spacing w:before="100" w:beforeAutospacing="1" w:after="100" w:afterAutospacing="1" w:line="240" w:lineRule="atLeast"/>
              <w:jc w:val="center"/>
              <w:rPr>
                <w:rFonts w:hint="eastAsia"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5080975A">
            <w:pPr>
              <w:widowControl/>
              <w:spacing w:before="100" w:beforeAutospacing="1" w:after="100" w:afterAutospacing="1" w:line="240" w:lineRule="atLeast"/>
              <w:jc w:val="center"/>
              <w:rPr>
                <w:rFonts w:hint="eastAsia" w:ascii="宋体" w:hAnsi="宋体" w:cs="宋体"/>
                <w:color w:val="auto"/>
                <w:kern w:val="0"/>
                <w:szCs w:val="21"/>
              </w:rPr>
            </w:pPr>
          </w:p>
        </w:tc>
        <w:tc>
          <w:tcPr>
            <w:tcW w:w="2113" w:type="dxa"/>
            <w:gridSpan w:val="2"/>
            <w:tcBorders>
              <w:top w:val="nil"/>
              <w:left w:val="nil"/>
              <w:bottom w:val="single" w:color="auto" w:sz="8" w:space="0"/>
              <w:right w:val="single" w:color="auto" w:sz="8" w:space="0"/>
            </w:tcBorders>
            <w:vAlign w:val="center"/>
          </w:tcPr>
          <w:p w14:paraId="703B4457">
            <w:pPr>
              <w:widowControl/>
              <w:spacing w:before="100" w:beforeAutospacing="1" w:after="100" w:afterAutospacing="1" w:line="240" w:lineRule="atLeast"/>
              <w:jc w:val="center"/>
              <w:rPr>
                <w:rFonts w:hint="eastAsia" w:ascii="宋体" w:hAnsi="宋体" w:cs="宋体"/>
                <w:color w:val="auto"/>
                <w:kern w:val="0"/>
                <w:szCs w:val="21"/>
              </w:rPr>
            </w:pPr>
          </w:p>
        </w:tc>
      </w:tr>
      <w:tr w14:paraId="4D2F720E">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216912">
            <w:pPr>
              <w:widowControl/>
              <w:snapToGrid w:val="0"/>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1C8BE0B">
            <w:pPr>
              <w:widowControl/>
              <w:snapToGrid w:val="0"/>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应按采购合同、竞争性谈判文件、谈判响应文件及验收方案等进行验收；并核对成交供应商在安装调试等方面是否违反合同约定或服务规范要求、提供的质量保证证明材料是否齐全、应有的配件及附件是否达到合同约定等。可附件）</w:t>
            </w:r>
          </w:p>
        </w:tc>
      </w:tr>
      <w:tr w14:paraId="6959533F">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37568F">
            <w:pPr>
              <w:widowControl/>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56006CC3">
            <w:pPr>
              <w:widowControl/>
              <w:spacing w:before="100" w:beforeAutospacing="1" w:after="100" w:afterAutospacing="1" w:line="320" w:lineRule="atLeas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验收结论性意见：</w:t>
            </w:r>
          </w:p>
        </w:tc>
      </w:tr>
      <w:tr w14:paraId="21F8DE43">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22DB92FF">
            <w:pPr>
              <w:widowControl/>
              <w:jc w:val="left"/>
              <w:rPr>
                <w:rFonts w:hint="eastAsia" w:ascii="宋体" w:hAnsi="宋体" w:cs="宋体"/>
                <w:color w:val="auto"/>
                <w:kern w:val="0"/>
                <w:szCs w:val="21"/>
              </w:rPr>
            </w:pPr>
          </w:p>
        </w:tc>
        <w:tc>
          <w:tcPr>
            <w:tcW w:w="6816" w:type="dxa"/>
            <w:gridSpan w:val="7"/>
            <w:tcBorders>
              <w:top w:val="nil"/>
              <w:left w:val="nil"/>
              <w:bottom w:val="single" w:color="auto" w:sz="8" w:space="0"/>
              <w:right w:val="single" w:color="auto" w:sz="8" w:space="0"/>
            </w:tcBorders>
            <w:vAlign w:val="center"/>
          </w:tcPr>
          <w:p w14:paraId="5CA304D2">
            <w:pPr>
              <w:widowControl/>
              <w:spacing w:before="100" w:beforeAutospacing="1" w:after="100" w:afterAutospacing="1" w:line="320" w:lineRule="atLeas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有异议的意见和说明理由：</w:t>
            </w:r>
          </w:p>
          <w:p w14:paraId="74FCD15D">
            <w:pPr>
              <w:widowControl/>
              <w:spacing w:before="100" w:beforeAutospacing="1" w:after="100" w:afterAutospacing="1" w:line="320" w:lineRule="atLeas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签字：</w:t>
            </w:r>
          </w:p>
        </w:tc>
      </w:tr>
      <w:tr w14:paraId="61D0E0A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738562">
            <w:pPr>
              <w:widowControl/>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验收小组成员签字：</w:t>
            </w:r>
          </w:p>
        </w:tc>
      </w:tr>
      <w:tr w14:paraId="52CAC8A3">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4787FE">
            <w:pPr>
              <w:widowControl/>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监督人员或其他相关人员签字：</w:t>
            </w:r>
          </w:p>
          <w:p w14:paraId="4438D186">
            <w:pPr>
              <w:widowControl/>
              <w:spacing w:before="100" w:beforeAutospacing="1" w:after="100" w:afterAutospacing="1" w:line="320" w:lineRule="atLeast"/>
              <w:ind w:firstLine="74"/>
              <w:jc w:val="left"/>
              <w:rPr>
                <w:rFonts w:hint="eastAsia" w:ascii="宋体" w:hAnsi="宋体" w:cs="宋体"/>
                <w:color w:val="auto"/>
                <w:kern w:val="0"/>
                <w:szCs w:val="21"/>
              </w:rPr>
            </w:pPr>
            <w:r>
              <w:rPr>
                <w:rFonts w:hint="eastAsia" w:ascii="宋体" w:hAnsi="宋体" w:cs="宋体"/>
                <w:color w:val="auto"/>
                <w:kern w:val="0"/>
                <w:szCs w:val="21"/>
              </w:rPr>
              <w:t>或受邀机构的意见（盖章）：</w:t>
            </w:r>
          </w:p>
        </w:tc>
      </w:tr>
      <w:tr w14:paraId="6A69C16F">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487FEF94">
            <w:pPr>
              <w:widowControl/>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成交供应商负责人签字或盖章：</w:t>
            </w:r>
          </w:p>
          <w:p w14:paraId="6F16DCDA">
            <w:pPr>
              <w:widowControl/>
              <w:spacing w:before="100" w:beforeAutospacing="1" w:after="100" w:afterAutospacing="1" w:line="320" w:lineRule="atLeast"/>
              <w:jc w:val="left"/>
              <w:rPr>
                <w:rFonts w:hint="eastAsia" w:ascii="宋体" w:hAnsi="宋体" w:cs="宋体"/>
                <w:color w:val="auto"/>
                <w:kern w:val="0"/>
                <w:szCs w:val="21"/>
              </w:rPr>
            </w:pPr>
          </w:p>
          <w:p w14:paraId="5B237A19">
            <w:pPr>
              <w:widowControl/>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c>
          <w:tcPr>
            <w:tcW w:w="4293" w:type="dxa"/>
            <w:gridSpan w:val="4"/>
            <w:tcBorders>
              <w:top w:val="nil"/>
              <w:left w:val="nil"/>
              <w:bottom w:val="single" w:color="auto" w:sz="8" w:space="0"/>
              <w:right w:val="single" w:color="auto" w:sz="8" w:space="0"/>
            </w:tcBorders>
            <w:vAlign w:val="center"/>
          </w:tcPr>
          <w:p w14:paraId="7B10084A">
            <w:pPr>
              <w:widowControl/>
              <w:spacing w:before="100" w:beforeAutospacing="1" w:after="100" w:afterAutospacing="1" w:line="320" w:lineRule="atLeas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采购人或受托机构的意见（盖章）：</w:t>
            </w:r>
          </w:p>
          <w:p w14:paraId="311AFEB6">
            <w:pPr>
              <w:widowControl/>
              <w:spacing w:before="100" w:beforeAutospacing="1" w:after="100" w:afterAutospacing="1" w:line="320" w:lineRule="atLeast"/>
              <w:ind w:firstLine="210" w:firstLineChars="100"/>
              <w:jc w:val="left"/>
              <w:rPr>
                <w:rFonts w:hint="eastAsia" w:ascii="宋体" w:hAnsi="宋体" w:cs="宋体"/>
                <w:color w:val="auto"/>
                <w:kern w:val="0"/>
                <w:szCs w:val="21"/>
              </w:rPr>
            </w:pPr>
          </w:p>
          <w:p w14:paraId="73AA6175">
            <w:pPr>
              <w:widowControl/>
              <w:spacing w:before="100" w:beforeAutospacing="1" w:after="100" w:afterAutospacing="1" w:line="320" w:lineRule="atLeas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r>
    </w:tbl>
    <w:p w14:paraId="762EA9F2">
      <w:pPr>
        <w:pStyle w:val="27"/>
        <w:spacing w:line="360" w:lineRule="auto"/>
        <w:ind w:firstLine="420" w:firstLineChars="200"/>
        <w:contextualSpacing/>
        <w:rPr>
          <w:rFonts w:hint="eastAsia" w:hAnsi="宋体"/>
          <w:color w:val="auto"/>
          <w:sz w:val="21"/>
        </w:rPr>
      </w:pPr>
    </w:p>
    <w:p w14:paraId="773A94F5">
      <w:pPr>
        <w:pStyle w:val="27"/>
        <w:spacing w:before="340" w:after="340" w:line="360" w:lineRule="auto"/>
        <w:ind w:firstLine="402" w:firstLineChars="200"/>
        <w:jc w:val="center"/>
        <w:textAlignment w:val="center"/>
        <w:rPr>
          <w:color w:val="auto"/>
        </w:rPr>
      </w:pPr>
      <w:r>
        <w:rPr>
          <w:rFonts w:hAnsi="宋体"/>
          <w:b/>
          <w:color w:val="auto"/>
        </w:rPr>
        <w:br w:type="page"/>
      </w:r>
      <w:bookmarkStart w:id="68" w:name="_Toc74323458"/>
      <w:r>
        <w:rPr>
          <w:rFonts w:hint="eastAsia"/>
          <w:b/>
          <w:color w:val="auto"/>
          <w:sz w:val="44"/>
          <w:szCs w:val="44"/>
        </w:rPr>
        <w:t>第三章 采购需求</w:t>
      </w:r>
      <w:bookmarkEnd w:id="68"/>
    </w:p>
    <w:p w14:paraId="1D717883">
      <w:pPr>
        <w:spacing w:line="360" w:lineRule="auto"/>
        <w:jc w:val="left"/>
        <w:rPr>
          <w:rFonts w:hint="eastAsia" w:ascii="宋体" w:hAnsi="宋体" w:cs="宋体"/>
          <w:color w:val="auto"/>
          <w:szCs w:val="21"/>
        </w:rPr>
      </w:pPr>
      <w:r>
        <w:rPr>
          <w:rFonts w:hint="eastAsia" w:ascii="宋体" w:hAnsi="宋体" w:cs="宋体"/>
          <w:color w:val="auto"/>
          <w:szCs w:val="21"/>
        </w:rPr>
        <w:t>说明：</w:t>
      </w:r>
    </w:p>
    <w:p w14:paraId="2528F6A9">
      <w:pPr>
        <w:spacing w:line="400" w:lineRule="exact"/>
        <w:ind w:firstLine="420" w:firstLineChars="200"/>
        <w:jc w:val="left"/>
        <w:rPr>
          <w:rFonts w:hint="eastAsia" w:ascii="宋体" w:hAnsi="宋体" w:cs="宋体"/>
          <w:color w:val="auto"/>
          <w:szCs w:val="21"/>
        </w:rPr>
      </w:pPr>
      <w:r>
        <w:rPr>
          <w:rFonts w:hint="eastAsia" w:ascii="宋体" w:hAnsi="宋体"/>
          <w:color w:val="auto"/>
        </w:rPr>
        <w:t>1</w:t>
      </w:r>
      <w:r>
        <w:rPr>
          <w:rFonts w:hint="eastAsia"/>
          <w:color w:val="auto"/>
        </w:rPr>
        <w:t>. 为落实政府采购政策需满足的要求</w:t>
      </w:r>
    </w:p>
    <w:p w14:paraId="2F8B664C">
      <w:pPr>
        <w:spacing w:line="400" w:lineRule="exact"/>
        <w:ind w:firstLine="424" w:firstLineChars="202"/>
        <w:jc w:val="left"/>
        <w:rPr>
          <w:rFonts w:hint="eastAsia" w:ascii="宋体" w:hAnsi="宋体" w:cs="宋体"/>
          <w:color w:val="auto"/>
          <w:szCs w:val="21"/>
        </w:rPr>
      </w:pPr>
      <w:r>
        <w:rPr>
          <w:rFonts w:hint="eastAsia" w:ascii="宋体" w:hAnsi="宋体" w:cs="宋体"/>
          <w:color w:val="auto"/>
          <w:szCs w:val="21"/>
        </w:rPr>
        <w:t>（1）政府采购促进中小企业发展。</w:t>
      </w:r>
    </w:p>
    <w:p w14:paraId="11E02E3B">
      <w:pPr>
        <w:spacing w:line="400" w:lineRule="exact"/>
        <w:ind w:firstLine="424" w:firstLineChars="202"/>
        <w:jc w:val="left"/>
        <w:rPr>
          <w:rFonts w:hint="eastAsia" w:ascii="宋体" w:hAnsi="宋体" w:cs="宋体"/>
          <w:color w:val="auto"/>
          <w:szCs w:val="21"/>
        </w:rPr>
      </w:pPr>
      <w:r>
        <w:rPr>
          <w:rFonts w:hint="eastAsia" w:ascii="宋体" w:hAnsi="宋体" w:cs="宋体"/>
          <w:color w:val="auto"/>
          <w:szCs w:val="21"/>
        </w:rPr>
        <w:t>（2）政府采购支持采用本国产品的政策。</w:t>
      </w:r>
    </w:p>
    <w:p w14:paraId="605A3EE2">
      <w:pPr>
        <w:spacing w:line="400" w:lineRule="exact"/>
        <w:ind w:firstLine="424" w:firstLineChars="202"/>
        <w:jc w:val="left"/>
        <w:rPr>
          <w:rFonts w:hint="eastAsia" w:ascii="宋体" w:hAnsi="宋体" w:cs="宋体"/>
          <w:color w:val="auto"/>
          <w:szCs w:val="21"/>
        </w:rPr>
      </w:pPr>
      <w:r>
        <w:rPr>
          <w:rFonts w:hint="eastAsia" w:ascii="宋体" w:hAnsi="宋体" w:cs="宋体"/>
          <w:color w:val="auto"/>
          <w:szCs w:val="21"/>
        </w:rPr>
        <w:t>（3）强制采购节能产品；优先采购节能产品、环境标志产品。</w:t>
      </w:r>
    </w:p>
    <w:p w14:paraId="012B5FD0">
      <w:pPr>
        <w:spacing w:line="400" w:lineRule="exact"/>
        <w:ind w:firstLine="424" w:firstLineChars="202"/>
        <w:jc w:val="left"/>
        <w:rPr>
          <w:rFonts w:hint="eastAsia" w:ascii="宋体" w:hAnsi="宋体" w:cs="宋体"/>
          <w:color w:val="auto"/>
          <w:szCs w:val="21"/>
        </w:rPr>
      </w:pPr>
      <w:r>
        <w:rPr>
          <w:rFonts w:hint="eastAsia" w:ascii="宋体" w:hAnsi="宋体" w:cs="宋体"/>
          <w:color w:val="auto"/>
          <w:szCs w:val="21"/>
        </w:rPr>
        <w:t>（4）政府采购促进残疾人就业政策。</w:t>
      </w:r>
    </w:p>
    <w:p w14:paraId="78075DC4">
      <w:pPr>
        <w:spacing w:line="400" w:lineRule="exact"/>
        <w:ind w:firstLine="424" w:firstLineChars="202"/>
        <w:jc w:val="left"/>
        <w:rPr>
          <w:rFonts w:hint="eastAsia" w:ascii="宋体" w:hAnsi="宋体" w:cs="宋体"/>
          <w:color w:val="auto"/>
          <w:szCs w:val="21"/>
        </w:rPr>
      </w:pPr>
      <w:r>
        <w:rPr>
          <w:rFonts w:hint="eastAsia" w:ascii="宋体" w:hAnsi="宋体" w:cs="宋体"/>
          <w:color w:val="auto"/>
          <w:szCs w:val="21"/>
        </w:rPr>
        <w:t>（5）政府采购支持监狱企业发展。</w:t>
      </w:r>
    </w:p>
    <w:p w14:paraId="4DA512AD">
      <w:pPr>
        <w:spacing w:line="400" w:lineRule="exact"/>
        <w:ind w:firstLine="424" w:firstLineChars="202"/>
        <w:jc w:val="left"/>
        <w:rPr>
          <w:rFonts w:hint="eastAsia" w:ascii="宋体" w:hAnsi="宋体" w:cs="宋体"/>
          <w:color w:val="auto"/>
          <w:szCs w:val="21"/>
        </w:rPr>
      </w:pPr>
      <w:r>
        <w:rPr>
          <w:rFonts w:hint="eastAsia" w:ascii="宋体" w:hAnsi="宋体" w:cs="宋体"/>
          <w:color w:val="auto"/>
          <w:szCs w:val="21"/>
        </w:rPr>
        <w:t>2. “实质性要求”是指谈判文件中已经指明不满足则响应文件按无效处理的条款，或者不能负偏离的条款，或者采购需求中带“▲”的条款。</w:t>
      </w:r>
    </w:p>
    <w:p w14:paraId="50CA6092">
      <w:pPr>
        <w:spacing w:line="400" w:lineRule="exact"/>
        <w:ind w:firstLine="424" w:firstLineChars="202"/>
        <w:jc w:val="left"/>
        <w:rPr>
          <w:rFonts w:hint="eastAsia" w:ascii="宋体" w:hAnsi="宋体"/>
          <w:color w:val="auto"/>
          <w:szCs w:val="21"/>
        </w:rPr>
      </w:pPr>
      <w:r>
        <w:rPr>
          <w:rFonts w:hint="eastAsia" w:ascii="宋体" w:hAnsi="宋体" w:cs="宋体"/>
          <w:color w:val="auto"/>
          <w:szCs w:val="21"/>
        </w:rPr>
        <w:t>3.</w:t>
      </w:r>
      <w:r>
        <w:rPr>
          <w:rFonts w:hint="eastAsia"/>
          <w:color w:val="auto"/>
        </w:rPr>
        <w:t>供应商必须自行为其竞标产品侵犯他人的知识产权或者专利成果的行为承担相应法律责任。</w:t>
      </w:r>
    </w:p>
    <w:p w14:paraId="7EE7A630">
      <w:pPr>
        <w:spacing w:line="400" w:lineRule="exact"/>
        <w:ind w:firstLine="310" w:firstLineChars="147"/>
        <w:jc w:val="left"/>
        <w:rPr>
          <w:rFonts w:hint="eastAsia" w:ascii="宋体" w:hAnsi="宋体"/>
          <w:b/>
          <w:color w:val="auto"/>
          <w:szCs w:val="21"/>
        </w:rPr>
      </w:pPr>
      <w:r>
        <w:rPr>
          <w:rFonts w:hint="eastAsia" w:ascii="宋体" w:hAnsi="宋体"/>
          <w:b/>
          <w:color w:val="auto"/>
          <w:szCs w:val="21"/>
        </w:rPr>
        <w:t>采购预算：人民币壹佰叁拾伍万壹仟肆佰捌拾柒元玖角叁分（</w:t>
      </w:r>
      <w:r>
        <w:rPr>
          <w:rFonts w:hint="eastAsia" w:ascii="华文细黑" w:hAnsi="华文细黑" w:eastAsia="华文细黑" w:cs="华文细黑"/>
          <w:color w:val="auto"/>
          <w:szCs w:val="21"/>
        </w:rPr>
        <w:t>￥</w:t>
      </w:r>
      <w:r>
        <w:rPr>
          <w:rFonts w:hint="eastAsia" w:ascii="宋体" w:hAnsi="宋体"/>
          <w:b/>
          <w:color w:val="auto"/>
          <w:szCs w:val="21"/>
        </w:rPr>
        <w:t>1351487.93）</w:t>
      </w:r>
    </w:p>
    <w:p w14:paraId="17DF87E2">
      <w:pPr>
        <w:spacing w:line="400" w:lineRule="exact"/>
        <w:ind w:firstLine="310" w:firstLineChars="147"/>
        <w:jc w:val="left"/>
        <w:rPr>
          <w:rFonts w:hint="eastAsia" w:ascii="宋体" w:hAnsi="宋体"/>
          <w:b/>
          <w:color w:val="auto"/>
          <w:szCs w:val="21"/>
        </w:rPr>
      </w:pPr>
      <w:r>
        <w:rPr>
          <w:rFonts w:hint="eastAsia" w:ascii="宋体" w:hAnsi="宋体"/>
          <w:b/>
          <w:color w:val="auto"/>
          <w:szCs w:val="21"/>
        </w:rPr>
        <w:t>最高限价：人民币壹佰叁拾伍万壹仟肆佰捌拾柒元玖角叁分（</w:t>
      </w:r>
      <w:r>
        <w:rPr>
          <w:rFonts w:hint="eastAsia" w:ascii="华文细黑" w:hAnsi="华文细黑" w:eastAsia="华文细黑" w:cs="华文细黑"/>
          <w:color w:val="auto"/>
          <w:szCs w:val="21"/>
        </w:rPr>
        <w:t>￥</w:t>
      </w:r>
      <w:r>
        <w:rPr>
          <w:rFonts w:hint="eastAsia" w:ascii="宋体" w:hAnsi="宋体"/>
          <w:b/>
          <w:color w:val="auto"/>
          <w:szCs w:val="21"/>
        </w:rPr>
        <w:t>1351487.93）</w:t>
      </w:r>
    </w:p>
    <w:p w14:paraId="756CBA19">
      <w:pPr>
        <w:spacing w:line="400" w:lineRule="exact"/>
        <w:ind w:firstLine="310" w:firstLineChars="147"/>
        <w:jc w:val="left"/>
        <w:rPr>
          <w:rFonts w:hint="eastAsia" w:ascii="宋体" w:hAnsi="宋体"/>
          <w:b/>
          <w:color w:val="auto"/>
          <w:szCs w:val="21"/>
        </w:rPr>
      </w:pPr>
      <w:r>
        <w:rPr>
          <w:rFonts w:hint="eastAsia" w:ascii="宋体" w:hAnsi="宋体"/>
          <w:b/>
          <w:color w:val="auto"/>
          <w:szCs w:val="21"/>
        </w:rPr>
        <w:t>本项目采购标的所属行业：建筑业</w:t>
      </w:r>
    </w:p>
    <w:p w14:paraId="672C387B">
      <w:pPr>
        <w:spacing w:line="400" w:lineRule="exact"/>
        <w:ind w:firstLine="310" w:firstLineChars="147"/>
        <w:jc w:val="left"/>
        <w:rPr>
          <w:rFonts w:hint="eastAsia" w:ascii="宋体" w:hAnsi="宋体"/>
          <w:b/>
          <w:color w:val="auto"/>
          <w:szCs w:val="21"/>
        </w:rPr>
      </w:pPr>
    </w:p>
    <w:tbl>
      <w:tblPr>
        <w:tblStyle w:val="48"/>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0"/>
        <w:gridCol w:w="965"/>
        <w:gridCol w:w="1539"/>
        <w:gridCol w:w="4201"/>
      </w:tblGrid>
      <w:tr w14:paraId="43E09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065" w:type="dxa"/>
            <w:gridSpan w:val="2"/>
            <w:vAlign w:val="center"/>
          </w:tcPr>
          <w:p w14:paraId="267FBA00">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1539" w:type="dxa"/>
            <w:vAlign w:val="center"/>
          </w:tcPr>
          <w:p w14:paraId="0D0F5A62">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4201" w:type="dxa"/>
            <w:vAlign w:val="center"/>
          </w:tcPr>
          <w:p w14:paraId="210B26EA">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color w:val="auto"/>
                <w:szCs w:val="21"/>
              </w:rPr>
              <w:t>具体要求</w:t>
            </w:r>
          </w:p>
        </w:tc>
      </w:tr>
      <w:tr w14:paraId="044AD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8805" w:type="dxa"/>
            <w:gridSpan w:val="4"/>
            <w:vAlign w:val="center"/>
          </w:tcPr>
          <w:p w14:paraId="197A4F8F">
            <w:pPr>
              <w:tabs>
                <w:tab w:val="left" w:pos="180"/>
                <w:tab w:val="left" w:pos="1620"/>
              </w:tabs>
              <w:spacing w:line="400" w:lineRule="exact"/>
              <w:jc w:val="left"/>
              <w:rPr>
                <w:rFonts w:hint="eastAsia" w:ascii="宋体" w:hAnsi="宋体" w:cs="宋体"/>
                <w:b/>
                <w:color w:val="auto"/>
                <w:szCs w:val="21"/>
              </w:rPr>
            </w:pPr>
            <w:r>
              <w:rPr>
                <w:rFonts w:hint="eastAsia" w:ascii="宋体" w:hAnsi="宋体" w:cs="宋体"/>
                <w:b/>
                <w:color w:val="auto"/>
                <w:szCs w:val="21"/>
              </w:rPr>
              <w:t>▲一、</w:t>
            </w:r>
            <w:r>
              <w:rPr>
                <w:rFonts w:hint="eastAsia"/>
                <w:b/>
                <w:color w:val="auto"/>
              </w:rPr>
              <w:t>技术及其他要求</w:t>
            </w:r>
          </w:p>
        </w:tc>
      </w:tr>
      <w:tr w14:paraId="098E1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3065" w:type="dxa"/>
            <w:gridSpan w:val="2"/>
            <w:vAlign w:val="center"/>
          </w:tcPr>
          <w:p w14:paraId="45E3C9D9">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b/>
                <w:bCs/>
                <w:color w:val="auto"/>
                <w:szCs w:val="21"/>
              </w:rPr>
              <w:t>南溪山医院大礼堂修缮工程</w:t>
            </w:r>
          </w:p>
        </w:tc>
        <w:tc>
          <w:tcPr>
            <w:tcW w:w="1539" w:type="dxa"/>
            <w:vAlign w:val="center"/>
          </w:tcPr>
          <w:p w14:paraId="4EC35C41">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color w:val="auto"/>
                <w:szCs w:val="21"/>
              </w:rPr>
              <w:t>1项</w:t>
            </w:r>
          </w:p>
        </w:tc>
        <w:tc>
          <w:tcPr>
            <w:tcW w:w="4201" w:type="dxa"/>
            <w:vAlign w:val="center"/>
          </w:tcPr>
          <w:p w14:paraId="37B6FBF6">
            <w:pPr>
              <w:spacing w:line="350" w:lineRule="exact"/>
              <w:jc w:val="left"/>
              <w:rPr>
                <w:rFonts w:hint="eastAsia" w:ascii="宋体" w:hAnsi="宋体" w:cs="宋体"/>
                <w:b/>
                <w:bCs/>
                <w:color w:val="auto"/>
                <w:szCs w:val="21"/>
              </w:rPr>
            </w:pPr>
            <w:r>
              <w:rPr>
                <w:rFonts w:hint="eastAsia" w:ascii="宋体" w:hAnsi="宋体" w:cs="宋体"/>
                <w:b/>
                <w:bCs/>
                <w:color w:val="auto"/>
                <w:szCs w:val="21"/>
              </w:rPr>
              <w:t>（一）工程概况及工程内容</w:t>
            </w:r>
          </w:p>
          <w:p w14:paraId="01ECD7C0">
            <w:pPr>
              <w:widowControl/>
              <w:spacing w:line="350" w:lineRule="exact"/>
              <w:jc w:val="left"/>
              <w:rPr>
                <w:rFonts w:hint="eastAsia" w:ascii="宋体" w:hAnsi="宋体" w:cs="宋体"/>
                <w:b/>
                <w:bCs/>
                <w:color w:val="auto"/>
                <w:kern w:val="0"/>
                <w:szCs w:val="21"/>
              </w:rPr>
            </w:pPr>
            <w:r>
              <w:rPr>
                <w:rFonts w:hint="eastAsia" w:ascii="宋体" w:hAnsi="宋体"/>
                <w:b/>
                <w:bCs/>
                <w:color w:val="auto"/>
                <w:szCs w:val="21"/>
              </w:rPr>
              <w:t>工程概况：根据《桂林市文化广电和旅游局关于公布广西壮族自治区南溪山医院院区不可移动文物的通知》，广西壮族自治区南溪山医院大礼堂列为桂林市不可移动文物。南溪山医院大礼堂占地面积1668平方米，主体建筑南北</w:t>
            </w:r>
            <w:r>
              <w:rPr>
                <w:rFonts w:hint="eastAsia" w:ascii="宋体" w:hAnsi="宋体"/>
                <w:b/>
                <w:bCs/>
                <w:color w:val="auto"/>
                <w:szCs w:val="21"/>
                <w:lang w:eastAsia="zh-CN"/>
              </w:rPr>
              <w:t>跨度</w:t>
            </w:r>
            <w:r>
              <w:rPr>
                <w:rFonts w:hint="eastAsia" w:ascii="宋体" w:hAnsi="宋体"/>
                <w:b/>
                <w:bCs/>
                <w:color w:val="auto"/>
                <w:szCs w:val="21"/>
              </w:rPr>
              <w:t>宽</w:t>
            </w:r>
            <w:r>
              <w:rPr>
                <w:rFonts w:hint="eastAsia" w:ascii="宋体" w:hAnsi="宋体"/>
                <w:b/>
                <w:bCs/>
                <w:color w:val="auto"/>
                <w:szCs w:val="21"/>
                <w:lang w:eastAsia="zh-CN"/>
              </w:rPr>
              <w:t>约</w:t>
            </w:r>
            <w:r>
              <w:rPr>
                <w:rFonts w:hint="eastAsia" w:ascii="宋体" w:hAnsi="宋体"/>
                <w:b/>
                <w:bCs/>
                <w:color w:val="auto"/>
                <w:szCs w:val="21"/>
              </w:rPr>
              <w:t>30米，东西长50米，高15米，内部为大跨度、无立柱结构，屋顶为木制梁结构。因医院大礼堂已使用超过50年以上，目前屋顶出现不同程度漏水，房屋顶部部分木质结构梁白蚁啃噬严重，形成安全隐患，墙体局部出现裂纹，需对大礼堂整体进行修缮，能达到安全使用条件。</w:t>
            </w:r>
            <w:r>
              <w:rPr>
                <w:rFonts w:hint="eastAsia" w:ascii="宋体" w:hAnsi="宋体" w:cs="宋体"/>
                <w:b/>
                <w:bCs/>
                <w:color w:val="auto"/>
                <w:szCs w:val="21"/>
              </w:rPr>
              <w:t>工程内容：</w:t>
            </w:r>
            <w:r>
              <w:rPr>
                <w:rFonts w:hint="eastAsia" w:ascii="宋体" w:hAnsi="宋体"/>
                <w:b/>
                <w:bCs/>
                <w:color w:val="auto"/>
                <w:szCs w:val="21"/>
              </w:rPr>
              <w:t>本工程为南溪山医院大礼堂修缮工程，位于桂林市市区内，主要建设内容包括外墙面改造，木走廊修缮，屋面修整。具体详见工程量清单及图纸。</w:t>
            </w:r>
          </w:p>
          <w:p w14:paraId="761D89E2">
            <w:pPr>
              <w:spacing w:line="350" w:lineRule="exact"/>
              <w:jc w:val="left"/>
              <w:rPr>
                <w:rFonts w:hint="eastAsia" w:ascii="宋体" w:hAnsi="宋体" w:cs="宋体"/>
                <w:b/>
                <w:bCs/>
                <w:color w:val="auto"/>
                <w:szCs w:val="21"/>
              </w:rPr>
            </w:pPr>
            <w:r>
              <w:rPr>
                <w:rFonts w:hint="eastAsia" w:ascii="宋体" w:hAnsi="宋体" w:cs="宋体"/>
                <w:b/>
                <w:bCs/>
                <w:color w:val="auto"/>
                <w:szCs w:val="21"/>
              </w:rPr>
              <w:t>（二）基本要求</w:t>
            </w:r>
          </w:p>
          <w:p w14:paraId="663F9897">
            <w:pPr>
              <w:spacing w:line="350" w:lineRule="exact"/>
              <w:jc w:val="left"/>
              <w:rPr>
                <w:rFonts w:hint="eastAsia" w:ascii="宋体" w:hAnsi="宋体" w:cs="宋体"/>
                <w:b/>
                <w:bCs/>
                <w:color w:val="auto"/>
                <w:szCs w:val="21"/>
              </w:rPr>
            </w:pPr>
            <w:r>
              <w:rPr>
                <w:rFonts w:hint="eastAsia" w:ascii="宋体" w:hAnsi="宋体" w:cs="宋体"/>
                <w:b/>
                <w:bCs/>
                <w:color w:val="auto"/>
                <w:szCs w:val="21"/>
              </w:rPr>
              <w:t>1.采购范围：根据采购人提供的图纸、工程量清单及工程管理相关要求，完成本工程施工、验收以及工程管理服务。</w:t>
            </w:r>
          </w:p>
          <w:p w14:paraId="30CDC295">
            <w:pPr>
              <w:spacing w:line="350" w:lineRule="exact"/>
              <w:jc w:val="left"/>
              <w:rPr>
                <w:rFonts w:hint="eastAsia" w:ascii="宋体" w:hAnsi="宋体" w:cs="宋体"/>
                <w:b/>
                <w:bCs/>
                <w:color w:val="auto"/>
                <w:szCs w:val="21"/>
              </w:rPr>
            </w:pPr>
            <w:r>
              <w:rPr>
                <w:rFonts w:hint="eastAsia" w:ascii="宋体" w:hAnsi="宋体" w:cs="宋体"/>
                <w:b/>
                <w:bCs/>
                <w:color w:val="auto"/>
                <w:szCs w:val="21"/>
              </w:rPr>
              <w:t>2.供应商须按国家、地方、行业规定以及采购人要求的工程措施、安全措施、文明措施对项目进行工程管理，作为以施工为主的供应商施工单位对项目负总责，负责对施工的质量、进度、安全、投资控制、文明施工等进行全面协调管理。</w:t>
            </w:r>
          </w:p>
          <w:p w14:paraId="60AE8CEB">
            <w:pPr>
              <w:pStyle w:val="118"/>
              <w:spacing w:line="350" w:lineRule="exact"/>
              <w:ind w:firstLine="0" w:firstLineChars="0"/>
              <w:rPr>
                <w:rFonts w:hint="eastAsia" w:ascii="宋体" w:hAnsi="宋体"/>
                <w:b/>
                <w:bCs/>
                <w:color w:val="auto"/>
                <w:szCs w:val="21"/>
              </w:rPr>
            </w:pPr>
            <w:r>
              <w:rPr>
                <w:rFonts w:hint="eastAsia" w:ascii="宋体" w:hAnsi="宋体" w:cs="宋体"/>
                <w:b/>
                <w:bCs/>
                <w:color w:val="auto"/>
                <w:szCs w:val="21"/>
              </w:rPr>
              <w:t>3.采购人根据工程实施情况，有权对供应商的承包范围及内容进行适当调整，承包人无条件服从。</w:t>
            </w:r>
          </w:p>
          <w:p w14:paraId="2360F574">
            <w:pPr>
              <w:pStyle w:val="118"/>
              <w:spacing w:line="350" w:lineRule="exact"/>
              <w:ind w:firstLine="0" w:firstLineChars="0"/>
              <w:rPr>
                <w:rFonts w:hint="eastAsia" w:ascii="宋体" w:hAnsi="宋体"/>
                <w:b/>
                <w:color w:val="auto"/>
              </w:rPr>
            </w:pPr>
            <w:r>
              <w:rPr>
                <w:rFonts w:hint="eastAsia" w:ascii="宋体" w:hAnsi="宋体"/>
                <w:b/>
                <w:color w:val="auto"/>
              </w:rPr>
              <w:t>（三）质量、安全、技术、人员等相关要求</w:t>
            </w:r>
          </w:p>
          <w:p w14:paraId="59B53410">
            <w:pPr>
              <w:pStyle w:val="118"/>
              <w:spacing w:line="350" w:lineRule="exact"/>
              <w:ind w:firstLine="0" w:firstLineChars="0"/>
              <w:rPr>
                <w:rFonts w:hint="eastAsia" w:ascii="宋体" w:hAnsi="宋体" w:cs="宋体"/>
                <w:b/>
                <w:bCs/>
                <w:color w:val="auto"/>
                <w:szCs w:val="21"/>
              </w:rPr>
            </w:pPr>
            <w:r>
              <w:rPr>
                <w:rFonts w:hint="eastAsia" w:ascii="宋体" w:hAnsi="宋体"/>
                <w:b/>
                <w:color w:val="auto"/>
              </w:rPr>
              <w:t>1</w:t>
            </w:r>
            <w:r>
              <w:rPr>
                <w:rFonts w:hint="eastAsia" w:ascii="宋体" w:hAnsi="宋体" w:cs="宋体"/>
                <w:b/>
                <w:bCs/>
                <w:color w:val="auto"/>
                <w:szCs w:val="21"/>
              </w:rPr>
              <w:t>.质量要求：达到现行国家施工验收规范合格标准。</w:t>
            </w:r>
          </w:p>
          <w:p w14:paraId="179B2A3F">
            <w:pPr>
              <w:pStyle w:val="118"/>
              <w:spacing w:line="350" w:lineRule="exact"/>
              <w:ind w:firstLine="0" w:firstLineChars="0"/>
              <w:rPr>
                <w:rFonts w:hint="eastAsia" w:ascii="宋体" w:hAnsi="宋体" w:cs="宋体"/>
                <w:b/>
                <w:bCs/>
                <w:color w:val="auto"/>
                <w:szCs w:val="21"/>
              </w:rPr>
            </w:pPr>
            <w:r>
              <w:rPr>
                <w:rFonts w:hint="eastAsia" w:ascii="宋体" w:hAnsi="宋体" w:cs="宋体"/>
                <w:b/>
                <w:bCs/>
                <w:color w:val="auto"/>
                <w:szCs w:val="21"/>
              </w:rPr>
              <w:t>2.安全要求：符合国家及行业规定。</w:t>
            </w:r>
          </w:p>
          <w:p w14:paraId="36B083F6">
            <w:pPr>
              <w:pStyle w:val="118"/>
              <w:spacing w:line="350" w:lineRule="exact"/>
              <w:ind w:firstLine="0" w:firstLineChars="0"/>
              <w:rPr>
                <w:rFonts w:hint="eastAsia" w:ascii="宋体" w:hAnsi="宋体" w:cs="宋体"/>
                <w:b/>
                <w:bCs/>
                <w:color w:val="auto"/>
                <w:szCs w:val="21"/>
              </w:rPr>
            </w:pPr>
            <w:r>
              <w:rPr>
                <w:rFonts w:hint="eastAsia" w:ascii="宋体" w:hAnsi="宋体" w:cs="宋体"/>
                <w:b/>
                <w:bCs/>
                <w:color w:val="auto"/>
                <w:szCs w:val="21"/>
              </w:rPr>
              <w:t>3.技术要求：</w:t>
            </w:r>
          </w:p>
          <w:p w14:paraId="2CC33C60">
            <w:pPr>
              <w:pStyle w:val="118"/>
              <w:spacing w:line="350" w:lineRule="exact"/>
              <w:ind w:firstLine="0" w:firstLineChars="0"/>
              <w:rPr>
                <w:rFonts w:hint="eastAsia" w:ascii="宋体" w:hAnsi="宋体" w:cs="宋体"/>
                <w:b/>
                <w:bCs/>
                <w:color w:val="auto"/>
                <w:szCs w:val="21"/>
              </w:rPr>
            </w:pPr>
            <w:r>
              <w:rPr>
                <w:rFonts w:hint="eastAsia" w:ascii="宋体" w:hAnsi="宋体" w:cs="宋体"/>
                <w:b/>
                <w:bCs/>
                <w:color w:val="auto"/>
                <w:szCs w:val="21"/>
              </w:rPr>
              <w:t>（1）按现行有关的文物保护、工程建设标准、技术规范执行。</w:t>
            </w:r>
          </w:p>
          <w:p w14:paraId="58EFF7B4">
            <w:pPr>
              <w:pStyle w:val="118"/>
              <w:spacing w:line="350" w:lineRule="exact"/>
              <w:ind w:firstLine="0" w:firstLineChars="0"/>
              <w:rPr>
                <w:rFonts w:hint="eastAsia" w:ascii="宋体" w:hAnsi="宋体" w:cs="宋体"/>
                <w:b/>
                <w:bCs/>
                <w:color w:val="auto"/>
                <w:szCs w:val="21"/>
              </w:rPr>
            </w:pPr>
            <w:r>
              <w:rPr>
                <w:rFonts w:hint="eastAsia" w:ascii="宋体" w:hAnsi="宋体" w:cs="宋体"/>
                <w:b/>
                <w:bCs/>
                <w:color w:val="auto"/>
                <w:szCs w:val="21"/>
              </w:rPr>
              <w:t>（2）施工过程不得损坏文物本体，否则由承包人承担责任并承担由此产生的一切后果。</w:t>
            </w:r>
          </w:p>
          <w:p w14:paraId="08FEA383">
            <w:pPr>
              <w:pStyle w:val="118"/>
              <w:spacing w:line="350" w:lineRule="exact"/>
              <w:ind w:firstLine="0" w:firstLineChars="0"/>
              <w:rPr>
                <w:rFonts w:hint="eastAsia" w:ascii="宋体" w:hAnsi="宋体" w:cs="宋体"/>
                <w:b/>
                <w:bCs/>
                <w:color w:val="auto"/>
                <w:szCs w:val="21"/>
              </w:rPr>
            </w:pPr>
            <w:r>
              <w:rPr>
                <w:rFonts w:hint="eastAsia" w:ascii="宋体" w:hAnsi="宋体" w:cs="宋体"/>
                <w:b/>
                <w:bCs/>
                <w:color w:val="auto"/>
                <w:szCs w:val="21"/>
              </w:rPr>
              <w:t>4.人员要求</w:t>
            </w:r>
          </w:p>
          <w:p w14:paraId="2BD39A61">
            <w:pPr>
              <w:pStyle w:val="118"/>
              <w:spacing w:line="350" w:lineRule="exact"/>
              <w:ind w:firstLine="0" w:firstLineChars="0"/>
              <w:rPr>
                <w:rFonts w:hint="eastAsia" w:ascii="宋体" w:hAnsi="宋体" w:cs="宋体"/>
                <w:b/>
                <w:bCs/>
                <w:color w:val="auto"/>
                <w:szCs w:val="21"/>
              </w:rPr>
            </w:pPr>
            <w:r>
              <w:rPr>
                <w:rFonts w:hint="eastAsia" w:ascii="宋体" w:hAnsi="宋体" w:cs="宋体"/>
                <w:b/>
                <w:bCs/>
                <w:color w:val="auto"/>
                <w:szCs w:val="21"/>
              </w:rPr>
              <w:t>拟投入本项目的施工技术人员要求包括与本项目相关的各专业工种技术人员、资料员、安全员等（供应商根据施工技术人员情况如实填写“施工技术人员表”）。</w:t>
            </w:r>
          </w:p>
          <w:p w14:paraId="6FD64125">
            <w:pPr>
              <w:pStyle w:val="118"/>
              <w:spacing w:line="350" w:lineRule="exact"/>
              <w:ind w:firstLine="0" w:firstLineChars="0"/>
              <w:rPr>
                <w:rFonts w:hint="eastAsia" w:ascii="宋体" w:hAnsi="宋体"/>
                <w:color w:val="auto"/>
              </w:rPr>
            </w:pPr>
            <w:r>
              <w:rPr>
                <w:rFonts w:hint="eastAsia" w:ascii="宋体" w:hAnsi="宋体" w:cs="宋体"/>
                <w:b/>
                <w:bCs/>
                <w:color w:val="auto"/>
                <w:szCs w:val="21"/>
              </w:rPr>
              <w:t>（四）需实现的功能或者目标：达到现行国家施工验收规范合格标准。</w:t>
            </w:r>
          </w:p>
        </w:tc>
      </w:tr>
      <w:tr w14:paraId="1A052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tcPr>
          <w:p w14:paraId="2AAF16AA">
            <w:pPr>
              <w:spacing w:line="400" w:lineRule="exact"/>
              <w:rPr>
                <w:rFonts w:hint="eastAsia" w:ascii="宋体" w:hAnsi="宋体"/>
                <w:color w:val="auto"/>
                <w:szCs w:val="21"/>
              </w:rPr>
            </w:pPr>
            <w:r>
              <w:rPr>
                <w:rFonts w:hint="eastAsia" w:ascii="宋体" w:hAnsi="宋体" w:cs="宋体"/>
                <w:color w:val="auto"/>
                <w:szCs w:val="21"/>
              </w:rPr>
              <w:t>▲</w:t>
            </w:r>
            <w:r>
              <w:rPr>
                <w:rFonts w:hint="eastAsia" w:ascii="宋体" w:hAnsi="宋体"/>
                <w:b/>
                <w:color w:val="auto"/>
                <w:szCs w:val="21"/>
              </w:rPr>
              <w:t>二、商务要求</w:t>
            </w:r>
          </w:p>
        </w:tc>
      </w:tr>
      <w:tr w14:paraId="4B0F3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53EB07DF">
            <w:pPr>
              <w:spacing w:line="360" w:lineRule="exact"/>
              <w:jc w:val="center"/>
              <w:rPr>
                <w:rFonts w:hint="eastAsia" w:ascii="宋体" w:hAnsi="宋体"/>
                <w:b/>
                <w:color w:val="auto"/>
                <w:szCs w:val="21"/>
              </w:rPr>
            </w:pPr>
            <w:r>
              <w:rPr>
                <w:rFonts w:hint="eastAsia" w:ascii="宋体" w:hAnsi="宋体" w:cs="宋体"/>
                <w:b/>
                <w:color w:val="auto"/>
                <w:szCs w:val="21"/>
              </w:rPr>
              <w:t>1.计划工期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7A99E367">
            <w:pPr>
              <w:spacing w:line="360" w:lineRule="exact"/>
              <w:rPr>
                <w:rFonts w:hint="eastAsia" w:ascii="宋体" w:hAnsi="宋体"/>
                <w:b/>
                <w:color w:val="auto"/>
                <w:szCs w:val="21"/>
              </w:rPr>
            </w:pPr>
            <w:r>
              <w:rPr>
                <w:rFonts w:hint="eastAsia" w:ascii="宋体" w:hAnsi="宋体"/>
                <w:b/>
                <w:color w:val="auto"/>
                <w:szCs w:val="21"/>
              </w:rPr>
              <w:t>计划工期：75天（日历天）</w:t>
            </w:r>
          </w:p>
          <w:p w14:paraId="7CB5EE1C">
            <w:pPr>
              <w:spacing w:line="360" w:lineRule="exact"/>
              <w:rPr>
                <w:rFonts w:hint="eastAsia" w:ascii="宋体" w:hAnsi="宋体"/>
                <w:b/>
                <w:color w:val="auto"/>
                <w:szCs w:val="21"/>
              </w:rPr>
            </w:pPr>
            <w:r>
              <w:rPr>
                <w:rFonts w:ascii="宋体" w:hAnsi="宋体"/>
                <w:b/>
                <w:color w:val="auto"/>
                <w:szCs w:val="21"/>
              </w:rPr>
              <w:t>计划开工日期：</w:t>
            </w:r>
            <w:r>
              <w:rPr>
                <w:rFonts w:hint="eastAsia" w:ascii="宋体" w:hAnsi="宋体"/>
                <w:b/>
                <w:color w:val="auto"/>
                <w:szCs w:val="21"/>
              </w:rPr>
              <w:t>2025</w:t>
            </w:r>
            <w:r>
              <w:rPr>
                <w:rFonts w:ascii="宋体" w:hAnsi="宋体"/>
                <w:b/>
                <w:color w:val="auto"/>
                <w:szCs w:val="21"/>
              </w:rPr>
              <w:t>年</w:t>
            </w:r>
            <w:r>
              <w:rPr>
                <w:rFonts w:hint="eastAsia" w:ascii="宋体" w:hAnsi="宋体"/>
                <w:b/>
                <w:color w:val="auto"/>
                <w:szCs w:val="21"/>
                <w:lang w:val="en-US" w:eastAsia="zh-CN"/>
              </w:rPr>
              <w:t>6</w:t>
            </w:r>
            <w:r>
              <w:rPr>
                <w:rFonts w:ascii="宋体" w:hAnsi="宋体"/>
                <w:b/>
                <w:color w:val="auto"/>
                <w:szCs w:val="21"/>
              </w:rPr>
              <w:t>月</w:t>
            </w:r>
            <w:r>
              <w:rPr>
                <w:rFonts w:hint="eastAsia" w:ascii="宋体" w:hAnsi="宋体"/>
                <w:b/>
                <w:color w:val="auto"/>
                <w:szCs w:val="21"/>
                <w:lang w:val="en-US" w:eastAsia="zh-CN"/>
              </w:rPr>
              <w:t>20</w:t>
            </w:r>
            <w:r>
              <w:rPr>
                <w:rFonts w:ascii="宋体" w:hAnsi="宋体"/>
                <w:b/>
                <w:color w:val="auto"/>
                <w:szCs w:val="21"/>
              </w:rPr>
              <w:t>日</w:t>
            </w:r>
          </w:p>
          <w:p w14:paraId="6A7CA693">
            <w:pPr>
              <w:spacing w:line="360" w:lineRule="exact"/>
              <w:rPr>
                <w:rFonts w:hint="eastAsia" w:ascii="宋体" w:hAnsi="宋体"/>
                <w:b/>
                <w:color w:val="auto"/>
                <w:szCs w:val="21"/>
              </w:rPr>
            </w:pPr>
            <w:r>
              <w:rPr>
                <w:rFonts w:ascii="宋体" w:hAnsi="宋体"/>
                <w:b/>
                <w:color w:val="auto"/>
                <w:szCs w:val="21"/>
              </w:rPr>
              <w:t>计划</w:t>
            </w:r>
            <w:r>
              <w:rPr>
                <w:rFonts w:hint="eastAsia" w:ascii="宋体" w:hAnsi="宋体"/>
                <w:b/>
                <w:color w:val="auto"/>
                <w:szCs w:val="21"/>
              </w:rPr>
              <w:t>竣</w:t>
            </w:r>
            <w:r>
              <w:rPr>
                <w:rFonts w:ascii="宋体" w:hAnsi="宋体"/>
                <w:b/>
                <w:color w:val="auto"/>
                <w:szCs w:val="21"/>
              </w:rPr>
              <w:t>工日期：</w:t>
            </w:r>
            <w:r>
              <w:rPr>
                <w:rFonts w:hint="eastAsia" w:ascii="宋体" w:hAnsi="宋体"/>
                <w:b/>
                <w:color w:val="auto"/>
                <w:szCs w:val="21"/>
              </w:rPr>
              <w:t>2025</w:t>
            </w:r>
            <w:r>
              <w:rPr>
                <w:rFonts w:ascii="宋体" w:hAnsi="宋体"/>
                <w:b/>
                <w:color w:val="auto"/>
                <w:szCs w:val="21"/>
              </w:rPr>
              <w:t>年</w:t>
            </w:r>
            <w:r>
              <w:rPr>
                <w:rFonts w:hint="eastAsia" w:ascii="宋体" w:hAnsi="宋体"/>
                <w:b/>
                <w:color w:val="auto"/>
                <w:szCs w:val="21"/>
                <w:lang w:val="en-US" w:eastAsia="zh-CN"/>
              </w:rPr>
              <w:t>9</w:t>
            </w:r>
            <w:r>
              <w:rPr>
                <w:rFonts w:ascii="宋体" w:hAnsi="宋体"/>
                <w:b/>
                <w:color w:val="auto"/>
                <w:szCs w:val="21"/>
              </w:rPr>
              <w:t>月</w:t>
            </w:r>
            <w:r>
              <w:rPr>
                <w:rFonts w:hint="eastAsia" w:ascii="宋体" w:hAnsi="宋体"/>
                <w:b/>
                <w:color w:val="auto"/>
                <w:szCs w:val="21"/>
                <w:lang w:val="en-US" w:eastAsia="zh-CN"/>
              </w:rPr>
              <w:t>2</w:t>
            </w:r>
            <w:r>
              <w:rPr>
                <w:rFonts w:ascii="宋体" w:hAnsi="宋体"/>
                <w:b/>
                <w:color w:val="auto"/>
                <w:szCs w:val="21"/>
              </w:rPr>
              <w:t>日</w:t>
            </w:r>
          </w:p>
        </w:tc>
      </w:tr>
      <w:tr w14:paraId="58108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230C92BF">
            <w:pPr>
              <w:spacing w:line="360" w:lineRule="exact"/>
              <w:jc w:val="center"/>
              <w:rPr>
                <w:rFonts w:hint="eastAsia" w:ascii="宋体" w:hAnsi="宋体"/>
                <w:b/>
                <w:color w:val="auto"/>
                <w:szCs w:val="21"/>
              </w:rPr>
            </w:pPr>
            <w:r>
              <w:rPr>
                <w:rFonts w:hint="eastAsia" w:ascii="宋体" w:hAnsi="宋体"/>
                <w:b/>
                <w:color w:val="auto"/>
                <w:szCs w:val="21"/>
              </w:rPr>
              <w:t>2.建设地点</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34666A80">
            <w:pPr>
              <w:spacing w:line="360" w:lineRule="exact"/>
              <w:rPr>
                <w:rFonts w:hint="eastAsia" w:ascii="宋体" w:hAnsi="宋体"/>
                <w:b/>
                <w:color w:val="auto"/>
                <w:szCs w:val="21"/>
              </w:rPr>
            </w:pPr>
            <w:r>
              <w:rPr>
                <w:rFonts w:hint="eastAsia" w:ascii="宋体" w:hAnsi="宋体"/>
                <w:b/>
                <w:color w:val="auto"/>
                <w:szCs w:val="21"/>
              </w:rPr>
              <w:t>广西壮族自治区南溪山医院（广西壮族自治区第二人民医院）院内（广西桂林市象山区崇信路46号）</w:t>
            </w:r>
          </w:p>
        </w:tc>
      </w:tr>
      <w:tr w14:paraId="0FBC2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0CB4E77F">
            <w:pPr>
              <w:spacing w:line="360" w:lineRule="exact"/>
              <w:jc w:val="center"/>
              <w:rPr>
                <w:rFonts w:hint="eastAsia" w:ascii="宋体" w:hAnsi="宋体"/>
                <w:b/>
                <w:color w:val="auto"/>
                <w:szCs w:val="21"/>
              </w:rPr>
            </w:pPr>
            <w:r>
              <w:rPr>
                <w:rFonts w:hint="eastAsia" w:ascii="宋体" w:hAnsi="宋体"/>
                <w:b/>
                <w:color w:val="auto"/>
                <w:szCs w:val="21"/>
              </w:rPr>
              <w:t>3.合同签订时间</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321B8D3">
            <w:pPr>
              <w:spacing w:line="360" w:lineRule="exact"/>
              <w:rPr>
                <w:rFonts w:hint="eastAsia" w:ascii="宋体" w:hAnsi="宋体"/>
                <w:b/>
                <w:color w:val="auto"/>
                <w:szCs w:val="21"/>
              </w:rPr>
            </w:pPr>
            <w:r>
              <w:rPr>
                <w:rFonts w:hint="eastAsia" w:ascii="宋体" w:hAnsi="宋体"/>
                <w:b/>
                <w:color w:val="auto"/>
                <w:szCs w:val="21"/>
              </w:rPr>
              <w:t xml:space="preserve">自成交通知书发出之日起 </w:t>
            </w:r>
            <w:r>
              <w:rPr>
                <w:rFonts w:hint="eastAsia" w:ascii="宋体" w:hAnsi="宋体"/>
                <w:b/>
                <w:color w:val="auto"/>
                <w:szCs w:val="21"/>
                <w:u w:val="single"/>
              </w:rPr>
              <w:t>25</w:t>
            </w:r>
            <w:r>
              <w:rPr>
                <w:rFonts w:hint="eastAsia" w:ascii="宋体" w:hAnsi="宋体"/>
                <w:b/>
                <w:color w:val="auto"/>
                <w:szCs w:val="21"/>
              </w:rPr>
              <w:t>日内</w:t>
            </w:r>
          </w:p>
        </w:tc>
      </w:tr>
      <w:tr w14:paraId="6DA2E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403BCA93">
            <w:pPr>
              <w:spacing w:line="360" w:lineRule="exact"/>
              <w:jc w:val="center"/>
              <w:rPr>
                <w:rFonts w:hint="eastAsia" w:ascii="宋体" w:hAnsi="宋体"/>
                <w:b/>
                <w:color w:val="auto"/>
                <w:szCs w:val="21"/>
              </w:rPr>
            </w:pPr>
            <w:r>
              <w:rPr>
                <w:rFonts w:hint="eastAsia" w:ascii="宋体" w:hAnsi="宋体"/>
                <w:b/>
                <w:color w:val="auto"/>
                <w:szCs w:val="21"/>
              </w:rPr>
              <w:t>4.竞标报价</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50D745F0">
            <w:pPr>
              <w:spacing w:line="360" w:lineRule="exact"/>
              <w:rPr>
                <w:rFonts w:hint="eastAsia" w:ascii="宋体" w:hAnsi="宋体"/>
                <w:b/>
                <w:color w:val="auto"/>
                <w:szCs w:val="21"/>
              </w:rPr>
            </w:pPr>
            <w:r>
              <w:rPr>
                <w:rFonts w:hint="eastAsia" w:ascii="宋体" w:hAnsi="宋体"/>
                <w:b/>
                <w:color w:val="auto"/>
                <w:szCs w:val="21"/>
              </w:rPr>
              <w:t>采用工程量清单报价。竞标报价包括施工设备（含脚手架）、主要材料、辅助材料、安装（如工程量清单中未列所安装设备则包含所安装设备的采购）、垃圾清运、劳务、管理、维护、保险、利润、增值税、政策性文件规定及合同包含的所有风险、责任等各项应有费用。</w:t>
            </w:r>
          </w:p>
        </w:tc>
      </w:tr>
      <w:tr w14:paraId="01814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1EA6029F">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5.付款条件（进度和方式）</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1BF432F">
            <w:pPr>
              <w:spacing w:line="360" w:lineRule="exact"/>
              <w:jc w:val="left"/>
              <w:rPr>
                <w:rFonts w:hint="eastAsia" w:ascii="宋体" w:hAnsi="宋体"/>
                <w:b/>
                <w:color w:val="auto"/>
                <w:szCs w:val="21"/>
                <w:highlight w:val="none"/>
              </w:rPr>
            </w:pPr>
            <w:r>
              <w:rPr>
                <w:rFonts w:hint="eastAsia" w:ascii="宋体" w:hAnsi="宋体"/>
                <w:b/>
                <w:color w:val="auto"/>
                <w:szCs w:val="21"/>
                <w:highlight w:val="none"/>
              </w:rPr>
              <w:t>采购人在签订合同后30日历天内支付合同价款（扣除暂估专业工程、暂列金额）的30%预付款；在成交人完成至工程量的60%后的30个工作日内支付至合同价款的50%；在成交人完成至工程量的80%后的30个工作日内支付至合同价款的75%；工程竣工验收合格且工程结算经相关部门最终审定后，工程款支付至结算总价的97%；工程价款结算总额的3%待缺陷责任期（24个月）满后，双方确认无质量返修问题且无扣款事项后由采购人向成交人（无息）支付。成交人每次请款前，应向采购人提交书面请款报告，并根据双方确认的金额向采购人开具足额合法正式发票，否则，采购人有权暂不付款且不构成违约，发票认证通过是采购人付款的必要条件之一。</w:t>
            </w:r>
          </w:p>
        </w:tc>
      </w:tr>
      <w:tr w14:paraId="0563C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58D28FED">
            <w:pPr>
              <w:spacing w:line="360" w:lineRule="exact"/>
              <w:jc w:val="center"/>
              <w:rPr>
                <w:rFonts w:hint="eastAsia" w:ascii="宋体" w:hAnsi="宋体"/>
                <w:b/>
                <w:color w:val="auto"/>
                <w:szCs w:val="21"/>
              </w:rPr>
            </w:pPr>
            <w:r>
              <w:rPr>
                <w:rFonts w:hint="eastAsia" w:ascii="宋体" w:hAnsi="宋体"/>
                <w:b/>
                <w:color w:val="auto"/>
                <w:szCs w:val="21"/>
              </w:rPr>
              <w:t>6.工程质量保修期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20E84F11">
            <w:pPr>
              <w:spacing w:line="36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（1）工程质量保修范围和内容：成交人在</w:t>
            </w:r>
            <w:r>
              <w:rPr>
                <w:rFonts w:hint="eastAsia" w:ascii="宋体" w:hAnsi="宋体"/>
                <w:b/>
                <w:color w:val="auto"/>
                <w:szCs w:val="21"/>
              </w:rPr>
              <w:t>工程质量保修期</w:t>
            </w:r>
            <w:r>
              <w:rPr>
                <w:rFonts w:hint="eastAsia" w:asciiTheme="minorEastAsia" w:hAnsiTheme="minorEastAsia" w:eastAsiaTheme="minorEastAsia" w:cstheme="minorEastAsia"/>
                <w:b/>
                <w:color w:val="auto"/>
                <w:szCs w:val="21"/>
              </w:rPr>
              <w:t>内，按照有关法律规定和合同约定，承担工程质量保修责任。</w:t>
            </w:r>
          </w:p>
          <w:p w14:paraId="0B2E078F">
            <w:pPr>
              <w:spacing w:line="36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r>
              <w:rPr>
                <w:rFonts w:hint="eastAsia" w:ascii="宋体" w:hAnsi="宋体"/>
                <w:b/>
                <w:color w:val="auto"/>
                <w:szCs w:val="21"/>
              </w:rPr>
              <w:t>工程质量保修期</w:t>
            </w:r>
            <w:r>
              <w:rPr>
                <w:rFonts w:hint="eastAsia" w:asciiTheme="minorEastAsia" w:hAnsiTheme="minorEastAsia" w:eastAsiaTheme="minorEastAsia" w:cstheme="minorEastAsia"/>
                <w:b/>
                <w:color w:val="auto"/>
                <w:szCs w:val="21"/>
              </w:rPr>
              <w:t>自工程竣工验收合格之日起计算。</w:t>
            </w:r>
          </w:p>
          <w:p w14:paraId="7FE4BE41">
            <w:pPr>
              <w:spacing w:line="360" w:lineRule="exact"/>
              <w:rPr>
                <w:rFonts w:hint="eastAsia" w:asciiTheme="majorEastAsia" w:hAnsiTheme="majorEastAsia" w:eastAsiaTheme="majorEastAsia"/>
                <w:b/>
                <w:color w:val="auto"/>
                <w:szCs w:val="22"/>
              </w:rPr>
            </w:pPr>
            <w:r>
              <w:rPr>
                <w:rFonts w:hint="eastAsia" w:asciiTheme="minorEastAsia" w:hAnsiTheme="minorEastAsia" w:eastAsiaTheme="minorEastAsia" w:cstheme="minorEastAsia"/>
                <w:b/>
                <w:color w:val="auto"/>
                <w:szCs w:val="21"/>
              </w:rPr>
              <w:t>（3）本项目</w:t>
            </w:r>
            <w:r>
              <w:rPr>
                <w:rFonts w:hint="eastAsia" w:ascii="宋体" w:hAnsi="宋体"/>
                <w:b/>
                <w:color w:val="auto"/>
                <w:szCs w:val="21"/>
              </w:rPr>
              <w:t>工程质量保修期</w:t>
            </w:r>
            <w:r>
              <w:rPr>
                <w:rFonts w:hint="eastAsia" w:asciiTheme="minorEastAsia" w:hAnsiTheme="minorEastAsia" w:eastAsiaTheme="minorEastAsia" w:cstheme="minorEastAsia"/>
                <w:b/>
                <w:color w:val="auto"/>
                <w:szCs w:val="21"/>
              </w:rPr>
              <w:t>为24个月。</w:t>
            </w:r>
          </w:p>
        </w:tc>
      </w:tr>
      <w:tr w14:paraId="310D2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5F75D96F">
            <w:pPr>
              <w:spacing w:line="360" w:lineRule="exact"/>
              <w:jc w:val="center"/>
              <w:rPr>
                <w:rFonts w:hint="eastAsia" w:ascii="宋体" w:hAnsi="宋体"/>
                <w:b/>
                <w:color w:val="auto"/>
                <w:szCs w:val="21"/>
              </w:rPr>
            </w:pPr>
            <w:r>
              <w:rPr>
                <w:rFonts w:hint="eastAsia" w:ascii="宋体" w:hAnsi="宋体"/>
                <w:b/>
                <w:color w:val="auto"/>
                <w:szCs w:val="21"/>
              </w:rPr>
              <w:t>7.工程隐蔽部位覆盖前的检查</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72351FD">
            <w:pPr>
              <w:spacing w:line="360" w:lineRule="exact"/>
              <w:rPr>
                <w:rFonts w:hint="eastAsia" w:ascii="宋体" w:hAnsi="宋体"/>
                <w:b/>
                <w:color w:val="auto"/>
                <w:szCs w:val="21"/>
              </w:rPr>
            </w:pPr>
            <w:r>
              <w:rPr>
                <w:rFonts w:hint="eastAsia" w:ascii="宋体" w:hAnsi="宋体"/>
                <w:b/>
                <w:color w:val="auto"/>
                <w:szCs w:val="21"/>
              </w:rPr>
              <w:t>工程隐蔽或中间验收前12小时以书面形式通知采购人和监理工程师验收的内容、时间、地点，成交人准备验收记录单，未经采购人批准，均不得隐蔽或验收工作。</w:t>
            </w:r>
          </w:p>
        </w:tc>
      </w:tr>
      <w:tr w14:paraId="5CFAB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60D7D5A5">
            <w:pPr>
              <w:spacing w:line="360" w:lineRule="exact"/>
              <w:jc w:val="center"/>
              <w:rPr>
                <w:rFonts w:hint="eastAsia" w:ascii="宋体" w:hAnsi="宋体"/>
                <w:b/>
                <w:color w:val="auto"/>
                <w:szCs w:val="21"/>
              </w:rPr>
            </w:pPr>
            <w:r>
              <w:rPr>
                <w:rFonts w:hint="eastAsia" w:ascii="宋体" w:hAnsi="宋体"/>
                <w:b/>
                <w:color w:val="auto"/>
                <w:szCs w:val="21"/>
              </w:rPr>
              <w:t>8.验收标准</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532C13A6">
            <w:pPr>
              <w:spacing w:line="360" w:lineRule="exact"/>
              <w:rPr>
                <w:rFonts w:ascii="Calibri" w:hAnsi="Calibri"/>
                <w:b/>
                <w:color w:val="auto"/>
                <w:szCs w:val="22"/>
              </w:rPr>
            </w:pPr>
            <w:r>
              <w:rPr>
                <w:rFonts w:hint="eastAsia" w:ascii="宋体" w:hAnsi="宋体"/>
                <w:b/>
                <w:color w:val="auto"/>
                <w:szCs w:val="21"/>
              </w:rPr>
              <w:t>按照符合国家工程施工验收规范合格标准，采购人及成交人双方到场共同验收。如采购人上级单位要求由其委派的第三方机构共同验收的，则采购人组织成交人及采购人上级单位所要求委派的第三方机构共同参与验收，验收所产生的相关费用由成交人承担。</w:t>
            </w:r>
          </w:p>
        </w:tc>
      </w:tr>
      <w:tr w14:paraId="1E8E3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1999D0DC">
            <w:pPr>
              <w:spacing w:line="360" w:lineRule="exact"/>
              <w:jc w:val="center"/>
              <w:rPr>
                <w:rFonts w:hint="eastAsia" w:ascii="宋体" w:hAnsi="宋体"/>
                <w:b/>
                <w:color w:val="auto"/>
                <w:szCs w:val="21"/>
              </w:rPr>
            </w:pPr>
            <w:r>
              <w:rPr>
                <w:rFonts w:hint="eastAsia" w:ascii="宋体" w:hAnsi="宋体"/>
                <w:b/>
                <w:color w:val="auto"/>
                <w:szCs w:val="21"/>
              </w:rPr>
              <w:t>9.安全责任</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3CEE570C">
            <w:pPr>
              <w:spacing w:line="360" w:lineRule="exact"/>
              <w:rPr>
                <w:rFonts w:hint="eastAsia" w:ascii="宋体" w:hAnsi="宋体"/>
                <w:b/>
                <w:color w:val="auto"/>
                <w:szCs w:val="21"/>
              </w:rPr>
            </w:pPr>
            <w:r>
              <w:rPr>
                <w:rFonts w:hint="eastAsia" w:ascii="宋体" w:hAnsi="宋体"/>
                <w:b/>
                <w:color w:val="auto"/>
                <w:szCs w:val="21"/>
              </w:rPr>
              <w:t>工程在运输、安装、拆除等整个工程活动期间，在工程实施地点范围内，所有安全责任均由成交人负责。工程在运输、安装、拆除等整个工程活动期间，在工程实施地点范围内，所有安全责任均由成交人负责。</w:t>
            </w:r>
          </w:p>
        </w:tc>
      </w:tr>
      <w:tr w14:paraId="5A424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51541F9D">
            <w:pPr>
              <w:spacing w:line="360" w:lineRule="exact"/>
              <w:jc w:val="center"/>
              <w:rPr>
                <w:rFonts w:hint="eastAsia" w:ascii="宋体" w:hAnsi="宋体"/>
                <w:b/>
                <w:color w:val="auto"/>
                <w:szCs w:val="21"/>
              </w:rPr>
            </w:pPr>
            <w:r>
              <w:rPr>
                <w:rFonts w:hint="eastAsia" w:ascii="宋体" w:hAnsi="宋体"/>
                <w:b/>
                <w:color w:val="auto"/>
                <w:szCs w:val="21"/>
              </w:rPr>
              <w:t>10.其他要求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234DAF6A">
            <w:pPr>
              <w:spacing w:line="360" w:lineRule="exact"/>
              <w:rPr>
                <w:rFonts w:hint="eastAsia" w:ascii="宋体" w:hAnsi="宋体"/>
                <w:b/>
                <w:color w:val="auto"/>
                <w:szCs w:val="21"/>
              </w:rPr>
            </w:pPr>
            <w:r>
              <w:rPr>
                <w:rFonts w:hint="eastAsia" w:ascii="宋体" w:hAnsi="宋体"/>
                <w:b/>
                <w:color w:val="auto"/>
                <w:szCs w:val="21"/>
              </w:rPr>
              <w:t>（1）本项目不允许转包、分包，否则采购人将终止合同。</w:t>
            </w:r>
          </w:p>
          <w:p w14:paraId="764F4621">
            <w:pPr>
              <w:spacing w:line="360" w:lineRule="exact"/>
              <w:rPr>
                <w:rFonts w:hint="eastAsia" w:ascii="宋体" w:hAnsi="宋体"/>
                <w:b/>
                <w:color w:val="auto"/>
                <w:szCs w:val="21"/>
              </w:rPr>
            </w:pPr>
            <w:r>
              <w:rPr>
                <w:rFonts w:hint="eastAsia" w:ascii="宋体" w:hAnsi="宋体"/>
                <w:b/>
                <w:color w:val="auto"/>
                <w:szCs w:val="21"/>
              </w:rPr>
              <w:t>（2）供应商应以本项目另附的工程量清单及图纸为依据，根据项目特征描述的内容及有关要求实施合同工程。</w:t>
            </w:r>
          </w:p>
        </w:tc>
      </w:tr>
      <w:tr w14:paraId="186AA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14:paraId="3C40AE47">
            <w:pPr>
              <w:spacing w:line="360" w:lineRule="exact"/>
              <w:rPr>
                <w:rFonts w:hint="eastAsia" w:ascii="宋体" w:hAnsi="宋体"/>
                <w:b/>
                <w:bCs/>
                <w:color w:val="auto"/>
                <w:szCs w:val="21"/>
              </w:rPr>
            </w:pPr>
            <w:r>
              <w:rPr>
                <w:rFonts w:hint="eastAsia" w:ascii="宋体" w:hAnsi="宋体" w:cs="宋体"/>
                <w:color w:val="auto"/>
                <w:szCs w:val="21"/>
              </w:rPr>
              <w:t>▲</w:t>
            </w:r>
            <w:r>
              <w:rPr>
                <w:rFonts w:hint="eastAsia" w:ascii="宋体" w:hAnsi="宋体"/>
                <w:b/>
                <w:bCs/>
                <w:color w:val="auto"/>
                <w:szCs w:val="21"/>
              </w:rPr>
              <w:t>三、</w:t>
            </w:r>
            <w:r>
              <w:rPr>
                <w:rFonts w:hint="eastAsia" w:cs="宋体" w:asciiTheme="majorEastAsia" w:hAnsiTheme="majorEastAsia" w:eastAsiaTheme="majorEastAsia"/>
                <w:b/>
                <w:bCs/>
                <w:color w:val="auto"/>
                <w:szCs w:val="21"/>
              </w:rPr>
              <w:t>施工组织设计要求</w:t>
            </w:r>
          </w:p>
        </w:tc>
      </w:tr>
      <w:tr w14:paraId="64B5F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14:paraId="4E9FD4DD">
            <w:pPr>
              <w:tabs>
                <w:tab w:val="left" w:pos="180"/>
                <w:tab w:val="left" w:pos="1620"/>
              </w:tabs>
              <w:spacing w:line="360" w:lineRule="exact"/>
              <w:rPr>
                <w:rFonts w:eastAsiaTheme="majorEastAsia"/>
                <w:b/>
                <w:bCs/>
                <w:color w:val="auto"/>
              </w:rPr>
            </w:pPr>
            <w:r>
              <w:rPr>
                <w:rFonts w:hint="eastAsia" w:cs="宋体" w:asciiTheme="majorEastAsia" w:hAnsiTheme="majorEastAsia" w:eastAsiaTheme="majorEastAsia"/>
                <w:b/>
                <w:bCs/>
                <w:color w:val="auto"/>
                <w:szCs w:val="21"/>
              </w:rPr>
              <w:t xml:space="preserve">   供应商根据图纸、工程量清单，于响应文件中必须提供施工组织设计（包括但不限于：①总体概述；②主要施工方法；③施工进度、施工进度计划和各阶段进度的保证措施；④劳动力、材料和机械、检测设备投入计划及其保证措施；⑤关键施工技术、工艺及工程实施的重点、难点和解决方案；⑥安全文明施工措施；⑦质量保证与承诺；⑧新技术应用与承诺）。</w:t>
            </w:r>
          </w:p>
        </w:tc>
      </w:tr>
    </w:tbl>
    <w:p w14:paraId="32EF9C4F">
      <w:pPr>
        <w:rPr>
          <w:color w:val="auto"/>
        </w:rPr>
      </w:pPr>
      <w:bookmarkStart w:id="69" w:name="_Toc74323459"/>
    </w:p>
    <w:p w14:paraId="2D4C5413">
      <w:pPr>
        <w:pStyle w:val="3"/>
        <w:spacing w:before="0" w:after="0" w:line="360" w:lineRule="auto"/>
        <w:jc w:val="center"/>
        <w:rPr>
          <w:color w:val="auto"/>
        </w:rPr>
      </w:pPr>
      <w:r>
        <w:rPr>
          <w:rFonts w:hint="eastAsia"/>
          <w:color w:val="auto"/>
        </w:rPr>
        <w:t>第四章  评审程序和评定成交的标准</w:t>
      </w:r>
      <w:bookmarkEnd w:id="69"/>
    </w:p>
    <w:p w14:paraId="64421A6B">
      <w:pPr>
        <w:spacing w:line="360" w:lineRule="auto"/>
        <w:ind w:firstLine="482" w:firstLineChars="200"/>
        <w:contextualSpacing/>
        <w:rPr>
          <w:rFonts w:hint="eastAsia"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.确认谈判文件</w:t>
      </w:r>
    </w:p>
    <w:p w14:paraId="56FC5994">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由谈判小组确认谈判文件。</w:t>
      </w:r>
    </w:p>
    <w:p w14:paraId="2A057362">
      <w:pPr>
        <w:spacing w:line="360" w:lineRule="auto"/>
        <w:ind w:firstLine="482" w:firstLineChars="200"/>
        <w:contextualSpacing/>
        <w:rPr>
          <w:rFonts w:hint="eastAsia"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.资格审查</w:t>
      </w:r>
    </w:p>
    <w:p w14:paraId="2E2850AB">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.1响应文件开启后，谈判小组依法对供应商的资格证明文件进行审查。</w:t>
      </w:r>
    </w:p>
    <w:p w14:paraId="5BAB7055">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w:t>
      </w:r>
      <w:r>
        <w:rPr>
          <w:rFonts w:hint="eastAsia"/>
          <w:color w:val="auto"/>
        </w:rPr>
        <w:t>谈判小组</w:t>
      </w:r>
      <w:r>
        <w:rPr>
          <w:rFonts w:hint="eastAsia" w:ascii="宋体" w:hAnsi="宋体" w:cs="宋体"/>
          <w:color w:val="auto"/>
          <w:szCs w:val="21"/>
        </w:rPr>
        <w:t>在资格审查结束前，对供应商进行信用查询。</w:t>
      </w:r>
    </w:p>
    <w:p w14:paraId="5B016044">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（1）查询渠道：广西政府采购云平台“信用中国”网站（www.creditchina.gov.cn）、中国政府采购网（www.ccgp.gov.cn）链接入口。</w:t>
      </w:r>
    </w:p>
    <w:p w14:paraId="5ED7066A">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（2）信用查询截止时点：资格审查结束前。</w:t>
      </w:r>
    </w:p>
    <w:p w14:paraId="7A1DF80E">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（3）查询记录和证据留存方式：在查询网站中直接查询，截图另存为电子文档作为评审资料保存。</w:t>
      </w:r>
    </w:p>
    <w:p w14:paraId="6AC23256">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p>
    <w:p w14:paraId="3711F3D2">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.2资格审查标准为本谈判文件中载明对供应商资格要求的条件。资格审查采用合格制，凡符合谈判文件规定的供应商资格要求的供应商均通过资格审查。</w:t>
      </w:r>
    </w:p>
    <w:p w14:paraId="46C38C51">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.3 供应商有下列情形之一的，资格审查不通过，其响应文件按无效处理：</w:t>
      </w:r>
    </w:p>
    <w:p w14:paraId="56EACEC6">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）不具备谈判文件中规定的资格要求的；</w:t>
      </w:r>
    </w:p>
    <w:p w14:paraId="090B697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（2）未按谈判文件规定的方式获取本谈判文件的供应商；</w:t>
      </w:r>
    </w:p>
    <w:p w14:paraId="15DA6E93">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）响应文件中的资格证明文件缺少任一项“供应商须知前附表”资格证明文件规定的“必须提供”的文件资料的；</w:t>
      </w:r>
    </w:p>
    <w:p w14:paraId="77D0BD8A">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14:paraId="1E04438E">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（5）有第二章“供应商须知”第3条规定的任何一种情形的。</w:t>
      </w:r>
    </w:p>
    <w:p w14:paraId="24A07222">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.4通过资格审查的合格供应商不足3家（本章第</w:t>
      </w:r>
      <w:r>
        <w:rPr>
          <w:rFonts w:ascii="宋体" w:hAnsi="宋体" w:cs="宋体"/>
          <w:color w:val="auto"/>
          <w:szCs w:val="21"/>
        </w:rPr>
        <w:t>3.7</w:t>
      </w:r>
      <w:r>
        <w:rPr>
          <w:rFonts w:hint="eastAsia" w:ascii="宋体" w:hAnsi="宋体" w:cs="宋体"/>
          <w:color w:val="auto"/>
          <w:szCs w:val="21"/>
        </w:rPr>
        <w:t>条规定除外）的，不得进入符合性审查环节，应当重新开展采购活动。</w:t>
      </w:r>
    </w:p>
    <w:p w14:paraId="3A474A22">
      <w:pPr>
        <w:spacing w:line="360" w:lineRule="auto"/>
        <w:ind w:firstLine="482" w:firstLineChars="200"/>
        <w:contextualSpacing/>
        <w:rPr>
          <w:rFonts w:hint="eastAsia"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.符合性审查</w:t>
      </w:r>
    </w:p>
    <w:p w14:paraId="5BF3D4A4">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.1</w:t>
      </w:r>
      <w:r>
        <w:rPr>
          <w:rFonts w:hint="eastAsia" w:ascii="宋体" w:hAnsi="宋体" w:cs="宋体"/>
          <w:color w:val="auto"/>
          <w:szCs w:val="21"/>
        </w:rPr>
        <w:t>谈判小组对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的响应文件的竞标报价、商务、技术等实质性要求进行符合性审查，以确定其是否满足谈判文件的实质性要求。</w:t>
      </w:r>
    </w:p>
    <w:p w14:paraId="34316CB3">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.2</w:t>
      </w:r>
      <w:r>
        <w:rPr>
          <w:rFonts w:hint="eastAsia" w:ascii="宋体" w:hAnsi="宋体" w:cs="宋体"/>
          <w:color w:val="auto"/>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23CFB0">
      <w:pPr>
        <w:spacing w:line="360" w:lineRule="auto"/>
        <w:ind w:firstLine="420" w:firstLineChars="200"/>
        <w:rPr>
          <w:rFonts w:hint="eastAsia" w:ascii="宋体" w:hAnsi="宋体" w:cs="宋体"/>
          <w:color w:val="auto"/>
          <w:spacing w:val="-6"/>
          <w:szCs w:val="21"/>
        </w:rPr>
      </w:pPr>
      <w:r>
        <w:rPr>
          <w:rFonts w:ascii="宋体" w:hAnsi="宋体" w:cs="宋体"/>
          <w:color w:val="auto"/>
          <w:szCs w:val="21"/>
        </w:rPr>
        <w:t>3</w:t>
      </w:r>
      <w:r>
        <w:rPr>
          <w:rFonts w:hint="eastAsia" w:ascii="宋体" w:hAnsi="宋体" w:cs="宋体"/>
          <w:color w:val="auto"/>
          <w:szCs w:val="21"/>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rPr>
        <w:t>签章</w:t>
      </w:r>
      <w:r>
        <w:rPr>
          <w:rFonts w:hint="eastAsia" w:ascii="宋体" w:hAnsi="宋体" w:cs="宋体"/>
          <w:color w:val="auto"/>
          <w:spacing w:val="-6"/>
          <w:szCs w:val="21"/>
        </w:rPr>
        <w:t>。</w:t>
      </w:r>
    </w:p>
    <w:p w14:paraId="63E389C6">
      <w:pPr>
        <w:spacing w:line="360" w:lineRule="auto"/>
        <w:ind w:firstLine="420" w:firstLineChars="200"/>
        <w:contextualSpacing/>
        <w:rPr>
          <w:rFonts w:hint="eastAsia" w:ascii="宋体" w:hAnsi="宋体" w:cs="宋体"/>
          <w:color w:val="auto"/>
          <w:spacing w:val="-6"/>
          <w:szCs w:val="21"/>
        </w:rPr>
      </w:pPr>
      <w:r>
        <w:rPr>
          <w:rFonts w:hint="eastAsia" w:ascii="宋体" w:hAnsi="宋体" w:cs="Courier New"/>
          <w:color w:val="auto"/>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电子签章，或者由法定代表人或者其授权的代表签字</w:t>
      </w:r>
      <w:r>
        <w:rPr>
          <w:rFonts w:hint="eastAsia" w:ascii="宋体" w:hAnsi="宋体" w:cs="宋体"/>
          <w:color w:val="auto"/>
          <w:spacing w:val="-6"/>
          <w:szCs w:val="21"/>
        </w:rPr>
        <w:t>。</w:t>
      </w:r>
    </w:p>
    <w:p w14:paraId="2B294DEB">
      <w:pPr>
        <w:spacing w:line="360" w:lineRule="auto"/>
        <w:ind w:firstLine="396" w:firstLineChars="200"/>
        <w:contextualSpacing/>
        <w:rPr>
          <w:rFonts w:hint="eastAsia" w:ascii="宋体" w:hAnsi="宋体" w:cs="宋体"/>
          <w:color w:val="auto"/>
          <w:szCs w:val="21"/>
        </w:rPr>
      </w:pPr>
      <w:r>
        <w:rPr>
          <w:rFonts w:ascii="宋体" w:hAnsi="宋体" w:cs="宋体"/>
          <w:color w:val="auto"/>
          <w:spacing w:val="-6"/>
          <w:szCs w:val="21"/>
        </w:rPr>
        <w:t>3.4</w:t>
      </w:r>
      <w:r>
        <w:rPr>
          <w:rFonts w:hint="eastAsia" w:ascii="宋体" w:hAnsi="宋体" w:cs="宋体"/>
          <w:color w:val="auto"/>
          <w:szCs w:val="21"/>
        </w:rPr>
        <w:t xml:space="preserve">首次响应文件报价出现前后不一致的，按照下列规定修正： </w:t>
      </w:r>
    </w:p>
    <w:p w14:paraId="6A9EF3CE">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6EFC11F4">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（2）大写金额和小写金额不一致的，以大写金额为准；</w:t>
      </w:r>
    </w:p>
    <w:p w14:paraId="5749C1F7">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43A2F22D">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5D319332">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同时出现两种以上不一致的，按照以上（1）-（4）规定的顺序逐条进行修正。修正后的报价经供应商确认后产生约束力，供应商不确认的，其响应文件按无效处理。</w:t>
      </w:r>
    </w:p>
    <w:p w14:paraId="51E8BFC0">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14:paraId="691119BD">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在评审时，如发现下列情形之一的，将被视为响应文件无效处理：</w:t>
      </w:r>
    </w:p>
    <w:p w14:paraId="50156491">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（1）商务技术评审</w:t>
      </w:r>
    </w:p>
    <w:p w14:paraId="5FBFE0A5">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1）响应文件未按谈判文件要求签署、盖章的；</w:t>
      </w:r>
    </w:p>
    <w:p w14:paraId="5F1A0F34">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 xml:space="preserve">2）委托代理人未能出具有效身份证或者出具的身份证与授权委托书中的信息不符的； </w:t>
      </w:r>
    </w:p>
    <w:p w14:paraId="05C62200">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3）提交的竞标保证金无效的或者未按照谈判文件的规定提交竞标保证金的；</w:t>
      </w:r>
    </w:p>
    <w:p w14:paraId="1D1300E4">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7D15E8B7">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5）响应文件的实质性内容未使用中文表述、使用计量单位不符合谈判文件要求的；</w:t>
      </w:r>
    </w:p>
    <w:p w14:paraId="4C8DB608">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6）响应文件中的文件资料因填写不齐全或者内容虚假或者出现其他情形而导致被谈判小组认定无效的；</w:t>
      </w:r>
    </w:p>
    <w:p w14:paraId="738D2CFE">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7）响应文件含有采购人不能接受的附加条件的；</w:t>
      </w:r>
    </w:p>
    <w:p w14:paraId="0A03EF2F">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8）属于“供应商须知正文”第7.</w:t>
      </w:r>
      <w:r>
        <w:rPr>
          <w:rFonts w:ascii="宋体" w:hAnsi="宋体" w:cs="宋体"/>
          <w:b/>
          <w:color w:val="auto"/>
          <w:szCs w:val="21"/>
        </w:rPr>
        <w:t>5</w:t>
      </w:r>
      <w:r>
        <w:rPr>
          <w:rFonts w:hint="eastAsia" w:ascii="宋体" w:hAnsi="宋体" w:cs="宋体"/>
          <w:b/>
          <w:color w:val="auto"/>
          <w:szCs w:val="21"/>
        </w:rPr>
        <w:t>条供应商相互串通情形的；</w:t>
      </w:r>
    </w:p>
    <w:p w14:paraId="53FB888F">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9）虚假竞标，或者出现其他情形而导致被谈判小组认定无效的；</w:t>
      </w:r>
    </w:p>
    <w:p w14:paraId="73B2AF69">
      <w:pPr>
        <w:spacing w:line="360" w:lineRule="auto"/>
        <w:ind w:firstLine="422" w:firstLineChars="200"/>
        <w:contextualSpacing/>
        <w:rPr>
          <w:rFonts w:hint="eastAsia"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0）</w:t>
      </w:r>
      <w:bookmarkStart w:id="70" w:name="_Hlk71704147"/>
      <w:r>
        <w:rPr>
          <w:rFonts w:hint="eastAsia" w:ascii="宋体" w:hAnsi="宋体" w:cs="宋体"/>
          <w:b/>
          <w:color w:val="auto"/>
          <w:szCs w:val="21"/>
        </w:rPr>
        <w:t>谈判文件未载明允许提供备选（替代）竞标方案或明确不允许提供备选（替代）竞标方案时，供应商提供了备选（替代）竞标方案的；</w:t>
      </w:r>
      <w:bookmarkEnd w:id="70"/>
    </w:p>
    <w:p w14:paraId="29004AB4">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11）</w:t>
      </w:r>
      <w:r>
        <w:rPr>
          <w:rFonts w:hint="eastAsia" w:ascii="宋体" w:hAnsi="宋体"/>
          <w:b/>
          <w:color w:val="auto"/>
          <w:szCs w:val="21"/>
        </w:rPr>
        <w:t>谈判文件明确不允许分包，响应文件拟分包的；</w:t>
      </w:r>
    </w:p>
    <w:p w14:paraId="0B3EA31A">
      <w:pPr>
        <w:spacing w:line="360" w:lineRule="auto"/>
        <w:ind w:firstLine="422" w:firstLineChars="200"/>
        <w:rPr>
          <w:rFonts w:hint="eastAsia"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2）未响应谈判文件实质性要求的；</w:t>
      </w:r>
    </w:p>
    <w:p w14:paraId="7D03C966">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13）法律、法规和谈判文件规定的其他无效情形。</w:t>
      </w:r>
    </w:p>
    <w:p w14:paraId="15524DA9">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w:t>
      </w:r>
      <w:r>
        <w:rPr>
          <w:rFonts w:ascii="宋体" w:hAnsi="宋体" w:cs="宋体"/>
          <w:b/>
          <w:color w:val="auto"/>
          <w:szCs w:val="21"/>
        </w:rPr>
        <w:t>2）报</w:t>
      </w:r>
      <w:r>
        <w:rPr>
          <w:rFonts w:hint="eastAsia" w:ascii="宋体" w:hAnsi="宋体" w:cs="宋体"/>
          <w:b/>
          <w:color w:val="auto"/>
          <w:szCs w:val="21"/>
        </w:rPr>
        <w:t>价评审</w:t>
      </w:r>
    </w:p>
    <w:p w14:paraId="117A0CC3">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1）响应文件未提供“供应商须知前附表” 报价文件中规定的“竞标报价表”的；</w:t>
      </w:r>
    </w:p>
    <w:p w14:paraId="12484971">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2）未采用人民币报价或者未按照谈判文件标明的币种报价的；</w:t>
      </w:r>
    </w:p>
    <w:p w14:paraId="7A363B28">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3）供应商未就本项目进行报价或者存在漏项报价；供应商未就本项目的单项内容作唯一报价；供应商未就本项目的全部内容作完整唯一总价报价；供应商响应文件中存在有选择、有条件报价的（谈判文件允许有备选方案或者其他约定的除外）；</w:t>
      </w:r>
    </w:p>
    <w:p w14:paraId="0D8855D6">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4）竞标报价（包含首次报价、最后报价）超过本项目规定的采购预算金额或者最高限价的（如本项目公布了最高限价）；</w:t>
      </w:r>
    </w:p>
    <w:p w14:paraId="4251A039">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5）修正后的报价，供应商不确认的；或者经供应商确认修正后的竞标报价（包含首次报价、最后报价）超过本项目规定的采购预算金额或者最高限价（如本项目公布了最高限价）。</w:t>
      </w:r>
    </w:p>
    <w:p w14:paraId="507C8E5C">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6）在单价合同工程中供应商采用总价优惠或以总价百分比优惠的方式进行竞标报价的；</w:t>
      </w:r>
    </w:p>
    <w:p w14:paraId="556E4F97">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7）竞标总报价与已标价工程量清单汇总表不一致的；</w:t>
      </w:r>
    </w:p>
    <w:p w14:paraId="03F02A7A">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8）安全文明施工费和规费、增值税不按广西区费用定额及造价管理相关文件规定报价的（园林绿化及仿古建筑工程除外）；</w:t>
      </w:r>
    </w:p>
    <w:p w14:paraId="2F9A3CE6">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9）供应商已标价工程量清单的项目编码（12位）、计量单位、工程量任何一处与工程量清单不一致的；</w:t>
      </w:r>
    </w:p>
    <w:p w14:paraId="4B1F0E55">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10）供应商已标价工程量清单的项目名称或项目特征与工程量清单不一致，谈判小组要求澄清、说明或补正，但供应商拒绝澄清、说明或补正的；</w:t>
      </w:r>
    </w:p>
    <w:p w14:paraId="0175B75D">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11）设有暂估价、暂列金额的，竞标时未按工程量清单给出的暂估价总价、暂列金额总价计入竞标总报价中的；</w:t>
      </w:r>
    </w:p>
    <w:p w14:paraId="1C080E27">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12）供应商对工程量清单内容进行增减或对竞标范围进行调整的；</w:t>
      </w:r>
    </w:p>
    <w:p w14:paraId="7C13BDD1">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13）响应文件响应的标的数量及单位与谈判文件要求实质性不一致的；</w:t>
      </w:r>
    </w:p>
    <w:p w14:paraId="1C65E37E">
      <w:pPr>
        <w:spacing w:line="360" w:lineRule="auto"/>
        <w:ind w:firstLine="422" w:firstLineChars="200"/>
        <w:contextualSpacing/>
        <w:rPr>
          <w:rFonts w:hint="eastAsia" w:ascii="宋体" w:hAnsi="宋体" w:cs="宋体"/>
          <w:b/>
          <w:color w:val="auto"/>
          <w:szCs w:val="21"/>
        </w:rPr>
      </w:pPr>
      <w:r>
        <w:rPr>
          <w:rFonts w:hint="eastAsia" w:ascii="宋体" w:hAnsi="宋体" w:cs="宋体"/>
          <w:b/>
          <w:color w:val="auto"/>
          <w:szCs w:val="21"/>
        </w:rPr>
        <w:t>14）未对竞标有效期作出响应或者响应文件承诺的竞标有效期不满足谈判文件要求的；</w:t>
      </w:r>
    </w:p>
    <w:p w14:paraId="0BD50B81">
      <w:pPr>
        <w:spacing w:line="360" w:lineRule="auto"/>
        <w:ind w:firstLine="422" w:firstLineChars="200"/>
        <w:rPr>
          <w:rFonts w:hint="eastAsia"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5）未响应谈判文件实质性要求的。</w:t>
      </w:r>
    </w:p>
    <w:p w14:paraId="07270638">
      <w:pPr>
        <w:spacing w:line="360" w:lineRule="auto"/>
        <w:ind w:firstLine="420" w:firstLineChars="200"/>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7F264837">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7AAD56D2">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除本章第3.7条规定的情形外，通过符合性审查的合格供应商不足3家的，不得进入谈判环节，应当重新开展采购活动。</w:t>
      </w:r>
    </w:p>
    <w:p w14:paraId="66E8A568">
      <w:pPr>
        <w:spacing w:line="360" w:lineRule="auto"/>
        <w:ind w:firstLine="482" w:firstLineChars="200"/>
        <w:contextualSpacing/>
        <w:rPr>
          <w:rFonts w:hint="eastAsia" w:ascii="黑体" w:hAnsi="黑体" w:eastAsia="黑体" w:cs="宋体"/>
          <w:b/>
          <w:bCs/>
          <w:color w:val="auto"/>
          <w:sz w:val="24"/>
        </w:rPr>
      </w:pPr>
      <w:r>
        <w:rPr>
          <w:rFonts w:hint="eastAsia" w:ascii="黑体" w:hAnsi="黑体" w:eastAsia="黑体" w:cs="宋体"/>
          <w:b/>
          <w:bCs/>
          <w:color w:val="auto"/>
          <w:sz w:val="24"/>
        </w:rPr>
        <w:t>4</w:t>
      </w:r>
      <w:r>
        <w:rPr>
          <w:rFonts w:ascii="黑体" w:hAnsi="黑体" w:eastAsia="黑体" w:cs="宋体"/>
          <w:b/>
          <w:bCs/>
          <w:color w:val="auto"/>
          <w:sz w:val="24"/>
        </w:rPr>
        <w:t>.</w:t>
      </w:r>
      <w:r>
        <w:rPr>
          <w:rFonts w:hint="eastAsia" w:ascii="黑体" w:hAnsi="黑体" w:eastAsia="黑体" w:cs="宋体"/>
          <w:b/>
          <w:bCs/>
          <w:color w:val="auto"/>
          <w:sz w:val="24"/>
        </w:rPr>
        <w:t>谈判程序</w:t>
      </w:r>
    </w:p>
    <w:p w14:paraId="061E6F03">
      <w:pPr>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.1</w:t>
      </w:r>
      <w:r>
        <w:rPr>
          <w:rFonts w:hint="eastAsia" w:ascii="宋体" w:hAnsi="宋体" w:cs="宋体"/>
          <w:color w:val="auto"/>
          <w:kern w:val="0"/>
          <w:szCs w:val="21"/>
        </w:rPr>
        <w:t>谈判小组</w:t>
      </w:r>
      <w:r>
        <w:rPr>
          <w:rFonts w:hint="eastAsia" w:ascii="宋体" w:hAnsi="宋体" w:cs="宋体"/>
          <w:color w:val="auto"/>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58956C9A">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777437B8">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4.3</w:t>
      </w:r>
      <w:r>
        <w:rPr>
          <w:rFonts w:hint="eastAsia" w:ascii="宋体" w:hAnsi="宋体" w:cs="宋体"/>
          <w:color w:val="auto"/>
          <w:szCs w:val="21"/>
        </w:rPr>
        <w:t>对谈判文件作出的实质性变动是谈判文件的有效组成部分，由谈判小组及时以电子澄清函形式同时通知所有参加谈判的供应商。</w:t>
      </w:r>
    </w:p>
    <w:p w14:paraId="408A7DA3">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4.4</w:t>
      </w:r>
      <w:r>
        <w:rPr>
          <w:rFonts w:hint="eastAsia" w:ascii="宋体" w:hAnsi="宋体" w:cs="宋体"/>
          <w:color w:val="auto"/>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1C02B05B">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4.5</w:t>
      </w:r>
      <w:r>
        <w:rPr>
          <w:rFonts w:hint="eastAsia" w:ascii="宋体" w:hAnsi="宋体" w:cs="宋体"/>
          <w:color w:val="auto"/>
          <w:szCs w:val="21"/>
        </w:rPr>
        <w:t>谈判中，谈判的任何一方不得透露与谈判有关的其他供应商的技术资料、价格和其他信息。</w:t>
      </w:r>
    </w:p>
    <w:p w14:paraId="2E345A3E">
      <w:pPr>
        <w:widowControl/>
        <w:tabs>
          <w:tab w:val="left" w:pos="540"/>
        </w:tabs>
        <w:spacing w:line="360" w:lineRule="auto"/>
        <w:ind w:firstLine="420" w:firstLineChars="200"/>
        <w:contextualSpacing/>
        <w:jc w:val="left"/>
        <w:rPr>
          <w:rFonts w:hint="eastAsia" w:ascii="宋体" w:hAnsi="宋体" w:cs="宋体"/>
          <w:color w:val="auto"/>
          <w:szCs w:val="21"/>
        </w:rPr>
      </w:pPr>
      <w:r>
        <w:rPr>
          <w:rFonts w:ascii="宋体" w:hAnsi="宋体" w:cs="宋体"/>
          <w:color w:val="auto"/>
          <w:szCs w:val="21"/>
        </w:rPr>
        <w:t>4.6</w:t>
      </w:r>
      <w:r>
        <w:rPr>
          <w:rFonts w:hint="eastAsia" w:ascii="宋体" w:hAnsi="宋体" w:cs="宋体"/>
          <w:color w:val="auto"/>
          <w:szCs w:val="21"/>
        </w:rPr>
        <w:t>采购代理机构对谈判过程和谈判内容进行记录。</w:t>
      </w:r>
    </w:p>
    <w:p w14:paraId="2976C56E">
      <w:pPr>
        <w:tabs>
          <w:tab w:val="left" w:pos="2835"/>
        </w:tabs>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4.</w:t>
      </w:r>
      <w:r>
        <w:rPr>
          <w:rFonts w:hint="eastAsia" w:ascii="宋体" w:hAnsi="宋体" w:cs="宋体"/>
          <w:color w:val="auto"/>
          <w:szCs w:val="21"/>
        </w:rPr>
        <w:t>7除本章第3.7条规定的情形外，</w:t>
      </w:r>
      <w:r>
        <w:rPr>
          <w:rFonts w:hint="eastAsia" w:ascii="宋体" w:hAnsi="宋体"/>
          <w:color w:val="auto"/>
          <w:szCs w:val="21"/>
        </w:rPr>
        <w:t>对谈判过程提交的响应文件进行有效性、完整性和响应程度审查，通过审查的合格供应商不足3家的，应当重新开展采购活动</w:t>
      </w:r>
      <w:r>
        <w:rPr>
          <w:rFonts w:hint="eastAsia" w:ascii="宋体" w:hAnsi="宋体" w:cs="宋体"/>
          <w:color w:val="auto"/>
          <w:szCs w:val="21"/>
        </w:rPr>
        <w:t>。</w:t>
      </w:r>
    </w:p>
    <w:p w14:paraId="4C80DCAF">
      <w:pPr>
        <w:spacing w:line="360" w:lineRule="auto"/>
        <w:ind w:firstLine="482" w:firstLineChars="200"/>
        <w:contextualSpacing/>
        <w:rPr>
          <w:rFonts w:hint="eastAsia"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 xml:space="preserve"> 最后报价</w:t>
      </w:r>
    </w:p>
    <w:p w14:paraId="069F099B">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谈判文件能够详细列明采购标的的技术、服务要求的，谈判结束后，谈判小组应当要求所有继续参加谈判的供应商在规定时间内在</w:t>
      </w:r>
      <w:r>
        <w:rPr>
          <w:rFonts w:hint="eastAsia" w:hAnsi="宋体"/>
          <w:color w:val="auto"/>
        </w:rPr>
        <w:t>广西政府采购云平台</w:t>
      </w:r>
      <w:r>
        <w:rPr>
          <w:rFonts w:hint="eastAsia" w:ascii="宋体" w:hAnsi="宋体" w:cs="宋体"/>
          <w:color w:val="auto"/>
          <w:szCs w:val="21"/>
        </w:rPr>
        <w:t>开标大厅提交加盖供应商电子签章的最后报价，除本章第3.7条规定的情形外，提交最后报价的供应商不得少于3家，否则应当重新</w:t>
      </w:r>
      <w:r>
        <w:rPr>
          <w:rFonts w:hint="eastAsia" w:ascii="宋体" w:hAnsi="宋体"/>
          <w:color w:val="auto"/>
          <w:szCs w:val="21"/>
        </w:rPr>
        <w:t>开展采购活动</w:t>
      </w:r>
      <w:r>
        <w:rPr>
          <w:rFonts w:hint="eastAsia" w:ascii="宋体" w:hAnsi="宋体" w:cs="宋体"/>
          <w:color w:val="auto"/>
          <w:szCs w:val="21"/>
        </w:rPr>
        <w:t>。</w:t>
      </w:r>
    </w:p>
    <w:p w14:paraId="1E404598">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5</w:t>
      </w: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Pr>
          <w:rFonts w:hint="eastAsia" w:hAnsi="宋体"/>
          <w:color w:val="auto"/>
        </w:rPr>
        <w:t>广西政府采购云平台</w:t>
      </w:r>
      <w:r>
        <w:rPr>
          <w:rFonts w:hint="eastAsia" w:ascii="宋体" w:hAnsi="宋体" w:cs="宋体"/>
          <w:color w:val="auto"/>
          <w:szCs w:val="21"/>
        </w:rPr>
        <w:t>开标大厅提交最后报价。</w:t>
      </w:r>
      <w:r>
        <w:rPr>
          <w:rFonts w:hint="eastAsia" w:ascii="宋体" w:hAnsi="宋体" w:cs="宋体"/>
          <w:b/>
          <w:color w:val="auto"/>
          <w:szCs w:val="21"/>
        </w:rPr>
        <w:t>如果供应商的最后报价与首次报价不一致的，不能只报竞标总报价，必须同时提供“已标价工程量清单”，否则做无效响应处理。</w:t>
      </w:r>
    </w:p>
    <w:p w14:paraId="22BA9A3C">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5.3</w:t>
      </w:r>
      <w:r>
        <w:rPr>
          <w:rFonts w:hint="eastAsia" w:ascii="宋体" w:hAnsi="宋体" w:cs="宋体"/>
          <w:color w:val="auto"/>
          <w:szCs w:val="21"/>
        </w:rPr>
        <w:t>最后报价是供应商响应文件的有效组成部分。</w:t>
      </w:r>
    </w:p>
    <w:p w14:paraId="6BBBA43F">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5.4</w:t>
      </w:r>
      <w:r>
        <w:rPr>
          <w:rFonts w:hint="eastAsia" w:ascii="宋体" w:hAnsi="宋体" w:cs="宋体"/>
          <w:color w:val="auto"/>
          <w:szCs w:val="21"/>
        </w:rPr>
        <w:t>已经提交响应文件的供应商，在提交最后报价之前，可以根据谈判情况退出谈判，退出谈判的供应商的响应文件按无效处理。采购人、采购代理机构将退还退出谈判的供应商的保证金。</w:t>
      </w:r>
    </w:p>
    <w:p w14:paraId="1898E46C">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5.5</w:t>
      </w:r>
      <w:r>
        <w:rPr>
          <w:rFonts w:hint="eastAsia" w:ascii="宋体" w:hAnsi="宋体" w:cs="宋体"/>
          <w:color w:val="auto"/>
          <w:szCs w:val="21"/>
        </w:rPr>
        <w:t>供应商未在规定时间内提交最后报价的，视为退出谈判，其响应文件按无效处理。</w:t>
      </w:r>
    </w:p>
    <w:p w14:paraId="3C7FCD7D">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.6</w:t>
      </w:r>
      <w:r>
        <w:rPr>
          <w:rFonts w:hint="eastAsia" w:ascii="宋体" w:hAnsi="宋体" w:cs="宋体"/>
          <w:color w:val="auto"/>
          <w:szCs w:val="21"/>
        </w:rPr>
        <w:t>最后报价统一开启后，谈判小组对最后报价进行有效性、完整性和响应程度的审查。</w:t>
      </w:r>
    </w:p>
    <w:p w14:paraId="0DFB0E7A">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5.7</w:t>
      </w:r>
      <w:r>
        <w:rPr>
          <w:rFonts w:hint="eastAsia" w:ascii="宋体" w:hAnsi="宋体" w:cs="宋体"/>
          <w:color w:val="auto"/>
          <w:szCs w:val="21"/>
        </w:rPr>
        <w:t>最后报价出现前后不一致的，按照本章第</w:t>
      </w:r>
      <w:r>
        <w:rPr>
          <w:rFonts w:ascii="宋体" w:hAnsi="宋体" w:cs="宋体"/>
          <w:color w:val="auto"/>
          <w:szCs w:val="21"/>
        </w:rPr>
        <w:t>3.4</w:t>
      </w:r>
      <w:r>
        <w:rPr>
          <w:rFonts w:hint="eastAsia" w:ascii="宋体" w:hAnsi="宋体" w:cs="宋体"/>
          <w:color w:val="auto"/>
          <w:szCs w:val="21"/>
        </w:rPr>
        <w:t xml:space="preserve">条的规定修正。 </w:t>
      </w:r>
    </w:p>
    <w:p w14:paraId="73671E88">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5.8</w:t>
      </w:r>
      <w:r>
        <w:rPr>
          <w:rFonts w:hint="eastAsia" w:ascii="宋体" w:hAnsi="宋体" w:cs="宋体"/>
          <w:color w:val="auto"/>
          <w:szCs w:val="21"/>
        </w:rPr>
        <w:t>修正后的报价出现下列情形的，按无效响应处理：</w:t>
      </w:r>
    </w:p>
    <w:p w14:paraId="560B3ACB">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（1）供应商不确认的（全流程电子化评标采取在线确认）；</w:t>
      </w:r>
    </w:p>
    <w:p w14:paraId="07DB7376">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（2）经供应商确认修正后的竞标报价（包含首次报价、最后报价）超过所竞标项目规定的采购预算金额或者最高限价的（如本项目公布了最高限价）。</w:t>
      </w:r>
    </w:p>
    <w:p w14:paraId="08E9370F">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5.9</w:t>
      </w:r>
      <w:r>
        <w:rPr>
          <w:rFonts w:hint="eastAsia" w:ascii="宋体" w:hAnsi="宋体" w:cs="宋体"/>
          <w:color w:val="auto"/>
          <w:szCs w:val="21"/>
        </w:rPr>
        <w:t>经供应商确认修正后的最后报价作为评审及签订合同的依据。</w:t>
      </w:r>
    </w:p>
    <w:p w14:paraId="75F1EEF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5.10供应商出现最后报价按无效响应处理或者响应文件按无效处理时</w:t>
      </w:r>
      <w:r>
        <w:rPr>
          <w:rFonts w:hint="eastAsia" w:ascii="宋体" w:hAnsi="宋体"/>
          <w:color w:val="auto"/>
          <w:sz w:val="22"/>
          <w:szCs w:val="22"/>
        </w:rPr>
        <w:t>，谈判小组应当告知有关供应商</w:t>
      </w:r>
      <w:r>
        <w:rPr>
          <w:rFonts w:hint="eastAsia" w:ascii="宋体" w:hAnsi="宋体" w:cs="宋体"/>
          <w:color w:val="auto"/>
          <w:szCs w:val="21"/>
        </w:rPr>
        <w:t>。</w:t>
      </w:r>
    </w:p>
    <w:p w14:paraId="5D69ACF5">
      <w:pPr>
        <w:spacing w:line="360" w:lineRule="auto"/>
        <w:ind w:firstLine="420" w:firstLineChars="200"/>
        <w:rPr>
          <w:rFonts w:hint="eastAsia" w:ascii="宋体" w:hAnsi="宋体" w:cs="宋体"/>
          <w:color w:val="auto"/>
          <w:szCs w:val="21"/>
        </w:rPr>
      </w:pPr>
      <w:r>
        <w:rPr>
          <w:rFonts w:ascii="宋体" w:hAnsi="宋体" w:cs="宋体"/>
          <w:color w:val="auto"/>
          <w:szCs w:val="21"/>
        </w:rPr>
        <w:t>5.1</w:t>
      </w:r>
      <w:r>
        <w:rPr>
          <w:rFonts w:hint="eastAsia" w:ascii="宋体" w:hAnsi="宋体" w:cs="宋体"/>
          <w:color w:val="auto"/>
          <w:szCs w:val="21"/>
        </w:rPr>
        <w:t>1最后报价结束后，谈判小组不得再与供应商进行任何形式的商谈。</w:t>
      </w:r>
    </w:p>
    <w:p w14:paraId="3A1D1F6D">
      <w:pPr>
        <w:spacing w:line="360" w:lineRule="auto"/>
        <w:ind w:firstLine="482" w:firstLineChars="200"/>
        <w:contextualSpacing/>
        <w:rPr>
          <w:rFonts w:hint="eastAsia" w:ascii="黑体" w:hAnsi="黑体" w:eastAsia="黑体" w:cs="宋体"/>
          <w:b/>
          <w:bCs/>
          <w:color w:val="auto"/>
          <w:sz w:val="24"/>
        </w:rPr>
      </w:pPr>
      <w:r>
        <w:rPr>
          <w:rFonts w:ascii="黑体" w:hAnsi="黑体" w:eastAsia="黑体" w:cs="宋体"/>
          <w:b/>
          <w:bCs/>
          <w:color w:val="auto"/>
          <w:sz w:val="24"/>
        </w:rPr>
        <w:t>6.</w:t>
      </w:r>
      <w:r>
        <w:rPr>
          <w:rFonts w:hint="eastAsia" w:ascii="黑体" w:hAnsi="黑体" w:eastAsia="黑体" w:cs="宋体"/>
          <w:b/>
          <w:bCs/>
          <w:color w:val="auto"/>
          <w:sz w:val="24"/>
        </w:rPr>
        <w:t xml:space="preserve"> 最后报价政府采购政策性扣除</w:t>
      </w:r>
    </w:p>
    <w:p w14:paraId="0A4B6C12">
      <w:pPr>
        <w:spacing w:line="360" w:lineRule="auto"/>
        <w:ind w:firstLine="420" w:firstLineChars="200"/>
        <w:rPr>
          <w:rFonts w:hint="eastAsia" w:ascii="宋体" w:hAnsi="宋体"/>
          <w:color w:val="auto"/>
          <w:szCs w:val="21"/>
        </w:rPr>
      </w:pPr>
      <w:r>
        <w:rPr>
          <w:rFonts w:hint="eastAsia" w:hAnsi="宋体" w:cs="宋体"/>
          <w:bCs/>
          <w:color w:val="auto"/>
        </w:rPr>
        <w:t>本项目为专门面向中小企业项目，小微企业、监狱企业、残疾人福利性单位不再执行价格评审优惠的扶持政策</w:t>
      </w:r>
      <w:r>
        <w:rPr>
          <w:rFonts w:hint="eastAsia" w:ascii="宋体" w:hAnsi="宋体"/>
          <w:color w:val="auto"/>
          <w:szCs w:val="21"/>
        </w:rPr>
        <w:t>。</w:t>
      </w:r>
    </w:p>
    <w:p w14:paraId="0A7DAF5B">
      <w:pPr>
        <w:spacing w:line="360" w:lineRule="auto"/>
        <w:contextualSpacing/>
        <w:jc w:val="center"/>
        <w:rPr>
          <w:rFonts w:hint="eastAsia" w:ascii="黑体" w:hAnsi="黑体" w:eastAsia="黑体" w:cs="宋体"/>
          <w:b/>
          <w:bCs/>
          <w:color w:val="auto"/>
          <w:sz w:val="24"/>
        </w:rPr>
      </w:pPr>
    </w:p>
    <w:p w14:paraId="12BCEE1C">
      <w:pPr>
        <w:spacing w:line="360" w:lineRule="auto"/>
        <w:contextualSpacing/>
        <w:jc w:val="center"/>
        <w:rPr>
          <w:rFonts w:hint="eastAsia" w:ascii="宋体" w:hAnsi="宋体"/>
          <w:b/>
          <w:color w:val="auto"/>
          <w:sz w:val="32"/>
          <w:szCs w:val="32"/>
        </w:rPr>
      </w:pPr>
      <w:r>
        <w:rPr>
          <w:rFonts w:hint="eastAsia" w:ascii="宋体" w:hAnsi="宋体"/>
          <w:b/>
          <w:color w:val="auto"/>
          <w:sz w:val="32"/>
          <w:szCs w:val="32"/>
        </w:rPr>
        <w:t>二、评定成交的标准</w:t>
      </w:r>
    </w:p>
    <w:p w14:paraId="7507568D">
      <w:pPr>
        <w:spacing w:line="360" w:lineRule="auto"/>
        <w:ind w:firstLine="482" w:firstLineChars="200"/>
        <w:contextualSpacing/>
        <w:rPr>
          <w:rFonts w:hint="eastAsia" w:ascii="黑体" w:hAnsi="黑体" w:eastAsia="黑体" w:cs="宋体"/>
          <w:b/>
          <w:bCs/>
          <w:color w:val="auto"/>
          <w:sz w:val="24"/>
        </w:rPr>
      </w:pPr>
      <w:r>
        <w:rPr>
          <w:rFonts w:ascii="黑体" w:hAnsi="黑体" w:eastAsia="黑体" w:cs="宋体"/>
          <w:b/>
          <w:bCs/>
          <w:color w:val="auto"/>
          <w:sz w:val="24"/>
        </w:rPr>
        <w:t>7.</w:t>
      </w:r>
      <w:r>
        <w:rPr>
          <w:rFonts w:hint="eastAsia" w:ascii="黑体" w:hAnsi="黑体" w:eastAsia="黑体" w:cs="宋体"/>
          <w:b/>
          <w:bCs/>
          <w:color w:val="auto"/>
          <w:sz w:val="24"/>
        </w:rPr>
        <w:t xml:space="preserve"> 成交候选人推荐原则</w:t>
      </w:r>
    </w:p>
    <w:p w14:paraId="359049C6">
      <w:pPr>
        <w:spacing w:line="360" w:lineRule="auto"/>
        <w:ind w:firstLine="420" w:firstLineChars="200"/>
        <w:contextualSpacing/>
        <w:rPr>
          <w:rFonts w:hint="eastAsia" w:hAnsi="宋体"/>
          <w:color w:val="auto"/>
        </w:rPr>
      </w:pPr>
      <w:r>
        <w:rPr>
          <w:rFonts w:hint="eastAsia" w:ascii="宋体" w:hAnsi="宋体" w:cs="宋体"/>
          <w:color w:val="auto"/>
        </w:rPr>
        <w:t>谈判小组应当从质量和服务均能满足谈判文件实质性响应要求的供应商中，按照最后报价由低到高的顺序提出3名以上成交候选人（最后报价相同的，由谈判小组按“供应商须知前附表”第2</w:t>
      </w:r>
      <w:r>
        <w:rPr>
          <w:rFonts w:ascii="宋体" w:hAnsi="宋体" w:cs="宋体"/>
          <w:color w:val="auto"/>
        </w:rPr>
        <w:t>6</w:t>
      </w:r>
      <w:r>
        <w:rPr>
          <w:rFonts w:hint="eastAsia" w:ascii="宋体" w:hAnsi="宋体" w:cs="宋体"/>
          <w:color w:val="auto"/>
        </w:rPr>
        <w:t>条规定的顺序推荐），并编写评审报告，</w:t>
      </w:r>
      <w:r>
        <w:rPr>
          <w:rFonts w:hint="eastAsia" w:hAnsi="宋体"/>
          <w:color w:val="auto"/>
        </w:rPr>
        <w:t>并通过电子交易平台向采购人、采购代理机构提交。</w:t>
      </w:r>
    </w:p>
    <w:p w14:paraId="7B6AEFCB">
      <w:pPr>
        <w:spacing w:line="360" w:lineRule="auto"/>
        <w:ind w:firstLine="420" w:firstLineChars="200"/>
        <w:contextualSpacing/>
        <w:rPr>
          <w:rFonts w:hint="eastAsia" w:ascii="宋体" w:hAnsi="宋体" w:cs="宋体"/>
          <w:color w:val="auto"/>
        </w:rPr>
      </w:pPr>
      <w:r>
        <w:rPr>
          <w:rFonts w:hint="eastAsia" w:ascii="宋体" w:hAnsi="宋体" w:cs="宋体"/>
          <w:color w:val="auto"/>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07E27CB">
      <w:pPr>
        <w:pStyle w:val="3"/>
        <w:jc w:val="center"/>
        <w:rPr>
          <w:rFonts w:hint="eastAsia" w:ascii="宋体" w:hAnsi="宋体" w:cs="宋体"/>
          <w:color w:val="auto"/>
        </w:rPr>
      </w:pPr>
      <w:r>
        <w:rPr>
          <w:rFonts w:ascii="宋体" w:hAnsi="宋体" w:cs="宋体"/>
          <w:color w:val="auto"/>
        </w:rPr>
        <w:br w:type="page"/>
      </w:r>
    </w:p>
    <w:p w14:paraId="12C98A10">
      <w:pPr>
        <w:pStyle w:val="3"/>
        <w:jc w:val="center"/>
        <w:rPr>
          <w:rFonts w:hint="eastAsia" w:ascii="宋体" w:hAnsi="宋体" w:cs="宋体"/>
          <w:color w:val="auto"/>
        </w:rPr>
      </w:pPr>
    </w:p>
    <w:p w14:paraId="58C25031">
      <w:pPr>
        <w:pStyle w:val="3"/>
        <w:jc w:val="center"/>
        <w:rPr>
          <w:rFonts w:hint="eastAsia" w:ascii="宋体" w:hAnsi="宋体" w:cs="宋体"/>
          <w:color w:val="auto"/>
        </w:rPr>
      </w:pPr>
    </w:p>
    <w:p w14:paraId="318B5379">
      <w:pPr>
        <w:pStyle w:val="3"/>
        <w:jc w:val="center"/>
        <w:rPr>
          <w:color w:val="auto"/>
        </w:rPr>
      </w:pPr>
    </w:p>
    <w:p w14:paraId="490E2378">
      <w:pPr>
        <w:pStyle w:val="3"/>
        <w:jc w:val="center"/>
        <w:rPr>
          <w:color w:val="auto"/>
        </w:rPr>
      </w:pPr>
      <w:r>
        <w:rPr>
          <w:rFonts w:hint="eastAsia"/>
          <w:color w:val="auto"/>
        </w:rPr>
        <w:t>第五章 工程量清单及图纸</w:t>
      </w:r>
    </w:p>
    <w:p w14:paraId="3E739C9E">
      <w:pPr>
        <w:pStyle w:val="3"/>
        <w:jc w:val="center"/>
        <w:rPr>
          <w:color w:val="auto"/>
        </w:rPr>
      </w:pPr>
    </w:p>
    <w:p w14:paraId="744C340F">
      <w:pPr>
        <w:pStyle w:val="3"/>
        <w:spacing w:before="0" w:after="0" w:line="360" w:lineRule="auto"/>
        <w:jc w:val="center"/>
        <w:rPr>
          <w:color w:val="auto"/>
        </w:rPr>
      </w:pPr>
      <w:r>
        <w:rPr>
          <w:color w:val="auto"/>
        </w:rPr>
        <w:br w:type="page"/>
      </w:r>
      <w:bookmarkStart w:id="71" w:name="_Toc1392571603"/>
      <w:bookmarkStart w:id="72" w:name="_Toc78449869"/>
      <w:bookmarkStart w:id="73" w:name="_Toc1386396751"/>
      <w:bookmarkStart w:id="74" w:name="_Toc407135284"/>
      <w:r>
        <w:rPr>
          <w:color w:val="auto"/>
        </w:rPr>
        <w:t>1</w:t>
      </w:r>
      <w:r>
        <w:rPr>
          <w:rFonts w:hint="eastAsia"/>
          <w:color w:val="auto"/>
        </w:rPr>
        <w:t>.</w:t>
      </w:r>
      <w:r>
        <w:rPr>
          <w:rFonts w:hint="eastAsia" w:cs="黑体"/>
          <w:color w:val="auto"/>
        </w:rPr>
        <w:t>工程量清单编制说明</w:t>
      </w:r>
      <w:bookmarkEnd w:id="71"/>
      <w:bookmarkEnd w:id="72"/>
      <w:bookmarkEnd w:id="73"/>
      <w:bookmarkEnd w:id="74"/>
    </w:p>
    <w:p w14:paraId="2A761B69">
      <w:pPr>
        <w:spacing w:line="380" w:lineRule="exact"/>
        <w:ind w:firstLine="420" w:firstLineChars="200"/>
        <w:rPr>
          <w:color w:val="auto"/>
        </w:rPr>
      </w:pPr>
      <w:r>
        <w:rPr>
          <w:color w:val="auto"/>
        </w:rPr>
        <w:t>1.1</w:t>
      </w:r>
      <w:r>
        <w:rPr>
          <w:rFonts w:hint="eastAsia" w:hAnsi="宋体" w:cs="宋体"/>
          <w:color w:val="auto"/>
        </w:rPr>
        <w:t>本工程量清单依据《建设工程工程量清单计价规范</w:t>
      </w:r>
      <w:r>
        <w:rPr>
          <w:rFonts w:hint="eastAsia" w:cs="宋体"/>
          <w:color w:val="auto"/>
        </w:rPr>
        <w:t>（</w:t>
      </w:r>
      <w:r>
        <w:rPr>
          <w:color w:val="auto"/>
        </w:rPr>
        <w:t>GB50500-2013</w:t>
      </w:r>
      <w:r>
        <w:rPr>
          <w:rFonts w:hint="eastAsia" w:cs="宋体"/>
          <w:color w:val="auto"/>
        </w:rPr>
        <w:t>）</w:t>
      </w:r>
      <w:r>
        <w:rPr>
          <w:rFonts w:hint="eastAsia" w:hAnsi="宋体" w:cs="宋体"/>
          <w:color w:val="auto"/>
        </w:rPr>
        <w:t>广西实施细则》（以下简称</w:t>
      </w:r>
      <w:r>
        <w:rPr>
          <w:color w:val="auto"/>
        </w:rPr>
        <w:t>“</w:t>
      </w:r>
      <w:r>
        <w:rPr>
          <w:rFonts w:hint="eastAsia" w:hAnsi="宋体" w:cs="宋体"/>
          <w:color w:val="auto"/>
        </w:rPr>
        <w:t>《计价规范》</w:t>
      </w:r>
      <w:r>
        <w:rPr>
          <w:color w:val="auto"/>
        </w:rPr>
        <w:t>”</w:t>
      </w:r>
      <w:r>
        <w:rPr>
          <w:rFonts w:hint="eastAsia" w:cs="宋体"/>
          <w:color w:val="auto"/>
        </w:rPr>
        <w:t>）</w:t>
      </w:r>
      <w:r>
        <w:rPr>
          <w:rFonts w:hint="eastAsia" w:hAnsi="宋体" w:cs="宋体"/>
          <w:color w:val="auto"/>
        </w:rPr>
        <w:t>、《工程量清单计算规范（</w:t>
      </w:r>
      <w:r>
        <w:rPr>
          <w:color w:val="auto"/>
        </w:rPr>
        <w:t>GB50854~50862-2013</w:t>
      </w:r>
      <w:r>
        <w:rPr>
          <w:rFonts w:hint="eastAsia" w:hAnsi="宋体" w:cs="宋体"/>
          <w:color w:val="auto"/>
        </w:rPr>
        <w:t>）》及广西实施细则（修订本）（以下简称</w:t>
      </w:r>
      <w:r>
        <w:rPr>
          <w:color w:val="auto"/>
        </w:rPr>
        <w:t>“</w:t>
      </w:r>
      <w:r>
        <w:rPr>
          <w:rFonts w:hint="eastAsia" w:hAnsi="宋体" w:cs="宋体"/>
          <w:color w:val="auto"/>
        </w:rPr>
        <w:t>《计算规范》</w:t>
      </w:r>
      <w:r>
        <w:rPr>
          <w:color w:val="auto"/>
        </w:rPr>
        <w:t>”</w:t>
      </w:r>
      <w:r>
        <w:rPr>
          <w:rFonts w:hint="eastAsia" w:hAnsi="宋体" w:cs="宋体"/>
          <w:color w:val="auto"/>
        </w:rPr>
        <w:t>）、</w:t>
      </w:r>
      <w:r>
        <w:rPr>
          <w:rFonts w:hint="eastAsia" w:hAnsi="宋体" w:cs="宋体"/>
          <w:color w:val="auto"/>
          <w:kern w:val="0"/>
        </w:rPr>
        <w:t>《关于建筑业实施营业税改征增值税后广西壮族自治区建设工程计价依据调整的通知》（桂建标〔</w:t>
      </w:r>
      <w:r>
        <w:rPr>
          <w:rFonts w:hAnsi="宋体"/>
          <w:color w:val="auto"/>
          <w:kern w:val="0"/>
        </w:rPr>
        <w:t>2016</w:t>
      </w:r>
      <w:r>
        <w:rPr>
          <w:rFonts w:hint="eastAsia" w:hAnsi="宋体" w:cs="宋体"/>
          <w:color w:val="auto"/>
          <w:kern w:val="0"/>
        </w:rPr>
        <w:t>〕</w:t>
      </w:r>
      <w:r>
        <w:rPr>
          <w:rFonts w:hAnsi="宋体"/>
          <w:color w:val="auto"/>
          <w:kern w:val="0"/>
        </w:rPr>
        <w:t>17</w:t>
      </w:r>
      <w:r>
        <w:rPr>
          <w:rFonts w:hint="eastAsia" w:hAnsi="宋体" w:cs="宋体"/>
          <w:color w:val="auto"/>
          <w:kern w:val="0"/>
        </w:rPr>
        <w:t>号）、谈判文件</w:t>
      </w:r>
      <w:r>
        <w:rPr>
          <w:rFonts w:hint="eastAsia" w:hAnsi="宋体" w:cs="宋体"/>
          <w:color w:val="auto"/>
        </w:rPr>
        <w:t>、施工图等编制。计算规范中没有的清单项目，应在本章第</w:t>
      </w:r>
      <w:r>
        <w:rPr>
          <w:color w:val="auto"/>
        </w:rPr>
        <w:t>1.4</w:t>
      </w:r>
      <w:r>
        <w:rPr>
          <w:rFonts w:hint="eastAsia" w:hAnsi="宋体" w:cs="宋体"/>
          <w:color w:val="auto"/>
        </w:rPr>
        <w:t>款约定。</w:t>
      </w:r>
    </w:p>
    <w:p w14:paraId="10065DA5">
      <w:pPr>
        <w:spacing w:line="380" w:lineRule="exact"/>
        <w:ind w:firstLine="420" w:firstLineChars="200"/>
        <w:rPr>
          <w:color w:val="auto"/>
        </w:rPr>
      </w:pPr>
      <w:r>
        <w:rPr>
          <w:color w:val="auto"/>
        </w:rPr>
        <w:t xml:space="preserve">1.2 </w:t>
      </w:r>
      <w:r>
        <w:rPr>
          <w:rFonts w:hint="eastAsia"/>
          <w:color w:val="auto"/>
        </w:rPr>
        <w:t>工程量清单应与供应商须知、合同协议条款、合同的通用条款、合同专用条款、技术规范及图纸等文件一起结合使用。</w:t>
      </w:r>
    </w:p>
    <w:p w14:paraId="5F4335E4">
      <w:pPr>
        <w:spacing w:line="380" w:lineRule="exact"/>
        <w:ind w:firstLine="420" w:firstLineChars="200"/>
        <w:rPr>
          <w:color w:val="auto"/>
        </w:rPr>
      </w:pPr>
      <w:r>
        <w:rPr>
          <w:color w:val="auto"/>
        </w:rPr>
        <w:t xml:space="preserve">1.3 </w:t>
      </w:r>
      <w:r>
        <w:rPr>
          <w:rFonts w:hint="eastAsia" w:cs="宋体"/>
          <w:color w:val="auto"/>
        </w:rPr>
        <w:t>工程量清单是谈判文件的组成部分，是工程量清单计价的基础，作为编制招标控制价、竞标报价、计算或调整工程量、索赔等的依据之一。</w:t>
      </w:r>
    </w:p>
    <w:p w14:paraId="30775973">
      <w:pPr>
        <w:spacing w:line="380" w:lineRule="exact"/>
        <w:ind w:firstLine="420" w:firstLineChars="200"/>
        <w:rPr>
          <w:color w:val="auto"/>
        </w:rPr>
      </w:pPr>
      <w:r>
        <w:rPr>
          <w:color w:val="auto"/>
        </w:rPr>
        <w:t xml:space="preserve">1.4 </w:t>
      </w:r>
      <w:r>
        <w:rPr>
          <w:rFonts w:hint="eastAsia" w:cs="宋体"/>
          <w:color w:val="auto"/>
        </w:rPr>
        <w:t>补充清单项目的特征、计量单位、工程量计算规则及工作内容说明如下：</w:t>
      </w:r>
      <w:r>
        <w:rPr>
          <w:rFonts w:hint="eastAsia"/>
          <w:color w:val="auto"/>
          <w:u w:val="single"/>
        </w:rPr>
        <w:t>无</w:t>
      </w:r>
      <w:r>
        <w:rPr>
          <w:rFonts w:hint="eastAsia" w:hAnsi="宋体" w:cs="宋体"/>
          <w:color w:val="auto"/>
        </w:rPr>
        <w:t>。</w:t>
      </w:r>
    </w:p>
    <w:p w14:paraId="6DAF60A6">
      <w:pPr>
        <w:pStyle w:val="27"/>
        <w:spacing w:line="380" w:lineRule="exact"/>
        <w:ind w:firstLine="420" w:firstLineChars="200"/>
        <w:rPr>
          <w:rFonts w:ascii="Times New Roman" w:hAnsi="Times New Roman"/>
          <w:color w:val="auto"/>
          <w:sz w:val="21"/>
        </w:rPr>
      </w:pPr>
      <w:r>
        <w:rPr>
          <w:rFonts w:ascii="Times New Roman" w:hAnsi="Times New Roman"/>
          <w:color w:val="auto"/>
          <w:sz w:val="21"/>
        </w:rPr>
        <w:t xml:space="preserve">1.5 </w:t>
      </w:r>
      <w:r>
        <w:rPr>
          <w:rFonts w:hint="eastAsia" w:ascii="Times New Roman" w:hAnsi="Times New Roman"/>
          <w:color w:val="auto"/>
          <w:sz w:val="21"/>
        </w:rPr>
        <w:t>《允许调整主要材料和工程设备一览表》（表</w:t>
      </w:r>
      <w:r>
        <w:rPr>
          <w:rFonts w:ascii="Times New Roman" w:hAnsi="Times New Roman"/>
          <w:color w:val="auto"/>
          <w:sz w:val="21"/>
        </w:rPr>
        <w:t>-22</w:t>
      </w:r>
      <w:r>
        <w:rPr>
          <w:rFonts w:hint="eastAsia" w:ascii="Times New Roman" w:hAnsi="Times New Roman"/>
          <w:color w:val="auto"/>
          <w:sz w:val="21"/>
        </w:rPr>
        <w:t>，表格编号为计价规范相应表格编号，下同）作为项目实施过程中材料和设备价格风险调整依据。</w:t>
      </w:r>
    </w:p>
    <w:p w14:paraId="7C1BB244">
      <w:pPr>
        <w:pStyle w:val="27"/>
        <w:spacing w:line="380" w:lineRule="exact"/>
        <w:ind w:firstLine="420" w:firstLineChars="200"/>
        <w:rPr>
          <w:rFonts w:ascii="Times New Roman" w:hAnsi="Times New Roman"/>
          <w:color w:val="auto"/>
          <w:sz w:val="21"/>
        </w:rPr>
      </w:pPr>
      <w:r>
        <w:rPr>
          <w:rFonts w:ascii="Times New Roman" w:hAnsi="Times New Roman"/>
          <w:color w:val="auto"/>
          <w:sz w:val="21"/>
        </w:rPr>
        <w:t xml:space="preserve">1.6 </w:t>
      </w:r>
      <w:r>
        <w:rPr>
          <w:rFonts w:hint="eastAsia" w:ascii="Times New Roman" w:hAnsi="Times New Roman"/>
          <w:color w:val="auto"/>
          <w:sz w:val="21"/>
        </w:rPr>
        <w:t>本工程暂列金额：详见工程量清单。</w:t>
      </w:r>
    </w:p>
    <w:p w14:paraId="4D92E58B">
      <w:pPr>
        <w:pStyle w:val="27"/>
        <w:spacing w:line="380" w:lineRule="exact"/>
        <w:ind w:firstLine="420" w:firstLineChars="200"/>
        <w:rPr>
          <w:rFonts w:ascii="Times New Roman" w:hAnsi="Times New Roman"/>
          <w:color w:val="auto"/>
          <w:sz w:val="21"/>
        </w:rPr>
      </w:pPr>
      <w:r>
        <w:rPr>
          <w:rFonts w:ascii="Times New Roman" w:hAnsi="Times New Roman"/>
          <w:color w:val="auto"/>
          <w:sz w:val="21"/>
        </w:rPr>
        <w:t xml:space="preserve">1.7 </w:t>
      </w:r>
      <w:r>
        <w:rPr>
          <w:rFonts w:hint="eastAsia" w:ascii="Times New Roman" w:hAnsi="Times New Roman"/>
          <w:color w:val="auto"/>
          <w:sz w:val="21"/>
        </w:rPr>
        <w:t>本工程发包人提供的材料和设备详见《发包人提供的主要材料和工程设备一览表》（表</w:t>
      </w:r>
      <w:r>
        <w:rPr>
          <w:rFonts w:ascii="Times New Roman" w:hAnsi="Times New Roman"/>
          <w:color w:val="auto"/>
          <w:sz w:val="21"/>
        </w:rPr>
        <w:t>-21</w:t>
      </w:r>
      <w:r>
        <w:rPr>
          <w:rFonts w:hint="eastAsia" w:ascii="Times New Roman" w:hAnsi="Times New Roman"/>
          <w:color w:val="auto"/>
          <w:sz w:val="21"/>
        </w:rPr>
        <w:t>）。</w:t>
      </w:r>
    </w:p>
    <w:p w14:paraId="177CF5AB">
      <w:pPr>
        <w:spacing w:line="380" w:lineRule="exact"/>
        <w:ind w:firstLine="420" w:firstLineChars="200"/>
        <w:rPr>
          <w:color w:val="auto"/>
        </w:rPr>
      </w:pPr>
      <w:r>
        <w:rPr>
          <w:color w:val="auto"/>
        </w:rPr>
        <w:t xml:space="preserve">1.8 </w:t>
      </w:r>
      <w:r>
        <w:rPr>
          <w:rFonts w:hint="eastAsia" w:cs="宋体"/>
          <w:color w:val="auto"/>
        </w:rPr>
        <w:t>本工程部分材料和设备在谈判时作为暂估价计列，结算按实调整，具体内容详见《材料（工程设备）暂估单价及调整表》（表</w:t>
      </w:r>
      <w:r>
        <w:rPr>
          <w:color w:val="auto"/>
        </w:rPr>
        <w:t>12-2</w:t>
      </w:r>
      <w:r>
        <w:rPr>
          <w:rFonts w:hint="eastAsia" w:cs="宋体"/>
          <w:color w:val="auto"/>
        </w:rPr>
        <w:t>）。</w:t>
      </w:r>
    </w:p>
    <w:p w14:paraId="2FE95160">
      <w:pPr>
        <w:spacing w:line="380" w:lineRule="exact"/>
        <w:ind w:firstLine="420" w:firstLineChars="200"/>
        <w:rPr>
          <w:color w:val="auto"/>
        </w:rPr>
      </w:pPr>
      <w:r>
        <w:rPr>
          <w:color w:val="auto"/>
        </w:rPr>
        <w:t xml:space="preserve">1.9 </w:t>
      </w:r>
      <w:r>
        <w:rPr>
          <w:rFonts w:hint="eastAsia" w:cs="宋体"/>
          <w:color w:val="auto"/>
        </w:rPr>
        <w:t>谈判时暂估专业工程的价款属于暂估价，结算按实调整，具体内容详见《专业工程暂估价及结算价表》（表</w:t>
      </w:r>
      <w:r>
        <w:rPr>
          <w:color w:val="auto"/>
        </w:rPr>
        <w:t>12-3</w:t>
      </w:r>
      <w:r>
        <w:rPr>
          <w:rFonts w:hint="eastAsia" w:cs="宋体"/>
          <w:color w:val="auto"/>
        </w:rPr>
        <w:t>）。</w:t>
      </w:r>
    </w:p>
    <w:p w14:paraId="24E3A8D1">
      <w:pPr>
        <w:spacing w:line="380" w:lineRule="exact"/>
        <w:ind w:firstLine="420" w:firstLineChars="200"/>
        <w:rPr>
          <w:color w:val="auto"/>
        </w:rPr>
      </w:pPr>
      <w:r>
        <w:rPr>
          <w:color w:val="auto"/>
        </w:rPr>
        <w:t>1.1</w:t>
      </w:r>
      <w:r>
        <w:rPr>
          <w:rFonts w:hint="eastAsia"/>
          <w:color w:val="auto"/>
        </w:rPr>
        <w:t>0</w:t>
      </w:r>
      <w:r>
        <w:rPr>
          <w:color w:val="auto"/>
        </w:rPr>
        <w:t xml:space="preserve"> </w:t>
      </w:r>
      <w:r>
        <w:rPr>
          <w:rFonts w:hint="eastAsia" w:cs="宋体"/>
          <w:color w:val="auto"/>
        </w:rPr>
        <w:t>其它需要说明的问题：</w:t>
      </w:r>
      <w:r>
        <w:rPr>
          <w:rFonts w:hint="eastAsia" w:ascii="宋体" w:hAnsi="宋体" w:cs="宋体"/>
          <w:color w:val="auto"/>
          <w:kern w:val="21"/>
          <w:szCs w:val="21"/>
          <w:u w:val="single"/>
        </w:rPr>
        <w:t>工程量清单所列的工程数量为采购时的工程量，仅作为报价的共同基础，不作为最终结算与支付的依据。实际支付应按谈判文件中“合同条款”有关规定执行；其他详见工程量清单。</w:t>
      </w:r>
    </w:p>
    <w:p w14:paraId="4CD024B4">
      <w:pPr>
        <w:spacing w:line="380" w:lineRule="exact"/>
        <w:ind w:firstLine="420" w:firstLineChars="200"/>
        <w:jc w:val="left"/>
        <w:rPr>
          <w:color w:val="auto"/>
        </w:rPr>
      </w:pPr>
      <w:r>
        <w:rPr>
          <w:color w:val="auto"/>
        </w:rPr>
        <w:t>1.1</w:t>
      </w:r>
      <w:r>
        <w:rPr>
          <w:rFonts w:hint="eastAsia"/>
          <w:color w:val="auto"/>
        </w:rPr>
        <w:t>1</w:t>
      </w:r>
      <w:r>
        <w:rPr>
          <w:color w:val="auto"/>
        </w:rPr>
        <w:t xml:space="preserve"> </w:t>
      </w:r>
      <w:r>
        <w:rPr>
          <w:rFonts w:hint="eastAsia" w:cs="宋体"/>
          <w:color w:val="auto"/>
        </w:rPr>
        <w:t>工程量清单与谈判文件同时发布。</w:t>
      </w:r>
      <w:r>
        <w:rPr>
          <w:color w:val="auto"/>
        </w:rPr>
        <w:t xml:space="preserve"> </w:t>
      </w:r>
      <w:r>
        <w:rPr>
          <w:rFonts w:hint="eastAsia" w:cs="宋体"/>
          <w:color w:val="auto"/>
        </w:rPr>
        <w:t>一般计税法建设工程的工程量清单表格按</w:t>
      </w:r>
      <w:r>
        <w:rPr>
          <w:rFonts w:hint="eastAsia" w:hAnsi="宋体" w:cs="宋体"/>
          <w:color w:val="auto"/>
          <w:kern w:val="0"/>
        </w:rPr>
        <w:t>《关于建筑业实施营业税改征增值税后广西壮族自治区建设工程计价依据调整的通知》（桂建标〔</w:t>
      </w:r>
      <w:r>
        <w:rPr>
          <w:rFonts w:hAnsi="宋体"/>
          <w:color w:val="auto"/>
          <w:kern w:val="0"/>
        </w:rPr>
        <w:t>2016</w:t>
      </w:r>
      <w:r>
        <w:rPr>
          <w:rFonts w:hint="eastAsia" w:hAnsi="宋体" w:cs="宋体"/>
          <w:color w:val="auto"/>
          <w:kern w:val="0"/>
        </w:rPr>
        <w:t>〕</w:t>
      </w:r>
      <w:r>
        <w:rPr>
          <w:rFonts w:hAnsi="宋体"/>
          <w:color w:val="auto"/>
          <w:kern w:val="0"/>
        </w:rPr>
        <w:t>17</w:t>
      </w:r>
      <w:r>
        <w:rPr>
          <w:rFonts w:hint="eastAsia" w:hAnsi="宋体" w:cs="宋体"/>
          <w:color w:val="auto"/>
          <w:kern w:val="0"/>
        </w:rPr>
        <w:t>号）</w:t>
      </w:r>
      <w:r>
        <w:rPr>
          <w:rFonts w:hint="eastAsia" w:ascii="宋体" w:hAnsi="宋体" w:cs="宋体"/>
          <w:color w:val="auto"/>
        </w:rPr>
        <w:t>附件“增值税一般计税方法工程计价表”要求提供；简易计税法建设工程按照《计价规范》要求的</w:t>
      </w:r>
      <w:r>
        <w:rPr>
          <w:rFonts w:hint="eastAsia" w:cs="宋体"/>
          <w:color w:val="auto"/>
        </w:rPr>
        <w:t>表格提供，但规费和税费要按照《关于建筑业实施营业税改征增值税后广西壮族自治区建设工程计价依据调整的通知》（桂建标〔</w:t>
      </w:r>
      <w:r>
        <w:rPr>
          <w:color w:val="auto"/>
        </w:rPr>
        <w:t>2016</w:t>
      </w:r>
      <w:r>
        <w:rPr>
          <w:rFonts w:hint="eastAsia" w:cs="宋体"/>
          <w:color w:val="auto"/>
        </w:rPr>
        <w:t>〕</w:t>
      </w:r>
      <w:r>
        <w:rPr>
          <w:color w:val="auto"/>
        </w:rPr>
        <w:t>17</w:t>
      </w:r>
      <w:r>
        <w:rPr>
          <w:rFonts w:hint="eastAsia" w:cs="宋体"/>
          <w:color w:val="auto"/>
        </w:rPr>
        <w:t>号）</w:t>
      </w:r>
      <w:r>
        <w:rPr>
          <w:rFonts w:hint="eastAsia" w:ascii="宋体" w:hAnsi="宋体" w:cs="宋体"/>
          <w:color w:val="auto"/>
        </w:rPr>
        <w:t>要求调整，具体</w:t>
      </w:r>
      <w:r>
        <w:rPr>
          <w:rFonts w:hint="eastAsia" w:cs="宋体"/>
          <w:color w:val="auto"/>
        </w:rPr>
        <w:t>包括：</w:t>
      </w:r>
    </w:p>
    <w:p w14:paraId="681CF1DE">
      <w:pPr>
        <w:spacing w:line="380" w:lineRule="exact"/>
        <w:ind w:firstLine="630" w:firstLineChars="300"/>
        <w:jc w:val="left"/>
        <w:rPr>
          <w:color w:val="auto"/>
        </w:rPr>
      </w:pPr>
      <w:r>
        <w:rPr>
          <w:rFonts w:hint="eastAsia"/>
          <w:color w:val="auto"/>
        </w:rPr>
        <w:t>（1）</w:t>
      </w:r>
      <w:r>
        <w:rPr>
          <w:color w:val="auto"/>
        </w:rPr>
        <w:t xml:space="preserve"> </w:t>
      </w:r>
      <w:r>
        <w:rPr>
          <w:rFonts w:hint="eastAsia" w:cs="宋体"/>
          <w:color w:val="auto"/>
        </w:rPr>
        <w:t>招标工程量清单（封</w:t>
      </w:r>
      <w:r>
        <w:rPr>
          <w:color w:val="auto"/>
        </w:rPr>
        <w:t>-1</w:t>
      </w:r>
      <w:r>
        <w:rPr>
          <w:rFonts w:hint="eastAsia" w:cs="宋体"/>
          <w:color w:val="auto"/>
        </w:rPr>
        <w:t>）</w:t>
      </w:r>
    </w:p>
    <w:p w14:paraId="3977C1BE">
      <w:pPr>
        <w:spacing w:line="380" w:lineRule="exact"/>
        <w:ind w:firstLine="630" w:firstLineChars="300"/>
        <w:jc w:val="left"/>
        <w:rPr>
          <w:color w:val="auto"/>
        </w:rPr>
      </w:pPr>
      <w:r>
        <w:rPr>
          <w:rFonts w:hint="eastAsia"/>
          <w:color w:val="auto"/>
        </w:rPr>
        <w:t>（2）</w:t>
      </w:r>
      <w:r>
        <w:rPr>
          <w:color w:val="auto"/>
        </w:rPr>
        <w:t xml:space="preserve"> </w:t>
      </w:r>
      <w:r>
        <w:rPr>
          <w:rFonts w:hint="eastAsia" w:cs="宋体"/>
          <w:color w:val="auto"/>
        </w:rPr>
        <w:t>招标工程量清单（封扉</w:t>
      </w:r>
      <w:r>
        <w:rPr>
          <w:color w:val="auto"/>
        </w:rPr>
        <w:t>-1</w:t>
      </w:r>
      <w:r>
        <w:rPr>
          <w:rFonts w:hint="eastAsia" w:cs="宋体"/>
          <w:color w:val="auto"/>
        </w:rPr>
        <w:t>）</w:t>
      </w:r>
    </w:p>
    <w:p w14:paraId="425065AC">
      <w:pPr>
        <w:spacing w:line="380" w:lineRule="exact"/>
        <w:ind w:firstLine="630" w:firstLineChars="300"/>
        <w:jc w:val="left"/>
        <w:rPr>
          <w:color w:val="auto"/>
        </w:rPr>
      </w:pPr>
      <w:r>
        <w:rPr>
          <w:rFonts w:hint="eastAsia"/>
          <w:color w:val="auto"/>
        </w:rPr>
        <w:t>（3）</w:t>
      </w:r>
      <w:r>
        <w:rPr>
          <w:color w:val="auto"/>
        </w:rPr>
        <w:t xml:space="preserve"> </w:t>
      </w:r>
      <w:r>
        <w:rPr>
          <w:rFonts w:hint="eastAsia" w:cs="宋体"/>
          <w:color w:val="auto"/>
        </w:rPr>
        <w:t>总说明（表</w:t>
      </w:r>
      <w:r>
        <w:rPr>
          <w:color w:val="auto"/>
        </w:rPr>
        <w:t>-01</w:t>
      </w:r>
      <w:r>
        <w:rPr>
          <w:rFonts w:hint="eastAsia" w:cs="宋体"/>
          <w:color w:val="auto"/>
        </w:rPr>
        <w:t>）</w:t>
      </w:r>
    </w:p>
    <w:p w14:paraId="2159548C">
      <w:pPr>
        <w:spacing w:line="380" w:lineRule="exact"/>
        <w:ind w:firstLine="630" w:firstLineChars="300"/>
        <w:jc w:val="left"/>
        <w:rPr>
          <w:color w:val="auto"/>
        </w:rPr>
      </w:pPr>
      <w:r>
        <w:rPr>
          <w:rFonts w:hint="eastAsia"/>
          <w:color w:val="auto"/>
        </w:rPr>
        <w:t>（4）</w:t>
      </w:r>
      <w:r>
        <w:rPr>
          <w:color w:val="auto"/>
        </w:rPr>
        <w:t xml:space="preserve"> </w:t>
      </w:r>
      <w:r>
        <w:rPr>
          <w:rFonts w:hint="eastAsia" w:cs="宋体"/>
          <w:color w:val="auto"/>
        </w:rPr>
        <w:t>建设项目投标报价汇总表（表</w:t>
      </w:r>
      <w:r>
        <w:rPr>
          <w:color w:val="auto"/>
        </w:rPr>
        <w:t>-02</w:t>
      </w:r>
      <w:r>
        <w:rPr>
          <w:rFonts w:hint="eastAsia" w:cs="宋体"/>
          <w:color w:val="auto"/>
        </w:rPr>
        <w:t>）</w:t>
      </w:r>
    </w:p>
    <w:p w14:paraId="7B0D4943">
      <w:pPr>
        <w:spacing w:line="380" w:lineRule="exact"/>
        <w:ind w:firstLine="630" w:firstLineChars="300"/>
        <w:jc w:val="left"/>
        <w:rPr>
          <w:color w:val="auto"/>
        </w:rPr>
      </w:pPr>
      <w:r>
        <w:rPr>
          <w:rFonts w:hint="eastAsia"/>
          <w:color w:val="auto"/>
        </w:rPr>
        <w:t>（5）</w:t>
      </w:r>
      <w:r>
        <w:rPr>
          <w:color w:val="auto"/>
        </w:rPr>
        <w:t xml:space="preserve"> </w:t>
      </w:r>
      <w:r>
        <w:rPr>
          <w:rFonts w:hint="eastAsia" w:cs="宋体"/>
          <w:color w:val="auto"/>
        </w:rPr>
        <w:t>单项工程投标报价汇总表（表</w:t>
      </w:r>
      <w:r>
        <w:rPr>
          <w:color w:val="auto"/>
        </w:rPr>
        <w:t>-03</w:t>
      </w:r>
      <w:r>
        <w:rPr>
          <w:rFonts w:hint="eastAsia" w:cs="宋体"/>
          <w:color w:val="auto"/>
        </w:rPr>
        <w:t>）</w:t>
      </w:r>
    </w:p>
    <w:p w14:paraId="47C07757">
      <w:pPr>
        <w:spacing w:line="380" w:lineRule="exact"/>
        <w:ind w:firstLine="630" w:firstLineChars="300"/>
        <w:jc w:val="left"/>
        <w:rPr>
          <w:color w:val="auto"/>
        </w:rPr>
      </w:pPr>
      <w:r>
        <w:rPr>
          <w:rFonts w:hint="eastAsia"/>
          <w:color w:val="auto"/>
        </w:rPr>
        <w:t>（6）</w:t>
      </w:r>
      <w:r>
        <w:rPr>
          <w:color w:val="auto"/>
        </w:rPr>
        <w:t xml:space="preserve"> </w:t>
      </w:r>
      <w:r>
        <w:rPr>
          <w:rFonts w:hint="eastAsia" w:cs="宋体"/>
          <w:color w:val="auto"/>
        </w:rPr>
        <w:t>单位工程投标报价汇总表（表</w:t>
      </w:r>
      <w:r>
        <w:rPr>
          <w:color w:val="auto"/>
        </w:rPr>
        <w:t>-04</w:t>
      </w:r>
      <w:r>
        <w:rPr>
          <w:rFonts w:hint="eastAsia" w:cs="宋体"/>
          <w:color w:val="auto"/>
        </w:rPr>
        <w:t>）</w:t>
      </w:r>
    </w:p>
    <w:p w14:paraId="3DAF22F1">
      <w:pPr>
        <w:spacing w:line="380" w:lineRule="exact"/>
        <w:ind w:firstLine="630" w:firstLineChars="300"/>
        <w:jc w:val="left"/>
        <w:rPr>
          <w:color w:val="auto"/>
        </w:rPr>
      </w:pPr>
      <w:r>
        <w:rPr>
          <w:rFonts w:hint="eastAsia"/>
          <w:color w:val="auto"/>
        </w:rPr>
        <w:t>（7）</w:t>
      </w:r>
      <w:r>
        <w:rPr>
          <w:color w:val="auto"/>
        </w:rPr>
        <w:t xml:space="preserve"> </w:t>
      </w:r>
      <w:r>
        <w:rPr>
          <w:rFonts w:hint="eastAsia" w:cs="宋体"/>
          <w:color w:val="auto"/>
        </w:rPr>
        <w:t>分部分项工程和单价措施项目清单与计价表（表</w:t>
      </w:r>
      <w:r>
        <w:rPr>
          <w:color w:val="auto"/>
        </w:rPr>
        <w:t>-08</w:t>
      </w:r>
      <w:r>
        <w:rPr>
          <w:rFonts w:hint="eastAsia" w:cs="宋体"/>
          <w:color w:val="auto"/>
        </w:rPr>
        <w:t>）</w:t>
      </w:r>
    </w:p>
    <w:p w14:paraId="02DC4555">
      <w:pPr>
        <w:spacing w:line="380" w:lineRule="exact"/>
        <w:ind w:firstLine="630" w:firstLineChars="300"/>
        <w:jc w:val="left"/>
        <w:rPr>
          <w:color w:val="auto"/>
        </w:rPr>
      </w:pPr>
      <w:r>
        <w:rPr>
          <w:rFonts w:hint="eastAsia"/>
          <w:color w:val="auto"/>
        </w:rPr>
        <w:t>（8）</w:t>
      </w:r>
      <w:r>
        <w:rPr>
          <w:color w:val="auto"/>
        </w:rPr>
        <w:t xml:space="preserve"> </w:t>
      </w:r>
      <w:r>
        <w:rPr>
          <w:rFonts w:hint="eastAsia" w:cs="宋体"/>
          <w:color w:val="auto"/>
        </w:rPr>
        <w:t>总价措施项目清单与计价表（表</w:t>
      </w:r>
      <w:r>
        <w:rPr>
          <w:color w:val="auto"/>
        </w:rPr>
        <w:t>-11</w:t>
      </w:r>
      <w:r>
        <w:rPr>
          <w:rFonts w:hint="eastAsia" w:cs="宋体"/>
          <w:color w:val="auto"/>
        </w:rPr>
        <w:t>）</w:t>
      </w:r>
    </w:p>
    <w:p w14:paraId="575C6FD2">
      <w:pPr>
        <w:spacing w:line="380" w:lineRule="exact"/>
        <w:ind w:firstLine="630" w:firstLineChars="300"/>
        <w:jc w:val="left"/>
        <w:rPr>
          <w:color w:val="auto"/>
        </w:rPr>
      </w:pPr>
      <w:r>
        <w:rPr>
          <w:rFonts w:hint="eastAsia"/>
          <w:color w:val="auto"/>
        </w:rPr>
        <w:t>（9）</w:t>
      </w:r>
      <w:r>
        <w:rPr>
          <w:rFonts w:hint="eastAsia" w:cs="宋体"/>
          <w:color w:val="auto"/>
        </w:rPr>
        <w:t>其他项目清单与计价汇总表（表</w:t>
      </w:r>
      <w:r>
        <w:rPr>
          <w:color w:val="auto"/>
        </w:rPr>
        <w:t>-12</w:t>
      </w:r>
      <w:r>
        <w:rPr>
          <w:rFonts w:hint="eastAsia" w:cs="宋体"/>
          <w:color w:val="auto"/>
        </w:rPr>
        <w:t>）</w:t>
      </w:r>
    </w:p>
    <w:p w14:paraId="103AB000">
      <w:pPr>
        <w:spacing w:line="380" w:lineRule="exact"/>
        <w:ind w:firstLine="630" w:firstLineChars="300"/>
        <w:jc w:val="left"/>
        <w:rPr>
          <w:color w:val="auto"/>
        </w:rPr>
      </w:pPr>
      <w:r>
        <w:rPr>
          <w:rFonts w:hint="eastAsia"/>
          <w:color w:val="auto"/>
        </w:rPr>
        <w:t>（10）</w:t>
      </w:r>
      <w:r>
        <w:rPr>
          <w:rFonts w:hint="eastAsia" w:cs="宋体"/>
          <w:color w:val="auto"/>
        </w:rPr>
        <w:t>暂列金额明细表（表</w:t>
      </w:r>
      <w:r>
        <w:rPr>
          <w:color w:val="auto"/>
        </w:rPr>
        <w:t>12-1</w:t>
      </w:r>
      <w:r>
        <w:rPr>
          <w:rFonts w:hint="eastAsia" w:cs="宋体"/>
          <w:color w:val="auto"/>
        </w:rPr>
        <w:t>）</w:t>
      </w:r>
    </w:p>
    <w:p w14:paraId="367E98E9">
      <w:pPr>
        <w:spacing w:line="380" w:lineRule="exact"/>
        <w:ind w:firstLine="630" w:firstLineChars="300"/>
        <w:jc w:val="left"/>
        <w:rPr>
          <w:color w:val="auto"/>
        </w:rPr>
      </w:pPr>
      <w:r>
        <w:rPr>
          <w:rFonts w:hint="eastAsia"/>
          <w:color w:val="auto"/>
        </w:rPr>
        <w:t>（11）</w:t>
      </w:r>
      <w:r>
        <w:rPr>
          <w:color w:val="auto"/>
        </w:rPr>
        <w:t xml:space="preserve"> </w:t>
      </w:r>
      <w:r>
        <w:rPr>
          <w:rFonts w:hint="eastAsia" w:cs="宋体"/>
          <w:color w:val="auto"/>
        </w:rPr>
        <w:t>材料（工程设备）暂估单价及调整表（表</w:t>
      </w:r>
      <w:r>
        <w:rPr>
          <w:color w:val="auto"/>
        </w:rPr>
        <w:t>12-2</w:t>
      </w:r>
      <w:r>
        <w:rPr>
          <w:rFonts w:hint="eastAsia" w:cs="宋体"/>
          <w:color w:val="auto"/>
        </w:rPr>
        <w:t>）</w:t>
      </w:r>
    </w:p>
    <w:p w14:paraId="31BD033A">
      <w:pPr>
        <w:spacing w:line="380" w:lineRule="exact"/>
        <w:ind w:firstLine="630" w:firstLineChars="300"/>
        <w:jc w:val="left"/>
        <w:rPr>
          <w:color w:val="auto"/>
        </w:rPr>
      </w:pPr>
      <w:r>
        <w:rPr>
          <w:rFonts w:hint="eastAsia"/>
          <w:color w:val="auto"/>
        </w:rPr>
        <w:t>（12）</w:t>
      </w:r>
      <w:r>
        <w:rPr>
          <w:color w:val="auto"/>
        </w:rPr>
        <w:t xml:space="preserve"> </w:t>
      </w:r>
      <w:r>
        <w:rPr>
          <w:rFonts w:hint="eastAsia" w:cs="宋体"/>
          <w:color w:val="auto"/>
        </w:rPr>
        <w:t>专业工程暂估价</w:t>
      </w:r>
      <w:r>
        <w:rPr>
          <w:rFonts w:hint="eastAsia"/>
          <w:color w:val="auto"/>
        </w:rPr>
        <w:t>及结算价</w:t>
      </w:r>
      <w:r>
        <w:rPr>
          <w:rFonts w:hint="eastAsia" w:cs="宋体"/>
          <w:color w:val="auto"/>
        </w:rPr>
        <w:t>表（表</w:t>
      </w:r>
      <w:r>
        <w:rPr>
          <w:color w:val="auto"/>
        </w:rPr>
        <w:t>12-3</w:t>
      </w:r>
      <w:r>
        <w:rPr>
          <w:rFonts w:hint="eastAsia" w:cs="宋体"/>
          <w:color w:val="auto"/>
        </w:rPr>
        <w:t>）</w:t>
      </w:r>
    </w:p>
    <w:p w14:paraId="3B31A714">
      <w:pPr>
        <w:spacing w:line="380" w:lineRule="exact"/>
        <w:ind w:firstLine="630" w:firstLineChars="300"/>
        <w:jc w:val="left"/>
        <w:rPr>
          <w:color w:val="auto"/>
        </w:rPr>
      </w:pPr>
      <w:r>
        <w:rPr>
          <w:rFonts w:hint="eastAsia"/>
          <w:color w:val="auto"/>
        </w:rPr>
        <w:t>（13）</w:t>
      </w:r>
      <w:r>
        <w:rPr>
          <w:color w:val="auto"/>
        </w:rPr>
        <w:t xml:space="preserve"> </w:t>
      </w:r>
      <w:r>
        <w:rPr>
          <w:rFonts w:hint="eastAsia" w:cs="宋体"/>
          <w:color w:val="auto"/>
        </w:rPr>
        <w:t>计日工表（表</w:t>
      </w:r>
      <w:r>
        <w:rPr>
          <w:color w:val="auto"/>
        </w:rPr>
        <w:t>12-4</w:t>
      </w:r>
      <w:r>
        <w:rPr>
          <w:rFonts w:hint="eastAsia" w:cs="宋体"/>
          <w:color w:val="auto"/>
        </w:rPr>
        <w:t>）</w:t>
      </w:r>
    </w:p>
    <w:p w14:paraId="7AE39064">
      <w:pPr>
        <w:spacing w:line="380" w:lineRule="exact"/>
        <w:ind w:firstLine="630" w:firstLineChars="300"/>
        <w:jc w:val="left"/>
        <w:rPr>
          <w:color w:val="auto"/>
        </w:rPr>
      </w:pPr>
      <w:r>
        <w:rPr>
          <w:rFonts w:hint="eastAsia"/>
          <w:color w:val="auto"/>
        </w:rPr>
        <w:t>（14）</w:t>
      </w:r>
      <w:r>
        <w:rPr>
          <w:color w:val="auto"/>
        </w:rPr>
        <w:t xml:space="preserve"> </w:t>
      </w:r>
      <w:r>
        <w:rPr>
          <w:rFonts w:hint="eastAsia" w:cs="宋体"/>
          <w:color w:val="auto"/>
        </w:rPr>
        <w:t>总承包服务费计价表（表</w:t>
      </w:r>
      <w:r>
        <w:rPr>
          <w:color w:val="auto"/>
        </w:rPr>
        <w:t>12-5</w:t>
      </w:r>
      <w:r>
        <w:rPr>
          <w:rFonts w:hint="eastAsia" w:cs="宋体"/>
          <w:color w:val="auto"/>
        </w:rPr>
        <w:t>）</w:t>
      </w:r>
    </w:p>
    <w:p w14:paraId="07273C46">
      <w:pPr>
        <w:spacing w:line="380" w:lineRule="exact"/>
        <w:ind w:firstLine="630" w:firstLineChars="300"/>
        <w:jc w:val="left"/>
        <w:rPr>
          <w:color w:val="auto"/>
        </w:rPr>
      </w:pPr>
      <w:r>
        <w:rPr>
          <w:rFonts w:hint="eastAsia"/>
          <w:color w:val="auto"/>
        </w:rPr>
        <w:t>（15）</w:t>
      </w:r>
      <w:r>
        <w:rPr>
          <w:color w:val="auto"/>
        </w:rPr>
        <w:t xml:space="preserve"> </w:t>
      </w:r>
      <w:r>
        <w:rPr>
          <w:rFonts w:hint="eastAsia" w:cs="宋体"/>
          <w:color w:val="auto"/>
        </w:rPr>
        <w:t>税前项目清单与计价表（表</w:t>
      </w:r>
      <w:r>
        <w:rPr>
          <w:color w:val="auto"/>
        </w:rPr>
        <w:t>-14</w:t>
      </w:r>
      <w:r>
        <w:rPr>
          <w:rFonts w:hint="eastAsia" w:cs="宋体"/>
          <w:color w:val="auto"/>
        </w:rPr>
        <w:t>）</w:t>
      </w:r>
    </w:p>
    <w:p w14:paraId="07400B4C">
      <w:pPr>
        <w:spacing w:line="380" w:lineRule="exact"/>
        <w:ind w:firstLine="630" w:firstLineChars="300"/>
        <w:jc w:val="left"/>
        <w:rPr>
          <w:color w:val="auto"/>
        </w:rPr>
      </w:pPr>
      <w:r>
        <w:rPr>
          <w:rFonts w:hint="eastAsia"/>
          <w:color w:val="auto"/>
        </w:rPr>
        <w:t>（16）</w:t>
      </w:r>
      <w:r>
        <w:rPr>
          <w:color w:val="auto"/>
        </w:rPr>
        <w:t xml:space="preserve"> </w:t>
      </w:r>
      <w:r>
        <w:rPr>
          <w:rFonts w:hint="eastAsia" w:cs="宋体"/>
          <w:color w:val="auto"/>
        </w:rPr>
        <w:t>规费、增值税计价表（表</w:t>
      </w:r>
      <w:r>
        <w:rPr>
          <w:color w:val="auto"/>
        </w:rPr>
        <w:t>-15</w:t>
      </w:r>
      <w:r>
        <w:rPr>
          <w:rFonts w:hint="eastAsia" w:cs="宋体"/>
          <w:color w:val="auto"/>
        </w:rPr>
        <w:t>）</w:t>
      </w:r>
    </w:p>
    <w:p w14:paraId="3EFE091F">
      <w:pPr>
        <w:spacing w:line="380" w:lineRule="exact"/>
        <w:ind w:firstLine="630" w:firstLineChars="300"/>
        <w:jc w:val="left"/>
        <w:rPr>
          <w:color w:val="auto"/>
        </w:rPr>
      </w:pPr>
      <w:r>
        <w:rPr>
          <w:rFonts w:hint="eastAsia"/>
          <w:color w:val="auto"/>
        </w:rPr>
        <w:t>（17）</w:t>
      </w:r>
      <w:r>
        <w:rPr>
          <w:color w:val="auto"/>
        </w:rPr>
        <w:t xml:space="preserve"> </w:t>
      </w:r>
      <w:r>
        <w:rPr>
          <w:rFonts w:hint="eastAsia" w:cs="宋体"/>
          <w:color w:val="auto"/>
        </w:rPr>
        <w:t>发包人提供主要材料和工程设备一览表（表</w:t>
      </w:r>
      <w:r>
        <w:rPr>
          <w:color w:val="auto"/>
        </w:rPr>
        <w:t>-21</w:t>
      </w:r>
      <w:r>
        <w:rPr>
          <w:rFonts w:hint="eastAsia" w:cs="宋体"/>
          <w:color w:val="auto"/>
        </w:rPr>
        <w:t>）</w:t>
      </w:r>
    </w:p>
    <w:p w14:paraId="32B0D20A">
      <w:pPr>
        <w:spacing w:line="380" w:lineRule="exact"/>
        <w:ind w:firstLine="630" w:firstLineChars="300"/>
        <w:jc w:val="left"/>
        <w:rPr>
          <w:color w:val="auto"/>
        </w:rPr>
      </w:pPr>
      <w:r>
        <w:rPr>
          <w:rFonts w:hint="eastAsia"/>
          <w:color w:val="auto"/>
        </w:rPr>
        <w:t>（18）</w:t>
      </w:r>
      <w:r>
        <w:rPr>
          <w:rFonts w:hint="eastAsia" w:cs="宋体"/>
          <w:color w:val="auto"/>
        </w:rPr>
        <w:t>允许调整主要材料和工程设备一览表（适用于造价信息差额调整法）（表</w:t>
      </w:r>
      <w:r>
        <w:rPr>
          <w:color w:val="auto"/>
        </w:rPr>
        <w:t>-22</w:t>
      </w:r>
      <w:r>
        <w:rPr>
          <w:rFonts w:hint="eastAsia" w:cs="宋体"/>
          <w:color w:val="auto"/>
        </w:rPr>
        <w:t>）</w:t>
      </w:r>
    </w:p>
    <w:p w14:paraId="44769310">
      <w:pPr>
        <w:spacing w:line="380" w:lineRule="exact"/>
        <w:ind w:firstLine="630" w:firstLineChars="300"/>
        <w:jc w:val="left"/>
        <w:rPr>
          <w:rFonts w:cs="宋体"/>
          <w:color w:val="auto"/>
        </w:rPr>
      </w:pPr>
      <w:r>
        <w:rPr>
          <w:rFonts w:hint="eastAsia"/>
          <w:color w:val="auto"/>
        </w:rPr>
        <w:t>（19）</w:t>
      </w:r>
      <w:r>
        <w:rPr>
          <w:rFonts w:hint="eastAsia" w:cs="宋体"/>
          <w:color w:val="auto"/>
        </w:rPr>
        <w:t>允许调整主要材料和工程设备一览表（适用于价格指数差额调整法）（表</w:t>
      </w:r>
      <w:r>
        <w:rPr>
          <w:color w:val="auto"/>
        </w:rPr>
        <w:t>-23</w:t>
      </w:r>
      <w:r>
        <w:rPr>
          <w:rFonts w:hint="eastAsia" w:cs="宋体"/>
          <w:color w:val="auto"/>
        </w:rPr>
        <w:t>）</w:t>
      </w:r>
    </w:p>
    <w:p w14:paraId="13F4A6F4">
      <w:pPr>
        <w:spacing w:line="380" w:lineRule="exact"/>
        <w:ind w:firstLine="630" w:firstLineChars="300"/>
        <w:jc w:val="left"/>
        <w:rPr>
          <w:rFonts w:cs="宋体"/>
          <w:color w:val="auto"/>
        </w:rPr>
      </w:pPr>
      <w:r>
        <w:rPr>
          <w:rFonts w:hint="eastAsia"/>
          <w:color w:val="auto"/>
        </w:rPr>
        <w:t>（20）</w:t>
      </w:r>
      <w:r>
        <w:rPr>
          <w:rFonts w:hint="eastAsia" w:cs="宋体"/>
          <w:color w:val="auto"/>
        </w:rPr>
        <w:t>本工程</w:t>
      </w:r>
      <w:r>
        <w:rPr>
          <w:rFonts w:cs="宋体"/>
          <w:color w:val="auto"/>
        </w:rPr>
        <w:t>材料和工程设备</w:t>
      </w:r>
      <w:r>
        <w:rPr>
          <w:rFonts w:hint="eastAsia" w:cs="宋体"/>
          <w:color w:val="auto"/>
        </w:rPr>
        <w:t>一览表（表-24）</w:t>
      </w:r>
    </w:p>
    <w:p w14:paraId="2BB5A5D3">
      <w:pPr>
        <w:spacing w:line="380" w:lineRule="exact"/>
        <w:ind w:firstLine="630" w:firstLineChars="300"/>
        <w:jc w:val="left"/>
        <w:rPr>
          <w:rFonts w:cs="宋体"/>
          <w:color w:val="auto"/>
        </w:rPr>
      </w:pPr>
      <w:r>
        <w:rPr>
          <w:rFonts w:hint="eastAsia" w:cs="宋体"/>
          <w:color w:val="auto"/>
        </w:rPr>
        <w:t>注：如本工程在合同中约定采用造价信息价差调整法，1.</w:t>
      </w:r>
      <w:r>
        <w:rPr>
          <w:color w:val="auto"/>
        </w:rPr>
        <w:t xml:space="preserve">18 </w:t>
      </w:r>
      <w:r>
        <w:rPr>
          <w:rFonts w:cs="宋体"/>
          <w:color w:val="auto"/>
        </w:rPr>
        <w:t>允许调整</w:t>
      </w:r>
      <w:r>
        <w:rPr>
          <w:rFonts w:hint="eastAsia" w:cs="宋体"/>
          <w:color w:val="auto"/>
        </w:rPr>
        <w:t>主要材料和工程设备一览表（适用于造价信息差额调整法）（表</w:t>
      </w:r>
      <w:r>
        <w:rPr>
          <w:color w:val="auto"/>
        </w:rPr>
        <w:t>-22</w:t>
      </w:r>
      <w:r>
        <w:rPr>
          <w:rFonts w:hint="eastAsia" w:cs="宋体"/>
          <w:color w:val="auto"/>
        </w:rPr>
        <w:t>）载明的主要材料和工程设备为本工程允许调整材料和工程设备，工程量清单必须提供该表格，并应载明允许调整材料和工程设备名称型号规格、单位、风险系数、基准单价等内容，且不能提供空白表。</w:t>
      </w:r>
    </w:p>
    <w:p w14:paraId="72A7588E">
      <w:pPr>
        <w:spacing w:line="380" w:lineRule="exact"/>
        <w:ind w:firstLine="630" w:firstLineChars="300"/>
        <w:jc w:val="left"/>
        <w:rPr>
          <w:color w:val="auto"/>
        </w:rPr>
      </w:pPr>
      <w:r>
        <w:rPr>
          <w:rFonts w:hint="eastAsia" w:cs="宋体"/>
          <w:color w:val="auto"/>
        </w:rPr>
        <w:t>以下表格视工程实际需要选用，如该工程不发生如下表格相关项目和费用，所编制工程量清单则不需列入相应表格：</w:t>
      </w:r>
    </w:p>
    <w:p w14:paraId="18FD35AD">
      <w:pPr>
        <w:spacing w:line="380" w:lineRule="exact"/>
        <w:ind w:firstLine="630" w:firstLineChars="300"/>
        <w:jc w:val="left"/>
        <w:rPr>
          <w:color w:val="auto"/>
        </w:rPr>
      </w:pPr>
      <w:r>
        <w:rPr>
          <w:rFonts w:hint="eastAsia" w:ascii="宋体" w:hAnsi="宋体" w:cs="宋体"/>
          <w:color w:val="auto"/>
        </w:rPr>
        <w:t>①</w:t>
      </w:r>
      <w:r>
        <w:rPr>
          <w:rFonts w:hint="eastAsia" w:cs="宋体"/>
          <w:color w:val="auto"/>
        </w:rPr>
        <w:t>建设项目投标报价汇总表（表</w:t>
      </w:r>
      <w:r>
        <w:rPr>
          <w:color w:val="auto"/>
        </w:rPr>
        <w:t>-02</w:t>
      </w:r>
      <w:r>
        <w:rPr>
          <w:rFonts w:hint="eastAsia" w:cs="宋体"/>
          <w:color w:val="auto"/>
        </w:rPr>
        <w:t>）</w:t>
      </w:r>
    </w:p>
    <w:p w14:paraId="4500EB83">
      <w:pPr>
        <w:spacing w:line="380" w:lineRule="exact"/>
        <w:ind w:firstLine="630" w:firstLineChars="300"/>
        <w:jc w:val="left"/>
        <w:rPr>
          <w:color w:val="auto"/>
        </w:rPr>
      </w:pPr>
      <w:r>
        <w:rPr>
          <w:rFonts w:hint="eastAsia" w:cs="宋体"/>
          <w:color w:val="auto"/>
        </w:rPr>
        <w:t>②暂列金额明细表（表</w:t>
      </w:r>
      <w:r>
        <w:rPr>
          <w:color w:val="auto"/>
        </w:rPr>
        <w:t>12-1</w:t>
      </w:r>
      <w:r>
        <w:rPr>
          <w:rFonts w:hint="eastAsia" w:cs="宋体"/>
          <w:color w:val="auto"/>
        </w:rPr>
        <w:t>）</w:t>
      </w:r>
    </w:p>
    <w:p w14:paraId="4F57ED3C">
      <w:pPr>
        <w:spacing w:line="380" w:lineRule="exact"/>
        <w:ind w:firstLine="630" w:firstLineChars="300"/>
        <w:jc w:val="left"/>
        <w:rPr>
          <w:color w:val="auto"/>
        </w:rPr>
      </w:pPr>
      <w:r>
        <w:rPr>
          <w:rFonts w:hint="eastAsia" w:cs="宋体"/>
          <w:color w:val="auto"/>
        </w:rPr>
        <w:t>③材料（工程设备）暂估单价及调整表（表</w:t>
      </w:r>
      <w:r>
        <w:rPr>
          <w:color w:val="auto"/>
        </w:rPr>
        <w:t>12-2</w:t>
      </w:r>
      <w:r>
        <w:rPr>
          <w:rFonts w:hint="eastAsia" w:cs="宋体"/>
          <w:color w:val="auto"/>
        </w:rPr>
        <w:t>）</w:t>
      </w:r>
    </w:p>
    <w:p w14:paraId="7B34FF2B">
      <w:pPr>
        <w:spacing w:line="380" w:lineRule="exact"/>
        <w:ind w:firstLine="630" w:firstLineChars="300"/>
        <w:jc w:val="left"/>
        <w:rPr>
          <w:color w:val="auto"/>
        </w:rPr>
      </w:pPr>
      <w:r>
        <w:rPr>
          <w:rFonts w:hint="eastAsia" w:cs="宋体"/>
          <w:color w:val="auto"/>
        </w:rPr>
        <w:t>④专业工程暂估价表（表</w:t>
      </w:r>
      <w:r>
        <w:rPr>
          <w:color w:val="auto"/>
        </w:rPr>
        <w:t>12-3</w:t>
      </w:r>
      <w:r>
        <w:rPr>
          <w:rFonts w:hint="eastAsia" w:cs="宋体"/>
          <w:color w:val="auto"/>
        </w:rPr>
        <w:t>）</w:t>
      </w:r>
    </w:p>
    <w:p w14:paraId="3B2E15CC">
      <w:pPr>
        <w:spacing w:line="380" w:lineRule="exact"/>
        <w:ind w:firstLine="630" w:firstLineChars="300"/>
        <w:jc w:val="left"/>
        <w:rPr>
          <w:color w:val="auto"/>
        </w:rPr>
      </w:pPr>
      <w:r>
        <w:rPr>
          <w:rFonts w:hint="eastAsia" w:cs="宋体"/>
          <w:color w:val="auto"/>
        </w:rPr>
        <w:t>⑤计日工表（表</w:t>
      </w:r>
      <w:r>
        <w:rPr>
          <w:color w:val="auto"/>
        </w:rPr>
        <w:t>12-4</w:t>
      </w:r>
      <w:r>
        <w:rPr>
          <w:rFonts w:hint="eastAsia" w:cs="宋体"/>
          <w:color w:val="auto"/>
        </w:rPr>
        <w:t>）</w:t>
      </w:r>
    </w:p>
    <w:p w14:paraId="720712A4">
      <w:pPr>
        <w:spacing w:line="380" w:lineRule="exact"/>
        <w:ind w:firstLine="630" w:firstLineChars="300"/>
        <w:jc w:val="left"/>
        <w:rPr>
          <w:color w:val="auto"/>
        </w:rPr>
      </w:pPr>
      <w:r>
        <w:rPr>
          <w:rFonts w:hint="eastAsia" w:cs="宋体"/>
          <w:color w:val="auto"/>
        </w:rPr>
        <w:t>⑥总承包服务费计价表（表</w:t>
      </w:r>
      <w:r>
        <w:rPr>
          <w:color w:val="auto"/>
        </w:rPr>
        <w:t>12-5</w:t>
      </w:r>
      <w:r>
        <w:rPr>
          <w:rFonts w:hint="eastAsia" w:cs="宋体"/>
          <w:color w:val="auto"/>
        </w:rPr>
        <w:t>）</w:t>
      </w:r>
    </w:p>
    <w:p w14:paraId="14630E20">
      <w:pPr>
        <w:spacing w:line="380" w:lineRule="exact"/>
        <w:ind w:firstLine="630" w:firstLineChars="300"/>
        <w:jc w:val="left"/>
        <w:rPr>
          <w:rFonts w:cs="宋体"/>
          <w:color w:val="auto"/>
        </w:rPr>
      </w:pPr>
      <w:r>
        <w:rPr>
          <w:rFonts w:hint="eastAsia" w:cs="宋体"/>
          <w:color w:val="auto"/>
        </w:rPr>
        <w:t>⑦税前项目清单与计价表（表</w:t>
      </w:r>
      <w:r>
        <w:rPr>
          <w:color w:val="auto"/>
        </w:rPr>
        <w:t>-14</w:t>
      </w:r>
      <w:r>
        <w:rPr>
          <w:rFonts w:hint="eastAsia" w:cs="宋体"/>
          <w:color w:val="auto"/>
        </w:rPr>
        <w:t>）</w:t>
      </w:r>
    </w:p>
    <w:p w14:paraId="37218E82">
      <w:pPr>
        <w:spacing w:line="380" w:lineRule="exact"/>
        <w:ind w:firstLine="630" w:firstLineChars="300"/>
        <w:rPr>
          <w:color w:val="auto"/>
        </w:rPr>
      </w:pPr>
      <w:r>
        <w:rPr>
          <w:rFonts w:hint="eastAsia"/>
          <w:color w:val="auto"/>
        </w:rPr>
        <w:fldChar w:fldCharType="begin"/>
      </w:r>
      <w:r>
        <w:rPr>
          <w:color w:val="auto"/>
        </w:rPr>
        <w:instrText xml:space="preserve"> = 8 \* GB3 </w:instrText>
      </w:r>
      <w:r>
        <w:rPr>
          <w:rFonts w:hint="eastAsia"/>
          <w:color w:val="auto"/>
        </w:rPr>
        <w:fldChar w:fldCharType="separate"/>
      </w:r>
      <w:r>
        <w:rPr>
          <w:rFonts w:hint="eastAsia"/>
          <w:color w:val="auto"/>
        </w:rPr>
        <w:t>⑧</w:t>
      </w:r>
      <w:r>
        <w:rPr>
          <w:rFonts w:hint="eastAsia"/>
          <w:color w:val="auto"/>
        </w:rPr>
        <w:fldChar w:fldCharType="end"/>
      </w:r>
      <w:r>
        <w:rPr>
          <w:color w:val="auto"/>
        </w:rPr>
        <w:t xml:space="preserve"> </w:t>
      </w:r>
      <w:r>
        <w:rPr>
          <w:rFonts w:hint="eastAsia" w:cs="宋体"/>
          <w:color w:val="auto"/>
        </w:rPr>
        <w:t>允许调整主要材料和工程设备一览表（适用于价格指数差额调整法）（表</w:t>
      </w:r>
      <w:r>
        <w:rPr>
          <w:color w:val="auto"/>
        </w:rPr>
        <w:t>-23</w:t>
      </w:r>
      <w:r>
        <w:rPr>
          <w:rFonts w:hint="eastAsia" w:cs="宋体"/>
          <w:color w:val="auto"/>
        </w:rPr>
        <w:t>）</w:t>
      </w:r>
    </w:p>
    <w:p w14:paraId="1D64E380">
      <w:pPr>
        <w:pStyle w:val="4"/>
        <w:spacing w:before="0" w:after="0" w:line="380" w:lineRule="exact"/>
        <w:rPr>
          <w:color w:val="auto"/>
        </w:rPr>
      </w:pPr>
      <w:bookmarkStart w:id="75" w:name="_Toc990933621"/>
      <w:bookmarkStart w:id="76" w:name="_Toc407135285"/>
      <w:bookmarkStart w:id="77" w:name="_Toc347872619"/>
      <w:bookmarkStart w:id="78" w:name="_Toc78449870"/>
      <w:r>
        <w:rPr>
          <w:color w:val="auto"/>
        </w:rPr>
        <w:t>2</w:t>
      </w:r>
      <w:r>
        <w:rPr>
          <w:rFonts w:hint="eastAsia"/>
          <w:color w:val="auto"/>
        </w:rPr>
        <w:t>.</w:t>
      </w:r>
      <w:r>
        <w:rPr>
          <w:rFonts w:hint="eastAsia" w:cs="黑体"/>
          <w:color w:val="auto"/>
        </w:rPr>
        <w:t>招标控制价编制说明</w:t>
      </w:r>
      <w:bookmarkEnd w:id="75"/>
      <w:bookmarkEnd w:id="76"/>
      <w:bookmarkEnd w:id="77"/>
      <w:bookmarkEnd w:id="78"/>
    </w:p>
    <w:p w14:paraId="427869E9">
      <w:pPr>
        <w:spacing w:line="380" w:lineRule="exact"/>
        <w:ind w:firstLine="420" w:firstLineChars="200"/>
        <w:rPr>
          <w:color w:val="auto"/>
        </w:rPr>
      </w:pPr>
      <w:r>
        <w:rPr>
          <w:color w:val="auto"/>
        </w:rPr>
        <w:t xml:space="preserve">2.1 </w:t>
      </w:r>
      <w:r>
        <w:rPr>
          <w:rFonts w:hint="eastAsia" w:hAnsi="宋体" w:cs="宋体"/>
          <w:color w:val="auto"/>
        </w:rPr>
        <w:t>招标控制价编制依据：</w:t>
      </w:r>
    </w:p>
    <w:p w14:paraId="2083E344">
      <w:pPr>
        <w:spacing w:line="380" w:lineRule="exact"/>
        <w:ind w:firstLine="420" w:firstLineChars="200"/>
        <w:rPr>
          <w:rFonts w:hint="eastAsia" w:hAnsi="宋体"/>
          <w:color w:val="auto"/>
        </w:rPr>
      </w:pPr>
      <w:r>
        <w:rPr>
          <w:rFonts w:hint="eastAsia" w:cs="宋体"/>
          <w:color w:val="auto"/>
        </w:rPr>
        <w:t>（1）</w:t>
      </w:r>
      <w:r>
        <w:rPr>
          <w:rFonts w:hint="eastAsia" w:hAnsi="宋体" w:cs="宋体"/>
          <w:color w:val="auto"/>
        </w:rPr>
        <w:t>《计价规范》及《计算规范》、</w:t>
      </w:r>
      <w:r>
        <w:rPr>
          <w:rFonts w:hint="eastAsia" w:hAnsi="宋体" w:cs="宋体"/>
          <w:color w:val="auto"/>
          <w:kern w:val="0"/>
        </w:rPr>
        <w:t>《关于建筑业实施营业税改征增值税后广西壮族自治区建设工程计价依据调整的通知》（桂建标〔</w:t>
      </w:r>
      <w:r>
        <w:rPr>
          <w:rFonts w:hAnsi="宋体"/>
          <w:color w:val="auto"/>
          <w:kern w:val="0"/>
        </w:rPr>
        <w:t>2016</w:t>
      </w:r>
      <w:r>
        <w:rPr>
          <w:rFonts w:hint="eastAsia" w:hAnsi="宋体" w:cs="宋体"/>
          <w:color w:val="auto"/>
          <w:kern w:val="0"/>
        </w:rPr>
        <w:t>〕</w:t>
      </w:r>
      <w:r>
        <w:rPr>
          <w:rFonts w:hAnsi="宋体"/>
          <w:color w:val="auto"/>
          <w:kern w:val="0"/>
        </w:rPr>
        <w:t>17</w:t>
      </w:r>
      <w:r>
        <w:rPr>
          <w:rFonts w:hint="eastAsia" w:hAnsi="宋体" w:cs="宋体"/>
          <w:color w:val="auto"/>
          <w:kern w:val="0"/>
        </w:rPr>
        <w:t>号）、《房屋建筑与装饰工程工程量计算规范》（GB 50854-2013）、《通用安装工程工程量计算规范》（GB50856-2013）等</w:t>
      </w:r>
      <w:r>
        <w:rPr>
          <w:rFonts w:hint="eastAsia" w:hAnsi="宋体" w:cs="宋体"/>
          <w:color w:val="auto"/>
        </w:rPr>
        <w:t>；</w:t>
      </w:r>
    </w:p>
    <w:p w14:paraId="7EB27673">
      <w:pPr>
        <w:spacing w:line="380" w:lineRule="exact"/>
        <w:ind w:firstLine="420" w:firstLineChars="200"/>
        <w:rPr>
          <w:color w:val="auto"/>
        </w:rPr>
      </w:pPr>
      <w:r>
        <w:rPr>
          <w:rFonts w:hint="eastAsia" w:cs="宋体"/>
          <w:color w:val="auto"/>
        </w:rPr>
        <w:t>（2）自治区住房城乡建设行政主管部门颁发的计价定额及有关规定：</w:t>
      </w:r>
      <w:r>
        <w:rPr>
          <w:rFonts w:hint="eastAsia" w:cs="宋体"/>
          <w:color w:val="auto"/>
          <w:u w:val="single"/>
        </w:rPr>
        <w:t>①2013年《广西壮族自治区建筑装饰装修工程消耗量定额》；②2013年《广西壮族自治区安装拆除工程消耗量定额》；③2011年《广西壮族自治区拆除工程消耗量定额》及其计价相关规定；④自治区住房和城乡建设厅关于颁布2016年《广西壮族自治区建设工程费用定额》的通知（桂建标[2016]16号文）；⑤《自治区住房和城乡建设厅关于建筑业实施营业税改征增值税后广西壮族自治区建设工程计价依据调整的通知》（桂建标[2016]17号文）；⑥《自治区住房城乡建设厅关于印发广西壮族自治区房屋建筑和市政基础设施工程安全生产责任保险计价规定的通知》（桂建发[2023]6号文）；⑦《关于调整建设工程定额人工费及有关费率的通知》（桂建标[2023]7号文）；⑧《关于调整建设工程计价增值税税率的通知》（桂建标[2019]12号文）。</w:t>
      </w:r>
      <w:r>
        <w:rPr>
          <w:rFonts w:hint="eastAsia" w:cs="宋体"/>
          <w:color w:val="auto"/>
          <w:u w:val="single"/>
        </w:rPr>
        <w:cr/>
      </w:r>
      <w:r>
        <w:rPr>
          <w:rFonts w:hint="eastAsia"/>
          <w:color w:val="auto"/>
        </w:rPr>
        <w:t xml:space="preserve">    </w:t>
      </w:r>
      <w:r>
        <w:rPr>
          <w:rFonts w:hint="eastAsia" w:cs="宋体"/>
          <w:color w:val="auto"/>
        </w:rPr>
        <w:t>（</w:t>
      </w:r>
      <w:r>
        <w:rPr>
          <w:color w:val="auto"/>
        </w:rPr>
        <w:t>3</w:t>
      </w:r>
      <w:r>
        <w:rPr>
          <w:rFonts w:hint="eastAsia" w:cs="宋体"/>
          <w:color w:val="auto"/>
        </w:rPr>
        <w:t>）建设工程设计文件及相关资料：</w:t>
      </w:r>
      <w:r>
        <w:rPr>
          <w:rFonts w:hint="eastAsia"/>
          <w:color w:val="auto"/>
          <w:u w:val="single"/>
        </w:rPr>
        <w:t>详见图纸</w:t>
      </w:r>
      <w:r>
        <w:rPr>
          <w:color w:val="auto"/>
          <w:u w:val="single"/>
        </w:rPr>
        <w:t xml:space="preserve"> </w:t>
      </w:r>
      <w:r>
        <w:rPr>
          <w:rFonts w:hint="eastAsia" w:cs="宋体"/>
          <w:color w:val="auto"/>
        </w:rPr>
        <w:t>。</w:t>
      </w:r>
      <w:r>
        <w:rPr>
          <w:color w:val="auto"/>
        </w:rPr>
        <w:t xml:space="preserve"> </w:t>
      </w:r>
    </w:p>
    <w:p w14:paraId="1F77164F">
      <w:pPr>
        <w:spacing w:line="380" w:lineRule="exact"/>
        <w:ind w:firstLine="420" w:firstLineChars="200"/>
        <w:rPr>
          <w:color w:val="auto"/>
        </w:rPr>
      </w:pPr>
      <w:r>
        <w:rPr>
          <w:rFonts w:hint="eastAsia" w:cs="宋体"/>
          <w:color w:val="auto"/>
        </w:rPr>
        <w:t>（</w:t>
      </w:r>
      <w:r>
        <w:rPr>
          <w:color w:val="auto"/>
        </w:rPr>
        <w:t>4</w:t>
      </w:r>
      <w:r>
        <w:rPr>
          <w:rFonts w:hint="eastAsia" w:cs="宋体"/>
          <w:color w:val="auto"/>
        </w:rPr>
        <w:t>）本工程谈判文件及工程量清单；</w:t>
      </w:r>
    </w:p>
    <w:p w14:paraId="369FAA58">
      <w:pPr>
        <w:spacing w:line="380" w:lineRule="exact"/>
        <w:ind w:firstLine="420" w:firstLineChars="200"/>
        <w:rPr>
          <w:color w:val="auto"/>
        </w:rPr>
      </w:pPr>
      <w:r>
        <w:rPr>
          <w:rFonts w:hint="eastAsia" w:cs="宋体"/>
          <w:color w:val="auto"/>
        </w:rPr>
        <w:t>（</w:t>
      </w:r>
      <w:r>
        <w:rPr>
          <w:color w:val="auto"/>
        </w:rPr>
        <w:t>5</w:t>
      </w:r>
      <w:r>
        <w:rPr>
          <w:rFonts w:hint="eastAsia" w:cs="宋体"/>
          <w:color w:val="auto"/>
        </w:rPr>
        <w:t>）与建设项目相关的标准、规范、技术资料；</w:t>
      </w:r>
    </w:p>
    <w:p w14:paraId="2656BD0C">
      <w:pPr>
        <w:spacing w:line="380" w:lineRule="exact"/>
        <w:ind w:firstLine="420" w:firstLineChars="200"/>
        <w:rPr>
          <w:color w:val="auto"/>
        </w:rPr>
      </w:pPr>
      <w:r>
        <w:rPr>
          <w:rFonts w:hint="eastAsia" w:cs="宋体"/>
          <w:color w:val="auto"/>
        </w:rPr>
        <w:t>（</w:t>
      </w:r>
      <w:r>
        <w:rPr>
          <w:color w:val="auto"/>
        </w:rPr>
        <w:t>6</w:t>
      </w:r>
      <w:r>
        <w:rPr>
          <w:rFonts w:hint="eastAsia" w:cs="宋体"/>
          <w:color w:val="auto"/>
        </w:rPr>
        <w:t>）施工现场情况、工程特点及常规施工方案；</w:t>
      </w:r>
    </w:p>
    <w:p w14:paraId="689F4F59">
      <w:pPr>
        <w:spacing w:line="380" w:lineRule="exact"/>
        <w:ind w:firstLine="420" w:firstLineChars="200"/>
        <w:rPr>
          <w:rFonts w:hint="eastAsia" w:hAnsi="宋体"/>
          <w:color w:val="auto"/>
          <w:highlight w:val="yellow"/>
        </w:rPr>
      </w:pPr>
      <w:r>
        <w:rPr>
          <w:rFonts w:hint="eastAsia" w:cs="宋体"/>
          <w:color w:val="auto"/>
        </w:rPr>
        <w:t>（</w:t>
      </w:r>
      <w:r>
        <w:rPr>
          <w:color w:val="auto"/>
        </w:rPr>
        <w:t>7</w:t>
      </w:r>
      <w:r>
        <w:rPr>
          <w:rFonts w:hint="eastAsia" w:cs="宋体"/>
          <w:color w:val="auto"/>
        </w:rPr>
        <w:t>）材料价格信息</w:t>
      </w:r>
      <w:r>
        <w:rPr>
          <w:rFonts w:hint="eastAsia" w:hAnsi="宋体" w:cs="宋体"/>
          <w:color w:val="auto"/>
        </w:rPr>
        <w:t>：</w:t>
      </w:r>
      <w:r>
        <w:rPr>
          <w:rFonts w:hint="eastAsia" w:cs="宋体"/>
          <w:color w:val="auto"/>
          <w:u w:val="single"/>
        </w:rPr>
        <w:t>材料价格参考《桂林市建设工程造价信息》桂林市2025年第04期信息价，信息价上没有的材料价按市场询价</w:t>
      </w:r>
      <w:r>
        <w:rPr>
          <w:rFonts w:hint="eastAsia" w:hAnsi="宋体" w:cs="宋体"/>
          <w:color w:val="auto"/>
        </w:rPr>
        <w:t>。</w:t>
      </w:r>
    </w:p>
    <w:p w14:paraId="42B3E8F1">
      <w:pPr>
        <w:spacing w:line="380" w:lineRule="exact"/>
        <w:ind w:firstLine="420" w:firstLineChars="200"/>
        <w:rPr>
          <w:color w:val="auto"/>
        </w:rPr>
      </w:pPr>
      <w:r>
        <w:rPr>
          <w:color w:val="auto"/>
        </w:rPr>
        <w:t xml:space="preserve">2.2 </w:t>
      </w:r>
      <w:r>
        <w:rPr>
          <w:rFonts w:hint="eastAsia" w:hAnsi="宋体" w:cs="宋体"/>
          <w:color w:val="auto"/>
        </w:rPr>
        <w:t>分部分项及单价措施项目综合单价应包括谈判文件中采购人要求供应商所承担的风险内容及其范围（幅度）产生的风险费用。</w:t>
      </w:r>
    </w:p>
    <w:p w14:paraId="0AFC36B4">
      <w:pPr>
        <w:spacing w:line="380" w:lineRule="exact"/>
        <w:ind w:firstLine="420"/>
        <w:rPr>
          <w:color w:val="auto"/>
        </w:rPr>
      </w:pPr>
      <w:r>
        <w:rPr>
          <w:color w:val="auto"/>
        </w:rPr>
        <w:t xml:space="preserve">2.3 </w:t>
      </w:r>
      <w:r>
        <w:rPr>
          <w:rFonts w:hint="eastAsia" w:hAnsi="宋体" w:cs="宋体"/>
          <w:color w:val="auto"/>
        </w:rPr>
        <w:t>总价措施项目应根据拟定的谈判文件和常规施工方案按《计价规范》和《计算规范》规定编制。</w:t>
      </w:r>
    </w:p>
    <w:p w14:paraId="08CB4001">
      <w:pPr>
        <w:spacing w:line="380" w:lineRule="exact"/>
        <w:ind w:firstLine="420" w:firstLineChars="200"/>
        <w:rPr>
          <w:color w:val="auto"/>
        </w:rPr>
      </w:pPr>
      <w:r>
        <w:rPr>
          <w:color w:val="auto"/>
        </w:rPr>
        <w:t xml:space="preserve">2.4 </w:t>
      </w:r>
      <w:r>
        <w:rPr>
          <w:rFonts w:hint="eastAsia" w:cs="宋体"/>
          <w:color w:val="auto"/>
        </w:rPr>
        <w:t>其他项目费应按下列规定报价：</w:t>
      </w:r>
    </w:p>
    <w:p w14:paraId="78632B12">
      <w:pPr>
        <w:spacing w:line="380" w:lineRule="exact"/>
        <w:ind w:firstLine="420" w:firstLineChars="200"/>
        <w:rPr>
          <w:color w:val="auto"/>
        </w:rPr>
      </w:pPr>
      <w:r>
        <w:rPr>
          <w:rFonts w:hint="eastAsia" w:cs="宋体"/>
          <w:color w:val="auto"/>
        </w:rPr>
        <w:t>（</w:t>
      </w:r>
      <w:r>
        <w:rPr>
          <w:color w:val="auto"/>
        </w:rPr>
        <w:t>1</w:t>
      </w:r>
      <w:r>
        <w:rPr>
          <w:rFonts w:hint="eastAsia" w:cs="宋体"/>
          <w:color w:val="auto"/>
        </w:rPr>
        <w:t>）暂列金额应按工程量清单中列出的金额填写；</w:t>
      </w:r>
    </w:p>
    <w:p w14:paraId="0F784109">
      <w:pPr>
        <w:pStyle w:val="311"/>
        <w:spacing w:line="380" w:lineRule="exact"/>
        <w:ind w:firstLine="420" w:firstLineChars="200"/>
        <w:rPr>
          <w:color w:val="auto"/>
        </w:rPr>
      </w:pPr>
      <w:r>
        <w:rPr>
          <w:rFonts w:hint="eastAsia" w:cs="宋体"/>
          <w:color w:val="auto"/>
        </w:rPr>
        <w:t>（</w:t>
      </w:r>
      <w:r>
        <w:rPr>
          <w:color w:val="auto"/>
        </w:rPr>
        <w:t>2</w:t>
      </w:r>
      <w:r>
        <w:rPr>
          <w:rFonts w:hint="eastAsia" w:cs="宋体"/>
          <w:color w:val="auto"/>
        </w:rPr>
        <w:t>）材料、工程设备暂估价应按工程量清单中列出的单价计入综合单价；</w:t>
      </w:r>
    </w:p>
    <w:p w14:paraId="1363B48A">
      <w:pPr>
        <w:spacing w:line="380" w:lineRule="exact"/>
        <w:ind w:firstLine="420" w:firstLineChars="200"/>
        <w:rPr>
          <w:color w:val="auto"/>
        </w:rPr>
      </w:pPr>
      <w:r>
        <w:rPr>
          <w:rFonts w:hint="eastAsia" w:cs="宋体"/>
          <w:color w:val="auto"/>
        </w:rPr>
        <w:t>（</w:t>
      </w:r>
      <w:r>
        <w:rPr>
          <w:color w:val="auto"/>
        </w:rPr>
        <w:t>3</w:t>
      </w:r>
      <w:r>
        <w:rPr>
          <w:rFonts w:hint="eastAsia" w:cs="宋体"/>
          <w:color w:val="auto"/>
        </w:rPr>
        <w:t>）专业工程暂估价应按工程量清单中列出的金额填写；</w:t>
      </w:r>
    </w:p>
    <w:p w14:paraId="7311C36F">
      <w:pPr>
        <w:spacing w:line="380" w:lineRule="exact"/>
        <w:ind w:firstLine="420" w:firstLineChars="200"/>
        <w:rPr>
          <w:color w:val="auto"/>
        </w:rPr>
      </w:pPr>
      <w:r>
        <w:rPr>
          <w:rFonts w:hint="eastAsia" w:cs="宋体"/>
          <w:color w:val="auto"/>
        </w:rPr>
        <w:t>（</w:t>
      </w:r>
      <w:r>
        <w:rPr>
          <w:color w:val="auto"/>
        </w:rPr>
        <w:t>4</w:t>
      </w:r>
      <w:r>
        <w:rPr>
          <w:rFonts w:hint="eastAsia" w:cs="宋体"/>
          <w:color w:val="auto"/>
        </w:rPr>
        <w:t>）计日工应按工程量清单中列出的项目和数量，根据工程特点和有关计价依据确定的综合单价计算；</w:t>
      </w:r>
    </w:p>
    <w:p w14:paraId="0B836719">
      <w:pPr>
        <w:spacing w:line="380" w:lineRule="exact"/>
        <w:ind w:firstLine="420" w:firstLineChars="200"/>
        <w:rPr>
          <w:rFonts w:cs="宋体"/>
          <w:color w:val="auto"/>
        </w:rPr>
      </w:pPr>
      <w:r>
        <w:rPr>
          <w:rFonts w:hint="eastAsia" w:cs="宋体"/>
          <w:color w:val="auto"/>
        </w:rPr>
        <w:t>（</w:t>
      </w:r>
      <w:r>
        <w:rPr>
          <w:color w:val="auto"/>
        </w:rPr>
        <w:t>5</w:t>
      </w:r>
      <w:r>
        <w:rPr>
          <w:rFonts w:hint="eastAsia" w:cs="宋体"/>
          <w:color w:val="auto"/>
        </w:rPr>
        <w:t>）总承包服务费应根据工程量清单列出的内容</w:t>
      </w:r>
      <w:r>
        <w:rPr>
          <w:rFonts w:hint="eastAsia" w:hAnsi="宋体" w:cs="宋体"/>
          <w:color w:val="auto"/>
        </w:rPr>
        <w:t>和要求，按自治区住房城乡建设行政主管部门颁发的计价定额及有关规定计算</w:t>
      </w:r>
      <w:r>
        <w:rPr>
          <w:rFonts w:hint="eastAsia" w:cs="宋体"/>
          <w:color w:val="auto"/>
        </w:rPr>
        <w:t>。</w:t>
      </w:r>
    </w:p>
    <w:p w14:paraId="4B16E19B">
      <w:pPr>
        <w:spacing w:line="380" w:lineRule="exact"/>
        <w:ind w:firstLine="420" w:firstLineChars="200"/>
        <w:rPr>
          <w:color w:val="auto"/>
        </w:rPr>
      </w:pPr>
      <w:r>
        <w:rPr>
          <w:rFonts w:hint="eastAsia"/>
          <w:color w:val="auto"/>
        </w:rPr>
        <w:t>（6）对建设单位创建优质工程的，鼓励在招标控制价和预算中按广西区工程建设定额规定计列工程优质费，并明确工程优质费不可竞争。</w:t>
      </w:r>
    </w:p>
    <w:p w14:paraId="47D9C1A3">
      <w:pPr>
        <w:spacing w:line="380" w:lineRule="exact"/>
        <w:ind w:firstLine="420" w:firstLineChars="200"/>
        <w:rPr>
          <w:color w:val="auto"/>
        </w:rPr>
      </w:pPr>
      <w:r>
        <w:rPr>
          <w:color w:val="auto"/>
        </w:rPr>
        <w:t xml:space="preserve">2.5 </w:t>
      </w:r>
      <w:r>
        <w:rPr>
          <w:rFonts w:hint="eastAsia"/>
          <w:color w:val="auto"/>
        </w:rPr>
        <w:t>规费和增值税应按规定确定，作为不可竞争费用。</w:t>
      </w:r>
    </w:p>
    <w:p w14:paraId="07E66B40">
      <w:pPr>
        <w:spacing w:line="380" w:lineRule="exact"/>
        <w:ind w:firstLine="420" w:firstLineChars="200"/>
        <w:rPr>
          <w:color w:val="auto"/>
        </w:rPr>
      </w:pPr>
      <w:r>
        <w:rPr>
          <w:color w:val="auto"/>
        </w:rPr>
        <w:t>2.</w:t>
      </w:r>
      <w:r>
        <w:rPr>
          <w:rFonts w:hint="eastAsia"/>
          <w:color w:val="auto"/>
        </w:rPr>
        <w:t>6</w:t>
      </w:r>
      <w:r>
        <w:rPr>
          <w:color w:val="auto"/>
        </w:rPr>
        <w:t xml:space="preserve"> </w:t>
      </w:r>
      <w:r>
        <w:rPr>
          <w:rFonts w:hint="eastAsia"/>
          <w:color w:val="auto"/>
        </w:rPr>
        <w:t>其它需要说明的问题：详见工程量清单。</w:t>
      </w:r>
    </w:p>
    <w:p w14:paraId="2DAD3258">
      <w:pPr>
        <w:pStyle w:val="4"/>
        <w:spacing w:before="0" w:after="0" w:line="380" w:lineRule="exact"/>
        <w:rPr>
          <w:color w:val="auto"/>
        </w:rPr>
      </w:pPr>
      <w:bookmarkStart w:id="79" w:name="_Toc378483916"/>
      <w:bookmarkStart w:id="80" w:name="_Toc407135286"/>
      <w:bookmarkStart w:id="81" w:name="_Toc78449871"/>
      <w:bookmarkStart w:id="82" w:name="_Toc879821176"/>
      <w:r>
        <w:rPr>
          <w:color w:val="auto"/>
        </w:rPr>
        <w:t>3</w:t>
      </w:r>
      <w:r>
        <w:rPr>
          <w:rFonts w:hint="eastAsia"/>
          <w:color w:val="auto"/>
        </w:rPr>
        <w:t>.</w:t>
      </w:r>
      <w:r>
        <w:rPr>
          <w:rFonts w:hint="eastAsia" w:cs="黑体"/>
          <w:color w:val="auto"/>
        </w:rPr>
        <w:t>竞标报价（已标价工程量清单）编制说明</w:t>
      </w:r>
      <w:bookmarkEnd w:id="79"/>
      <w:bookmarkEnd w:id="80"/>
      <w:bookmarkEnd w:id="81"/>
      <w:bookmarkEnd w:id="82"/>
    </w:p>
    <w:p w14:paraId="6871275E">
      <w:pPr>
        <w:spacing w:line="380" w:lineRule="exact"/>
        <w:ind w:firstLine="420" w:firstLineChars="200"/>
        <w:rPr>
          <w:color w:val="auto"/>
        </w:rPr>
      </w:pPr>
      <w:r>
        <w:rPr>
          <w:color w:val="auto"/>
        </w:rPr>
        <w:t xml:space="preserve">3.1 </w:t>
      </w:r>
      <w:r>
        <w:rPr>
          <w:rFonts w:hint="eastAsia" w:cs="宋体"/>
          <w:color w:val="auto"/>
        </w:rPr>
        <w:t>供应商应依据谈判文件、工程量清单以及《计价规范》、《计算规范》自主报价，自主报价</w:t>
      </w:r>
      <w:r>
        <w:rPr>
          <w:rFonts w:hint="eastAsia" w:hAnsi="宋体" w:cs="宋体"/>
          <w:color w:val="auto"/>
        </w:rPr>
        <w:t>不得违反计价规范强制性条文规定。</w:t>
      </w:r>
      <w:r>
        <w:rPr>
          <w:rFonts w:hint="eastAsia" w:cs="宋体"/>
          <w:color w:val="auto"/>
        </w:rPr>
        <w:t>供应商不得采用总价让利或以百分比让利等形式进行报价，任何优惠（或降价、让利）均应反映在相应清单项目的综合单价中。同时，不得出现任意一项单价重大让利，</w:t>
      </w:r>
      <w:r>
        <w:rPr>
          <w:rFonts w:hint="eastAsia" w:hAnsi="宋体" w:cs="宋体"/>
          <w:color w:val="auto"/>
        </w:rPr>
        <w:t>不得以自有机械闲置、自有材料等不计成本为由</w:t>
      </w:r>
      <w:r>
        <w:rPr>
          <w:rFonts w:hint="eastAsia" w:cs="宋体"/>
          <w:color w:val="auto"/>
        </w:rPr>
        <w:t>低于工程成本报价。</w:t>
      </w:r>
    </w:p>
    <w:p w14:paraId="58003357">
      <w:pPr>
        <w:spacing w:line="380" w:lineRule="exact"/>
        <w:ind w:firstLine="420" w:firstLineChars="200"/>
        <w:rPr>
          <w:rFonts w:hint="eastAsia" w:hAnsi="宋体"/>
          <w:color w:val="auto"/>
        </w:rPr>
      </w:pPr>
      <w:r>
        <w:rPr>
          <w:color w:val="auto"/>
        </w:rPr>
        <w:t xml:space="preserve">3.2 </w:t>
      </w:r>
      <w:r>
        <w:rPr>
          <w:rFonts w:hint="eastAsia" w:cs="宋体"/>
          <w:color w:val="auto"/>
        </w:rPr>
        <w:t>供应商应按工程量清单填报价格。项目编码、项目名称、项目特征、计量单位、工程量必须与工程量清单一致，</w:t>
      </w:r>
      <w:r>
        <w:rPr>
          <w:rFonts w:hint="eastAsia" w:hAnsi="宋体" w:cs="宋体"/>
          <w:color w:val="auto"/>
        </w:rPr>
        <w:t>供应商不得对工程量清单项目进行增减调整。</w:t>
      </w:r>
    </w:p>
    <w:p w14:paraId="1ABE638E">
      <w:pPr>
        <w:spacing w:line="380" w:lineRule="exact"/>
        <w:ind w:firstLine="420" w:firstLineChars="200"/>
        <w:rPr>
          <w:color w:val="auto"/>
        </w:rPr>
      </w:pPr>
      <w:r>
        <w:rPr>
          <w:color w:val="auto"/>
        </w:rPr>
        <w:t xml:space="preserve">3.3 </w:t>
      </w:r>
      <w:r>
        <w:rPr>
          <w:rFonts w:hint="eastAsia" w:cs="宋体"/>
          <w:color w:val="auto"/>
        </w:rPr>
        <w:t>综合单价中应包含谈判文件中划分的应由供应商承担的风险范围及其费用。</w:t>
      </w:r>
    </w:p>
    <w:p w14:paraId="14FDF4FD">
      <w:pPr>
        <w:spacing w:line="380" w:lineRule="exact"/>
        <w:ind w:firstLine="420" w:firstLineChars="200"/>
        <w:rPr>
          <w:rFonts w:hint="eastAsia" w:hAnsi="宋体"/>
          <w:color w:val="auto"/>
        </w:rPr>
      </w:pPr>
      <w:r>
        <w:rPr>
          <w:color w:val="auto"/>
        </w:rPr>
        <w:t xml:space="preserve">3.4 </w:t>
      </w:r>
      <w:r>
        <w:rPr>
          <w:rFonts w:hint="eastAsia" w:hAnsi="宋体" w:cs="宋体"/>
          <w:color w:val="auto"/>
        </w:rPr>
        <w:t>分部分项工程项目和单价措施项目，应根据谈判文件和工程量清单项目中的特征描述确定综合单价计算。如出现工程量清单特征描述与设计图纸不符时，供应商应以工程量清单的项目特征描述为准，确定竞标报价的综合单价。</w:t>
      </w:r>
    </w:p>
    <w:p w14:paraId="6DAC3C70">
      <w:pPr>
        <w:spacing w:line="380" w:lineRule="exact"/>
        <w:ind w:firstLine="420" w:firstLineChars="200"/>
        <w:rPr>
          <w:color w:val="auto"/>
        </w:rPr>
      </w:pPr>
      <w:r>
        <w:rPr>
          <w:color w:val="auto"/>
        </w:rPr>
        <w:t xml:space="preserve">3.5 </w:t>
      </w:r>
      <w:r>
        <w:rPr>
          <w:rFonts w:hint="eastAsia" w:hAnsi="宋体" w:cs="宋体"/>
          <w:color w:val="auto"/>
        </w:rPr>
        <w:t>总价措施项目的金额应根据谈判文件及竞标时拟定的施工组织设计或施工方案，按计价规范的规定自主确定。但</w:t>
      </w:r>
      <w:r>
        <w:rPr>
          <w:rFonts w:hint="eastAsia" w:cs="宋体"/>
          <w:color w:val="auto"/>
        </w:rPr>
        <w:t>安全文明施工费按国家、省级或行业建设主管部门的有关规定执行，作为不竞争费用单列。</w:t>
      </w:r>
    </w:p>
    <w:p w14:paraId="03978D2D">
      <w:pPr>
        <w:spacing w:line="380" w:lineRule="exact"/>
        <w:ind w:firstLine="420" w:firstLineChars="200"/>
        <w:rPr>
          <w:color w:val="auto"/>
        </w:rPr>
      </w:pPr>
      <w:r>
        <w:rPr>
          <w:color w:val="auto"/>
        </w:rPr>
        <w:t xml:space="preserve">3.6 </w:t>
      </w:r>
      <w:r>
        <w:rPr>
          <w:rFonts w:hint="eastAsia" w:cs="宋体"/>
          <w:color w:val="auto"/>
        </w:rPr>
        <w:t>其他项目费应按下列规定报价：</w:t>
      </w:r>
    </w:p>
    <w:p w14:paraId="680FADD2">
      <w:pPr>
        <w:spacing w:line="380" w:lineRule="exact"/>
        <w:ind w:firstLine="420" w:firstLineChars="200"/>
        <w:rPr>
          <w:color w:val="auto"/>
        </w:rPr>
      </w:pPr>
      <w:r>
        <w:rPr>
          <w:rFonts w:hint="eastAsia" w:cs="宋体"/>
          <w:color w:val="auto"/>
        </w:rPr>
        <w:t>（</w:t>
      </w:r>
      <w:r>
        <w:rPr>
          <w:color w:val="auto"/>
        </w:rPr>
        <w:t>1</w:t>
      </w:r>
      <w:r>
        <w:rPr>
          <w:rFonts w:hint="eastAsia" w:cs="宋体"/>
          <w:color w:val="auto"/>
        </w:rPr>
        <w:t>）暂列金额应按工程量清单中列出的金额填写；</w:t>
      </w:r>
    </w:p>
    <w:p w14:paraId="3C8C2D27">
      <w:pPr>
        <w:pStyle w:val="311"/>
        <w:spacing w:line="380" w:lineRule="exact"/>
        <w:ind w:firstLine="420" w:firstLineChars="200"/>
        <w:rPr>
          <w:color w:val="auto"/>
        </w:rPr>
      </w:pPr>
      <w:r>
        <w:rPr>
          <w:rFonts w:hint="eastAsia" w:cs="宋体"/>
          <w:color w:val="auto"/>
        </w:rPr>
        <w:t>（</w:t>
      </w:r>
      <w:r>
        <w:rPr>
          <w:color w:val="auto"/>
        </w:rPr>
        <w:t>2</w:t>
      </w:r>
      <w:r>
        <w:rPr>
          <w:rFonts w:hint="eastAsia" w:cs="宋体"/>
          <w:color w:val="auto"/>
        </w:rPr>
        <w:t>）材料、工程设备暂估价应按工程量清单中列出的单价计入综合单价；</w:t>
      </w:r>
    </w:p>
    <w:p w14:paraId="68ACFF2B">
      <w:pPr>
        <w:spacing w:line="380" w:lineRule="exact"/>
        <w:ind w:firstLine="420" w:firstLineChars="200"/>
        <w:rPr>
          <w:color w:val="auto"/>
        </w:rPr>
      </w:pPr>
      <w:r>
        <w:rPr>
          <w:rFonts w:hint="eastAsia" w:cs="宋体"/>
          <w:color w:val="auto"/>
        </w:rPr>
        <w:t>（</w:t>
      </w:r>
      <w:r>
        <w:rPr>
          <w:color w:val="auto"/>
        </w:rPr>
        <w:t>3</w:t>
      </w:r>
      <w:r>
        <w:rPr>
          <w:rFonts w:hint="eastAsia" w:cs="宋体"/>
          <w:color w:val="auto"/>
        </w:rPr>
        <w:t>）专业工程暂估价应按工程量清单中列出的金额填写；</w:t>
      </w:r>
    </w:p>
    <w:p w14:paraId="4FC5F1D5">
      <w:pPr>
        <w:spacing w:line="380" w:lineRule="exact"/>
        <w:ind w:firstLine="420" w:firstLineChars="200"/>
        <w:rPr>
          <w:color w:val="auto"/>
        </w:rPr>
      </w:pPr>
      <w:r>
        <w:rPr>
          <w:rFonts w:hint="eastAsia" w:cs="宋体"/>
          <w:color w:val="auto"/>
        </w:rPr>
        <w:t>（</w:t>
      </w:r>
      <w:r>
        <w:rPr>
          <w:color w:val="auto"/>
        </w:rPr>
        <w:t>4</w:t>
      </w:r>
      <w:r>
        <w:rPr>
          <w:rFonts w:hint="eastAsia" w:cs="宋体"/>
          <w:color w:val="auto"/>
        </w:rPr>
        <w:t>）计日工应按工程量清单中列出的项目和估算数量，自主确定综合单价并计算计日工总额；计日工单价均不含规费和税金；</w:t>
      </w:r>
    </w:p>
    <w:p w14:paraId="77DB50B7">
      <w:pPr>
        <w:spacing w:line="380" w:lineRule="exact"/>
        <w:ind w:firstLine="420" w:firstLineChars="200"/>
        <w:rPr>
          <w:rFonts w:cs="宋体"/>
          <w:color w:val="auto"/>
        </w:rPr>
      </w:pPr>
      <w:r>
        <w:rPr>
          <w:rFonts w:hint="eastAsia" w:cs="宋体"/>
          <w:color w:val="auto"/>
        </w:rPr>
        <w:t>（</w:t>
      </w:r>
      <w:r>
        <w:rPr>
          <w:color w:val="auto"/>
        </w:rPr>
        <w:t>5</w:t>
      </w:r>
      <w:r>
        <w:rPr>
          <w:rFonts w:hint="eastAsia" w:cs="宋体"/>
          <w:color w:val="auto"/>
        </w:rPr>
        <w:t>）总承包服务费应根据工程量清单中列出的内容</w:t>
      </w:r>
      <w:r>
        <w:rPr>
          <w:rFonts w:hint="eastAsia" w:hAnsi="宋体" w:cs="宋体"/>
          <w:color w:val="auto"/>
        </w:rPr>
        <w:t>和供应材料、设备情况，按照采购人提出的协调、配合与服务要求和施工现场管理需要</w:t>
      </w:r>
      <w:r>
        <w:rPr>
          <w:rFonts w:hint="eastAsia" w:cs="宋体"/>
          <w:color w:val="auto"/>
        </w:rPr>
        <w:t>自主确定。</w:t>
      </w:r>
    </w:p>
    <w:p w14:paraId="33B4829A">
      <w:pPr>
        <w:spacing w:line="380" w:lineRule="exact"/>
        <w:ind w:firstLine="420" w:firstLineChars="200"/>
        <w:rPr>
          <w:color w:val="auto"/>
        </w:rPr>
      </w:pPr>
      <w:r>
        <w:rPr>
          <w:rFonts w:hint="eastAsia"/>
          <w:color w:val="auto"/>
        </w:rPr>
        <w:t>（6）对建设单位创建优质工程的，鼓励在招标控制价和预算中按我区工程建设定额规定计列工程优质费，并明确工程优质费不可竞争。</w:t>
      </w:r>
    </w:p>
    <w:p w14:paraId="2F032D2E">
      <w:pPr>
        <w:spacing w:line="380" w:lineRule="exact"/>
        <w:ind w:firstLine="420" w:firstLineChars="200"/>
        <w:rPr>
          <w:color w:val="auto"/>
        </w:rPr>
      </w:pPr>
      <w:r>
        <w:rPr>
          <w:color w:val="auto"/>
        </w:rPr>
        <w:t xml:space="preserve">3.7 </w:t>
      </w:r>
      <w:r>
        <w:rPr>
          <w:rFonts w:hint="eastAsia" w:cs="宋体"/>
          <w:color w:val="auto"/>
        </w:rPr>
        <w:t>规费和增值税应按规定确定，作为不可竞争费用。</w:t>
      </w:r>
    </w:p>
    <w:p w14:paraId="27E91262">
      <w:pPr>
        <w:spacing w:line="380" w:lineRule="exact"/>
        <w:ind w:firstLine="420" w:firstLineChars="200"/>
        <w:rPr>
          <w:color w:val="auto"/>
        </w:rPr>
      </w:pPr>
      <w:r>
        <w:rPr>
          <w:color w:val="auto"/>
        </w:rPr>
        <w:t xml:space="preserve">3.8 </w:t>
      </w:r>
      <w:r>
        <w:rPr>
          <w:rFonts w:hint="eastAsia" w:cs="宋体"/>
          <w:color w:val="auto"/>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3372F6D2">
      <w:pPr>
        <w:spacing w:line="380" w:lineRule="exact"/>
        <w:ind w:firstLine="420" w:firstLineChars="200"/>
        <w:rPr>
          <w:color w:val="auto"/>
        </w:rPr>
      </w:pPr>
      <w:r>
        <w:rPr>
          <w:color w:val="auto"/>
        </w:rPr>
        <w:t xml:space="preserve">3.9 </w:t>
      </w:r>
      <w:r>
        <w:rPr>
          <w:rFonts w:hint="eastAsia" w:cs="宋体"/>
          <w:color w:val="auto"/>
        </w:rPr>
        <w:t>竞标总价应当与分部分项工程费、措施项目费、其他项目费和规费、增值税的合计金额一致。</w:t>
      </w:r>
    </w:p>
    <w:p w14:paraId="5C739920">
      <w:pPr>
        <w:spacing w:line="380" w:lineRule="exact"/>
        <w:ind w:firstLine="420" w:firstLineChars="200"/>
        <w:rPr>
          <w:color w:val="auto"/>
        </w:rPr>
      </w:pPr>
      <w:r>
        <w:rPr>
          <w:color w:val="auto"/>
        </w:rPr>
        <w:t>3.1</w:t>
      </w:r>
      <w:r>
        <w:rPr>
          <w:rFonts w:hint="eastAsia"/>
          <w:color w:val="auto"/>
        </w:rPr>
        <w:t>0</w:t>
      </w:r>
      <w:r>
        <w:rPr>
          <w:color w:val="auto"/>
        </w:rPr>
        <w:t xml:space="preserve"> </w:t>
      </w:r>
      <w:r>
        <w:rPr>
          <w:rFonts w:hint="eastAsia" w:cs="宋体"/>
          <w:color w:val="auto"/>
        </w:rPr>
        <w:t>供应商应按《允许调整主要材料和工程设备一览表》的内容填报，不得擅自调整材料和设备名称型号规格、单位、风险系数、基准单价。</w:t>
      </w:r>
    </w:p>
    <w:p w14:paraId="59C63B5D">
      <w:pPr>
        <w:spacing w:line="380" w:lineRule="exact"/>
        <w:ind w:firstLine="420" w:firstLineChars="200"/>
        <w:rPr>
          <w:rFonts w:hint="eastAsia" w:hAnsi="宋体"/>
          <w:color w:val="auto"/>
        </w:rPr>
      </w:pPr>
      <w:r>
        <w:rPr>
          <w:color w:val="auto"/>
        </w:rPr>
        <w:t>3.1</w:t>
      </w:r>
      <w:r>
        <w:rPr>
          <w:rFonts w:hint="eastAsia"/>
          <w:color w:val="auto"/>
        </w:rPr>
        <w:t>1</w:t>
      </w:r>
      <w:r>
        <w:rPr>
          <w:rFonts w:hint="eastAsia" w:hAnsi="宋体" w:cs="宋体"/>
          <w:color w:val="auto"/>
        </w:rPr>
        <w:t>竞标报价</w:t>
      </w:r>
      <w:r>
        <w:rPr>
          <w:rFonts w:hint="eastAsia" w:cs="宋体"/>
          <w:color w:val="auto"/>
        </w:rPr>
        <w:t>表格按本工程工程量清单表格要求填写，并</w:t>
      </w:r>
      <w:r>
        <w:rPr>
          <w:rFonts w:hint="eastAsia" w:hAnsi="宋体" w:cs="宋体"/>
          <w:color w:val="auto"/>
        </w:rPr>
        <w:t>应按谈判文件的要求，附上《工程量清单综合单价分析表》（表</w:t>
      </w:r>
      <w:r>
        <w:rPr>
          <w:color w:val="auto"/>
        </w:rPr>
        <w:t>-09</w:t>
      </w:r>
      <w:r>
        <w:rPr>
          <w:rFonts w:hint="eastAsia" w:hAnsi="宋体" w:cs="宋体"/>
          <w:color w:val="auto"/>
        </w:rPr>
        <w:t>）和《主要清单项目工料机分析表》（表</w:t>
      </w:r>
      <w:r>
        <w:rPr>
          <w:color w:val="auto"/>
        </w:rPr>
        <w:t>-10</w:t>
      </w:r>
      <w:r>
        <w:rPr>
          <w:rFonts w:hint="eastAsia" w:hAnsi="宋体" w:cs="宋体"/>
          <w:color w:val="auto"/>
        </w:rPr>
        <w:t>）。</w:t>
      </w:r>
    </w:p>
    <w:p w14:paraId="24E0375A">
      <w:pPr>
        <w:spacing w:line="380" w:lineRule="exact"/>
        <w:ind w:firstLine="420" w:firstLineChars="200"/>
        <w:rPr>
          <w:color w:val="auto"/>
          <w:u w:val="single"/>
        </w:rPr>
      </w:pPr>
      <w:r>
        <w:rPr>
          <w:rFonts w:hint="eastAsia" w:cs="宋体"/>
          <w:color w:val="auto"/>
        </w:rPr>
        <w:t>未尽事宜详见本工程工程量清单、招标控制价编制说明以及现行《计价规范》等有关规定执行。</w:t>
      </w:r>
    </w:p>
    <w:p w14:paraId="48B845FF">
      <w:pPr>
        <w:spacing w:line="380" w:lineRule="exact"/>
        <w:ind w:firstLine="420" w:firstLineChars="200"/>
        <w:rPr>
          <w:rFonts w:cs="宋体"/>
          <w:color w:val="auto"/>
        </w:rPr>
      </w:pPr>
      <w:r>
        <w:rPr>
          <w:rFonts w:hint="eastAsia" w:cs="宋体"/>
          <w:color w:val="auto"/>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60621A5B">
      <w:pPr>
        <w:pStyle w:val="4"/>
        <w:spacing w:before="0" w:after="0" w:line="380" w:lineRule="exact"/>
        <w:rPr>
          <w:rFonts w:cs="黑体"/>
          <w:color w:val="auto"/>
        </w:rPr>
      </w:pPr>
      <w:r>
        <w:rPr>
          <w:rFonts w:hint="eastAsia" w:cs="黑体"/>
          <w:color w:val="auto"/>
        </w:rPr>
        <w:t>4.图纸（另册）</w:t>
      </w:r>
    </w:p>
    <w:p w14:paraId="2E9A0348">
      <w:pPr>
        <w:pStyle w:val="4"/>
        <w:spacing w:before="0" w:after="0" w:line="360" w:lineRule="auto"/>
        <w:jc w:val="center"/>
        <w:rPr>
          <w:color w:val="auto"/>
        </w:rPr>
      </w:pPr>
      <w:r>
        <w:rPr>
          <w:rFonts w:cs="黑体"/>
          <w:color w:val="auto"/>
        </w:rPr>
        <w:br w:type="page"/>
      </w:r>
    </w:p>
    <w:p w14:paraId="657C9C0C">
      <w:pPr>
        <w:pStyle w:val="5"/>
        <w:spacing w:before="0" w:after="0" w:line="360" w:lineRule="auto"/>
        <w:rPr>
          <w:color w:val="auto"/>
        </w:rPr>
      </w:pPr>
    </w:p>
    <w:p w14:paraId="787B6FB8">
      <w:pPr>
        <w:rPr>
          <w:color w:val="auto"/>
        </w:rPr>
      </w:pPr>
    </w:p>
    <w:p w14:paraId="3279CD3F">
      <w:pPr>
        <w:rPr>
          <w:color w:val="auto"/>
        </w:rPr>
      </w:pPr>
    </w:p>
    <w:p w14:paraId="05C3B6D8">
      <w:pPr>
        <w:rPr>
          <w:color w:val="auto"/>
        </w:rPr>
      </w:pPr>
    </w:p>
    <w:p w14:paraId="404A1E7D">
      <w:pPr>
        <w:rPr>
          <w:color w:val="auto"/>
        </w:rPr>
      </w:pPr>
    </w:p>
    <w:p w14:paraId="768066B7">
      <w:pPr>
        <w:rPr>
          <w:color w:val="auto"/>
        </w:rPr>
      </w:pPr>
    </w:p>
    <w:p w14:paraId="36F17B5C">
      <w:pPr>
        <w:rPr>
          <w:color w:val="auto"/>
        </w:rPr>
      </w:pPr>
    </w:p>
    <w:p w14:paraId="69163C14">
      <w:pPr>
        <w:rPr>
          <w:color w:val="auto"/>
        </w:rPr>
      </w:pPr>
    </w:p>
    <w:p w14:paraId="150BCC4C">
      <w:pPr>
        <w:rPr>
          <w:color w:val="auto"/>
        </w:rPr>
      </w:pPr>
    </w:p>
    <w:p w14:paraId="00A92AD9">
      <w:pPr>
        <w:rPr>
          <w:color w:val="auto"/>
        </w:rPr>
      </w:pPr>
    </w:p>
    <w:p w14:paraId="74DD72E3">
      <w:pPr>
        <w:rPr>
          <w:color w:val="auto"/>
        </w:rPr>
      </w:pPr>
    </w:p>
    <w:p w14:paraId="6E8D672C">
      <w:pPr>
        <w:rPr>
          <w:color w:val="auto"/>
        </w:rPr>
      </w:pPr>
    </w:p>
    <w:p w14:paraId="41BC0057">
      <w:pPr>
        <w:pStyle w:val="8"/>
        <w:rPr>
          <w:color w:val="auto"/>
        </w:rPr>
      </w:pPr>
    </w:p>
    <w:p w14:paraId="6465DF19">
      <w:pPr>
        <w:pStyle w:val="8"/>
        <w:rPr>
          <w:color w:val="auto"/>
        </w:rPr>
      </w:pPr>
    </w:p>
    <w:p w14:paraId="332CA597">
      <w:pPr>
        <w:pStyle w:val="8"/>
        <w:rPr>
          <w:color w:val="auto"/>
        </w:rPr>
      </w:pPr>
    </w:p>
    <w:p w14:paraId="52D94DB9">
      <w:pPr>
        <w:pStyle w:val="8"/>
        <w:rPr>
          <w:color w:val="auto"/>
        </w:rPr>
      </w:pPr>
    </w:p>
    <w:p w14:paraId="75879110">
      <w:pPr>
        <w:pStyle w:val="8"/>
        <w:rPr>
          <w:color w:val="auto"/>
        </w:rPr>
      </w:pPr>
    </w:p>
    <w:p w14:paraId="6CD5115D">
      <w:pPr>
        <w:pStyle w:val="8"/>
        <w:rPr>
          <w:color w:val="auto"/>
        </w:rPr>
      </w:pPr>
    </w:p>
    <w:p w14:paraId="4508150C">
      <w:pPr>
        <w:rPr>
          <w:color w:val="auto"/>
        </w:rPr>
      </w:pPr>
    </w:p>
    <w:p w14:paraId="621C355D">
      <w:pPr>
        <w:rPr>
          <w:color w:val="auto"/>
        </w:rPr>
      </w:pPr>
    </w:p>
    <w:p w14:paraId="6F381FFA">
      <w:pPr>
        <w:pStyle w:val="3"/>
        <w:jc w:val="center"/>
        <w:rPr>
          <w:color w:val="auto"/>
        </w:rPr>
      </w:pPr>
      <w:bookmarkStart w:id="83" w:name="_Toc74323460"/>
      <w:r>
        <w:rPr>
          <w:rFonts w:hint="eastAsia"/>
          <w:color w:val="auto"/>
        </w:rPr>
        <w:t>第六章 响应文件格式</w:t>
      </w:r>
      <w:bookmarkEnd w:id="83"/>
    </w:p>
    <w:p w14:paraId="572FA8F0">
      <w:pPr>
        <w:spacing w:line="240" w:lineRule="atLeast"/>
        <w:rPr>
          <w:rFonts w:hint="eastAsia" w:ascii="宋体" w:hAnsi="宋体"/>
          <w:b/>
          <w:color w:val="auto"/>
          <w:sz w:val="32"/>
          <w:szCs w:val="32"/>
        </w:rPr>
      </w:pPr>
    </w:p>
    <w:p w14:paraId="5A70E769">
      <w:pPr>
        <w:spacing w:line="240" w:lineRule="atLeast"/>
        <w:rPr>
          <w:rFonts w:hint="eastAsia" w:ascii="宋体" w:hAnsi="宋体"/>
          <w:b/>
          <w:color w:val="auto"/>
          <w:sz w:val="32"/>
          <w:szCs w:val="32"/>
        </w:rPr>
      </w:pPr>
    </w:p>
    <w:p w14:paraId="386A9A63">
      <w:pPr>
        <w:spacing w:line="240" w:lineRule="atLeast"/>
        <w:rPr>
          <w:rFonts w:hint="eastAsia" w:ascii="宋体" w:hAnsi="宋体"/>
          <w:b/>
          <w:color w:val="auto"/>
          <w:sz w:val="32"/>
          <w:szCs w:val="32"/>
        </w:rPr>
      </w:pPr>
    </w:p>
    <w:p w14:paraId="6CB18960">
      <w:pPr>
        <w:spacing w:line="240" w:lineRule="atLeast"/>
        <w:rPr>
          <w:rFonts w:hint="eastAsia" w:ascii="宋体" w:hAnsi="宋体"/>
          <w:b/>
          <w:color w:val="auto"/>
          <w:sz w:val="32"/>
          <w:szCs w:val="32"/>
        </w:rPr>
      </w:pPr>
    </w:p>
    <w:p w14:paraId="71F017AA">
      <w:pPr>
        <w:spacing w:line="240" w:lineRule="atLeast"/>
        <w:rPr>
          <w:rFonts w:hint="eastAsia" w:ascii="宋体" w:hAnsi="宋体"/>
          <w:b/>
          <w:color w:val="auto"/>
          <w:sz w:val="32"/>
          <w:szCs w:val="32"/>
        </w:rPr>
      </w:pPr>
    </w:p>
    <w:p w14:paraId="22C8D543">
      <w:pPr>
        <w:spacing w:line="240" w:lineRule="atLeast"/>
        <w:rPr>
          <w:rFonts w:hint="eastAsia" w:ascii="宋体" w:hAnsi="宋体"/>
          <w:b/>
          <w:color w:val="auto"/>
          <w:sz w:val="32"/>
          <w:szCs w:val="32"/>
        </w:rPr>
      </w:pPr>
    </w:p>
    <w:p w14:paraId="0DAA329A">
      <w:pPr>
        <w:spacing w:line="240" w:lineRule="atLeast"/>
        <w:rPr>
          <w:rFonts w:hint="eastAsia" w:ascii="宋体" w:hAnsi="宋体"/>
          <w:b/>
          <w:color w:val="auto"/>
          <w:sz w:val="32"/>
          <w:szCs w:val="32"/>
        </w:rPr>
      </w:pPr>
    </w:p>
    <w:p w14:paraId="5563E774">
      <w:pPr>
        <w:spacing w:line="240" w:lineRule="atLeast"/>
        <w:rPr>
          <w:rFonts w:hint="eastAsia" w:ascii="宋体" w:hAnsi="宋体"/>
          <w:b/>
          <w:color w:val="auto"/>
          <w:sz w:val="32"/>
          <w:szCs w:val="32"/>
        </w:rPr>
      </w:pPr>
    </w:p>
    <w:p w14:paraId="74B33F1B">
      <w:pPr>
        <w:spacing w:line="240" w:lineRule="atLeast"/>
        <w:rPr>
          <w:rFonts w:hint="eastAsia" w:ascii="宋体" w:hAnsi="宋体"/>
          <w:b/>
          <w:color w:val="auto"/>
          <w:sz w:val="32"/>
          <w:szCs w:val="32"/>
        </w:rPr>
      </w:pPr>
    </w:p>
    <w:p w14:paraId="1B88D337">
      <w:pPr>
        <w:snapToGrid w:val="0"/>
        <w:spacing w:before="50" w:after="50"/>
        <w:outlineLvl w:val="1"/>
        <w:rPr>
          <w:rFonts w:hint="eastAsia" w:ascii="宋体" w:hAnsi="宋体"/>
          <w:b/>
          <w:bCs/>
          <w:color w:val="auto"/>
          <w:sz w:val="24"/>
        </w:rPr>
      </w:pPr>
    </w:p>
    <w:p w14:paraId="6B1BA7BD">
      <w:pPr>
        <w:rPr>
          <w:b/>
          <w:color w:val="auto"/>
          <w:sz w:val="32"/>
          <w:szCs w:val="32"/>
        </w:rPr>
      </w:pPr>
      <w:bookmarkStart w:id="84" w:name="_Toc44229899"/>
      <w:bookmarkStart w:id="85" w:name="_Toc31723070"/>
      <w:bookmarkStart w:id="86" w:name="_Toc35611516"/>
      <w:bookmarkStart w:id="87" w:name="_Toc71366186"/>
      <w:bookmarkStart w:id="88" w:name="_Toc35611438"/>
      <w:bookmarkStart w:id="89" w:name="_Toc31728084"/>
    </w:p>
    <w:p w14:paraId="1EFEF7CC">
      <w:pPr>
        <w:rPr>
          <w:b/>
          <w:color w:val="auto"/>
          <w:sz w:val="32"/>
          <w:szCs w:val="32"/>
        </w:rPr>
      </w:pPr>
    </w:p>
    <w:p w14:paraId="36750395">
      <w:pPr>
        <w:rPr>
          <w:b/>
          <w:color w:val="auto"/>
          <w:sz w:val="32"/>
          <w:szCs w:val="32"/>
        </w:rPr>
      </w:pPr>
    </w:p>
    <w:p w14:paraId="421746FE">
      <w:pPr>
        <w:rPr>
          <w:b/>
          <w:color w:val="auto"/>
          <w:sz w:val="32"/>
          <w:szCs w:val="32"/>
        </w:rPr>
      </w:pPr>
    </w:p>
    <w:p w14:paraId="120B4C47">
      <w:pPr>
        <w:rPr>
          <w:b/>
          <w:color w:val="auto"/>
          <w:sz w:val="32"/>
          <w:szCs w:val="32"/>
        </w:rPr>
      </w:pPr>
    </w:p>
    <w:p w14:paraId="5679F6A4">
      <w:pPr>
        <w:rPr>
          <w:b/>
          <w:color w:val="auto"/>
          <w:sz w:val="32"/>
          <w:szCs w:val="32"/>
        </w:rPr>
      </w:pPr>
    </w:p>
    <w:p w14:paraId="1FF7C9EC">
      <w:pPr>
        <w:rPr>
          <w:b/>
          <w:color w:val="auto"/>
          <w:sz w:val="32"/>
          <w:szCs w:val="32"/>
        </w:rPr>
      </w:pPr>
    </w:p>
    <w:p w14:paraId="000A1C22">
      <w:pPr>
        <w:rPr>
          <w:b/>
          <w:color w:val="auto"/>
          <w:sz w:val="32"/>
          <w:szCs w:val="32"/>
        </w:rPr>
      </w:pPr>
      <w:r>
        <w:rPr>
          <w:rFonts w:hint="eastAsia"/>
          <w:b/>
          <w:color w:val="auto"/>
          <w:sz w:val="32"/>
          <w:szCs w:val="32"/>
        </w:rPr>
        <w:t>一、资格证明文件格式</w:t>
      </w:r>
      <w:bookmarkEnd w:id="84"/>
      <w:bookmarkEnd w:id="85"/>
      <w:bookmarkEnd w:id="86"/>
      <w:bookmarkEnd w:id="87"/>
      <w:bookmarkEnd w:id="88"/>
      <w:bookmarkEnd w:id="89"/>
    </w:p>
    <w:p w14:paraId="1EE5FD13">
      <w:pPr>
        <w:snapToGrid w:val="0"/>
        <w:spacing w:before="120" w:beforeLines="50" w:after="50" w:line="360" w:lineRule="auto"/>
        <w:jc w:val="left"/>
        <w:rPr>
          <w:rFonts w:hint="eastAsia" w:ascii="宋体" w:hAnsi="宋体"/>
          <w:b/>
          <w:color w:val="auto"/>
          <w:sz w:val="24"/>
        </w:rPr>
      </w:pPr>
      <w:r>
        <w:rPr>
          <w:rFonts w:hint="eastAsia" w:ascii="宋体" w:hAnsi="宋体"/>
          <w:b/>
          <w:color w:val="auto"/>
          <w:sz w:val="32"/>
          <w:szCs w:val="32"/>
        </w:rPr>
        <w:t>1.资格证明文件封面格式：</w:t>
      </w:r>
      <w:r>
        <w:rPr>
          <w:rFonts w:hint="eastAsia" w:ascii="宋体" w:hAnsi="宋体"/>
          <w:b/>
          <w:color w:val="auto"/>
          <w:sz w:val="24"/>
        </w:rPr>
        <w:t xml:space="preserve"> </w:t>
      </w:r>
    </w:p>
    <w:p w14:paraId="782A88A2">
      <w:pPr>
        <w:snapToGrid w:val="0"/>
        <w:spacing w:before="120" w:beforeLines="50" w:after="50"/>
        <w:jc w:val="center"/>
        <w:rPr>
          <w:rFonts w:hint="eastAsia" w:ascii="宋体" w:hAnsi="宋体"/>
          <w:color w:val="auto"/>
          <w:sz w:val="44"/>
          <w:szCs w:val="44"/>
        </w:rPr>
      </w:pPr>
    </w:p>
    <w:p w14:paraId="12C8A850">
      <w:pPr>
        <w:snapToGrid w:val="0"/>
        <w:spacing w:before="120" w:beforeLines="50" w:after="50"/>
        <w:jc w:val="center"/>
        <w:rPr>
          <w:rFonts w:hint="eastAsia" w:ascii="宋体" w:hAnsi="宋体"/>
          <w:color w:val="auto"/>
          <w:sz w:val="44"/>
          <w:szCs w:val="44"/>
        </w:rPr>
      </w:pPr>
      <w:r>
        <w:rPr>
          <w:rFonts w:hint="eastAsia" w:ascii="宋体" w:hAnsi="宋体"/>
          <w:color w:val="auto"/>
          <w:sz w:val="44"/>
          <w:szCs w:val="44"/>
        </w:rPr>
        <w:t>电 子 响 应 文 件</w:t>
      </w:r>
    </w:p>
    <w:p w14:paraId="36EDC979">
      <w:pPr>
        <w:snapToGrid w:val="0"/>
        <w:spacing w:before="120" w:beforeLines="50" w:after="50"/>
        <w:rPr>
          <w:rFonts w:hint="eastAsia" w:ascii="宋体" w:hAnsi="宋体"/>
          <w:color w:val="auto"/>
          <w:sz w:val="24"/>
          <w:szCs w:val="20"/>
        </w:rPr>
      </w:pPr>
    </w:p>
    <w:p w14:paraId="5B56FA93">
      <w:pPr>
        <w:snapToGrid w:val="0"/>
        <w:spacing w:before="120" w:beforeLines="50" w:after="5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w:t>
      </w:r>
    </w:p>
    <w:p w14:paraId="32D7CE84">
      <w:pPr>
        <w:snapToGrid w:val="0"/>
        <w:spacing w:before="120" w:beforeLines="50" w:after="50"/>
        <w:rPr>
          <w:rFonts w:hint="eastAsia" w:ascii="宋体" w:hAnsi="宋体"/>
          <w:bCs/>
          <w:color w:val="auto"/>
          <w:sz w:val="24"/>
          <w:szCs w:val="20"/>
        </w:rPr>
      </w:pPr>
    </w:p>
    <w:p w14:paraId="1C1A7420">
      <w:pPr>
        <w:snapToGrid w:val="0"/>
        <w:spacing w:before="120" w:beforeLines="50" w:after="50"/>
        <w:rPr>
          <w:rFonts w:hint="eastAsia" w:ascii="宋体" w:hAnsi="宋体"/>
          <w:bCs/>
          <w:color w:val="auto"/>
          <w:sz w:val="24"/>
          <w:szCs w:val="20"/>
        </w:rPr>
      </w:pPr>
    </w:p>
    <w:p w14:paraId="3DE59EC1">
      <w:pPr>
        <w:snapToGrid w:val="0"/>
        <w:spacing w:before="120" w:beforeLines="50" w:after="50"/>
        <w:rPr>
          <w:rFonts w:hint="eastAsia" w:ascii="宋体" w:hAnsi="宋体"/>
          <w:bCs/>
          <w:color w:val="auto"/>
          <w:sz w:val="24"/>
          <w:szCs w:val="20"/>
        </w:rPr>
      </w:pPr>
    </w:p>
    <w:p w14:paraId="2D08359F">
      <w:pPr>
        <w:snapToGrid w:val="0"/>
        <w:spacing w:before="120" w:beforeLines="50" w:after="50"/>
        <w:rPr>
          <w:rFonts w:hint="eastAsia" w:ascii="宋体" w:hAnsi="宋体"/>
          <w:bCs/>
          <w:color w:val="auto"/>
          <w:sz w:val="24"/>
          <w:szCs w:val="20"/>
        </w:rPr>
      </w:pPr>
    </w:p>
    <w:p w14:paraId="2EFDD0A1">
      <w:pPr>
        <w:snapToGrid w:val="0"/>
        <w:spacing w:before="120" w:beforeLines="50" w:after="50"/>
        <w:rPr>
          <w:rFonts w:hint="eastAsia" w:ascii="宋体" w:hAnsi="宋体"/>
          <w:bCs/>
          <w:color w:val="auto"/>
          <w:sz w:val="24"/>
          <w:szCs w:val="20"/>
        </w:rPr>
      </w:pPr>
    </w:p>
    <w:p w14:paraId="5A398F59">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6D3D2185">
      <w:pPr>
        <w:snapToGrid w:val="0"/>
        <w:spacing w:before="120" w:beforeLines="50" w:after="50"/>
        <w:ind w:firstLine="720" w:firstLineChars="225"/>
        <w:rPr>
          <w:rFonts w:hint="eastAsia" w:ascii="宋体" w:hAnsi="宋体" w:cs="仿宋_GB2312"/>
          <w:bCs/>
          <w:color w:val="auto"/>
          <w:sz w:val="32"/>
          <w:szCs w:val="32"/>
        </w:rPr>
      </w:pPr>
    </w:p>
    <w:p w14:paraId="5D3BE380">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5D938CD3">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14:paraId="008E6701">
      <w:pPr>
        <w:snapToGrid w:val="0"/>
        <w:spacing w:before="120" w:beforeLines="50" w:after="50"/>
        <w:ind w:firstLine="720" w:firstLineChars="225"/>
        <w:rPr>
          <w:rFonts w:hint="eastAsia" w:ascii="宋体" w:hAnsi="宋体" w:cs="仿宋_GB2312"/>
          <w:bCs/>
          <w:color w:val="auto"/>
          <w:sz w:val="32"/>
          <w:szCs w:val="32"/>
        </w:rPr>
      </w:pPr>
    </w:p>
    <w:p w14:paraId="72123780">
      <w:pPr>
        <w:pStyle w:val="8"/>
        <w:snapToGrid w:val="0"/>
        <w:spacing w:before="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3FE814CC">
      <w:pPr>
        <w:snapToGrid w:val="0"/>
        <w:spacing w:before="120" w:beforeLines="50" w:after="50"/>
        <w:ind w:firstLine="640" w:firstLineChars="200"/>
        <w:rPr>
          <w:rFonts w:hint="eastAsia" w:ascii="宋体" w:hAnsi="宋体" w:cs="仿宋_GB2312"/>
          <w:bCs/>
          <w:color w:val="auto"/>
          <w:sz w:val="32"/>
          <w:szCs w:val="32"/>
        </w:rPr>
      </w:pPr>
    </w:p>
    <w:p w14:paraId="4572BFAF">
      <w:pPr>
        <w:pStyle w:val="8"/>
        <w:snapToGrid w:val="0"/>
        <w:spacing w:before="50" w:after="50"/>
        <w:ind w:firstLine="720" w:firstLineChars="225"/>
        <w:rPr>
          <w:rFonts w:hint="eastAsia" w:ascii="宋体" w:hAnsi="宋体" w:cs="仿宋_GB2312"/>
          <w:bCs/>
          <w:color w:val="auto"/>
          <w:sz w:val="32"/>
          <w:szCs w:val="32"/>
        </w:rPr>
      </w:pPr>
    </w:p>
    <w:p w14:paraId="5E3073CA">
      <w:pPr>
        <w:pStyle w:val="8"/>
        <w:snapToGrid w:val="0"/>
        <w:spacing w:before="50" w:after="50"/>
        <w:ind w:firstLine="720" w:firstLineChars="225"/>
        <w:rPr>
          <w:rFonts w:hint="eastAsia" w:ascii="宋体" w:hAnsi="宋体" w:cs="仿宋_GB2312"/>
          <w:bCs/>
          <w:color w:val="auto"/>
          <w:sz w:val="32"/>
          <w:szCs w:val="32"/>
        </w:rPr>
      </w:pPr>
    </w:p>
    <w:p w14:paraId="03D6F6B6">
      <w:pPr>
        <w:pStyle w:val="8"/>
        <w:snapToGrid w:val="0"/>
        <w:spacing w:before="50" w:after="50"/>
        <w:ind w:firstLine="1280" w:firstLineChars="400"/>
        <w:rPr>
          <w:rFonts w:hint="eastAsia" w:ascii="宋体" w:hAnsi="宋体" w:cs="仿宋_GB2312"/>
          <w:bCs/>
          <w:color w:val="auto"/>
          <w:sz w:val="32"/>
          <w:szCs w:val="32"/>
        </w:rPr>
      </w:pPr>
    </w:p>
    <w:p w14:paraId="68C34DED">
      <w:pPr>
        <w:snapToGrid w:val="0"/>
        <w:spacing w:before="120"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27916493">
      <w:pPr>
        <w:snapToGrid w:val="0"/>
        <w:spacing w:before="120" w:beforeLines="50" w:after="50" w:line="360" w:lineRule="auto"/>
        <w:ind w:left="142"/>
        <w:jc w:val="left"/>
        <w:rPr>
          <w:rFonts w:hint="eastAsia"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14:paraId="0FCC2F53">
      <w:pPr>
        <w:snapToGrid w:val="0"/>
        <w:spacing w:before="120" w:beforeLines="50" w:after="50" w:line="360" w:lineRule="auto"/>
        <w:ind w:firstLine="645"/>
        <w:rPr>
          <w:rFonts w:hint="eastAsia" w:ascii="宋体" w:hAnsi="宋体"/>
          <w:color w:val="auto"/>
          <w:sz w:val="32"/>
          <w:szCs w:val="32"/>
        </w:rPr>
      </w:pPr>
      <w:r>
        <w:rPr>
          <w:rFonts w:hint="eastAsia" w:ascii="宋体" w:hAnsi="宋体"/>
          <w:color w:val="auto"/>
          <w:sz w:val="32"/>
          <w:szCs w:val="32"/>
        </w:rPr>
        <w:t>根据谈判文件规定及供应商提供的材料自行编写目录（部分格式后附）。</w:t>
      </w:r>
    </w:p>
    <w:p w14:paraId="2740476A">
      <w:pPr>
        <w:snapToGrid w:val="0"/>
        <w:spacing w:before="120" w:beforeLines="50" w:after="50"/>
        <w:rPr>
          <w:rFonts w:hint="eastAsia" w:ascii="宋体" w:hAnsi="宋体"/>
          <w:color w:val="auto"/>
          <w:sz w:val="24"/>
          <w:szCs w:val="20"/>
        </w:rPr>
      </w:pPr>
      <w:r>
        <w:rPr>
          <w:rFonts w:ascii="宋体" w:hAnsi="宋体"/>
          <w:color w:val="auto"/>
          <w:sz w:val="24"/>
          <w:szCs w:val="20"/>
        </w:rPr>
        <w:t xml:space="preserve"> </w:t>
      </w:r>
    </w:p>
    <w:p w14:paraId="68007330">
      <w:pPr>
        <w:spacing w:line="300" w:lineRule="auto"/>
        <w:rPr>
          <w:rFonts w:hint="eastAsia" w:ascii="宋体" w:hAnsi="宋体"/>
          <w:color w:val="auto"/>
          <w:szCs w:val="21"/>
        </w:rPr>
      </w:pPr>
    </w:p>
    <w:p w14:paraId="744FF5CA">
      <w:pPr>
        <w:spacing w:line="300" w:lineRule="auto"/>
        <w:rPr>
          <w:rFonts w:hint="eastAsia" w:ascii="宋体" w:hAnsi="宋体"/>
          <w:color w:val="auto"/>
          <w:szCs w:val="21"/>
        </w:rPr>
      </w:pPr>
    </w:p>
    <w:p w14:paraId="3A95422A">
      <w:pPr>
        <w:spacing w:line="300" w:lineRule="auto"/>
        <w:rPr>
          <w:rFonts w:hint="eastAsia" w:ascii="宋体" w:hAnsi="宋体"/>
          <w:color w:val="auto"/>
          <w:szCs w:val="21"/>
        </w:rPr>
      </w:pPr>
    </w:p>
    <w:p w14:paraId="0B1821CC">
      <w:pPr>
        <w:spacing w:line="300" w:lineRule="auto"/>
        <w:rPr>
          <w:rFonts w:hint="eastAsia" w:ascii="宋体" w:hAnsi="宋体"/>
          <w:color w:val="auto"/>
          <w:szCs w:val="21"/>
        </w:rPr>
      </w:pPr>
    </w:p>
    <w:p w14:paraId="37D54F19">
      <w:pPr>
        <w:spacing w:line="300" w:lineRule="auto"/>
        <w:rPr>
          <w:rFonts w:hint="eastAsia" w:ascii="宋体" w:hAnsi="宋体"/>
          <w:color w:val="auto"/>
          <w:szCs w:val="21"/>
        </w:rPr>
      </w:pPr>
    </w:p>
    <w:p w14:paraId="0D485092">
      <w:pPr>
        <w:spacing w:line="300" w:lineRule="auto"/>
        <w:rPr>
          <w:rFonts w:hint="eastAsia" w:ascii="宋体" w:hAnsi="宋体"/>
          <w:color w:val="auto"/>
          <w:szCs w:val="21"/>
        </w:rPr>
      </w:pPr>
    </w:p>
    <w:p w14:paraId="2A47A664">
      <w:pPr>
        <w:spacing w:line="300" w:lineRule="auto"/>
        <w:rPr>
          <w:rFonts w:hint="eastAsia" w:ascii="宋体" w:hAnsi="宋体"/>
          <w:color w:val="auto"/>
          <w:szCs w:val="21"/>
        </w:rPr>
      </w:pPr>
    </w:p>
    <w:p w14:paraId="19C70A65">
      <w:pPr>
        <w:spacing w:line="300" w:lineRule="auto"/>
        <w:rPr>
          <w:rFonts w:hint="eastAsia" w:ascii="宋体" w:hAnsi="宋体"/>
          <w:color w:val="auto"/>
          <w:szCs w:val="21"/>
        </w:rPr>
      </w:pPr>
    </w:p>
    <w:p w14:paraId="03E683C9">
      <w:pPr>
        <w:spacing w:line="300" w:lineRule="auto"/>
        <w:rPr>
          <w:rFonts w:hint="eastAsia" w:ascii="宋体" w:hAnsi="宋体"/>
          <w:color w:val="auto"/>
          <w:szCs w:val="21"/>
        </w:rPr>
      </w:pPr>
    </w:p>
    <w:p w14:paraId="3D5A673F">
      <w:pPr>
        <w:spacing w:line="300" w:lineRule="auto"/>
        <w:rPr>
          <w:rFonts w:hint="eastAsia" w:ascii="宋体" w:hAnsi="宋体"/>
          <w:color w:val="auto"/>
          <w:szCs w:val="21"/>
        </w:rPr>
      </w:pPr>
    </w:p>
    <w:p w14:paraId="5037C2B0">
      <w:pPr>
        <w:spacing w:line="300" w:lineRule="auto"/>
        <w:rPr>
          <w:rFonts w:hint="eastAsia" w:ascii="宋体" w:hAnsi="宋体"/>
          <w:color w:val="auto"/>
          <w:szCs w:val="21"/>
        </w:rPr>
      </w:pPr>
    </w:p>
    <w:p w14:paraId="0634BBDF">
      <w:pPr>
        <w:spacing w:line="300" w:lineRule="auto"/>
        <w:rPr>
          <w:rFonts w:hint="eastAsia" w:ascii="宋体" w:hAnsi="宋体"/>
          <w:color w:val="auto"/>
          <w:szCs w:val="21"/>
        </w:rPr>
      </w:pPr>
    </w:p>
    <w:p w14:paraId="30181D00">
      <w:pPr>
        <w:spacing w:line="300" w:lineRule="auto"/>
        <w:rPr>
          <w:rFonts w:hint="eastAsia" w:ascii="宋体" w:hAnsi="宋体"/>
          <w:color w:val="auto"/>
          <w:szCs w:val="21"/>
        </w:rPr>
      </w:pPr>
    </w:p>
    <w:p w14:paraId="281D4B50">
      <w:pPr>
        <w:spacing w:line="300" w:lineRule="auto"/>
        <w:rPr>
          <w:rFonts w:hint="eastAsia" w:ascii="宋体" w:hAnsi="宋体"/>
          <w:color w:val="auto"/>
          <w:szCs w:val="21"/>
        </w:rPr>
      </w:pPr>
    </w:p>
    <w:p w14:paraId="06DF0C64">
      <w:pPr>
        <w:spacing w:line="300" w:lineRule="auto"/>
        <w:rPr>
          <w:rFonts w:hint="eastAsia" w:ascii="宋体" w:hAnsi="宋体"/>
          <w:color w:val="auto"/>
          <w:szCs w:val="21"/>
        </w:rPr>
      </w:pPr>
    </w:p>
    <w:p w14:paraId="35EB0104">
      <w:pPr>
        <w:spacing w:line="320" w:lineRule="exact"/>
        <w:jc w:val="left"/>
        <w:rPr>
          <w:rFonts w:hint="eastAsia" w:ascii="宋体" w:hAnsi="宋体"/>
          <w:color w:val="auto"/>
          <w:szCs w:val="21"/>
        </w:rPr>
      </w:pPr>
      <w:r>
        <w:rPr>
          <w:rFonts w:ascii="宋体" w:hAnsi="宋体"/>
          <w:color w:val="auto"/>
          <w:szCs w:val="21"/>
        </w:rPr>
        <w:br w:type="page"/>
      </w:r>
      <w:r>
        <w:rPr>
          <w:rFonts w:hint="eastAsia" w:ascii="宋体" w:hAnsi="宋体"/>
          <w:color w:val="auto"/>
          <w:szCs w:val="21"/>
        </w:rPr>
        <w:t xml:space="preserve"> </w:t>
      </w:r>
    </w:p>
    <w:p w14:paraId="1392C222">
      <w:pPr>
        <w:spacing w:line="320" w:lineRule="exact"/>
        <w:jc w:val="center"/>
        <w:rPr>
          <w:rFonts w:hint="eastAsia" w:ascii="宋体" w:hAnsi="宋体"/>
          <w:b/>
          <w:color w:val="auto"/>
          <w:sz w:val="32"/>
          <w:szCs w:val="32"/>
        </w:rPr>
      </w:pPr>
      <w:r>
        <w:rPr>
          <w:rFonts w:hint="eastAsia" w:ascii="宋体" w:hAnsi="宋体"/>
          <w:b/>
          <w:color w:val="auto"/>
          <w:sz w:val="32"/>
          <w:szCs w:val="32"/>
        </w:rPr>
        <w:t>供应商直接控股、管理关系信息表</w:t>
      </w:r>
    </w:p>
    <w:p w14:paraId="002E575D">
      <w:pPr>
        <w:snapToGrid w:val="0"/>
        <w:spacing w:before="120" w:beforeLines="50" w:after="50" w:line="360" w:lineRule="auto"/>
        <w:jc w:val="center"/>
        <w:rPr>
          <w:rFonts w:hint="eastAsia" w:ascii="宋体" w:hAnsi="宋体"/>
          <w:b/>
          <w:color w:val="auto"/>
          <w:sz w:val="24"/>
        </w:rPr>
      </w:pPr>
    </w:p>
    <w:p w14:paraId="0CDA496E">
      <w:pPr>
        <w:spacing w:line="360" w:lineRule="auto"/>
        <w:contextualSpacing/>
        <w:jc w:val="center"/>
        <w:rPr>
          <w:rFonts w:hint="eastAsia" w:ascii="宋体" w:hAnsi="宋体"/>
          <w:b/>
          <w:color w:val="auto"/>
          <w:sz w:val="32"/>
          <w:szCs w:val="32"/>
        </w:rPr>
      </w:pPr>
      <w:r>
        <w:rPr>
          <w:rFonts w:hint="eastAsia" w:ascii="宋体" w:hAnsi="宋体"/>
          <w:b/>
          <w:color w:val="auto"/>
          <w:sz w:val="32"/>
          <w:szCs w:val="32"/>
        </w:rPr>
        <w:t>供应商直接控股股东信息表</w:t>
      </w:r>
    </w:p>
    <w:p w14:paraId="2D3FAEBF">
      <w:pPr>
        <w:spacing w:line="360" w:lineRule="auto"/>
        <w:contextualSpacing/>
        <w:jc w:val="center"/>
        <w:rPr>
          <w:rFonts w:hint="eastAsia" w:ascii="宋体" w:hAnsi="宋体"/>
          <w:b/>
          <w:color w:val="auto"/>
          <w:sz w:val="24"/>
        </w:rPr>
      </w:pPr>
    </w:p>
    <w:tbl>
      <w:tblPr>
        <w:tblStyle w:val="48"/>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213AE0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1F9690">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E00450">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126C2C">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CC983F">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F96E92">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2E11307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083E53">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4BD2B0">
            <w:pPr>
              <w:widowControl/>
              <w:spacing w:line="360" w:lineRule="auto"/>
              <w:contextualSpacing/>
              <w:jc w:val="center"/>
              <w:rPr>
                <w:rFonts w:hint="eastAsia"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DEA74C">
            <w:pPr>
              <w:widowControl/>
              <w:spacing w:line="360" w:lineRule="auto"/>
              <w:contextualSpacing/>
              <w:jc w:val="center"/>
              <w:rPr>
                <w:rFonts w:hint="eastAsia"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C4BDBD">
            <w:pPr>
              <w:widowControl/>
              <w:spacing w:line="360" w:lineRule="auto"/>
              <w:contextualSpacing/>
              <w:jc w:val="center"/>
              <w:rPr>
                <w:rFonts w:hint="eastAsia"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AFDF2B">
            <w:pPr>
              <w:widowControl/>
              <w:spacing w:line="360" w:lineRule="auto"/>
              <w:contextualSpacing/>
              <w:jc w:val="center"/>
              <w:rPr>
                <w:rFonts w:hint="eastAsia" w:ascii="宋体" w:hAnsi="宋体" w:cs="宋体"/>
                <w:color w:val="auto"/>
                <w:kern w:val="0"/>
                <w:sz w:val="24"/>
              </w:rPr>
            </w:pPr>
          </w:p>
        </w:tc>
      </w:tr>
      <w:tr w14:paraId="3625542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7E0A44">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5CD142">
            <w:pPr>
              <w:widowControl/>
              <w:spacing w:line="360" w:lineRule="auto"/>
              <w:contextualSpacing/>
              <w:jc w:val="center"/>
              <w:rPr>
                <w:rFonts w:hint="eastAsia"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D4A2CC">
            <w:pPr>
              <w:widowControl/>
              <w:spacing w:line="360" w:lineRule="auto"/>
              <w:contextualSpacing/>
              <w:jc w:val="center"/>
              <w:rPr>
                <w:rFonts w:hint="eastAsia"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76536F">
            <w:pPr>
              <w:widowControl/>
              <w:spacing w:line="360" w:lineRule="auto"/>
              <w:contextualSpacing/>
              <w:jc w:val="center"/>
              <w:rPr>
                <w:rFonts w:hint="eastAsia"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6BB5AB">
            <w:pPr>
              <w:widowControl/>
              <w:spacing w:line="360" w:lineRule="auto"/>
              <w:contextualSpacing/>
              <w:jc w:val="center"/>
              <w:rPr>
                <w:rFonts w:hint="eastAsia" w:ascii="宋体" w:hAnsi="宋体" w:cs="宋体"/>
                <w:color w:val="auto"/>
                <w:kern w:val="0"/>
                <w:sz w:val="24"/>
              </w:rPr>
            </w:pPr>
          </w:p>
        </w:tc>
      </w:tr>
      <w:tr w14:paraId="6A6ABE1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199596">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8C7149">
            <w:pPr>
              <w:widowControl/>
              <w:spacing w:line="360" w:lineRule="auto"/>
              <w:contextualSpacing/>
              <w:jc w:val="center"/>
              <w:rPr>
                <w:rFonts w:hint="eastAsia"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E2D688">
            <w:pPr>
              <w:widowControl/>
              <w:spacing w:line="360" w:lineRule="auto"/>
              <w:contextualSpacing/>
              <w:jc w:val="center"/>
              <w:rPr>
                <w:rFonts w:hint="eastAsia"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4D1784">
            <w:pPr>
              <w:widowControl/>
              <w:spacing w:line="360" w:lineRule="auto"/>
              <w:contextualSpacing/>
              <w:jc w:val="center"/>
              <w:rPr>
                <w:rFonts w:hint="eastAsia"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8C0362">
            <w:pPr>
              <w:widowControl/>
              <w:spacing w:line="360" w:lineRule="auto"/>
              <w:contextualSpacing/>
              <w:jc w:val="center"/>
              <w:rPr>
                <w:rFonts w:hint="eastAsia" w:ascii="宋体" w:hAnsi="宋体" w:cs="宋体"/>
                <w:color w:val="auto"/>
                <w:kern w:val="0"/>
                <w:sz w:val="24"/>
              </w:rPr>
            </w:pPr>
          </w:p>
        </w:tc>
      </w:tr>
      <w:tr w14:paraId="7D66C07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0C2D83">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3ABF4D">
            <w:pPr>
              <w:widowControl/>
              <w:spacing w:line="360" w:lineRule="auto"/>
              <w:contextualSpacing/>
              <w:jc w:val="center"/>
              <w:rPr>
                <w:rFonts w:hint="eastAsia"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C9B61A">
            <w:pPr>
              <w:widowControl/>
              <w:spacing w:line="360" w:lineRule="auto"/>
              <w:contextualSpacing/>
              <w:jc w:val="center"/>
              <w:rPr>
                <w:rFonts w:hint="eastAsia"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5BE814">
            <w:pPr>
              <w:widowControl/>
              <w:spacing w:line="360" w:lineRule="auto"/>
              <w:contextualSpacing/>
              <w:jc w:val="center"/>
              <w:rPr>
                <w:rFonts w:hint="eastAsia"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E2F891">
            <w:pPr>
              <w:widowControl/>
              <w:spacing w:line="360" w:lineRule="auto"/>
              <w:contextualSpacing/>
              <w:jc w:val="center"/>
              <w:rPr>
                <w:rFonts w:hint="eastAsia" w:ascii="宋体" w:hAnsi="宋体" w:cs="宋体"/>
                <w:color w:val="auto"/>
                <w:kern w:val="0"/>
                <w:sz w:val="24"/>
              </w:rPr>
            </w:pPr>
          </w:p>
        </w:tc>
      </w:tr>
    </w:tbl>
    <w:p w14:paraId="69F1B34C">
      <w:pPr>
        <w:spacing w:line="360" w:lineRule="auto"/>
        <w:contextualSpacing/>
        <w:jc w:val="left"/>
        <w:rPr>
          <w:rFonts w:hint="eastAsia" w:ascii="宋体" w:hAnsi="宋体" w:cs="宋体"/>
          <w:color w:val="auto"/>
          <w:sz w:val="24"/>
        </w:rPr>
      </w:pPr>
      <w:r>
        <w:rPr>
          <w:rFonts w:hint="eastAsia" w:ascii="宋体" w:hAnsi="宋体" w:cs="宋体"/>
          <w:color w:val="auto"/>
          <w:sz w:val="24"/>
        </w:rPr>
        <w:t>注：</w:t>
      </w:r>
    </w:p>
    <w:p w14:paraId="78785B60">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C5659E0">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57C2C4B5">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14:paraId="660147E4">
      <w:pPr>
        <w:spacing w:line="360" w:lineRule="auto"/>
        <w:ind w:firstLine="420" w:firstLineChars="200"/>
        <w:contextualSpacing/>
        <w:jc w:val="left"/>
        <w:rPr>
          <w:rFonts w:hint="eastAsia" w:ascii="宋体" w:hAnsi="宋体" w:cs="宋体"/>
          <w:color w:val="auto"/>
          <w:szCs w:val="21"/>
        </w:rPr>
      </w:pPr>
    </w:p>
    <w:p w14:paraId="5A2FE47F">
      <w:pPr>
        <w:spacing w:line="360" w:lineRule="auto"/>
        <w:ind w:firstLine="560" w:firstLineChars="200"/>
        <w:contextualSpacing/>
        <w:jc w:val="left"/>
        <w:rPr>
          <w:rFonts w:hint="eastAsia" w:ascii="宋体" w:hAnsi="宋体" w:cs="宋体"/>
          <w:color w:val="auto"/>
          <w:sz w:val="28"/>
          <w:szCs w:val="28"/>
        </w:rPr>
      </w:pPr>
    </w:p>
    <w:p w14:paraId="7A5DC0D6">
      <w:pPr>
        <w:spacing w:line="360" w:lineRule="auto"/>
        <w:ind w:right="480"/>
        <w:contextualSpacing/>
        <w:jc w:val="center"/>
        <w:rPr>
          <w:rFonts w:hint="eastAsia" w:ascii="宋体" w:hAnsi="宋体" w:cs="宋体"/>
          <w:color w:val="auto"/>
          <w:sz w:val="24"/>
          <w:u w:val="single"/>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79BBD6BD">
      <w:pPr>
        <w:spacing w:line="360" w:lineRule="auto"/>
        <w:ind w:right="480" w:firstLine="3000" w:firstLineChars="1250"/>
        <w:contextualSpacing/>
        <w:rPr>
          <w:rFonts w:hint="eastAsia" w:ascii="宋体" w:hAnsi="宋体" w:cs="宋体"/>
          <w:color w:val="auto"/>
          <w:sz w:val="24"/>
          <w:u w:val="single"/>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宋体"/>
          <w:color w:val="auto"/>
          <w:sz w:val="24"/>
        </w:rPr>
        <w:t xml:space="preserve">： </w:t>
      </w:r>
      <w:r>
        <w:rPr>
          <w:rFonts w:hint="eastAsia" w:ascii="宋体" w:hAnsi="宋体" w:cs="宋体"/>
          <w:color w:val="auto"/>
          <w:sz w:val="24"/>
          <w:u w:val="single"/>
        </w:rPr>
        <w:t xml:space="preserve">                              </w:t>
      </w:r>
    </w:p>
    <w:p w14:paraId="3629FA63">
      <w:pPr>
        <w:spacing w:line="360" w:lineRule="auto"/>
        <w:ind w:firstLine="480" w:firstLineChars="200"/>
        <w:contextualSpacing/>
        <w:jc w:val="right"/>
        <w:rPr>
          <w:rFonts w:hint="eastAsia" w:ascii="宋体" w:hAnsi="宋体" w:cs="宋体"/>
          <w:color w:val="auto"/>
          <w:sz w:val="28"/>
          <w:szCs w:val="28"/>
        </w:rPr>
      </w:pPr>
      <w:r>
        <w:rPr>
          <w:rFonts w:hint="eastAsia" w:ascii="宋体" w:hAnsi="宋体" w:cs="宋体"/>
          <w:color w:val="auto"/>
          <w:sz w:val="24"/>
        </w:rPr>
        <w:t>年    月    日</w:t>
      </w:r>
    </w:p>
    <w:p w14:paraId="037766D5">
      <w:pPr>
        <w:snapToGrid w:val="0"/>
        <w:jc w:val="center"/>
        <w:rPr>
          <w:rFonts w:hint="eastAsia" w:ascii="宋体" w:hAnsi="宋体"/>
          <w:b/>
          <w:color w:val="auto"/>
          <w:sz w:val="28"/>
          <w:szCs w:val="28"/>
        </w:rPr>
      </w:pPr>
      <w:r>
        <w:rPr>
          <w:rFonts w:ascii="宋体" w:hAnsi="宋体"/>
          <w:b/>
          <w:color w:val="auto"/>
          <w:sz w:val="28"/>
          <w:szCs w:val="28"/>
        </w:rPr>
        <w:br w:type="page"/>
      </w:r>
    </w:p>
    <w:p w14:paraId="16B0BC11">
      <w:pPr>
        <w:spacing w:line="320" w:lineRule="exact"/>
        <w:jc w:val="center"/>
        <w:rPr>
          <w:rFonts w:hint="eastAsia" w:ascii="宋体" w:hAnsi="宋体"/>
          <w:b/>
          <w:color w:val="auto"/>
          <w:sz w:val="32"/>
          <w:szCs w:val="32"/>
        </w:rPr>
      </w:pPr>
      <w:r>
        <w:rPr>
          <w:rFonts w:hint="eastAsia" w:ascii="宋体" w:hAnsi="宋体"/>
          <w:b/>
          <w:color w:val="auto"/>
          <w:sz w:val="32"/>
          <w:szCs w:val="32"/>
        </w:rPr>
        <w:t>供应商直接管理关系信息表</w:t>
      </w:r>
    </w:p>
    <w:p w14:paraId="152BA4FB">
      <w:pPr>
        <w:snapToGrid w:val="0"/>
        <w:spacing w:line="360" w:lineRule="auto"/>
        <w:jc w:val="center"/>
        <w:rPr>
          <w:rFonts w:hint="eastAsia" w:ascii="宋体" w:hAnsi="宋体"/>
          <w:b/>
          <w:color w:val="auto"/>
          <w:sz w:val="24"/>
        </w:rPr>
      </w:pPr>
    </w:p>
    <w:tbl>
      <w:tblPr>
        <w:tblStyle w:val="48"/>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AC138FC">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64EBA1">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B04D0A">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885266">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CDDDC3">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相互关系</w:t>
            </w:r>
          </w:p>
        </w:tc>
      </w:tr>
      <w:tr w14:paraId="6F029B6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B40FC3">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CD7B1D">
            <w:pPr>
              <w:widowControl/>
              <w:spacing w:line="360" w:lineRule="auto"/>
              <w:contextualSpacing/>
              <w:jc w:val="center"/>
              <w:rPr>
                <w:rFonts w:hint="eastAsia"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F8E81E">
            <w:pPr>
              <w:widowControl/>
              <w:spacing w:line="360" w:lineRule="auto"/>
              <w:contextualSpacing/>
              <w:jc w:val="center"/>
              <w:rPr>
                <w:rFonts w:hint="eastAsia"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EDA5E9">
            <w:pPr>
              <w:widowControl/>
              <w:spacing w:line="360" w:lineRule="auto"/>
              <w:contextualSpacing/>
              <w:jc w:val="center"/>
              <w:rPr>
                <w:rFonts w:hint="eastAsia" w:ascii="宋体" w:hAnsi="宋体" w:cs="宋体"/>
                <w:color w:val="auto"/>
                <w:kern w:val="0"/>
                <w:sz w:val="24"/>
              </w:rPr>
            </w:pPr>
          </w:p>
        </w:tc>
      </w:tr>
      <w:tr w14:paraId="1202B5C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10D4B9">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BDA56E">
            <w:pPr>
              <w:widowControl/>
              <w:spacing w:line="360" w:lineRule="auto"/>
              <w:contextualSpacing/>
              <w:jc w:val="center"/>
              <w:rPr>
                <w:rFonts w:hint="eastAsia"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806034">
            <w:pPr>
              <w:widowControl/>
              <w:spacing w:line="360" w:lineRule="auto"/>
              <w:contextualSpacing/>
              <w:jc w:val="center"/>
              <w:rPr>
                <w:rFonts w:hint="eastAsia"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F76C4E">
            <w:pPr>
              <w:widowControl/>
              <w:spacing w:line="360" w:lineRule="auto"/>
              <w:contextualSpacing/>
              <w:jc w:val="center"/>
              <w:rPr>
                <w:rFonts w:hint="eastAsia" w:ascii="宋体" w:hAnsi="宋体" w:cs="宋体"/>
                <w:color w:val="auto"/>
                <w:kern w:val="0"/>
                <w:sz w:val="24"/>
              </w:rPr>
            </w:pPr>
          </w:p>
        </w:tc>
      </w:tr>
      <w:tr w14:paraId="43941C1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03FA58">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A7C926">
            <w:pPr>
              <w:widowControl/>
              <w:spacing w:line="360" w:lineRule="auto"/>
              <w:contextualSpacing/>
              <w:jc w:val="center"/>
              <w:rPr>
                <w:rFonts w:hint="eastAsia"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DCA612">
            <w:pPr>
              <w:widowControl/>
              <w:spacing w:line="360" w:lineRule="auto"/>
              <w:contextualSpacing/>
              <w:jc w:val="center"/>
              <w:rPr>
                <w:rFonts w:hint="eastAsia"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DBF6B3">
            <w:pPr>
              <w:widowControl/>
              <w:spacing w:line="360" w:lineRule="auto"/>
              <w:contextualSpacing/>
              <w:jc w:val="center"/>
              <w:rPr>
                <w:rFonts w:hint="eastAsia" w:ascii="宋体" w:hAnsi="宋体" w:cs="宋体"/>
                <w:color w:val="auto"/>
                <w:kern w:val="0"/>
                <w:sz w:val="24"/>
              </w:rPr>
            </w:pPr>
          </w:p>
        </w:tc>
      </w:tr>
      <w:tr w14:paraId="7229290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06DA94">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FC1E08">
            <w:pPr>
              <w:widowControl/>
              <w:spacing w:line="360" w:lineRule="auto"/>
              <w:contextualSpacing/>
              <w:jc w:val="center"/>
              <w:rPr>
                <w:rFonts w:hint="eastAsia"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18F093">
            <w:pPr>
              <w:widowControl/>
              <w:spacing w:line="360" w:lineRule="auto"/>
              <w:contextualSpacing/>
              <w:jc w:val="center"/>
              <w:rPr>
                <w:rFonts w:hint="eastAsia"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D1FECF">
            <w:pPr>
              <w:widowControl/>
              <w:spacing w:line="360" w:lineRule="auto"/>
              <w:contextualSpacing/>
              <w:jc w:val="center"/>
              <w:rPr>
                <w:rFonts w:hint="eastAsia" w:ascii="宋体" w:hAnsi="宋体" w:cs="宋体"/>
                <w:color w:val="auto"/>
                <w:kern w:val="0"/>
                <w:sz w:val="24"/>
              </w:rPr>
            </w:pPr>
          </w:p>
        </w:tc>
      </w:tr>
    </w:tbl>
    <w:p w14:paraId="30171B74">
      <w:pPr>
        <w:spacing w:line="360" w:lineRule="auto"/>
        <w:contextualSpacing/>
        <w:jc w:val="left"/>
        <w:rPr>
          <w:rFonts w:hint="eastAsia" w:ascii="宋体" w:hAnsi="宋体"/>
          <w:color w:val="auto"/>
          <w:sz w:val="24"/>
        </w:rPr>
      </w:pPr>
      <w:r>
        <w:rPr>
          <w:rFonts w:hint="eastAsia" w:ascii="宋体" w:hAnsi="宋体"/>
          <w:color w:val="auto"/>
          <w:sz w:val="24"/>
        </w:rPr>
        <w:t>注：</w:t>
      </w:r>
    </w:p>
    <w:p w14:paraId="0184F002">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63F83F69">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45A5924F">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3.供应商不存在直接管理关系的，则在“直接管理关系单位名称”填“无”。</w:t>
      </w:r>
    </w:p>
    <w:p w14:paraId="7BEACCF8">
      <w:pPr>
        <w:spacing w:line="360" w:lineRule="auto"/>
        <w:contextualSpacing/>
        <w:jc w:val="left"/>
        <w:rPr>
          <w:rFonts w:hint="eastAsia" w:ascii="宋体" w:hAnsi="宋体"/>
          <w:color w:val="auto"/>
          <w:sz w:val="28"/>
          <w:szCs w:val="28"/>
        </w:rPr>
      </w:pPr>
    </w:p>
    <w:p w14:paraId="79C631FD">
      <w:pPr>
        <w:spacing w:line="360" w:lineRule="auto"/>
        <w:contextualSpacing/>
        <w:jc w:val="left"/>
        <w:rPr>
          <w:rFonts w:hint="eastAsia" w:ascii="宋体" w:hAnsi="宋体"/>
          <w:color w:val="auto"/>
          <w:sz w:val="28"/>
          <w:szCs w:val="28"/>
        </w:rPr>
      </w:pPr>
    </w:p>
    <w:p w14:paraId="4378A654">
      <w:pPr>
        <w:spacing w:line="360" w:lineRule="auto"/>
        <w:contextualSpacing/>
        <w:jc w:val="left"/>
        <w:rPr>
          <w:color w:val="auto"/>
          <w:sz w:val="28"/>
          <w:szCs w:val="28"/>
        </w:rPr>
      </w:pPr>
    </w:p>
    <w:p w14:paraId="0691C241">
      <w:pPr>
        <w:spacing w:line="360" w:lineRule="auto"/>
        <w:contextualSpacing/>
        <w:jc w:val="left"/>
        <w:rPr>
          <w:color w:val="auto"/>
          <w:sz w:val="28"/>
          <w:szCs w:val="28"/>
        </w:rPr>
      </w:pPr>
    </w:p>
    <w:p w14:paraId="20D5F402">
      <w:pPr>
        <w:spacing w:line="360" w:lineRule="auto"/>
        <w:contextualSpacing/>
        <w:jc w:val="left"/>
        <w:rPr>
          <w:color w:val="auto"/>
          <w:sz w:val="28"/>
          <w:szCs w:val="28"/>
        </w:rPr>
      </w:pPr>
    </w:p>
    <w:p w14:paraId="4AFEB3A3">
      <w:pPr>
        <w:spacing w:line="360" w:lineRule="auto"/>
        <w:contextualSpacing/>
        <w:jc w:val="left"/>
        <w:rPr>
          <w:rFonts w:hint="eastAsia" w:ascii="宋体" w:hAnsi="宋体"/>
          <w:color w:val="auto"/>
          <w:sz w:val="28"/>
          <w:szCs w:val="28"/>
        </w:rPr>
      </w:pPr>
    </w:p>
    <w:p w14:paraId="283E55EC">
      <w:pPr>
        <w:spacing w:line="360" w:lineRule="auto"/>
        <w:ind w:right="480"/>
        <w:contextualSpacing/>
        <w:jc w:val="center"/>
        <w:rPr>
          <w:rFonts w:hint="eastAsia" w:ascii="宋体" w:hAnsi="宋体"/>
          <w:color w:val="auto"/>
          <w:sz w:val="24"/>
          <w:u w:val="single"/>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法定代表人或者委托代理人（签字或者电子签名）：</w:t>
      </w:r>
      <w:r>
        <w:rPr>
          <w:rFonts w:hint="eastAsia" w:ascii="宋体" w:hAnsi="宋体"/>
          <w:color w:val="auto"/>
          <w:sz w:val="24"/>
          <w:u w:val="single"/>
        </w:rPr>
        <w:t xml:space="preserve"> </w:t>
      </w:r>
      <w:r>
        <w:rPr>
          <w:rFonts w:ascii="宋体" w:hAnsi="宋体"/>
          <w:color w:val="auto"/>
          <w:sz w:val="24"/>
          <w:u w:val="single"/>
        </w:rPr>
        <w:t xml:space="preserve">                  </w:t>
      </w:r>
    </w:p>
    <w:p w14:paraId="7A73132D">
      <w:pPr>
        <w:spacing w:line="360" w:lineRule="auto"/>
        <w:ind w:right="480" w:firstLine="3360" w:firstLineChars="1400"/>
        <w:contextualSpacing/>
        <w:rPr>
          <w:rFonts w:hint="eastAsia" w:ascii="宋体" w:hAnsi="宋体"/>
          <w:color w:val="auto"/>
          <w:sz w:val="24"/>
        </w:rPr>
      </w:pPr>
      <w:r>
        <w:rPr>
          <w:rFonts w:hint="eastAsia" w:ascii="宋体" w:hAnsi="宋体"/>
          <w:color w:val="auto"/>
          <w:sz w:val="24"/>
        </w:rPr>
        <w:t>供应商（电子签章）：</w:t>
      </w:r>
      <w:r>
        <w:rPr>
          <w:rFonts w:hint="eastAsia" w:ascii="宋体" w:hAnsi="宋体"/>
          <w:color w:val="auto"/>
          <w:sz w:val="24"/>
          <w:u w:val="single"/>
        </w:rPr>
        <w:t xml:space="preserve">                </w:t>
      </w:r>
    </w:p>
    <w:p w14:paraId="2BB39A63">
      <w:pPr>
        <w:spacing w:line="360" w:lineRule="auto"/>
        <w:ind w:firstLine="480" w:firstLineChars="200"/>
        <w:contextualSpacing/>
        <w:jc w:val="left"/>
        <w:rPr>
          <w:rFonts w:hint="eastAsia" w:ascii="宋体" w:hAnsi="宋体"/>
          <w:color w:val="auto"/>
          <w:sz w:val="28"/>
          <w:szCs w:val="28"/>
        </w:rPr>
      </w:pPr>
      <w:r>
        <w:rPr>
          <w:rFonts w:hint="eastAsia" w:ascii="宋体" w:hAnsi="宋体"/>
          <w:color w:val="auto"/>
          <w:sz w:val="24"/>
        </w:rPr>
        <w:t xml:space="preserve">                                        年    月    日</w:t>
      </w:r>
    </w:p>
    <w:p w14:paraId="24369751">
      <w:pPr>
        <w:spacing w:line="320" w:lineRule="exact"/>
        <w:jc w:val="center"/>
        <w:rPr>
          <w:rFonts w:hint="eastAsia"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14:paraId="5D57BF9D">
      <w:pPr>
        <w:spacing w:line="320" w:lineRule="exact"/>
        <w:jc w:val="center"/>
        <w:rPr>
          <w:rFonts w:hint="eastAsia" w:ascii="宋体" w:hAnsi="宋体"/>
          <w:color w:val="auto"/>
          <w:sz w:val="24"/>
          <w:szCs w:val="20"/>
        </w:rPr>
      </w:pPr>
    </w:p>
    <w:p w14:paraId="0A5EC4ED">
      <w:pPr>
        <w:spacing w:line="360" w:lineRule="auto"/>
        <w:contextualSpacing/>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70B5783C">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7CD28237">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（项目名称）（项目编号）</w:t>
      </w:r>
      <w:r>
        <w:rPr>
          <w:rFonts w:hint="eastAsia" w:ascii="宋体" w:hAnsi="宋体" w:cs="宋体"/>
          <w:color w:val="auto"/>
          <w:sz w:val="24"/>
        </w:rPr>
        <w:t>项目的竞标，为便于贵方公正、择优地确定成交供应商及其服务，我方就本次竞标有关事项郑重声明如下：</w:t>
      </w:r>
    </w:p>
    <w:p w14:paraId="32DA71E4">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1.我方向贵方提交的所有响应文件、资料都是准确的和真实的。</w:t>
      </w:r>
    </w:p>
    <w:p w14:paraId="014FFFB0">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14:paraId="7510BDD4">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3.在此，我方宣布同意如下：</w:t>
      </w:r>
    </w:p>
    <w:p w14:paraId="1E4F6561">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（1）将按谈判文件的约定履行合同责任和义务；</w:t>
      </w:r>
    </w:p>
    <w:p w14:paraId="66F106E3">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（2）已详细审查全部谈判文件，包括澄清或者更正公告（如有）；</w:t>
      </w:r>
    </w:p>
    <w:p w14:paraId="47A22BB3">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（3）同意提供按照贵方可能要求的与谈判有关的一切数据或者资料；</w:t>
      </w:r>
    </w:p>
    <w:p w14:paraId="337347D2">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（4）响应谈判文件规定的竞标有效期。</w:t>
      </w:r>
    </w:p>
    <w:p w14:paraId="68971C4D">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4.我方承诺符合《中华人民共和国政府采购法》第二十二条规定：</w:t>
      </w:r>
    </w:p>
    <w:p w14:paraId="0825AE16">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（1）具有独立承担民事责任的能力；</w:t>
      </w:r>
    </w:p>
    <w:p w14:paraId="28943BFD">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59CE2303">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54221C94">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3BAF4896">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E806EC5">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（6）法律、行政法规规定的其他条件。</w:t>
      </w:r>
    </w:p>
    <w:p w14:paraId="302651F6">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不属于在财政部门禁止参加政府采购活动期限以内的供应商，完全符合《中华人民共和国政府采购法》第二十二条规定的供应商资格条件，我方对此声明负全部法律责任。</w:t>
      </w:r>
    </w:p>
    <w:p w14:paraId="49230E67">
      <w:pPr>
        <w:spacing w:line="380" w:lineRule="exact"/>
        <w:ind w:firstLine="420"/>
        <w:rPr>
          <w:rFonts w:hint="eastAsia" w:ascii="宋体" w:hAnsi="宋体" w:cs="宋体"/>
          <w:color w:val="auto"/>
          <w:kern w:val="0"/>
          <w:sz w:val="24"/>
        </w:rPr>
      </w:pPr>
      <w:r>
        <w:rPr>
          <w:rFonts w:hint="eastAsia" w:ascii="宋体" w:hAnsi="宋体"/>
          <w:color w:val="auto"/>
          <w:sz w:val="24"/>
        </w:rPr>
        <w:t>6.</w:t>
      </w:r>
      <w:r>
        <w:rPr>
          <w:rFonts w:hint="eastAsia" w:ascii="宋体" w:hAnsi="宋体" w:cs="宋体"/>
          <w:color w:val="auto"/>
          <w:kern w:val="0"/>
          <w:sz w:val="24"/>
        </w:rPr>
        <w:t>如我方成交，我方保证在成交通知书发出前，按本项目竞争性谈判文件的规定及标准向贵单位一次性足额支付代理服务费。代理服务费发票我方选择开具：□</w:t>
      </w:r>
      <w:r>
        <w:rPr>
          <w:rFonts w:hint="eastAsia" w:ascii="宋体" w:hAnsi="宋体" w:cs="宋体"/>
          <w:color w:val="auto"/>
          <w:kern w:val="0"/>
          <w:sz w:val="24"/>
          <w:u w:val="single"/>
        </w:rPr>
        <w:t>增值税普通发票</w:t>
      </w:r>
      <w:r>
        <w:rPr>
          <w:rFonts w:hint="eastAsia" w:ascii="宋体" w:hAnsi="宋体" w:cs="宋体"/>
          <w:color w:val="auto"/>
          <w:kern w:val="0"/>
          <w:sz w:val="24"/>
        </w:rPr>
        <w:t>、□</w:t>
      </w:r>
      <w:r>
        <w:rPr>
          <w:rFonts w:hint="eastAsia" w:ascii="宋体" w:hAnsi="宋体" w:cs="宋体"/>
          <w:color w:val="auto"/>
          <w:kern w:val="0"/>
          <w:sz w:val="24"/>
          <w:u w:val="single"/>
        </w:rPr>
        <w:t>增值税专用发票</w:t>
      </w:r>
      <w:r>
        <w:rPr>
          <w:rFonts w:hint="eastAsia" w:ascii="宋体" w:hAnsi="宋体" w:cs="宋体"/>
          <w:color w:val="auto"/>
          <w:kern w:val="0"/>
          <w:szCs w:val="21"/>
        </w:rPr>
        <w:t>，</w:t>
      </w:r>
      <w:r>
        <w:rPr>
          <w:rFonts w:hint="eastAsia" w:ascii="宋体" w:hAnsi="宋体" w:cs="宋体"/>
          <w:color w:val="auto"/>
          <w:kern w:val="0"/>
          <w:sz w:val="24"/>
        </w:rPr>
        <w:t>开票信息如下：</w:t>
      </w:r>
    </w:p>
    <w:p w14:paraId="60EC5C8F">
      <w:pPr>
        <w:spacing w:line="380" w:lineRule="exact"/>
        <w:ind w:firstLine="420"/>
        <w:rPr>
          <w:rFonts w:hint="eastAsia" w:ascii="宋体" w:hAnsi="宋体" w:cs="宋体"/>
          <w:color w:val="auto"/>
          <w:kern w:val="0"/>
          <w:sz w:val="24"/>
        </w:rPr>
      </w:pPr>
      <w:r>
        <w:rPr>
          <w:rFonts w:hint="eastAsia" w:ascii="宋体" w:hAnsi="宋体" w:cs="宋体"/>
          <w:color w:val="auto"/>
          <w:kern w:val="0"/>
          <w:sz w:val="24"/>
        </w:rPr>
        <w:t>①公司名称：</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14:paraId="66A7BD4D">
      <w:pPr>
        <w:spacing w:line="380" w:lineRule="exact"/>
        <w:ind w:firstLine="420"/>
        <w:rPr>
          <w:rFonts w:hint="eastAsia" w:ascii="宋体" w:hAnsi="宋体" w:cs="宋体"/>
          <w:color w:val="auto"/>
          <w:kern w:val="0"/>
          <w:sz w:val="24"/>
        </w:rPr>
      </w:pPr>
      <w:r>
        <w:rPr>
          <w:rFonts w:hint="eastAsia" w:ascii="宋体" w:hAnsi="宋体" w:cs="宋体"/>
          <w:color w:val="auto"/>
          <w:kern w:val="0"/>
          <w:sz w:val="24"/>
        </w:rPr>
        <w:t>②纳税人识别号：</w:t>
      </w:r>
      <w:r>
        <w:rPr>
          <w:rFonts w:hint="eastAsia" w:ascii="宋体" w:hAnsi="宋体" w:cs="宋体"/>
          <w:color w:val="auto"/>
          <w:kern w:val="0"/>
          <w:sz w:val="24"/>
          <w:u w:val="single"/>
        </w:rPr>
        <w:t xml:space="preserve">               </w:t>
      </w:r>
    </w:p>
    <w:p w14:paraId="4C162DA1">
      <w:pPr>
        <w:spacing w:line="380" w:lineRule="exact"/>
        <w:ind w:firstLine="420"/>
        <w:rPr>
          <w:rFonts w:hint="eastAsia" w:ascii="宋体" w:hAnsi="宋体" w:cs="宋体"/>
          <w:color w:val="auto"/>
          <w:kern w:val="0"/>
          <w:sz w:val="24"/>
        </w:rPr>
      </w:pPr>
      <w:r>
        <w:rPr>
          <w:rFonts w:hint="eastAsia" w:ascii="宋体" w:hAnsi="宋体" w:cs="宋体"/>
          <w:color w:val="auto"/>
          <w:kern w:val="0"/>
          <w:sz w:val="24"/>
        </w:rPr>
        <w:t>开具增值税</w:t>
      </w:r>
      <w:r>
        <w:rPr>
          <w:rFonts w:hint="eastAsia" w:ascii="宋体" w:hAnsi="宋体" w:cs="宋体"/>
          <w:b/>
          <w:color w:val="auto"/>
          <w:kern w:val="0"/>
          <w:sz w:val="24"/>
        </w:rPr>
        <w:t>专用</w:t>
      </w:r>
      <w:r>
        <w:rPr>
          <w:rFonts w:hint="eastAsia" w:ascii="宋体" w:hAnsi="宋体" w:cs="宋体"/>
          <w:color w:val="auto"/>
          <w:kern w:val="0"/>
          <w:sz w:val="24"/>
        </w:rPr>
        <w:t>发票开票信息：</w:t>
      </w:r>
    </w:p>
    <w:p w14:paraId="09E16098">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7.根据《中华人民共和国政府采购法实施条例》第五十条要求对政府采购合同进行公告，但政府采购合同中涉及国家秘密、商业秘密的内容除外。我方就对本次响应文件进行注明如下：（两项内容中必须选择一项）</w:t>
      </w:r>
    </w:p>
    <w:p w14:paraId="2643584C">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009F347B">
      <w:pPr>
        <w:spacing w:line="380" w:lineRule="exact"/>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6ACF021">
      <w:pPr>
        <w:pStyle w:val="27"/>
        <w:spacing w:line="380" w:lineRule="exact"/>
        <w:ind w:firstLine="480" w:firstLineChars="200"/>
        <w:contextualSpacing/>
        <w:rPr>
          <w:rFonts w:hint="eastAsia" w:hAnsi="宋体" w:cs="宋体"/>
          <w:color w:val="auto"/>
          <w:sz w:val="24"/>
          <w:szCs w:val="24"/>
          <w:u w:val="single"/>
        </w:rPr>
      </w:pPr>
      <w:r>
        <w:rPr>
          <w:rFonts w:hint="eastAsia" w:hAnsi="宋体" w:cs="宋体"/>
          <w:color w:val="auto"/>
          <w:sz w:val="24"/>
          <w:szCs w:val="24"/>
        </w:rPr>
        <w:t>8.与本谈判有关的一切正式往来信函请寄：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14:paraId="63850A96">
      <w:pPr>
        <w:pStyle w:val="27"/>
        <w:spacing w:line="380" w:lineRule="exact"/>
        <w:ind w:firstLine="480" w:firstLineChars="200"/>
        <w:contextualSpacing/>
        <w:rPr>
          <w:rFonts w:hint="eastAsia"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电子邮箱：</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01F417C1">
      <w:pPr>
        <w:pStyle w:val="22"/>
        <w:tabs>
          <w:tab w:val="left" w:pos="939"/>
        </w:tabs>
        <w:spacing w:line="380" w:lineRule="exact"/>
        <w:ind w:left="141" w:leftChars="67" w:firstLine="360" w:firstLineChars="150"/>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账号：</w:t>
      </w:r>
      <w:r>
        <w:rPr>
          <w:rFonts w:hint="eastAsia" w:ascii="宋体" w:hAnsi="宋体" w:cs="宋体"/>
          <w:color w:val="auto"/>
          <w:sz w:val="24"/>
          <w:u w:val="single"/>
        </w:rPr>
        <w:t xml:space="preserve">                               </w:t>
      </w:r>
    </w:p>
    <w:p w14:paraId="0C3FF2E0">
      <w:pPr>
        <w:pStyle w:val="22"/>
        <w:tabs>
          <w:tab w:val="left" w:pos="939"/>
        </w:tabs>
        <w:spacing w:line="380" w:lineRule="exact"/>
        <w:ind w:left="0" w:leftChars="0" w:firstLine="480" w:firstLineChars="200"/>
        <w:rPr>
          <w:rFonts w:hint="eastAsia" w:ascii="宋体" w:hAnsi="宋体" w:cs="宋体"/>
          <w:color w:val="auto"/>
          <w:sz w:val="24"/>
        </w:rPr>
      </w:pPr>
      <w:r>
        <w:rPr>
          <w:rFonts w:hint="eastAsia" w:ascii="宋体" w:hAnsi="宋体" w:cs="宋体"/>
          <w:color w:val="auto"/>
          <w:sz w:val="24"/>
        </w:rPr>
        <w:t>9.以上事项如有虚假或者隐瞒，我方愿意承担一切后果，并不再寻求任何旨在减轻或者免除法律责任的辩解。</w:t>
      </w:r>
    </w:p>
    <w:p w14:paraId="0C5531DB">
      <w:pPr>
        <w:pStyle w:val="22"/>
        <w:tabs>
          <w:tab w:val="left" w:pos="939"/>
        </w:tabs>
        <w:spacing w:line="380" w:lineRule="exact"/>
        <w:ind w:left="141" w:leftChars="67" w:firstLine="360" w:firstLineChars="150"/>
        <w:rPr>
          <w:rFonts w:hint="eastAsia" w:ascii="宋体" w:hAnsi="宋体" w:cs="宋体"/>
          <w:color w:val="auto"/>
          <w:sz w:val="24"/>
        </w:rPr>
      </w:pPr>
      <w:r>
        <w:rPr>
          <w:rFonts w:hint="eastAsia" w:ascii="宋体" w:hAnsi="宋体" w:cs="宋体"/>
          <w:color w:val="auto"/>
          <w:sz w:val="24"/>
        </w:rPr>
        <w:t>特此承诺。</w:t>
      </w:r>
    </w:p>
    <w:p w14:paraId="3B6644B0">
      <w:pPr>
        <w:spacing w:line="360" w:lineRule="auto"/>
        <w:ind w:firstLine="482" w:firstLineChars="200"/>
        <w:contextualSpacing/>
        <w:jc w:val="left"/>
        <w:rPr>
          <w:rFonts w:hint="eastAsia" w:ascii="宋体" w:hAnsi="宋体"/>
          <w:b/>
          <w:color w:val="auto"/>
          <w:sz w:val="24"/>
        </w:rPr>
      </w:pPr>
    </w:p>
    <w:p w14:paraId="5D65EFFA">
      <w:pPr>
        <w:spacing w:line="360" w:lineRule="auto"/>
        <w:contextualSpacing/>
        <w:jc w:val="left"/>
        <w:rPr>
          <w:rFonts w:hint="eastAsia" w:ascii="宋体" w:hAnsi="宋体" w:cs="宋体"/>
          <w:color w:val="auto"/>
          <w:szCs w:val="21"/>
        </w:rPr>
      </w:pPr>
    </w:p>
    <w:p w14:paraId="2AB42D2D">
      <w:pPr>
        <w:spacing w:line="360" w:lineRule="auto"/>
        <w:ind w:firstLine="1800" w:firstLineChars="750"/>
        <w:contextualSpacing/>
        <w:rPr>
          <w:color w:val="auto"/>
          <w:sz w:val="24"/>
        </w:rPr>
      </w:pPr>
      <w:r>
        <w:rPr>
          <w:rFonts w:hint="eastAsia"/>
          <w:color w:val="auto"/>
          <w:sz w:val="24"/>
        </w:rPr>
        <w:t>法定代表人（</w:t>
      </w:r>
      <w:r>
        <w:rPr>
          <w:rFonts w:hint="eastAsia" w:ascii="宋体" w:hAnsi="宋体"/>
          <w:color w:val="auto"/>
          <w:sz w:val="24"/>
        </w:rPr>
        <w:t>签字或者盖章或者电子签名</w:t>
      </w:r>
      <w:r>
        <w:rPr>
          <w:rFonts w:hint="eastAsia"/>
          <w:color w:val="auto"/>
          <w:sz w:val="24"/>
        </w:rPr>
        <w:t>）：</w:t>
      </w:r>
      <w:r>
        <w:rPr>
          <w:rFonts w:hint="eastAsia"/>
          <w:color w:val="auto"/>
          <w:sz w:val="24"/>
          <w:u w:val="single"/>
        </w:rPr>
        <w:t xml:space="preserve">               </w:t>
      </w:r>
      <w:r>
        <w:rPr>
          <w:rFonts w:hint="eastAsia"/>
          <w:color w:val="auto"/>
          <w:sz w:val="24"/>
        </w:rPr>
        <w:t xml:space="preserve">                                     </w:t>
      </w:r>
    </w:p>
    <w:p w14:paraId="5D35EBA4">
      <w:pPr>
        <w:spacing w:line="360" w:lineRule="auto"/>
        <w:ind w:firstLine="4320" w:firstLineChars="1800"/>
        <w:contextualSpacing/>
        <w:rPr>
          <w:rFonts w:hint="eastAsia" w:ascii="宋体" w:hAnsi="宋体" w:cs="宋体"/>
          <w:color w:val="auto"/>
          <w:sz w:val="24"/>
          <w:u w:val="single"/>
        </w:rPr>
      </w:pPr>
      <w:r>
        <w:rPr>
          <w:rFonts w:hint="eastAsia"/>
          <w:color w:val="auto"/>
          <w:sz w:val="24"/>
        </w:rPr>
        <w:t>供应商（电子签章）：</w:t>
      </w:r>
      <w:r>
        <w:rPr>
          <w:rFonts w:hint="eastAsia"/>
          <w:color w:val="auto"/>
          <w:sz w:val="24"/>
          <w:u w:val="single"/>
        </w:rPr>
        <w:t xml:space="preserve">                               </w:t>
      </w:r>
      <w:r>
        <w:rPr>
          <w:rFonts w:hint="eastAsia"/>
          <w:color w:val="auto"/>
          <w:sz w:val="24"/>
        </w:rPr>
        <w:t xml:space="preserve">       </w:t>
      </w:r>
      <w:r>
        <w:rPr>
          <w:rFonts w:hint="eastAsia" w:ascii="宋体" w:hAnsi="宋体" w:cs="宋体"/>
          <w:color w:val="auto"/>
          <w:sz w:val="24"/>
        </w:rPr>
        <w:t xml:space="preserve">    </w:t>
      </w:r>
    </w:p>
    <w:p w14:paraId="789DD9AD">
      <w:pPr>
        <w:pStyle w:val="22"/>
        <w:tabs>
          <w:tab w:val="left" w:pos="939"/>
        </w:tabs>
        <w:spacing w:line="360" w:lineRule="auto"/>
        <w:ind w:left="0" w:leftChars="0" w:firstLine="480" w:firstLineChars="200"/>
        <w:rPr>
          <w:color w:val="auto"/>
          <w:sz w:val="24"/>
        </w:rPr>
      </w:pPr>
      <w:r>
        <w:rPr>
          <w:rFonts w:hint="eastAsia" w:ascii="宋体" w:hAnsi="宋体" w:cs="宋体"/>
          <w:color w:val="auto"/>
          <w:sz w:val="24"/>
        </w:rPr>
        <w:t xml:space="preserve">                                            </w:t>
      </w:r>
      <w:r>
        <w:rPr>
          <w:rFonts w:hint="eastAsia"/>
          <w:color w:val="auto"/>
          <w:sz w:val="24"/>
        </w:rPr>
        <w:t>年    月    日</w:t>
      </w:r>
    </w:p>
    <w:p w14:paraId="5AB4BFA7">
      <w:pPr>
        <w:pStyle w:val="22"/>
        <w:tabs>
          <w:tab w:val="left" w:pos="939"/>
        </w:tabs>
        <w:spacing w:line="360" w:lineRule="auto"/>
        <w:ind w:left="0" w:leftChars="0" w:firstLine="480" w:firstLineChars="200"/>
        <w:rPr>
          <w:color w:val="auto"/>
          <w:sz w:val="24"/>
        </w:rPr>
      </w:pPr>
    </w:p>
    <w:p w14:paraId="6329429B">
      <w:pPr>
        <w:pStyle w:val="22"/>
        <w:tabs>
          <w:tab w:val="left" w:pos="939"/>
        </w:tabs>
        <w:spacing w:line="360" w:lineRule="auto"/>
        <w:ind w:left="0" w:leftChars="0" w:firstLine="480" w:firstLineChars="200"/>
        <w:rPr>
          <w:color w:val="auto"/>
          <w:sz w:val="24"/>
        </w:rPr>
      </w:pPr>
    </w:p>
    <w:p w14:paraId="40ED2573">
      <w:pPr>
        <w:pStyle w:val="22"/>
        <w:tabs>
          <w:tab w:val="left" w:pos="939"/>
        </w:tabs>
        <w:spacing w:line="360" w:lineRule="auto"/>
        <w:ind w:left="0" w:leftChars="0" w:firstLine="480" w:firstLineChars="200"/>
        <w:rPr>
          <w:color w:val="auto"/>
          <w:sz w:val="24"/>
        </w:rPr>
      </w:pPr>
    </w:p>
    <w:p w14:paraId="64C29141">
      <w:pPr>
        <w:pStyle w:val="22"/>
        <w:tabs>
          <w:tab w:val="left" w:pos="939"/>
        </w:tabs>
        <w:spacing w:line="360" w:lineRule="auto"/>
        <w:ind w:left="0" w:leftChars="0" w:firstLine="480" w:firstLineChars="200"/>
        <w:rPr>
          <w:color w:val="auto"/>
          <w:sz w:val="24"/>
        </w:rPr>
      </w:pPr>
    </w:p>
    <w:p w14:paraId="174B5AB5">
      <w:pPr>
        <w:jc w:val="center"/>
        <w:rPr>
          <w:rFonts w:hint="eastAsia" w:ascii="方正小标宋简体" w:hAnsi="方正小标宋简体" w:eastAsia="方正小标宋简体" w:cs="方正小标宋简体"/>
          <w:color w:val="auto"/>
          <w:sz w:val="44"/>
          <w:szCs w:val="44"/>
        </w:rPr>
      </w:pPr>
      <w:bookmarkStart w:id="90" w:name="_Toc71365926"/>
    </w:p>
    <w:p w14:paraId="40E3A167">
      <w:pPr>
        <w:jc w:val="center"/>
        <w:rPr>
          <w:rFonts w:hint="eastAsia" w:ascii="方正小标宋简体" w:hAnsi="方正小标宋简体" w:eastAsia="方正小标宋简体" w:cs="方正小标宋简体"/>
          <w:color w:val="auto"/>
          <w:sz w:val="44"/>
          <w:szCs w:val="44"/>
        </w:rPr>
      </w:pPr>
    </w:p>
    <w:p w14:paraId="77B3C97A">
      <w:pPr>
        <w:jc w:val="center"/>
        <w:rPr>
          <w:rFonts w:hint="eastAsia" w:ascii="方正小标宋简体" w:hAnsi="方正小标宋简体" w:eastAsia="方正小标宋简体" w:cs="方正小标宋简体"/>
          <w:color w:val="auto"/>
          <w:sz w:val="44"/>
          <w:szCs w:val="44"/>
        </w:rPr>
      </w:pPr>
    </w:p>
    <w:p w14:paraId="47453E16">
      <w:pPr>
        <w:jc w:val="center"/>
        <w:rPr>
          <w:rFonts w:hint="eastAsia" w:ascii="方正小标宋简体" w:hAnsi="方正小标宋简体" w:eastAsia="方正小标宋简体" w:cs="方正小标宋简体"/>
          <w:color w:val="auto"/>
          <w:sz w:val="44"/>
          <w:szCs w:val="44"/>
        </w:rPr>
      </w:pPr>
    </w:p>
    <w:p w14:paraId="466BBA11">
      <w:pPr>
        <w:jc w:val="center"/>
        <w:rPr>
          <w:rFonts w:hint="eastAsia" w:ascii="方正小标宋简体" w:hAnsi="方正小标宋简体" w:eastAsia="方正小标宋简体" w:cs="方正小标宋简体"/>
          <w:color w:val="auto"/>
          <w:sz w:val="44"/>
          <w:szCs w:val="44"/>
        </w:rPr>
      </w:pPr>
    </w:p>
    <w:p w14:paraId="2DCE037B">
      <w:pPr>
        <w:jc w:val="center"/>
        <w:rPr>
          <w:rFonts w:hint="eastAsia" w:ascii="方正小标宋简体" w:hAnsi="方正小标宋简体" w:eastAsia="方正小标宋简体" w:cs="方正小标宋简体"/>
          <w:color w:val="auto"/>
          <w:sz w:val="44"/>
          <w:szCs w:val="44"/>
        </w:rPr>
      </w:pPr>
    </w:p>
    <w:p w14:paraId="53684F56">
      <w:pPr>
        <w:jc w:val="center"/>
        <w:rPr>
          <w:rFonts w:hint="eastAsia" w:ascii="方正小标宋简体" w:hAnsi="方正小标宋简体" w:eastAsia="方正小标宋简体" w:cs="方正小标宋简体"/>
          <w:color w:val="auto"/>
          <w:sz w:val="44"/>
          <w:szCs w:val="44"/>
        </w:rPr>
      </w:pPr>
    </w:p>
    <w:p w14:paraId="63B88549">
      <w:pPr>
        <w:jc w:val="center"/>
        <w:rPr>
          <w:rFonts w:hint="eastAsia" w:ascii="方正小标宋简体" w:hAnsi="方正小标宋简体" w:eastAsia="方正小标宋简体" w:cs="方正小标宋简体"/>
          <w:color w:val="auto"/>
          <w:sz w:val="44"/>
          <w:szCs w:val="44"/>
        </w:rPr>
      </w:pPr>
    </w:p>
    <w:p w14:paraId="38DE22B4">
      <w:pPr>
        <w:jc w:val="center"/>
        <w:rPr>
          <w:rFonts w:hint="eastAsia" w:ascii="方正小标宋简体" w:hAnsi="方正小标宋简体" w:eastAsia="方正小标宋简体" w:cs="方正小标宋简体"/>
          <w:color w:val="auto"/>
          <w:sz w:val="44"/>
          <w:szCs w:val="44"/>
        </w:rPr>
      </w:pPr>
    </w:p>
    <w:p w14:paraId="3CE61D6C">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中小企业声明函（工程）</w:t>
      </w:r>
      <w:bookmarkEnd w:id="90"/>
    </w:p>
    <w:p w14:paraId="63037D64">
      <w:pPr>
        <w:spacing w:before="2" w:line="500" w:lineRule="exact"/>
        <w:ind w:firstLine="708" w:firstLineChars="294"/>
        <w:rPr>
          <w:rFonts w:hint="eastAsia" w:ascii="宋体" w:hAnsi="宋体" w:cs="宋体"/>
          <w:b/>
          <w:bCs/>
          <w:color w:val="auto"/>
          <w:sz w:val="24"/>
        </w:rPr>
      </w:pPr>
    </w:p>
    <w:p w14:paraId="17EE5845">
      <w:pPr>
        <w:pStyle w:val="2"/>
        <w:spacing w:line="500" w:lineRule="exact"/>
        <w:ind w:right="142" w:firstLine="705" w:firstLineChars="294"/>
        <w:rPr>
          <w:rFonts w:hint="eastAsia" w:ascii="宋体" w:hAnsi="宋体"/>
          <w:color w:val="auto"/>
          <w:sz w:val="24"/>
        </w:rPr>
      </w:pPr>
      <w:r>
        <w:rPr>
          <w:rFonts w:ascii="宋体" w:hAnsi="宋体"/>
          <w:color w:val="auto"/>
          <w:sz w:val="24"/>
        </w:rPr>
        <w:t>本公司郑重声明，根据《政府采购促进中小企业发展管理办法》（财库﹝2020﹞46号）的规定，本公司参加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工程的施工单位全部为符合政策要求的中小企业。相关企业的具体情况如下：</w:t>
      </w:r>
    </w:p>
    <w:p w14:paraId="2DBD1AF8">
      <w:pPr>
        <w:tabs>
          <w:tab w:val="left" w:pos="1384"/>
          <w:tab w:val="left" w:pos="4562"/>
          <w:tab w:val="left" w:pos="6803"/>
        </w:tabs>
        <w:spacing w:before="13" w:line="500" w:lineRule="exact"/>
        <w:ind w:right="142" w:firstLine="772" w:firstLineChars="322"/>
        <w:rPr>
          <w:rFonts w:hint="eastAsia" w:ascii="宋体" w:hAnsi="宋体"/>
          <w:color w:val="auto"/>
          <w:sz w:val="24"/>
        </w:rPr>
      </w:pPr>
      <w:r>
        <w:rPr>
          <w:rFonts w:ascii="宋体" w:hAnsi="宋体"/>
          <w:color w:val="auto"/>
          <w:sz w:val="24"/>
          <w:u w:val="single"/>
        </w:rPr>
        <w:t>（标的名称）</w:t>
      </w:r>
      <w:r>
        <w:rPr>
          <w:rFonts w:ascii="宋体" w:hAnsi="宋体"/>
          <w:color w:val="auto"/>
          <w:sz w:val="24"/>
        </w:rPr>
        <w:t>，属于</w:t>
      </w:r>
      <w:r>
        <w:rPr>
          <w:rFonts w:hint="eastAsia" w:ascii="宋体" w:hAnsi="宋体"/>
          <w:color w:val="auto"/>
          <w:sz w:val="24"/>
          <w:u w:val="single"/>
        </w:rPr>
        <w:t>建筑业</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4AC07602">
      <w:pPr>
        <w:pStyle w:val="2"/>
        <w:spacing w:before="34" w:line="500" w:lineRule="exact"/>
        <w:ind w:right="142" w:firstLine="705" w:firstLineChars="294"/>
        <w:rPr>
          <w:rFonts w:hint="eastAsia"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14:paraId="547C035E">
      <w:pPr>
        <w:pStyle w:val="2"/>
        <w:spacing w:before="25" w:line="500" w:lineRule="exact"/>
        <w:ind w:right="142" w:firstLine="705" w:firstLineChars="294"/>
        <w:rPr>
          <w:rFonts w:hint="eastAsia" w:ascii="宋体" w:hAnsi="宋体"/>
          <w:color w:val="auto"/>
          <w:sz w:val="24"/>
        </w:rPr>
      </w:pPr>
      <w:r>
        <w:rPr>
          <w:rFonts w:ascii="宋体" w:hAnsi="宋体"/>
          <w:color w:val="auto"/>
          <w:sz w:val="24"/>
        </w:rPr>
        <w:t>本企业对上述声明内容的真实性负责。如有虚假，将依法承担相应责任。</w:t>
      </w:r>
    </w:p>
    <w:p w14:paraId="349A026B">
      <w:pPr>
        <w:pStyle w:val="2"/>
        <w:spacing w:before="56" w:line="500" w:lineRule="exact"/>
        <w:ind w:right="1808" w:firstLine="705" w:firstLineChars="294"/>
        <w:rPr>
          <w:rFonts w:hint="eastAsia" w:ascii="宋体" w:hAnsi="宋体"/>
          <w:color w:val="auto"/>
          <w:sz w:val="24"/>
        </w:rPr>
      </w:pPr>
    </w:p>
    <w:p w14:paraId="135B9179">
      <w:pPr>
        <w:pStyle w:val="2"/>
        <w:spacing w:before="56" w:line="500" w:lineRule="exact"/>
        <w:ind w:right="650" w:firstLine="5625" w:firstLineChars="2344"/>
        <w:rPr>
          <w:rFonts w:hint="eastAsia" w:ascii="宋体" w:hAnsi="宋体"/>
          <w:color w:val="auto"/>
          <w:sz w:val="24"/>
        </w:rPr>
      </w:pPr>
      <w:r>
        <w:rPr>
          <w:rFonts w:ascii="宋体" w:hAnsi="宋体"/>
          <w:color w:val="auto"/>
          <w:sz w:val="24"/>
        </w:rPr>
        <w:t xml:space="preserve">企业名称（章）： </w:t>
      </w:r>
    </w:p>
    <w:p w14:paraId="3AE89730">
      <w:pPr>
        <w:pStyle w:val="2"/>
        <w:spacing w:before="56" w:line="500" w:lineRule="exact"/>
        <w:ind w:right="1808" w:firstLine="5625" w:firstLineChars="2344"/>
        <w:rPr>
          <w:rFonts w:hint="eastAsia" w:ascii="宋体" w:hAnsi="宋体"/>
          <w:color w:val="auto"/>
          <w:sz w:val="24"/>
        </w:rPr>
      </w:pPr>
      <w:r>
        <w:rPr>
          <w:rFonts w:ascii="宋体" w:hAnsi="宋体"/>
          <w:color w:val="auto"/>
          <w:sz w:val="24"/>
        </w:rPr>
        <w:t>日 期：</w:t>
      </w:r>
    </w:p>
    <w:p w14:paraId="07FCEA2D">
      <w:pPr>
        <w:spacing w:line="520" w:lineRule="exact"/>
        <w:jc w:val="left"/>
        <w:rPr>
          <w:rFonts w:hint="eastAsia"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CB07CBE">
      <w:pPr>
        <w:spacing w:line="520" w:lineRule="exact"/>
        <w:jc w:val="center"/>
        <w:rPr>
          <w:rFonts w:hint="eastAsia" w:ascii="仿宋_GB2312" w:hAnsi="仿宋_GB2312" w:eastAsia="仿宋_GB2312" w:cs="仿宋_GB2312"/>
          <w:color w:val="auto"/>
          <w:sz w:val="32"/>
          <w:szCs w:val="32"/>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14:paraId="69AE47EF">
      <w:pPr>
        <w:spacing w:line="360" w:lineRule="auto"/>
        <w:contextualSpacing/>
        <w:rPr>
          <w:rFonts w:hint="eastAsia" w:ascii="仿宋_GB2312" w:hAnsi="仿宋_GB2312" w:eastAsia="仿宋_GB2312" w:cs="仿宋_GB2312"/>
          <w:color w:val="auto"/>
          <w:sz w:val="32"/>
          <w:szCs w:val="32"/>
        </w:rPr>
      </w:pPr>
    </w:p>
    <w:p w14:paraId="5E0A7D87">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u w:val="single"/>
        </w:rPr>
        <w:t xml:space="preserve">       </w:t>
      </w:r>
      <w:r>
        <w:rPr>
          <w:rFonts w:hint="eastAsia" w:ascii="宋体" w:hAnsi="宋体" w:cs="仿宋_GB2312"/>
          <w:color w:val="auto"/>
          <w:sz w:val="24"/>
        </w:rPr>
        <w:t>单位的</w:t>
      </w:r>
      <w:r>
        <w:rPr>
          <w:rFonts w:hint="eastAsia" w:ascii="宋体" w:hAnsi="宋体" w:cs="仿宋_GB2312"/>
          <w:color w:val="auto"/>
          <w:sz w:val="24"/>
          <w:u w:val="single"/>
        </w:rPr>
        <w:t xml:space="preserve">        </w:t>
      </w:r>
      <w:r>
        <w:rPr>
          <w:rFonts w:hint="eastAsia" w:ascii="宋体" w:hAnsi="宋体" w:cs="仿宋_GB2312"/>
          <w:color w:val="auto"/>
          <w:sz w:val="24"/>
        </w:rPr>
        <w:t>项目采购活动提供本单位制造的货物（由本单位承担工程/提供服务），或者提供其他残疾人福利性单位制造的货物（不包括使用非残疾人福利性单位注册商标的货物）。</w:t>
      </w:r>
    </w:p>
    <w:p w14:paraId="537E9ED9">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14:paraId="3BA0DFDF">
      <w:pPr>
        <w:spacing w:line="360" w:lineRule="auto"/>
        <w:contextualSpacing/>
        <w:rPr>
          <w:rFonts w:hint="eastAsia" w:ascii="宋体" w:hAnsi="宋体" w:cs="仿宋_GB2312"/>
          <w:color w:val="auto"/>
          <w:sz w:val="24"/>
        </w:rPr>
      </w:pPr>
    </w:p>
    <w:p w14:paraId="25B93D36">
      <w:pPr>
        <w:spacing w:line="360" w:lineRule="auto"/>
        <w:contextualSpacing/>
        <w:rPr>
          <w:rFonts w:hint="eastAsia" w:ascii="宋体" w:hAnsi="宋体" w:cs="仿宋_GB2312"/>
          <w:color w:val="auto"/>
          <w:sz w:val="24"/>
        </w:rPr>
      </w:pPr>
    </w:p>
    <w:p w14:paraId="4E6E1A3B">
      <w:pPr>
        <w:spacing w:line="360" w:lineRule="auto"/>
        <w:contextualSpacing/>
        <w:rPr>
          <w:rFonts w:hint="eastAsia" w:ascii="宋体" w:hAnsi="宋体" w:cs="仿宋_GB2312"/>
          <w:color w:val="auto"/>
          <w:sz w:val="24"/>
        </w:rPr>
      </w:pPr>
    </w:p>
    <w:p w14:paraId="70F12C90">
      <w:pPr>
        <w:spacing w:line="360" w:lineRule="auto"/>
        <w:ind w:firstLine="2400" w:firstLineChars="1000"/>
        <w:contextualSpacing/>
        <w:rPr>
          <w:rFonts w:hint="eastAsia" w:ascii="宋体" w:hAnsi="宋体" w:cs="仿宋_GB2312"/>
          <w:color w:val="auto"/>
          <w:sz w:val="24"/>
        </w:rPr>
      </w:pPr>
      <w:r>
        <w:rPr>
          <w:rFonts w:hint="eastAsia" w:ascii="宋体" w:hAnsi="宋体" w:cs="仿宋_GB2312"/>
          <w:color w:val="auto"/>
          <w:sz w:val="24"/>
        </w:rPr>
        <w:t>单位名称（盖章）：</w:t>
      </w:r>
    </w:p>
    <w:p w14:paraId="6F477610">
      <w:pPr>
        <w:spacing w:line="360" w:lineRule="auto"/>
        <w:ind w:firstLine="3600" w:firstLineChars="1500"/>
        <w:contextualSpacing/>
        <w:rPr>
          <w:rFonts w:hint="eastAsia" w:ascii="宋体" w:hAnsi="宋体" w:cs="仿宋_GB2312"/>
          <w:color w:val="auto"/>
          <w:sz w:val="24"/>
        </w:rPr>
      </w:pPr>
      <w:r>
        <w:rPr>
          <w:rFonts w:hint="eastAsia" w:ascii="宋体" w:hAnsi="宋体" w:cs="仿宋_GB2312"/>
          <w:color w:val="auto"/>
          <w:sz w:val="24"/>
        </w:rPr>
        <w:t>日  期：</w:t>
      </w:r>
    </w:p>
    <w:p w14:paraId="2389376E">
      <w:pPr>
        <w:spacing w:line="360" w:lineRule="auto"/>
        <w:contextualSpacing/>
        <w:rPr>
          <w:rFonts w:hint="eastAsia" w:ascii="宋体" w:hAnsi="宋体" w:cs="仿宋_GB2312"/>
          <w:color w:val="auto"/>
          <w:sz w:val="24"/>
        </w:rPr>
      </w:pPr>
    </w:p>
    <w:p w14:paraId="622034ED">
      <w:pPr>
        <w:spacing w:line="360" w:lineRule="auto"/>
        <w:contextualSpacing/>
        <w:rPr>
          <w:rFonts w:hint="eastAsia" w:ascii="宋体" w:hAnsi="宋体" w:cs="仿宋_GB2312"/>
          <w:color w:val="auto"/>
          <w:sz w:val="24"/>
        </w:rPr>
      </w:pPr>
    </w:p>
    <w:p w14:paraId="089B4A42">
      <w:pPr>
        <w:spacing w:line="360" w:lineRule="auto"/>
        <w:contextualSpacing/>
        <w:rPr>
          <w:rFonts w:hint="eastAsia" w:ascii="宋体" w:hAnsi="宋体" w:cs="仿宋_GB2312"/>
          <w:color w:val="auto"/>
          <w:sz w:val="24"/>
        </w:rPr>
      </w:pPr>
    </w:p>
    <w:p w14:paraId="487C7781">
      <w:pPr>
        <w:spacing w:line="360" w:lineRule="auto"/>
        <w:contextualSpacing/>
        <w:rPr>
          <w:rFonts w:hint="eastAsia"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14:paraId="6A016C2C">
      <w:pPr>
        <w:pStyle w:val="22"/>
        <w:tabs>
          <w:tab w:val="left" w:pos="939"/>
        </w:tabs>
        <w:spacing w:line="360" w:lineRule="auto"/>
        <w:ind w:left="0" w:leftChars="0" w:firstLine="480" w:firstLineChars="200"/>
        <w:rPr>
          <w:color w:val="auto"/>
          <w:sz w:val="24"/>
        </w:rPr>
      </w:pPr>
    </w:p>
    <w:p w14:paraId="539FCBCB">
      <w:pPr>
        <w:pStyle w:val="22"/>
        <w:tabs>
          <w:tab w:val="left" w:pos="939"/>
        </w:tabs>
        <w:spacing w:line="360" w:lineRule="auto"/>
        <w:ind w:left="0" w:leftChars="0" w:firstLine="480" w:firstLineChars="200"/>
        <w:rPr>
          <w:color w:val="auto"/>
          <w:sz w:val="24"/>
        </w:rPr>
      </w:pPr>
    </w:p>
    <w:p w14:paraId="345A1598">
      <w:pPr>
        <w:pStyle w:val="22"/>
        <w:tabs>
          <w:tab w:val="left" w:pos="939"/>
        </w:tabs>
        <w:spacing w:line="360" w:lineRule="auto"/>
        <w:ind w:left="0" w:leftChars="0" w:firstLine="480" w:firstLineChars="200"/>
        <w:rPr>
          <w:color w:val="auto"/>
          <w:sz w:val="24"/>
        </w:rPr>
      </w:pPr>
    </w:p>
    <w:p w14:paraId="7EFB42CE">
      <w:pPr>
        <w:pStyle w:val="22"/>
        <w:tabs>
          <w:tab w:val="left" w:pos="939"/>
        </w:tabs>
        <w:spacing w:line="360" w:lineRule="auto"/>
        <w:ind w:left="0" w:leftChars="0" w:firstLine="480" w:firstLineChars="200"/>
        <w:rPr>
          <w:color w:val="auto"/>
          <w:sz w:val="24"/>
        </w:rPr>
      </w:pPr>
    </w:p>
    <w:p w14:paraId="083EC9D5">
      <w:pPr>
        <w:pStyle w:val="22"/>
        <w:tabs>
          <w:tab w:val="left" w:pos="939"/>
        </w:tabs>
        <w:spacing w:line="360" w:lineRule="auto"/>
        <w:ind w:left="0" w:leftChars="0" w:firstLine="480" w:firstLineChars="200"/>
        <w:rPr>
          <w:color w:val="auto"/>
          <w:sz w:val="24"/>
        </w:rPr>
      </w:pPr>
    </w:p>
    <w:p w14:paraId="6BD1A08E">
      <w:pPr>
        <w:pStyle w:val="22"/>
        <w:tabs>
          <w:tab w:val="left" w:pos="939"/>
        </w:tabs>
        <w:spacing w:line="360" w:lineRule="auto"/>
        <w:ind w:left="0" w:leftChars="0" w:firstLine="480" w:firstLineChars="200"/>
        <w:rPr>
          <w:color w:val="auto"/>
          <w:sz w:val="24"/>
        </w:rPr>
      </w:pPr>
    </w:p>
    <w:p w14:paraId="64095FEB">
      <w:pPr>
        <w:pStyle w:val="22"/>
        <w:tabs>
          <w:tab w:val="left" w:pos="939"/>
        </w:tabs>
        <w:spacing w:line="360" w:lineRule="auto"/>
        <w:ind w:left="0" w:leftChars="0" w:firstLine="480" w:firstLineChars="200"/>
        <w:rPr>
          <w:color w:val="auto"/>
          <w:sz w:val="24"/>
        </w:rPr>
      </w:pPr>
    </w:p>
    <w:p w14:paraId="56B1AFC8">
      <w:pPr>
        <w:pStyle w:val="22"/>
        <w:tabs>
          <w:tab w:val="left" w:pos="939"/>
        </w:tabs>
        <w:spacing w:line="360" w:lineRule="auto"/>
        <w:ind w:left="0" w:leftChars="0" w:firstLine="480" w:firstLineChars="200"/>
        <w:rPr>
          <w:color w:val="auto"/>
          <w:sz w:val="24"/>
        </w:rPr>
      </w:pPr>
    </w:p>
    <w:p w14:paraId="79B17DB2">
      <w:pPr>
        <w:pStyle w:val="22"/>
        <w:tabs>
          <w:tab w:val="left" w:pos="939"/>
        </w:tabs>
        <w:spacing w:line="360" w:lineRule="auto"/>
        <w:ind w:left="0" w:leftChars="0" w:firstLine="480" w:firstLineChars="200"/>
        <w:rPr>
          <w:color w:val="auto"/>
          <w:sz w:val="24"/>
        </w:rPr>
      </w:pPr>
    </w:p>
    <w:p w14:paraId="2930010A">
      <w:pPr>
        <w:pStyle w:val="22"/>
        <w:tabs>
          <w:tab w:val="left" w:pos="939"/>
        </w:tabs>
        <w:spacing w:line="360" w:lineRule="auto"/>
        <w:ind w:left="0" w:leftChars="0" w:firstLine="480" w:firstLineChars="200"/>
        <w:rPr>
          <w:color w:val="auto"/>
          <w:sz w:val="24"/>
        </w:rPr>
      </w:pPr>
    </w:p>
    <w:p w14:paraId="31A49B59">
      <w:pPr>
        <w:pStyle w:val="22"/>
        <w:tabs>
          <w:tab w:val="left" w:pos="939"/>
        </w:tabs>
        <w:spacing w:line="360" w:lineRule="auto"/>
        <w:ind w:left="0" w:leftChars="0" w:firstLine="480" w:firstLineChars="200"/>
        <w:rPr>
          <w:color w:val="auto"/>
          <w:sz w:val="24"/>
        </w:rPr>
      </w:pPr>
    </w:p>
    <w:p w14:paraId="12E88073">
      <w:pPr>
        <w:pStyle w:val="22"/>
        <w:tabs>
          <w:tab w:val="left" w:pos="939"/>
        </w:tabs>
        <w:spacing w:line="360" w:lineRule="auto"/>
        <w:ind w:left="0" w:leftChars="0" w:firstLine="480" w:firstLineChars="200"/>
        <w:rPr>
          <w:color w:val="auto"/>
          <w:sz w:val="24"/>
        </w:rPr>
      </w:pPr>
    </w:p>
    <w:p w14:paraId="7C946A74">
      <w:pPr>
        <w:snapToGrid w:val="0"/>
        <w:spacing w:before="120" w:beforeLines="50" w:after="50"/>
        <w:jc w:val="center"/>
        <w:rPr>
          <w:rFonts w:hint="eastAsia" w:ascii="宋体" w:hAnsi="宋体"/>
          <w:b/>
          <w:color w:val="auto"/>
          <w:sz w:val="32"/>
          <w:szCs w:val="32"/>
        </w:rPr>
      </w:pPr>
      <w:r>
        <w:rPr>
          <w:rFonts w:hint="eastAsia" w:ascii="宋体" w:hAnsi="宋体"/>
          <w:b/>
          <w:color w:val="auto"/>
          <w:sz w:val="32"/>
          <w:szCs w:val="32"/>
        </w:rPr>
        <w:t>在人员、设备、资金等方面具有相应的施工履约能力</w:t>
      </w:r>
    </w:p>
    <w:p w14:paraId="64C4EA8F">
      <w:pPr>
        <w:snapToGrid w:val="0"/>
        <w:spacing w:before="120" w:beforeLines="50" w:after="50"/>
        <w:jc w:val="center"/>
        <w:rPr>
          <w:rFonts w:hint="eastAsia" w:ascii="宋体" w:hAnsi="宋体"/>
          <w:b/>
          <w:color w:val="auto"/>
          <w:sz w:val="32"/>
          <w:szCs w:val="32"/>
        </w:rPr>
      </w:pPr>
      <w:r>
        <w:rPr>
          <w:rFonts w:hint="eastAsia" w:ascii="宋体" w:hAnsi="宋体"/>
          <w:b/>
          <w:color w:val="auto"/>
          <w:sz w:val="32"/>
          <w:szCs w:val="32"/>
        </w:rPr>
        <w:t>承诺函</w:t>
      </w:r>
    </w:p>
    <w:p w14:paraId="71676B0E">
      <w:pPr>
        <w:wordWrap w:val="0"/>
        <w:spacing w:line="520" w:lineRule="exact"/>
        <w:ind w:left="-11" w:firstLine="520" w:firstLineChars="217"/>
        <w:jc w:val="left"/>
        <w:rPr>
          <w:rFonts w:cs="宋体"/>
          <w:bCs/>
          <w:color w:val="auto"/>
          <w:sz w:val="24"/>
        </w:rPr>
      </w:pPr>
      <w:r>
        <w:rPr>
          <w:rFonts w:hint="eastAsia" w:cs="宋体"/>
          <w:bCs/>
          <w:color w:val="auto"/>
          <w:sz w:val="24"/>
        </w:rPr>
        <w:t>我公司郑重承诺：在参加本次</w:t>
      </w:r>
      <w:r>
        <w:rPr>
          <w:rFonts w:hint="eastAsia" w:cs="宋体"/>
          <w:bCs/>
          <w:color w:val="auto"/>
          <w:sz w:val="24"/>
          <w:u w:val="single"/>
        </w:rPr>
        <w:t>南溪山医院大礼堂修缮工程</w:t>
      </w:r>
      <w:r>
        <w:rPr>
          <w:rFonts w:hint="eastAsia" w:cs="宋体"/>
          <w:bCs/>
          <w:color w:val="auto"/>
          <w:sz w:val="24"/>
        </w:rPr>
        <w:t>（项目编号：</w:t>
      </w:r>
      <w:r>
        <w:rPr>
          <w:rFonts w:hint="eastAsia" w:cs="宋体"/>
          <w:bCs/>
          <w:color w:val="auto"/>
          <w:sz w:val="24"/>
          <w:u w:val="single"/>
        </w:rPr>
        <w:t>GXZC2025-J2-001510-YZLZ</w:t>
      </w:r>
      <w:r>
        <w:rPr>
          <w:rFonts w:hint="eastAsia" w:cs="宋体"/>
          <w:bCs/>
          <w:color w:val="auto"/>
          <w:sz w:val="24"/>
        </w:rPr>
        <w:t>）竞争性谈判项目中，在人员、设备、资金等方面具有相应的施工履约能力。</w:t>
      </w:r>
    </w:p>
    <w:p w14:paraId="2782E2A3">
      <w:pPr>
        <w:wordWrap w:val="0"/>
        <w:spacing w:line="520" w:lineRule="exact"/>
        <w:ind w:left="-11" w:firstLine="520" w:firstLineChars="217"/>
        <w:jc w:val="left"/>
        <w:rPr>
          <w:color w:val="auto"/>
          <w:sz w:val="24"/>
        </w:rPr>
      </w:pPr>
      <w:r>
        <w:rPr>
          <w:rFonts w:hint="eastAsia" w:ascii="宋体" w:hAnsi="宋体" w:cs="仿宋_GB2312"/>
          <w:color w:val="auto"/>
          <w:sz w:val="24"/>
        </w:rPr>
        <w:t>本单位对上述承诺的真实性负责。如有虚假，将依法承担相应责任。</w:t>
      </w:r>
    </w:p>
    <w:p w14:paraId="633D4614">
      <w:pPr>
        <w:spacing w:line="520" w:lineRule="exact"/>
        <w:ind w:left="-10" w:firstLine="455" w:firstLineChars="217"/>
        <w:jc w:val="left"/>
        <w:rPr>
          <w:color w:val="auto"/>
          <w:szCs w:val="21"/>
        </w:rPr>
      </w:pPr>
    </w:p>
    <w:p w14:paraId="40B65651">
      <w:pPr>
        <w:spacing w:line="520" w:lineRule="exact"/>
        <w:jc w:val="left"/>
        <w:rPr>
          <w:color w:val="auto"/>
        </w:rPr>
      </w:pPr>
    </w:p>
    <w:p w14:paraId="2E1A2E3B">
      <w:pPr>
        <w:spacing w:line="360" w:lineRule="auto"/>
        <w:ind w:firstLine="4410" w:firstLineChars="2100"/>
        <w:jc w:val="left"/>
        <w:rPr>
          <w:rFonts w:cs="宋体"/>
          <w:color w:val="auto"/>
        </w:rPr>
      </w:pPr>
    </w:p>
    <w:p w14:paraId="3D6C47E1">
      <w:pPr>
        <w:spacing w:line="480" w:lineRule="auto"/>
        <w:ind w:left="2699"/>
        <w:rPr>
          <w:color w:val="auto"/>
        </w:rPr>
      </w:pPr>
      <w:r>
        <w:rPr>
          <w:rFonts w:hint="eastAsia" w:cs="宋体"/>
          <w:color w:val="auto"/>
        </w:rPr>
        <w:t>供应商：</w:t>
      </w:r>
      <w:r>
        <w:rPr>
          <w:color w:val="auto"/>
          <w:u w:val="single"/>
        </w:rPr>
        <w:t xml:space="preserve">                              </w:t>
      </w:r>
      <w:r>
        <w:rPr>
          <w:rFonts w:hint="eastAsia" w:cs="宋体"/>
          <w:color w:val="auto"/>
          <w:u w:val="single"/>
        </w:rPr>
        <w:t>（盖供应商电子签章）</w:t>
      </w:r>
    </w:p>
    <w:p w14:paraId="7E0E5049">
      <w:pPr>
        <w:spacing w:line="480" w:lineRule="auto"/>
        <w:ind w:left="2699"/>
        <w:rPr>
          <w:color w:val="auto"/>
        </w:rPr>
      </w:pPr>
      <w:r>
        <w:rPr>
          <w:rFonts w:hint="eastAsia" w:cs="宋体"/>
          <w:color w:val="auto"/>
        </w:rPr>
        <w:t>法定代表人（或委托代理人）：</w:t>
      </w:r>
      <w:r>
        <w:rPr>
          <w:color w:val="auto"/>
          <w:u w:val="single"/>
        </w:rPr>
        <w:t xml:space="preserve">         </w:t>
      </w:r>
      <w:r>
        <w:rPr>
          <w:rFonts w:hint="eastAsia"/>
          <w:color w:val="auto"/>
          <w:u w:val="single"/>
        </w:rPr>
        <w:t>（签字或者电子签名）</w:t>
      </w:r>
    </w:p>
    <w:p w14:paraId="062B00A7">
      <w:pPr>
        <w:spacing w:line="360" w:lineRule="auto"/>
        <w:ind w:firstLine="2730" w:firstLineChars="1300"/>
        <w:rPr>
          <w:rFonts w:cs="宋体"/>
          <w:color w:val="auto"/>
        </w:rPr>
      </w:pPr>
      <w:r>
        <w:rPr>
          <w:rFonts w:hint="eastAsia" w:cs="宋体"/>
          <w:color w:val="auto"/>
        </w:rPr>
        <w:t>日期：</w:t>
      </w:r>
      <w:r>
        <w:rPr>
          <w:color w:val="auto"/>
          <w:u w:val="single"/>
        </w:rPr>
        <w:t xml:space="preserve">       </w:t>
      </w:r>
      <w:r>
        <w:rPr>
          <w:rFonts w:hint="eastAsia" w:cs="宋体"/>
          <w:color w:val="auto"/>
        </w:rPr>
        <w:t>年</w:t>
      </w:r>
      <w:r>
        <w:rPr>
          <w:color w:val="auto"/>
          <w:u w:val="single"/>
        </w:rPr>
        <w:t xml:space="preserve">     </w:t>
      </w:r>
      <w:r>
        <w:rPr>
          <w:rFonts w:hint="eastAsia" w:cs="宋体"/>
          <w:color w:val="auto"/>
        </w:rPr>
        <w:t>月</w:t>
      </w:r>
      <w:r>
        <w:rPr>
          <w:color w:val="auto"/>
          <w:u w:val="single"/>
        </w:rPr>
        <w:t xml:space="preserve">     </w:t>
      </w:r>
      <w:r>
        <w:rPr>
          <w:rFonts w:hint="eastAsia" w:cs="宋体"/>
          <w:color w:val="auto"/>
        </w:rPr>
        <w:t>日</w:t>
      </w:r>
    </w:p>
    <w:p w14:paraId="3AC4AB29">
      <w:pPr>
        <w:spacing w:line="360" w:lineRule="auto"/>
        <w:ind w:firstLine="2730" w:firstLineChars="1300"/>
        <w:rPr>
          <w:rFonts w:cs="宋体"/>
          <w:color w:val="auto"/>
        </w:rPr>
      </w:pPr>
    </w:p>
    <w:p w14:paraId="25E708FB">
      <w:pPr>
        <w:pStyle w:val="22"/>
        <w:tabs>
          <w:tab w:val="left" w:pos="939"/>
        </w:tabs>
        <w:spacing w:line="360" w:lineRule="auto"/>
        <w:ind w:left="0" w:leftChars="0" w:firstLine="480" w:firstLineChars="200"/>
        <w:rPr>
          <w:color w:val="auto"/>
          <w:sz w:val="24"/>
        </w:rPr>
      </w:pPr>
    </w:p>
    <w:p w14:paraId="2B504ACB">
      <w:pPr>
        <w:pStyle w:val="22"/>
        <w:tabs>
          <w:tab w:val="left" w:pos="939"/>
        </w:tabs>
        <w:spacing w:line="360" w:lineRule="auto"/>
        <w:ind w:left="0" w:leftChars="0" w:firstLine="480" w:firstLineChars="200"/>
        <w:rPr>
          <w:color w:val="auto"/>
          <w:sz w:val="24"/>
        </w:rPr>
      </w:pPr>
    </w:p>
    <w:p w14:paraId="42521DC5">
      <w:pPr>
        <w:pStyle w:val="8"/>
        <w:overflowPunct w:val="0"/>
        <w:spacing w:line="520" w:lineRule="exact"/>
        <w:ind w:firstLine="0"/>
        <w:jc w:val="center"/>
        <w:rPr>
          <w:color w:val="auto"/>
          <w:sz w:val="24"/>
        </w:rPr>
      </w:pPr>
      <w:r>
        <w:rPr>
          <w:rFonts w:hint="eastAsia"/>
          <w:color w:val="auto"/>
          <w:sz w:val="24"/>
        </w:rPr>
        <w:br w:type="page"/>
      </w:r>
    </w:p>
    <w:p w14:paraId="634CE81B">
      <w:pPr>
        <w:snapToGrid w:val="0"/>
        <w:spacing w:before="120" w:beforeLines="50" w:after="50"/>
        <w:jc w:val="center"/>
        <w:rPr>
          <w:rFonts w:hint="eastAsia" w:ascii="宋体" w:hAnsi="宋体"/>
          <w:b/>
          <w:color w:val="auto"/>
          <w:sz w:val="32"/>
          <w:szCs w:val="32"/>
        </w:rPr>
      </w:pPr>
      <w:r>
        <w:rPr>
          <w:rFonts w:hint="eastAsia" w:ascii="宋体" w:hAnsi="宋体"/>
          <w:b/>
          <w:color w:val="auto"/>
          <w:sz w:val="32"/>
          <w:szCs w:val="32"/>
        </w:rPr>
        <w:t>供应商拟投入本工程项目经理（即责任工程师）的承诺函</w:t>
      </w:r>
    </w:p>
    <w:p w14:paraId="18712FF9">
      <w:pPr>
        <w:spacing w:line="520" w:lineRule="exact"/>
        <w:ind w:left="-10" w:firstLine="520" w:firstLineChars="217"/>
        <w:jc w:val="left"/>
        <w:rPr>
          <w:rFonts w:cs="宋体"/>
          <w:bCs/>
          <w:color w:val="auto"/>
          <w:sz w:val="24"/>
        </w:rPr>
      </w:pPr>
    </w:p>
    <w:p w14:paraId="494A26F8">
      <w:pPr>
        <w:wordWrap w:val="0"/>
        <w:spacing w:line="520" w:lineRule="exact"/>
        <w:ind w:left="-11" w:firstLine="520" w:firstLineChars="217"/>
        <w:jc w:val="left"/>
        <w:rPr>
          <w:rFonts w:cs="宋体"/>
          <w:bCs/>
          <w:color w:val="auto"/>
          <w:sz w:val="24"/>
        </w:rPr>
      </w:pPr>
      <w:r>
        <w:rPr>
          <w:rFonts w:hint="eastAsia" w:cs="宋体"/>
          <w:bCs/>
          <w:color w:val="auto"/>
          <w:sz w:val="24"/>
        </w:rPr>
        <w:t>我公司郑重承诺：在参加本次</w:t>
      </w:r>
      <w:r>
        <w:rPr>
          <w:rFonts w:hint="eastAsia" w:cs="宋体"/>
          <w:bCs/>
          <w:color w:val="auto"/>
          <w:sz w:val="24"/>
          <w:u w:val="single"/>
        </w:rPr>
        <w:t>南溪山医院大礼堂修缮工程</w:t>
      </w:r>
      <w:r>
        <w:rPr>
          <w:rFonts w:hint="eastAsia" w:cs="宋体"/>
          <w:bCs/>
          <w:color w:val="auto"/>
          <w:sz w:val="24"/>
        </w:rPr>
        <w:t>（项目编号：</w:t>
      </w:r>
      <w:r>
        <w:rPr>
          <w:rFonts w:hint="eastAsia" w:cs="宋体"/>
          <w:bCs/>
          <w:color w:val="auto"/>
          <w:sz w:val="24"/>
          <w:u w:val="single"/>
        </w:rPr>
        <w:t>GXZC2025-J2-001510-YZLZ</w:t>
      </w:r>
      <w:r>
        <w:rPr>
          <w:rFonts w:hint="eastAsia" w:cs="宋体"/>
          <w:bCs/>
          <w:color w:val="auto"/>
          <w:sz w:val="24"/>
        </w:rPr>
        <w:t>）竞争性谈判项目中，拟投入本工程项目经理（即责任工程师）</w:t>
      </w:r>
      <w:r>
        <w:rPr>
          <w:rFonts w:hint="eastAsia" w:cs="宋体"/>
          <w:bCs/>
          <w:color w:val="auto"/>
          <w:sz w:val="24"/>
          <w:u w:val="single"/>
        </w:rPr>
        <w:t xml:space="preserve">      </w:t>
      </w:r>
      <w:r>
        <w:rPr>
          <w:rFonts w:hint="eastAsia" w:cs="宋体"/>
          <w:bCs/>
          <w:color w:val="auto"/>
          <w:sz w:val="24"/>
        </w:rPr>
        <w:t>（姓名），（身份证号码：</w:t>
      </w:r>
      <w:r>
        <w:rPr>
          <w:rFonts w:hint="eastAsia" w:cs="宋体"/>
          <w:bCs/>
          <w:color w:val="auto"/>
          <w:sz w:val="24"/>
          <w:u w:val="single"/>
        </w:rPr>
        <w:t xml:space="preserve">        </w:t>
      </w:r>
      <w:r>
        <w:rPr>
          <w:rFonts w:hint="eastAsia" w:cs="宋体"/>
          <w:bCs/>
          <w:color w:val="auto"/>
          <w:sz w:val="24"/>
        </w:rPr>
        <w:t>）不存在有在建、已中标（成交）未开工或已列为其他项目中标（成交）候选人第一名的责任工程师的情形。</w:t>
      </w:r>
    </w:p>
    <w:p w14:paraId="3CC5C4D2">
      <w:pPr>
        <w:wordWrap w:val="0"/>
        <w:spacing w:line="520" w:lineRule="exact"/>
        <w:ind w:left="-11" w:firstLine="520" w:firstLineChars="217"/>
        <w:jc w:val="left"/>
        <w:rPr>
          <w:rFonts w:cs="宋体"/>
          <w:bCs/>
          <w:color w:val="auto"/>
          <w:sz w:val="24"/>
        </w:rPr>
      </w:pPr>
      <w:r>
        <w:rPr>
          <w:rFonts w:hint="eastAsia" w:cs="宋体"/>
          <w:bCs/>
          <w:color w:val="auto"/>
          <w:sz w:val="24"/>
        </w:rPr>
        <w:t>本单位对上述承诺的真实性负责。如有虚假，将依法承担相应责任。</w:t>
      </w:r>
    </w:p>
    <w:p w14:paraId="0A1C8622">
      <w:pPr>
        <w:spacing w:line="520" w:lineRule="exact"/>
        <w:ind w:left="-10" w:firstLine="455" w:firstLineChars="217"/>
        <w:jc w:val="left"/>
        <w:rPr>
          <w:color w:val="auto"/>
          <w:szCs w:val="21"/>
        </w:rPr>
      </w:pPr>
    </w:p>
    <w:p w14:paraId="035271AA">
      <w:pPr>
        <w:spacing w:line="520" w:lineRule="exact"/>
        <w:jc w:val="left"/>
        <w:rPr>
          <w:color w:val="auto"/>
        </w:rPr>
      </w:pPr>
    </w:p>
    <w:p w14:paraId="0CDF39CA">
      <w:pPr>
        <w:spacing w:line="480" w:lineRule="auto"/>
        <w:ind w:left="2699"/>
        <w:rPr>
          <w:color w:val="auto"/>
        </w:rPr>
      </w:pPr>
      <w:r>
        <w:rPr>
          <w:rFonts w:hint="eastAsia" w:cs="宋体"/>
          <w:color w:val="auto"/>
        </w:rPr>
        <w:t>供应商：</w:t>
      </w:r>
      <w:r>
        <w:rPr>
          <w:color w:val="auto"/>
          <w:u w:val="single"/>
        </w:rPr>
        <w:t xml:space="preserve">                              </w:t>
      </w:r>
      <w:r>
        <w:rPr>
          <w:rFonts w:hint="eastAsia" w:cs="宋体"/>
          <w:color w:val="auto"/>
          <w:u w:val="single"/>
        </w:rPr>
        <w:t>（盖供应商电子签章）</w:t>
      </w:r>
    </w:p>
    <w:p w14:paraId="6AB8A23F">
      <w:pPr>
        <w:spacing w:line="480" w:lineRule="auto"/>
        <w:ind w:left="2699"/>
        <w:rPr>
          <w:color w:val="auto"/>
        </w:rPr>
      </w:pPr>
      <w:r>
        <w:rPr>
          <w:rFonts w:hint="eastAsia" w:cs="宋体"/>
          <w:color w:val="auto"/>
        </w:rPr>
        <w:t>法定代表人（或委托代理人）：</w:t>
      </w:r>
      <w:r>
        <w:rPr>
          <w:color w:val="auto"/>
          <w:u w:val="single"/>
        </w:rPr>
        <w:t xml:space="preserve">         </w:t>
      </w:r>
      <w:r>
        <w:rPr>
          <w:rFonts w:hint="eastAsia"/>
          <w:color w:val="auto"/>
          <w:u w:val="single"/>
        </w:rPr>
        <w:t>（签字或者电子签名）</w:t>
      </w:r>
    </w:p>
    <w:p w14:paraId="48352DA2">
      <w:pPr>
        <w:spacing w:line="360" w:lineRule="auto"/>
        <w:ind w:firstLine="2730" w:firstLineChars="1300"/>
        <w:rPr>
          <w:rFonts w:cs="宋体"/>
          <w:color w:val="auto"/>
        </w:rPr>
      </w:pPr>
      <w:r>
        <w:rPr>
          <w:rFonts w:hint="eastAsia" w:cs="宋体"/>
          <w:color w:val="auto"/>
        </w:rPr>
        <w:t>日期：</w:t>
      </w:r>
      <w:r>
        <w:rPr>
          <w:color w:val="auto"/>
          <w:u w:val="single"/>
        </w:rPr>
        <w:t xml:space="preserve">       </w:t>
      </w:r>
      <w:r>
        <w:rPr>
          <w:rFonts w:hint="eastAsia" w:cs="宋体"/>
          <w:color w:val="auto"/>
        </w:rPr>
        <w:t>年</w:t>
      </w:r>
      <w:r>
        <w:rPr>
          <w:color w:val="auto"/>
          <w:u w:val="single"/>
        </w:rPr>
        <w:t xml:space="preserve">     </w:t>
      </w:r>
      <w:r>
        <w:rPr>
          <w:rFonts w:hint="eastAsia" w:cs="宋体"/>
          <w:color w:val="auto"/>
        </w:rPr>
        <w:t>月</w:t>
      </w:r>
      <w:r>
        <w:rPr>
          <w:color w:val="auto"/>
          <w:u w:val="single"/>
        </w:rPr>
        <w:t xml:space="preserve">     </w:t>
      </w:r>
      <w:r>
        <w:rPr>
          <w:rFonts w:hint="eastAsia" w:cs="宋体"/>
          <w:color w:val="auto"/>
        </w:rPr>
        <w:t>日</w:t>
      </w:r>
    </w:p>
    <w:p w14:paraId="3B2479D7">
      <w:pPr>
        <w:spacing w:line="360" w:lineRule="auto"/>
        <w:ind w:right="420"/>
        <w:contextualSpacing/>
        <w:jc w:val="left"/>
        <w:rPr>
          <w:rFonts w:hint="eastAsia" w:ascii="宋体" w:hAnsi="宋体"/>
          <w:b/>
          <w:bCs/>
          <w:color w:val="auto"/>
          <w:sz w:val="32"/>
          <w:szCs w:val="32"/>
        </w:rPr>
      </w:pPr>
    </w:p>
    <w:p w14:paraId="01630CB8">
      <w:pPr>
        <w:spacing w:line="360" w:lineRule="auto"/>
        <w:ind w:right="420"/>
        <w:contextualSpacing/>
        <w:jc w:val="left"/>
        <w:rPr>
          <w:rFonts w:hint="eastAsia" w:ascii="宋体" w:hAnsi="宋体"/>
          <w:b/>
          <w:bCs/>
          <w:color w:val="auto"/>
          <w:sz w:val="32"/>
          <w:szCs w:val="32"/>
        </w:rPr>
      </w:pPr>
    </w:p>
    <w:p w14:paraId="4FEB99A1">
      <w:pPr>
        <w:spacing w:line="360" w:lineRule="auto"/>
        <w:ind w:right="420"/>
        <w:contextualSpacing/>
        <w:jc w:val="left"/>
        <w:rPr>
          <w:rFonts w:hint="eastAsia" w:ascii="宋体" w:hAnsi="宋体"/>
          <w:b/>
          <w:bCs/>
          <w:color w:val="auto"/>
          <w:sz w:val="32"/>
          <w:szCs w:val="32"/>
        </w:rPr>
      </w:pPr>
    </w:p>
    <w:p w14:paraId="1C718477">
      <w:pPr>
        <w:spacing w:line="360" w:lineRule="auto"/>
        <w:ind w:right="420"/>
        <w:contextualSpacing/>
        <w:jc w:val="left"/>
        <w:rPr>
          <w:rFonts w:hint="eastAsia" w:ascii="宋体" w:hAnsi="宋体"/>
          <w:b/>
          <w:bCs/>
          <w:color w:val="auto"/>
          <w:sz w:val="32"/>
          <w:szCs w:val="32"/>
        </w:rPr>
      </w:pPr>
    </w:p>
    <w:p w14:paraId="49F39967">
      <w:pPr>
        <w:spacing w:line="360" w:lineRule="auto"/>
        <w:ind w:right="420"/>
        <w:contextualSpacing/>
        <w:jc w:val="left"/>
        <w:rPr>
          <w:rFonts w:hint="eastAsia" w:ascii="宋体" w:hAnsi="宋体"/>
          <w:b/>
          <w:bCs/>
          <w:color w:val="auto"/>
          <w:sz w:val="32"/>
          <w:szCs w:val="32"/>
        </w:rPr>
      </w:pPr>
    </w:p>
    <w:p w14:paraId="2150EBE5">
      <w:pPr>
        <w:spacing w:line="360" w:lineRule="auto"/>
        <w:ind w:right="420"/>
        <w:contextualSpacing/>
        <w:jc w:val="left"/>
        <w:rPr>
          <w:rFonts w:hint="eastAsia" w:ascii="宋体" w:hAnsi="宋体"/>
          <w:b/>
          <w:bCs/>
          <w:color w:val="auto"/>
          <w:sz w:val="32"/>
          <w:szCs w:val="32"/>
        </w:rPr>
      </w:pPr>
    </w:p>
    <w:p w14:paraId="3876841D">
      <w:pPr>
        <w:spacing w:line="360" w:lineRule="auto"/>
        <w:ind w:right="420"/>
        <w:contextualSpacing/>
        <w:jc w:val="left"/>
        <w:rPr>
          <w:rFonts w:hint="eastAsia" w:ascii="宋体" w:hAnsi="宋体"/>
          <w:b/>
          <w:bCs/>
          <w:color w:val="auto"/>
          <w:sz w:val="32"/>
          <w:szCs w:val="32"/>
        </w:rPr>
      </w:pPr>
    </w:p>
    <w:p w14:paraId="35B710CC">
      <w:pPr>
        <w:spacing w:line="360" w:lineRule="auto"/>
        <w:ind w:right="420"/>
        <w:contextualSpacing/>
        <w:jc w:val="left"/>
        <w:rPr>
          <w:rFonts w:hint="eastAsia" w:ascii="宋体" w:hAnsi="宋体"/>
          <w:b/>
          <w:bCs/>
          <w:color w:val="auto"/>
          <w:sz w:val="32"/>
          <w:szCs w:val="32"/>
        </w:rPr>
      </w:pPr>
    </w:p>
    <w:p w14:paraId="4B0C27CB">
      <w:pPr>
        <w:spacing w:line="360" w:lineRule="auto"/>
        <w:ind w:right="420"/>
        <w:contextualSpacing/>
        <w:jc w:val="left"/>
        <w:rPr>
          <w:rFonts w:hint="eastAsia" w:ascii="宋体" w:hAnsi="宋体"/>
          <w:b/>
          <w:bCs/>
          <w:color w:val="auto"/>
          <w:sz w:val="32"/>
          <w:szCs w:val="32"/>
        </w:rPr>
      </w:pPr>
    </w:p>
    <w:p w14:paraId="2C5F6DBD">
      <w:pPr>
        <w:pStyle w:val="8"/>
        <w:rPr>
          <w:color w:val="auto"/>
        </w:rPr>
      </w:pPr>
    </w:p>
    <w:p w14:paraId="6401C114">
      <w:pPr>
        <w:pStyle w:val="8"/>
        <w:rPr>
          <w:color w:val="auto"/>
        </w:rPr>
      </w:pPr>
    </w:p>
    <w:p w14:paraId="3258F8CE">
      <w:pPr>
        <w:pStyle w:val="8"/>
        <w:rPr>
          <w:color w:val="auto"/>
        </w:rPr>
      </w:pPr>
    </w:p>
    <w:p w14:paraId="1A4DB6D4">
      <w:pPr>
        <w:pStyle w:val="8"/>
        <w:rPr>
          <w:color w:val="auto"/>
        </w:rPr>
      </w:pPr>
    </w:p>
    <w:p w14:paraId="326B9B23">
      <w:pPr>
        <w:pStyle w:val="8"/>
        <w:rPr>
          <w:color w:val="auto"/>
        </w:rPr>
      </w:pPr>
    </w:p>
    <w:p w14:paraId="652B696D">
      <w:pPr>
        <w:pStyle w:val="8"/>
        <w:rPr>
          <w:color w:val="auto"/>
        </w:rPr>
      </w:pPr>
    </w:p>
    <w:p w14:paraId="4D786106">
      <w:pPr>
        <w:pStyle w:val="8"/>
        <w:rPr>
          <w:color w:val="auto"/>
        </w:rPr>
      </w:pPr>
    </w:p>
    <w:p w14:paraId="1E2F08A3">
      <w:pPr>
        <w:pStyle w:val="8"/>
        <w:rPr>
          <w:color w:val="auto"/>
        </w:rPr>
      </w:pPr>
    </w:p>
    <w:p w14:paraId="0D6B0672">
      <w:pPr>
        <w:spacing w:line="360" w:lineRule="auto"/>
        <w:ind w:right="420"/>
        <w:contextualSpacing/>
        <w:jc w:val="left"/>
        <w:rPr>
          <w:rFonts w:hint="eastAsia" w:ascii="宋体" w:hAnsi="宋体"/>
          <w:b/>
          <w:color w:val="auto"/>
          <w:sz w:val="32"/>
          <w:szCs w:val="32"/>
        </w:rPr>
      </w:pPr>
      <w:r>
        <w:rPr>
          <w:rFonts w:hint="eastAsia" w:ascii="宋体" w:hAnsi="宋体"/>
          <w:b/>
          <w:bCs/>
          <w:color w:val="auto"/>
          <w:sz w:val="32"/>
          <w:szCs w:val="32"/>
        </w:rPr>
        <w:t>二、</w:t>
      </w:r>
      <w:r>
        <w:rPr>
          <w:rFonts w:hint="eastAsia" w:ascii="宋体" w:hAnsi="宋体"/>
          <w:b/>
          <w:color w:val="auto"/>
          <w:sz w:val="32"/>
          <w:szCs w:val="32"/>
        </w:rPr>
        <w:t xml:space="preserve">报价文件格式 </w:t>
      </w:r>
    </w:p>
    <w:p w14:paraId="5DE303DA">
      <w:pPr>
        <w:snapToGrid w:val="0"/>
        <w:spacing w:before="120" w:beforeLines="50" w:after="50" w:line="360" w:lineRule="auto"/>
        <w:jc w:val="left"/>
        <w:rPr>
          <w:rFonts w:hint="eastAsia" w:ascii="宋体" w:hAnsi="宋体"/>
          <w:b/>
          <w:color w:val="auto"/>
          <w:sz w:val="32"/>
          <w:szCs w:val="32"/>
        </w:rPr>
      </w:pPr>
      <w:r>
        <w:rPr>
          <w:rFonts w:hint="eastAsia" w:ascii="宋体" w:hAnsi="宋体"/>
          <w:b/>
          <w:color w:val="auto"/>
          <w:sz w:val="32"/>
          <w:szCs w:val="32"/>
        </w:rPr>
        <w:t>1.报价文件封面格式</w:t>
      </w:r>
    </w:p>
    <w:p w14:paraId="6917A420">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p>
    <w:p w14:paraId="4B0048F9">
      <w:pPr>
        <w:snapToGrid w:val="0"/>
        <w:spacing w:before="120" w:beforeLines="50" w:after="50"/>
        <w:jc w:val="center"/>
        <w:rPr>
          <w:rFonts w:hint="eastAsia" w:ascii="宋体" w:hAnsi="宋体"/>
          <w:color w:val="auto"/>
          <w:sz w:val="24"/>
          <w:szCs w:val="20"/>
        </w:rPr>
      </w:pPr>
      <w:r>
        <w:rPr>
          <w:rFonts w:hint="eastAsia" w:ascii="宋体" w:hAnsi="宋体"/>
          <w:color w:val="auto"/>
          <w:sz w:val="44"/>
          <w:szCs w:val="44"/>
        </w:rPr>
        <w:t>电 子 响 应 文 件</w:t>
      </w:r>
    </w:p>
    <w:p w14:paraId="64FC6121">
      <w:pPr>
        <w:snapToGrid w:val="0"/>
        <w:spacing w:before="120" w:beforeLines="50" w:after="50"/>
        <w:rPr>
          <w:rFonts w:hint="eastAsia" w:ascii="宋体" w:hAnsi="宋体"/>
          <w:color w:val="auto"/>
          <w:sz w:val="24"/>
          <w:szCs w:val="20"/>
        </w:rPr>
      </w:pPr>
    </w:p>
    <w:p w14:paraId="412725AD">
      <w:pPr>
        <w:snapToGrid w:val="0"/>
        <w:spacing w:before="120" w:beforeLines="50" w:after="50"/>
        <w:rPr>
          <w:rFonts w:hint="eastAsia" w:ascii="宋体" w:hAnsi="宋体"/>
          <w:color w:val="auto"/>
          <w:sz w:val="24"/>
          <w:szCs w:val="20"/>
        </w:rPr>
      </w:pPr>
    </w:p>
    <w:p w14:paraId="15DD2CE6">
      <w:pPr>
        <w:snapToGrid w:val="0"/>
        <w:spacing w:before="120" w:beforeLines="50" w:after="5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  价  文  件</w:t>
      </w:r>
    </w:p>
    <w:p w14:paraId="61103F3B">
      <w:pPr>
        <w:snapToGrid w:val="0"/>
        <w:spacing w:before="120" w:beforeLines="50" w:after="50"/>
        <w:rPr>
          <w:rFonts w:hint="eastAsia" w:ascii="宋体" w:hAnsi="宋体"/>
          <w:bCs/>
          <w:color w:val="auto"/>
          <w:sz w:val="24"/>
          <w:szCs w:val="20"/>
        </w:rPr>
      </w:pPr>
    </w:p>
    <w:p w14:paraId="4756A5CE">
      <w:pPr>
        <w:snapToGrid w:val="0"/>
        <w:spacing w:before="120" w:beforeLines="50" w:after="50"/>
        <w:rPr>
          <w:rFonts w:hint="eastAsia" w:ascii="宋体" w:hAnsi="宋体"/>
          <w:bCs/>
          <w:color w:val="auto"/>
          <w:sz w:val="24"/>
          <w:szCs w:val="20"/>
        </w:rPr>
      </w:pPr>
    </w:p>
    <w:p w14:paraId="6223B4D6">
      <w:pPr>
        <w:snapToGrid w:val="0"/>
        <w:spacing w:before="120" w:beforeLines="50" w:after="50"/>
        <w:rPr>
          <w:rFonts w:hint="eastAsia" w:ascii="宋体" w:hAnsi="宋体"/>
          <w:bCs/>
          <w:color w:val="auto"/>
          <w:sz w:val="24"/>
          <w:szCs w:val="20"/>
        </w:rPr>
      </w:pPr>
    </w:p>
    <w:p w14:paraId="0EDD7041">
      <w:pPr>
        <w:snapToGrid w:val="0"/>
        <w:spacing w:before="120" w:beforeLines="50" w:after="50"/>
        <w:rPr>
          <w:rFonts w:hint="eastAsia" w:ascii="宋体" w:hAnsi="宋体"/>
          <w:bCs/>
          <w:color w:val="auto"/>
          <w:sz w:val="24"/>
          <w:szCs w:val="20"/>
        </w:rPr>
      </w:pPr>
    </w:p>
    <w:p w14:paraId="6028206A">
      <w:pPr>
        <w:snapToGrid w:val="0"/>
        <w:spacing w:before="120" w:beforeLines="50" w:after="50"/>
        <w:rPr>
          <w:rFonts w:hint="eastAsia" w:ascii="宋体" w:hAnsi="宋体"/>
          <w:bCs/>
          <w:color w:val="auto"/>
          <w:sz w:val="24"/>
          <w:szCs w:val="20"/>
        </w:rPr>
      </w:pPr>
    </w:p>
    <w:p w14:paraId="7E706230">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3873C9EB">
      <w:pPr>
        <w:snapToGrid w:val="0"/>
        <w:spacing w:before="120" w:beforeLines="50" w:after="50"/>
        <w:ind w:firstLine="720" w:firstLineChars="225"/>
        <w:rPr>
          <w:rFonts w:hint="eastAsia" w:ascii="宋体" w:hAnsi="宋体" w:cs="仿宋_GB2312"/>
          <w:bCs/>
          <w:color w:val="auto"/>
          <w:sz w:val="32"/>
          <w:szCs w:val="32"/>
        </w:rPr>
      </w:pPr>
    </w:p>
    <w:p w14:paraId="4D160739">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61200127">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14:paraId="23D92124">
      <w:pPr>
        <w:snapToGrid w:val="0"/>
        <w:spacing w:before="120" w:beforeLines="50" w:after="50"/>
        <w:ind w:firstLine="720" w:firstLineChars="225"/>
        <w:rPr>
          <w:rFonts w:hint="eastAsia" w:ascii="宋体" w:hAnsi="宋体" w:cs="仿宋_GB2312"/>
          <w:bCs/>
          <w:color w:val="auto"/>
          <w:sz w:val="32"/>
          <w:szCs w:val="32"/>
        </w:rPr>
      </w:pPr>
    </w:p>
    <w:p w14:paraId="5BD9321A">
      <w:pPr>
        <w:pStyle w:val="8"/>
        <w:snapToGrid w:val="0"/>
        <w:spacing w:before="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3663E8FC">
      <w:pPr>
        <w:pStyle w:val="8"/>
        <w:snapToGrid w:val="0"/>
        <w:spacing w:before="50" w:after="50"/>
        <w:ind w:firstLine="640" w:firstLineChars="200"/>
        <w:rPr>
          <w:rFonts w:hint="eastAsia" w:ascii="宋体" w:hAnsi="宋体" w:cs="仿宋_GB2312"/>
          <w:bCs/>
          <w:color w:val="auto"/>
          <w:sz w:val="32"/>
          <w:szCs w:val="32"/>
        </w:rPr>
      </w:pPr>
    </w:p>
    <w:p w14:paraId="31EDE7B6">
      <w:pPr>
        <w:pStyle w:val="8"/>
        <w:snapToGrid w:val="0"/>
        <w:spacing w:before="50" w:after="50"/>
        <w:ind w:firstLine="720" w:firstLineChars="225"/>
        <w:rPr>
          <w:rFonts w:hint="eastAsia" w:ascii="宋体" w:hAnsi="宋体" w:cs="仿宋_GB2312"/>
          <w:bCs/>
          <w:color w:val="auto"/>
          <w:sz w:val="32"/>
          <w:szCs w:val="32"/>
        </w:rPr>
      </w:pPr>
    </w:p>
    <w:p w14:paraId="0EDEF4A2">
      <w:pPr>
        <w:pStyle w:val="8"/>
        <w:snapToGrid w:val="0"/>
        <w:spacing w:before="50" w:after="50"/>
        <w:ind w:firstLine="0"/>
        <w:rPr>
          <w:rFonts w:hint="eastAsia" w:ascii="宋体" w:hAnsi="宋体" w:cs="仿宋_GB2312"/>
          <w:bCs/>
          <w:color w:val="auto"/>
          <w:sz w:val="32"/>
          <w:szCs w:val="32"/>
        </w:rPr>
      </w:pPr>
    </w:p>
    <w:p w14:paraId="1A5B9138">
      <w:pPr>
        <w:pStyle w:val="8"/>
        <w:snapToGrid w:val="0"/>
        <w:spacing w:before="50" w:after="50"/>
        <w:ind w:firstLine="1280" w:firstLineChars="400"/>
        <w:rPr>
          <w:rFonts w:hint="eastAsia" w:ascii="宋体" w:hAnsi="宋体" w:cs="仿宋_GB2312"/>
          <w:bCs/>
          <w:color w:val="auto"/>
          <w:sz w:val="32"/>
          <w:szCs w:val="32"/>
        </w:rPr>
      </w:pPr>
    </w:p>
    <w:p w14:paraId="45DEC4D2">
      <w:pPr>
        <w:snapToGrid w:val="0"/>
        <w:spacing w:before="120"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0E317DF7">
      <w:pPr>
        <w:snapToGrid w:val="0"/>
        <w:spacing w:before="120" w:beforeLines="50" w:after="50" w:line="360" w:lineRule="auto"/>
        <w:ind w:left="142"/>
        <w:jc w:val="left"/>
        <w:rPr>
          <w:rFonts w:hint="eastAsia"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14:paraId="1BBA1FC2">
      <w:pPr>
        <w:spacing w:line="520" w:lineRule="exact"/>
        <w:jc w:val="center"/>
        <w:rPr>
          <w:rFonts w:hint="eastAsia" w:ascii="宋体" w:hAnsi="宋体" w:cs="方正小标宋简体"/>
          <w:b/>
          <w:bCs/>
          <w:color w:val="auto"/>
          <w:sz w:val="32"/>
          <w:szCs w:val="32"/>
        </w:rPr>
      </w:pPr>
      <w:r>
        <w:rPr>
          <w:rFonts w:hint="eastAsia" w:ascii="宋体" w:hAnsi="宋体"/>
          <w:color w:val="auto"/>
          <w:sz w:val="32"/>
          <w:szCs w:val="32"/>
        </w:rPr>
        <w:t>根据谈判文件规定及供应商提供的材料自行编写目录（部分格式后附）。</w:t>
      </w:r>
      <w:r>
        <w:rPr>
          <w:rFonts w:ascii="宋体" w:hAnsi="宋体"/>
          <w:b/>
          <w:bCs/>
          <w:color w:val="auto"/>
          <w:sz w:val="32"/>
          <w:szCs w:val="32"/>
        </w:rPr>
        <w:br w:type="page"/>
      </w:r>
      <w:r>
        <w:rPr>
          <w:rFonts w:hint="eastAsia" w:ascii="宋体" w:hAnsi="宋体" w:cs="方正小标宋简体"/>
          <w:b/>
          <w:bCs/>
          <w:color w:val="auto"/>
          <w:sz w:val="32"/>
          <w:szCs w:val="32"/>
        </w:rPr>
        <w:t>竞标函及竞标函附录</w:t>
      </w:r>
    </w:p>
    <w:p w14:paraId="4E6123B3">
      <w:pPr>
        <w:spacing w:line="520" w:lineRule="exact"/>
        <w:jc w:val="center"/>
        <w:rPr>
          <w:rFonts w:hint="eastAsia" w:ascii="宋体" w:hAnsi="宋体" w:cs="方正小标宋简体"/>
          <w:b/>
          <w:bCs/>
          <w:color w:val="auto"/>
          <w:sz w:val="32"/>
          <w:szCs w:val="32"/>
        </w:rPr>
      </w:pPr>
    </w:p>
    <w:p w14:paraId="7FA37C24">
      <w:pPr>
        <w:spacing w:line="520" w:lineRule="exact"/>
        <w:jc w:val="center"/>
        <w:rPr>
          <w:rFonts w:hint="eastAsia" w:ascii="宋体" w:hAnsi="宋体" w:cs="方正小标宋简体"/>
          <w:b/>
          <w:bCs/>
          <w:color w:val="auto"/>
          <w:sz w:val="32"/>
          <w:szCs w:val="32"/>
        </w:rPr>
      </w:pPr>
      <w:r>
        <w:rPr>
          <w:rFonts w:hint="eastAsia" w:ascii="宋体" w:hAnsi="宋体" w:cs="方正小标宋简体"/>
          <w:b/>
          <w:bCs/>
          <w:color w:val="auto"/>
          <w:sz w:val="32"/>
          <w:szCs w:val="32"/>
        </w:rPr>
        <w:t>（一）竞标函</w:t>
      </w:r>
    </w:p>
    <w:p w14:paraId="3DDE636B">
      <w:pPr>
        <w:spacing w:line="520" w:lineRule="exact"/>
        <w:jc w:val="center"/>
        <w:rPr>
          <w:rFonts w:hint="eastAsia" w:ascii="宋体" w:hAnsi="宋体" w:cs="方正小标宋简体"/>
          <w:b/>
          <w:bCs/>
          <w:color w:val="auto"/>
          <w:sz w:val="32"/>
          <w:szCs w:val="32"/>
        </w:rPr>
      </w:pPr>
    </w:p>
    <w:p w14:paraId="1798E0E8">
      <w:pPr>
        <w:spacing w:line="360" w:lineRule="auto"/>
        <w:rPr>
          <w:color w:val="auto"/>
          <w:szCs w:val="21"/>
        </w:rPr>
      </w:pP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w:t>
      </w:r>
      <w:r>
        <w:rPr>
          <w:rFonts w:hint="eastAsia"/>
          <w:color w:val="auto"/>
          <w:szCs w:val="21"/>
          <w:lang w:val="zh-CN" w:bidi="zh-CN"/>
        </w:rPr>
        <w:t>采购人</w:t>
      </w:r>
      <w:r>
        <w:rPr>
          <w:color w:val="auto"/>
          <w:szCs w:val="21"/>
          <w:lang w:val="zh-CN" w:bidi="zh-CN"/>
        </w:rPr>
        <w:t>名称</w:t>
      </w:r>
      <w:r>
        <w:rPr>
          <w:color w:val="auto"/>
          <w:szCs w:val="21"/>
        </w:rPr>
        <w:t>）：</w:t>
      </w:r>
    </w:p>
    <w:p w14:paraId="5EF8E05F">
      <w:pPr>
        <w:pStyle w:val="221"/>
        <w:numPr>
          <w:ilvl w:val="0"/>
          <w:numId w:val="1"/>
        </w:numPr>
        <w:tabs>
          <w:tab w:val="left" w:pos="762"/>
          <w:tab w:val="left" w:pos="2074"/>
          <w:tab w:val="left" w:pos="3430"/>
          <w:tab w:val="left" w:pos="4687"/>
          <w:tab w:val="left" w:pos="7898"/>
        </w:tabs>
        <w:ind w:firstLine="440"/>
        <w:rPr>
          <w:rFonts w:ascii="Times New Roman" w:hAnsi="Times New Roman" w:cs="Times New Roman"/>
          <w:color w:val="auto"/>
          <w:szCs w:val="21"/>
        </w:rPr>
      </w:pPr>
      <w:bookmarkStart w:id="91" w:name="bookmark2065"/>
      <w:bookmarkEnd w:id="91"/>
      <w:r>
        <w:rPr>
          <w:rFonts w:ascii="Times New Roman" w:hAnsi="Times New Roman" w:cs="Times New Roman"/>
          <w:color w:val="auto"/>
          <w:szCs w:val="21"/>
        </w:rPr>
        <w:t>我方已仔细研究了</w:t>
      </w:r>
      <w:r>
        <w:rPr>
          <w:rFonts w:hint="eastAsia" w:ascii="Times New Roman" w:hAnsi="Times New Roman" w:cs="Times New Roman"/>
          <w:color w:val="auto"/>
          <w:szCs w:val="21"/>
          <w:u w:val="single"/>
          <w:lang w:val="en-US"/>
        </w:rPr>
        <w:t xml:space="preserve">           </w:t>
      </w:r>
      <w:r>
        <w:rPr>
          <w:rFonts w:ascii="Times New Roman" w:hAnsi="Times New Roman" w:cs="Times New Roman"/>
          <w:color w:val="auto"/>
          <w:szCs w:val="21"/>
          <w:u w:val="single"/>
        </w:rPr>
        <w:t>（项目名称</w:t>
      </w:r>
      <w:r>
        <w:rPr>
          <w:rFonts w:hint="eastAsia" w:ascii="Times New Roman" w:hAnsi="Times New Roman" w:cs="Times New Roman"/>
          <w:color w:val="auto"/>
          <w:szCs w:val="21"/>
          <w:u w:val="single"/>
        </w:rPr>
        <w:t>、项目编号</w:t>
      </w:r>
      <w:r>
        <w:rPr>
          <w:rFonts w:ascii="Times New Roman" w:hAnsi="Times New Roman" w:cs="Times New Roman"/>
          <w:color w:val="auto"/>
          <w:szCs w:val="21"/>
          <w:u w:val="single"/>
        </w:rPr>
        <w:t>）</w:t>
      </w:r>
      <w:r>
        <w:rPr>
          <w:rFonts w:hint="eastAsia" w:ascii="Times New Roman" w:hAnsi="Times New Roman" w:cs="Times New Roman"/>
          <w:color w:val="auto"/>
          <w:szCs w:val="21"/>
          <w:u w:val="single"/>
          <w:lang w:val="en-US"/>
        </w:rPr>
        <w:t xml:space="preserve">          </w:t>
      </w:r>
      <w:r>
        <w:rPr>
          <w:rFonts w:hint="eastAsia" w:ascii="Times New Roman" w:hAnsi="Times New Roman" w:cs="Times New Roman"/>
          <w:color w:val="auto"/>
          <w:szCs w:val="21"/>
        </w:rPr>
        <w:t>谈判</w:t>
      </w:r>
      <w:r>
        <w:rPr>
          <w:rFonts w:ascii="Times New Roman" w:hAnsi="Times New Roman" w:cs="Times New Roman"/>
          <w:color w:val="auto"/>
          <w:szCs w:val="21"/>
        </w:rPr>
        <w:t>文件的全部内容，愿意以人民币（大写）</w:t>
      </w:r>
      <w:r>
        <w:rPr>
          <w:rFonts w:hint="eastAsia" w:ascii="Times New Roman" w:hAnsi="Times New Roman" w:cs="Times New Roman"/>
          <w:color w:val="auto"/>
          <w:szCs w:val="21"/>
          <w:u w:val="single"/>
          <w:lang w:val="en-US"/>
        </w:rPr>
        <w:t xml:space="preserve">            </w:t>
      </w:r>
      <w:r>
        <w:rPr>
          <w:rFonts w:ascii="Times New Roman" w:hAnsi="Times New Roman" w:cs="Times New Roman"/>
          <w:color w:val="auto"/>
          <w:szCs w:val="21"/>
        </w:rPr>
        <w:t>元（¥</w:t>
      </w:r>
      <w:r>
        <w:rPr>
          <w:rFonts w:hint="eastAsia" w:ascii="Times New Roman" w:hAnsi="Times New Roman" w:cs="Times New Roman"/>
          <w:color w:val="auto"/>
          <w:szCs w:val="21"/>
          <w:u w:val="single"/>
          <w:lang w:val="en-US"/>
        </w:rPr>
        <w:t xml:space="preserve">        </w:t>
      </w:r>
      <w:r>
        <w:rPr>
          <w:rFonts w:ascii="Times New Roman" w:hAnsi="Times New Roman" w:cs="Times New Roman"/>
          <w:color w:val="auto"/>
          <w:szCs w:val="21"/>
        </w:rPr>
        <w:t>）的</w:t>
      </w:r>
      <w:r>
        <w:rPr>
          <w:rFonts w:hint="eastAsia" w:ascii="Times New Roman" w:hAnsi="Times New Roman" w:cs="Times New Roman"/>
          <w:color w:val="auto"/>
          <w:szCs w:val="21"/>
        </w:rPr>
        <w:t>竞</w:t>
      </w:r>
      <w:r>
        <w:rPr>
          <w:rFonts w:ascii="Times New Roman" w:hAnsi="Times New Roman" w:cs="Times New Roman"/>
          <w:color w:val="auto"/>
          <w:szCs w:val="21"/>
        </w:rPr>
        <w:t>标总报价，工期</w:t>
      </w:r>
      <w:r>
        <w:rPr>
          <w:rFonts w:hint="eastAsia" w:ascii="Times New Roman" w:hAnsi="Times New Roman" w:cs="Times New Roman"/>
          <w:color w:val="auto"/>
          <w:szCs w:val="21"/>
          <w:u w:val="single"/>
          <w:lang w:val="en-US"/>
        </w:rPr>
        <w:t xml:space="preserve">                </w:t>
      </w:r>
      <w:r>
        <w:rPr>
          <w:rFonts w:ascii="Times New Roman" w:hAnsi="Times New Roman" w:cs="Times New Roman"/>
          <w:color w:val="auto"/>
          <w:szCs w:val="21"/>
        </w:rPr>
        <w:t>，按合同约定实施和完成承包工程，修补工程中的任何缺陷，工程质量达到</w:t>
      </w:r>
      <w:r>
        <w:rPr>
          <w:rFonts w:hint="eastAsia" w:ascii="Times New Roman" w:hAnsi="Times New Roman" w:cs="Times New Roman"/>
          <w:color w:val="auto"/>
          <w:szCs w:val="21"/>
          <w:u w:val="single"/>
          <w:lang w:val="en-US"/>
        </w:rPr>
        <w:t xml:space="preserve">           </w:t>
      </w:r>
      <w:r>
        <w:rPr>
          <w:rFonts w:ascii="Times New Roman" w:hAnsi="Times New Roman" w:cs="Times New Roman"/>
          <w:color w:val="auto"/>
          <w:szCs w:val="21"/>
          <w:u w:val="single"/>
        </w:rPr>
        <w:t xml:space="preserve"> </w:t>
      </w:r>
      <w:r>
        <w:rPr>
          <w:rFonts w:ascii="Times New Roman" w:hAnsi="Times New Roman" w:cs="Times New Roman"/>
          <w:color w:val="auto"/>
          <w:szCs w:val="21"/>
          <w:lang w:val="en-US" w:bidi="en-US"/>
        </w:rPr>
        <w:t>。</w:t>
      </w:r>
    </w:p>
    <w:p w14:paraId="0CC49048">
      <w:pPr>
        <w:pStyle w:val="221"/>
        <w:numPr>
          <w:ilvl w:val="0"/>
          <w:numId w:val="1"/>
        </w:numPr>
        <w:tabs>
          <w:tab w:val="left" w:pos="762"/>
        </w:tabs>
        <w:ind w:firstLine="420"/>
        <w:rPr>
          <w:rFonts w:ascii="Times New Roman" w:hAnsi="Times New Roman" w:cs="Times New Roman"/>
          <w:color w:val="auto"/>
          <w:szCs w:val="21"/>
        </w:rPr>
      </w:pPr>
      <w:bookmarkStart w:id="92" w:name="bookmark2066"/>
      <w:bookmarkEnd w:id="92"/>
      <w:bookmarkStart w:id="93" w:name="bookmark2067"/>
      <w:bookmarkEnd w:id="93"/>
      <w:bookmarkStart w:id="94" w:name="bookmark2068"/>
      <w:bookmarkEnd w:id="94"/>
      <w:r>
        <w:rPr>
          <w:rFonts w:hint="eastAsia"/>
          <w:color w:val="auto"/>
        </w:rPr>
        <w:t>我方承认竞标函附录是我方竞标函的组成部分。</w:t>
      </w:r>
    </w:p>
    <w:p w14:paraId="6BDFBF9E">
      <w:pPr>
        <w:pStyle w:val="221"/>
        <w:numPr>
          <w:ilvl w:val="0"/>
          <w:numId w:val="1"/>
        </w:numPr>
        <w:tabs>
          <w:tab w:val="left" w:pos="762"/>
        </w:tabs>
        <w:ind w:firstLine="420"/>
        <w:rPr>
          <w:rFonts w:ascii="Times New Roman" w:hAnsi="Times New Roman" w:cs="Times New Roman"/>
          <w:color w:val="auto"/>
          <w:szCs w:val="21"/>
        </w:rPr>
      </w:pPr>
      <w:r>
        <w:rPr>
          <w:rFonts w:ascii="Times New Roman" w:hAnsi="Times New Roman" w:cs="Times New Roman"/>
          <w:color w:val="auto"/>
          <w:szCs w:val="21"/>
        </w:rPr>
        <w:t>如我方</w:t>
      </w:r>
      <w:r>
        <w:rPr>
          <w:rFonts w:hint="eastAsia" w:ascii="Times New Roman" w:hAnsi="Times New Roman" w:cs="Times New Roman"/>
          <w:color w:val="auto"/>
          <w:szCs w:val="21"/>
        </w:rPr>
        <w:t>成交</w:t>
      </w:r>
      <w:r>
        <w:rPr>
          <w:rFonts w:ascii="Times New Roman" w:hAnsi="Times New Roman" w:cs="Times New Roman"/>
          <w:color w:val="auto"/>
          <w:szCs w:val="21"/>
        </w:rPr>
        <w:t>：</w:t>
      </w:r>
    </w:p>
    <w:p w14:paraId="01C709B6">
      <w:pPr>
        <w:pStyle w:val="221"/>
        <w:tabs>
          <w:tab w:val="left" w:pos="903"/>
        </w:tabs>
        <w:ind w:firstLine="420"/>
        <w:rPr>
          <w:rFonts w:ascii="Times New Roman" w:hAnsi="Times New Roman" w:cs="Times New Roman"/>
          <w:color w:val="auto"/>
          <w:szCs w:val="21"/>
        </w:rPr>
      </w:pPr>
      <w:bookmarkStart w:id="95" w:name="bookmark2069"/>
      <w:r>
        <w:rPr>
          <w:rFonts w:ascii="Times New Roman" w:hAnsi="Times New Roman" w:cs="Times New Roman"/>
          <w:color w:val="auto"/>
          <w:szCs w:val="21"/>
        </w:rPr>
        <w:t>（</w:t>
      </w:r>
      <w:bookmarkEnd w:id="95"/>
      <w:r>
        <w:rPr>
          <w:rFonts w:ascii="Times New Roman" w:hAnsi="Times New Roman" w:cs="Times New Roman"/>
          <w:color w:val="auto"/>
          <w:szCs w:val="21"/>
        </w:rPr>
        <w:t>1）我方承诺在收到</w:t>
      </w:r>
      <w:r>
        <w:rPr>
          <w:rFonts w:hint="eastAsia" w:ascii="Times New Roman" w:hAnsi="Times New Roman" w:cs="Times New Roman"/>
          <w:color w:val="auto"/>
          <w:szCs w:val="21"/>
        </w:rPr>
        <w:t>成交</w:t>
      </w:r>
      <w:r>
        <w:rPr>
          <w:rFonts w:ascii="Times New Roman" w:hAnsi="Times New Roman" w:cs="Times New Roman"/>
          <w:color w:val="auto"/>
          <w:szCs w:val="21"/>
        </w:rPr>
        <w:t>通知书后，在</w:t>
      </w:r>
      <w:r>
        <w:rPr>
          <w:rFonts w:hint="eastAsia" w:ascii="Times New Roman" w:hAnsi="Times New Roman" w:cs="Times New Roman"/>
          <w:color w:val="auto"/>
          <w:szCs w:val="21"/>
        </w:rPr>
        <w:t>成交</w:t>
      </w:r>
      <w:r>
        <w:rPr>
          <w:rFonts w:ascii="Times New Roman" w:hAnsi="Times New Roman" w:cs="Times New Roman"/>
          <w:color w:val="auto"/>
          <w:szCs w:val="21"/>
        </w:rPr>
        <w:t>通知书规定的期限内与你方签订合同。</w:t>
      </w:r>
    </w:p>
    <w:p w14:paraId="4BCC4197">
      <w:pPr>
        <w:pStyle w:val="221"/>
        <w:tabs>
          <w:tab w:val="left" w:pos="903"/>
        </w:tabs>
        <w:ind w:firstLine="420"/>
        <w:rPr>
          <w:rFonts w:ascii="Times New Roman" w:hAnsi="Times New Roman" w:cs="Times New Roman"/>
          <w:color w:val="auto"/>
          <w:szCs w:val="21"/>
        </w:rPr>
      </w:pPr>
      <w:bookmarkStart w:id="96" w:name="bookmark2070"/>
      <w:r>
        <w:rPr>
          <w:rFonts w:ascii="Times New Roman" w:hAnsi="Times New Roman" w:cs="Times New Roman"/>
          <w:color w:val="auto"/>
          <w:szCs w:val="21"/>
        </w:rPr>
        <w:t>（</w:t>
      </w:r>
      <w:bookmarkEnd w:id="96"/>
      <w:r>
        <w:rPr>
          <w:rFonts w:ascii="Times New Roman" w:hAnsi="Times New Roman" w:cs="Times New Roman"/>
          <w:color w:val="auto"/>
          <w:szCs w:val="21"/>
        </w:rPr>
        <w:t>2）</w:t>
      </w:r>
      <w:r>
        <w:rPr>
          <w:color w:val="auto"/>
        </w:rPr>
        <w:t>在签订合同时不向你方提出附加条件</w:t>
      </w:r>
      <w:r>
        <w:rPr>
          <w:rFonts w:ascii="Times New Roman" w:hAnsi="Times New Roman" w:cs="Times New Roman"/>
          <w:color w:val="auto"/>
          <w:szCs w:val="21"/>
        </w:rPr>
        <w:t>。</w:t>
      </w:r>
    </w:p>
    <w:p w14:paraId="75FD19B8">
      <w:pPr>
        <w:pStyle w:val="221"/>
        <w:tabs>
          <w:tab w:val="left" w:pos="903"/>
        </w:tabs>
        <w:ind w:firstLine="420"/>
        <w:rPr>
          <w:rFonts w:ascii="Times New Roman" w:hAnsi="Times New Roman" w:cs="Times New Roman"/>
          <w:color w:val="auto"/>
          <w:szCs w:val="21"/>
        </w:rPr>
      </w:pPr>
      <w:bookmarkStart w:id="97" w:name="bookmark2071"/>
      <w:r>
        <w:rPr>
          <w:rFonts w:ascii="Times New Roman" w:hAnsi="Times New Roman" w:cs="Times New Roman"/>
          <w:color w:val="auto"/>
          <w:szCs w:val="21"/>
        </w:rPr>
        <w:t>（</w:t>
      </w:r>
      <w:bookmarkEnd w:id="97"/>
      <w:r>
        <w:rPr>
          <w:rFonts w:ascii="Times New Roman" w:hAnsi="Times New Roman" w:cs="Times New Roman"/>
          <w:color w:val="auto"/>
          <w:szCs w:val="21"/>
        </w:rPr>
        <w:t>3）我方承诺按照</w:t>
      </w:r>
      <w:r>
        <w:rPr>
          <w:rFonts w:hint="eastAsia" w:ascii="Times New Roman" w:hAnsi="Times New Roman" w:cs="Times New Roman"/>
          <w:color w:val="auto"/>
          <w:szCs w:val="21"/>
        </w:rPr>
        <w:t>谈判</w:t>
      </w:r>
      <w:r>
        <w:rPr>
          <w:rFonts w:ascii="Times New Roman" w:hAnsi="Times New Roman" w:cs="Times New Roman"/>
          <w:color w:val="auto"/>
          <w:szCs w:val="21"/>
        </w:rPr>
        <w:t>文件规定向你方递交履约担保。</w:t>
      </w:r>
    </w:p>
    <w:p w14:paraId="09D08CDA">
      <w:pPr>
        <w:pStyle w:val="221"/>
        <w:tabs>
          <w:tab w:val="left" w:pos="903"/>
        </w:tabs>
        <w:ind w:firstLine="420"/>
        <w:rPr>
          <w:rFonts w:ascii="Times New Roman" w:hAnsi="Times New Roman" w:cs="Times New Roman"/>
          <w:color w:val="auto"/>
          <w:szCs w:val="21"/>
        </w:rPr>
      </w:pPr>
      <w:bookmarkStart w:id="98" w:name="bookmark2072"/>
      <w:r>
        <w:rPr>
          <w:rFonts w:ascii="Times New Roman" w:hAnsi="Times New Roman" w:cs="Times New Roman"/>
          <w:color w:val="auto"/>
          <w:szCs w:val="21"/>
        </w:rPr>
        <w:t>（</w:t>
      </w:r>
      <w:bookmarkEnd w:id="98"/>
      <w:r>
        <w:rPr>
          <w:rFonts w:ascii="Times New Roman" w:hAnsi="Times New Roman" w:cs="Times New Roman"/>
          <w:color w:val="auto"/>
          <w:szCs w:val="21"/>
        </w:rPr>
        <w:t>4）我方承诺在合同约定的期限内完成并移交全部合同工程。</w:t>
      </w:r>
    </w:p>
    <w:p w14:paraId="20B834FB">
      <w:pPr>
        <w:pStyle w:val="221"/>
        <w:numPr>
          <w:ilvl w:val="0"/>
          <w:numId w:val="1"/>
        </w:numPr>
        <w:tabs>
          <w:tab w:val="left" w:pos="762"/>
        </w:tabs>
        <w:ind w:firstLine="440"/>
        <w:rPr>
          <w:rFonts w:ascii="Times New Roman" w:hAnsi="Times New Roman" w:cs="Times New Roman"/>
          <w:color w:val="auto"/>
          <w:szCs w:val="21"/>
        </w:rPr>
      </w:pPr>
      <w:bookmarkStart w:id="99" w:name="bookmark2073"/>
      <w:bookmarkEnd w:id="99"/>
      <w:r>
        <w:rPr>
          <w:color w:val="auto"/>
        </w:rPr>
        <w:t>在合同协议书正式签署生效之前，本</w:t>
      </w:r>
      <w:r>
        <w:rPr>
          <w:rFonts w:hint="eastAsia" w:ascii="Times New Roman" w:hAnsi="Times New Roman" w:cs="Times New Roman"/>
          <w:color w:val="auto"/>
          <w:szCs w:val="21"/>
        </w:rPr>
        <w:t>竞</w:t>
      </w:r>
      <w:r>
        <w:rPr>
          <w:rFonts w:ascii="Times New Roman" w:hAnsi="Times New Roman" w:cs="Times New Roman"/>
          <w:color w:val="auto"/>
          <w:szCs w:val="21"/>
        </w:rPr>
        <w:t>标</w:t>
      </w:r>
      <w:r>
        <w:rPr>
          <w:color w:val="auto"/>
        </w:rPr>
        <w:t>函连同你方的</w:t>
      </w:r>
      <w:r>
        <w:rPr>
          <w:rFonts w:hint="eastAsia"/>
          <w:color w:val="auto"/>
        </w:rPr>
        <w:t>成交</w:t>
      </w:r>
      <w:r>
        <w:rPr>
          <w:color w:val="auto"/>
        </w:rPr>
        <w:t>通知书将构成我们双方之间共同遵守的文件，对双方具有约束力</w:t>
      </w:r>
      <w:r>
        <w:rPr>
          <w:rFonts w:ascii="Times New Roman" w:hAnsi="Times New Roman" w:cs="Times New Roman"/>
          <w:color w:val="auto"/>
          <w:szCs w:val="21"/>
        </w:rPr>
        <w:t>。</w:t>
      </w:r>
    </w:p>
    <w:p w14:paraId="55D533FC">
      <w:pPr>
        <w:spacing w:line="320" w:lineRule="exact"/>
        <w:ind w:firstLine="420"/>
        <w:rPr>
          <w:rFonts w:hint="eastAsia" w:ascii="宋体" w:hAnsi="宋体" w:cs="宋体"/>
          <w:color w:val="auto"/>
          <w:kern w:val="0"/>
          <w:szCs w:val="20"/>
        </w:rPr>
      </w:pPr>
      <w:r>
        <w:rPr>
          <w:rFonts w:hint="eastAsia" w:ascii="宋体" w:hAnsi="宋体"/>
          <w:color w:val="auto"/>
          <w:szCs w:val="21"/>
        </w:rPr>
        <w:t>5.</w:t>
      </w:r>
      <w:r>
        <w:rPr>
          <w:rFonts w:hint="eastAsia" w:ascii="宋体" w:hAnsi="宋体" w:cs="宋体"/>
          <w:color w:val="auto"/>
          <w:kern w:val="0"/>
          <w:szCs w:val="20"/>
        </w:rPr>
        <w:t>如我方成交，我方保证在领取成交通知书前，按本项目竞争性谈判文件的规定及标准向贵单位一次性足额支付代理服务费。</w:t>
      </w:r>
    </w:p>
    <w:p w14:paraId="6F382A3A">
      <w:pPr>
        <w:spacing w:line="360" w:lineRule="auto"/>
        <w:ind w:firstLine="420" w:firstLineChars="200"/>
        <w:rPr>
          <w:color w:val="auto"/>
          <w:szCs w:val="21"/>
        </w:rPr>
      </w:pPr>
      <w:bookmarkStart w:id="100" w:name="bookmark2074"/>
      <w:bookmarkEnd w:id="100"/>
      <w:r>
        <w:rPr>
          <w:rFonts w:hint="eastAsia"/>
          <w:color w:val="auto"/>
          <w:szCs w:val="21"/>
        </w:rPr>
        <w:t>6.</w:t>
      </w:r>
      <w:r>
        <w:rPr>
          <w:rFonts w:hint="eastAsia"/>
          <w:color w:val="auto"/>
          <w:szCs w:val="21"/>
          <w:u w:val="single"/>
        </w:rPr>
        <w:t xml:space="preserve">                                                   </w:t>
      </w:r>
      <w:r>
        <w:rPr>
          <w:color w:val="auto"/>
          <w:szCs w:val="21"/>
        </w:rPr>
        <w:t>（其他补充说明）。</w:t>
      </w:r>
    </w:p>
    <w:p w14:paraId="58B8F18C">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法定代表人或者委托代理人（签字或者电子签名）：                    </w:t>
      </w:r>
    </w:p>
    <w:p w14:paraId="4A177913">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供应商（电子签章）：      </w:t>
      </w:r>
    </w:p>
    <w:p w14:paraId="018CB95B">
      <w:pPr>
        <w:spacing w:line="360" w:lineRule="auto"/>
        <w:jc w:val="center"/>
        <w:rPr>
          <w:rFonts w:hint="eastAsia" w:ascii="宋体" w:hAnsi="宋体" w:cs="方正小标宋简体"/>
          <w:b/>
          <w:bCs/>
          <w:color w:val="auto"/>
          <w:sz w:val="32"/>
          <w:szCs w:val="32"/>
        </w:rPr>
      </w:pPr>
      <w:r>
        <w:rPr>
          <w:rFonts w:hint="eastAsia" w:ascii="宋体" w:hAnsi="宋体" w:cs="仿宋_GB2312"/>
          <w:color w:val="auto"/>
          <w:sz w:val="24"/>
        </w:rPr>
        <w:t>日期：   年   月   日</w:t>
      </w:r>
      <w:r>
        <w:rPr>
          <w:rFonts w:ascii="宋体" w:hAnsi="宋体" w:cs="方正小标宋简体"/>
          <w:b/>
          <w:bCs/>
          <w:color w:val="auto"/>
          <w:sz w:val="32"/>
          <w:szCs w:val="32"/>
        </w:rPr>
        <w:br w:type="page"/>
      </w:r>
      <w:r>
        <w:rPr>
          <w:rFonts w:hint="eastAsia" w:ascii="宋体" w:hAnsi="宋体" w:cs="方正小标宋简体"/>
          <w:b/>
          <w:bCs/>
          <w:color w:val="auto"/>
          <w:sz w:val="32"/>
          <w:szCs w:val="32"/>
        </w:rPr>
        <w:t>（二）竞标函附录</w:t>
      </w:r>
    </w:p>
    <w:tbl>
      <w:tblPr>
        <w:tblStyle w:val="4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044A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EAF774F">
            <w:pPr>
              <w:jc w:val="center"/>
              <w:rPr>
                <w:color w:val="auto"/>
              </w:rPr>
            </w:pPr>
            <w:r>
              <w:rPr>
                <w:rFonts w:hint="eastAsia" w:cs="宋体"/>
                <w:color w:val="auto"/>
              </w:rPr>
              <w:t>序</w:t>
            </w:r>
            <w:r>
              <w:rPr>
                <w:color w:val="auto"/>
              </w:rPr>
              <w:t xml:space="preserve"> </w:t>
            </w:r>
            <w:r>
              <w:rPr>
                <w:rFonts w:hint="eastAsia" w:cs="宋体"/>
                <w:color w:val="auto"/>
              </w:rPr>
              <w:t>号</w:t>
            </w:r>
          </w:p>
        </w:tc>
        <w:tc>
          <w:tcPr>
            <w:tcW w:w="1985" w:type="dxa"/>
            <w:vAlign w:val="center"/>
          </w:tcPr>
          <w:p w14:paraId="7C80BB5B">
            <w:pPr>
              <w:jc w:val="center"/>
              <w:rPr>
                <w:color w:val="auto"/>
              </w:rPr>
            </w:pPr>
            <w:r>
              <w:rPr>
                <w:rFonts w:hint="eastAsia" w:cs="宋体"/>
                <w:color w:val="auto"/>
              </w:rPr>
              <w:t>条款内容</w:t>
            </w:r>
          </w:p>
        </w:tc>
        <w:tc>
          <w:tcPr>
            <w:tcW w:w="2126" w:type="dxa"/>
            <w:vAlign w:val="center"/>
          </w:tcPr>
          <w:p w14:paraId="71A09D76">
            <w:pPr>
              <w:jc w:val="center"/>
              <w:rPr>
                <w:color w:val="auto"/>
              </w:rPr>
            </w:pPr>
            <w:r>
              <w:rPr>
                <w:rFonts w:hint="eastAsia" w:cs="宋体"/>
                <w:color w:val="auto"/>
              </w:rPr>
              <w:t>合同条款号</w:t>
            </w:r>
          </w:p>
        </w:tc>
        <w:tc>
          <w:tcPr>
            <w:tcW w:w="1984" w:type="dxa"/>
            <w:vAlign w:val="center"/>
          </w:tcPr>
          <w:p w14:paraId="39C5A2CA">
            <w:pPr>
              <w:jc w:val="center"/>
              <w:rPr>
                <w:color w:val="auto"/>
              </w:rPr>
            </w:pPr>
            <w:r>
              <w:rPr>
                <w:rFonts w:hint="eastAsia" w:cs="宋体"/>
                <w:color w:val="auto"/>
              </w:rPr>
              <w:t>约定内容</w:t>
            </w:r>
          </w:p>
        </w:tc>
        <w:tc>
          <w:tcPr>
            <w:tcW w:w="1843" w:type="dxa"/>
            <w:vAlign w:val="center"/>
          </w:tcPr>
          <w:p w14:paraId="6E030103">
            <w:pPr>
              <w:jc w:val="center"/>
              <w:rPr>
                <w:color w:val="auto"/>
              </w:rPr>
            </w:pPr>
            <w:r>
              <w:rPr>
                <w:rFonts w:hint="eastAsia" w:cs="宋体"/>
                <w:color w:val="auto"/>
              </w:rPr>
              <w:t>供应商响应情况</w:t>
            </w:r>
          </w:p>
        </w:tc>
      </w:tr>
      <w:tr w14:paraId="17C1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34B5468">
            <w:pPr>
              <w:jc w:val="center"/>
              <w:rPr>
                <w:color w:val="auto"/>
              </w:rPr>
            </w:pPr>
            <w:r>
              <w:rPr>
                <w:color w:val="auto"/>
              </w:rPr>
              <w:t>1</w:t>
            </w:r>
          </w:p>
        </w:tc>
        <w:tc>
          <w:tcPr>
            <w:tcW w:w="1985" w:type="dxa"/>
            <w:vAlign w:val="center"/>
          </w:tcPr>
          <w:p w14:paraId="3BF1F68B">
            <w:pPr>
              <w:rPr>
                <w:color w:val="auto"/>
              </w:rPr>
            </w:pPr>
            <w:r>
              <w:rPr>
                <w:rFonts w:hint="eastAsia" w:cs="宋体"/>
                <w:color w:val="auto"/>
              </w:rPr>
              <w:t>项目经理（即责任工程师）</w:t>
            </w:r>
          </w:p>
        </w:tc>
        <w:tc>
          <w:tcPr>
            <w:tcW w:w="2126" w:type="dxa"/>
            <w:tcMar>
              <w:left w:w="170" w:type="dxa"/>
            </w:tcMar>
            <w:vAlign w:val="center"/>
          </w:tcPr>
          <w:p w14:paraId="4C8C0764">
            <w:pPr>
              <w:jc w:val="center"/>
              <w:rPr>
                <w:color w:val="auto"/>
              </w:rPr>
            </w:pPr>
            <w:r>
              <w:rPr>
                <w:rFonts w:hint="eastAsia" w:cs="宋体"/>
                <w:color w:val="auto"/>
              </w:rPr>
              <w:t>专用条款</w:t>
            </w:r>
          </w:p>
        </w:tc>
        <w:tc>
          <w:tcPr>
            <w:tcW w:w="1984" w:type="dxa"/>
            <w:vAlign w:val="center"/>
          </w:tcPr>
          <w:p w14:paraId="33045973">
            <w:pPr>
              <w:rPr>
                <w:color w:val="auto"/>
              </w:rPr>
            </w:pPr>
            <w:r>
              <w:rPr>
                <w:rFonts w:hint="eastAsia" w:cs="宋体"/>
                <w:color w:val="auto"/>
              </w:rPr>
              <w:t>姓名：</w:t>
            </w:r>
            <w:r>
              <w:rPr>
                <w:color w:val="auto"/>
                <w:u w:val="single"/>
              </w:rPr>
              <w:t xml:space="preserve">          </w:t>
            </w:r>
          </w:p>
        </w:tc>
        <w:tc>
          <w:tcPr>
            <w:tcW w:w="1843" w:type="dxa"/>
            <w:vAlign w:val="center"/>
          </w:tcPr>
          <w:p w14:paraId="48E86D9D">
            <w:pPr>
              <w:jc w:val="center"/>
              <w:rPr>
                <w:color w:val="auto"/>
              </w:rPr>
            </w:pPr>
          </w:p>
        </w:tc>
      </w:tr>
      <w:tr w14:paraId="655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7E9748F">
            <w:pPr>
              <w:jc w:val="center"/>
              <w:rPr>
                <w:color w:val="auto"/>
              </w:rPr>
            </w:pPr>
            <w:r>
              <w:rPr>
                <w:color w:val="auto"/>
              </w:rPr>
              <w:t>2</w:t>
            </w:r>
          </w:p>
        </w:tc>
        <w:tc>
          <w:tcPr>
            <w:tcW w:w="1985" w:type="dxa"/>
            <w:vAlign w:val="center"/>
          </w:tcPr>
          <w:p w14:paraId="222948CD">
            <w:pPr>
              <w:rPr>
                <w:color w:val="auto"/>
              </w:rPr>
            </w:pPr>
            <w:r>
              <w:rPr>
                <w:rFonts w:hint="eastAsia" w:cs="宋体"/>
                <w:color w:val="auto"/>
              </w:rPr>
              <w:t>竞标有效期</w:t>
            </w:r>
          </w:p>
        </w:tc>
        <w:tc>
          <w:tcPr>
            <w:tcW w:w="2126" w:type="dxa"/>
            <w:tcMar>
              <w:left w:w="170" w:type="dxa"/>
            </w:tcMar>
            <w:vAlign w:val="center"/>
          </w:tcPr>
          <w:p w14:paraId="24DA9274">
            <w:pPr>
              <w:rPr>
                <w:color w:val="auto"/>
              </w:rPr>
            </w:pPr>
          </w:p>
        </w:tc>
        <w:tc>
          <w:tcPr>
            <w:tcW w:w="1984" w:type="dxa"/>
            <w:vAlign w:val="center"/>
          </w:tcPr>
          <w:p w14:paraId="70312588">
            <w:pPr>
              <w:jc w:val="center"/>
              <w:rPr>
                <w:color w:val="auto"/>
                <w:u w:val="single"/>
              </w:rPr>
            </w:pPr>
          </w:p>
        </w:tc>
        <w:tc>
          <w:tcPr>
            <w:tcW w:w="1843" w:type="dxa"/>
            <w:vAlign w:val="center"/>
          </w:tcPr>
          <w:p w14:paraId="2879D7DB">
            <w:pPr>
              <w:jc w:val="center"/>
              <w:rPr>
                <w:color w:val="auto"/>
              </w:rPr>
            </w:pPr>
          </w:p>
        </w:tc>
      </w:tr>
      <w:tr w14:paraId="0F4A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39FE993">
            <w:pPr>
              <w:jc w:val="center"/>
              <w:rPr>
                <w:color w:val="auto"/>
              </w:rPr>
            </w:pPr>
            <w:r>
              <w:rPr>
                <w:color w:val="auto"/>
              </w:rPr>
              <w:t>3</w:t>
            </w:r>
          </w:p>
        </w:tc>
        <w:tc>
          <w:tcPr>
            <w:tcW w:w="1985" w:type="dxa"/>
            <w:vAlign w:val="center"/>
          </w:tcPr>
          <w:p w14:paraId="08D090BC">
            <w:pPr>
              <w:rPr>
                <w:color w:val="auto"/>
              </w:rPr>
            </w:pPr>
            <w:r>
              <w:rPr>
                <w:rFonts w:hint="eastAsia" w:cs="宋体"/>
                <w:color w:val="auto"/>
              </w:rPr>
              <w:t>工期</w:t>
            </w:r>
          </w:p>
        </w:tc>
        <w:tc>
          <w:tcPr>
            <w:tcW w:w="2126" w:type="dxa"/>
            <w:tcMar>
              <w:left w:w="170" w:type="dxa"/>
            </w:tcMar>
            <w:vAlign w:val="center"/>
          </w:tcPr>
          <w:p w14:paraId="444D3817">
            <w:pPr>
              <w:jc w:val="center"/>
              <w:rPr>
                <w:color w:val="auto"/>
              </w:rPr>
            </w:pPr>
            <w:r>
              <w:rPr>
                <w:rFonts w:hint="eastAsia" w:cs="宋体"/>
                <w:color w:val="auto"/>
              </w:rPr>
              <w:t>专用条款</w:t>
            </w:r>
          </w:p>
        </w:tc>
        <w:tc>
          <w:tcPr>
            <w:tcW w:w="1984" w:type="dxa"/>
            <w:vAlign w:val="center"/>
          </w:tcPr>
          <w:p w14:paraId="616DA23F">
            <w:pPr>
              <w:jc w:val="center"/>
              <w:rPr>
                <w:color w:val="auto"/>
              </w:rPr>
            </w:pPr>
            <w:r>
              <w:rPr>
                <w:color w:val="auto"/>
                <w:u w:val="single"/>
              </w:rPr>
              <w:t xml:space="preserve">          </w:t>
            </w:r>
            <w:r>
              <w:rPr>
                <w:rFonts w:hint="eastAsia" w:cs="宋体"/>
                <w:color w:val="auto"/>
              </w:rPr>
              <w:t>日历天</w:t>
            </w:r>
          </w:p>
        </w:tc>
        <w:tc>
          <w:tcPr>
            <w:tcW w:w="1843" w:type="dxa"/>
            <w:vAlign w:val="center"/>
          </w:tcPr>
          <w:p w14:paraId="45F62733">
            <w:pPr>
              <w:jc w:val="center"/>
              <w:rPr>
                <w:color w:val="auto"/>
              </w:rPr>
            </w:pPr>
          </w:p>
        </w:tc>
      </w:tr>
      <w:tr w14:paraId="607B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D0E5B4E">
            <w:pPr>
              <w:jc w:val="center"/>
              <w:rPr>
                <w:color w:val="auto"/>
              </w:rPr>
            </w:pPr>
            <w:r>
              <w:rPr>
                <w:color w:val="auto"/>
              </w:rPr>
              <w:t>4</w:t>
            </w:r>
          </w:p>
        </w:tc>
        <w:tc>
          <w:tcPr>
            <w:tcW w:w="1985" w:type="dxa"/>
            <w:vAlign w:val="center"/>
          </w:tcPr>
          <w:p w14:paraId="6AD199EC">
            <w:pPr>
              <w:rPr>
                <w:color w:val="auto"/>
              </w:rPr>
            </w:pPr>
            <w:r>
              <w:rPr>
                <w:rFonts w:hint="eastAsia" w:cs="宋体"/>
                <w:color w:val="auto"/>
              </w:rPr>
              <w:t>缺陷责任期</w:t>
            </w:r>
          </w:p>
        </w:tc>
        <w:tc>
          <w:tcPr>
            <w:tcW w:w="2126" w:type="dxa"/>
            <w:tcMar>
              <w:left w:w="170" w:type="dxa"/>
            </w:tcMar>
            <w:vAlign w:val="center"/>
          </w:tcPr>
          <w:p w14:paraId="060AE3BB">
            <w:pPr>
              <w:jc w:val="center"/>
              <w:rPr>
                <w:color w:val="auto"/>
              </w:rPr>
            </w:pPr>
            <w:r>
              <w:rPr>
                <w:rFonts w:hint="eastAsia" w:cs="宋体"/>
                <w:color w:val="auto"/>
              </w:rPr>
              <w:t>专用条款</w:t>
            </w:r>
          </w:p>
        </w:tc>
        <w:tc>
          <w:tcPr>
            <w:tcW w:w="1984" w:type="dxa"/>
            <w:vAlign w:val="center"/>
          </w:tcPr>
          <w:p w14:paraId="6ACF2D1C">
            <w:pPr>
              <w:jc w:val="center"/>
              <w:rPr>
                <w:color w:val="auto"/>
              </w:rPr>
            </w:pPr>
          </w:p>
        </w:tc>
        <w:tc>
          <w:tcPr>
            <w:tcW w:w="1843" w:type="dxa"/>
            <w:vAlign w:val="center"/>
          </w:tcPr>
          <w:p w14:paraId="29028382">
            <w:pPr>
              <w:jc w:val="center"/>
              <w:rPr>
                <w:color w:val="auto"/>
              </w:rPr>
            </w:pPr>
          </w:p>
        </w:tc>
      </w:tr>
      <w:tr w14:paraId="4055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B7E2C79">
            <w:pPr>
              <w:jc w:val="center"/>
              <w:rPr>
                <w:color w:val="auto"/>
              </w:rPr>
            </w:pPr>
            <w:r>
              <w:rPr>
                <w:color w:val="auto"/>
              </w:rPr>
              <w:t>5</w:t>
            </w:r>
          </w:p>
        </w:tc>
        <w:tc>
          <w:tcPr>
            <w:tcW w:w="1985" w:type="dxa"/>
            <w:vAlign w:val="center"/>
          </w:tcPr>
          <w:p w14:paraId="027CE2F8">
            <w:pPr>
              <w:rPr>
                <w:color w:val="auto"/>
              </w:rPr>
            </w:pPr>
            <w:r>
              <w:rPr>
                <w:rFonts w:hint="eastAsia" w:cs="宋体"/>
                <w:color w:val="auto"/>
              </w:rPr>
              <w:t>发包人支付担保</w:t>
            </w:r>
          </w:p>
        </w:tc>
        <w:tc>
          <w:tcPr>
            <w:tcW w:w="2126" w:type="dxa"/>
            <w:tcMar>
              <w:left w:w="170" w:type="dxa"/>
            </w:tcMar>
            <w:vAlign w:val="center"/>
          </w:tcPr>
          <w:p w14:paraId="0C1C02BD">
            <w:pPr>
              <w:jc w:val="center"/>
              <w:rPr>
                <w:color w:val="auto"/>
              </w:rPr>
            </w:pPr>
            <w:r>
              <w:rPr>
                <w:rFonts w:hint="eastAsia" w:cs="宋体"/>
                <w:color w:val="auto"/>
              </w:rPr>
              <w:t>专用条款</w:t>
            </w:r>
          </w:p>
        </w:tc>
        <w:tc>
          <w:tcPr>
            <w:tcW w:w="1984" w:type="dxa"/>
            <w:vAlign w:val="center"/>
          </w:tcPr>
          <w:p w14:paraId="29A1BA72">
            <w:pPr>
              <w:jc w:val="center"/>
              <w:rPr>
                <w:color w:val="auto"/>
              </w:rPr>
            </w:pPr>
          </w:p>
        </w:tc>
        <w:tc>
          <w:tcPr>
            <w:tcW w:w="1843" w:type="dxa"/>
            <w:vAlign w:val="center"/>
          </w:tcPr>
          <w:p w14:paraId="3C7A7136">
            <w:pPr>
              <w:jc w:val="center"/>
              <w:rPr>
                <w:color w:val="auto"/>
              </w:rPr>
            </w:pPr>
          </w:p>
        </w:tc>
      </w:tr>
      <w:tr w14:paraId="6279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B4B1018">
            <w:pPr>
              <w:jc w:val="center"/>
              <w:rPr>
                <w:color w:val="auto"/>
              </w:rPr>
            </w:pPr>
            <w:r>
              <w:rPr>
                <w:color w:val="auto"/>
              </w:rPr>
              <w:t>6</w:t>
            </w:r>
          </w:p>
        </w:tc>
        <w:tc>
          <w:tcPr>
            <w:tcW w:w="1985" w:type="dxa"/>
            <w:vAlign w:val="center"/>
          </w:tcPr>
          <w:p w14:paraId="49B531A0">
            <w:pPr>
              <w:rPr>
                <w:color w:val="auto"/>
              </w:rPr>
            </w:pPr>
            <w:r>
              <w:rPr>
                <w:rFonts w:hint="eastAsia" w:cs="宋体"/>
                <w:color w:val="auto"/>
              </w:rPr>
              <w:t>承包人履约担保金额</w:t>
            </w:r>
          </w:p>
        </w:tc>
        <w:tc>
          <w:tcPr>
            <w:tcW w:w="2126" w:type="dxa"/>
            <w:tcMar>
              <w:left w:w="170" w:type="dxa"/>
            </w:tcMar>
            <w:vAlign w:val="center"/>
          </w:tcPr>
          <w:p w14:paraId="473D96D9">
            <w:pPr>
              <w:jc w:val="center"/>
              <w:rPr>
                <w:color w:val="auto"/>
              </w:rPr>
            </w:pPr>
            <w:r>
              <w:rPr>
                <w:rFonts w:hint="eastAsia" w:cs="宋体"/>
                <w:color w:val="auto"/>
              </w:rPr>
              <w:t>专用条款</w:t>
            </w:r>
          </w:p>
        </w:tc>
        <w:tc>
          <w:tcPr>
            <w:tcW w:w="1984" w:type="dxa"/>
            <w:vAlign w:val="center"/>
          </w:tcPr>
          <w:p w14:paraId="20D0E6DD">
            <w:pPr>
              <w:jc w:val="center"/>
              <w:rPr>
                <w:color w:val="auto"/>
              </w:rPr>
            </w:pPr>
          </w:p>
        </w:tc>
        <w:tc>
          <w:tcPr>
            <w:tcW w:w="1843" w:type="dxa"/>
            <w:vAlign w:val="center"/>
          </w:tcPr>
          <w:p w14:paraId="09357292">
            <w:pPr>
              <w:jc w:val="center"/>
              <w:rPr>
                <w:color w:val="auto"/>
              </w:rPr>
            </w:pPr>
          </w:p>
        </w:tc>
      </w:tr>
      <w:tr w14:paraId="48BC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8F68689">
            <w:pPr>
              <w:jc w:val="center"/>
              <w:rPr>
                <w:color w:val="auto"/>
              </w:rPr>
            </w:pPr>
            <w:r>
              <w:rPr>
                <w:color w:val="auto"/>
              </w:rPr>
              <w:t>7</w:t>
            </w:r>
          </w:p>
        </w:tc>
        <w:tc>
          <w:tcPr>
            <w:tcW w:w="1985" w:type="dxa"/>
            <w:vAlign w:val="center"/>
          </w:tcPr>
          <w:p w14:paraId="0494154F">
            <w:pPr>
              <w:rPr>
                <w:color w:val="auto"/>
              </w:rPr>
            </w:pPr>
            <w:r>
              <w:rPr>
                <w:rFonts w:hint="eastAsia" w:cs="宋体"/>
                <w:color w:val="auto"/>
              </w:rPr>
              <w:t>分包</w:t>
            </w:r>
          </w:p>
        </w:tc>
        <w:tc>
          <w:tcPr>
            <w:tcW w:w="2126" w:type="dxa"/>
            <w:tcMar>
              <w:left w:w="170" w:type="dxa"/>
            </w:tcMar>
            <w:vAlign w:val="center"/>
          </w:tcPr>
          <w:p w14:paraId="40021B84">
            <w:pPr>
              <w:jc w:val="center"/>
              <w:rPr>
                <w:color w:val="auto"/>
              </w:rPr>
            </w:pPr>
            <w:r>
              <w:rPr>
                <w:rFonts w:hint="eastAsia" w:cs="宋体"/>
                <w:color w:val="auto"/>
              </w:rPr>
              <w:t>专用条款</w:t>
            </w:r>
          </w:p>
        </w:tc>
        <w:tc>
          <w:tcPr>
            <w:tcW w:w="1984" w:type="dxa"/>
            <w:vAlign w:val="center"/>
          </w:tcPr>
          <w:p w14:paraId="2BE66A0D">
            <w:pPr>
              <w:jc w:val="center"/>
              <w:rPr>
                <w:color w:val="auto"/>
              </w:rPr>
            </w:pPr>
            <w:r>
              <w:rPr>
                <w:rFonts w:hint="eastAsia" w:cs="宋体"/>
                <w:color w:val="auto"/>
              </w:rPr>
              <w:t>见分包项目情况表</w:t>
            </w:r>
          </w:p>
        </w:tc>
        <w:tc>
          <w:tcPr>
            <w:tcW w:w="1843" w:type="dxa"/>
            <w:vAlign w:val="center"/>
          </w:tcPr>
          <w:p w14:paraId="417F390F">
            <w:pPr>
              <w:jc w:val="center"/>
              <w:rPr>
                <w:color w:val="auto"/>
              </w:rPr>
            </w:pPr>
          </w:p>
        </w:tc>
      </w:tr>
      <w:tr w14:paraId="3410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C48D552">
            <w:pPr>
              <w:jc w:val="center"/>
              <w:rPr>
                <w:color w:val="auto"/>
              </w:rPr>
            </w:pPr>
            <w:r>
              <w:rPr>
                <w:color w:val="auto"/>
              </w:rPr>
              <w:t>8</w:t>
            </w:r>
          </w:p>
        </w:tc>
        <w:tc>
          <w:tcPr>
            <w:tcW w:w="1985" w:type="dxa"/>
            <w:vAlign w:val="center"/>
          </w:tcPr>
          <w:p w14:paraId="612C5A38">
            <w:pPr>
              <w:rPr>
                <w:color w:val="auto"/>
              </w:rPr>
            </w:pPr>
            <w:r>
              <w:rPr>
                <w:rFonts w:hint="eastAsia" w:cs="宋体"/>
                <w:color w:val="auto"/>
              </w:rPr>
              <w:t>逾期竣工违约金</w:t>
            </w:r>
          </w:p>
        </w:tc>
        <w:tc>
          <w:tcPr>
            <w:tcW w:w="2126" w:type="dxa"/>
            <w:tcMar>
              <w:left w:w="170" w:type="dxa"/>
            </w:tcMar>
            <w:vAlign w:val="center"/>
          </w:tcPr>
          <w:p w14:paraId="7D8DEF5B">
            <w:pPr>
              <w:jc w:val="center"/>
              <w:rPr>
                <w:color w:val="auto"/>
              </w:rPr>
            </w:pPr>
            <w:r>
              <w:rPr>
                <w:rFonts w:hint="eastAsia" w:cs="宋体"/>
                <w:color w:val="auto"/>
              </w:rPr>
              <w:t>专用条款</w:t>
            </w:r>
          </w:p>
        </w:tc>
        <w:tc>
          <w:tcPr>
            <w:tcW w:w="1984" w:type="dxa"/>
            <w:vAlign w:val="center"/>
          </w:tcPr>
          <w:p w14:paraId="49246E2B">
            <w:pPr>
              <w:rPr>
                <w:color w:val="auto"/>
              </w:rPr>
            </w:pPr>
          </w:p>
        </w:tc>
        <w:tc>
          <w:tcPr>
            <w:tcW w:w="1843" w:type="dxa"/>
            <w:vAlign w:val="center"/>
          </w:tcPr>
          <w:p w14:paraId="15A3480F">
            <w:pPr>
              <w:jc w:val="center"/>
              <w:rPr>
                <w:color w:val="auto"/>
              </w:rPr>
            </w:pPr>
          </w:p>
        </w:tc>
      </w:tr>
      <w:tr w14:paraId="5E31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79576E6">
            <w:pPr>
              <w:jc w:val="center"/>
              <w:rPr>
                <w:color w:val="auto"/>
              </w:rPr>
            </w:pPr>
            <w:r>
              <w:rPr>
                <w:color w:val="auto"/>
              </w:rPr>
              <w:t>9</w:t>
            </w:r>
          </w:p>
        </w:tc>
        <w:tc>
          <w:tcPr>
            <w:tcW w:w="1985" w:type="dxa"/>
            <w:vAlign w:val="center"/>
          </w:tcPr>
          <w:p w14:paraId="6BFF44BF">
            <w:pPr>
              <w:rPr>
                <w:color w:val="auto"/>
              </w:rPr>
            </w:pPr>
            <w:r>
              <w:rPr>
                <w:rFonts w:hint="eastAsia" w:cs="宋体"/>
                <w:color w:val="auto"/>
              </w:rPr>
              <w:t>逾期竣工违约金最高限额</w:t>
            </w:r>
          </w:p>
        </w:tc>
        <w:tc>
          <w:tcPr>
            <w:tcW w:w="2126" w:type="dxa"/>
            <w:tcMar>
              <w:left w:w="170" w:type="dxa"/>
            </w:tcMar>
            <w:vAlign w:val="center"/>
          </w:tcPr>
          <w:p w14:paraId="3AFD4282">
            <w:pPr>
              <w:jc w:val="center"/>
              <w:rPr>
                <w:color w:val="auto"/>
              </w:rPr>
            </w:pPr>
            <w:r>
              <w:rPr>
                <w:rFonts w:hint="eastAsia" w:cs="宋体"/>
                <w:color w:val="auto"/>
              </w:rPr>
              <w:t>专用条款</w:t>
            </w:r>
          </w:p>
        </w:tc>
        <w:tc>
          <w:tcPr>
            <w:tcW w:w="1984" w:type="dxa"/>
            <w:vAlign w:val="center"/>
          </w:tcPr>
          <w:p w14:paraId="20ED3717">
            <w:pPr>
              <w:rPr>
                <w:color w:val="auto"/>
              </w:rPr>
            </w:pPr>
          </w:p>
        </w:tc>
        <w:tc>
          <w:tcPr>
            <w:tcW w:w="1843" w:type="dxa"/>
            <w:vAlign w:val="center"/>
          </w:tcPr>
          <w:p w14:paraId="47673A3B">
            <w:pPr>
              <w:jc w:val="center"/>
              <w:rPr>
                <w:color w:val="auto"/>
              </w:rPr>
            </w:pPr>
          </w:p>
        </w:tc>
      </w:tr>
      <w:tr w14:paraId="75C9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833CE0C">
            <w:pPr>
              <w:jc w:val="center"/>
              <w:rPr>
                <w:color w:val="auto"/>
              </w:rPr>
            </w:pPr>
            <w:r>
              <w:rPr>
                <w:color w:val="auto"/>
              </w:rPr>
              <w:t>10</w:t>
            </w:r>
          </w:p>
        </w:tc>
        <w:tc>
          <w:tcPr>
            <w:tcW w:w="1985" w:type="dxa"/>
            <w:vAlign w:val="center"/>
          </w:tcPr>
          <w:p w14:paraId="36747C80">
            <w:pPr>
              <w:rPr>
                <w:color w:val="auto"/>
              </w:rPr>
            </w:pPr>
            <w:r>
              <w:rPr>
                <w:rFonts w:hint="eastAsia" w:cs="宋体"/>
                <w:color w:val="auto"/>
              </w:rPr>
              <w:t>质量标准</w:t>
            </w:r>
          </w:p>
        </w:tc>
        <w:tc>
          <w:tcPr>
            <w:tcW w:w="2126" w:type="dxa"/>
            <w:tcMar>
              <w:left w:w="170" w:type="dxa"/>
            </w:tcMar>
            <w:vAlign w:val="center"/>
          </w:tcPr>
          <w:p w14:paraId="2DD901AF">
            <w:pPr>
              <w:jc w:val="center"/>
              <w:rPr>
                <w:color w:val="auto"/>
              </w:rPr>
            </w:pPr>
            <w:r>
              <w:rPr>
                <w:rFonts w:hint="eastAsia" w:cs="宋体"/>
                <w:color w:val="auto"/>
              </w:rPr>
              <w:t>专用条款</w:t>
            </w:r>
          </w:p>
        </w:tc>
        <w:tc>
          <w:tcPr>
            <w:tcW w:w="1984" w:type="dxa"/>
            <w:vAlign w:val="center"/>
          </w:tcPr>
          <w:p w14:paraId="79225F7A">
            <w:pPr>
              <w:jc w:val="center"/>
              <w:rPr>
                <w:color w:val="auto"/>
              </w:rPr>
            </w:pPr>
          </w:p>
        </w:tc>
        <w:tc>
          <w:tcPr>
            <w:tcW w:w="1843" w:type="dxa"/>
            <w:vAlign w:val="center"/>
          </w:tcPr>
          <w:p w14:paraId="36B5C168">
            <w:pPr>
              <w:jc w:val="center"/>
              <w:rPr>
                <w:color w:val="auto"/>
              </w:rPr>
            </w:pPr>
          </w:p>
        </w:tc>
      </w:tr>
      <w:tr w14:paraId="21A5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1AB6FD8">
            <w:pPr>
              <w:jc w:val="center"/>
              <w:rPr>
                <w:color w:val="auto"/>
              </w:rPr>
            </w:pPr>
            <w:r>
              <w:rPr>
                <w:color w:val="auto"/>
              </w:rPr>
              <w:t>11</w:t>
            </w:r>
          </w:p>
        </w:tc>
        <w:tc>
          <w:tcPr>
            <w:tcW w:w="1985" w:type="dxa"/>
            <w:vAlign w:val="center"/>
          </w:tcPr>
          <w:p w14:paraId="38EE99FF">
            <w:pPr>
              <w:rPr>
                <w:color w:val="auto"/>
              </w:rPr>
            </w:pPr>
            <w:r>
              <w:rPr>
                <w:rFonts w:hint="eastAsia" w:cs="宋体"/>
                <w:color w:val="auto"/>
              </w:rPr>
              <w:t>预付款额度</w:t>
            </w:r>
          </w:p>
        </w:tc>
        <w:tc>
          <w:tcPr>
            <w:tcW w:w="2126" w:type="dxa"/>
            <w:tcMar>
              <w:left w:w="170" w:type="dxa"/>
            </w:tcMar>
            <w:vAlign w:val="center"/>
          </w:tcPr>
          <w:p w14:paraId="34968E06">
            <w:pPr>
              <w:jc w:val="center"/>
              <w:rPr>
                <w:color w:val="auto"/>
              </w:rPr>
            </w:pPr>
            <w:r>
              <w:rPr>
                <w:rFonts w:hint="eastAsia" w:cs="宋体"/>
                <w:color w:val="auto"/>
              </w:rPr>
              <w:t>专用条款</w:t>
            </w:r>
          </w:p>
        </w:tc>
        <w:tc>
          <w:tcPr>
            <w:tcW w:w="1984" w:type="dxa"/>
            <w:vAlign w:val="center"/>
          </w:tcPr>
          <w:p w14:paraId="0ED35379">
            <w:pPr>
              <w:jc w:val="center"/>
              <w:rPr>
                <w:color w:val="auto"/>
              </w:rPr>
            </w:pPr>
          </w:p>
        </w:tc>
        <w:tc>
          <w:tcPr>
            <w:tcW w:w="1843" w:type="dxa"/>
            <w:vAlign w:val="center"/>
          </w:tcPr>
          <w:p w14:paraId="5C3613E2">
            <w:pPr>
              <w:jc w:val="center"/>
              <w:rPr>
                <w:color w:val="auto"/>
              </w:rPr>
            </w:pPr>
          </w:p>
        </w:tc>
      </w:tr>
      <w:tr w14:paraId="5B3A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D7E2ACD">
            <w:pPr>
              <w:jc w:val="center"/>
              <w:rPr>
                <w:color w:val="auto"/>
              </w:rPr>
            </w:pPr>
            <w:r>
              <w:rPr>
                <w:color w:val="auto"/>
              </w:rPr>
              <w:t>12</w:t>
            </w:r>
          </w:p>
        </w:tc>
        <w:tc>
          <w:tcPr>
            <w:tcW w:w="1985" w:type="dxa"/>
            <w:vAlign w:val="center"/>
          </w:tcPr>
          <w:p w14:paraId="1C3CF13D">
            <w:pPr>
              <w:rPr>
                <w:color w:val="auto"/>
              </w:rPr>
            </w:pPr>
            <w:r>
              <w:rPr>
                <w:rFonts w:hint="eastAsia" w:cs="宋体"/>
                <w:color w:val="auto"/>
              </w:rPr>
              <w:t>预付款保函金额</w:t>
            </w:r>
          </w:p>
        </w:tc>
        <w:tc>
          <w:tcPr>
            <w:tcW w:w="2126" w:type="dxa"/>
            <w:tcMar>
              <w:left w:w="170" w:type="dxa"/>
            </w:tcMar>
            <w:vAlign w:val="center"/>
          </w:tcPr>
          <w:p w14:paraId="68FF60E3">
            <w:pPr>
              <w:jc w:val="center"/>
              <w:rPr>
                <w:color w:val="auto"/>
              </w:rPr>
            </w:pPr>
            <w:r>
              <w:rPr>
                <w:rFonts w:hint="eastAsia" w:cs="宋体"/>
                <w:color w:val="auto"/>
              </w:rPr>
              <w:t>专用条款</w:t>
            </w:r>
          </w:p>
        </w:tc>
        <w:tc>
          <w:tcPr>
            <w:tcW w:w="1984" w:type="dxa"/>
            <w:vAlign w:val="center"/>
          </w:tcPr>
          <w:p w14:paraId="2834D95B">
            <w:pPr>
              <w:jc w:val="center"/>
              <w:rPr>
                <w:color w:val="auto"/>
              </w:rPr>
            </w:pPr>
          </w:p>
        </w:tc>
        <w:tc>
          <w:tcPr>
            <w:tcW w:w="1843" w:type="dxa"/>
            <w:vAlign w:val="center"/>
          </w:tcPr>
          <w:p w14:paraId="0E833953">
            <w:pPr>
              <w:jc w:val="center"/>
              <w:rPr>
                <w:color w:val="auto"/>
              </w:rPr>
            </w:pPr>
          </w:p>
        </w:tc>
      </w:tr>
      <w:tr w14:paraId="2DE6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CC8FC52">
            <w:pPr>
              <w:jc w:val="center"/>
              <w:rPr>
                <w:color w:val="auto"/>
              </w:rPr>
            </w:pPr>
            <w:r>
              <w:rPr>
                <w:color w:val="auto"/>
              </w:rPr>
              <w:t>13</w:t>
            </w:r>
          </w:p>
        </w:tc>
        <w:tc>
          <w:tcPr>
            <w:tcW w:w="1985" w:type="dxa"/>
            <w:vAlign w:val="center"/>
          </w:tcPr>
          <w:p w14:paraId="4584C296">
            <w:pPr>
              <w:rPr>
                <w:color w:val="auto"/>
              </w:rPr>
            </w:pPr>
            <w:r>
              <w:rPr>
                <w:rFonts w:hint="eastAsia" w:cs="宋体"/>
                <w:color w:val="auto"/>
              </w:rPr>
              <w:t>质量保证金额度</w:t>
            </w:r>
          </w:p>
        </w:tc>
        <w:tc>
          <w:tcPr>
            <w:tcW w:w="2126" w:type="dxa"/>
            <w:tcMar>
              <w:left w:w="170" w:type="dxa"/>
            </w:tcMar>
            <w:vAlign w:val="center"/>
          </w:tcPr>
          <w:p w14:paraId="1129C472">
            <w:pPr>
              <w:jc w:val="center"/>
              <w:rPr>
                <w:color w:val="auto"/>
              </w:rPr>
            </w:pPr>
            <w:r>
              <w:rPr>
                <w:rFonts w:hint="eastAsia" w:cs="宋体"/>
                <w:color w:val="auto"/>
              </w:rPr>
              <w:t>专用条款</w:t>
            </w:r>
          </w:p>
        </w:tc>
        <w:tc>
          <w:tcPr>
            <w:tcW w:w="1984" w:type="dxa"/>
            <w:vAlign w:val="center"/>
          </w:tcPr>
          <w:p w14:paraId="0A61F5A0">
            <w:pPr>
              <w:jc w:val="center"/>
              <w:rPr>
                <w:color w:val="auto"/>
              </w:rPr>
            </w:pPr>
          </w:p>
        </w:tc>
        <w:tc>
          <w:tcPr>
            <w:tcW w:w="1843" w:type="dxa"/>
            <w:vAlign w:val="center"/>
          </w:tcPr>
          <w:p w14:paraId="6B18B50B">
            <w:pPr>
              <w:jc w:val="center"/>
              <w:rPr>
                <w:color w:val="auto"/>
              </w:rPr>
            </w:pPr>
          </w:p>
        </w:tc>
      </w:tr>
      <w:tr w14:paraId="63FB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7AAE862">
            <w:pPr>
              <w:jc w:val="center"/>
              <w:rPr>
                <w:color w:val="auto"/>
              </w:rPr>
            </w:pPr>
            <w:r>
              <w:rPr>
                <w:color w:val="auto"/>
              </w:rPr>
              <w:t>……</w:t>
            </w:r>
          </w:p>
        </w:tc>
        <w:tc>
          <w:tcPr>
            <w:tcW w:w="1985" w:type="dxa"/>
            <w:vAlign w:val="center"/>
          </w:tcPr>
          <w:p w14:paraId="72A1E60B">
            <w:pPr>
              <w:jc w:val="center"/>
              <w:rPr>
                <w:color w:val="auto"/>
              </w:rPr>
            </w:pPr>
            <w:r>
              <w:rPr>
                <w:color w:val="auto"/>
              </w:rPr>
              <w:t>……</w:t>
            </w:r>
          </w:p>
        </w:tc>
        <w:tc>
          <w:tcPr>
            <w:tcW w:w="2126" w:type="dxa"/>
            <w:tcMar>
              <w:left w:w="170" w:type="dxa"/>
            </w:tcMar>
            <w:vAlign w:val="center"/>
          </w:tcPr>
          <w:p w14:paraId="48032A4F">
            <w:pPr>
              <w:rPr>
                <w:color w:val="auto"/>
              </w:rPr>
            </w:pPr>
          </w:p>
        </w:tc>
        <w:tc>
          <w:tcPr>
            <w:tcW w:w="1984" w:type="dxa"/>
            <w:vAlign w:val="center"/>
          </w:tcPr>
          <w:p w14:paraId="3C7AEB58">
            <w:pPr>
              <w:jc w:val="center"/>
              <w:rPr>
                <w:color w:val="auto"/>
              </w:rPr>
            </w:pPr>
          </w:p>
        </w:tc>
        <w:tc>
          <w:tcPr>
            <w:tcW w:w="1843" w:type="dxa"/>
            <w:vAlign w:val="center"/>
          </w:tcPr>
          <w:p w14:paraId="52A37638">
            <w:pPr>
              <w:jc w:val="center"/>
              <w:rPr>
                <w:color w:val="auto"/>
              </w:rPr>
            </w:pPr>
          </w:p>
        </w:tc>
      </w:tr>
      <w:tr w14:paraId="0239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352FB4D5">
            <w:pPr>
              <w:spacing w:line="360" w:lineRule="auto"/>
              <w:rPr>
                <w:color w:val="auto"/>
              </w:rPr>
            </w:pPr>
            <w:r>
              <w:rPr>
                <w:rFonts w:hint="eastAsia" w:cs="宋体"/>
                <w:color w:val="auto"/>
              </w:rPr>
              <w:t>说明：供应商在响应谈判文件中规定的实质性要求和条件的基础上，可做出其他有利于采购人的承诺。此类承诺可在本表中予以补充填写。</w:t>
            </w:r>
          </w:p>
        </w:tc>
      </w:tr>
    </w:tbl>
    <w:p w14:paraId="62BEBFBE">
      <w:pPr>
        <w:spacing w:line="360" w:lineRule="auto"/>
        <w:ind w:right="-817" w:rightChars="-389" w:firstLine="2640" w:firstLineChars="1100"/>
        <w:contextualSpacing/>
        <w:rPr>
          <w:rFonts w:hint="eastAsia" w:ascii="宋体" w:hAnsi="宋体" w:cs="仿宋_GB2312"/>
          <w:color w:val="auto"/>
          <w:sz w:val="24"/>
        </w:rPr>
      </w:pPr>
    </w:p>
    <w:p w14:paraId="4ACEC8E5">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法定代表人或者委托代理人（签字或者电子签名）：                    </w:t>
      </w:r>
    </w:p>
    <w:p w14:paraId="79FDE71C">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供应商（电子签章）：      </w:t>
      </w:r>
    </w:p>
    <w:p w14:paraId="1C9808EC">
      <w:pPr>
        <w:spacing w:line="360" w:lineRule="auto"/>
        <w:jc w:val="center"/>
        <w:rPr>
          <w:rFonts w:hint="eastAsia" w:ascii="宋体" w:hAnsi="宋体" w:cs="仿宋_GB2312"/>
          <w:color w:val="auto"/>
          <w:sz w:val="24"/>
        </w:rPr>
      </w:pPr>
      <w:r>
        <w:rPr>
          <w:rFonts w:hint="eastAsia" w:ascii="宋体" w:hAnsi="宋体" w:cs="仿宋_GB2312"/>
          <w:color w:val="auto"/>
          <w:sz w:val="24"/>
        </w:rPr>
        <w:t>日期：   年   月   日</w:t>
      </w:r>
    </w:p>
    <w:p w14:paraId="0F9B0102">
      <w:pPr>
        <w:spacing w:line="360" w:lineRule="auto"/>
        <w:jc w:val="center"/>
        <w:rPr>
          <w:rFonts w:hint="eastAsia" w:ascii="方正小标宋简体" w:hAnsi="方正小标宋简体" w:eastAsia="方正小标宋简体" w:cs="方正小标宋简体"/>
          <w:bCs/>
          <w:color w:val="auto"/>
          <w:sz w:val="32"/>
          <w:szCs w:val="32"/>
        </w:rPr>
      </w:pPr>
      <w:r>
        <w:rPr>
          <w:rFonts w:ascii="宋体" w:hAnsi="宋体" w:cs="仿宋_GB2312"/>
          <w:color w:val="auto"/>
          <w:sz w:val="24"/>
        </w:rPr>
        <w:br w:type="page"/>
      </w:r>
      <w:r>
        <w:rPr>
          <w:rFonts w:hint="eastAsia" w:ascii="宋体" w:hAnsi="宋体" w:cs="方正小标宋简体"/>
          <w:b/>
          <w:bCs/>
          <w:color w:val="auto"/>
          <w:sz w:val="32"/>
          <w:szCs w:val="32"/>
        </w:rPr>
        <w:t>竞标报价表</w:t>
      </w:r>
    </w:p>
    <w:p w14:paraId="488250D7">
      <w:pPr>
        <w:spacing w:line="440" w:lineRule="exact"/>
        <w:jc w:val="center"/>
        <w:rPr>
          <w:rFonts w:hint="eastAsia" w:ascii="方正小标宋简体" w:hAnsi="方正小标宋简体" w:eastAsia="方正小标宋简体" w:cs="方正小标宋简体"/>
          <w:bCs/>
          <w:color w:val="auto"/>
          <w:sz w:val="32"/>
          <w:szCs w:val="32"/>
        </w:rPr>
      </w:pPr>
    </w:p>
    <w:p w14:paraId="4A641AE7">
      <w:pPr>
        <w:spacing w:line="360" w:lineRule="auto"/>
        <w:contextualSpacing/>
        <w:rPr>
          <w:rFonts w:hint="eastAsia" w:ascii="宋体" w:hAnsi="宋体" w:cs="仿宋_GB2312"/>
          <w:color w:val="auto"/>
          <w:sz w:val="24"/>
        </w:rPr>
      </w:pPr>
      <w:r>
        <w:rPr>
          <w:rFonts w:hint="eastAsia" w:ascii="宋体" w:hAnsi="宋体" w:cs="仿宋_GB2312"/>
          <w:color w:val="auto"/>
          <w:sz w:val="24"/>
        </w:rPr>
        <w:t>项目名称：</w:t>
      </w:r>
      <w:r>
        <w:rPr>
          <w:rFonts w:hint="eastAsia" w:ascii="宋体" w:hAnsi="宋体" w:cs="仿宋_GB2312"/>
          <w:color w:val="auto"/>
          <w:sz w:val="24"/>
          <w:u w:val="single"/>
        </w:rPr>
        <w:t xml:space="preserve">                </w:t>
      </w:r>
      <w:r>
        <w:rPr>
          <w:rFonts w:hint="eastAsia" w:ascii="宋体" w:hAnsi="宋体" w:cs="仿宋_GB2312"/>
          <w:color w:val="auto"/>
          <w:sz w:val="24"/>
        </w:rPr>
        <w:t>项目编号：</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7D68DEBD">
      <w:pPr>
        <w:spacing w:line="360" w:lineRule="auto"/>
        <w:contextualSpacing/>
        <w:rPr>
          <w:rFonts w:hint="eastAsia"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3B35FC29">
      <w:pPr>
        <w:spacing w:line="360" w:lineRule="auto"/>
        <w:contextualSpacing/>
        <w:rPr>
          <w:rFonts w:hint="eastAsia" w:ascii="宋体" w:hAnsi="宋体" w:cs="仿宋_GB2312"/>
          <w:color w:val="auto"/>
          <w:sz w:val="24"/>
        </w:rPr>
      </w:pPr>
      <w:r>
        <w:rPr>
          <w:rFonts w:hint="eastAsia" w:ascii="宋体" w:hAnsi="宋体" w:cs="仿宋_GB2312"/>
          <w:color w:val="auto"/>
          <w:sz w:val="24"/>
        </w:rPr>
        <w:t xml:space="preserve">                                                单位：元</w:t>
      </w:r>
    </w:p>
    <w:tbl>
      <w:tblPr>
        <w:tblStyle w:val="48"/>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61"/>
        <w:gridCol w:w="1735"/>
        <w:gridCol w:w="1643"/>
        <w:gridCol w:w="2713"/>
      </w:tblGrid>
      <w:tr w14:paraId="2514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right"/>
        </w:trPr>
        <w:tc>
          <w:tcPr>
            <w:tcW w:w="743" w:type="dxa"/>
            <w:tcBorders>
              <w:top w:val="single" w:color="auto" w:sz="4" w:space="0"/>
              <w:left w:val="single" w:color="auto" w:sz="4" w:space="0"/>
              <w:bottom w:val="single" w:color="auto" w:sz="4" w:space="0"/>
              <w:right w:val="single" w:color="auto" w:sz="4" w:space="0"/>
            </w:tcBorders>
            <w:vAlign w:val="center"/>
          </w:tcPr>
          <w:p w14:paraId="21178258">
            <w:pPr>
              <w:spacing w:line="460" w:lineRule="exact"/>
              <w:contextualSpacing/>
              <w:jc w:val="center"/>
              <w:rPr>
                <w:rFonts w:hint="eastAsia" w:ascii="宋体" w:hAnsi="宋体" w:cs="仿宋_GB2312"/>
                <w:color w:val="auto"/>
                <w:sz w:val="24"/>
              </w:rPr>
            </w:pPr>
            <w:r>
              <w:rPr>
                <w:rFonts w:ascii="宋体" w:hAnsi="宋体" w:cs="仿宋_GB2312"/>
                <w:color w:val="auto"/>
                <w:sz w:val="24"/>
              </w:rPr>
              <w:t>序号</w:t>
            </w:r>
          </w:p>
        </w:tc>
        <w:tc>
          <w:tcPr>
            <w:tcW w:w="2261" w:type="dxa"/>
            <w:tcBorders>
              <w:top w:val="single" w:color="auto" w:sz="4" w:space="0"/>
              <w:left w:val="single" w:color="auto" w:sz="4" w:space="0"/>
              <w:bottom w:val="single" w:color="auto" w:sz="4" w:space="0"/>
              <w:right w:val="single" w:color="auto" w:sz="4" w:space="0"/>
            </w:tcBorders>
            <w:vAlign w:val="center"/>
          </w:tcPr>
          <w:p w14:paraId="1DF02E75">
            <w:pPr>
              <w:spacing w:line="460" w:lineRule="exact"/>
              <w:contextualSpacing/>
              <w:jc w:val="center"/>
              <w:rPr>
                <w:rFonts w:hint="eastAsia" w:ascii="宋体" w:hAnsi="宋体" w:cs="仿宋_GB2312"/>
                <w:color w:val="auto"/>
                <w:sz w:val="24"/>
              </w:rPr>
            </w:pPr>
            <w:r>
              <w:rPr>
                <w:rFonts w:hint="eastAsia" w:ascii="宋体" w:hAnsi="宋体" w:cs="仿宋_GB2312"/>
                <w:color w:val="auto"/>
                <w:sz w:val="24"/>
              </w:rPr>
              <w:t>标的名称</w:t>
            </w:r>
          </w:p>
        </w:tc>
        <w:tc>
          <w:tcPr>
            <w:tcW w:w="1735" w:type="dxa"/>
            <w:tcBorders>
              <w:top w:val="single" w:color="auto" w:sz="4" w:space="0"/>
              <w:left w:val="single" w:color="auto" w:sz="4" w:space="0"/>
              <w:bottom w:val="single" w:color="auto" w:sz="4" w:space="0"/>
              <w:right w:val="single" w:color="auto" w:sz="4" w:space="0"/>
            </w:tcBorders>
            <w:vAlign w:val="center"/>
          </w:tcPr>
          <w:p w14:paraId="2232F2BB">
            <w:pPr>
              <w:spacing w:line="460" w:lineRule="exact"/>
              <w:contextualSpacing/>
              <w:jc w:val="center"/>
              <w:rPr>
                <w:rFonts w:hint="eastAsia" w:ascii="宋体" w:hAnsi="宋体" w:cs="仿宋_GB2312"/>
                <w:color w:val="auto"/>
                <w:sz w:val="24"/>
              </w:rPr>
            </w:pPr>
            <w:r>
              <w:rPr>
                <w:rFonts w:hint="eastAsia" w:ascii="宋体" w:hAnsi="宋体" w:cs="仿宋_GB2312"/>
                <w:color w:val="auto"/>
                <w:sz w:val="24"/>
              </w:rPr>
              <w:t>数量</w:t>
            </w:r>
          </w:p>
        </w:tc>
        <w:tc>
          <w:tcPr>
            <w:tcW w:w="1643" w:type="dxa"/>
            <w:tcBorders>
              <w:top w:val="single" w:color="auto" w:sz="4" w:space="0"/>
              <w:left w:val="single" w:color="auto" w:sz="4" w:space="0"/>
              <w:bottom w:val="single" w:color="auto" w:sz="4" w:space="0"/>
              <w:right w:val="single" w:color="auto" w:sz="4" w:space="0"/>
            </w:tcBorders>
            <w:vAlign w:val="center"/>
          </w:tcPr>
          <w:p w14:paraId="1796BA91">
            <w:pPr>
              <w:spacing w:line="460" w:lineRule="exact"/>
              <w:contextualSpacing/>
              <w:jc w:val="center"/>
              <w:rPr>
                <w:rFonts w:hint="eastAsia" w:ascii="宋体" w:hAnsi="宋体" w:cs="仿宋_GB2312"/>
                <w:color w:val="auto"/>
                <w:sz w:val="24"/>
              </w:rPr>
            </w:pPr>
            <w:r>
              <w:rPr>
                <w:rFonts w:hint="eastAsia" w:ascii="宋体" w:hAnsi="宋体" w:cs="仿宋_GB2312"/>
                <w:color w:val="auto"/>
                <w:sz w:val="24"/>
              </w:rPr>
              <w:t>单位</w:t>
            </w:r>
          </w:p>
        </w:tc>
        <w:tc>
          <w:tcPr>
            <w:tcW w:w="2713" w:type="dxa"/>
            <w:tcBorders>
              <w:top w:val="single" w:color="auto" w:sz="4" w:space="0"/>
              <w:left w:val="single" w:color="auto" w:sz="4" w:space="0"/>
              <w:bottom w:val="single" w:color="auto" w:sz="4" w:space="0"/>
              <w:right w:val="single" w:color="auto" w:sz="4" w:space="0"/>
            </w:tcBorders>
            <w:vAlign w:val="center"/>
          </w:tcPr>
          <w:p w14:paraId="0C7FFCDC">
            <w:pPr>
              <w:spacing w:line="460" w:lineRule="exact"/>
              <w:contextualSpacing/>
              <w:jc w:val="center"/>
              <w:rPr>
                <w:rFonts w:hint="eastAsia" w:ascii="宋体" w:hAnsi="宋体" w:cs="仿宋_GB2312"/>
                <w:color w:val="auto"/>
                <w:sz w:val="24"/>
              </w:rPr>
            </w:pPr>
            <w:r>
              <w:rPr>
                <w:rFonts w:ascii="宋体" w:hAnsi="宋体" w:cs="仿宋_GB2312"/>
                <w:color w:val="auto"/>
                <w:sz w:val="24"/>
              </w:rPr>
              <w:t>备注</w:t>
            </w:r>
          </w:p>
        </w:tc>
      </w:tr>
      <w:tr w14:paraId="3A93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43" w:type="dxa"/>
            <w:tcBorders>
              <w:top w:val="single" w:color="auto" w:sz="4" w:space="0"/>
              <w:left w:val="single" w:color="auto" w:sz="4" w:space="0"/>
              <w:bottom w:val="single" w:color="auto" w:sz="4" w:space="0"/>
              <w:right w:val="single" w:color="auto" w:sz="4" w:space="0"/>
            </w:tcBorders>
            <w:vAlign w:val="center"/>
          </w:tcPr>
          <w:p w14:paraId="1270434F">
            <w:pPr>
              <w:spacing w:line="460" w:lineRule="exact"/>
              <w:contextualSpacing/>
              <w:jc w:val="center"/>
              <w:rPr>
                <w:rFonts w:hint="eastAsia" w:ascii="宋体" w:hAnsi="宋体" w:cs="仿宋_GB2312"/>
                <w:color w:val="auto"/>
                <w:sz w:val="24"/>
              </w:rPr>
            </w:pPr>
            <w:r>
              <w:rPr>
                <w:rFonts w:ascii="宋体" w:hAnsi="宋体" w:cs="仿宋_GB2312"/>
                <w:color w:val="auto"/>
                <w:sz w:val="24"/>
              </w:rPr>
              <w:t>1</w:t>
            </w:r>
          </w:p>
        </w:tc>
        <w:tc>
          <w:tcPr>
            <w:tcW w:w="2261" w:type="dxa"/>
            <w:tcBorders>
              <w:top w:val="single" w:color="auto" w:sz="4" w:space="0"/>
              <w:left w:val="single" w:color="auto" w:sz="4" w:space="0"/>
              <w:bottom w:val="single" w:color="auto" w:sz="4" w:space="0"/>
              <w:right w:val="single" w:color="auto" w:sz="4" w:space="0"/>
            </w:tcBorders>
            <w:vAlign w:val="center"/>
          </w:tcPr>
          <w:p w14:paraId="77D2EB70">
            <w:pPr>
              <w:spacing w:line="460" w:lineRule="exact"/>
              <w:contextualSpacing/>
              <w:jc w:val="center"/>
              <w:rPr>
                <w:rFonts w:hint="eastAsia" w:ascii="宋体" w:hAnsi="宋体" w:cs="仿宋_GB2312"/>
                <w:color w:val="auto"/>
                <w:sz w:val="24"/>
              </w:rPr>
            </w:pPr>
            <w:r>
              <w:rPr>
                <w:rFonts w:hint="eastAsia" w:ascii="宋体" w:hAnsi="宋体" w:cs="仿宋_GB2312"/>
                <w:color w:val="auto"/>
                <w:sz w:val="24"/>
              </w:rPr>
              <w:t>南溪山医院大礼堂修缮工程</w:t>
            </w:r>
          </w:p>
        </w:tc>
        <w:tc>
          <w:tcPr>
            <w:tcW w:w="1735" w:type="dxa"/>
            <w:tcBorders>
              <w:top w:val="single" w:color="auto" w:sz="4" w:space="0"/>
              <w:left w:val="single" w:color="auto" w:sz="4" w:space="0"/>
              <w:bottom w:val="single" w:color="auto" w:sz="4" w:space="0"/>
              <w:right w:val="single" w:color="auto" w:sz="4" w:space="0"/>
            </w:tcBorders>
            <w:vAlign w:val="center"/>
          </w:tcPr>
          <w:p w14:paraId="719F1B4D">
            <w:pPr>
              <w:spacing w:line="460" w:lineRule="exact"/>
              <w:contextualSpacing/>
              <w:jc w:val="center"/>
              <w:rPr>
                <w:rFonts w:hint="eastAsia" w:ascii="宋体" w:hAnsi="宋体" w:cs="仿宋_GB2312"/>
                <w:color w:val="auto"/>
                <w:sz w:val="24"/>
              </w:rPr>
            </w:pPr>
            <w:r>
              <w:rPr>
                <w:rFonts w:hint="eastAsia" w:ascii="宋体" w:hAnsi="宋体" w:cs="仿宋_GB2312"/>
                <w:color w:val="auto"/>
                <w:sz w:val="24"/>
              </w:rPr>
              <w:t>1</w:t>
            </w:r>
          </w:p>
        </w:tc>
        <w:tc>
          <w:tcPr>
            <w:tcW w:w="1643" w:type="dxa"/>
            <w:tcBorders>
              <w:top w:val="single" w:color="auto" w:sz="4" w:space="0"/>
              <w:left w:val="single" w:color="auto" w:sz="4" w:space="0"/>
              <w:bottom w:val="single" w:color="auto" w:sz="4" w:space="0"/>
              <w:right w:val="single" w:color="auto" w:sz="4" w:space="0"/>
            </w:tcBorders>
            <w:vAlign w:val="center"/>
          </w:tcPr>
          <w:p w14:paraId="7FE73D4C">
            <w:pPr>
              <w:spacing w:line="460" w:lineRule="exact"/>
              <w:contextualSpacing/>
              <w:jc w:val="center"/>
              <w:rPr>
                <w:rFonts w:hint="eastAsia" w:ascii="宋体" w:hAnsi="宋体" w:cs="仿宋_GB2312"/>
                <w:color w:val="auto"/>
                <w:sz w:val="24"/>
              </w:rPr>
            </w:pPr>
            <w:r>
              <w:rPr>
                <w:rFonts w:hint="eastAsia" w:ascii="宋体" w:hAnsi="宋体" w:cs="仿宋_GB2312"/>
                <w:color w:val="auto"/>
                <w:sz w:val="24"/>
              </w:rPr>
              <w:t>项</w:t>
            </w:r>
          </w:p>
        </w:tc>
        <w:tc>
          <w:tcPr>
            <w:tcW w:w="2713" w:type="dxa"/>
            <w:tcBorders>
              <w:top w:val="single" w:color="auto" w:sz="4" w:space="0"/>
              <w:left w:val="single" w:color="auto" w:sz="4" w:space="0"/>
              <w:bottom w:val="single" w:color="auto" w:sz="4" w:space="0"/>
              <w:right w:val="single" w:color="auto" w:sz="4" w:space="0"/>
            </w:tcBorders>
            <w:vAlign w:val="center"/>
          </w:tcPr>
          <w:p w14:paraId="65279534">
            <w:pPr>
              <w:spacing w:line="460" w:lineRule="exact"/>
              <w:contextualSpacing/>
              <w:jc w:val="center"/>
              <w:rPr>
                <w:rFonts w:hint="eastAsia" w:ascii="宋体" w:hAnsi="宋体" w:cs="仿宋_GB2312"/>
                <w:color w:val="auto"/>
                <w:sz w:val="24"/>
              </w:rPr>
            </w:pPr>
          </w:p>
        </w:tc>
      </w:tr>
      <w:tr w14:paraId="650E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52D8DFCF">
            <w:pPr>
              <w:spacing w:line="360" w:lineRule="auto"/>
              <w:contextualSpacing/>
              <w:rPr>
                <w:rFonts w:hint="eastAsia" w:ascii="宋体" w:hAnsi="宋体" w:cs="仿宋_GB2312"/>
                <w:color w:val="auto"/>
                <w:sz w:val="24"/>
              </w:rPr>
            </w:pPr>
            <w:r>
              <w:rPr>
                <w:rFonts w:hint="eastAsia" w:ascii="宋体" w:hAnsi="宋体" w:cs="仿宋_GB2312"/>
                <w:color w:val="auto"/>
                <w:sz w:val="24"/>
              </w:rPr>
              <w:t>竞标总报价（人民币）</w:t>
            </w:r>
            <w:r>
              <w:rPr>
                <w:rFonts w:hint="eastAsia" w:ascii="宋体" w:hAnsi="宋体" w:cs="仿宋_GB2312"/>
                <w:color w:val="auto"/>
                <w:sz w:val="24"/>
                <w:u w:val="single"/>
              </w:rPr>
              <w:t xml:space="preserve">大写：                      </w:t>
            </w:r>
            <w:r>
              <w:rPr>
                <w:rFonts w:hint="eastAsia" w:ascii="宋体" w:hAnsi="宋体" w:cs="仿宋_GB2312"/>
                <w:color w:val="auto"/>
                <w:sz w:val="24"/>
              </w:rPr>
              <w:t xml:space="preserve"> （</w:t>
            </w:r>
            <w:r>
              <w:rPr>
                <w:rFonts w:hint="eastAsia" w:ascii="方正粗黑宋简体" w:hAnsi="方正粗黑宋简体" w:eastAsia="方正粗黑宋简体" w:cs="仿宋_GB2312"/>
                <w:color w:val="auto"/>
                <w:sz w:val="24"/>
              </w:rPr>
              <w:t>￥</w:t>
            </w:r>
            <w:r>
              <w:rPr>
                <w:rFonts w:hint="eastAsia" w:ascii="宋体" w:hAnsi="宋体" w:cs="仿宋_GB2312"/>
                <w:color w:val="auto"/>
                <w:sz w:val="24"/>
                <w:u w:val="single"/>
              </w:rPr>
              <w:t xml:space="preserve">                </w:t>
            </w:r>
            <w:r>
              <w:rPr>
                <w:rFonts w:hint="eastAsia" w:ascii="宋体" w:hAnsi="宋体" w:cs="仿宋_GB2312"/>
                <w:color w:val="auto"/>
                <w:sz w:val="24"/>
              </w:rPr>
              <w:t>）</w:t>
            </w:r>
          </w:p>
        </w:tc>
      </w:tr>
    </w:tbl>
    <w:p w14:paraId="0AF07E0B">
      <w:pPr>
        <w:spacing w:line="360" w:lineRule="auto"/>
        <w:contextualSpacing/>
        <w:jc w:val="left"/>
        <w:rPr>
          <w:rFonts w:hint="eastAsia" w:ascii="宋体" w:hAnsi="宋体" w:cs="仿宋_GB2312"/>
          <w:color w:val="auto"/>
          <w:sz w:val="24"/>
        </w:rPr>
      </w:pPr>
    </w:p>
    <w:p w14:paraId="47202E75">
      <w:pPr>
        <w:spacing w:line="360" w:lineRule="auto"/>
        <w:contextualSpacing/>
        <w:jc w:val="left"/>
        <w:rPr>
          <w:rFonts w:hint="eastAsia" w:ascii="宋体" w:hAnsi="宋体" w:cs="仿宋_GB2312"/>
          <w:color w:val="auto"/>
          <w:sz w:val="24"/>
        </w:rPr>
      </w:pPr>
      <w:r>
        <w:rPr>
          <w:rFonts w:hint="eastAsia" w:ascii="宋体" w:hAnsi="宋体" w:cs="仿宋_GB2312"/>
          <w:color w:val="auto"/>
          <w:sz w:val="24"/>
        </w:rPr>
        <w:t xml:space="preserve">注： </w:t>
      </w:r>
    </w:p>
    <w:p w14:paraId="38A31CC4">
      <w:pPr>
        <w:spacing w:line="360" w:lineRule="auto"/>
        <w:ind w:firstLine="480" w:firstLineChars="200"/>
        <w:contextualSpacing/>
        <w:jc w:val="left"/>
        <w:rPr>
          <w:rFonts w:hint="eastAsia" w:ascii="宋体" w:hAnsi="宋体" w:cs="仿宋_GB2312"/>
          <w:color w:val="auto"/>
          <w:sz w:val="24"/>
        </w:rPr>
      </w:pPr>
      <w:r>
        <w:rPr>
          <w:rFonts w:hint="eastAsia" w:ascii="宋体" w:hAnsi="宋体" w:cs="仿宋_GB2312"/>
          <w:color w:val="auto"/>
          <w:sz w:val="24"/>
        </w:rPr>
        <w:t>1. 供应商的报价表必须加盖供应商电子签章并由法定代表人或者委托代理人签字或者电子签名，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14:paraId="64935202">
      <w:pPr>
        <w:spacing w:line="360" w:lineRule="auto"/>
        <w:ind w:firstLine="480" w:firstLineChars="200"/>
        <w:contextualSpacing/>
        <w:jc w:val="left"/>
        <w:rPr>
          <w:rFonts w:hint="eastAsia"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 xml:space="preserve"> 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14:paraId="02BE0985">
      <w:pPr>
        <w:spacing w:line="360" w:lineRule="auto"/>
        <w:ind w:firstLine="480" w:firstLineChars="200"/>
        <w:contextualSpacing/>
        <w:jc w:val="left"/>
        <w:rPr>
          <w:rFonts w:hint="eastAsia" w:ascii="宋体" w:hAnsi="宋体" w:cs="仿宋_GB2312"/>
          <w:color w:val="auto"/>
          <w:sz w:val="24"/>
        </w:rPr>
      </w:pPr>
    </w:p>
    <w:p w14:paraId="4F7FF148">
      <w:pPr>
        <w:spacing w:line="360" w:lineRule="auto"/>
        <w:ind w:right="-817" w:rightChars="-389"/>
        <w:contextualSpacing/>
        <w:rPr>
          <w:rFonts w:hint="eastAsia" w:ascii="宋体" w:hAnsi="宋体" w:cs="仿宋_GB2312"/>
          <w:color w:val="auto"/>
          <w:sz w:val="24"/>
        </w:rPr>
      </w:pPr>
    </w:p>
    <w:p w14:paraId="7A583950">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法定代表人或者委托代理人（签字或者电子签名）：                    </w:t>
      </w:r>
    </w:p>
    <w:p w14:paraId="259BA0F5">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供应商（电子签章）：      </w:t>
      </w:r>
    </w:p>
    <w:p w14:paraId="5E7AAA3F">
      <w:pPr>
        <w:spacing w:line="360" w:lineRule="auto"/>
        <w:ind w:right="-817" w:rightChars="-389" w:firstLine="4080" w:firstLineChars="1700"/>
        <w:contextualSpacing/>
        <w:rPr>
          <w:rFonts w:hint="eastAsia" w:ascii="宋体" w:hAnsi="宋体" w:cs="仿宋_GB2312"/>
          <w:color w:val="auto"/>
          <w:sz w:val="24"/>
        </w:rPr>
      </w:pPr>
      <w:r>
        <w:rPr>
          <w:rFonts w:hint="eastAsia" w:ascii="宋体" w:hAnsi="宋体" w:cs="仿宋_GB2312"/>
          <w:color w:val="auto"/>
          <w:sz w:val="24"/>
        </w:rPr>
        <w:t>日期：   年   月   日</w:t>
      </w:r>
    </w:p>
    <w:p w14:paraId="22E22B86">
      <w:pPr>
        <w:spacing w:line="360" w:lineRule="auto"/>
        <w:contextualSpacing/>
        <w:jc w:val="center"/>
        <w:rPr>
          <w:rFonts w:hint="eastAsia" w:ascii="宋体" w:hAnsi="宋体" w:cs="仿宋_GB2312"/>
          <w:b/>
          <w:color w:val="auto"/>
          <w:sz w:val="32"/>
          <w:szCs w:val="32"/>
        </w:rPr>
      </w:pPr>
      <w:r>
        <w:rPr>
          <w:rFonts w:ascii="宋体" w:hAnsi="宋体" w:cs="仿宋_GB2312"/>
          <w:color w:val="auto"/>
          <w:sz w:val="24"/>
        </w:rPr>
        <w:br w:type="page"/>
      </w:r>
      <w:r>
        <w:rPr>
          <w:rFonts w:hint="eastAsia" w:ascii="宋体" w:hAnsi="宋体" w:cs="宋体"/>
          <w:b/>
          <w:color w:val="auto"/>
          <w:sz w:val="32"/>
          <w:szCs w:val="32"/>
        </w:rPr>
        <w:t>已标价工程量清单</w:t>
      </w:r>
    </w:p>
    <w:p w14:paraId="59AC7817">
      <w:pPr>
        <w:spacing w:line="360" w:lineRule="auto"/>
        <w:ind w:firstLine="420" w:firstLineChars="200"/>
        <w:rPr>
          <w:color w:val="auto"/>
        </w:rPr>
      </w:pPr>
      <w:r>
        <w:rPr>
          <w:color w:val="auto"/>
        </w:rPr>
        <w:t xml:space="preserve">1. </w:t>
      </w:r>
      <w:r>
        <w:rPr>
          <w:rFonts w:hint="eastAsia" w:cs="宋体"/>
          <w:color w:val="auto"/>
        </w:rPr>
        <w:t>已标价工程量清单应按第五章</w:t>
      </w:r>
      <w:r>
        <w:rPr>
          <w:rFonts w:hint="eastAsia"/>
          <w:color w:val="auto"/>
        </w:rPr>
        <w:t>“工程量清单及图纸”</w:t>
      </w:r>
      <w:r>
        <w:rPr>
          <w:rFonts w:hint="eastAsia" w:cs="宋体"/>
          <w:color w:val="auto"/>
        </w:rPr>
        <w:t>中的相关表格及竞标报价说明填写。构成合同文件的已标价工程量清单包括第五章</w:t>
      </w:r>
      <w:r>
        <w:rPr>
          <w:rFonts w:hint="eastAsia"/>
          <w:color w:val="auto"/>
        </w:rPr>
        <w:t>“工程量清单及图纸”</w:t>
      </w:r>
      <w:r>
        <w:rPr>
          <w:rFonts w:hint="eastAsia" w:cs="宋体"/>
          <w:color w:val="auto"/>
        </w:rPr>
        <w:t>有关工程量清单、竞标报价以及其他说明的内容。</w:t>
      </w:r>
    </w:p>
    <w:p w14:paraId="4887DDFA">
      <w:pPr>
        <w:spacing w:line="360" w:lineRule="auto"/>
        <w:ind w:firstLine="420" w:firstLineChars="200"/>
        <w:rPr>
          <w:color w:val="auto"/>
        </w:rPr>
      </w:pPr>
      <w:r>
        <w:rPr>
          <w:color w:val="auto"/>
        </w:rPr>
        <w:t xml:space="preserve">2. </w:t>
      </w:r>
      <w:r>
        <w:rPr>
          <w:rFonts w:hint="eastAsia" w:cs="宋体"/>
          <w:color w:val="auto"/>
        </w:rPr>
        <w:t>一般计税法建设工程已标价工程量清单表格按</w:t>
      </w:r>
      <w:r>
        <w:rPr>
          <w:rFonts w:hint="eastAsia" w:hAnsi="宋体" w:cs="宋体"/>
          <w:color w:val="auto"/>
          <w:kern w:val="0"/>
        </w:rPr>
        <w:t>《关于建筑业实施营业税改征增值税后广西壮族自治区建设工程计价依据调整的通知》（桂建标〔</w:t>
      </w:r>
      <w:r>
        <w:rPr>
          <w:rFonts w:hAnsi="宋体"/>
          <w:color w:val="auto"/>
          <w:kern w:val="0"/>
        </w:rPr>
        <w:t>2016</w:t>
      </w:r>
      <w:r>
        <w:rPr>
          <w:rFonts w:hint="eastAsia" w:hAnsi="宋体" w:cs="宋体"/>
          <w:color w:val="auto"/>
          <w:kern w:val="0"/>
        </w:rPr>
        <w:t>〕</w:t>
      </w:r>
      <w:r>
        <w:rPr>
          <w:rFonts w:hAnsi="宋体"/>
          <w:color w:val="auto"/>
          <w:kern w:val="0"/>
        </w:rPr>
        <w:t>17</w:t>
      </w:r>
      <w:r>
        <w:rPr>
          <w:rFonts w:hint="eastAsia" w:hAnsi="宋体" w:cs="宋体"/>
          <w:color w:val="auto"/>
          <w:kern w:val="0"/>
        </w:rPr>
        <w:t>号）</w:t>
      </w:r>
      <w:r>
        <w:rPr>
          <w:rFonts w:hint="eastAsia" w:ascii="宋体" w:hAnsi="宋体" w:cs="宋体"/>
          <w:color w:val="auto"/>
        </w:rPr>
        <w:t>附件“增值税一般计税方法工程计价表”</w:t>
      </w:r>
      <w:r>
        <w:rPr>
          <w:rFonts w:hint="eastAsia" w:cs="宋体"/>
          <w:color w:val="auto"/>
        </w:rPr>
        <w:t>要求提供，简易计税法表格按《</w:t>
      </w:r>
      <w:r>
        <w:rPr>
          <w:color w:val="auto"/>
        </w:rPr>
        <w:t>&lt;</w:t>
      </w:r>
      <w:r>
        <w:rPr>
          <w:rFonts w:hint="eastAsia" w:cs="宋体"/>
          <w:color w:val="auto"/>
        </w:rPr>
        <w:t>建设工程工程量清单计价规范</w:t>
      </w:r>
      <w:r>
        <w:rPr>
          <w:color w:val="auto"/>
        </w:rPr>
        <w:t>&gt;</w:t>
      </w:r>
      <w:r>
        <w:rPr>
          <w:rFonts w:hint="eastAsia" w:cs="宋体"/>
          <w:color w:val="auto"/>
        </w:rPr>
        <w:t>（</w:t>
      </w:r>
      <w:r>
        <w:rPr>
          <w:color w:val="auto"/>
        </w:rPr>
        <w:t>GB5050-2013</w:t>
      </w:r>
      <w:r>
        <w:rPr>
          <w:rFonts w:hint="eastAsia" w:cs="宋体"/>
          <w:color w:val="auto"/>
        </w:rPr>
        <w:t>）广西壮族自治区实施细则》要求的表格提供，但规费和税费按照</w:t>
      </w:r>
      <w:r>
        <w:rPr>
          <w:rFonts w:hint="eastAsia" w:hAnsi="宋体" w:cs="宋体"/>
          <w:color w:val="auto"/>
          <w:kern w:val="0"/>
        </w:rPr>
        <w:t>《关于建筑业实施营业税改征增值税后广西壮族自治区建设工程计价依据调整的通知》（桂建标〔</w:t>
      </w:r>
      <w:r>
        <w:rPr>
          <w:rFonts w:hAnsi="宋体"/>
          <w:color w:val="auto"/>
          <w:kern w:val="0"/>
        </w:rPr>
        <w:t>2016</w:t>
      </w:r>
      <w:r>
        <w:rPr>
          <w:rFonts w:hint="eastAsia" w:hAnsi="宋体" w:cs="宋体"/>
          <w:color w:val="auto"/>
          <w:kern w:val="0"/>
        </w:rPr>
        <w:t>〕</w:t>
      </w:r>
      <w:r>
        <w:rPr>
          <w:rFonts w:hAnsi="宋体"/>
          <w:color w:val="auto"/>
          <w:kern w:val="0"/>
        </w:rPr>
        <w:t>17</w:t>
      </w:r>
      <w:r>
        <w:rPr>
          <w:rFonts w:hint="eastAsia" w:hAnsi="宋体" w:cs="宋体"/>
          <w:color w:val="auto"/>
          <w:kern w:val="0"/>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auto"/>
        </w:rPr>
        <w:t>调整</w:t>
      </w:r>
      <w:r>
        <w:rPr>
          <w:rFonts w:hint="eastAsia" w:cs="宋体"/>
          <w:color w:val="auto"/>
        </w:rPr>
        <w:t>，具体内容包括：</w:t>
      </w:r>
    </w:p>
    <w:p w14:paraId="1F5B8E93">
      <w:pPr>
        <w:spacing w:line="360" w:lineRule="auto"/>
        <w:ind w:firstLine="630" w:firstLineChars="300"/>
        <w:rPr>
          <w:color w:val="auto"/>
        </w:rPr>
      </w:pPr>
      <w:r>
        <w:rPr>
          <w:color w:val="auto"/>
        </w:rPr>
        <w:t xml:space="preserve">1.1 </w:t>
      </w:r>
      <w:r>
        <w:rPr>
          <w:rFonts w:hint="eastAsia" w:cs="宋体"/>
          <w:color w:val="auto"/>
        </w:rPr>
        <w:t>投标总价（封</w:t>
      </w:r>
      <w:r>
        <w:rPr>
          <w:color w:val="auto"/>
        </w:rPr>
        <w:t>-3</w:t>
      </w:r>
      <w:r>
        <w:rPr>
          <w:rFonts w:hint="eastAsia" w:cs="宋体"/>
          <w:color w:val="auto"/>
        </w:rPr>
        <w:t>）</w:t>
      </w:r>
    </w:p>
    <w:p w14:paraId="16794D36">
      <w:pPr>
        <w:spacing w:line="360" w:lineRule="auto"/>
        <w:ind w:firstLine="630" w:firstLineChars="300"/>
        <w:rPr>
          <w:color w:val="auto"/>
        </w:rPr>
      </w:pPr>
      <w:r>
        <w:rPr>
          <w:color w:val="auto"/>
        </w:rPr>
        <w:t xml:space="preserve">1.2 </w:t>
      </w:r>
      <w:r>
        <w:rPr>
          <w:rFonts w:hint="eastAsia" w:cs="宋体"/>
          <w:color w:val="auto"/>
        </w:rPr>
        <w:t>投标总价（扉</w:t>
      </w:r>
      <w:r>
        <w:rPr>
          <w:color w:val="auto"/>
        </w:rPr>
        <w:t>-3</w:t>
      </w:r>
      <w:r>
        <w:rPr>
          <w:rFonts w:hint="eastAsia" w:cs="宋体"/>
          <w:color w:val="auto"/>
        </w:rPr>
        <w:t>）</w:t>
      </w:r>
    </w:p>
    <w:p w14:paraId="4693BFBF">
      <w:pPr>
        <w:spacing w:line="360" w:lineRule="auto"/>
        <w:ind w:firstLine="630" w:firstLineChars="300"/>
        <w:rPr>
          <w:color w:val="auto"/>
        </w:rPr>
      </w:pPr>
      <w:r>
        <w:rPr>
          <w:color w:val="auto"/>
        </w:rPr>
        <w:t xml:space="preserve">1.3 </w:t>
      </w:r>
      <w:r>
        <w:rPr>
          <w:rFonts w:hint="eastAsia" w:cs="宋体"/>
          <w:color w:val="auto"/>
        </w:rPr>
        <w:t>总说明（表</w:t>
      </w:r>
      <w:r>
        <w:rPr>
          <w:color w:val="auto"/>
        </w:rPr>
        <w:t>-01</w:t>
      </w:r>
      <w:r>
        <w:rPr>
          <w:rFonts w:hint="eastAsia" w:cs="宋体"/>
          <w:color w:val="auto"/>
        </w:rPr>
        <w:t>）</w:t>
      </w:r>
    </w:p>
    <w:p w14:paraId="2D2FE5E5">
      <w:pPr>
        <w:spacing w:line="360" w:lineRule="auto"/>
        <w:ind w:firstLine="630" w:firstLineChars="300"/>
        <w:rPr>
          <w:color w:val="auto"/>
        </w:rPr>
      </w:pPr>
      <w:r>
        <w:rPr>
          <w:color w:val="auto"/>
        </w:rPr>
        <w:t xml:space="preserve">1.4 </w:t>
      </w:r>
      <w:r>
        <w:rPr>
          <w:rFonts w:hint="eastAsia" w:cs="宋体"/>
          <w:color w:val="auto"/>
        </w:rPr>
        <w:t>建设项目投标报价汇总表（表</w:t>
      </w:r>
      <w:r>
        <w:rPr>
          <w:color w:val="auto"/>
        </w:rPr>
        <w:t>-02</w:t>
      </w:r>
      <w:r>
        <w:rPr>
          <w:rFonts w:hint="eastAsia" w:cs="宋体"/>
          <w:color w:val="auto"/>
        </w:rPr>
        <w:t>）</w:t>
      </w:r>
    </w:p>
    <w:p w14:paraId="21933E10">
      <w:pPr>
        <w:spacing w:line="360" w:lineRule="auto"/>
        <w:ind w:firstLine="630" w:firstLineChars="300"/>
        <w:rPr>
          <w:color w:val="auto"/>
        </w:rPr>
      </w:pPr>
      <w:r>
        <w:rPr>
          <w:color w:val="auto"/>
        </w:rPr>
        <w:t xml:space="preserve">1.5 </w:t>
      </w:r>
      <w:r>
        <w:rPr>
          <w:rFonts w:hint="eastAsia" w:cs="宋体"/>
          <w:color w:val="auto"/>
        </w:rPr>
        <w:t>单项工程投标报价汇总表（表</w:t>
      </w:r>
      <w:r>
        <w:rPr>
          <w:color w:val="auto"/>
        </w:rPr>
        <w:t>-03</w:t>
      </w:r>
      <w:r>
        <w:rPr>
          <w:rFonts w:hint="eastAsia" w:cs="宋体"/>
          <w:color w:val="auto"/>
        </w:rPr>
        <w:t>）</w:t>
      </w:r>
    </w:p>
    <w:p w14:paraId="28C0A44F">
      <w:pPr>
        <w:spacing w:line="360" w:lineRule="auto"/>
        <w:ind w:firstLine="630" w:firstLineChars="300"/>
        <w:rPr>
          <w:color w:val="auto"/>
        </w:rPr>
      </w:pPr>
      <w:r>
        <w:rPr>
          <w:color w:val="auto"/>
        </w:rPr>
        <w:t xml:space="preserve">1.6 </w:t>
      </w:r>
      <w:r>
        <w:rPr>
          <w:rFonts w:hint="eastAsia" w:cs="宋体"/>
          <w:color w:val="auto"/>
        </w:rPr>
        <w:t>单位工程投标报价汇总表（表</w:t>
      </w:r>
      <w:r>
        <w:rPr>
          <w:color w:val="auto"/>
        </w:rPr>
        <w:t>-04</w:t>
      </w:r>
      <w:r>
        <w:rPr>
          <w:rFonts w:hint="eastAsia" w:cs="宋体"/>
          <w:color w:val="auto"/>
        </w:rPr>
        <w:t>）</w:t>
      </w:r>
    </w:p>
    <w:p w14:paraId="016C42E5">
      <w:pPr>
        <w:spacing w:line="360" w:lineRule="auto"/>
        <w:ind w:firstLine="630" w:firstLineChars="300"/>
        <w:rPr>
          <w:color w:val="auto"/>
        </w:rPr>
      </w:pPr>
      <w:r>
        <w:rPr>
          <w:color w:val="auto"/>
        </w:rPr>
        <w:t xml:space="preserve">1.7 </w:t>
      </w:r>
      <w:r>
        <w:rPr>
          <w:rFonts w:hint="eastAsia" w:cs="宋体"/>
          <w:color w:val="auto"/>
        </w:rPr>
        <w:t>分部分项工程和单价措施项目清单与计价表（表</w:t>
      </w:r>
      <w:r>
        <w:rPr>
          <w:color w:val="auto"/>
        </w:rPr>
        <w:t>-08</w:t>
      </w:r>
      <w:r>
        <w:rPr>
          <w:rFonts w:hint="eastAsia" w:cs="宋体"/>
          <w:color w:val="auto"/>
        </w:rPr>
        <w:t>）</w:t>
      </w:r>
    </w:p>
    <w:p w14:paraId="314EF6A7">
      <w:pPr>
        <w:spacing w:line="360" w:lineRule="auto"/>
        <w:ind w:firstLine="630" w:firstLineChars="300"/>
        <w:rPr>
          <w:color w:val="auto"/>
        </w:rPr>
      </w:pPr>
      <w:r>
        <w:rPr>
          <w:color w:val="auto"/>
        </w:rPr>
        <w:t xml:space="preserve">1.8 </w:t>
      </w:r>
      <w:r>
        <w:rPr>
          <w:rFonts w:hint="eastAsia" w:cs="宋体"/>
          <w:color w:val="auto"/>
        </w:rPr>
        <w:t>工程量清单综合单价分析表（表</w:t>
      </w:r>
      <w:r>
        <w:rPr>
          <w:color w:val="auto"/>
        </w:rPr>
        <w:t>-09</w:t>
      </w:r>
      <w:r>
        <w:rPr>
          <w:rFonts w:hint="eastAsia" w:cs="宋体"/>
          <w:color w:val="auto"/>
        </w:rPr>
        <w:t>）</w:t>
      </w:r>
    </w:p>
    <w:p w14:paraId="3D5925A2">
      <w:pPr>
        <w:spacing w:line="360" w:lineRule="auto"/>
        <w:ind w:firstLine="630" w:firstLineChars="300"/>
        <w:rPr>
          <w:color w:val="auto"/>
        </w:rPr>
      </w:pPr>
      <w:r>
        <w:rPr>
          <w:color w:val="auto"/>
        </w:rPr>
        <w:t xml:space="preserve">1.9 </w:t>
      </w:r>
      <w:r>
        <w:rPr>
          <w:rFonts w:hint="eastAsia" w:cs="宋体"/>
          <w:color w:val="auto"/>
        </w:rPr>
        <w:t>主要清单项目工料机分析表（表</w:t>
      </w:r>
      <w:r>
        <w:rPr>
          <w:color w:val="auto"/>
        </w:rPr>
        <w:t>-10</w:t>
      </w:r>
      <w:r>
        <w:rPr>
          <w:rFonts w:hint="eastAsia" w:cs="宋体"/>
          <w:color w:val="auto"/>
        </w:rPr>
        <w:t>）【备注：可按要求有选择的提供】</w:t>
      </w:r>
    </w:p>
    <w:p w14:paraId="20058957">
      <w:pPr>
        <w:spacing w:line="360" w:lineRule="auto"/>
        <w:ind w:firstLine="630" w:firstLineChars="300"/>
        <w:rPr>
          <w:color w:val="auto"/>
        </w:rPr>
      </w:pPr>
      <w:r>
        <w:rPr>
          <w:color w:val="auto"/>
        </w:rPr>
        <w:t xml:space="preserve">1.10 </w:t>
      </w:r>
      <w:r>
        <w:rPr>
          <w:rFonts w:hint="eastAsia" w:cs="宋体"/>
          <w:color w:val="auto"/>
        </w:rPr>
        <w:t>总价措施项目清单与计价表（表</w:t>
      </w:r>
      <w:r>
        <w:rPr>
          <w:color w:val="auto"/>
        </w:rPr>
        <w:t>-11</w:t>
      </w:r>
      <w:r>
        <w:rPr>
          <w:rFonts w:hint="eastAsia" w:cs="宋体"/>
          <w:color w:val="auto"/>
        </w:rPr>
        <w:t>）</w:t>
      </w:r>
    </w:p>
    <w:p w14:paraId="0F72835C">
      <w:pPr>
        <w:spacing w:line="360" w:lineRule="auto"/>
        <w:ind w:firstLine="630" w:firstLineChars="300"/>
        <w:rPr>
          <w:color w:val="auto"/>
        </w:rPr>
      </w:pPr>
      <w:r>
        <w:rPr>
          <w:color w:val="auto"/>
        </w:rPr>
        <w:t xml:space="preserve">1.11 </w:t>
      </w:r>
      <w:r>
        <w:rPr>
          <w:rFonts w:hint="eastAsia" w:cs="宋体"/>
          <w:color w:val="auto"/>
        </w:rPr>
        <w:t>其他项目清单与计价汇总表（表</w:t>
      </w:r>
      <w:r>
        <w:rPr>
          <w:color w:val="auto"/>
        </w:rPr>
        <w:t>-12</w:t>
      </w:r>
      <w:r>
        <w:rPr>
          <w:rFonts w:hint="eastAsia" w:cs="宋体"/>
          <w:color w:val="auto"/>
        </w:rPr>
        <w:t>）</w:t>
      </w:r>
    </w:p>
    <w:p w14:paraId="37260F1A">
      <w:pPr>
        <w:spacing w:line="360" w:lineRule="auto"/>
        <w:ind w:firstLine="630" w:firstLineChars="300"/>
        <w:rPr>
          <w:color w:val="auto"/>
        </w:rPr>
      </w:pPr>
      <w:r>
        <w:rPr>
          <w:color w:val="auto"/>
        </w:rPr>
        <w:t xml:space="preserve">1.12 </w:t>
      </w:r>
      <w:r>
        <w:rPr>
          <w:rFonts w:hint="eastAsia" w:cs="宋体"/>
          <w:color w:val="auto"/>
        </w:rPr>
        <w:t>暂列金额明细表（表</w:t>
      </w:r>
      <w:r>
        <w:rPr>
          <w:color w:val="auto"/>
        </w:rPr>
        <w:t>12-1</w:t>
      </w:r>
      <w:r>
        <w:rPr>
          <w:rFonts w:hint="eastAsia" w:cs="宋体"/>
          <w:color w:val="auto"/>
        </w:rPr>
        <w:t>）</w:t>
      </w:r>
    </w:p>
    <w:p w14:paraId="4A1E3881">
      <w:pPr>
        <w:spacing w:line="360" w:lineRule="auto"/>
        <w:ind w:firstLine="630" w:firstLineChars="300"/>
        <w:rPr>
          <w:color w:val="auto"/>
        </w:rPr>
      </w:pPr>
      <w:r>
        <w:rPr>
          <w:color w:val="auto"/>
        </w:rPr>
        <w:t xml:space="preserve">1.13 </w:t>
      </w:r>
      <w:r>
        <w:rPr>
          <w:rFonts w:hint="eastAsia" w:cs="宋体"/>
          <w:color w:val="auto"/>
        </w:rPr>
        <w:t>材料（工程设备）暂估单价及调整表（表</w:t>
      </w:r>
      <w:r>
        <w:rPr>
          <w:color w:val="auto"/>
        </w:rPr>
        <w:t>12-2</w:t>
      </w:r>
      <w:r>
        <w:rPr>
          <w:rFonts w:hint="eastAsia" w:cs="宋体"/>
          <w:color w:val="auto"/>
        </w:rPr>
        <w:t>）</w:t>
      </w:r>
    </w:p>
    <w:p w14:paraId="046A8176">
      <w:pPr>
        <w:spacing w:line="360" w:lineRule="auto"/>
        <w:ind w:firstLine="630" w:firstLineChars="300"/>
        <w:rPr>
          <w:color w:val="auto"/>
        </w:rPr>
      </w:pPr>
      <w:r>
        <w:rPr>
          <w:color w:val="auto"/>
        </w:rPr>
        <w:t xml:space="preserve">1.14 </w:t>
      </w:r>
      <w:r>
        <w:rPr>
          <w:rFonts w:hint="eastAsia" w:cs="宋体"/>
          <w:color w:val="auto"/>
        </w:rPr>
        <w:t>专业工程暂估价及结算价表（表</w:t>
      </w:r>
      <w:r>
        <w:rPr>
          <w:color w:val="auto"/>
        </w:rPr>
        <w:t>12-3</w:t>
      </w:r>
      <w:r>
        <w:rPr>
          <w:rFonts w:hint="eastAsia" w:cs="宋体"/>
          <w:color w:val="auto"/>
        </w:rPr>
        <w:t>）</w:t>
      </w:r>
    </w:p>
    <w:p w14:paraId="04F5421F">
      <w:pPr>
        <w:spacing w:line="360" w:lineRule="auto"/>
        <w:ind w:firstLine="630" w:firstLineChars="300"/>
        <w:rPr>
          <w:color w:val="auto"/>
        </w:rPr>
      </w:pPr>
      <w:r>
        <w:rPr>
          <w:color w:val="auto"/>
        </w:rPr>
        <w:t>1.15</w:t>
      </w:r>
      <w:r>
        <w:rPr>
          <w:rFonts w:hint="eastAsia" w:cs="宋体"/>
          <w:color w:val="auto"/>
        </w:rPr>
        <w:t>计日工表（表</w:t>
      </w:r>
      <w:r>
        <w:rPr>
          <w:color w:val="auto"/>
        </w:rPr>
        <w:t>12-4</w:t>
      </w:r>
      <w:r>
        <w:rPr>
          <w:rFonts w:hint="eastAsia" w:cs="宋体"/>
          <w:color w:val="auto"/>
        </w:rPr>
        <w:t>）</w:t>
      </w:r>
    </w:p>
    <w:p w14:paraId="4FF63FDB">
      <w:pPr>
        <w:spacing w:line="360" w:lineRule="auto"/>
        <w:ind w:firstLine="630" w:firstLineChars="300"/>
        <w:rPr>
          <w:color w:val="auto"/>
        </w:rPr>
      </w:pPr>
      <w:r>
        <w:rPr>
          <w:color w:val="auto"/>
        </w:rPr>
        <w:t xml:space="preserve">1.16 </w:t>
      </w:r>
      <w:r>
        <w:rPr>
          <w:rFonts w:hint="eastAsia" w:cs="宋体"/>
          <w:color w:val="auto"/>
        </w:rPr>
        <w:t>总承包服务费计价表（表</w:t>
      </w:r>
      <w:r>
        <w:rPr>
          <w:color w:val="auto"/>
        </w:rPr>
        <w:t>12-5</w:t>
      </w:r>
      <w:r>
        <w:rPr>
          <w:rFonts w:hint="eastAsia" w:cs="宋体"/>
          <w:color w:val="auto"/>
        </w:rPr>
        <w:t>）</w:t>
      </w:r>
    </w:p>
    <w:p w14:paraId="34FC8EEC">
      <w:pPr>
        <w:spacing w:line="360" w:lineRule="auto"/>
        <w:ind w:firstLine="630" w:firstLineChars="300"/>
        <w:rPr>
          <w:color w:val="auto"/>
        </w:rPr>
      </w:pPr>
      <w:r>
        <w:rPr>
          <w:color w:val="auto"/>
        </w:rPr>
        <w:t xml:space="preserve">1.17 </w:t>
      </w:r>
      <w:r>
        <w:rPr>
          <w:rFonts w:hint="eastAsia" w:cs="宋体"/>
          <w:color w:val="auto"/>
        </w:rPr>
        <w:t>税前项目清单与计价表（表</w:t>
      </w:r>
      <w:r>
        <w:rPr>
          <w:color w:val="auto"/>
        </w:rPr>
        <w:t>-14</w:t>
      </w:r>
      <w:r>
        <w:rPr>
          <w:rFonts w:hint="eastAsia" w:cs="宋体"/>
          <w:color w:val="auto"/>
        </w:rPr>
        <w:t>）</w:t>
      </w:r>
    </w:p>
    <w:p w14:paraId="5803CFD2">
      <w:pPr>
        <w:spacing w:line="360" w:lineRule="auto"/>
        <w:ind w:firstLine="630" w:firstLineChars="300"/>
        <w:rPr>
          <w:color w:val="auto"/>
        </w:rPr>
      </w:pPr>
      <w:r>
        <w:rPr>
          <w:color w:val="auto"/>
        </w:rPr>
        <w:t xml:space="preserve">1.18 </w:t>
      </w:r>
      <w:r>
        <w:rPr>
          <w:rFonts w:hint="eastAsia" w:cs="宋体"/>
          <w:color w:val="auto"/>
        </w:rPr>
        <w:t>规费、增值税计价表（表</w:t>
      </w:r>
      <w:r>
        <w:rPr>
          <w:color w:val="auto"/>
        </w:rPr>
        <w:t>-15</w:t>
      </w:r>
      <w:r>
        <w:rPr>
          <w:rFonts w:hint="eastAsia" w:cs="宋体"/>
          <w:color w:val="auto"/>
        </w:rPr>
        <w:t>）</w:t>
      </w:r>
    </w:p>
    <w:p w14:paraId="25488E32">
      <w:pPr>
        <w:spacing w:line="360" w:lineRule="auto"/>
        <w:ind w:firstLine="630" w:firstLineChars="300"/>
        <w:rPr>
          <w:color w:val="auto"/>
        </w:rPr>
      </w:pPr>
      <w:r>
        <w:rPr>
          <w:color w:val="auto"/>
        </w:rPr>
        <w:t xml:space="preserve">1.19 </w:t>
      </w:r>
      <w:r>
        <w:rPr>
          <w:rFonts w:hint="eastAsia" w:cs="宋体"/>
          <w:color w:val="auto"/>
        </w:rPr>
        <w:t>发包人提供主要材料和工程设备一览表（表</w:t>
      </w:r>
      <w:r>
        <w:rPr>
          <w:color w:val="auto"/>
        </w:rPr>
        <w:t>-21</w:t>
      </w:r>
      <w:r>
        <w:rPr>
          <w:rFonts w:hint="eastAsia" w:cs="宋体"/>
          <w:color w:val="auto"/>
        </w:rPr>
        <w:t>）</w:t>
      </w:r>
    </w:p>
    <w:p w14:paraId="6B83E502">
      <w:pPr>
        <w:spacing w:line="360" w:lineRule="auto"/>
        <w:ind w:firstLine="630" w:firstLineChars="300"/>
        <w:rPr>
          <w:color w:val="auto"/>
        </w:rPr>
      </w:pPr>
      <w:r>
        <w:rPr>
          <w:color w:val="auto"/>
        </w:rPr>
        <w:t xml:space="preserve">1.20 </w:t>
      </w:r>
      <w:r>
        <w:rPr>
          <w:rFonts w:hint="eastAsia" w:cs="宋体"/>
          <w:color w:val="auto"/>
        </w:rPr>
        <w:t>允许调整主要材料和工程设备一览表（适用于造价信息差额调整法）（表</w:t>
      </w:r>
      <w:r>
        <w:rPr>
          <w:color w:val="auto"/>
        </w:rPr>
        <w:t>-22</w:t>
      </w:r>
      <w:r>
        <w:rPr>
          <w:rFonts w:hint="eastAsia" w:cs="宋体"/>
          <w:color w:val="auto"/>
        </w:rPr>
        <w:t>）</w:t>
      </w:r>
    </w:p>
    <w:p w14:paraId="3DF57D8E">
      <w:pPr>
        <w:spacing w:line="360" w:lineRule="auto"/>
        <w:ind w:firstLine="630" w:firstLineChars="300"/>
        <w:rPr>
          <w:color w:val="auto"/>
        </w:rPr>
      </w:pPr>
      <w:r>
        <w:rPr>
          <w:color w:val="auto"/>
        </w:rPr>
        <w:t xml:space="preserve">1.21 </w:t>
      </w:r>
      <w:r>
        <w:rPr>
          <w:rFonts w:hint="eastAsia" w:cs="宋体"/>
          <w:color w:val="auto"/>
        </w:rPr>
        <w:t>允许调整主要材料和工程设备一览表（适用于价格指数差额调整法）（表</w:t>
      </w:r>
      <w:r>
        <w:rPr>
          <w:color w:val="auto"/>
        </w:rPr>
        <w:t>-23</w:t>
      </w:r>
      <w:r>
        <w:rPr>
          <w:rFonts w:hint="eastAsia" w:cs="宋体"/>
          <w:color w:val="auto"/>
        </w:rPr>
        <w:t>）</w:t>
      </w:r>
    </w:p>
    <w:p w14:paraId="0DDE85EF">
      <w:pPr>
        <w:spacing w:line="360" w:lineRule="auto"/>
        <w:ind w:firstLine="630" w:firstLineChars="300"/>
        <w:rPr>
          <w:color w:val="auto"/>
        </w:rPr>
      </w:pPr>
      <w:r>
        <w:rPr>
          <w:rFonts w:hint="eastAsia"/>
          <w:color w:val="auto"/>
        </w:rPr>
        <w:t>1.22</w:t>
      </w:r>
      <w:r>
        <w:rPr>
          <w:rFonts w:hint="eastAsia" w:cs="宋体"/>
          <w:color w:val="auto"/>
        </w:rPr>
        <w:t>本工程</w:t>
      </w:r>
      <w:r>
        <w:rPr>
          <w:rFonts w:cs="宋体"/>
          <w:color w:val="auto"/>
        </w:rPr>
        <w:t>材料和工程设备</w:t>
      </w:r>
      <w:r>
        <w:rPr>
          <w:rFonts w:hint="eastAsia" w:cs="宋体"/>
          <w:color w:val="auto"/>
        </w:rPr>
        <w:t>一览表（表-24）</w:t>
      </w:r>
    </w:p>
    <w:p w14:paraId="2CC4D108">
      <w:pPr>
        <w:spacing w:line="360" w:lineRule="auto"/>
        <w:rPr>
          <w:color w:val="auto"/>
        </w:rPr>
      </w:pPr>
      <w:r>
        <w:rPr>
          <w:rFonts w:hint="eastAsia" w:cs="宋体"/>
          <w:color w:val="auto"/>
        </w:rPr>
        <w:t>备注：</w:t>
      </w:r>
    </w:p>
    <w:p w14:paraId="1593E405">
      <w:pPr>
        <w:spacing w:line="360" w:lineRule="auto"/>
        <w:ind w:firstLine="420" w:firstLineChars="200"/>
        <w:rPr>
          <w:color w:val="auto"/>
        </w:rPr>
      </w:pPr>
      <w:r>
        <w:rPr>
          <w:rFonts w:hint="eastAsia" w:cs="宋体"/>
          <w:color w:val="auto"/>
        </w:rPr>
        <w:t>（</w:t>
      </w:r>
      <w:r>
        <w:rPr>
          <w:color w:val="auto"/>
        </w:rPr>
        <w:t>1</w:t>
      </w:r>
      <w:r>
        <w:rPr>
          <w:rFonts w:hint="eastAsia" w:cs="宋体"/>
          <w:color w:val="auto"/>
        </w:rPr>
        <w:t>）供应商在上传竞标报价文件时应上传纸质投标总价封面的原件扫描件。报标总价封面必须经供应商盖章，并由法定代表人（或其授权人）签字（或盖章），同时由编制人签字盖专用章。</w:t>
      </w:r>
    </w:p>
    <w:p w14:paraId="659F4B90">
      <w:pPr>
        <w:spacing w:line="360" w:lineRule="auto"/>
        <w:ind w:firstLine="420" w:firstLineChars="200"/>
        <w:rPr>
          <w:color w:val="auto"/>
        </w:rPr>
      </w:pPr>
      <w:r>
        <w:rPr>
          <w:rFonts w:hint="eastAsia" w:cs="宋体"/>
          <w:color w:val="auto"/>
        </w:rPr>
        <w:t>（</w:t>
      </w:r>
      <w:r>
        <w:rPr>
          <w:color w:val="auto"/>
        </w:rPr>
        <w:t>2</w:t>
      </w:r>
      <w:r>
        <w:rPr>
          <w:rFonts w:hint="eastAsia" w:cs="宋体"/>
          <w:color w:val="auto"/>
        </w:rPr>
        <w:t>）</w:t>
      </w:r>
      <w:r>
        <w:rPr>
          <w:color w:val="auto"/>
        </w:rPr>
        <w:t>1.8</w:t>
      </w:r>
      <w:r>
        <w:rPr>
          <w:rFonts w:hint="eastAsia" w:cs="宋体"/>
          <w:color w:val="auto"/>
        </w:rPr>
        <w:t>工程量清单综合单价分析表和</w:t>
      </w:r>
      <w:r>
        <w:rPr>
          <w:color w:val="auto"/>
        </w:rPr>
        <w:t>1.9</w:t>
      </w:r>
      <w:r>
        <w:rPr>
          <w:rFonts w:hint="eastAsia" w:cs="宋体"/>
          <w:color w:val="auto"/>
        </w:rPr>
        <w:t>主要清单项目工料机分析表要求附上。</w:t>
      </w:r>
    </w:p>
    <w:p w14:paraId="2B22B28C">
      <w:pPr>
        <w:spacing w:line="360" w:lineRule="auto"/>
        <w:ind w:firstLine="420" w:firstLineChars="200"/>
        <w:rPr>
          <w:color w:val="auto"/>
        </w:rPr>
      </w:pPr>
      <w:r>
        <w:rPr>
          <w:rFonts w:hint="eastAsia" w:cs="宋体"/>
          <w:color w:val="auto"/>
        </w:rPr>
        <w:t>（</w:t>
      </w:r>
      <w:r>
        <w:rPr>
          <w:color w:val="auto"/>
        </w:rPr>
        <w:t>3</w:t>
      </w:r>
      <w:r>
        <w:rPr>
          <w:rFonts w:hint="eastAsia" w:cs="宋体"/>
          <w:color w:val="auto"/>
        </w:rPr>
        <w:t>）已标价工程量清单表格要严格按照招标工程量清单给出的表格要求和内容填报。如本工程在合同中约定采用造价信息价差调整法，1.</w:t>
      </w:r>
      <w:r>
        <w:rPr>
          <w:color w:val="auto"/>
        </w:rPr>
        <w:t xml:space="preserve">18 </w:t>
      </w:r>
      <w:r>
        <w:rPr>
          <w:rFonts w:hint="eastAsia" w:cs="宋体"/>
          <w:color w:val="auto"/>
        </w:rPr>
        <w:t>允许调整主要材料和工程设备一览表（适用于造价信息差额调整法）（表</w:t>
      </w:r>
      <w:r>
        <w:rPr>
          <w:color w:val="auto"/>
        </w:rPr>
        <w:t>-22</w:t>
      </w:r>
      <w:r>
        <w:rPr>
          <w:rFonts w:hint="eastAsia" w:cs="宋体"/>
          <w:color w:val="auto"/>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6D287987">
      <w:pPr>
        <w:spacing w:line="360" w:lineRule="auto"/>
        <w:ind w:firstLine="420" w:firstLineChars="200"/>
        <w:rPr>
          <w:color w:val="auto"/>
        </w:rPr>
      </w:pPr>
      <w:r>
        <w:rPr>
          <w:rFonts w:hint="eastAsia" w:ascii="宋体" w:hAnsi="宋体" w:cs="宋体"/>
          <w:color w:val="auto"/>
        </w:rPr>
        <w:t>①</w:t>
      </w:r>
      <w:r>
        <w:rPr>
          <w:rFonts w:hint="eastAsia" w:cs="宋体"/>
          <w:color w:val="auto"/>
        </w:rPr>
        <w:t>建设项目投标报价汇总表（表</w:t>
      </w:r>
      <w:r>
        <w:rPr>
          <w:color w:val="auto"/>
        </w:rPr>
        <w:t>-02</w:t>
      </w:r>
      <w:r>
        <w:rPr>
          <w:rFonts w:hint="eastAsia" w:cs="宋体"/>
          <w:color w:val="auto"/>
        </w:rPr>
        <w:t>）</w:t>
      </w:r>
    </w:p>
    <w:p w14:paraId="44CB139F">
      <w:pPr>
        <w:spacing w:line="360" w:lineRule="auto"/>
        <w:ind w:firstLine="420" w:firstLineChars="200"/>
        <w:rPr>
          <w:color w:val="auto"/>
        </w:rPr>
      </w:pPr>
      <w:r>
        <w:rPr>
          <w:rFonts w:hint="eastAsia" w:cs="宋体"/>
          <w:color w:val="auto"/>
        </w:rPr>
        <w:t>②暂列金额明细表（表</w:t>
      </w:r>
      <w:r>
        <w:rPr>
          <w:color w:val="auto"/>
        </w:rPr>
        <w:t>12-1</w:t>
      </w:r>
      <w:r>
        <w:rPr>
          <w:rFonts w:hint="eastAsia" w:cs="宋体"/>
          <w:color w:val="auto"/>
        </w:rPr>
        <w:t>）</w:t>
      </w:r>
    </w:p>
    <w:p w14:paraId="3DBCA409">
      <w:pPr>
        <w:spacing w:line="360" w:lineRule="auto"/>
        <w:ind w:firstLine="420" w:firstLineChars="200"/>
        <w:rPr>
          <w:color w:val="auto"/>
        </w:rPr>
      </w:pPr>
      <w:r>
        <w:rPr>
          <w:rFonts w:hint="eastAsia" w:cs="宋体"/>
          <w:color w:val="auto"/>
        </w:rPr>
        <w:t>③材料（工程设备）暂估单位及调整表（表</w:t>
      </w:r>
      <w:r>
        <w:rPr>
          <w:color w:val="auto"/>
        </w:rPr>
        <w:t>12-2</w:t>
      </w:r>
      <w:r>
        <w:rPr>
          <w:rFonts w:hint="eastAsia" w:cs="宋体"/>
          <w:color w:val="auto"/>
        </w:rPr>
        <w:t>）</w:t>
      </w:r>
    </w:p>
    <w:p w14:paraId="08EDCEFB">
      <w:pPr>
        <w:spacing w:line="360" w:lineRule="auto"/>
        <w:ind w:firstLine="420" w:firstLineChars="200"/>
        <w:rPr>
          <w:color w:val="auto"/>
        </w:rPr>
      </w:pPr>
      <w:r>
        <w:rPr>
          <w:rFonts w:hint="eastAsia" w:cs="宋体"/>
          <w:color w:val="auto"/>
        </w:rPr>
        <w:t>④专业工程暂估价及结算价表（表</w:t>
      </w:r>
      <w:r>
        <w:rPr>
          <w:color w:val="auto"/>
        </w:rPr>
        <w:t>12-3</w:t>
      </w:r>
      <w:r>
        <w:rPr>
          <w:rFonts w:hint="eastAsia" w:cs="宋体"/>
          <w:color w:val="auto"/>
        </w:rPr>
        <w:t>）</w:t>
      </w:r>
    </w:p>
    <w:p w14:paraId="262A2144">
      <w:pPr>
        <w:spacing w:line="360" w:lineRule="auto"/>
        <w:ind w:firstLine="420" w:firstLineChars="200"/>
        <w:rPr>
          <w:color w:val="auto"/>
        </w:rPr>
      </w:pPr>
      <w:r>
        <w:rPr>
          <w:rFonts w:hint="eastAsia" w:cs="宋体"/>
          <w:color w:val="auto"/>
        </w:rPr>
        <w:t>⑤计日工表（表</w:t>
      </w:r>
      <w:r>
        <w:rPr>
          <w:color w:val="auto"/>
        </w:rPr>
        <w:t>12-4</w:t>
      </w:r>
      <w:r>
        <w:rPr>
          <w:rFonts w:hint="eastAsia" w:cs="宋体"/>
          <w:color w:val="auto"/>
        </w:rPr>
        <w:t>）</w:t>
      </w:r>
    </w:p>
    <w:p w14:paraId="394AFC61">
      <w:pPr>
        <w:spacing w:line="360" w:lineRule="auto"/>
        <w:ind w:firstLine="420" w:firstLineChars="200"/>
        <w:rPr>
          <w:color w:val="auto"/>
        </w:rPr>
      </w:pPr>
      <w:r>
        <w:rPr>
          <w:rFonts w:hint="eastAsia" w:cs="宋体"/>
          <w:color w:val="auto"/>
        </w:rPr>
        <w:t>⑥总承包服务费计价表（表</w:t>
      </w:r>
      <w:r>
        <w:rPr>
          <w:color w:val="auto"/>
        </w:rPr>
        <w:t>12-5</w:t>
      </w:r>
      <w:r>
        <w:rPr>
          <w:rFonts w:hint="eastAsia" w:cs="宋体"/>
          <w:color w:val="auto"/>
        </w:rPr>
        <w:t>）</w:t>
      </w:r>
    </w:p>
    <w:p w14:paraId="0CC0E471">
      <w:pPr>
        <w:spacing w:line="360" w:lineRule="auto"/>
        <w:ind w:firstLine="420" w:firstLineChars="200"/>
        <w:rPr>
          <w:color w:val="auto"/>
        </w:rPr>
      </w:pPr>
      <w:r>
        <w:rPr>
          <w:rFonts w:hint="eastAsia" w:cs="宋体"/>
          <w:color w:val="auto"/>
        </w:rPr>
        <w:t>⑦税前项目清单与计价表（表</w:t>
      </w:r>
      <w:r>
        <w:rPr>
          <w:color w:val="auto"/>
        </w:rPr>
        <w:t>-14</w:t>
      </w:r>
      <w:r>
        <w:rPr>
          <w:rFonts w:hint="eastAsia" w:cs="宋体"/>
          <w:color w:val="auto"/>
        </w:rPr>
        <w:t>）</w:t>
      </w:r>
    </w:p>
    <w:p w14:paraId="5F08764D">
      <w:pPr>
        <w:spacing w:line="360" w:lineRule="auto"/>
        <w:ind w:firstLine="420" w:firstLineChars="200"/>
        <w:rPr>
          <w:rFonts w:cs="宋体"/>
          <w:color w:val="auto"/>
        </w:rPr>
      </w:pPr>
      <w:r>
        <w:rPr>
          <w:rFonts w:hint="eastAsia"/>
          <w:color w:val="auto"/>
        </w:rPr>
        <w:fldChar w:fldCharType="begin"/>
      </w:r>
      <w:r>
        <w:rPr>
          <w:color w:val="auto"/>
        </w:rPr>
        <w:instrText xml:space="preserve"> = 8 \* GB3 </w:instrText>
      </w:r>
      <w:r>
        <w:rPr>
          <w:rFonts w:hint="eastAsia"/>
          <w:color w:val="auto"/>
        </w:rPr>
        <w:fldChar w:fldCharType="separate"/>
      </w:r>
      <w:r>
        <w:rPr>
          <w:rFonts w:hint="eastAsia"/>
          <w:color w:val="auto"/>
        </w:rPr>
        <w:t>⑧</w:t>
      </w:r>
      <w:r>
        <w:rPr>
          <w:rFonts w:hint="eastAsia"/>
          <w:color w:val="auto"/>
        </w:rPr>
        <w:fldChar w:fldCharType="end"/>
      </w:r>
      <w:r>
        <w:rPr>
          <w:color w:val="auto"/>
        </w:rPr>
        <w:t xml:space="preserve"> </w:t>
      </w:r>
      <w:r>
        <w:rPr>
          <w:rFonts w:hint="eastAsia" w:cs="宋体"/>
          <w:color w:val="auto"/>
        </w:rPr>
        <w:t>允许调整主要材料和工程设备一览表（适用于价格指数差额调整法）（表</w:t>
      </w:r>
      <w:r>
        <w:rPr>
          <w:color w:val="auto"/>
        </w:rPr>
        <w:t>-23</w:t>
      </w:r>
      <w:r>
        <w:rPr>
          <w:rFonts w:hint="eastAsia" w:cs="宋体"/>
          <w:color w:val="auto"/>
        </w:rPr>
        <w:t>）</w:t>
      </w:r>
    </w:p>
    <w:p w14:paraId="62AF4B1A">
      <w:pPr>
        <w:spacing w:line="360" w:lineRule="auto"/>
        <w:ind w:firstLine="420" w:firstLineChars="200"/>
        <w:contextualSpacing/>
        <w:jc w:val="left"/>
        <w:rPr>
          <w:rFonts w:hint="eastAsia" w:hAnsi="宋体" w:cs="宋体"/>
          <w:color w:val="auto"/>
          <w:kern w:val="0"/>
        </w:rPr>
      </w:pPr>
      <w:r>
        <w:rPr>
          <w:rFonts w:hint="eastAsia" w:cs="宋体"/>
          <w:color w:val="auto"/>
        </w:rPr>
        <w:t>注：</w:t>
      </w:r>
      <w:r>
        <w:rPr>
          <w:rFonts w:hint="eastAsia" w:hAnsi="宋体" w:cs="宋体"/>
          <w:color w:val="auto"/>
          <w:kern w:val="0"/>
        </w:rPr>
        <w:t>因2021年《广西壮族自治区园林绿化及仿古建筑工程费用定额》采用全费用综合单价形式，故园林绿化及仿古建筑工程的已标价工程量清单</w:t>
      </w:r>
      <w:r>
        <w:rPr>
          <w:rFonts w:hint="eastAsia" w:cs="黑体"/>
          <w:color w:val="auto"/>
        </w:rPr>
        <w:t>采用</w:t>
      </w:r>
      <w:r>
        <w:rPr>
          <w:rFonts w:hint="eastAsia" w:hAnsi="宋体" w:cs="宋体"/>
          <w:color w:val="auto"/>
          <w:kern w:val="0"/>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79E10A32">
      <w:pPr>
        <w:spacing w:line="360" w:lineRule="auto"/>
        <w:ind w:right="420"/>
        <w:contextualSpacing/>
        <w:jc w:val="center"/>
        <w:rPr>
          <w:rFonts w:hint="eastAsia" w:ascii="宋体" w:hAnsi="宋体"/>
          <w:b/>
          <w:color w:val="auto"/>
          <w:sz w:val="32"/>
          <w:szCs w:val="32"/>
        </w:rPr>
      </w:pPr>
      <w:r>
        <w:rPr>
          <w:rFonts w:ascii="宋体" w:hAnsi="宋体"/>
          <w:b/>
          <w:bCs/>
          <w:color w:val="auto"/>
          <w:sz w:val="32"/>
          <w:szCs w:val="32"/>
        </w:rPr>
        <w:br w:type="page"/>
      </w:r>
      <w:r>
        <w:rPr>
          <w:rFonts w:hint="eastAsia" w:ascii="宋体" w:hAnsi="宋体"/>
          <w:b/>
          <w:bCs/>
          <w:color w:val="auto"/>
          <w:sz w:val="32"/>
          <w:szCs w:val="32"/>
        </w:rPr>
        <w:t>三、</w:t>
      </w:r>
      <w:r>
        <w:rPr>
          <w:rFonts w:hint="eastAsia" w:ascii="宋体" w:hAnsi="宋体"/>
          <w:b/>
          <w:color w:val="auto"/>
          <w:sz w:val="32"/>
          <w:szCs w:val="32"/>
        </w:rPr>
        <w:t>商务技术文件格式</w:t>
      </w:r>
    </w:p>
    <w:p w14:paraId="495113A1">
      <w:pPr>
        <w:snapToGrid w:val="0"/>
        <w:spacing w:before="120" w:beforeLines="50" w:after="50" w:line="360" w:lineRule="auto"/>
        <w:jc w:val="left"/>
        <w:rPr>
          <w:rFonts w:hint="eastAsia" w:ascii="宋体" w:hAnsi="宋体"/>
          <w:b/>
          <w:color w:val="auto"/>
          <w:sz w:val="32"/>
          <w:szCs w:val="32"/>
        </w:rPr>
      </w:pPr>
      <w:r>
        <w:rPr>
          <w:rFonts w:hint="eastAsia" w:ascii="宋体" w:hAnsi="宋体"/>
          <w:b/>
          <w:color w:val="auto"/>
          <w:sz w:val="32"/>
          <w:szCs w:val="32"/>
        </w:rPr>
        <w:t>1.商务技术文件封面格式</w:t>
      </w:r>
    </w:p>
    <w:p w14:paraId="466ADDE1">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p>
    <w:p w14:paraId="0CCEEB24">
      <w:pPr>
        <w:snapToGrid w:val="0"/>
        <w:spacing w:before="120" w:beforeLines="50" w:after="50"/>
        <w:jc w:val="center"/>
        <w:rPr>
          <w:rFonts w:hint="eastAsia" w:ascii="宋体" w:hAnsi="宋体"/>
          <w:color w:val="auto"/>
          <w:sz w:val="24"/>
          <w:szCs w:val="20"/>
        </w:rPr>
      </w:pPr>
      <w:r>
        <w:rPr>
          <w:rFonts w:hint="eastAsia" w:ascii="宋体" w:hAnsi="宋体"/>
          <w:color w:val="auto"/>
          <w:sz w:val="44"/>
          <w:szCs w:val="44"/>
        </w:rPr>
        <w:t>电 子 响 应 文 件</w:t>
      </w:r>
    </w:p>
    <w:p w14:paraId="791F74DA">
      <w:pPr>
        <w:snapToGrid w:val="0"/>
        <w:spacing w:before="120" w:beforeLines="50" w:after="50"/>
        <w:rPr>
          <w:rFonts w:hint="eastAsia" w:ascii="宋体" w:hAnsi="宋体"/>
          <w:color w:val="auto"/>
          <w:sz w:val="24"/>
          <w:szCs w:val="20"/>
        </w:rPr>
      </w:pPr>
    </w:p>
    <w:p w14:paraId="46D2D8EA">
      <w:pPr>
        <w:snapToGrid w:val="0"/>
        <w:spacing w:before="120" w:beforeLines="50" w:after="50"/>
        <w:rPr>
          <w:rFonts w:hint="eastAsia" w:ascii="宋体" w:hAnsi="宋体"/>
          <w:color w:val="auto"/>
          <w:sz w:val="24"/>
          <w:szCs w:val="20"/>
        </w:rPr>
      </w:pPr>
    </w:p>
    <w:p w14:paraId="21D85D74">
      <w:pPr>
        <w:snapToGrid w:val="0"/>
        <w:spacing w:before="120" w:beforeLines="50" w:after="5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  务  技  术  文  件</w:t>
      </w:r>
    </w:p>
    <w:p w14:paraId="0485F9D2">
      <w:pPr>
        <w:snapToGrid w:val="0"/>
        <w:spacing w:before="120" w:beforeLines="50" w:after="50"/>
        <w:rPr>
          <w:rFonts w:hint="eastAsia" w:ascii="宋体" w:hAnsi="宋体"/>
          <w:bCs/>
          <w:color w:val="auto"/>
          <w:sz w:val="24"/>
          <w:szCs w:val="20"/>
        </w:rPr>
      </w:pPr>
    </w:p>
    <w:p w14:paraId="22CD9621">
      <w:pPr>
        <w:snapToGrid w:val="0"/>
        <w:spacing w:before="120" w:beforeLines="50" w:after="50"/>
        <w:rPr>
          <w:rFonts w:hint="eastAsia" w:ascii="宋体" w:hAnsi="宋体"/>
          <w:bCs/>
          <w:color w:val="auto"/>
          <w:sz w:val="24"/>
          <w:szCs w:val="20"/>
        </w:rPr>
      </w:pPr>
    </w:p>
    <w:p w14:paraId="4405233D">
      <w:pPr>
        <w:snapToGrid w:val="0"/>
        <w:spacing w:before="120" w:beforeLines="50" w:after="50"/>
        <w:rPr>
          <w:rFonts w:hint="eastAsia" w:ascii="宋体" w:hAnsi="宋体"/>
          <w:bCs/>
          <w:color w:val="auto"/>
          <w:sz w:val="24"/>
          <w:szCs w:val="20"/>
        </w:rPr>
      </w:pPr>
    </w:p>
    <w:p w14:paraId="1425BE4B">
      <w:pPr>
        <w:snapToGrid w:val="0"/>
        <w:spacing w:before="120" w:beforeLines="50" w:after="50"/>
        <w:rPr>
          <w:rFonts w:hint="eastAsia" w:ascii="宋体" w:hAnsi="宋体"/>
          <w:bCs/>
          <w:color w:val="auto"/>
          <w:sz w:val="24"/>
          <w:szCs w:val="20"/>
        </w:rPr>
      </w:pPr>
    </w:p>
    <w:p w14:paraId="070202A4">
      <w:pPr>
        <w:snapToGrid w:val="0"/>
        <w:spacing w:before="120" w:beforeLines="50" w:after="50"/>
        <w:rPr>
          <w:rFonts w:hint="eastAsia" w:ascii="宋体" w:hAnsi="宋体"/>
          <w:bCs/>
          <w:color w:val="auto"/>
          <w:sz w:val="24"/>
          <w:szCs w:val="20"/>
        </w:rPr>
      </w:pPr>
    </w:p>
    <w:p w14:paraId="732BF450">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78489DBD">
      <w:pPr>
        <w:snapToGrid w:val="0"/>
        <w:spacing w:before="120" w:beforeLines="50" w:after="50"/>
        <w:ind w:firstLine="720" w:firstLineChars="225"/>
        <w:rPr>
          <w:rFonts w:hint="eastAsia" w:ascii="宋体" w:hAnsi="宋体" w:cs="仿宋_GB2312"/>
          <w:bCs/>
          <w:color w:val="auto"/>
          <w:sz w:val="32"/>
          <w:szCs w:val="32"/>
        </w:rPr>
      </w:pPr>
    </w:p>
    <w:p w14:paraId="14D86575">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4CB8EE7A">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14:paraId="6DA1A844">
      <w:pPr>
        <w:snapToGrid w:val="0"/>
        <w:spacing w:before="120" w:beforeLines="50" w:after="50"/>
        <w:ind w:firstLine="720" w:firstLineChars="225"/>
        <w:rPr>
          <w:rFonts w:hint="eastAsia" w:ascii="宋体" w:hAnsi="宋体" w:cs="仿宋_GB2312"/>
          <w:bCs/>
          <w:color w:val="auto"/>
          <w:sz w:val="32"/>
          <w:szCs w:val="32"/>
        </w:rPr>
      </w:pPr>
    </w:p>
    <w:p w14:paraId="6DC132C2">
      <w:pPr>
        <w:pStyle w:val="8"/>
        <w:snapToGrid w:val="0"/>
        <w:spacing w:before="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27C538A2">
      <w:pPr>
        <w:pStyle w:val="8"/>
        <w:snapToGrid w:val="0"/>
        <w:spacing w:before="50" w:after="50"/>
        <w:ind w:firstLine="640" w:firstLineChars="200"/>
        <w:rPr>
          <w:rFonts w:hint="eastAsia" w:ascii="宋体" w:hAnsi="宋体" w:cs="仿宋_GB2312"/>
          <w:bCs/>
          <w:color w:val="auto"/>
          <w:sz w:val="32"/>
          <w:szCs w:val="32"/>
        </w:rPr>
      </w:pPr>
    </w:p>
    <w:p w14:paraId="541A77F1">
      <w:pPr>
        <w:pStyle w:val="8"/>
        <w:snapToGrid w:val="0"/>
        <w:spacing w:before="50" w:after="50"/>
        <w:ind w:firstLine="720" w:firstLineChars="225"/>
        <w:rPr>
          <w:rFonts w:hint="eastAsia" w:ascii="宋体" w:hAnsi="宋体" w:cs="仿宋_GB2312"/>
          <w:bCs/>
          <w:color w:val="auto"/>
          <w:sz w:val="32"/>
          <w:szCs w:val="32"/>
        </w:rPr>
      </w:pPr>
    </w:p>
    <w:p w14:paraId="16783145">
      <w:pPr>
        <w:pStyle w:val="8"/>
        <w:snapToGrid w:val="0"/>
        <w:spacing w:before="50" w:after="50"/>
        <w:ind w:firstLine="0"/>
        <w:rPr>
          <w:rFonts w:hint="eastAsia" w:ascii="宋体" w:hAnsi="宋体" w:cs="仿宋_GB2312"/>
          <w:bCs/>
          <w:color w:val="auto"/>
          <w:sz w:val="32"/>
          <w:szCs w:val="32"/>
        </w:rPr>
      </w:pPr>
    </w:p>
    <w:p w14:paraId="1C06D9F1">
      <w:pPr>
        <w:pStyle w:val="8"/>
        <w:snapToGrid w:val="0"/>
        <w:spacing w:before="50" w:after="50"/>
        <w:ind w:firstLine="1280" w:firstLineChars="400"/>
        <w:rPr>
          <w:rFonts w:hint="eastAsia" w:ascii="宋体" w:hAnsi="宋体" w:cs="仿宋_GB2312"/>
          <w:bCs/>
          <w:color w:val="auto"/>
          <w:sz w:val="32"/>
          <w:szCs w:val="32"/>
        </w:rPr>
      </w:pPr>
    </w:p>
    <w:p w14:paraId="4DE3BD07">
      <w:pPr>
        <w:snapToGrid w:val="0"/>
        <w:spacing w:before="120"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34D7A483">
      <w:pPr>
        <w:snapToGrid w:val="0"/>
        <w:spacing w:before="120" w:beforeLines="50" w:after="50" w:line="360" w:lineRule="auto"/>
        <w:ind w:right="480" w:firstLine="240" w:firstLineChars="100"/>
        <w:jc w:val="left"/>
        <w:rPr>
          <w:rFonts w:hint="eastAsia"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14:paraId="4FCF0FCE">
      <w:pPr>
        <w:snapToGrid w:val="0"/>
        <w:spacing w:before="120" w:beforeLines="50" w:after="50" w:line="360" w:lineRule="auto"/>
        <w:ind w:firstLine="640" w:firstLineChars="200"/>
        <w:rPr>
          <w:rFonts w:hint="eastAsia" w:ascii="宋体" w:hAnsi="宋体"/>
          <w:color w:val="auto"/>
          <w:sz w:val="32"/>
          <w:szCs w:val="32"/>
        </w:rPr>
      </w:pPr>
      <w:r>
        <w:rPr>
          <w:rFonts w:hint="eastAsia" w:ascii="宋体" w:hAnsi="宋体"/>
          <w:color w:val="auto"/>
          <w:sz w:val="32"/>
          <w:szCs w:val="32"/>
        </w:rPr>
        <w:t>根据谈判文件规定及供应商提供的材料自行编写目录（部分格式后附）。</w:t>
      </w:r>
    </w:p>
    <w:p w14:paraId="559E1FFC">
      <w:pPr>
        <w:spacing w:line="400" w:lineRule="exact"/>
        <w:rPr>
          <w:rFonts w:hint="eastAsia" w:ascii="仿宋_GB2312" w:hAnsi="仿宋_GB2312" w:eastAsia="仿宋_GB2312" w:cs="仿宋_GB2312"/>
          <w:color w:val="auto"/>
          <w:sz w:val="32"/>
          <w:szCs w:val="32"/>
        </w:rPr>
      </w:pPr>
    </w:p>
    <w:p w14:paraId="2E3DF1B2">
      <w:pPr>
        <w:spacing w:line="520" w:lineRule="exact"/>
        <w:jc w:val="center"/>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14:paraId="196E09C4">
      <w:pPr>
        <w:spacing w:line="360" w:lineRule="auto"/>
        <w:ind w:firstLine="640" w:firstLineChars="200"/>
        <w:contextualSpacing/>
        <w:rPr>
          <w:rFonts w:hint="eastAsia" w:ascii="仿宋_GB2312" w:hAnsi="仿宋_GB2312" w:eastAsia="仿宋_GB2312" w:cs="仿宋_GB2312"/>
          <w:color w:val="auto"/>
          <w:sz w:val="32"/>
          <w:szCs w:val="32"/>
        </w:rPr>
      </w:pPr>
    </w:p>
    <w:p w14:paraId="2D795E59">
      <w:pPr>
        <w:spacing w:line="360" w:lineRule="auto"/>
        <w:ind w:firstLine="482" w:firstLineChars="200"/>
        <w:contextualSpacing/>
        <w:rPr>
          <w:rFonts w:hint="eastAsia" w:ascii="宋体" w:hAnsi="宋体" w:cs="仿宋_GB2312"/>
          <w:b/>
          <w:bCs/>
          <w:color w:val="auto"/>
          <w:sz w:val="24"/>
        </w:rPr>
      </w:pPr>
      <w:r>
        <w:rPr>
          <w:rFonts w:hint="eastAsia" w:ascii="宋体" w:hAnsi="宋体" w:cs="仿宋_GB2312"/>
          <w:b/>
          <w:bCs/>
          <w:color w:val="auto"/>
          <w:sz w:val="24"/>
        </w:rPr>
        <w:t>一、我方承诺无下列相互串通竞标的情形：</w:t>
      </w:r>
    </w:p>
    <w:p w14:paraId="24255460">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 xml:space="preserve">1.不同供应商的响应文件由同一单位或者个人编制； </w:t>
      </w:r>
    </w:p>
    <w:p w14:paraId="4722AAC3">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2.不同供应商委托同一单位或者个人办理竞标事宜；</w:t>
      </w:r>
    </w:p>
    <w:p w14:paraId="17FDC40C">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3.不同供应商的响应文件载明的项目管理员为同一个人；</w:t>
      </w:r>
    </w:p>
    <w:p w14:paraId="7D56C597">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14:paraId="04E72BC5">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5.不同供应商的响应文件相互混装；</w:t>
      </w:r>
    </w:p>
    <w:p w14:paraId="3386C60F">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6.不同供应商的谈判保证金从同一单位或者个人账户转出。</w:t>
      </w:r>
    </w:p>
    <w:p w14:paraId="54690EB5">
      <w:pPr>
        <w:spacing w:line="360" w:lineRule="auto"/>
        <w:ind w:firstLine="482" w:firstLineChars="200"/>
        <w:contextualSpacing/>
        <w:rPr>
          <w:rFonts w:hint="eastAsia" w:ascii="宋体" w:hAnsi="宋体" w:cs="仿宋_GB2312"/>
          <w:b/>
          <w:bCs/>
          <w:color w:val="auto"/>
          <w:sz w:val="24"/>
        </w:rPr>
      </w:pPr>
      <w:r>
        <w:rPr>
          <w:rFonts w:hint="eastAsia" w:ascii="宋体" w:hAnsi="宋体" w:cs="仿宋_GB2312"/>
          <w:b/>
          <w:bCs/>
          <w:color w:val="auto"/>
          <w:sz w:val="24"/>
        </w:rPr>
        <w:t>二、我方承诺无下列恶意串通的情形：</w:t>
      </w:r>
    </w:p>
    <w:p w14:paraId="5D6606C0">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14:paraId="2E1DDB27">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14:paraId="4A6D341E">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14:paraId="5A7551A4">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14:paraId="61C9EC40">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5.供应商之间事先约定一致抬高或者压低竞标报价，或者在竞争性谈判项目中事先约定轮流以高价位或者低价位成交，或者事先约定由某一特定供应商成交，然后再参加竞标；</w:t>
      </w:r>
    </w:p>
    <w:p w14:paraId="1A792DC4">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14:paraId="35DD7BDD">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14:paraId="0CE5A7F4">
      <w:pPr>
        <w:spacing w:line="360" w:lineRule="auto"/>
        <w:ind w:firstLine="480" w:firstLineChars="200"/>
        <w:contextualSpacing/>
        <w:rPr>
          <w:rFonts w:hint="eastAsia" w:ascii="宋体" w:hAnsi="宋体" w:cs="仿宋_GB2312"/>
          <w:color w:val="auto"/>
          <w:sz w:val="24"/>
        </w:rPr>
      </w:pPr>
    </w:p>
    <w:p w14:paraId="6168E6DF">
      <w:pPr>
        <w:spacing w:line="360" w:lineRule="auto"/>
        <w:ind w:firstLine="482" w:firstLineChars="200"/>
        <w:contextualSpacing/>
        <w:rPr>
          <w:rFonts w:hint="eastAsia"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14:paraId="106DF1CD">
      <w:pPr>
        <w:spacing w:line="360" w:lineRule="auto"/>
        <w:contextualSpacing/>
        <w:rPr>
          <w:rFonts w:hint="eastAsia" w:ascii="宋体" w:hAnsi="宋体" w:cs="仿宋_GB2312"/>
          <w:color w:val="auto"/>
          <w:sz w:val="24"/>
        </w:rPr>
      </w:pPr>
    </w:p>
    <w:p w14:paraId="64E1F174">
      <w:pPr>
        <w:spacing w:line="360" w:lineRule="auto"/>
        <w:ind w:firstLine="3600" w:firstLineChars="1500"/>
        <w:contextualSpacing/>
        <w:rPr>
          <w:rFonts w:hint="eastAsia" w:ascii="宋体" w:hAnsi="宋体" w:cs="仿宋_GB2312"/>
          <w:color w:val="auto"/>
          <w:sz w:val="24"/>
        </w:rPr>
      </w:pPr>
      <w:r>
        <w:rPr>
          <w:rFonts w:hint="eastAsia" w:ascii="宋体" w:hAnsi="宋体" w:cs="仿宋_GB2312"/>
          <w:color w:val="auto"/>
          <w:sz w:val="24"/>
        </w:rPr>
        <w:t>供应商（电子签章）：</w:t>
      </w:r>
    </w:p>
    <w:p w14:paraId="4AF8E0E2">
      <w:pPr>
        <w:spacing w:line="360" w:lineRule="auto"/>
        <w:ind w:firstLine="480" w:firstLineChars="200"/>
        <w:contextualSpacing/>
        <w:jc w:val="center"/>
        <w:rPr>
          <w:rFonts w:hint="eastAsia"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14:paraId="48D80D9A">
      <w:pPr>
        <w:spacing w:line="520" w:lineRule="exact"/>
        <w:jc w:val="center"/>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法定代表人证明书</w:t>
      </w:r>
    </w:p>
    <w:p w14:paraId="238E9C12">
      <w:pPr>
        <w:spacing w:line="360" w:lineRule="auto"/>
        <w:ind w:left="540"/>
        <w:contextualSpacing/>
        <w:rPr>
          <w:rFonts w:hint="eastAsia" w:ascii="仿宋_GB2312" w:hAnsi="仿宋_GB2312" w:eastAsia="仿宋_GB2312" w:cs="仿宋_GB2312"/>
          <w:color w:val="auto"/>
          <w:sz w:val="32"/>
          <w:szCs w:val="32"/>
        </w:rPr>
      </w:pPr>
    </w:p>
    <w:p w14:paraId="31063130">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p>
    <w:p w14:paraId="5599BF53">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地    址：</w:t>
      </w:r>
      <w:r>
        <w:rPr>
          <w:rFonts w:hint="eastAsia" w:ascii="宋体" w:hAnsi="宋体" w:cs="仿宋_GB2312"/>
          <w:color w:val="auto"/>
          <w:sz w:val="24"/>
          <w:u w:val="single"/>
        </w:rPr>
        <w:t xml:space="preserve">                                                        </w:t>
      </w:r>
    </w:p>
    <w:p w14:paraId="064DB889">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姓    名：</w:t>
      </w:r>
      <w:r>
        <w:rPr>
          <w:rFonts w:hint="eastAsia" w:ascii="宋体" w:hAnsi="宋体" w:cs="仿宋_GB2312"/>
          <w:color w:val="auto"/>
          <w:sz w:val="24"/>
          <w:u w:val="single"/>
        </w:rPr>
        <w:t xml:space="preserve">                </w:t>
      </w:r>
      <w:r>
        <w:rPr>
          <w:rFonts w:hint="eastAsia" w:ascii="宋体" w:hAnsi="宋体" w:cs="仿宋_GB2312"/>
          <w:color w:val="auto"/>
          <w:sz w:val="24"/>
        </w:rPr>
        <w:t>性     别：</w:t>
      </w:r>
      <w:r>
        <w:rPr>
          <w:rFonts w:hint="eastAsia" w:ascii="宋体" w:hAnsi="宋体" w:cs="仿宋_GB2312"/>
          <w:color w:val="auto"/>
          <w:sz w:val="24"/>
          <w:u w:val="single"/>
        </w:rPr>
        <w:t xml:space="preserve">                </w:t>
      </w:r>
    </w:p>
    <w:p w14:paraId="6EAD0A07">
      <w:pPr>
        <w:spacing w:line="360" w:lineRule="auto"/>
        <w:ind w:left="540"/>
        <w:contextualSpacing/>
        <w:rPr>
          <w:rFonts w:hint="eastAsia" w:ascii="宋体" w:hAnsi="宋体" w:cs="仿宋_GB2312"/>
          <w:color w:val="auto"/>
          <w:sz w:val="24"/>
          <w:u w:val="single"/>
        </w:rPr>
      </w:pPr>
      <w:r>
        <w:rPr>
          <w:rFonts w:hint="eastAsia" w:ascii="宋体" w:hAnsi="宋体" w:cs="仿宋_GB2312"/>
          <w:color w:val="auto"/>
          <w:sz w:val="24"/>
        </w:rPr>
        <w:t>年    龄：</w:t>
      </w:r>
      <w:r>
        <w:rPr>
          <w:rFonts w:hint="eastAsia" w:ascii="宋体" w:hAnsi="宋体" w:cs="仿宋_GB2312"/>
          <w:color w:val="auto"/>
          <w:sz w:val="24"/>
          <w:u w:val="single"/>
        </w:rPr>
        <w:t xml:space="preserve">                </w:t>
      </w:r>
      <w:r>
        <w:rPr>
          <w:rFonts w:hint="eastAsia" w:ascii="宋体" w:hAnsi="宋体" w:cs="仿宋_GB2312"/>
          <w:color w:val="auto"/>
          <w:sz w:val="24"/>
        </w:rPr>
        <w:t>职     务：</w:t>
      </w:r>
      <w:r>
        <w:rPr>
          <w:rFonts w:hint="eastAsia" w:ascii="宋体" w:hAnsi="宋体" w:cs="仿宋_GB2312"/>
          <w:color w:val="auto"/>
          <w:sz w:val="24"/>
          <w:u w:val="single"/>
        </w:rPr>
        <w:t xml:space="preserve">                </w:t>
      </w:r>
    </w:p>
    <w:p w14:paraId="7F669976">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p>
    <w:p w14:paraId="1E1A4BDD">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14:paraId="71DD2AD5">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特此证明。</w:t>
      </w:r>
    </w:p>
    <w:p w14:paraId="4CC12D81">
      <w:pPr>
        <w:spacing w:line="360" w:lineRule="auto"/>
        <w:ind w:left="540"/>
        <w:contextualSpacing/>
        <w:rPr>
          <w:rFonts w:hint="eastAsia" w:ascii="宋体" w:hAnsi="宋体" w:cs="仿宋_GB2312"/>
          <w:color w:val="auto"/>
          <w:sz w:val="24"/>
        </w:rPr>
      </w:pPr>
    </w:p>
    <w:p w14:paraId="29FB9F15">
      <w:pPr>
        <w:spacing w:line="360" w:lineRule="auto"/>
        <w:ind w:left="540"/>
        <w:contextualSpacing/>
        <w:rPr>
          <w:rFonts w:hint="eastAsia" w:ascii="宋体" w:hAnsi="宋体" w:cs="仿宋_GB2312"/>
          <w:color w:val="auto"/>
          <w:sz w:val="24"/>
        </w:rPr>
      </w:pPr>
    </w:p>
    <w:p w14:paraId="3512ADB7">
      <w:pPr>
        <w:spacing w:line="360" w:lineRule="auto"/>
        <w:ind w:left="540"/>
        <w:contextualSpacing/>
        <w:rPr>
          <w:rFonts w:hint="eastAsia" w:ascii="宋体" w:hAnsi="宋体" w:cs="仿宋_GB2312"/>
          <w:color w:val="auto"/>
          <w:sz w:val="24"/>
        </w:rPr>
      </w:pPr>
    </w:p>
    <w:p w14:paraId="289F0B17">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附件：法定代表人有效身份证正反面复印件</w:t>
      </w:r>
    </w:p>
    <w:p w14:paraId="78794160">
      <w:pPr>
        <w:spacing w:line="360" w:lineRule="auto"/>
        <w:ind w:left="540"/>
        <w:contextualSpacing/>
        <w:rPr>
          <w:rFonts w:hint="eastAsia" w:ascii="宋体" w:hAnsi="宋体" w:cs="仿宋_GB2312"/>
          <w:color w:val="auto"/>
          <w:sz w:val="24"/>
        </w:rPr>
      </w:pPr>
    </w:p>
    <w:p w14:paraId="5ECDFFC7">
      <w:pPr>
        <w:spacing w:line="360" w:lineRule="auto"/>
        <w:ind w:left="540" w:firstLine="3000" w:firstLineChars="1250"/>
        <w:contextualSpacing/>
        <w:jc w:val="left"/>
        <w:rPr>
          <w:rFonts w:hint="eastAsia" w:ascii="宋体" w:hAnsi="宋体" w:cs="仿宋_GB2312"/>
          <w:color w:val="auto"/>
          <w:sz w:val="24"/>
        </w:rPr>
      </w:pPr>
      <w:r>
        <w:rPr>
          <w:rFonts w:hint="eastAsia" w:ascii="宋体" w:hAnsi="宋体" w:cs="仿宋_GB2312"/>
          <w:color w:val="auto"/>
          <w:sz w:val="24"/>
        </w:rPr>
        <w:t>供应商（电子签章）：</w:t>
      </w:r>
      <w:r>
        <w:rPr>
          <w:rFonts w:hint="eastAsia" w:ascii="宋体" w:hAnsi="宋体" w:cs="仿宋_GB2312"/>
          <w:color w:val="auto"/>
          <w:sz w:val="24"/>
          <w:u w:val="single"/>
        </w:rPr>
        <w:t xml:space="preserve">               </w:t>
      </w:r>
    </w:p>
    <w:p w14:paraId="1FDA5188">
      <w:pPr>
        <w:spacing w:line="360" w:lineRule="auto"/>
        <w:ind w:firstLine="4080" w:firstLineChars="1700"/>
        <w:contextualSpacing/>
        <w:rPr>
          <w:rFonts w:hint="eastAsia" w:ascii="宋体" w:hAnsi="宋体" w:cs="仿宋_GB2312"/>
          <w:color w:val="auto"/>
          <w:sz w:val="24"/>
        </w:rPr>
      </w:pPr>
      <w:r>
        <w:rPr>
          <w:rFonts w:hint="eastAsia" w:ascii="宋体" w:hAnsi="宋体" w:cs="仿宋_GB2312"/>
          <w:color w:val="auto"/>
          <w:sz w:val="24"/>
          <w:u w:val="single"/>
        </w:rPr>
        <w:t xml:space="preserve">     </w:t>
      </w:r>
      <w:r>
        <w:rPr>
          <w:rFonts w:hint="eastAsia" w:ascii="宋体" w:hAnsi="宋体" w:cs="仿宋_GB2312"/>
          <w:color w:val="auto"/>
          <w:sz w:val="24"/>
        </w:rPr>
        <w:t>年</w:t>
      </w:r>
      <w:r>
        <w:rPr>
          <w:rFonts w:hint="eastAsia" w:ascii="宋体" w:hAnsi="宋体" w:cs="仿宋_GB2312"/>
          <w:color w:val="auto"/>
          <w:sz w:val="24"/>
          <w:u w:val="single"/>
        </w:rPr>
        <w:t xml:space="preserve">     </w:t>
      </w:r>
      <w:r>
        <w:rPr>
          <w:rFonts w:hint="eastAsia" w:ascii="宋体" w:hAnsi="宋体" w:cs="仿宋_GB2312"/>
          <w:color w:val="auto"/>
          <w:sz w:val="24"/>
        </w:rPr>
        <w:t>月</w:t>
      </w:r>
      <w:r>
        <w:rPr>
          <w:rFonts w:hint="eastAsia" w:ascii="宋体" w:hAnsi="宋体" w:cs="仿宋_GB2312"/>
          <w:color w:val="auto"/>
          <w:sz w:val="24"/>
          <w:u w:val="single"/>
        </w:rPr>
        <w:t xml:space="preserve">     </w:t>
      </w:r>
      <w:r>
        <w:rPr>
          <w:rFonts w:hint="eastAsia" w:ascii="宋体" w:hAnsi="宋体" w:cs="仿宋_GB2312"/>
          <w:color w:val="auto"/>
          <w:sz w:val="24"/>
        </w:rPr>
        <w:t>日</w:t>
      </w:r>
    </w:p>
    <w:p w14:paraId="157698E3">
      <w:pPr>
        <w:spacing w:line="360" w:lineRule="auto"/>
        <w:contextualSpacing/>
        <w:jc w:val="center"/>
        <w:rPr>
          <w:rFonts w:hint="eastAsia" w:ascii="宋体" w:hAnsi="宋体" w:cs="仿宋_GB2312"/>
          <w:b/>
          <w:color w:val="auto"/>
          <w:sz w:val="24"/>
        </w:rPr>
      </w:pPr>
    </w:p>
    <w:p w14:paraId="01D40513">
      <w:pPr>
        <w:spacing w:line="360" w:lineRule="auto"/>
        <w:contextualSpacing/>
        <w:jc w:val="left"/>
        <w:rPr>
          <w:rFonts w:hint="eastAsia" w:ascii="宋体" w:hAnsi="宋体" w:cs="仿宋_GB2312"/>
          <w:color w:val="auto"/>
          <w:sz w:val="24"/>
        </w:rPr>
      </w:pPr>
    </w:p>
    <w:p w14:paraId="3DD35DC1">
      <w:pPr>
        <w:spacing w:line="360" w:lineRule="auto"/>
        <w:contextualSpacing/>
        <w:jc w:val="left"/>
        <w:rPr>
          <w:rFonts w:hint="eastAsia" w:ascii="宋体" w:hAnsi="宋体" w:cs="仿宋_GB2312"/>
          <w:color w:val="auto"/>
          <w:sz w:val="24"/>
        </w:rPr>
      </w:pPr>
    </w:p>
    <w:p w14:paraId="70C08343">
      <w:pPr>
        <w:adjustRightInd w:val="0"/>
        <w:snapToGrid w:val="0"/>
        <w:spacing w:line="300" w:lineRule="auto"/>
        <w:jc w:val="left"/>
        <w:rPr>
          <w:rFonts w:hint="eastAsia" w:ascii="宋体" w:hAnsi="宋体"/>
          <w:b/>
          <w:color w:val="auto"/>
          <w:szCs w:val="21"/>
        </w:rPr>
      </w:pPr>
    </w:p>
    <w:p w14:paraId="2478A37E">
      <w:pPr>
        <w:spacing w:line="5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ascii="方正小标宋简体" w:hAnsi="方正小标宋简体" w:eastAsia="方正小标宋简体" w:cs="方正小标宋简体"/>
          <w:color w:val="auto"/>
          <w:sz w:val="44"/>
          <w:szCs w:val="44"/>
        </w:rPr>
        <w:t xml:space="preserve"> </w:t>
      </w:r>
      <w:bookmarkStart w:id="101" w:name="_Hlk65853643"/>
      <w:r>
        <w:rPr>
          <w:rFonts w:hint="eastAsia" w:ascii="方正小标宋简体" w:hAnsi="方正小标宋简体" w:eastAsia="方正小标宋简体" w:cs="方正小标宋简体"/>
          <w:color w:val="auto"/>
          <w:sz w:val="44"/>
          <w:szCs w:val="44"/>
        </w:rPr>
        <w:t>授权委托书</w:t>
      </w:r>
    </w:p>
    <w:p w14:paraId="4324DFE1">
      <w:pPr>
        <w:spacing w:line="5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14:paraId="78ADA309">
      <w:pPr>
        <w:spacing w:line="520" w:lineRule="exact"/>
        <w:rPr>
          <w:rFonts w:hint="eastAsia" w:ascii="仿宋_GB2312" w:hAnsi="仿宋_GB2312" w:eastAsia="仿宋_GB2312" w:cs="仿宋_GB2312"/>
          <w:color w:val="auto"/>
          <w:sz w:val="32"/>
          <w:szCs w:val="32"/>
        </w:rPr>
      </w:pPr>
    </w:p>
    <w:p w14:paraId="38548A7A">
      <w:pPr>
        <w:spacing w:line="360" w:lineRule="auto"/>
        <w:rPr>
          <w:rFonts w:hint="eastAsia"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14:paraId="1E514E0D">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t>□法定代表人/□负责人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w:t>
      </w:r>
      <w:r>
        <w:rPr>
          <w:rFonts w:hint="eastAsia" w:ascii="宋体" w:hAnsi="宋体" w:cs="仿宋_GB2312"/>
          <w:color w:val="auto"/>
          <w:sz w:val="24"/>
          <w:u w:val="single"/>
        </w:rPr>
        <w:t xml:space="preserve">              </w:t>
      </w:r>
      <w:r>
        <w:rPr>
          <w:rFonts w:hint="eastAsia" w:ascii="宋体" w:hAnsi="宋体" w:cs="仿宋_GB2312"/>
          <w:color w:val="auto"/>
          <w:sz w:val="24"/>
        </w:rPr>
        <w:t>项目的竞标活动，并代表我方全权办理针对上述项目的所有采购程序和环节的具体事务和签署相关文件。</w:t>
      </w:r>
    </w:p>
    <w:p w14:paraId="302C197F">
      <w:pPr>
        <w:spacing w:line="360" w:lineRule="auto"/>
        <w:rPr>
          <w:rFonts w:hint="eastAsia"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14:paraId="26DAEFA2">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3827F32B">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委托代理人无转委托权，特此委托。</w:t>
      </w:r>
    </w:p>
    <w:p w14:paraId="6FA87FE0">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附：法定代表人身份证明书及委托代理人有效身份证正反面复印件</w:t>
      </w:r>
    </w:p>
    <w:p w14:paraId="2E3EAA9D">
      <w:pPr>
        <w:spacing w:line="360" w:lineRule="auto"/>
        <w:rPr>
          <w:rFonts w:hint="eastAsia" w:ascii="宋体" w:hAnsi="宋体" w:cs="仿宋_GB2312"/>
          <w:color w:val="auto"/>
          <w:sz w:val="24"/>
        </w:rPr>
      </w:pPr>
    </w:p>
    <w:p w14:paraId="352414CA">
      <w:pPr>
        <w:spacing w:line="360" w:lineRule="auto"/>
        <w:contextualSpacing/>
        <w:rPr>
          <w:rFonts w:hint="eastAsia"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 xml:space="preserve">）：     法定代表人（签字或者盖章或者电子签名）：                    </w:t>
      </w:r>
    </w:p>
    <w:p w14:paraId="443E555C">
      <w:pPr>
        <w:spacing w:line="360" w:lineRule="auto"/>
        <w:contextualSpacing/>
        <w:rPr>
          <w:rFonts w:hint="eastAsia" w:ascii="宋体" w:hAnsi="宋体" w:cs="仿宋_GB2312"/>
          <w:color w:val="auto"/>
          <w:sz w:val="24"/>
        </w:rPr>
      </w:pPr>
      <w:r>
        <w:rPr>
          <w:rFonts w:hint="eastAsia" w:ascii="宋体" w:hAnsi="宋体" w:cs="仿宋_GB2312"/>
          <w:color w:val="auto"/>
          <w:sz w:val="24"/>
        </w:rPr>
        <w:t xml:space="preserve">委托代理人身份证号码：                              </w:t>
      </w:r>
    </w:p>
    <w:p w14:paraId="265D8B4E">
      <w:pPr>
        <w:spacing w:line="360" w:lineRule="auto"/>
        <w:contextualSpacing/>
        <w:rPr>
          <w:rFonts w:hint="eastAsia" w:ascii="宋体" w:hAnsi="宋体" w:cs="仿宋_GB2312"/>
          <w:color w:val="auto"/>
          <w:sz w:val="24"/>
        </w:rPr>
      </w:pPr>
      <w:r>
        <w:rPr>
          <w:rFonts w:hint="eastAsia" w:ascii="宋体" w:hAnsi="宋体" w:cs="仿宋_GB2312"/>
          <w:color w:val="auto"/>
          <w:sz w:val="24"/>
        </w:rPr>
        <w:t xml:space="preserve">                                </w:t>
      </w:r>
    </w:p>
    <w:p w14:paraId="6DB603DA">
      <w:pPr>
        <w:spacing w:line="360" w:lineRule="auto"/>
        <w:rPr>
          <w:rFonts w:hint="eastAsia" w:ascii="宋体" w:hAnsi="宋体" w:cs="仿宋_GB2312"/>
          <w:color w:val="auto"/>
          <w:sz w:val="24"/>
        </w:rPr>
      </w:pPr>
      <w:r>
        <w:rPr>
          <w:rFonts w:hint="eastAsia" w:ascii="宋体" w:hAnsi="宋体" w:cs="仿宋_GB2312"/>
          <w:color w:val="auto"/>
          <w:sz w:val="24"/>
        </w:rPr>
        <w:t xml:space="preserve">                         供应商（电子签章）：                      </w:t>
      </w:r>
    </w:p>
    <w:p w14:paraId="7ABEBE33">
      <w:pPr>
        <w:spacing w:line="360" w:lineRule="auto"/>
        <w:rPr>
          <w:rFonts w:hint="eastAsia" w:ascii="宋体" w:hAnsi="宋体" w:cs="仿宋_GB2312"/>
          <w:color w:val="auto"/>
          <w:sz w:val="24"/>
        </w:rPr>
      </w:pPr>
      <w:r>
        <w:rPr>
          <w:rFonts w:hint="eastAsia" w:ascii="宋体" w:hAnsi="宋体" w:cs="仿宋_GB2312"/>
          <w:color w:val="auto"/>
          <w:sz w:val="24"/>
        </w:rPr>
        <w:t xml:space="preserve">                                         年    月    日</w:t>
      </w:r>
    </w:p>
    <w:p w14:paraId="02939C0C">
      <w:pPr>
        <w:spacing w:line="360" w:lineRule="auto"/>
        <w:rPr>
          <w:rFonts w:hint="eastAsia" w:ascii="宋体" w:hAnsi="宋体" w:cs="仿宋_GB2312"/>
          <w:color w:val="auto"/>
          <w:sz w:val="24"/>
        </w:rPr>
      </w:pPr>
    </w:p>
    <w:p w14:paraId="73D63307">
      <w:pPr>
        <w:spacing w:line="360" w:lineRule="auto"/>
        <w:rPr>
          <w:rFonts w:hint="eastAsia"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p w14:paraId="7B7075FF">
      <w:pPr>
        <w:spacing w:line="360" w:lineRule="auto"/>
        <w:ind w:firstLine="420" w:firstLineChars="200"/>
        <w:jc w:val="left"/>
        <w:rPr>
          <w:rFonts w:hint="eastAsia" w:ascii="仿宋_GB2312" w:hAnsi="仿宋_GB2312" w:eastAsia="仿宋_GB2312" w:cs="仿宋_GB2312"/>
          <w:color w:val="auto"/>
          <w:szCs w:val="21"/>
        </w:rPr>
      </w:pPr>
    </w:p>
    <w:p w14:paraId="246BC27B">
      <w:pPr>
        <w:spacing w:line="500" w:lineRule="exact"/>
        <w:jc w:val="center"/>
        <w:rPr>
          <w:b/>
          <w:bCs/>
          <w:color w:val="auto"/>
          <w:sz w:val="44"/>
          <w:szCs w:val="44"/>
        </w:rPr>
      </w:pPr>
      <w:r>
        <w:rPr>
          <w:rFonts w:ascii="仿宋_GB2312" w:hAnsi="仿宋_GB2312" w:eastAsia="仿宋_GB2312" w:cs="仿宋_GB2312"/>
          <w:color w:val="auto"/>
          <w:szCs w:val="21"/>
        </w:rPr>
        <w:br w:type="page"/>
      </w:r>
      <w:bookmarkEnd w:id="101"/>
      <w:r>
        <w:rPr>
          <w:rFonts w:hint="eastAsia"/>
          <w:b/>
          <w:bCs/>
          <w:color w:val="auto"/>
          <w:sz w:val="44"/>
          <w:szCs w:val="44"/>
        </w:rPr>
        <w:t>技术及其他要求、商务要求响应承诺表格式</w:t>
      </w:r>
    </w:p>
    <w:tbl>
      <w:tblPr>
        <w:tblStyle w:val="48"/>
        <w:tblpPr w:leftFromText="180" w:rightFromText="180" w:vertAnchor="text" w:horzAnchor="margin" w:tblpY="221"/>
        <w:tblOverlap w:val="never"/>
        <w:tblW w:w="87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7"/>
        <w:gridCol w:w="6712"/>
      </w:tblGrid>
      <w:tr w14:paraId="10B7B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2047" w:type="dxa"/>
            <w:tcBorders>
              <w:top w:val="single" w:color="auto" w:sz="4" w:space="0"/>
              <w:left w:val="single" w:color="auto" w:sz="4" w:space="0"/>
              <w:bottom w:val="single" w:color="auto" w:sz="4" w:space="0"/>
              <w:right w:val="single" w:color="auto" w:sz="4" w:space="0"/>
            </w:tcBorders>
            <w:vAlign w:val="center"/>
          </w:tcPr>
          <w:p w14:paraId="5510B27D">
            <w:pPr>
              <w:snapToGrid w:val="0"/>
              <w:spacing w:before="120" w:beforeLines="50" w:line="360" w:lineRule="auto"/>
              <w:jc w:val="center"/>
              <w:rPr>
                <w:color w:val="auto"/>
                <w:sz w:val="24"/>
              </w:rPr>
            </w:pPr>
            <w:r>
              <w:rPr>
                <w:rFonts w:hint="eastAsia"/>
                <w:color w:val="auto"/>
                <w:sz w:val="24"/>
              </w:rPr>
              <w:t>项目</w:t>
            </w:r>
          </w:p>
        </w:tc>
        <w:tc>
          <w:tcPr>
            <w:tcW w:w="6712" w:type="dxa"/>
            <w:tcBorders>
              <w:top w:val="single" w:color="auto" w:sz="4" w:space="0"/>
              <w:left w:val="single" w:color="auto" w:sz="4" w:space="0"/>
              <w:bottom w:val="single" w:color="auto" w:sz="4" w:space="0"/>
              <w:right w:val="single" w:color="auto" w:sz="4" w:space="0"/>
            </w:tcBorders>
            <w:vAlign w:val="center"/>
          </w:tcPr>
          <w:p w14:paraId="7C9C3C06">
            <w:pPr>
              <w:snapToGrid w:val="0"/>
              <w:spacing w:before="120" w:beforeLines="50" w:line="360" w:lineRule="exact"/>
              <w:jc w:val="center"/>
              <w:rPr>
                <w:color w:val="auto"/>
                <w:sz w:val="24"/>
              </w:rPr>
            </w:pPr>
            <w:r>
              <w:rPr>
                <w:rFonts w:hint="eastAsia"/>
                <w:color w:val="auto"/>
                <w:sz w:val="24"/>
              </w:rPr>
              <w:t>对应第三章</w:t>
            </w:r>
            <w:r>
              <w:rPr>
                <w:color w:val="auto"/>
                <w:sz w:val="24"/>
              </w:rPr>
              <w:t xml:space="preserve"> </w:t>
            </w:r>
            <w:r>
              <w:rPr>
                <w:rFonts w:hint="eastAsia"/>
                <w:color w:val="auto"/>
                <w:sz w:val="24"/>
              </w:rPr>
              <w:t>采购需求“技术及其他要求”及</w:t>
            </w:r>
            <w:r>
              <w:rPr>
                <w:color w:val="auto"/>
                <w:sz w:val="24"/>
              </w:rPr>
              <w:t>“</w:t>
            </w:r>
            <w:r>
              <w:rPr>
                <w:rFonts w:hint="eastAsia"/>
                <w:color w:val="auto"/>
                <w:sz w:val="24"/>
              </w:rPr>
              <w:t>商务要求</w:t>
            </w:r>
            <w:r>
              <w:rPr>
                <w:color w:val="auto"/>
                <w:sz w:val="24"/>
              </w:rPr>
              <w:t>”</w:t>
            </w:r>
            <w:r>
              <w:rPr>
                <w:rFonts w:hint="eastAsia"/>
                <w:color w:val="auto"/>
                <w:sz w:val="24"/>
              </w:rPr>
              <w:t>，</w:t>
            </w:r>
            <w:r>
              <w:rPr>
                <w:color w:val="auto"/>
                <w:sz w:val="24"/>
              </w:rPr>
              <w:t xml:space="preserve"> </w:t>
            </w:r>
            <w:r>
              <w:rPr>
                <w:rFonts w:hint="eastAsia"/>
                <w:color w:val="auto"/>
                <w:sz w:val="24"/>
              </w:rPr>
              <w:t>供应商的响应承诺情况</w:t>
            </w:r>
          </w:p>
        </w:tc>
      </w:tr>
      <w:tr w14:paraId="6A95D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759" w:type="dxa"/>
            <w:gridSpan w:val="2"/>
            <w:tcBorders>
              <w:top w:val="single" w:color="auto" w:sz="4" w:space="0"/>
              <w:left w:val="single" w:color="auto" w:sz="4" w:space="0"/>
              <w:bottom w:val="single" w:color="auto" w:sz="4" w:space="0"/>
              <w:right w:val="single" w:color="auto" w:sz="4" w:space="0"/>
            </w:tcBorders>
            <w:vAlign w:val="center"/>
          </w:tcPr>
          <w:p w14:paraId="7220ACE6">
            <w:pPr>
              <w:snapToGrid w:val="0"/>
              <w:spacing w:before="120" w:beforeLines="50" w:line="360" w:lineRule="auto"/>
              <w:jc w:val="left"/>
              <w:rPr>
                <w:b/>
                <w:color w:val="auto"/>
                <w:sz w:val="24"/>
              </w:rPr>
            </w:pPr>
            <w:r>
              <w:rPr>
                <w:rFonts w:hint="eastAsia"/>
                <w:b/>
                <w:color w:val="auto"/>
                <w:sz w:val="24"/>
              </w:rPr>
              <w:t>一、</w:t>
            </w:r>
            <w:r>
              <w:rPr>
                <w:rFonts w:hint="eastAsia"/>
                <w:b/>
                <w:color w:val="auto"/>
              </w:rPr>
              <w:t>技术及其他要求</w:t>
            </w:r>
          </w:p>
        </w:tc>
      </w:tr>
      <w:tr w14:paraId="5D6A9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047" w:type="dxa"/>
            <w:tcBorders>
              <w:top w:val="single" w:color="auto" w:sz="4" w:space="0"/>
              <w:left w:val="single" w:color="auto" w:sz="4" w:space="0"/>
              <w:bottom w:val="single" w:color="auto" w:sz="4" w:space="0"/>
              <w:right w:val="single" w:color="auto" w:sz="4" w:space="0"/>
            </w:tcBorders>
            <w:vAlign w:val="center"/>
          </w:tcPr>
          <w:p w14:paraId="1298EF20">
            <w:pPr>
              <w:spacing w:line="320" w:lineRule="exact"/>
              <w:jc w:val="center"/>
              <w:rPr>
                <w:b/>
                <w:color w:val="auto"/>
                <w:szCs w:val="21"/>
              </w:rPr>
            </w:pPr>
            <w:r>
              <w:rPr>
                <w:rFonts w:hint="eastAsia" w:ascii="宋体" w:hAnsi="宋体" w:cs="宋体"/>
                <w:b/>
                <w:bCs/>
                <w:color w:val="auto"/>
                <w:szCs w:val="21"/>
              </w:rPr>
              <w:t>（一）工程概况及工程内容</w:t>
            </w:r>
          </w:p>
        </w:tc>
        <w:tc>
          <w:tcPr>
            <w:tcW w:w="6712" w:type="dxa"/>
            <w:tcBorders>
              <w:top w:val="single" w:color="auto" w:sz="4" w:space="0"/>
              <w:left w:val="single" w:color="auto" w:sz="4" w:space="0"/>
              <w:bottom w:val="single" w:color="auto" w:sz="4" w:space="0"/>
              <w:right w:val="single" w:color="auto" w:sz="4" w:space="0"/>
            </w:tcBorders>
          </w:tcPr>
          <w:p w14:paraId="101A563A">
            <w:pPr>
              <w:spacing w:line="320" w:lineRule="exact"/>
              <w:jc w:val="left"/>
              <w:rPr>
                <w:b/>
                <w:color w:val="auto"/>
                <w:szCs w:val="21"/>
              </w:rPr>
            </w:pPr>
          </w:p>
        </w:tc>
      </w:tr>
      <w:tr w14:paraId="09A81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047" w:type="dxa"/>
            <w:tcBorders>
              <w:top w:val="single" w:color="auto" w:sz="4" w:space="0"/>
              <w:left w:val="single" w:color="auto" w:sz="4" w:space="0"/>
              <w:bottom w:val="single" w:color="auto" w:sz="4" w:space="0"/>
              <w:right w:val="single" w:color="auto" w:sz="4" w:space="0"/>
            </w:tcBorders>
            <w:vAlign w:val="center"/>
          </w:tcPr>
          <w:p w14:paraId="5DA2F546">
            <w:pPr>
              <w:spacing w:line="320" w:lineRule="exact"/>
              <w:jc w:val="center"/>
              <w:rPr>
                <w:rFonts w:hint="eastAsia" w:ascii="宋体" w:hAnsi="宋体" w:cs="宋体"/>
                <w:b/>
                <w:bCs/>
                <w:color w:val="auto"/>
                <w:szCs w:val="21"/>
              </w:rPr>
            </w:pPr>
            <w:r>
              <w:rPr>
                <w:rFonts w:hint="eastAsia" w:ascii="宋体" w:hAnsi="宋体" w:cs="宋体"/>
                <w:b/>
                <w:bCs/>
                <w:color w:val="auto"/>
                <w:szCs w:val="21"/>
              </w:rPr>
              <w:t>（二）基本要求</w:t>
            </w:r>
          </w:p>
        </w:tc>
        <w:tc>
          <w:tcPr>
            <w:tcW w:w="6712" w:type="dxa"/>
            <w:tcBorders>
              <w:top w:val="single" w:color="auto" w:sz="4" w:space="0"/>
              <w:left w:val="single" w:color="auto" w:sz="4" w:space="0"/>
              <w:bottom w:val="single" w:color="auto" w:sz="4" w:space="0"/>
              <w:right w:val="single" w:color="auto" w:sz="4" w:space="0"/>
            </w:tcBorders>
          </w:tcPr>
          <w:p w14:paraId="4FA86142">
            <w:pPr>
              <w:spacing w:line="320" w:lineRule="exact"/>
              <w:jc w:val="left"/>
              <w:rPr>
                <w:b/>
                <w:color w:val="auto"/>
                <w:szCs w:val="21"/>
              </w:rPr>
            </w:pPr>
          </w:p>
        </w:tc>
      </w:tr>
      <w:tr w14:paraId="22CD1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2047" w:type="dxa"/>
            <w:tcBorders>
              <w:top w:val="single" w:color="auto" w:sz="4" w:space="0"/>
              <w:left w:val="single" w:color="auto" w:sz="4" w:space="0"/>
              <w:bottom w:val="single" w:color="auto" w:sz="4" w:space="0"/>
              <w:right w:val="single" w:color="auto" w:sz="4" w:space="0"/>
            </w:tcBorders>
            <w:vAlign w:val="center"/>
          </w:tcPr>
          <w:p w14:paraId="0FA96EEF">
            <w:pPr>
              <w:spacing w:line="320" w:lineRule="exact"/>
              <w:jc w:val="center"/>
              <w:rPr>
                <w:rFonts w:hint="eastAsia" w:ascii="宋体" w:hAnsi="宋体" w:cs="宋体"/>
                <w:b/>
                <w:bCs/>
                <w:color w:val="auto"/>
                <w:szCs w:val="21"/>
              </w:rPr>
            </w:pPr>
            <w:r>
              <w:rPr>
                <w:rFonts w:hint="eastAsia" w:ascii="宋体" w:hAnsi="宋体"/>
                <w:b/>
                <w:color w:val="auto"/>
              </w:rPr>
              <w:t>（三）质量、安全、技术、人员等相关要求</w:t>
            </w:r>
          </w:p>
        </w:tc>
        <w:tc>
          <w:tcPr>
            <w:tcW w:w="6712" w:type="dxa"/>
            <w:tcBorders>
              <w:top w:val="single" w:color="auto" w:sz="4" w:space="0"/>
              <w:left w:val="single" w:color="auto" w:sz="4" w:space="0"/>
              <w:bottom w:val="single" w:color="auto" w:sz="4" w:space="0"/>
              <w:right w:val="single" w:color="auto" w:sz="4" w:space="0"/>
            </w:tcBorders>
          </w:tcPr>
          <w:p w14:paraId="72117547">
            <w:pPr>
              <w:spacing w:line="320" w:lineRule="exact"/>
              <w:jc w:val="left"/>
              <w:rPr>
                <w:b/>
                <w:color w:val="auto"/>
                <w:szCs w:val="21"/>
              </w:rPr>
            </w:pPr>
          </w:p>
        </w:tc>
      </w:tr>
      <w:tr w14:paraId="231C2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047" w:type="dxa"/>
            <w:tcBorders>
              <w:top w:val="single" w:color="auto" w:sz="4" w:space="0"/>
              <w:left w:val="single" w:color="auto" w:sz="4" w:space="0"/>
              <w:bottom w:val="single" w:color="auto" w:sz="4" w:space="0"/>
              <w:right w:val="single" w:color="auto" w:sz="4" w:space="0"/>
            </w:tcBorders>
            <w:vAlign w:val="center"/>
          </w:tcPr>
          <w:p w14:paraId="30DDB5BC">
            <w:pPr>
              <w:spacing w:line="320" w:lineRule="exact"/>
              <w:jc w:val="center"/>
              <w:rPr>
                <w:rFonts w:hint="eastAsia" w:ascii="宋体" w:hAnsi="宋体"/>
                <w:b/>
                <w:color w:val="auto"/>
              </w:rPr>
            </w:pPr>
            <w:r>
              <w:rPr>
                <w:rFonts w:hint="eastAsia" w:ascii="宋体" w:hAnsi="宋体" w:cs="宋体"/>
                <w:b/>
                <w:bCs/>
                <w:color w:val="auto"/>
                <w:szCs w:val="21"/>
              </w:rPr>
              <w:t>（四）需实现的功能或者目标</w:t>
            </w:r>
          </w:p>
        </w:tc>
        <w:tc>
          <w:tcPr>
            <w:tcW w:w="6712" w:type="dxa"/>
            <w:tcBorders>
              <w:top w:val="single" w:color="auto" w:sz="4" w:space="0"/>
              <w:left w:val="single" w:color="auto" w:sz="4" w:space="0"/>
              <w:bottom w:val="single" w:color="auto" w:sz="4" w:space="0"/>
              <w:right w:val="single" w:color="auto" w:sz="4" w:space="0"/>
            </w:tcBorders>
          </w:tcPr>
          <w:p w14:paraId="4491A964">
            <w:pPr>
              <w:spacing w:line="320" w:lineRule="exact"/>
              <w:jc w:val="left"/>
              <w:rPr>
                <w:b/>
                <w:color w:val="auto"/>
                <w:szCs w:val="21"/>
              </w:rPr>
            </w:pPr>
          </w:p>
        </w:tc>
      </w:tr>
      <w:tr w14:paraId="391A1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759" w:type="dxa"/>
            <w:gridSpan w:val="2"/>
            <w:tcBorders>
              <w:top w:val="single" w:color="auto" w:sz="4" w:space="0"/>
              <w:left w:val="single" w:color="auto" w:sz="4" w:space="0"/>
              <w:bottom w:val="single" w:color="auto" w:sz="4" w:space="0"/>
              <w:right w:val="single" w:color="auto" w:sz="4" w:space="0"/>
            </w:tcBorders>
            <w:vAlign w:val="center"/>
          </w:tcPr>
          <w:p w14:paraId="0B3987C4">
            <w:pPr>
              <w:spacing w:line="320" w:lineRule="exact"/>
              <w:jc w:val="left"/>
              <w:rPr>
                <w:b/>
                <w:color w:val="auto"/>
                <w:szCs w:val="21"/>
              </w:rPr>
            </w:pPr>
            <w:r>
              <w:rPr>
                <w:rFonts w:hint="eastAsia"/>
                <w:b/>
                <w:color w:val="auto"/>
                <w:szCs w:val="21"/>
              </w:rPr>
              <w:t>二、</w:t>
            </w:r>
            <w:r>
              <w:rPr>
                <w:rFonts w:hint="eastAsia" w:ascii="宋体" w:hAnsi="宋体"/>
                <w:b/>
                <w:color w:val="auto"/>
                <w:szCs w:val="21"/>
              </w:rPr>
              <w:t>商务要求</w:t>
            </w:r>
          </w:p>
        </w:tc>
      </w:tr>
      <w:tr w14:paraId="49DCE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047" w:type="dxa"/>
            <w:tcBorders>
              <w:top w:val="single" w:color="auto" w:sz="4" w:space="0"/>
              <w:left w:val="single" w:color="auto" w:sz="4" w:space="0"/>
              <w:bottom w:val="single" w:color="auto" w:sz="4" w:space="0"/>
              <w:right w:val="single" w:color="auto" w:sz="4" w:space="0"/>
            </w:tcBorders>
            <w:vAlign w:val="center"/>
          </w:tcPr>
          <w:p w14:paraId="38E8F9C8">
            <w:pPr>
              <w:spacing w:line="360" w:lineRule="exact"/>
              <w:jc w:val="center"/>
              <w:rPr>
                <w:rFonts w:hint="eastAsia" w:ascii="宋体" w:hAnsi="宋体"/>
                <w:b/>
                <w:color w:val="auto"/>
                <w:szCs w:val="21"/>
              </w:rPr>
            </w:pPr>
            <w:r>
              <w:rPr>
                <w:rFonts w:hint="eastAsia" w:ascii="宋体" w:hAnsi="宋体" w:cs="宋体"/>
                <w:b/>
                <w:color w:val="auto"/>
                <w:szCs w:val="21"/>
              </w:rPr>
              <w:t>1.计划工期</w:t>
            </w:r>
          </w:p>
        </w:tc>
        <w:tc>
          <w:tcPr>
            <w:tcW w:w="6712" w:type="dxa"/>
            <w:tcBorders>
              <w:top w:val="single" w:color="auto" w:sz="4" w:space="0"/>
              <w:left w:val="single" w:color="auto" w:sz="4" w:space="0"/>
              <w:bottom w:val="single" w:color="auto" w:sz="4" w:space="0"/>
              <w:right w:val="single" w:color="auto" w:sz="4" w:space="0"/>
            </w:tcBorders>
          </w:tcPr>
          <w:p w14:paraId="5CC3428C">
            <w:pPr>
              <w:spacing w:line="320" w:lineRule="exact"/>
              <w:jc w:val="left"/>
              <w:rPr>
                <w:b/>
                <w:color w:val="auto"/>
                <w:szCs w:val="21"/>
              </w:rPr>
            </w:pPr>
          </w:p>
        </w:tc>
      </w:tr>
      <w:tr w14:paraId="4F6E4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047" w:type="dxa"/>
            <w:tcBorders>
              <w:top w:val="single" w:color="auto" w:sz="4" w:space="0"/>
              <w:left w:val="single" w:color="auto" w:sz="4" w:space="0"/>
              <w:bottom w:val="single" w:color="auto" w:sz="4" w:space="0"/>
              <w:right w:val="single" w:color="auto" w:sz="4" w:space="0"/>
            </w:tcBorders>
            <w:vAlign w:val="center"/>
          </w:tcPr>
          <w:p w14:paraId="3B8A25CE">
            <w:pPr>
              <w:spacing w:line="360" w:lineRule="exact"/>
              <w:jc w:val="center"/>
              <w:rPr>
                <w:rFonts w:hint="eastAsia" w:ascii="宋体" w:hAnsi="宋体"/>
                <w:b/>
                <w:color w:val="auto"/>
                <w:szCs w:val="21"/>
              </w:rPr>
            </w:pPr>
            <w:r>
              <w:rPr>
                <w:rFonts w:hint="eastAsia" w:ascii="宋体" w:hAnsi="宋体"/>
                <w:b/>
                <w:color w:val="auto"/>
                <w:szCs w:val="21"/>
              </w:rPr>
              <w:t>2.建设地点</w:t>
            </w:r>
          </w:p>
        </w:tc>
        <w:tc>
          <w:tcPr>
            <w:tcW w:w="6712" w:type="dxa"/>
            <w:tcBorders>
              <w:top w:val="single" w:color="auto" w:sz="4" w:space="0"/>
              <w:left w:val="single" w:color="auto" w:sz="4" w:space="0"/>
              <w:bottom w:val="single" w:color="auto" w:sz="4" w:space="0"/>
              <w:right w:val="single" w:color="auto" w:sz="4" w:space="0"/>
            </w:tcBorders>
          </w:tcPr>
          <w:p w14:paraId="3DD92BB3">
            <w:pPr>
              <w:spacing w:line="320" w:lineRule="exact"/>
              <w:jc w:val="left"/>
              <w:rPr>
                <w:b/>
                <w:color w:val="auto"/>
                <w:szCs w:val="21"/>
              </w:rPr>
            </w:pPr>
          </w:p>
        </w:tc>
      </w:tr>
      <w:tr w14:paraId="757AA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047" w:type="dxa"/>
            <w:tcBorders>
              <w:top w:val="single" w:color="auto" w:sz="4" w:space="0"/>
              <w:left w:val="single" w:color="auto" w:sz="4" w:space="0"/>
              <w:bottom w:val="single" w:color="auto" w:sz="4" w:space="0"/>
              <w:right w:val="single" w:color="auto" w:sz="4" w:space="0"/>
            </w:tcBorders>
            <w:vAlign w:val="center"/>
          </w:tcPr>
          <w:p w14:paraId="539B29C1">
            <w:pPr>
              <w:spacing w:line="360" w:lineRule="exact"/>
              <w:jc w:val="center"/>
              <w:rPr>
                <w:rFonts w:hint="eastAsia" w:ascii="宋体" w:hAnsi="宋体"/>
                <w:b/>
                <w:color w:val="auto"/>
                <w:szCs w:val="21"/>
              </w:rPr>
            </w:pPr>
            <w:r>
              <w:rPr>
                <w:rFonts w:hint="eastAsia" w:ascii="宋体" w:hAnsi="宋体"/>
                <w:b/>
                <w:color w:val="auto"/>
                <w:szCs w:val="21"/>
              </w:rPr>
              <w:t>3.合同签订时间</w:t>
            </w:r>
          </w:p>
        </w:tc>
        <w:tc>
          <w:tcPr>
            <w:tcW w:w="6712" w:type="dxa"/>
            <w:tcBorders>
              <w:top w:val="single" w:color="auto" w:sz="4" w:space="0"/>
              <w:left w:val="single" w:color="auto" w:sz="4" w:space="0"/>
              <w:bottom w:val="single" w:color="auto" w:sz="4" w:space="0"/>
              <w:right w:val="single" w:color="auto" w:sz="4" w:space="0"/>
            </w:tcBorders>
          </w:tcPr>
          <w:p w14:paraId="029DA975">
            <w:pPr>
              <w:spacing w:line="320" w:lineRule="exact"/>
              <w:jc w:val="left"/>
              <w:rPr>
                <w:b/>
                <w:color w:val="auto"/>
                <w:szCs w:val="21"/>
              </w:rPr>
            </w:pPr>
          </w:p>
        </w:tc>
      </w:tr>
      <w:tr w14:paraId="6A36B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047" w:type="dxa"/>
            <w:tcBorders>
              <w:top w:val="single" w:color="auto" w:sz="4" w:space="0"/>
              <w:left w:val="single" w:color="auto" w:sz="4" w:space="0"/>
              <w:bottom w:val="single" w:color="auto" w:sz="4" w:space="0"/>
              <w:right w:val="single" w:color="auto" w:sz="4" w:space="0"/>
            </w:tcBorders>
            <w:vAlign w:val="center"/>
          </w:tcPr>
          <w:p w14:paraId="7D61A4A3">
            <w:pPr>
              <w:spacing w:line="360" w:lineRule="exact"/>
              <w:jc w:val="center"/>
              <w:rPr>
                <w:rFonts w:hint="eastAsia" w:ascii="宋体" w:hAnsi="宋体"/>
                <w:b/>
                <w:color w:val="auto"/>
                <w:szCs w:val="21"/>
              </w:rPr>
            </w:pPr>
            <w:r>
              <w:rPr>
                <w:rFonts w:hint="eastAsia" w:ascii="宋体" w:hAnsi="宋体"/>
                <w:b/>
                <w:color w:val="auto"/>
                <w:szCs w:val="21"/>
              </w:rPr>
              <w:t>4.竞标报价</w:t>
            </w:r>
          </w:p>
        </w:tc>
        <w:tc>
          <w:tcPr>
            <w:tcW w:w="6712" w:type="dxa"/>
            <w:tcBorders>
              <w:top w:val="single" w:color="auto" w:sz="4" w:space="0"/>
              <w:left w:val="single" w:color="auto" w:sz="4" w:space="0"/>
              <w:bottom w:val="single" w:color="auto" w:sz="4" w:space="0"/>
              <w:right w:val="single" w:color="auto" w:sz="4" w:space="0"/>
            </w:tcBorders>
          </w:tcPr>
          <w:p w14:paraId="25F60551">
            <w:pPr>
              <w:spacing w:line="320" w:lineRule="exact"/>
              <w:jc w:val="left"/>
              <w:rPr>
                <w:b/>
                <w:color w:val="auto"/>
                <w:szCs w:val="21"/>
              </w:rPr>
            </w:pPr>
          </w:p>
        </w:tc>
      </w:tr>
      <w:tr w14:paraId="5F959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2047" w:type="dxa"/>
            <w:tcBorders>
              <w:top w:val="single" w:color="auto" w:sz="4" w:space="0"/>
              <w:left w:val="single" w:color="auto" w:sz="4" w:space="0"/>
              <w:bottom w:val="single" w:color="auto" w:sz="4" w:space="0"/>
              <w:right w:val="single" w:color="auto" w:sz="4" w:space="0"/>
            </w:tcBorders>
            <w:vAlign w:val="center"/>
          </w:tcPr>
          <w:p w14:paraId="4F2D0B12">
            <w:pPr>
              <w:spacing w:line="360" w:lineRule="exact"/>
              <w:jc w:val="center"/>
              <w:rPr>
                <w:rFonts w:hint="eastAsia" w:ascii="宋体" w:hAnsi="宋体"/>
                <w:b/>
                <w:color w:val="auto"/>
                <w:szCs w:val="21"/>
              </w:rPr>
            </w:pPr>
            <w:r>
              <w:rPr>
                <w:rFonts w:hint="eastAsia" w:ascii="宋体" w:hAnsi="宋体"/>
                <w:b/>
                <w:color w:val="auto"/>
                <w:szCs w:val="21"/>
              </w:rPr>
              <w:t>5.付款条件（进度和方式）</w:t>
            </w:r>
          </w:p>
        </w:tc>
        <w:tc>
          <w:tcPr>
            <w:tcW w:w="6712" w:type="dxa"/>
            <w:tcBorders>
              <w:top w:val="single" w:color="auto" w:sz="4" w:space="0"/>
              <w:left w:val="single" w:color="auto" w:sz="4" w:space="0"/>
              <w:bottom w:val="single" w:color="auto" w:sz="4" w:space="0"/>
              <w:right w:val="single" w:color="auto" w:sz="4" w:space="0"/>
            </w:tcBorders>
          </w:tcPr>
          <w:p w14:paraId="0E0E8F21">
            <w:pPr>
              <w:spacing w:line="320" w:lineRule="exact"/>
              <w:jc w:val="left"/>
              <w:rPr>
                <w:b/>
                <w:color w:val="auto"/>
                <w:szCs w:val="21"/>
              </w:rPr>
            </w:pPr>
          </w:p>
        </w:tc>
      </w:tr>
      <w:tr w14:paraId="74523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047" w:type="dxa"/>
            <w:tcBorders>
              <w:top w:val="single" w:color="auto" w:sz="4" w:space="0"/>
              <w:left w:val="single" w:color="auto" w:sz="4" w:space="0"/>
              <w:bottom w:val="single" w:color="auto" w:sz="4" w:space="0"/>
              <w:right w:val="single" w:color="auto" w:sz="4" w:space="0"/>
            </w:tcBorders>
            <w:vAlign w:val="center"/>
          </w:tcPr>
          <w:p w14:paraId="08464792">
            <w:pPr>
              <w:spacing w:line="360" w:lineRule="exact"/>
              <w:jc w:val="center"/>
              <w:rPr>
                <w:rFonts w:hint="eastAsia" w:ascii="宋体" w:hAnsi="宋体"/>
                <w:b/>
                <w:color w:val="auto"/>
                <w:szCs w:val="21"/>
              </w:rPr>
            </w:pPr>
            <w:r>
              <w:rPr>
                <w:rFonts w:hint="eastAsia" w:ascii="宋体" w:hAnsi="宋体"/>
                <w:b/>
                <w:color w:val="auto"/>
                <w:szCs w:val="21"/>
              </w:rPr>
              <w:t>6.工程质量保修期</w:t>
            </w:r>
          </w:p>
        </w:tc>
        <w:tc>
          <w:tcPr>
            <w:tcW w:w="6712" w:type="dxa"/>
            <w:tcBorders>
              <w:top w:val="single" w:color="auto" w:sz="4" w:space="0"/>
              <w:left w:val="single" w:color="auto" w:sz="4" w:space="0"/>
              <w:bottom w:val="single" w:color="auto" w:sz="4" w:space="0"/>
              <w:right w:val="single" w:color="auto" w:sz="4" w:space="0"/>
            </w:tcBorders>
          </w:tcPr>
          <w:p w14:paraId="0B3466A3">
            <w:pPr>
              <w:spacing w:line="320" w:lineRule="exact"/>
              <w:jc w:val="left"/>
              <w:rPr>
                <w:b/>
                <w:color w:val="auto"/>
                <w:szCs w:val="21"/>
              </w:rPr>
            </w:pPr>
          </w:p>
        </w:tc>
      </w:tr>
      <w:tr w14:paraId="60B45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2047" w:type="dxa"/>
            <w:tcBorders>
              <w:top w:val="single" w:color="auto" w:sz="4" w:space="0"/>
              <w:left w:val="single" w:color="auto" w:sz="4" w:space="0"/>
              <w:bottom w:val="single" w:color="auto" w:sz="4" w:space="0"/>
              <w:right w:val="single" w:color="auto" w:sz="4" w:space="0"/>
            </w:tcBorders>
            <w:vAlign w:val="center"/>
          </w:tcPr>
          <w:p w14:paraId="10154B21">
            <w:pPr>
              <w:spacing w:line="360" w:lineRule="exact"/>
              <w:jc w:val="center"/>
              <w:rPr>
                <w:rFonts w:hint="eastAsia" w:ascii="宋体" w:hAnsi="宋体"/>
                <w:b/>
                <w:color w:val="auto"/>
                <w:szCs w:val="21"/>
              </w:rPr>
            </w:pPr>
            <w:r>
              <w:rPr>
                <w:rFonts w:hint="eastAsia" w:ascii="宋体" w:hAnsi="宋体"/>
                <w:b/>
                <w:color w:val="auto"/>
                <w:szCs w:val="21"/>
              </w:rPr>
              <w:t>7.工程隐蔽部位覆盖前的检查</w:t>
            </w:r>
          </w:p>
        </w:tc>
        <w:tc>
          <w:tcPr>
            <w:tcW w:w="6712" w:type="dxa"/>
            <w:tcBorders>
              <w:top w:val="single" w:color="auto" w:sz="4" w:space="0"/>
              <w:left w:val="single" w:color="auto" w:sz="4" w:space="0"/>
              <w:bottom w:val="single" w:color="auto" w:sz="4" w:space="0"/>
              <w:right w:val="single" w:color="auto" w:sz="4" w:space="0"/>
            </w:tcBorders>
          </w:tcPr>
          <w:p w14:paraId="1BEFFC72">
            <w:pPr>
              <w:spacing w:line="320" w:lineRule="exact"/>
              <w:jc w:val="left"/>
              <w:rPr>
                <w:b/>
                <w:color w:val="auto"/>
                <w:szCs w:val="21"/>
              </w:rPr>
            </w:pPr>
          </w:p>
        </w:tc>
      </w:tr>
      <w:tr w14:paraId="2F86E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47" w:type="dxa"/>
            <w:tcBorders>
              <w:top w:val="single" w:color="auto" w:sz="4" w:space="0"/>
              <w:left w:val="single" w:color="auto" w:sz="4" w:space="0"/>
              <w:bottom w:val="single" w:color="auto" w:sz="4" w:space="0"/>
              <w:right w:val="single" w:color="auto" w:sz="4" w:space="0"/>
            </w:tcBorders>
            <w:vAlign w:val="center"/>
          </w:tcPr>
          <w:p w14:paraId="00A82653">
            <w:pPr>
              <w:spacing w:line="360" w:lineRule="exact"/>
              <w:jc w:val="center"/>
              <w:rPr>
                <w:rFonts w:hint="eastAsia" w:ascii="宋体" w:hAnsi="宋体"/>
                <w:b/>
                <w:color w:val="auto"/>
                <w:szCs w:val="21"/>
              </w:rPr>
            </w:pPr>
            <w:r>
              <w:rPr>
                <w:rFonts w:hint="eastAsia" w:ascii="宋体" w:hAnsi="宋体"/>
                <w:b/>
                <w:color w:val="auto"/>
                <w:szCs w:val="21"/>
              </w:rPr>
              <w:t>8.验收标准</w:t>
            </w:r>
          </w:p>
        </w:tc>
        <w:tc>
          <w:tcPr>
            <w:tcW w:w="6712" w:type="dxa"/>
            <w:tcBorders>
              <w:top w:val="single" w:color="auto" w:sz="4" w:space="0"/>
              <w:left w:val="single" w:color="auto" w:sz="4" w:space="0"/>
              <w:bottom w:val="single" w:color="auto" w:sz="4" w:space="0"/>
              <w:right w:val="single" w:color="auto" w:sz="4" w:space="0"/>
            </w:tcBorders>
          </w:tcPr>
          <w:p w14:paraId="4DD2EACF">
            <w:pPr>
              <w:spacing w:line="320" w:lineRule="exact"/>
              <w:jc w:val="left"/>
              <w:rPr>
                <w:b/>
                <w:color w:val="auto"/>
                <w:szCs w:val="21"/>
              </w:rPr>
            </w:pPr>
          </w:p>
        </w:tc>
      </w:tr>
      <w:tr w14:paraId="324C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047" w:type="dxa"/>
            <w:tcBorders>
              <w:top w:val="single" w:color="auto" w:sz="4" w:space="0"/>
              <w:left w:val="single" w:color="auto" w:sz="4" w:space="0"/>
              <w:bottom w:val="single" w:color="auto" w:sz="4" w:space="0"/>
              <w:right w:val="single" w:color="auto" w:sz="4" w:space="0"/>
            </w:tcBorders>
            <w:vAlign w:val="center"/>
          </w:tcPr>
          <w:p w14:paraId="65EF88B2">
            <w:pPr>
              <w:spacing w:line="360" w:lineRule="exact"/>
              <w:jc w:val="center"/>
              <w:rPr>
                <w:rFonts w:hint="eastAsia" w:ascii="宋体" w:hAnsi="宋体"/>
                <w:b/>
                <w:color w:val="auto"/>
                <w:szCs w:val="21"/>
              </w:rPr>
            </w:pPr>
            <w:r>
              <w:rPr>
                <w:rFonts w:hint="eastAsia" w:ascii="宋体" w:hAnsi="宋体"/>
                <w:b/>
                <w:color w:val="auto"/>
                <w:szCs w:val="21"/>
              </w:rPr>
              <w:t>9.安全责任</w:t>
            </w:r>
          </w:p>
        </w:tc>
        <w:tc>
          <w:tcPr>
            <w:tcW w:w="6712" w:type="dxa"/>
            <w:tcBorders>
              <w:top w:val="single" w:color="auto" w:sz="4" w:space="0"/>
              <w:left w:val="single" w:color="auto" w:sz="4" w:space="0"/>
              <w:bottom w:val="single" w:color="auto" w:sz="4" w:space="0"/>
              <w:right w:val="single" w:color="auto" w:sz="4" w:space="0"/>
            </w:tcBorders>
          </w:tcPr>
          <w:p w14:paraId="315C0582">
            <w:pPr>
              <w:spacing w:line="320" w:lineRule="exact"/>
              <w:jc w:val="left"/>
              <w:rPr>
                <w:b/>
                <w:color w:val="auto"/>
                <w:szCs w:val="21"/>
              </w:rPr>
            </w:pPr>
          </w:p>
        </w:tc>
      </w:tr>
      <w:tr w14:paraId="04DA3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047" w:type="dxa"/>
            <w:tcBorders>
              <w:top w:val="single" w:color="auto" w:sz="4" w:space="0"/>
              <w:left w:val="single" w:color="auto" w:sz="4" w:space="0"/>
              <w:bottom w:val="single" w:color="auto" w:sz="4" w:space="0"/>
              <w:right w:val="single" w:color="auto" w:sz="4" w:space="0"/>
            </w:tcBorders>
            <w:vAlign w:val="center"/>
          </w:tcPr>
          <w:p w14:paraId="2BC80998">
            <w:pPr>
              <w:spacing w:line="360" w:lineRule="exact"/>
              <w:jc w:val="center"/>
              <w:rPr>
                <w:rFonts w:hint="eastAsia" w:ascii="宋体" w:hAnsi="宋体"/>
                <w:b/>
                <w:color w:val="auto"/>
                <w:szCs w:val="21"/>
              </w:rPr>
            </w:pPr>
            <w:r>
              <w:rPr>
                <w:rFonts w:hint="eastAsia" w:ascii="宋体" w:hAnsi="宋体"/>
                <w:b/>
                <w:color w:val="auto"/>
                <w:szCs w:val="21"/>
              </w:rPr>
              <w:t>10.其他要求</w:t>
            </w:r>
          </w:p>
        </w:tc>
        <w:tc>
          <w:tcPr>
            <w:tcW w:w="6712" w:type="dxa"/>
            <w:tcBorders>
              <w:top w:val="single" w:color="auto" w:sz="4" w:space="0"/>
              <w:left w:val="single" w:color="auto" w:sz="4" w:space="0"/>
              <w:bottom w:val="single" w:color="auto" w:sz="4" w:space="0"/>
              <w:right w:val="single" w:color="auto" w:sz="4" w:space="0"/>
            </w:tcBorders>
          </w:tcPr>
          <w:p w14:paraId="3424DA5F">
            <w:pPr>
              <w:spacing w:line="320" w:lineRule="exact"/>
              <w:jc w:val="left"/>
              <w:rPr>
                <w:b/>
                <w:color w:val="auto"/>
                <w:szCs w:val="21"/>
              </w:rPr>
            </w:pPr>
          </w:p>
        </w:tc>
      </w:tr>
    </w:tbl>
    <w:p w14:paraId="41EEBAB5">
      <w:pPr>
        <w:pStyle w:val="19"/>
        <w:spacing w:after="0" w:line="340" w:lineRule="exact"/>
        <w:contextualSpacing/>
        <w:rPr>
          <w:color w:val="auto"/>
          <w:kern w:val="0"/>
          <w:sz w:val="24"/>
          <w:szCs w:val="24"/>
        </w:rPr>
      </w:pPr>
    </w:p>
    <w:p w14:paraId="7E7D9242">
      <w:pPr>
        <w:pStyle w:val="19"/>
        <w:spacing w:after="0" w:line="340" w:lineRule="exact"/>
        <w:contextualSpacing/>
        <w:rPr>
          <w:color w:val="auto"/>
          <w:kern w:val="0"/>
          <w:sz w:val="24"/>
          <w:szCs w:val="24"/>
        </w:rPr>
      </w:pPr>
    </w:p>
    <w:p w14:paraId="3260EC62">
      <w:pPr>
        <w:pStyle w:val="19"/>
        <w:spacing w:after="0" w:line="340" w:lineRule="exact"/>
        <w:contextualSpacing/>
        <w:rPr>
          <w:color w:val="auto"/>
          <w:kern w:val="0"/>
          <w:sz w:val="24"/>
          <w:szCs w:val="24"/>
        </w:rPr>
      </w:pPr>
    </w:p>
    <w:p w14:paraId="4B592F90">
      <w:pPr>
        <w:pStyle w:val="19"/>
        <w:spacing w:after="0" w:line="340" w:lineRule="exact"/>
        <w:contextualSpacing/>
        <w:rPr>
          <w:color w:val="auto"/>
          <w:kern w:val="0"/>
          <w:sz w:val="24"/>
          <w:szCs w:val="24"/>
        </w:rPr>
      </w:pPr>
    </w:p>
    <w:p w14:paraId="3782777D">
      <w:pPr>
        <w:pStyle w:val="19"/>
        <w:spacing w:after="0" w:line="340" w:lineRule="exact"/>
        <w:contextualSpacing/>
        <w:rPr>
          <w:color w:val="auto"/>
          <w:kern w:val="0"/>
          <w:sz w:val="24"/>
          <w:szCs w:val="24"/>
        </w:rPr>
      </w:pPr>
    </w:p>
    <w:p w14:paraId="232EB786">
      <w:pPr>
        <w:pStyle w:val="19"/>
        <w:spacing w:after="0" w:line="340" w:lineRule="exact"/>
        <w:contextualSpacing/>
        <w:rPr>
          <w:color w:val="auto"/>
          <w:kern w:val="0"/>
          <w:sz w:val="24"/>
          <w:szCs w:val="24"/>
        </w:rPr>
      </w:pPr>
    </w:p>
    <w:p w14:paraId="52436399">
      <w:pPr>
        <w:pStyle w:val="19"/>
        <w:spacing w:after="0" w:line="340" w:lineRule="exact"/>
        <w:contextualSpacing/>
        <w:rPr>
          <w:color w:val="auto"/>
          <w:kern w:val="0"/>
          <w:sz w:val="24"/>
          <w:szCs w:val="24"/>
        </w:rPr>
      </w:pPr>
    </w:p>
    <w:p w14:paraId="7E50CF34">
      <w:pPr>
        <w:pStyle w:val="19"/>
        <w:spacing w:after="0" w:line="340" w:lineRule="exact"/>
        <w:contextualSpacing/>
        <w:rPr>
          <w:color w:val="auto"/>
          <w:kern w:val="0"/>
          <w:sz w:val="24"/>
          <w:szCs w:val="24"/>
        </w:rPr>
      </w:pPr>
    </w:p>
    <w:p w14:paraId="7D29E9EF">
      <w:pPr>
        <w:pStyle w:val="19"/>
        <w:spacing w:after="0" w:line="340" w:lineRule="exact"/>
        <w:contextualSpacing/>
        <w:rPr>
          <w:color w:val="auto"/>
          <w:kern w:val="0"/>
          <w:sz w:val="24"/>
          <w:szCs w:val="24"/>
        </w:rPr>
      </w:pPr>
    </w:p>
    <w:p w14:paraId="4C007354">
      <w:pPr>
        <w:pStyle w:val="19"/>
        <w:spacing w:after="0" w:line="340" w:lineRule="exact"/>
        <w:contextualSpacing/>
        <w:rPr>
          <w:color w:val="auto"/>
          <w:kern w:val="0"/>
          <w:sz w:val="24"/>
          <w:szCs w:val="24"/>
        </w:rPr>
      </w:pPr>
    </w:p>
    <w:p w14:paraId="485540F2">
      <w:pPr>
        <w:pStyle w:val="19"/>
        <w:spacing w:after="0" w:line="340" w:lineRule="exact"/>
        <w:contextualSpacing/>
        <w:rPr>
          <w:color w:val="auto"/>
          <w:kern w:val="0"/>
          <w:sz w:val="24"/>
          <w:szCs w:val="24"/>
        </w:rPr>
      </w:pPr>
    </w:p>
    <w:p w14:paraId="09A95F2E">
      <w:pPr>
        <w:pStyle w:val="19"/>
        <w:spacing w:after="0" w:line="340" w:lineRule="exact"/>
        <w:contextualSpacing/>
        <w:rPr>
          <w:color w:val="auto"/>
          <w:kern w:val="0"/>
          <w:sz w:val="24"/>
          <w:szCs w:val="24"/>
        </w:rPr>
      </w:pPr>
    </w:p>
    <w:p w14:paraId="41B52454">
      <w:pPr>
        <w:pStyle w:val="19"/>
        <w:spacing w:after="0" w:line="340" w:lineRule="exact"/>
        <w:contextualSpacing/>
        <w:rPr>
          <w:color w:val="auto"/>
          <w:kern w:val="0"/>
          <w:sz w:val="24"/>
          <w:szCs w:val="24"/>
        </w:rPr>
      </w:pPr>
    </w:p>
    <w:p w14:paraId="5D3F8255">
      <w:pPr>
        <w:pStyle w:val="19"/>
        <w:spacing w:after="0" w:line="340" w:lineRule="exact"/>
        <w:contextualSpacing/>
        <w:rPr>
          <w:color w:val="auto"/>
          <w:kern w:val="0"/>
          <w:sz w:val="24"/>
          <w:szCs w:val="24"/>
        </w:rPr>
      </w:pPr>
    </w:p>
    <w:p w14:paraId="6877CC38">
      <w:pPr>
        <w:pStyle w:val="19"/>
        <w:spacing w:after="0" w:line="340" w:lineRule="exact"/>
        <w:contextualSpacing/>
        <w:rPr>
          <w:color w:val="auto"/>
          <w:kern w:val="0"/>
          <w:sz w:val="24"/>
          <w:szCs w:val="24"/>
        </w:rPr>
      </w:pPr>
    </w:p>
    <w:p w14:paraId="56E27C46">
      <w:pPr>
        <w:pStyle w:val="19"/>
        <w:spacing w:after="0" w:line="340" w:lineRule="exact"/>
        <w:contextualSpacing/>
        <w:rPr>
          <w:color w:val="auto"/>
          <w:kern w:val="0"/>
          <w:sz w:val="24"/>
          <w:szCs w:val="24"/>
        </w:rPr>
      </w:pPr>
    </w:p>
    <w:p w14:paraId="49C673E7">
      <w:pPr>
        <w:pStyle w:val="19"/>
        <w:spacing w:after="0" w:line="340" w:lineRule="exact"/>
        <w:contextualSpacing/>
        <w:rPr>
          <w:color w:val="auto"/>
          <w:kern w:val="0"/>
          <w:sz w:val="24"/>
          <w:szCs w:val="24"/>
        </w:rPr>
      </w:pPr>
    </w:p>
    <w:p w14:paraId="5D594307">
      <w:pPr>
        <w:pStyle w:val="19"/>
        <w:spacing w:after="0" w:line="340" w:lineRule="exact"/>
        <w:contextualSpacing/>
        <w:rPr>
          <w:color w:val="auto"/>
          <w:kern w:val="0"/>
          <w:sz w:val="24"/>
          <w:szCs w:val="24"/>
        </w:rPr>
      </w:pPr>
    </w:p>
    <w:p w14:paraId="446D42C7">
      <w:pPr>
        <w:pStyle w:val="19"/>
        <w:spacing w:after="0" w:line="340" w:lineRule="exact"/>
        <w:contextualSpacing/>
        <w:rPr>
          <w:color w:val="auto"/>
          <w:kern w:val="0"/>
          <w:sz w:val="24"/>
          <w:szCs w:val="24"/>
        </w:rPr>
      </w:pPr>
    </w:p>
    <w:p w14:paraId="2EA7A0F7">
      <w:pPr>
        <w:pStyle w:val="19"/>
        <w:spacing w:after="0" w:line="340" w:lineRule="exact"/>
        <w:contextualSpacing/>
        <w:rPr>
          <w:color w:val="auto"/>
          <w:kern w:val="0"/>
          <w:sz w:val="24"/>
          <w:szCs w:val="24"/>
        </w:rPr>
      </w:pPr>
    </w:p>
    <w:p w14:paraId="6FD6E0F2">
      <w:pPr>
        <w:pStyle w:val="19"/>
        <w:spacing w:after="0" w:line="340" w:lineRule="exact"/>
        <w:contextualSpacing/>
        <w:rPr>
          <w:color w:val="auto"/>
          <w:kern w:val="0"/>
          <w:sz w:val="24"/>
          <w:szCs w:val="24"/>
        </w:rPr>
      </w:pPr>
    </w:p>
    <w:p w14:paraId="21808D1E">
      <w:pPr>
        <w:pStyle w:val="19"/>
        <w:spacing w:after="0" w:line="340" w:lineRule="exact"/>
        <w:contextualSpacing/>
        <w:rPr>
          <w:color w:val="auto"/>
          <w:kern w:val="0"/>
          <w:sz w:val="24"/>
          <w:szCs w:val="24"/>
        </w:rPr>
      </w:pPr>
    </w:p>
    <w:p w14:paraId="5BB26C46">
      <w:pPr>
        <w:pStyle w:val="19"/>
        <w:spacing w:after="0" w:line="340" w:lineRule="exact"/>
        <w:contextualSpacing/>
        <w:rPr>
          <w:color w:val="auto"/>
          <w:kern w:val="0"/>
          <w:sz w:val="24"/>
          <w:szCs w:val="24"/>
        </w:rPr>
      </w:pPr>
    </w:p>
    <w:p w14:paraId="66F091FE">
      <w:pPr>
        <w:pStyle w:val="19"/>
        <w:spacing w:after="0" w:line="340" w:lineRule="exact"/>
        <w:contextualSpacing/>
        <w:rPr>
          <w:color w:val="auto"/>
          <w:kern w:val="0"/>
          <w:sz w:val="24"/>
          <w:szCs w:val="24"/>
        </w:rPr>
      </w:pPr>
    </w:p>
    <w:p w14:paraId="361DB1F0">
      <w:pPr>
        <w:pStyle w:val="19"/>
        <w:spacing w:after="0" w:line="340" w:lineRule="exact"/>
        <w:contextualSpacing/>
        <w:rPr>
          <w:color w:val="auto"/>
          <w:kern w:val="0"/>
          <w:sz w:val="24"/>
          <w:szCs w:val="24"/>
        </w:rPr>
      </w:pPr>
    </w:p>
    <w:p w14:paraId="2C4016E9">
      <w:pPr>
        <w:pStyle w:val="19"/>
        <w:spacing w:after="0" w:line="340" w:lineRule="exact"/>
        <w:contextualSpacing/>
        <w:rPr>
          <w:color w:val="auto"/>
          <w:kern w:val="0"/>
          <w:sz w:val="24"/>
          <w:szCs w:val="24"/>
        </w:rPr>
      </w:pPr>
    </w:p>
    <w:p w14:paraId="31BBB081">
      <w:pPr>
        <w:pStyle w:val="19"/>
        <w:spacing w:after="0" w:line="340" w:lineRule="exact"/>
        <w:contextualSpacing/>
        <w:rPr>
          <w:color w:val="auto"/>
          <w:kern w:val="0"/>
          <w:sz w:val="24"/>
          <w:szCs w:val="24"/>
        </w:rPr>
      </w:pPr>
    </w:p>
    <w:p w14:paraId="086EFFC3">
      <w:pPr>
        <w:pStyle w:val="19"/>
        <w:spacing w:after="0" w:line="340" w:lineRule="exact"/>
        <w:contextualSpacing/>
        <w:rPr>
          <w:color w:val="auto"/>
          <w:kern w:val="0"/>
          <w:sz w:val="24"/>
          <w:szCs w:val="24"/>
        </w:rPr>
      </w:pPr>
    </w:p>
    <w:p w14:paraId="2556867A">
      <w:pPr>
        <w:pStyle w:val="19"/>
        <w:spacing w:after="0" w:line="340" w:lineRule="exact"/>
        <w:contextualSpacing/>
        <w:rPr>
          <w:color w:val="auto"/>
          <w:kern w:val="0"/>
          <w:sz w:val="24"/>
          <w:szCs w:val="24"/>
        </w:rPr>
      </w:pPr>
    </w:p>
    <w:p w14:paraId="0371B75D">
      <w:pPr>
        <w:pStyle w:val="19"/>
        <w:spacing w:after="0" w:line="340" w:lineRule="exact"/>
        <w:contextualSpacing/>
        <w:rPr>
          <w:color w:val="auto"/>
          <w:kern w:val="0"/>
          <w:sz w:val="24"/>
          <w:szCs w:val="24"/>
        </w:rPr>
      </w:pPr>
    </w:p>
    <w:p w14:paraId="3C941160">
      <w:pPr>
        <w:pStyle w:val="19"/>
        <w:spacing w:after="0" w:line="340" w:lineRule="exact"/>
        <w:contextualSpacing/>
        <w:rPr>
          <w:color w:val="auto"/>
          <w:kern w:val="0"/>
          <w:sz w:val="24"/>
          <w:szCs w:val="24"/>
        </w:rPr>
      </w:pPr>
    </w:p>
    <w:p w14:paraId="176B5842">
      <w:pPr>
        <w:pStyle w:val="19"/>
        <w:spacing w:after="0" w:line="340" w:lineRule="exact"/>
        <w:contextualSpacing/>
        <w:rPr>
          <w:color w:val="auto"/>
          <w:kern w:val="0"/>
          <w:sz w:val="24"/>
          <w:szCs w:val="24"/>
        </w:rPr>
      </w:pPr>
    </w:p>
    <w:p w14:paraId="0C25A14A">
      <w:pPr>
        <w:pStyle w:val="19"/>
        <w:spacing w:after="0" w:line="340" w:lineRule="exact"/>
        <w:contextualSpacing/>
        <w:rPr>
          <w:color w:val="auto"/>
          <w:kern w:val="0"/>
          <w:sz w:val="24"/>
          <w:szCs w:val="24"/>
        </w:rPr>
      </w:pPr>
    </w:p>
    <w:p w14:paraId="1AA94809">
      <w:pPr>
        <w:pStyle w:val="19"/>
        <w:spacing w:after="0" w:line="340" w:lineRule="exact"/>
        <w:contextualSpacing/>
        <w:rPr>
          <w:color w:val="auto"/>
          <w:kern w:val="0"/>
          <w:sz w:val="24"/>
          <w:szCs w:val="24"/>
        </w:rPr>
      </w:pPr>
      <w:r>
        <w:rPr>
          <w:rFonts w:hint="eastAsia"/>
          <w:color w:val="auto"/>
          <w:kern w:val="0"/>
          <w:sz w:val="24"/>
          <w:szCs w:val="24"/>
        </w:rPr>
        <w:t>注：</w:t>
      </w:r>
    </w:p>
    <w:p w14:paraId="6B3D44ED">
      <w:pPr>
        <w:pStyle w:val="19"/>
        <w:spacing w:after="0" w:line="280" w:lineRule="exact"/>
        <w:contextualSpacing/>
        <w:rPr>
          <w:color w:val="auto"/>
          <w:kern w:val="0"/>
          <w:sz w:val="24"/>
          <w:szCs w:val="24"/>
        </w:rPr>
      </w:pPr>
      <w:r>
        <w:rPr>
          <w:color w:val="auto"/>
          <w:kern w:val="0"/>
          <w:sz w:val="24"/>
          <w:szCs w:val="24"/>
        </w:rPr>
        <w:t xml:space="preserve">  </w:t>
      </w:r>
      <w:r>
        <w:rPr>
          <w:rFonts w:hint="eastAsia"/>
          <w:color w:val="auto"/>
          <w:kern w:val="0"/>
          <w:sz w:val="24"/>
          <w:szCs w:val="24"/>
        </w:rPr>
        <w:t>说明：应对照谈判文件</w:t>
      </w:r>
      <w:r>
        <w:rPr>
          <w:color w:val="auto"/>
          <w:kern w:val="0"/>
          <w:sz w:val="24"/>
          <w:szCs w:val="24"/>
        </w:rPr>
        <w:t>“</w:t>
      </w:r>
      <w:r>
        <w:rPr>
          <w:rFonts w:hint="eastAsia"/>
          <w:color w:val="auto"/>
          <w:kern w:val="0"/>
          <w:sz w:val="24"/>
          <w:szCs w:val="24"/>
        </w:rPr>
        <w:t>第三章</w:t>
      </w:r>
      <w:r>
        <w:rPr>
          <w:color w:val="auto"/>
          <w:kern w:val="0"/>
          <w:sz w:val="24"/>
          <w:szCs w:val="24"/>
        </w:rPr>
        <w:t xml:space="preserve"> </w:t>
      </w:r>
      <w:r>
        <w:rPr>
          <w:rFonts w:hint="eastAsia"/>
          <w:color w:val="auto"/>
          <w:kern w:val="0"/>
          <w:sz w:val="24"/>
          <w:szCs w:val="24"/>
        </w:rPr>
        <w:t>采购需求</w:t>
      </w:r>
      <w:r>
        <w:rPr>
          <w:color w:val="auto"/>
          <w:kern w:val="0"/>
          <w:sz w:val="24"/>
          <w:szCs w:val="24"/>
        </w:rPr>
        <w:t>”</w:t>
      </w:r>
      <w:r>
        <w:rPr>
          <w:rFonts w:hint="eastAsia"/>
          <w:color w:val="auto"/>
          <w:kern w:val="0"/>
          <w:sz w:val="24"/>
          <w:szCs w:val="24"/>
        </w:rPr>
        <w:t>中的“技术及其他要求”及“商务要求”逐条明确响应承诺。</w:t>
      </w:r>
    </w:p>
    <w:p w14:paraId="288A3920">
      <w:pPr>
        <w:spacing w:line="340" w:lineRule="exact"/>
        <w:ind w:right="-817" w:rightChars="-389"/>
        <w:contextualSpacing/>
        <w:jc w:val="center"/>
        <w:rPr>
          <w:color w:val="auto"/>
          <w:sz w:val="24"/>
        </w:rPr>
      </w:pPr>
      <w:r>
        <w:rPr>
          <w:rFonts w:hint="eastAsia"/>
          <w:color w:val="auto"/>
          <w:sz w:val="24"/>
        </w:rPr>
        <w:t>法定代表人或者委托代理人（签字或者电子签名）：</w:t>
      </w:r>
    </w:p>
    <w:p w14:paraId="59BE525F">
      <w:pPr>
        <w:spacing w:line="340" w:lineRule="exact"/>
        <w:ind w:right="-817" w:rightChars="-389" w:firstLine="2880" w:firstLineChars="1200"/>
        <w:contextualSpacing/>
        <w:rPr>
          <w:color w:val="auto"/>
          <w:sz w:val="24"/>
        </w:rPr>
      </w:pPr>
      <w:r>
        <w:rPr>
          <w:rFonts w:hint="eastAsia"/>
          <w:color w:val="auto"/>
          <w:sz w:val="24"/>
        </w:rPr>
        <w:t>供应商（电子签章）：</w:t>
      </w:r>
      <w:r>
        <w:rPr>
          <w:color w:val="auto"/>
          <w:sz w:val="24"/>
        </w:rPr>
        <w:t xml:space="preserve">      </w:t>
      </w:r>
    </w:p>
    <w:p w14:paraId="756AE6DE">
      <w:pPr>
        <w:spacing w:line="340" w:lineRule="exact"/>
        <w:ind w:right="-817" w:rightChars="-389" w:firstLine="2880" w:firstLineChars="1200"/>
        <w:contextualSpacing/>
        <w:rPr>
          <w:color w:val="auto"/>
          <w:sz w:val="24"/>
        </w:rPr>
      </w:pPr>
      <w:r>
        <w:rPr>
          <w:rFonts w:hint="eastAsia"/>
          <w:color w:val="auto"/>
          <w:sz w:val="24"/>
        </w:rPr>
        <w:t>日期：</w:t>
      </w:r>
      <w:r>
        <w:rPr>
          <w:color w:val="auto"/>
          <w:sz w:val="24"/>
        </w:rPr>
        <w:t xml:space="preserve">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p w14:paraId="2127C31E">
      <w:pPr>
        <w:snapToGrid w:val="0"/>
        <w:spacing w:before="120" w:beforeLines="50" w:after="50"/>
        <w:jc w:val="center"/>
        <w:rPr>
          <w:rFonts w:hint="eastAsia" w:ascii="宋体" w:hAnsi="宋体"/>
          <w:b/>
          <w:color w:val="auto"/>
          <w:sz w:val="32"/>
          <w:szCs w:val="32"/>
        </w:rPr>
      </w:pPr>
      <w:r>
        <w:rPr>
          <w:rFonts w:hint="eastAsia" w:ascii="宋体" w:hAnsi="宋体"/>
          <w:b/>
          <w:color w:val="auto"/>
          <w:sz w:val="32"/>
          <w:szCs w:val="32"/>
        </w:rPr>
        <w:t>施工技术人员配备情况表</w:t>
      </w:r>
    </w:p>
    <w:tbl>
      <w:tblPr>
        <w:tblStyle w:val="48"/>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696"/>
        <w:gridCol w:w="889"/>
        <w:gridCol w:w="858"/>
        <w:gridCol w:w="1060"/>
        <w:gridCol w:w="1148"/>
        <w:gridCol w:w="1148"/>
        <w:gridCol w:w="744"/>
        <w:gridCol w:w="1167"/>
        <w:gridCol w:w="1276"/>
      </w:tblGrid>
      <w:tr w14:paraId="1B7E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092" w:type="dxa"/>
            <w:vMerge w:val="restart"/>
            <w:tcBorders>
              <w:top w:val="single" w:color="auto" w:sz="4" w:space="0"/>
              <w:left w:val="single" w:color="auto" w:sz="4" w:space="0"/>
              <w:bottom w:val="single" w:color="auto" w:sz="4" w:space="0"/>
              <w:right w:val="single" w:color="auto" w:sz="4" w:space="0"/>
            </w:tcBorders>
            <w:vAlign w:val="center"/>
          </w:tcPr>
          <w:p w14:paraId="0D75221B">
            <w:pPr>
              <w:ind w:left="223" w:hanging="222" w:hangingChars="106"/>
              <w:jc w:val="center"/>
              <w:rPr>
                <w:color w:val="auto"/>
              </w:rPr>
            </w:pPr>
            <w:r>
              <w:rPr>
                <w:rFonts w:hint="eastAsia"/>
                <w:color w:val="auto"/>
              </w:rPr>
              <w:t>岗位</w:t>
            </w:r>
          </w:p>
        </w:tc>
        <w:tc>
          <w:tcPr>
            <w:tcW w:w="696" w:type="dxa"/>
            <w:vMerge w:val="restart"/>
            <w:tcBorders>
              <w:top w:val="single" w:color="auto" w:sz="4" w:space="0"/>
              <w:left w:val="single" w:color="auto" w:sz="4" w:space="0"/>
              <w:bottom w:val="single" w:color="auto" w:sz="4" w:space="0"/>
              <w:right w:val="single" w:color="auto" w:sz="4" w:space="0"/>
            </w:tcBorders>
            <w:vAlign w:val="center"/>
          </w:tcPr>
          <w:p w14:paraId="61AA0EDE">
            <w:pPr>
              <w:ind w:left="223" w:hanging="222" w:hangingChars="106"/>
              <w:jc w:val="center"/>
              <w:rPr>
                <w:color w:val="auto"/>
              </w:rPr>
            </w:pPr>
            <w:r>
              <w:rPr>
                <w:rFonts w:hint="eastAsia"/>
                <w:color w:val="auto"/>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14:paraId="5409492B">
            <w:pPr>
              <w:jc w:val="center"/>
              <w:rPr>
                <w:color w:val="auto"/>
              </w:rPr>
            </w:pPr>
            <w:r>
              <w:rPr>
                <w:rFonts w:hint="eastAsia"/>
                <w:color w:val="auto"/>
              </w:rPr>
              <w:t>身份证号</w:t>
            </w:r>
          </w:p>
        </w:tc>
        <w:tc>
          <w:tcPr>
            <w:tcW w:w="858" w:type="dxa"/>
            <w:vMerge w:val="restart"/>
            <w:tcBorders>
              <w:top w:val="single" w:color="auto" w:sz="4" w:space="0"/>
              <w:left w:val="single" w:color="auto" w:sz="4" w:space="0"/>
              <w:bottom w:val="single" w:color="auto" w:sz="4" w:space="0"/>
              <w:right w:val="single" w:color="auto" w:sz="4" w:space="0"/>
            </w:tcBorders>
            <w:vAlign w:val="center"/>
          </w:tcPr>
          <w:p w14:paraId="0348CD64">
            <w:pPr>
              <w:ind w:left="223" w:hanging="222" w:hangingChars="106"/>
              <w:jc w:val="center"/>
              <w:rPr>
                <w:color w:val="auto"/>
              </w:rPr>
            </w:pPr>
            <w:r>
              <w:rPr>
                <w:rFonts w:hint="eastAsia"/>
                <w:color w:val="auto"/>
              </w:rPr>
              <w:t>职称</w:t>
            </w:r>
          </w:p>
        </w:tc>
        <w:tc>
          <w:tcPr>
            <w:tcW w:w="4100" w:type="dxa"/>
            <w:gridSpan w:val="4"/>
            <w:tcBorders>
              <w:top w:val="single" w:color="auto" w:sz="4" w:space="0"/>
              <w:left w:val="single" w:color="auto" w:sz="4" w:space="0"/>
              <w:bottom w:val="single" w:color="auto" w:sz="4" w:space="0"/>
              <w:right w:val="single" w:color="auto" w:sz="4" w:space="0"/>
            </w:tcBorders>
            <w:vAlign w:val="center"/>
          </w:tcPr>
          <w:p w14:paraId="1AFC35D8">
            <w:pPr>
              <w:ind w:left="223" w:hanging="222" w:hangingChars="106"/>
              <w:jc w:val="center"/>
              <w:rPr>
                <w:color w:val="auto"/>
              </w:rPr>
            </w:pPr>
            <w:r>
              <w:rPr>
                <w:rFonts w:hint="eastAsia"/>
                <w:color w:val="auto"/>
              </w:rPr>
              <w:t>执业或职业资格</w:t>
            </w:r>
          </w:p>
        </w:tc>
        <w:tc>
          <w:tcPr>
            <w:tcW w:w="2443" w:type="dxa"/>
            <w:gridSpan w:val="2"/>
            <w:tcBorders>
              <w:top w:val="single" w:color="auto" w:sz="4" w:space="0"/>
              <w:left w:val="single" w:color="auto" w:sz="4" w:space="0"/>
              <w:bottom w:val="single" w:color="auto" w:sz="4" w:space="0"/>
              <w:right w:val="single" w:color="auto" w:sz="4" w:space="0"/>
            </w:tcBorders>
            <w:vAlign w:val="center"/>
          </w:tcPr>
          <w:p w14:paraId="58AA6202">
            <w:pPr>
              <w:jc w:val="left"/>
              <w:rPr>
                <w:color w:val="auto"/>
              </w:rPr>
            </w:pPr>
            <w:r>
              <w:rPr>
                <w:rFonts w:hint="eastAsia"/>
                <w:color w:val="auto"/>
              </w:rPr>
              <w:t>承担完工、在建工程情况</w:t>
            </w:r>
          </w:p>
        </w:tc>
      </w:tr>
      <w:tr w14:paraId="6077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14:paraId="6815F333">
            <w:pPr>
              <w:widowControl/>
              <w:jc w:val="left"/>
              <w:rPr>
                <w:color w:val="auto"/>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14:paraId="2D1FDF85">
            <w:pPr>
              <w:widowControl/>
              <w:jc w:val="left"/>
              <w:rPr>
                <w:color w:val="auto"/>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14:paraId="3ACEABB0">
            <w:pPr>
              <w:widowControl/>
              <w:jc w:val="left"/>
              <w:rPr>
                <w:color w:val="auto"/>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14:paraId="259D4586">
            <w:pPr>
              <w:widowControl/>
              <w:jc w:val="left"/>
              <w:rPr>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14:paraId="1D80DD34">
            <w:pPr>
              <w:ind w:left="223" w:hanging="222" w:hangingChars="106"/>
              <w:jc w:val="center"/>
              <w:rPr>
                <w:color w:val="auto"/>
              </w:rPr>
            </w:pPr>
            <w:r>
              <w:rPr>
                <w:rFonts w:hint="eastAsia"/>
                <w:color w:val="auto"/>
              </w:rPr>
              <w:t>证书名称</w:t>
            </w:r>
          </w:p>
        </w:tc>
        <w:tc>
          <w:tcPr>
            <w:tcW w:w="1148" w:type="dxa"/>
            <w:tcBorders>
              <w:top w:val="single" w:color="auto" w:sz="4" w:space="0"/>
              <w:left w:val="single" w:color="auto" w:sz="4" w:space="0"/>
              <w:bottom w:val="single" w:color="auto" w:sz="4" w:space="0"/>
              <w:right w:val="single" w:color="auto" w:sz="4" w:space="0"/>
            </w:tcBorders>
            <w:vAlign w:val="center"/>
          </w:tcPr>
          <w:p w14:paraId="73B2DE37">
            <w:pPr>
              <w:ind w:left="223" w:hanging="222" w:hangingChars="106"/>
              <w:jc w:val="center"/>
              <w:rPr>
                <w:color w:val="auto"/>
              </w:rPr>
            </w:pPr>
            <w:r>
              <w:rPr>
                <w:rFonts w:hint="eastAsia"/>
                <w:color w:val="auto"/>
              </w:rPr>
              <w:t>级别</w:t>
            </w:r>
          </w:p>
        </w:tc>
        <w:tc>
          <w:tcPr>
            <w:tcW w:w="1148" w:type="dxa"/>
            <w:tcBorders>
              <w:top w:val="single" w:color="auto" w:sz="4" w:space="0"/>
              <w:left w:val="single" w:color="auto" w:sz="4" w:space="0"/>
              <w:bottom w:val="single" w:color="auto" w:sz="4" w:space="0"/>
              <w:right w:val="single" w:color="auto" w:sz="4" w:space="0"/>
            </w:tcBorders>
            <w:vAlign w:val="center"/>
          </w:tcPr>
          <w:p w14:paraId="3003EB61">
            <w:pPr>
              <w:ind w:left="223" w:hanging="222" w:hangingChars="106"/>
              <w:jc w:val="center"/>
              <w:rPr>
                <w:color w:val="auto"/>
              </w:rPr>
            </w:pPr>
            <w:r>
              <w:rPr>
                <w:rFonts w:hint="eastAsia"/>
                <w:color w:val="auto"/>
              </w:rPr>
              <w:t>证号</w:t>
            </w:r>
          </w:p>
        </w:tc>
        <w:tc>
          <w:tcPr>
            <w:tcW w:w="744" w:type="dxa"/>
            <w:tcBorders>
              <w:top w:val="single" w:color="auto" w:sz="4" w:space="0"/>
              <w:left w:val="single" w:color="auto" w:sz="4" w:space="0"/>
              <w:bottom w:val="single" w:color="auto" w:sz="4" w:space="0"/>
              <w:right w:val="single" w:color="auto" w:sz="4" w:space="0"/>
            </w:tcBorders>
            <w:vAlign w:val="center"/>
          </w:tcPr>
          <w:p w14:paraId="2169A468">
            <w:pPr>
              <w:ind w:left="223" w:hanging="222" w:hangingChars="106"/>
              <w:jc w:val="center"/>
              <w:rPr>
                <w:color w:val="auto"/>
              </w:rPr>
            </w:pPr>
            <w:r>
              <w:rPr>
                <w:rFonts w:hint="eastAsia"/>
                <w:color w:val="auto"/>
              </w:rPr>
              <w:t>专业</w:t>
            </w:r>
          </w:p>
        </w:tc>
        <w:tc>
          <w:tcPr>
            <w:tcW w:w="1167" w:type="dxa"/>
            <w:tcBorders>
              <w:top w:val="single" w:color="auto" w:sz="4" w:space="0"/>
              <w:left w:val="single" w:color="auto" w:sz="4" w:space="0"/>
              <w:bottom w:val="single" w:color="auto" w:sz="4" w:space="0"/>
              <w:right w:val="single" w:color="auto" w:sz="4" w:space="0"/>
            </w:tcBorders>
            <w:vAlign w:val="center"/>
          </w:tcPr>
          <w:p w14:paraId="6CD4FE26">
            <w:pPr>
              <w:jc w:val="center"/>
              <w:rPr>
                <w:color w:val="auto"/>
              </w:rPr>
            </w:pPr>
            <w:r>
              <w:rPr>
                <w:rFonts w:hint="eastAsia"/>
                <w:color w:val="auto"/>
              </w:rPr>
              <w:t>完工</w:t>
            </w:r>
            <w:r>
              <w:rPr>
                <w:color w:val="auto"/>
              </w:rPr>
              <w:t>/</w:t>
            </w:r>
            <w:r>
              <w:rPr>
                <w:rFonts w:hint="eastAsia"/>
                <w:color w:val="auto"/>
              </w:rPr>
              <w:t>在建</w:t>
            </w:r>
          </w:p>
        </w:tc>
        <w:tc>
          <w:tcPr>
            <w:tcW w:w="1276" w:type="dxa"/>
            <w:tcBorders>
              <w:top w:val="single" w:color="auto" w:sz="4" w:space="0"/>
              <w:left w:val="single" w:color="auto" w:sz="4" w:space="0"/>
              <w:bottom w:val="single" w:color="auto" w:sz="4" w:space="0"/>
              <w:right w:val="single" w:color="auto" w:sz="4" w:space="0"/>
            </w:tcBorders>
            <w:vAlign w:val="center"/>
          </w:tcPr>
          <w:p w14:paraId="4226E5E0">
            <w:pPr>
              <w:jc w:val="center"/>
              <w:rPr>
                <w:color w:val="auto"/>
              </w:rPr>
            </w:pPr>
            <w:r>
              <w:rPr>
                <w:rFonts w:hint="eastAsia"/>
                <w:color w:val="auto"/>
              </w:rPr>
              <w:t>主要项目</w:t>
            </w:r>
          </w:p>
          <w:p w14:paraId="694D95C5">
            <w:pPr>
              <w:jc w:val="center"/>
              <w:rPr>
                <w:color w:val="auto"/>
              </w:rPr>
            </w:pPr>
            <w:r>
              <w:rPr>
                <w:rFonts w:hint="eastAsia"/>
                <w:color w:val="auto"/>
              </w:rPr>
              <w:t>名称</w:t>
            </w:r>
          </w:p>
        </w:tc>
      </w:tr>
      <w:tr w14:paraId="6522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647A3C75">
            <w:pPr>
              <w:pStyle w:val="144"/>
              <w:spacing w:line="240" w:lineRule="auto"/>
              <w:ind w:firstLine="0"/>
              <w:jc w:val="center"/>
              <w:rPr>
                <w:rFonts w:hint="eastAsia"/>
                <w:color w:val="auto"/>
                <w:kern w:val="2"/>
                <w:sz w:val="21"/>
                <w:szCs w:val="21"/>
                <w:lang w:val="en-US"/>
              </w:rPr>
            </w:pPr>
          </w:p>
        </w:tc>
        <w:tc>
          <w:tcPr>
            <w:tcW w:w="696" w:type="dxa"/>
            <w:tcBorders>
              <w:top w:val="single" w:color="auto" w:sz="4" w:space="0"/>
              <w:left w:val="single" w:color="auto" w:sz="4" w:space="0"/>
              <w:bottom w:val="single" w:color="auto" w:sz="4" w:space="0"/>
              <w:right w:val="single" w:color="auto" w:sz="4" w:space="0"/>
            </w:tcBorders>
            <w:vAlign w:val="center"/>
          </w:tcPr>
          <w:p w14:paraId="406E4F3D">
            <w:pPr>
              <w:ind w:left="223" w:hanging="222" w:hangingChars="106"/>
              <w:jc w:val="center"/>
              <w:rPr>
                <w:color w:val="auto"/>
                <w:szCs w:val="21"/>
              </w:rPr>
            </w:pPr>
          </w:p>
        </w:tc>
        <w:tc>
          <w:tcPr>
            <w:tcW w:w="889" w:type="dxa"/>
            <w:tcBorders>
              <w:top w:val="single" w:color="auto" w:sz="4" w:space="0"/>
              <w:left w:val="single" w:color="auto" w:sz="4" w:space="0"/>
              <w:bottom w:val="single" w:color="auto" w:sz="4" w:space="0"/>
              <w:right w:val="single" w:color="auto" w:sz="4" w:space="0"/>
            </w:tcBorders>
            <w:vAlign w:val="center"/>
          </w:tcPr>
          <w:p w14:paraId="62E29EDD">
            <w:pPr>
              <w:ind w:left="223" w:hanging="222" w:hangingChars="106"/>
              <w:jc w:val="center"/>
              <w:rPr>
                <w:color w:val="auto"/>
                <w:szCs w:val="21"/>
              </w:rPr>
            </w:pPr>
          </w:p>
        </w:tc>
        <w:tc>
          <w:tcPr>
            <w:tcW w:w="858" w:type="dxa"/>
            <w:tcBorders>
              <w:top w:val="single" w:color="auto" w:sz="4" w:space="0"/>
              <w:left w:val="single" w:color="auto" w:sz="4" w:space="0"/>
              <w:bottom w:val="single" w:color="auto" w:sz="4" w:space="0"/>
              <w:right w:val="single" w:color="auto" w:sz="4" w:space="0"/>
            </w:tcBorders>
            <w:vAlign w:val="center"/>
          </w:tcPr>
          <w:p w14:paraId="2AF57DF8">
            <w:pPr>
              <w:ind w:left="223" w:hanging="222" w:hangingChars="106"/>
              <w:jc w:val="center"/>
              <w:rPr>
                <w:color w:val="auto"/>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26EE6C56">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23BEDF88">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6C923866">
            <w:pPr>
              <w:ind w:left="223" w:hanging="222" w:hangingChars="106"/>
              <w:jc w:val="center"/>
              <w:rPr>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408A92A5">
            <w:pPr>
              <w:ind w:left="223" w:hanging="222" w:hangingChars="106"/>
              <w:jc w:val="center"/>
              <w:rPr>
                <w:color w:val="auto"/>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1F28ABDF">
            <w:pPr>
              <w:ind w:left="223" w:hanging="222" w:hangingChars="106"/>
              <w:jc w:val="center"/>
              <w:rPr>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6563B03">
            <w:pPr>
              <w:ind w:left="223" w:hanging="222" w:hangingChars="106"/>
              <w:jc w:val="center"/>
              <w:rPr>
                <w:color w:val="auto"/>
                <w:szCs w:val="21"/>
              </w:rPr>
            </w:pPr>
          </w:p>
        </w:tc>
      </w:tr>
      <w:tr w14:paraId="137A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051F76B5">
            <w:pPr>
              <w:pStyle w:val="144"/>
              <w:spacing w:line="240" w:lineRule="auto"/>
              <w:ind w:firstLine="0"/>
              <w:jc w:val="center"/>
              <w:rPr>
                <w:rFonts w:hint="eastAsia"/>
                <w:color w:val="auto"/>
                <w:kern w:val="2"/>
                <w:sz w:val="21"/>
                <w:szCs w:val="21"/>
                <w:lang w:val="en-US"/>
              </w:rPr>
            </w:pPr>
          </w:p>
        </w:tc>
        <w:tc>
          <w:tcPr>
            <w:tcW w:w="696" w:type="dxa"/>
            <w:tcBorders>
              <w:top w:val="single" w:color="auto" w:sz="4" w:space="0"/>
              <w:left w:val="single" w:color="auto" w:sz="4" w:space="0"/>
              <w:bottom w:val="single" w:color="auto" w:sz="4" w:space="0"/>
              <w:right w:val="single" w:color="auto" w:sz="4" w:space="0"/>
            </w:tcBorders>
            <w:vAlign w:val="center"/>
          </w:tcPr>
          <w:p w14:paraId="2319A039">
            <w:pPr>
              <w:ind w:left="223" w:hanging="222" w:hangingChars="106"/>
              <w:jc w:val="center"/>
              <w:rPr>
                <w:color w:val="auto"/>
                <w:szCs w:val="21"/>
              </w:rPr>
            </w:pPr>
          </w:p>
        </w:tc>
        <w:tc>
          <w:tcPr>
            <w:tcW w:w="889" w:type="dxa"/>
            <w:tcBorders>
              <w:top w:val="single" w:color="auto" w:sz="4" w:space="0"/>
              <w:left w:val="single" w:color="auto" w:sz="4" w:space="0"/>
              <w:bottom w:val="single" w:color="auto" w:sz="4" w:space="0"/>
              <w:right w:val="single" w:color="auto" w:sz="4" w:space="0"/>
            </w:tcBorders>
            <w:vAlign w:val="center"/>
          </w:tcPr>
          <w:p w14:paraId="29247377">
            <w:pPr>
              <w:ind w:left="223" w:hanging="222" w:hangingChars="106"/>
              <w:jc w:val="center"/>
              <w:rPr>
                <w:color w:val="auto"/>
                <w:szCs w:val="21"/>
              </w:rPr>
            </w:pPr>
          </w:p>
        </w:tc>
        <w:tc>
          <w:tcPr>
            <w:tcW w:w="858" w:type="dxa"/>
            <w:tcBorders>
              <w:top w:val="single" w:color="auto" w:sz="4" w:space="0"/>
              <w:left w:val="single" w:color="auto" w:sz="4" w:space="0"/>
              <w:bottom w:val="single" w:color="auto" w:sz="4" w:space="0"/>
              <w:right w:val="single" w:color="auto" w:sz="4" w:space="0"/>
            </w:tcBorders>
            <w:vAlign w:val="center"/>
          </w:tcPr>
          <w:p w14:paraId="766E5E04">
            <w:pPr>
              <w:ind w:left="223" w:hanging="222" w:hangingChars="106"/>
              <w:jc w:val="center"/>
              <w:rPr>
                <w:color w:val="auto"/>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0319ABBB">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0ADDC42F">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78BBE8BC">
            <w:pPr>
              <w:ind w:left="223" w:hanging="222" w:hangingChars="106"/>
              <w:jc w:val="center"/>
              <w:rPr>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5BDC64D4">
            <w:pPr>
              <w:ind w:left="223" w:hanging="222" w:hangingChars="106"/>
              <w:jc w:val="center"/>
              <w:rPr>
                <w:color w:val="auto"/>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31150357">
            <w:pPr>
              <w:ind w:left="223" w:hanging="222" w:hangingChars="106"/>
              <w:jc w:val="center"/>
              <w:rPr>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E2DF0C8">
            <w:pPr>
              <w:ind w:left="223" w:hanging="222" w:hangingChars="106"/>
              <w:jc w:val="center"/>
              <w:rPr>
                <w:color w:val="auto"/>
                <w:szCs w:val="21"/>
              </w:rPr>
            </w:pPr>
          </w:p>
        </w:tc>
      </w:tr>
      <w:tr w14:paraId="42BD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6D66FE7C">
            <w:pPr>
              <w:pStyle w:val="144"/>
              <w:spacing w:line="240" w:lineRule="auto"/>
              <w:ind w:firstLine="0"/>
              <w:jc w:val="center"/>
              <w:rPr>
                <w:rFonts w:hint="eastAsia"/>
                <w:color w:val="auto"/>
                <w:kern w:val="2"/>
                <w:sz w:val="21"/>
                <w:szCs w:val="21"/>
                <w:lang w:val="en-US"/>
              </w:rPr>
            </w:pPr>
          </w:p>
        </w:tc>
        <w:tc>
          <w:tcPr>
            <w:tcW w:w="696" w:type="dxa"/>
            <w:tcBorders>
              <w:top w:val="single" w:color="auto" w:sz="4" w:space="0"/>
              <w:left w:val="single" w:color="auto" w:sz="4" w:space="0"/>
              <w:bottom w:val="single" w:color="auto" w:sz="4" w:space="0"/>
              <w:right w:val="single" w:color="auto" w:sz="4" w:space="0"/>
            </w:tcBorders>
            <w:vAlign w:val="center"/>
          </w:tcPr>
          <w:p w14:paraId="233DC5AC">
            <w:pPr>
              <w:ind w:left="223" w:hanging="222" w:hangingChars="106"/>
              <w:jc w:val="center"/>
              <w:rPr>
                <w:color w:val="auto"/>
                <w:szCs w:val="21"/>
              </w:rPr>
            </w:pPr>
          </w:p>
        </w:tc>
        <w:tc>
          <w:tcPr>
            <w:tcW w:w="889" w:type="dxa"/>
            <w:tcBorders>
              <w:top w:val="single" w:color="auto" w:sz="4" w:space="0"/>
              <w:left w:val="single" w:color="auto" w:sz="4" w:space="0"/>
              <w:bottom w:val="single" w:color="auto" w:sz="4" w:space="0"/>
              <w:right w:val="single" w:color="auto" w:sz="4" w:space="0"/>
            </w:tcBorders>
            <w:vAlign w:val="center"/>
          </w:tcPr>
          <w:p w14:paraId="13D51D3F">
            <w:pPr>
              <w:ind w:left="223" w:hanging="222" w:hangingChars="106"/>
              <w:jc w:val="center"/>
              <w:rPr>
                <w:color w:val="auto"/>
                <w:szCs w:val="21"/>
              </w:rPr>
            </w:pPr>
          </w:p>
        </w:tc>
        <w:tc>
          <w:tcPr>
            <w:tcW w:w="858" w:type="dxa"/>
            <w:tcBorders>
              <w:top w:val="single" w:color="auto" w:sz="4" w:space="0"/>
              <w:left w:val="single" w:color="auto" w:sz="4" w:space="0"/>
              <w:bottom w:val="single" w:color="auto" w:sz="4" w:space="0"/>
              <w:right w:val="single" w:color="auto" w:sz="4" w:space="0"/>
            </w:tcBorders>
            <w:vAlign w:val="center"/>
          </w:tcPr>
          <w:p w14:paraId="71CFB17B">
            <w:pPr>
              <w:ind w:left="223" w:hanging="222" w:hangingChars="106"/>
              <w:jc w:val="center"/>
              <w:rPr>
                <w:color w:val="auto"/>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47D8B358">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5F6513F4">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43BB6171">
            <w:pPr>
              <w:ind w:left="223" w:hanging="222" w:hangingChars="106"/>
              <w:jc w:val="center"/>
              <w:rPr>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0695F1D0">
            <w:pPr>
              <w:ind w:left="223" w:hanging="222" w:hangingChars="106"/>
              <w:jc w:val="center"/>
              <w:rPr>
                <w:color w:val="auto"/>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416A7029">
            <w:pPr>
              <w:ind w:left="223" w:hanging="222" w:hangingChars="106"/>
              <w:jc w:val="center"/>
              <w:rPr>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B5DA631">
            <w:pPr>
              <w:ind w:left="223" w:hanging="222" w:hangingChars="106"/>
              <w:jc w:val="center"/>
              <w:rPr>
                <w:color w:val="auto"/>
                <w:szCs w:val="21"/>
              </w:rPr>
            </w:pPr>
          </w:p>
        </w:tc>
      </w:tr>
      <w:tr w14:paraId="622A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7B4C62F2">
            <w:pPr>
              <w:pStyle w:val="144"/>
              <w:spacing w:line="240" w:lineRule="auto"/>
              <w:ind w:firstLine="0"/>
              <w:jc w:val="center"/>
              <w:rPr>
                <w:rFonts w:hint="eastAsia"/>
                <w:color w:val="auto"/>
                <w:kern w:val="2"/>
                <w:sz w:val="21"/>
                <w:szCs w:val="21"/>
                <w:lang w:val="en-US"/>
              </w:rPr>
            </w:pPr>
          </w:p>
        </w:tc>
        <w:tc>
          <w:tcPr>
            <w:tcW w:w="696" w:type="dxa"/>
            <w:tcBorders>
              <w:top w:val="single" w:color="auto" w:sz="4" w:space="0"/>
              <w:left w:val="single" w:color="auto" w:sz="4" w:space="0"/>
              <w:bottom w:val="single" w:color="auto" w:sz="4" w:space="0"/>
              <w:right w:val="single" w:color="auto" w:sz="4" w:space="0"/>
            </w:tcBorders>
            <w:vAlign w:val="center"/>
          </w:tcPr>
          <w:p w14:paraId="3C7CCE28">
            <w:pPr>
              <w:ind w:left="223" w:hanging="222" w:hangingChars="106"/>
              <w:jc w:val="center"/>
              <w:rPr>
                <w:color w:val="auto"/>
                <w:szCs w:val="21"/>
              </w:rPr>
            </w:pPr>
          </w:p>
        </w:tc>
        <w:tc>
          <w:tcPr>
            <w:tcW w:w="889" w:type="dxa"/>
            <w:tcBorders>
              <w:top w:val="single" w:color="auto" w:sz="4" w:space="0"/>
              <w:left w:val="single" w:color="auto" w:sz="4" w:space="0"/>
              <w:bottom w:val="single" w:color="auto" w:sz="4" w:space="0"/>
              <w:right w:val="single" w:color="auto" w:sz="4" w:space="0"/>
            </w:tcBorders>
            <w:vAlign w:val="center"/>
          </w:tcPr>
          <w:p w14:paraId="1AFDB245">
            <w:pPr>
              <w:ind w:left="223" w:hanging="222" w:hangingChars="106"/>
              <w:jc w:val="center"/>
              <w:rPr>
                <w:color w:val="auto"/>
                <w:szCs w:val="21"/>
              </w:rPr>
            </w:pPr>
          </w:p>
        </w:tc>
        <w:tc>
          <w:tcPr>
            <w:tcW w:w="858" w:type="dxa"/>
            <w:tcBorders>
              <w:top w:val="single" w:color="auto" w:sz="4" w:space="0"/>
              <w:left w:val="single" w:color="auto" w:sz="4" w:space="0"/>
              <w:bottom w:val="single" w:color="auto" w:sz="4" w:space="0"/>
              <w:right w:val="single" w:color="auto" w:sz="4" w:space="0"/>
            </w:tcBorders>
            <w:vAlign w:val="center"/>
          </w:tcPr>
          <w:p w14:paraId="11ACBD76">
            <w:pPr>
              <w:ind w:left="223" w:hanging="222" w:hangingChars="106"/>
              <w:jc w:val="center"/>
              <w:rPr>
                <w:color w:val="auto"/>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2AED1AC8">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652925FF">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76A3A271">
            <w:pPr>
              <w:ind w:left="223" w:hanging="222" w:hangingChars="106"/>
              <w:jc w:val="center"/>
              <w:rPr>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7E9BBE16">
            <w:pPr>
              <w:ind w:left="223" w:hanging="222" w:hangingChars="106"/>
              <w:jc w:val="center"/>
              <w:rPr>
                <w:color w:val="auto"/>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37D847B5">
            <w:pPr>
              <w:ind w:left="223" w:hanging="222" w:hangingChars="106"/>
              <w:jc w:val="center"/>
              <w:rPr>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F43AC03">
            <w:pPr>
              <w:ind w:left="223" w:hanging="222" w:hangingChars="106"/>
              <w:jc w:val="center"/>
              <w:rPr>
                <w:color w:val="auto"/>
                <w:szCs w:val="21"/>
              </w:rPr>
            </w:pPr>
          </w:p>
        </w:tc>
      </w:tr>
      <w:tr w14:paraId="5C0B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255E743B">
            <w:pPr>
              <w:jc w:val="center"/>
              <w:rPr>
                <w:color w:val="auto"/>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339DCFCE">
            <w:pPr>
              <w:ind w:left="223" w:hanging="222" w:hangingChars="106"/>
              <w:jc w:val="center"/>
              <w:rPr>
                <w:color w:val="auto"/>
                <w:szCs w:val="21"/>
              </w:rPr>
            </w:pPr>
          </w:p>
        </w:tc>
        <w:tc>
          <w:tcPr>
            <w:tcW w:w="889" w:type="dxa"/>
            <w:tcBorders>
              <w:top w:val="single" w:color="auto" w:sz="4" w:space="0"/>
              <w:left w:val="single" w:color="auto" w:sz="4" w:space="0"/>
              <w:bottom w:val="single" w:color="auto" w:sz="4" w:space="0"/>
              <w:right w:val="single" w:color="auto" w:sz="4" w:space="0"/>
            </w:tcBorders>
            <w:vAlign w:val="center"/>
          </w:tcPr>
          <w:p w14:paraId="4839D98B">
            <w:pPr>
              <w:ind w:left="223" w:hanging="222" w:hangingChars="106"/>
              <w:jc w:val="center"/>
              <w:rPr>
                <w:color w:val="auto"/>
                <w:szCs w:val="21"/>
              </w:rPr>
            </w:pPr>
          </w:p>
        </w:tc>
        <w:tc>
          <w:tcPr>
            <w:tcW w:w="858" w:type="dxa"/>
            <w:tcBorders>
              <w:top w:val="single" w:color="auto" w:sz="4" w:space="0"/>
              <w:left w:val="single" w:color="auto" w:sz="4" w:space="0"/>
              <w:bottom w:val="single" w:color="auto" w:sz="4" w:space="0"/>
              <w:right w:val="single" w:color="auto" w:sz="4" w:space="0"/>
            </w:tcBorders>
            <w:vAlign w:val="center"/>
          </w:tcPr>
          <w:p w14:paraId="6E5B7CD0">
            <w:pPr>
              <w:ind w:left="223" w:hanging="222" w:hangingChars="106"/>
              <w:jc w:val="center"/>
              <w:rPr>
                <w:color w:val="auto"/>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46D0372A">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3CE12CFC">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25879A83">
            <w:pPr>
              <w:ind w:left="223" w:hanging="222" w:hangingChars="106"/>
              <w:jc w:val="center"/>
              <w:rPr>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5E3F5AB2">
            <w:pPr>
              <w:ind w:left="223" w:hanging="222" w:hangingChars="106"/>
              <w:jc w:val="center"/>
              <w:rPr>
                <w:color w:val="auto"/>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3F8746F7">
            <w:pPr>
              <w:ind w:left="223" w:hanging="222" w:hangingChars="106"/>
              <w:jc w:val="center"/>
              <w:rPr>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3BA4593">
            <w:pPr>
              <w:ind w:left="223" w:hanging="222" w:hangingChars="106"/>
              <w:jc w:val="center"/>
              <w:rPr>
                <w:color w:val="auto"/>
                <w:szCs w:val="21"/>
              </w:rPr>
            </w:pPr>
          </w:p>
        </w:tc>
      </w:tr>
      <w:tr w14:paraId="1988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52D19541">
            <w:pPr>
              <w:jc w:val="center"/>
              <w:rPr>
                <w:color w:val="auto"/>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4D57B53B">
            <w:pPr>
              <w:ind w:left="223" w:hanging="222" w:hangingChars="106"/>
              <w:jc w:val="center"/>
              <w:rPr>
                <w:color w:val="auto"/>
                <w:szCs w:val="21"/>
              </w:rPr>
            </w:pPr>
          </w:p>
        </w:tc>
        <w:tc>
          <w:tcPr>
            <w:tcW w:w="889" w:type="dxa"/>
            <w:tcBorders>
              <w:top w:val="single" w:color="auto" w:sz="4" w:space="0"/>
              <w:left w:val="single" w:color="auto" w:sz="4" w:space="0"/>
              <w:bottom w:val="single" w:color="auto" w:sz="4" w:space="0"/>
              <w:right w:val="single" w:color="auto" w:sz="4" w:space="0"/>
            </w:tcBorders>
            <w:vAlign w:val="center"/>
          </w:tcPr>
          <w:p w14:paraId="38D07160">
            <w:pPr>
              <w:ind w:left="223" w:hanging="222" w:hangingChars="106"/>
              <w:jc w:val="center"/>
              <w:rPr>
                <w:color w:val="auto"/>
                <w:szCs w:val="21"/>
              </w:rPr>
            </w:pPr>
          </w:p>
        </w:tc>
        <w:tc>
          <w:tcPr>
            <w:tcW w:w="858" w:type="dxa"/>
            <w:tcBorders>
              <w:top w:val="single" w:color="auto" w:sz="4" w:space="0"/>
              <w:left w:val="single" w:color="auto" w:sz="4" w:space="0"/>
              <w:bottom w:val="single" w:color="auto" w:sz="4" w:space="0"/>
              <w:right w:val="single" w:color="auto" w:sz="4" w:space="0"/>
            </w:tcBorders>
            <w:vAlign w:val="center"/>
          </w:tcPr>
          <w:p w14:paraId="2F9A3AA8">
            <w:pPr>
              <w:ind w:left="223" w:hanging="222" w:hangingChars="106"/>
              <w:jc w:val="center"/>
              <w:rPr>
                <w:color w:val="auto"/>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4AC8FD25">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1BA46489">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0CB1AB6C">
            <w:pPr>
              <w:ind w:left="223" w:hanging="222" w:hangingChars="106"/>
              <w:jc w:val="center"/>
              <w:rPr>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170A04EF">
            <w:pPr>
              <w:ind w:left="223" w:hanging="222" w:hangingChars="106"/>
              <w:jc w:val="center"/>
              <w:rPr>
                <w:color w:val="auto"/>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766C0F3A">
            <w:pPr>
              <w:ind w:left="223" w:hanging="222" w:hangingChars="106"/>
              <w:jc w:val="center"/>
              <w:rPr>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A910C13">
            <w:pPr>
              <w:ind w:left="223" w:hanging="222" w:hangingChars="106"/>
              <w:jc w:val="center"/>
              <w:rPr>
                <w:color w:val="auto"/>
                <w:szCs w:val="21"/>
              </w:rPr>
            </w:pPr>
          </w:p>
        </w:tc>
      </w:tr>
      <w:tr w14:paraId="5C9C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34F41B27">
            <w:pPr>
              <w:jc w:val="center"/>
              <w:rPr>
                <w:color w:val="auto"/>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13C26F7A">
            <w:pPr>
              <w:ind w:left="223" w:hanging="222" w:hangingChars="106"/>
              <w:jc w:val="center"/>
              <w:rPr>
                <w:color w:val="auto"/>
                <w:szCs w:val="21"/>
              </w:rPr>
            </w:pPr>
          </w:p>
        </w:tc>
        <w:tc>
          <w:tcPr>
            <w:tcW w:w="889" w:type="dxa"/>
            <w:tcBorders>
              <w:top w:val="single" w:color="auto" w:sz="4" w:space="0"/>
              <w:left w:val="single" w:color="auto" w:sz="4" w:space="0"/>
              <w:bottom w:val="single" w:color="auto" w:sz="4" w:space="0"/>
              <w:right w:val="single" w:color="auto" w:sz="4" w:space="0"/>
            </w:tcBorders>
            <w:vAlign w:val="center"/>
          </w:tcPr>
          <w:p w14:paraId="253B59AA">
            <w:pPr>
              <w:ind w:left="223" w:hanging="222" w:hangingChars="106"/>
              <w:jc w:val="center"/>
              <w:rPr>
                <w:color w:val="auto"/>
                <w:szCs w:val="21"/>
              </w:rPr>
            </w:pPr>
          </w:p>
        </w:tc>
        <w:tc>
          <w:tcPr>
            <w:tcW w:w="858" w:type="dxa"/>
            <w:tcBorders>
              <w:top w:val="single" w:color="auto" w:sz="4" w:space="0"/>
              <w:left w:val="single" w:color="auto" w:sz="4" w:space="0"/>
              <w:bottom w:val="single" w:color="auto" w:sz="4" w:space="0"/>
              <w:right w:val="single" w:color="auto" w:sz="4" w:space="0"/>
            </w:tcBorders>
            <w:vAlign w:val="center"/>
          </w:tcPr>
          <w:p w14:paraId="70EB8707">
            <w:pPr>
              <w:ind w:left="223" w:hanging="222" w:hangingChars="106"/>
              <w:jc w:val="center"/>
              <w:rPr>
                <w:color w:val="auto"/>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16A80132">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46429323">
            <w:pPr>
              <w:ind w:left="223" w:hanging="222" w:hangingChars="106"/>
              <w:jc w:val="center"/>
              <w:rPr>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14:paraId="0313737F">
            <w:pPr>
              <w:ind w:left="223" w:hanging="222" w:hangingChars="106"/>
              <w:jc w:val="center"/>
              <w:rPr>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1C427115">
            <w:pPr>
              <w:ind w:left="223" w:hanging="222" w:hangingChars="106"/>
              <w:jc w:val="center"/>
              <w:rPr>
                <w:color w:val="auto"/>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3BF8F0F9">
            <w:pPr>
              <w:ind w:left="223" w:hanging="222" w:hangingChars="106"/>
              <w:jc w:val="center"/>
              <w:rPr>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8414FBB">
            <w:pPr>
              <w:ind w:left="223" w:hanging="222" w:hangingChars="106"/>
              <w:jc w:val="center"/>
              <w:rPr>
                <w:color w:val="auto"/>
                <w:szCs w:val="21"/>
              </w:rPr>
            </w:pPr>
          </w:p>
        </w:tc>
      </w:tr>
      <w:tr w14:paraId="499B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78" w:type="dxa"/>
            <w:gridSpan w:val="10"/>
            <w:tcBorders>
              <w:top w:val="single" w:color="auto" w:sz="4" w:space="0"/>
              <w:left w:val="single" w:color="auto" w:sz="4" w:space="0"/>
              <w:bottom w:val="single" w:color="auto" w:sz="4" w:space="0"/>
              <w:right w:val="single" w:color="auto" w:sz="4" w:space="0"/>
            </w:tcBorders>
            <w:vAlign w:val="center"/>
          </w:tcPr>
          <w:p w14:paraId="7EBA3BF5">
            <w:pPr>
              <w:ind w:left="-2"/>
              <w:jc w:val="left"/>
              <w:rPr>
                <w:color w:val="auto"/>
              </w:rPr>
            </w:pPr>
            <w:r>
              <w:rPr>
                <w:rFonts w:hint="eastAsia"/>
                <w:color w:val="auto"/>
              </w:rPr>
              <w:t>一旦我单位成交，将实行项目经理负责制，我方保证并配备上述施工技术人员。上述填报内容真实，若不真实，愿按有关规定接受处理。</w:t>
            </w:r>
          </w:p>
        </w:tc>
      </w:tr>
    </w:tbl>
    <w:p w14:paraId="61ECFBCA">
      <w:pPr>
        <w:wordWrap w:val="0"/>
        <w:spacing w:line="300" w:lineRule="exact"/>
        <w:jc w:val="left"/>
        <w:rPr>
          <w:rFonts w:hint="eastAsia" w:ascii="宋体" w:hAnsi="宋体"/>
          <w:b/>
          <w:color w:val="auto"/>
          <w:szCs w:val="21"/>
        </w:rPr>
      </w:pPr>
      <w:r>
        <w:rPr>
          <w:rFonts w:hint="eastAsia" w:ascii="宋体" w:hAnsi="宋体"/>
          <w:b/>
          <w:color w:val="auto"/>
          <w:szCs w:val="21"/>
        </w:rPr>
        <w:t>备注：</w:t>
      </w:r>
    </w:p>
    <w:p w14:paraId="5B84636D">
      <w:pPr>
        <w:wordWrap w:val="0"/>
        <w:spacing w:line="300" w:lineRule="exact"/>
        <w:ind w:firstLine="422" w:firstLineChars="200"/>
        <w:jc w:val="left"/>
        <w:rPr>
          <w:rFonts w:hint="eastAsia" w:ascii="宋体" w:hAnsi="宋体"/>
          <w:b/>
          <w:color w:val="auto"/>
          <w:szCs w:val="21"/>
        </w:rPr>
      </w:pPr>
      <w:r>
        <w:rPr>
          <w:rFonts w:hint="eastAsia" w:ascii="宋体" w:hAnsi="宋体"/>
          <w:b/>
          <w:color w:val="auto"/>
          <w:szCs w:val="21"/>
        </w:rPr>
        <w:t>本表所列岗位的所有管理人员的情况均应如实填写。可按以上格式扩展为多页填写。</w:t>
      </w:r>
    </w:p>
    <w:p w14:paraId="00E72DC9">
      <w:pPr>
        <w:wordWrap w:val="0"/>
        <w:spacing w:line="300" w:lineRule="exact"/>
        <w:ind w:firstLine="422" w:firstLineChars="200"/>
        <w:jc w:val="left"/>
        <w:rPr>
          <w:rFonts w:hint="eastAsia" w:ascii="宋体" w:hAnsi="宋体"/>
          <w:b/>
          <w:color w:val="auto"/>
          <w:szCs w:val="21"/>
        </w:rPr>
      </w:pPr>
    </w:p>
    <w:p w14:paraId="3FD41BB0">
      <w:pPr>
        <w:wordWrap w:val="0"/>
        <w:spacing w:line="300" w:lineRule="exact"/>
        <w:ind w:firstLine="422" w:firstLineChars="200"/>
        <w:jc w:val="left"/>
        <w:rPr>
          <w:rFonts w:hint="eastAsia" w:ascii="宋体" w:hAnsi="宋体"/>
          <w:b/>
          <w:color w:val="auto"/>
          <w:szCs w:val="21"/>
        </w:rPr>
      </w:pPr>
    </w:p>
    <w:p w14:paraId="4736F419">
      <w:pPr>
        <w:spacing w:line="360" w:lineRule="auto"/>
        <w:ind w:firstLine="480" w:firstLineChars="200"/>
        <w:rPr>
          <w:rFonts w:hint="eastAsia"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14:paraId="223F3B20">
      <w:pPr>
        <w:spacing w:line="360" w:lineRule="auto"/>
        <w:ind w:firstLine="560" w:firstLineChars="200"/>
        <w:jc w:val="left"/>
        <w:rPr>
          <w:rFonts w:hint="eastAsia" w:ascii="宋体" w:hAnsi="宋体"/>
          <w:color w:val="auto"/>
          <w:sz w:val="24"/>
          <w:szCs w:val="20"/>
        </w:rPr>
      </w:pPr>
      <w:r>
        <w:rPr>
          <w:rFonts w:hint="eastAsia" w:ascii="宋体" w:hAnsi="宋体"/>
          <w:color w:val="auto"/>
          <w:spacing w:val="20"/>
          <w:sz w:val="24"/>
        </w:rPr>
        <w:t>供应商（电子签章）：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6ECBFE82">
      <w:pPr>
        <w:spacing w:line="500" w:lineRule="exact"/>
        <w:jc w:val="center"/>
        <w:rPr>
          <w:rFonts w:hint="eastAsia" w:ascii="方正小标宋简体" w:hAnsi="方正小标宋简体" w:eastAsia="方正小标宋简体" w:cs="方正小标宋简体"/>
          <w:bCs/>
          <w:color w:val="auto"/>
          <w:sz w:val="44"/>
          <w:szCs w:val="44"/>
        </w:rPr>
      </w:pPr>
    </w:p>
    <w:p w14:paraId="22EFB0CC">
      <w:pPr>
        <w:spacing w:line="500" w:lineRule="exact"/>
        <w:jc w:val="center"/>
        <w:rPr>
          <w:rFonts w:hint="eastAsia" w:ascii="方正小标宋简体" w:hAnsi="方正小标宋简体" w:eastAsia="方正小标宋简体" w:cs="方正小标宋简体"/>
          <w:bCs/>
          <w:color w:val="auto"/>
          <w:sz w:val="44"/>
          <w:szCs w:val="44"/>
        </w:rPr>
      </w:pPr>
    </w:p>
    <w:p w14:paraId="605E476B">
      <w:pPr>
        <w:spacing w:line="500" w:lineRule="exact"/>
        <w:jc w:val="center"/>
        <w:rPr>
          <w:rFonts w:hint="eastAsia" w:ascii="方正小标宋简体" w:hAnsi="方正小标宋简体" w:eastAsia="方正小标宋简体" w:cs="方正小标宋简体"/>
          <w:bCs/>
          <w:color w:val="auto"/>
          <w:sz w:val="44"/>
          <w:szCs w:val="44"/>
        </w:rPr>
      </w:pPr>
    </w:p>
    <w:p w14:paraId="1BE6AE63">
      <w:pPr>
        <w:spacing w:line="500" w:lineRule="exact"/>
        <w:jc w:val="center"/>
        <w:rPr>
          <w:rFonts w:hint="eastAsia" w:ascii="方正小标宋简体" w:hAnsi="方正小标宋简体" w:eastAsia="方正小标宋简体" w:cs="方正小标宋简体"/>
          <w:bCs/>
          <w:color w:val="auto"/>
          <w:sz w:val="44"/>
          <w:szCs w:val="44"/>
        </w:rPr>
      </w:pPr>
    </w:p>
    <w:p w14:paraId="7BBCCF9F">
      <w:pPr>
        <w:spacing w:line="500" w:lineRule="exact"/>
        <w:jc w:val="center"/>
        <w:rPr>
          <w:rFonts w:hint="eastAsia" w:ascii="方正小标宋简体" w:hAnsi="方正小标宋简体" w:eastAsia="方正小标宋简体" w:cs="方正小标宋简体"/>
          <w:bCs/>
          <w:color w:val="auto"/>
          <w:sz w:val="44"/>
          <w:szCs w:val="44"/>
        </w:rPr>
      </w:pPr>
    </w:p>
    <w:p w14:paraId="157607CB">
      <w:pPr>
        <w:spacing w:line="500" w:lineRule="exact"/>
        <w:jc w:val="center"/>
        <w:rPr>
          <w:rFonts w:hint="eastAsia" w:ascii="方正小标宋简体" w:hAnsi="方正小标宋简体" w:eastAsia="方正小标宋简体" w:cs="方正小标宋简体"/>
          <w:bCs/>
          <w:color w:val="auto"/>
          <w:sz w:val="44"/>
          <w:szCs w:val="44"/>
        </w:rPr>
      </w:pPr>
    </w:p>
    <w:p w14:paraId="6C15A221">
      <w:pPr>
        <w:spacing w:line="500" w:lineRule="exact"/>
        <w:jc w:val="center"/>
        <w:rPr>
          <w:rFonts w:hint="eastAsia" w:ascii="方正小标宋简体" w:hAnsi="方正小标宋简体" w:eastAsia="方正小标宋简体" w:cs="方正小标宋简体"/>
          <w:bCs/>
          <w:color w:val="auto"/>
          <w:sz w:val="44"/>
          <w:szCs w:val="44"/>
        </w:rPr>
      </w:pPr>
    </w:p>
    <w:p w14:paraId="14F9AC59">
      <w:pPr>
        <w:spacing w:line="500" w:lineRule="exact"/>
        <w:jc w:val="center"/>
        <w:rPr>
          <w:rFonts w:hint="eastAsia" w:ascii="方正小标宋简体" w:hAnsi="方正小标宋简体" w:eastAsia="方正小标宋简体" w:cs="方正小标宋简体"/>
          <w:bCs/>
          <w:color w:val="auto"/>
          <w:sz w:val="44"/>
          <w:szCs w:val="44"/>
        </w:rPr>
      </w:pPr>
    </w:p>
    <w:p w14:paraId="49559C96">
      <w:pPr>
        <w:spacing w:line="500" w:lineRule="exact"/>
        <w:jc w:val="center"/>
        <w:rPr>
          <w:rFonts w:hint="eastAsia" w:ascii="方正小标宋简体" w:hAnsi="方正小标宋简体" w:eastAsia="方正小标宋简体" w:cs="方正小标宋简体"/>
          <w:bCs/>
          <w:color w:val="auto"/>
          <w:sz w:val="44"/>
          <w:szCs w:val="44"/>
        </w:rPr>
      </w:pPr>
    </w:p>
    <w:p w14:paraId="7465008E">
      <w:pPr>
        <w:spacing w:line="5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施工组织设计（格式）</w:t>
      </w:r>
    </w:p>
    <w:p w14:paraId="61D32E29">
      <w:pPr>
        <w:spacing w:line="360" w:lineRule="auto"/>
        <w:ind w:firstLine="420" w:firstLineChars="200"/>
        <w:rPr>
          <w:color w:val="auto"/>
        </w:rPr>
      </w:pPr>
    </w:p>
    <w:p w14:paraId="7D9ECE5B">
      <w:pPr>
        <w:spacing w:line="360" w:lineRule="auto"/>
        <w:ind w:firstLine="420" w:firstLineChars="200"/>
        <w:rPr>
          <w:rFonts w:cs="宋体"/>
          <w:color w:val="auto"/>
        </w:rPr>
      </w:pPr>
      <w:r>
        <w:rPr>
          <w:rFonts w:hint="eastAsia"/>
          <w:color w:val="auto"/>
        </w:rPr>
        <w:t>1.</w:t>
      </w:r>
      <w:r>
        <w:rPr>
          <w:color w:val="auto"/>
        </w:rPr>
        <w:t xml:space="preserve"> 施工组织</w:t>
      </w:r>
      <w:r>
        <w:rPr>
          <w:rFonts w:hint="eastAsia"/>
          <w:color w:val="auto"/>
        </w:rPr>
        <w:t>设计</w:t>
      </w:r>
      <w:r>
        <w:rPr>
          <w:rFonts w:hint="eastAsia" w:ascii="宋体" w:hAnsi="宋体"/>
          <w:color w:val="auto"/>
        </w:rPr>
        <w:t>应</w:t>
      </w:r>
      <w:r>
        <w:rPr>
          <w:rFonts w:hint="eastAsia"/>
          <w:color w:val="auto"/>
        </w:rPr>
        <w:t>以下内容顺序编制，可</w:t>
      </w:r>
      <w:r>
        <w:rPr>
          <w:rFonts w:hint="eastAsia" w:ascii="宋体" w:hAnsi="宋体"/>
          <w:color w:val="auto"/>
        </w:rPr>
        <w:t>采用文字并结合图表形式说明施工方法，</w:t>
      </w:r>
      <w:r>
        <w:rPr>
          <w:color w:val="auto"/>
        </w:rPr>
        <w:t>施工组织</w:t>
      </w:r>
      <w:r>
        <w:rPr>
          <w:rFonts w:hint="eastAsia"/>
          <w:color w:val="auto"/>
        </w:rPr>
        <w:t>设计具体</w:t>
      </w:r>
      <w:r>
        <w:rPr>
          <w:color w:val="auto"/>
        </w:rPr>
        <w:t>内容</w:t>
      </w:r>
      <w:r>
        <w:rPr>
          <w:rFonts w:hint="eastAsia" w:cs="宋体"/>
          <w:color w:val="auto"/>
        </w:rPr>
        <w:t>如下：</w:t>
      </w:r>
    </w:p>
    <w:p w14:paraId="505F75BD">
      <w:pPr>
        <w:spacing w:line="360" w:lineRule="auto"/>
        <w:ind w:firstLine="420" w:firstLineChars="200"/>
        <w:rPr>
          <w:rFonts w:hint="eastAsia" w:ascii="宋体" w:hAnsi="宋体" w:cs="宋体"/>
          <w:color w:val="auto"/>
        </w:rPr>
      </w:pPr>
      <w:r>
        <w:rPr>
          <w:rFonts w:hint="eastAsia" w:ascii="宋体" w:hAnsi="宋体" w:cs="宋体"/>
          <w:color w:val="auto"/>
        </w:rPr>
        <w:t>（1）总体概述；</w:t>
      </w:r>
    </w:p>
    <w:p w14:paraId="7934B716">
      <w:pPr>
        <w:spacing w:line="360" w:lineRule="auto"/>
        <w:ind w:firstLine="420" w:firstLineChars="200"/>
        <w:rPr>
          <w:rFonts w:hint="eastAsia" w:ascii="宋体" w:hAnsi="宋体" w:cs="宋体"/>
          <w:color w:val="auto"/>
        </w:rPr>
      </w:pPr>
      <w:r>
        <w:rPr>
          <w:rFonts w:hint="eastAsia" w:ascii="宋体" w:hAnsi="宋体" w:cs="宋体"/>
          <w:color w:val="auto"/>
        </w:rPr>
        <w:t>（2）主要施工方法；</w:t>
      </w:r>
    </w:p>
    <w:p w14:paraId="7660C89D">
      <w:pPr>
        <w:spacing w:line="360" w:lineRule="auto"/>
        <w:ind w:firstLine="420" w:firstLineChars="200"/>
        <w:rPr>
          <w:rFonts w:hint="eastAsia" w:ascii="宋体" w:hAnsi="宋体" w:cs="宋体"/>
          <w:color w:val="auto"/>
        </w:rPr>
      </w:pPr>
      <w:r>
        <w:rPr>
          <w:rFonts w:hint="eastAsia" w:ascii="宋体" w:hAnsi="宋体" w:cs="宋体"/>
          <w:color w:val="auto"/>
        </w:rPr>
        <w:t>（3）施工进度、施工进度计划和各阶段进度的保证措施；</w:t>
      </w:r>
    </w:p>
    <w:p w14:paraId="79FD3886">
      <w:pPr>
        <w:spacing w:line="360" w:lineRule="auto"/>
        <w:ind w:firstLine="420" w:firstLineChars="200"/>
        <w:rPr>
          <w:rFonts w:hint="eastAsia" w:ascii="宋体" w:hAnsi="宋体" w:cs="宋体"/>
          <w:color w:val="auto"/>
        </w:rPr>
      </w:pPr>
      <w:r>
        <w:rPr>
          <w:rFonts w:hint="eastAsia" w:ascii="宋体" w:hAnsi="宋体" w:cs="宋体"/>
          <w:color w:val="auto"/>
        </w:rPr>
        <w:t>（4）劳动力、材料和机械、检测设备投入计划及其保证措施；</w:t>
      </w:r>
    </w:p>
    <w:p w14:paraId="026E78E0">
      <w:pPr>
        <w:spacing w:line="360" w:lineRule="auto"/>
        <w:ind w:firstLine="420" w:firstLineChars="200"/>
        <w:rPr>
          <w:rFonts w:hint="eastAsia" w:ascii="宋体" w:hAnsi="宋体" w:cs="宋体"/>
          <w:color w:val="auto"/>
        </w:rPr>
      </w:pPr>
      <w:r>
        <w:rPr>
          <w:rFonts w:hint="eastAsia" w:ascii="宋体" w:hAnsi="宋体" w:cs="宋体"/>
          <w:color w:val="auto"/>
        </w:rPr>
        <w:t>（5）关键施工技术、工艺及工程实施的重点、难点和解决方案；</w:t>
      </w:r>
    </w:p>
    <w:p w14:paraId="631FD728">
      <w:pPr>
        <w:spacing w:line="360" w:lineRule="auto"/>
        <w:ind w:firstLine="420" w:firstLineChars="200"/>
        <w:rPr>
          <w:rFonts w:hint="eastAsia" w:ascii="宋体" w:hAnsi="宋体" w:cs="宋体"/>
          <w:color w:val="auto"/>
        </w:rPr>
      </w:pPr>
      <w:r>
        <w:rPr>
          <w:rFonts w:hint="eastAsia" w:ascii="宋体" w:hAnsi="宋体" w:cs="宋体"/>
          <w:color w:val="auto"/>
        </w:rPr>
        <w:t>（6）安全文明施工措施；</w:t>
      </w:r>
    </w:p>
    <w:p w14:paraId="578DF2B2">
      <w:pPr>
        <w:spacing w:line="360" w:lineRule="auto"/>
        <w:ind w:firstLine="420" w:firstLineChars="200"/>
        <w:rPr>
          <w:rFonts w:hint="eastAsia" w:ascii="宋体" w:hAnsi="宋体" w:cs="宋体"/>
          <w:color w:val="auto"/>
        </w:rPr>
      </w:pPr>
      <w:r>
        <w:rPr>
          <w:rFonts w:hint="eastAsia" w:ascii="宋体" w:hAnsi="宋体" w:cs="宋体"/>
          <w:color w:val="auto"/>
        </w:rPr>
        <w:t>（7）质量保证与承诺；</w:t>
      </w:r>
    </w:p>
    <w:p w14:paraId="7BA48D59">
      <w:pPr>
        <w:spacing w:line="360" w:lineRule="auto"/>
        <w:ind w:firstLine="420" w:firstLineChars="200"/>
        <w:rPr>
          <w:rFonts w:hint="eastAsia" w:ascii="宋体" w:hAnsi="宋体" w:cs="宋体"/>
          <w:color w:val="auto"/>
        </w:rPr>
      </w:pPr>
      <w:r>
        <w:rPr>
          <w:rFonts w:hint="eastAsia" w:ascii="宋体" w:hAnsi="宋体" w:cs="宋体"/>
          <w:color w:val="auto"/>
        </w:rPr>
        <w:t>（8）新技术应用与承诺。</w:t>
      </w:r>
    </w:p>
    <w:p w14:paraId="72CF84BE">
      <w:pPr>
        <w:spacing w:line="360" w:lineRule="auto"/>
        <w:ind w:firstLine="420" w:firstLineChars="200"/>
        <w:rPr>
          <w:color w:val="auto"/>
        </w:rPr>
      </w:pPr>
    </w:p>
    <w:p w14:paraId="1E245F24">
      <w:pPr>
        <w:spacing w:line="360" w:lineRule="auto"/>
        <w:ind w:firstLine="420" w:firstLineChars="200"/>
        <w:rPr>
          <w:color w:val="auto"/>
        </w:rPr>
      </w:pPr>
    </w:p>
    <w:p w14:paraId="7462B421">
      <w:pPr>
        <w:spacing w:line="360" w:lineRule="auto"/>
        <w:ind w:firstLine="420" w:firstLineChars="200"/>
        <w:rPr>
          <w:color w:val="auto"/>
        </w:rPr>
      </w:pPr>
      <w:r>
        <w:rPr>
          <w:rFonts w:hint="eastAsia"/>
          <w:color w:val="auto"/>
        </w:rPr>
        <w:t xml:space="preserve">2. </w:t>
      </w:r>
      <w:r>
        <w:rPr>
          <w:color w:val="auto"/>
        </w:rPr>
        <w:t>施工组织</w:t>
      </w:r>
      <w:r>
        <w:rPr>
          <w:rFonts w:hint="eastAsia"/>
          <w:color w:val="auto"/>
        </w:rPr>
        <w:t>设计除采用文字表述外可附下列图表，图表及格式要求附后。</w:t>
      </w:r>
    </w:p>
    <w:p w14:paraId="09A53DD8">
      <w:pPr>
        <w:spacing w:line="360" w:lineRule="auto"/>
        <w:ind w:firstLine="420" w:firstLineChars="200"/>
        <w:rPr>
          <w:color w:val="auto"/>
        </w:rPr>
      </w:pPr>
      <w:r>
        <w:rPr>
          <w:rFonts w:hint="eastAsia"/>
          <w:color w:val="auto"/>
        </w:rPr>
        <w:t>附表一</w:t>
      </w:r>
      <w:r>
        <w:rPr>
          <w:color w:val="auto"/>
        </w:rPr>
        <w:t xml:space="preserve">  </w:t>
      </w:r>
      <w:r>
        <w:rPr>
          <w:rFonts w:hint="eastAsia"/>
          <w:color w:val="auto"/>
        </w:rPr>
        <w:t>劳动力计划表</w:t>
      </w:r>
    </w:p>
    <w:p w14:paraId="234231A8">
      <w:pPr>
        <w:spacing w:line="360" w:lineRule="auto"/>
        <w:ind w:firstLine="420" w:firstLineChars="200"/>
        <w:rPr>
          <w:color w:val="auto"/>
        </w:rPr>
      </w:pPr>
      <w:r>
        <w:rPr>
          <w:rFonts w:hint="eastAsia"/>
          <w:color w:val="auto"/>
        </w:rPr>
        <w:t>附表二</w:t>
      </w:r>
      <w:r>
        <w:rPr>
          <w:color w:val="auto"/>
        </w:rPr>
        <w:t xml:space="preserve">  </w:t>
      </w:r>
      <w:r>
        <w:rPr>
          <w:rFonts w:hint="eastAsia"/>
          <w:color w:val="auto"/>
        </w:rPr>
        <w:t>计划开、竣工日期和施工进度计划（网络图或横道图）</w:t>
      </w:r>
    </w:p>
    <w:p w14:paraId="3D77B79F">
      <w:pPr>
        <w:spacing w:line="360" w:lineRule="auto"/>
        <w:ind w:firstLine="420" w:firstLineChars="200"/>
        <w:rPr>
          <w:color w:val="auto"/>
        </w:rPr>
      </w:pPr>
      <w:r>
        <w:rPr>
          <w:rFonts w:hint="eastAsia"/>
          <w:color w:val="auto"/>
        </w:rPr>
        <w:t>附表三</w:t>
      </w:r>
      <w:r>
        <w:rPr>
          <w:color w:val="auto"/>
        </w:rPr>
        <w:t xml:space="preserve">  </w:t>
      </w:r>
      <w:r>
        <w:rPr>
          <w:rFonts w:hint="eastAsia"/>
          <w:color w:val="auto"/>
        </w:rPr>
        <w:t>施工总平面图</w:t>
      </w:r>
    </w:p>
    <w:p w14:paraId="34CC3471">
      <w:pPr>
        <w:spacing w:line="360" w:lineRule="auto"/>
        <w:ind w:firstLine="420" w:firstLineChars="200"/>
        <w:rPr>
          <w:color w:val="auto"/>
        </w:rPr>
      </w:pPr>
      <w:r>
        <w:rPr>
          <w:rFonts w:hint="eastAsia"/>
          <w:color w:val="auto"/>
        </w:rPr>
        <w:t>附表四</w:t>
      </w:r>
      <w:r>
        <w:rPr>
          <w:color w:val="auto"/>
        </w:rPr>
        <w:t xml:space="preserve">  </w:t>
      </w:r>
      <w:r>
        <w:rPr>
          <w:rFonts w:hint="eastAsia"/>
          <w:color w:val="auto"/>
        </w:rPr>
        <w:t>临时用地表</w:t>
      </w:r>
    </w:p>
    <w:p w14:paraId="19049930">
      <w:pPr>
        <w:spacing w:line="360" w:lineRule="auto"/>
        <w:ind w:firstLine="420" w:firstLineChars="200"/>
        <w:rPr>
          <w:color w:val="auto"/>
        </w:rPr>
      </w:pPr>
    </w:p>
    <w:p w14:paraId="60757A83">
      <w:pPr>
        <w:rPr>
          <w:color w:val="auto"/>
        </w:rPr>
      </w:pPr>
      <w:r>
        <w:rPr>
          <w:rFonts w:hint="eastAsia" w:cs="宋体"/>
          <w:color w:val="auto"/>
        </w:rPr>
        <w:t>附表一：劳动力计划表</w:t>
      </w:r>
    </w:p>
    <w:p w14:paraId="15E9D6A6">
      <w:pPr>
        <w:ind w:firstLine="7245" w:firstLineChars="3450"/>
        <w:rPr>
          <w:color w:val="auto"/>
        </w:rPr>
      </w:pPr>
      <w:r>
        <w:rPr>
          <w:color w:val="auto"/>
        </w:rPr>
        <w:t xml:space="preserve">    </w:t>
      </w:r>
      <w:r>
        <w:rPr>
          <w:rFonts w:hint="eastAsia" w:cs="宋体"/>
          <w:color w:val="auto"/>
        </w:rPr>
        <w:t>单位：人</w:t>
      </w:r>
    </w:p>
    <w:tbl>
      <w:tblPr>
        <w:tblStyle w:val="48"/>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7B90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6DC56BA">
            <w:pPr>
              <w:spacing w:line="360" w:lineRule="auto"/>
              <w:jc w:val="center"/>
              <w:rPr>
                <w:color w:val="auto"/>
              </w:rPr>
            </w:pPr>
            <w:r>
              <w:rPr>
                <w:rFonts w:hint="eastAsia" w:cs="宋体"/>
                <w:color w:val="auto"/>
              </w:rPr>
              <w:t>工种</w:t>
            </w:r>
          </w:p>
        </w:tc>
        <w:tc>
          <w:tcPr>
            <w:tcW w:w="7248" w:type="dxa"/>
            <w:gridSpan w:val="6"/>
            <w:vAlign w:val="center"/>
          </w:tcPr>
          <w:p w14:paraId="0DF7EECC">
            <w:pPr>
              <w:spacing w:line="360" w:lineRule="auto"/>
              <w:jc w:val="center"/>
              <w:rPr>
                <w:color w:val="auto"/>
              </w:rPr>
            </w:pPr>
            <w:r>
              <w:rPr>
                <w:rFonts w:hint="eastAsia" w:cs="宋体"/>
                <w:color w:val="auto"/>
              </w:rPr>
              <w:t>按工程施工阶段投入劳动力情况</w:t>
            </w:r>
          </w:p>
        </w:tc>
      </w:tr>
      <w:tr w14:paraId="6F2E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9E3C1E3">
            <w:pPr>
              <w:spacing w:line="360" w:lineRule="auto"/>
              <w:jc w:val="center"/>
              <w:rPr>
                <w:color w:val="auto"/>
              </w:rPr>
            </w:pPr>
          </w:p>
        </w:tc>
        <w:tc>
          <w:tcPr>
            <w:tcW w:w="961" w:type="dxa"/>
            <w:vAlign w:val="center"/>
          </w:tcPr>
          <w:p w14:paraId="3192117C">
            <w:pPr>
              <w:spacing w:line="360" w:lineRule="auto"/>
              <w:jc w:val="center"/>
              <w:rPr>
                <w:color w:val="auto"/>
              </w:rPr>
            </w:pPr>
          </w:p>
        </w:tc>
        <w:tc>
          <w:tcPr>
            <w:tcW w:w="1257" w:type="dxa"/>
            <w:vAlign w:val="center"/>
          </w:tcPr>
          <w:p w14:paraId="4BB58ACD">
            <w:pPr>
              <w:spacing w:line="360" w:lineRule="auto"/>
              <w:jc w:val="center"/>
              <w:rPr>
                <w:color w:val="auto"/>
              </w:rPr>
            </w:pPr>
          </w:p>
        </w:tc>
        <w:tc>
          <w:tcPr>
            <w:tcW w:w="1257" w:type="dxa"/>
            <w:vAlign w:val="center"/>
          </w:tcPr>
          <w:p w14:paraId="0E9AC2A0">
            <w:pPr>
              <w:spacing w:line="360" w:lineRule="auto"/>
              <w:jc w:val="center"/>
              <w:rPr>
                <w:color w:val="auto"/>
              </w:rPr>
            </w:pPr>
          </w:p>
        </w:tc>
        <w:tc>
          <w:tcPr>
            <w:tcW w:w="1258" w:type="dxa"/>
            <w:vAlign w:val="center"/>
          </w:tcPr>
          <w:p w14:paraId="62293A08">
            <w:pPr>
              <w:spacing w:line="360" w:lineRule="auto"/>
              <w:jc w:val="center"/>
              <w:rPr>
                <w:color w:val="auto"/>
              </w:rPr>
            </w:pPr>
          </w:p>
        </w:tc>
        <w:tc>
          <w:tcPr>
            <w:tcW w:w="1257" w:type="dxa"/>
            <w:vAlign w:val="center"/>
          </w:tcPr>
          <w:p w14:paraId="62A430CD">
            <w:pPr>
              <w:spacing w:line="360" w:lineRule="auto"/>
              <w:jc w:val="center"/>
              <w:rPr>
                <w:color w:val="auto"/>
              </w:rPr>
            </w:pPr>
          </w:p>
        </w:tc>
        <w:tc>
          <w:tcPr>
            <w:tcW w:w="1258" w:type="dxa"/>
            <w:vAlign w:val="center"/>
          </w:tcPr>
          <w:p w14:paraId="4FF117E4">
            <w:pPr>
              <w:spacing w:line="360" w:lineRule="auto"/>
              <w:jc w:val="center"/>
              <w:rPr>
                <w:color w:val="auto"/>
              </w:rPr>
            </w:pPr>
          </w:p>
        </w:tc>
      </w:tr>
      <w:tr w14:paraId="47F6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1AB8E32">
            <w:pPr>
              <w:spacing w:line="360" w:lineRule="auto"/>
              <w:jc w:val="center"/>
              <w:rPr>
                <w:color w:val="auto"/>
              </w:rPr>
            </w:pPr>
          </w:p>
        </w:tc>
        <w:tc>
          <w:tcPr>
            <w:tcW w:w="961" w:type="dxa"/>
            <w:vAlign w:val="center"/>
          </w:tcPr>
          <w:p w14:paraId="0D7B01A3">
            <w:pPr>
              <w:spacing w:line="360" w:lineRule="auto"/>
              <w:jc w:val="center"/>
              <w:rPr>
                <w:color w:val="auto"/>
              </w:rPr>
            </w:pPr>
          </w:p>
        </w:tc>
        <w:tc>
          <w:tcPr>
            <w:tcW w:w="1257" w:type="dxa"/>
            <w:vAlign w:val="center"/>
          </w:tcPr>
          <w:p w14:paraId="42FA8C27">
            <w:pPr>
              <w:spacing w:line="360" w:lineRule="auto"/>
              <w:jc w:val="center"/>
              <w:rPr>
                <w:color w:val="auto"/>
              </w:rPr>
            </w:pPr>
          </w:p>
        </w:tc>
        <w:tc>
          <w:tcPr>
            <w:tcW w:w="1257" w:type="dxa"/>
            <w:vAlign w:val="center"/>
          </w:tcPr>
          <w:p w14:paraId="20DF8804">
            <w:pPr>
              <w:spacing w:line="360" w:lineRule="auto"/>
              <w:jc w:val="center"/>
              <w:rPr>
                <w:color w:val="auto"/>
              </w:rPr>
            </w:pPr>
          </w:p>
        </w:tc>
        <w:tc>
          <w:tcPr>
            <w:tcW w:w="1258" w:type="dxa"/>
            <w:vAlign w:val="center"/>
          </w:tcPr>
          <w:p w14:paraId="3A71BEBF">
            <w:pPr>
              <w:spacing w:line="360" w:lineRule="auto"/>
              <w:jc w:val="center"/>
              <w:rPr>
                <w:color w:val="auto"/>
              </w:rPr>
            </w:pPr>
          </w:p>
        </w:tc>
        <w:tc>
          <w:tcPr>
            <w:tcW w:w="1257" w:type="dxa"/>
            <w:vAlign w:val="center"/>
          </w:tcPr>
          <w:p w14:paraId="38AF6F31">
            <w:pPr>
              <w:spacing w:line="360" w:lineRule="auto"/>
              <w:jc w:val="center"/>
              <w:rPr>
                <w:color w:val="auto"/>
              </w:rPr>
            </w:pPr>
          </w:p>
        </w:tc>
        <w:tc>
          <w:tcPr>
            <w:tcW w:w="1258" w:type="dxa"/>
            <w:vAlign w:val="center"/>
          </w:tcPr>
          <w:p w14:paraId="3D49816B">
            <w:pPr>
              <w:spacing w:line="360" w:lineRule="auto"/>
              <w:jc w:val="center"/>
              <w:rPr>
                <w:color w:val="auto"/>
              </w:rPr>
            </w:pPr>
          </w:p>
        </w:tc>
      </w:tr>
      <w:tr w14:paraId="6DE6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002FC57">
            <w:pPr>
              <w:spacing w:line="360" w:lineRule="auto"/>
              <w:jc w:val="center"/>
              <w:rPr>
                <w:color w:val="auto"/>
              </w:rPr>
            </w:pPr>
          </w:p>
        </w:tc>
        <w:tc>
          <w:tcPr>
            <w:tcW w:w="961" w:type="dxa"/>
            <w:vAlign w:val="center"/>
          </w:tcPr>
          <w:p w14:paraId="6D977A15">
            <w:pPr>
              <w:spacing w:line="360" w:lineRule="auto"/>
              <w:jc w:val="center"/>
              <w:rPr>
                <w:color w:val="auto"/>
              </w:rPr>
            </w:pPr>
          </w:p>
        </w:tc>
        <w:tc>
          <w:tcPr>
            <w:tcW w:w="1257" w:type="dxa"/>
            <w:vAlign w:val="center"/>
          </w:tcPr>
          <w:p w14:paraId="673367B8">
            <w:pPr>
              <w:spacing w:line="360" w:lineRule="auto"/>
              <w:jc w:val="center"/>
              <w:rPr>
                <w:color w:val="auto"/>
              </w:rPr>
            </w:pPr>
          </w:p>
        </w:tc>
        <w:tc>
          <w:tcPr>
            <w:tcW w:w="1257" w:type="dxa"/>
            <w:vAlign w:val="center"/>
          </w:tcPr>
          <w:p w14:paraId="3A1EF3DB">
            <w:pPr>
              <w:spacing w:line="360" w:lineRule="auto"/>
              <w:jc w:val="center"/>
              <w:rPr>
                <w:color w:val="auto"/>
              </w:rPr>
            </w:pPr>
          </w:p>
        </w:tc>
        <w:tc>
          <w:tcPr>
            <w:tcW w:w="1258" w:type="dxa"/>
            <w:vAlign w:val="center"/>
          </w:tcPr>
          <w:p w14:paraId="507DF59E">
            <w:pPr>
              <w:spacing w:line="360" w:lineRule="auto"/>
              <w:jc w:val="center"/>
              <w:rPr>
                <w:color w:val="auto"/>
              </w:rPr>
            </w:pPr>
          </w:p>
        </w:tc>
        <w:tc>
          <w:tcPr>
            <w:tcW w:w="1257" w:type="dxa"/>
            <w:vAlign w:val="center"/>
          </w:tcPr>
          <w:p w14:paraId="0B449F2B">
            <w:pPr>
              <w:spacing w:line="360" w:lineRule="auto"/>
              <w:jc w:val="center"/>
              <w:rPr>
                <w:color w:val="auto"/>
              </w:rPr>
            </w:pPr>
          </w:p>
        </w:tc>
        <w:tc>
          <w:tcPr>
            <w:tcW w:w="1258" w:type="dxa"/>
            <w:vAlign w:val="center"/>
          </w:tcPr>
          <w:p w14:paraId="629AF642">
            <w:pPr>
              <w:spacing w:line="360" w:lineRule="auto"/>
              <w:jc w:val="center"/>
              <w:rPr>
                <w:color w:val="auto"/>
              </w:rPr>
            </w:pPr>
          </w:p>
        </w:tc>
      </w:tr>
      <w:tr w14:paraId="59D2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0726AD7">
            <w:pPr>
              <w:spacing w:line="360" w:lineRule="auto"/>
              <w:jc w:val="center"/>
              <w:rPr>
                <w:color w:val="auto"/>
              </w:rPr>
            </w:pPr>
          </w:p>
        </w:tc>
        <w:tc>
          <w:tcPr>
            <w:tcW w:w="961" w:type="dxa"/>
            <w:vAlign w:val="center"/>
          </w:tcPr>
          <w:p w14:paraId="30798290">
            <w:pPr>
              <w:spacing w:line="360" w:lineRule="auto"/>
              <w:jc w:val="center"/>
              <w:rPr>
                <w:color w:val="auto"/>
              </w:rPr>
            </w:pPr>
          </w:p>
        </w:tc>
        <w:tc>
          <w:tcPr>
            <w:tcW w:w="1257" w:type="dxa"/>
            <w:vAlign w:val="center"/>
          </w:tcPr>
          <w:p w14:paraId="40929A97">
            <w:pPr>
              <w:spacing w:line="360" w:lineRule="auto"/>
              <w:jc w:val="center"/>
              <w:rPr>
                <w:color w:val="auto"/>
              </w:rPr>
            </w:pPr>
          </w:p>
        </w:tc>
        <w:tc>
          <w:tcPr>
            <w:tcW w:w="1257" w:type="dxa"/>
            <w:vAlign w:val="center"/>
          </w:tcPr>
          <w:p w14:paraId="5341693F">
            <w:pPr>
              <w:spacing w:line="360" w:lineRule="auto"/>
              <w:jc w:val="center"/>
              <w:rPr>
                <w:color w:val="auto"/>
              </w:rPr>
            </w:pPr>
          </w:p>
        </w:tc>
        <w:tc>
          <w:tcPr>
            <w:tcW w:w="1258" w:type="dxa"/>
            <w:vAlign w:val="center"/>
          </w:tcPr>
          <w:p w14:paraId="0F6F804A">
            <w:pPr>
              <w:spacing w:line="360" w:lineRule="auto"/>
              <w:jc w:val="center"/>
              <w:rPr>
                <w:color w:val="auto"/>
              </w:rPr>
            </w:pPr>
          </w:p>
        </w:tc>
        <w:tc>
          <w:tcPr>
            <w:tcW w:w="1257" w:type="dxa"/>
            <w:vAlign w:val="center"/>
          </w:tcPr>
          <w:p w14:paraId="439947A9">
            <w:pPr>
              <w:spacing w:line="360" w:lineRule="auto"/>
              <w:jc w:val="center"/>
              <w:rPr>
                <w:color w:val="auto"/>
              </w:rPr>
            </w:pPr>
          </w:p>
        </w:tc>
        <w:tc>
          <w:tcPr>
            <w:tcW w:w="1258" w:type="dxa"/>
            <w:vAlign w:val="center"/>
          </w:tcPr>
          <w:p w14:paraId="6A5F01BF">
            <w:pPr>
              <w:spacing w:line="360" w:lineRule="auto"/>
              <w:jc w:val="center"/>
              <w:rPr>
                <w:color w:val="auto"/>
              </w:rPr>
            </w:pPr>
          </w:p>
        </w:tc>
      </w:tr>
      <w:tr w14:paraId="7F7F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D5C481A">
            <w:pPr>
              <w:spacing w:line="360" w:lineRule="auto"/>
              <w:jc w:val="center"/>
              <w:rPr>
                <w:color w:val="auto"/>
              </w:rPr>
            </w:pPr>
          </w:p>
        </w:tc>
        <w:tc>
          <w:tcPr>
            <w:tcW w:w="961" w:type="dxa"/>
            <w:vAlign w:val="center"/>
          </w:tcPr>
          <w:p w14:paraId="2846BE86">
            <w:pPr>
              <w:spacing w:line="360" w:lineRule="auto"/>
              <w:jc w:val="center"/>
              <w:rPr>
                <w:color w:val="auto"/>
              </w:rPr>
            </w:pPr>
          </w:p>
        </w:tc>
        <w:tc>
          <w:tcPr>
            <w:tcW w:w="1257" w:type="dxa"/>
            <w:vAlign w:val="center"/>
          </w:tcPr>
          <w:p w14:paraId="3D07F38C">
            <w:pPr>
              <w:spacing w:line="360" w:lineRule="auto"/>
              <w:jc w:val="center"/>
              <w:rPr>
                <w:color w:val="auto"/>
              </w:rPr>
            </w:pPr>
          </w:p>
        </w:tc>
        <w:tc>
          <w:tcPr>
            <w:tcW w:w="1257" w:type="dxa"/>
            <w:vAlign w:val="center"/>
          </w:tcPr>
          <w:p w14:paraId="751705AB">
            <w:pPr>
              <w:spacing w:line="360" w:lineRule="auto"/>
              <w:jc w:val="center"/>
              <w:rPr>
                <w:color w:val="auto"/>
              </w:rPr>
            </w:pPr>
          </w:p>
        </w:tc>
        <w:tc>
          <w:tcPr>
            <w:tcW w:w="1258" w:type="dxa"/>
            <w:vAlign w:val="center"/>
          </w:tcPr>
          <w:p w14:paraId="0F4159B9">
            <w:pPr>
              <w:spacing w:line="360" w:lineRule="auto"/>
              <w:jc w:val="center"/>
              <w:rPr>
                <w:color w:val="auto"/>
              </w:rPr>
            </w:pPr>
          </w:p>
        </w:tc>
        <w:tc>
          <w:tcPr>
            <w:tcW w:w="1257" w:type="dxa"/>
            <w:vAlign w:val="center"/>
          </w:tcPr>
          <w:p w14:paraId="591BD790">
            <w:pPr>
              <w:spacing w:line="360" w:lineRule="auto"/>
              <w:jc w:val="center"/>
              <w:rPr>
                <w:color w:val="auto"/>
              </w:rPr>
            </w:pPr>
          </w:p>
        </w:tc>
        <w:tc>
          <w:tcPr>
            <w:tcW w:w="1258" w:type="dxa"/>
            <w:vAlign w:val="center"/>
          </w:tcPr>
          <w:p w14:paraId="1C29827C">
            <w:pPr>
              <w:spacing w:line="360" w:lineRule="auto"/>
              <w:jc w:val="center"/>
              <w:rPr>
                <w:color w:val="auto"/>
              </w:rPr>
            </w:pPr>
          </w:p>
        </w:tc>
      </w:tr>
      <w:tr w14:paraId="1158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D513739">
            <w:pPr>
              <w:spacing w:line="360" w:lineRule="auto"/>
              <w:jc w:val="center"/>
              <w:rPr>
                <w:color w:val="auto"/>
              </w:rPr>
            </w:pPr>
          </w:p>
        </w:tc>
        <w:tc>
          <w:tcPr>
            <w:tcW w:w="961" w:type="dxa"/>
            <w:vAlign w:val="center"/>
          </w:tcPr>
          <w:p w14:paraId="0FC07F52">
            <w:pPr>
              <w:spacing w:line="360" w:lineRule="auto"/>
              <w:jc w:val="center"/>
              <w:rPr>
                <w:color w:val="auto"/>
              </w:rPr>
            </w:pPr>
          </w:p>
        </w:tc>
        <w:tc>
          <w:tcPr>
            <w:tcW w:w="1257" w:type="dxa"/>
            <w:vAlign w:val="center"/>
          </w:tcPr>
          <w:p w14:paraId="66E118B2">
            <w:pPr>
              <w:spacing w:line="360" w:lineRule="auto"/>
              <w:jc w:val="center"/>
              <w:rPr>
                <w:color w:val="auto"/>
              </w:rPr>
            </w:pPr>
          </w:p>
        </w:tc>
        <w:tc>
          <w:tcPr>
            <w:tcW w:w="1257" w:type="dxa"/>
            <w:vAlign w:val="center"/>
          </w:tcPr>
          <w:p w14:paraId="647D4F6F">
            <w:pPr>
              <w:spacing w:line="360" w:lineRule="auto"/>
              <w:jc w:val="center"/>
              <w:rPr>
                <w:color w:val="auto"/>
              </w:rPr>
            </w:pPr>
          </w:p>
        </w:tc>
        <w:tc>
          <w:tcPr>
            <w:tcW w:w="1258" w:type="dxa"/>
            <w:vAlign w:val="center"/>
          </w:tcPr>
          <w:p w14:paraId="365D4F4F">
            <w:pPr>
              <w:spacing w:line="360" w:lineRule="auto"/>
              <w:jc w:val="center"/>
              <w:rPr>
                <w:color w:val="auto"/>
              </w:rPr>
            </w:pPr>
          </w:p>
        </w:tc>
        <w:tc>
          <w:tcPr>
            <w:tcW w:w="1257" w:type="dxa"/>
            <w:vAlign w:val="center"/>
          </w:tcPr>
          <w:p w14:paraId="34B85873">
            <w:pPr>
              <w:spacing w:line="360" w:lineRule="auto"/>
              <w:jc w:val="center"/>
              <w:rPr>
                <w:color w:val="auto"/>
              </w:rPr>
            </w:pPr>
          </w:p>
        </w:tc>
        <w:tc>
          <w:tcPr>
            <w:tcW w:w="1258" w:type="dxa"/>
            <w:vAlign w:val="center"/>
          </w:tcPr>
          <w:p w14:paraId="1F2609F2">
            <w:pPr>
              <w:spacing w:line="360" w:lineRule="auto"/>
              <w:jc w:val="center"/>
              <w:rPr>
                <w:color w:val="auto"/>
              </w:rPr>
            </w:pPr>
          </w:p>
        </w:tc>
      </w:tr>
    </w:tbl>
    <w:p w14:paraId="062A9F4A">
      <w:pPr>
        <w:rPr>
          <w:color w:val="auto"/>
        </w:rPr>
      </w:pPr>
    </w:p>
    <w:p w14:paraId="2C2D95C1">
      <w:pPr>
        <w:rPr>
          <w:b/>
          <w:bCs/>
          <w:color w:val="auto"/>
        </w:rPr>
      </w:pPr>
    </w:p>
    <w:p w14:paraId="6BD6C59B">
      <w:pPr>
        <w:rPr>
          <w:rFonts w:cs="宋体"/>
          <w:color w:val="auto"/>
        </w:rPr>
      </w:pPr>
    </w:p>
    <w:p w14:paraId="2967C9DD">
      <w:pPr>
        <w:rPr>
          <w:color w:val="auto"/>
        </w:rPr>
      </w:pPr>
      <w:r>
        <w:rPr>
          <w:rFonts w:hint="eastAsia" w:cs="宋体"/>
          <w:color w:val="auto"/>
        </w:rPr>
        <w:t>附表二：计划开、竣工日期和施工进度计划（网络图或横道图）</w:t>
      </w:r>
    </w:p>
    <w:p w14:paraId="0DB7F52F">
      <w:pPr>
        <w:spacing w:line="460" w:lineRule="exact"/>
        <w:ind w:left="-6" w:firstLine="420"/>
        <w:rPr>
          <w:color w:val="auto"/>
        </w:rPr>
      </w:pPr>
      <w:r>
        <w:rPr>
          <w:color w:val="auto"/>
        </w:rPr>
        <w:t xml:space="preserve">1. </w:t>
      </w:r>
      <w:r>
        <w:rPr>
          <w:rFonts w:hint="eastAsia" w:cs="宋体"/>
          <w:color w:val="auto"/>
        </w:rPr>
        <w:t>供应商应提交施工进度计划，说明按谈判文件要求的工期进行施工的各个关键日期。成交的供应商还应按合同条件有关条款的要求提交详细的施工进度计划。</w:t>
      </w:r>
    </w:p>
    <w:p w14:paraId="6545D401">
      <w:pPr>
        <w:spacing w:line="460" w:lineRule="exact"/>
        <w:ind w:left="-6" w:firstLine="420"/>
        <w:rPr>
          <w:color w:val="auto"/>
        </w:rPr>
      </w:pPr>
      <w:r>
        <w:rPr>
          <w:color w:val="auto"/>
        </w:rPr>
        <w:t xml:space="preserve">2. </w:t>
      </w:r>
      <w:r>
        <w:rPr>
          <w:rFonts w:hint="eastAsia" w:cs="宋体"/>
          <w:color w:val="auto"/>
        </w:rPr>
        <w:t>施工进度计划可采用网络图（或横道图）表示，说明计划开工日期和各分项工程各阶段的完工日期和分包合同签订的日期。</w:t>
      </w:r>
    </w:p>
    <w:p w14:paraId="42E31297">
      <w:pPr>
        <w:spacing w:line="460" w:lineRule="exact"/>
        <w:ind w:left="-6" w:firstLine="420"/>
        <w:rPr>
          <w:color w:val="auto"/>
        </w:rPr>
      </w:pPr>
      <w:r>
        <w:rPr>
          <w:color w:val="auto"/>
        </w:rPr>
        <w:t xml:space="preserve">3. </w:t>
      </w:r>
      <w:r>
        <w:rPr>
          <w:rFonts w:hint="eastAsia" w:cs="宋体"/>
          <w:color w:val="auto"/>
        </w:rPr>
        <w:t>施工进度计划应与施工组织设计相适应。</w:t>
      </w:r>
    </w:p>
    <w:p w14:paraId="1C4CF7BC">
      <w:pPr>
        <w:spacing w:line="360" w:lineRule="auto"/>
        <w:ind w:left="-6" w:firstLine="420"/>
        <w:rPr>
          <w:color w:val="auto"/>
        </w:rPr>
      </w:pPr>
    </w:p>
    <w:p w14:paraId="4FC8A8B5">
      <w:pPr>
        <w:rPr>
          <w:color w:val="auto"/>
        </w:rPr>
      </w:pPr>
    </w:p>
    <w:p w14:paraId="5FFD178C">
      <w:pPr>
        <w:rPr>
          <w:color w:val="auto"/>
        </w:rPr>
      </w:pPr>
      <w:r>
        <w:rPr>
          <w:rFonts w:hint="eastAsia" w:cs="宋体"/>
          <w:color w:val="auto"/>
        </w:rPr>
        <w:t>附表三：施工总平面图</w:t>
      </w:r>
    </w:p>
    <w:p w14:paraId="0B7D3000">
      <w:pPr>
        <w:spacing w:line="460" w:lineRule="exact"/>
        <w:ind w:firstLine="420" w:firstLineChars="200"/>
        <w:rPr>
          <w:color w:val="auto"/>
        </w:rPr>
      </w:pPr>
      <w:r>
        <w:rPr>
          <w:rFonts w:hint="eastAsia" w:cs="宋体"/>
          <w:color w:val="auto"/>
        </w:rPr>
        <w:t>供应商应递交一份施工总平面图，绘出现场临时设施布置图表并附文字说明，说明临时设施、加工车间、现场办公、设备及仓储、供电、供水、卫生、生活、道路、消防等设施的情况和布置。</w:t>
      </w:r>
    </w:p>
    <w:p w14:paraId="5CA7372E">
      <w:pPr>
        <w:rPr>
          <w:color w:val="auto"/>
        </w:rPr>
      </w:pPr>
    </w:p>
    <w:p w14:paraId="15FCCEFB">
      <w:pPr>
        <w:rPr>
          <w:color w:val="auto"/>
        </w:rPr>
      </w:pPr>
    </w:p>
    <w:p w14:paraId="1E9D42E9">
      <w:pPr>
        <w:rPr>
          <w:color w:val="auto"/>
        </w:rPr>
      </w:pPr>
      <w:r>
        <w:rPr>
          <w:rFonts w:hint="eastAsia" w:cs="宋体"/>
          <w:color w:val="auto"/>
        </w:rPr>
        <w:t>附表四：临时用地表</w:t>
      </w:r>
    </w:p>
    <w:tbl>
      <w:tblPr>
        <w:tblStyle w:val="48"/>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6BB6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121CA250">
            <w:pPr>
              <w:jc w:val="center"/>
              <w:rPr>
                <w:color w:val="auto"/>
              </w:rPr>
            </w:pPr>
            <w:r>
              <w:rPr>
                <w:rFonts w:hint="eastAsia" w:cs="宋体"/>
                <w:color w:val="auto"/>
              </w:rPr>
              <w:t>用途</w:t>
            </w:r>
          </w:p>
        </w:tc>
        <w:tc>
          <w:tcPr>
            <w:tcW w:w="2357" w:type="dxa"/>
            <w:vAlign w:val="center"/>
          </w:tcPr>
          <w:p w14:paraId="6F8B9D58">
            <w:pPr>
              <w:jc w:val="center"/>
              <w:rPr>
                <w:color w:val="auto"/>
              </w:rPr>
            </w:pPr>
            <w:r>
              <w:rPr>
                <w:rFonts w:hint="eastAsia" w:cs="宋体"/>
                <w:color w:val="auto"/>
              </w:rPr>
              <w:t>面积（平方米）</w:t>
            </w:r>
          </w:p>
        </w:tc>
        <w:tc>
          <w:tcPr>
            <w:tcW w:w="2356" w:type="dxa"/>
            <w:vAlign w:val="center"/>
          </w:tcPr>
          <w:p w14:paraId="5A202158">
            <w:pPr>
              <w:jc w:val="center"/>
              <w:rPr>
                <w:color w:val="auto"/>
              </w:rPr>
            </w:pPr>
            <w:r>
              <w:rPr>
                <w:rFonts w:hint="eastAsia" w:cs="宋体"/>
                <w:color w:val="auto"/>
              </w:rPr>
              <w:t>位置</w:t>
            </w:r>
          </w:p>
        </w:tc>
        <w:tc>
          <w:tcPr>
            <w:tcW w:w="2136" w:type="dxa"/>
            <w:vAlign w:val="center"/>
          </w:tcPr>
          <w:p w14:paraId="1DAC07DC">
            <w:pPr>
              <w:jc w:val="center"/>
              <w:rPr>
                <w:color w:val="auto"/>
              </w:rPr>
            </w:pPr>
            <w:r>
              <w:rPr>
                <w:rFonts w:hint="eastAsia" w:cs="宋体"/>
                <w:color w:val="auto"/>
              </w:rPr>
              <w:t>需用时间</w:t>
            </w:r>
          </w:p>
        </w:tc>
      </w:tr>
      <w:tr w14:paraId="1321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4A3782DF">
            <w:pPr>
              <w:rPr>
                <w:color w:val="auto"/>
              </w:rPr>
            </w:pPr>
          </w:p>
        </w:tc>
        <w:tc>
          <w:tcPr>
            <w:tcW w:w="2357" w:type="dxa"/>
          </w:tcPr>
          <w:p w14:paraId="4EA4788E">
            <w:pPr>
              <w:rPr>
                <w:color w:val="auto"/>
              </w:rPr>
            </w:pPr>
          </w:p>
        </w:tc>
        <w:tc>
          <w:tcPr>
            <w:tcW w:w="2356" w:type="dxa"/>
          </w:tcPr>
          <w:p w14:paraId="16B1CDBC">
            <w:pPr>
              <w:rPr>
                <w:color w:val="auto"/>
              </w:rPr>
            </w:pPr>
          </w:p>
        </w:tc>
        <w:tc>
          <w:tcPr>
            <w:tcW w:w="2136" w:type="dxa"/>
          </w:tcPr>
          <w:p w14:paraId="3E2E5939">
            <w:pPr>
              <w:rPr>
                <w:color w:val="auto"/>
              </w:rPr>
            </w:pPr>
          </w:p>
        </w:tc>
      </w:tr>
      <w:tr w14:paraId="2FD5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F22E9AF">
            <w:pPr>
              <w:rPr>
                <w:color w:val="auto"/>
              </w:rPr>
            </w:pPr>
          </w:p>
        </w:tc>
        <w:tc>
          <w:tcPr>
            <w:tcW w:w="2357" w:type="dxa"/>
          </w:tcPr>
          <w:p w14:paraId="496B88AF">
            <w:pPr>
              <w:rPr>
                <w:color w:val="auto"/>
              </w:rPr>
            </w:pPr>
          </w:p>
        </w:tc>
        <w:tc>
          <w:tcPr>
            <w:tcW w:w="2356" w:type="dxa"/>
          </w:tcPr>
          <w:p w14:paraId="3D677E90">
            <w:pPr>
              <w:rPr>
                <w:color w:val="auto"/>
              </w:rPr>
            </w:pPr>
          </w:p>
        </w:tc>
        <w:tc>
          <w:tcPr>
            <w:tcW w:w="2136" w:type="dxa"/>
          </w:tcPr>
          <w:p w14:paraId="466F1DBF">
            <w:pPr>
              <w:rPr>
                <w:color w:val="auto"/>
              </w:rPr>
            </w:pPr>
          </w:p>
        </w:tc>
      </w:tr>
      <w:tr w14:paraId="5215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1C809D30">
            <w:pPr>
              <w:rPr>
                <w:color w:val="auto"/>
              </w:rPr>
            </w:pPr>
          </w:p>
        </w:tc>
        <w:tc>
          <w:tcPr>
            <w:tcW w:w="2357" w:type="dxa"/>
          </w:tcPr>
          <w:p w14:paraId="0D1B0BBD">
            <w:pPr>
              <w:rPr>
                <w:color w:val="auto"/>
              </w:rPr>
            </w:pPr>
          </w:p>
        </w:tc>
        <w:tc>
          <w:tcPr>
            <w:tcW w:w="2356" w:type="dxa"/>
          </w:tcPr>
          <w:p w14:paraId="619E0835">
            <w:pPr>
              <w:rPr>
                <w:color w:val="auto"/>
              </w:rPr>
            </w:pPr>
          </w:p>
        </w:tc>
        <w:tc>
          <w:tcPr>
            <w:tcW w:w="2136" w:type="dxa"/>
          </w:tcPr>
          <w:p w14:paraId="06ADBC17">
            <w:pPr>
              <w:rPr>
                <w:color w:val="auto"/>
              </w:rPr>
            </w:pPr>
          </w:p>
        </w:tc>
      </w:tr>
      <w:tr w14:paraId="5181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1958859A">
            <w:pPr>
              <w:rPr>
                <w:color w:val="auto"/>
              </w:rPr>
            </w:pPr>
          </w:p>
        </w:tc>
        <w:tc>
          <w:tcPr>
            <w:tcW w:w="2357" w:type="dxa"/>
          </w:tcPr>
          <w:p w14:paraId="740A1366">
            <w:pPr>
              <w:rPr>
                <w:color w:val="auto"/>
              </w:rPr>
            </w:pPr>
          </w:p>
        </w:tc>
        <w:tc>
          <w:tcPr>
            <w:tcW w:w="2356" w:type="dxa"/>
          </w:tcPr>
          <w:p w14:paraId="41972192">
            <w:pPr>
              <w:rPr>
                <w:color w:val="auto"/>
              </w:rPr>
            </w:pPr>
          </w:p>
        </w:tc>
        <w:tc>
          <w:tcPr>
            <w:tcW w:w="2136" w:type="dxa"/>
          </w:tcPr>
          <w:p w14:paraId="5DEFBF12">
            <w:pPr>
              <w:rPr>
                <w:color w:val="auto"/>
              </w:rPr>
            </w:pPr>
          </w:p>
        </w:tc>
      </w:tr>
    </w:tbl>
    <w:p w14:paraId="0213BF0B">
      <w:pPr>
        <w:spacing w:line="360" w:lineRule="auto"/>
        <w:ind w:firstLine="880" w:firstLineChars="200"/>
        <w:rPr>
          <w:rFonts w:hint="eastAsia" w:ascii="方正小标宋简体" w:hAnsi="方正小标宋简体" w:eastAsia="方正小标宋简体" w:cs="方正小标宋简体"/>
          <w:bCs/>
          <w:color w:val="auto"/>
          <w:sz w:val="44"/>
          <w:szCs w:val="44"/>
        </w:rPr>
      </w:pPr>
    </w:p>
    <w:p w14:paraId="4A94AE76">
      <w:pPr>
        <w:spacing w:line="360" w:lineRule="auto"/>
        <w:jc w:val="center"/>
        <w:rPr>
          <w:rFonts w:hint="eastAsia" w:ascii="宋体" w:hAnsi="宋体" w:cs="宋体"/>
          <w:b/>
          <w:color w:val="auto"/>
          <w:sz w:val="28"/>
          <w:szCs w:val="28"/>
        </w:rPr>
      </w:pPr>
      <w:r>
        <w:rPr>
          <w:rFonts w:ascii="方正小标宋简体" w:hAnsi="方正小标宋简体" w:eastAsia="方正小标宋简体" w:cs="方正小标宋简体"/>
          <w:bCs/>
          <w:color w:val="auto"/>
          <w:sz w:val="44"/>
          <w:szCs w:val="44"/>
        </w:rPr>
        <w:br w:type="page"/>
      </w:r>
      <w:bookmarkStart w:id="102" w:name="bookmark2229"/>
      <w:bookmarkStart w:id="103" w:name="bookmark2228"/>
      <w:bookmarkStart w:id="104" w:name="bookmark2230"/>
    </w:p>
    <w:bookmarkEnd w:id="102"/>
    <w:bookmarkEnd w:id="103"/>
    <w:bookmarkEnd w:id="104"/>
    <w:p w14:paraId="44F5B7D1">
      <w:pPr>
        <w:spacing w:line="360" w:lineRule="auto"/>
        <w:rPr>
          <w:rFonts w:hint="eastAsia" w:ascii="宋体" w:hAnsi="宋体"/>
          <w:color w:val="auto"/>
          <w:szCs w:val="21"/>
        </w:rPr>
      </w:pPr>
      <w:r>
        <w:rPr>
          <w:rFonts w:hint="eastAsia" w:ascii="宋体" w:hAnsi="宋体"/>
          <w:b/>
          <w:bCs/>
          <w:color w:val="auto"/>
          <w:sz w:val="24"/>
        </w:rPr>
        <w:t>其他文书、文件格式</w:t>
      </w:r>
    </w:p>
    <w:p w14:paraId="21999A54">
      <w:pPr>
        <w:spacing w:line="360" w:lineRule="auto"/>
        <w:jc w:val="center"/>
        <w:rPr>
          <w:rFonts w:hint="eastAsia"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14:paraId="1CC25458">
      <w:pPr>
        <w:pStyle w:val="27"/>
        <w:spacing w:line="360" w:lineRule="auto"/>
        <w:ind w:firstLine="482" w:firstLineChars="200"/>
        <w:contextualSpacing/>
        <w:rPr>
          <w:rFonts w:hint="eastAsia" w:hAnsi="宋体"/>
          <w:b/>
          <w:bCs/>
          <w:color w:val="auto"/>
          <w:sz w:val="24"/>
          <w:szCs w:val="24"/>
        </w:rPr>
      </w:pPr>
      <w:r>
        <w:rPr>
          <w:rFonts w:hint="eastAsia" w:hAnsi="宋体"/>
          <w:b/>
          <w:bCs/>
          <w:color w:val="auto"/>
          <w:sz w:val="24"/>
          <w:szCs w:val="24"/>
        </w:rPr>
        <w:t>一、质疑供应商基本信息：</w:t>
      </w:r>
    </w:p>
    <w:p w14:paraId="662A86EA">
      <w:pPr>
        <w:pStyle w:val="27"/>
        <w:spacing w:line="360" w:lineRule="auto"/>
        <w:ind w:firstLine="480" w:firstLineChars="200"/>
        <w:contextualSpacing/>
        <w:rPr>
          <w:rFonts w:hint="eastAsia"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08869BC6">
      <w:pPr>
        <w:pStyle w:val="27"/>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2F12A976">
      <w:pPr>
        <w:pStyle w:val="27"/>
        <w:spacing w:line="360" w:lineRule="auto"/>
        <w:ind w:firstLine="480" w:firstLineChars="200"/>
        <w:contextualSpacing/>
        <w:rPr>
          <w:rFonts w:hint="eastAsia"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79FBE5FC">
      <w:pPr>
        <w:pStyle w:val="27"/>
        <w:spacing w:line="360" w:lineRule="auto"/>
        <w:ind w:firstLine="480" w:firstLineChars="200"/>
        <w:contextualSpacing/>
        <w:rPr>
          <w:rFonts w:hint="eastAsia"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4FB2F7BF">
      <w:pPr>
        <w:pStyle w:val="27"/>
        <w:spacing w:line="360" w:lineRule="auto"/>
        <w:ind w:firstLine="480" w:firstLineChars="200"/>
        <w:contextualSpacing/>
        <w:rPr>
          <w:rFonts w:hint="eastAsia"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1FD73653">
      <w:pPr>
        <w:pStyle w:val="27"/>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1E4BE320">
      <w:pPr>
        <w:pStyle w:val="27"/>
        <w:spacing w:line="360" w:lineRule="auto"/>
        <w:ind w:firstLine="482" w:firstLineChars="200"/>
        <w:contextualSpacing/>
        <w:rPr>
          <w:rFonts w:hint="eastAsia" w:hAnsi="宋体"/>
          <w:b/>
          <w:bCs/>
          <w:color w:val="auto"/>
          <w:sz w:val="24"/>
          <w:szCs w:val="24"/>
        </w:rPr>
      </w:pPr>
      <w:r>
        <w:rPr>
          <w:rFonts w:hint="eastAsia" w:hAnsi="宋体"/>
          <w:b/>
          <w:bCs/>
          <w:color w:val="auto"/>
          <w:sz w:val="24"/>
          <w:szCs w:val="24"/>
        </w:rPr>
        <w:t>二、质疑项目基本情况：</w:t>
      </w:r>
    </w:p>
    <w:p w14:paraId="6054F55A">
      <w:pPr>
        <w:pStyle w:val="27"/>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36555669">
      <w:pPr>
        <w:pStyle w:val="27"/>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02E0D663">
      <w:pPr>
        <w:pStyle w:val="2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068D3816">
      <w:pPr>
        <w:pStyle w:val="2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w:t>
      </w:r>
    </w:p>
    <w:p w14:paraId="72AD463C">
      <w:pPr>
        <w:pStyle w:val="27"/>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7C6C5D00">
      <w:pPr>
        <w:pStyle w:val="27"/>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 xml:space="preserve">□采购过程   </w:t>
      </w:r>
    </w:p>
    <w:p w14:paraId="6438CB99">
      <w:pPr>
        <w:pStyle w:val="27"/>
        <w:spacing w:line="360" w:lineRule="auto"/>
        <w:ind w:left="25" w:leftChars="12" w:firstLine="352" w:firstLineChars="147"/>
        <w:contextualSpacing/>
        <w:rPr>
          <w:rFonts w:hint="eastAsia" w:hAnsi="宋体"/>
          <w:bCs/>
          <w:color w:val="auto"/>
          <w:sz w:val="24"/>
          <w:szCs w:val="24"/>
          <w:u w:val="single"/>
        </w:rPr>
      </w:pPr>
      <w:r>
        <w:rPr>
          <w:rFonts w:hint="eastAsia" w:hAnsi="宋体"/>
          <w:color w:val="auto"/>
          <w:sz w:val="24"/>
          <w:szCs w:val="24"/>
        </w:rPr>
        <w:t xml:space="preserve">□成交结果   </w:t>
      </w:r>
    </w:p>
    <w:p w14:paraId="71E79D7F">
      <w:pPr>
        <w:pStyle w:val="27"/>
        <w:spacing w:line="360" w:lineRule="auto"/>
        <w:ind w:left="25" w:leftChars="12" w:firstLine="472" w:firstLineChars="196"/>
        <w:contextualSpacing/>
        <w:rPr>
          <w:rFonts w:hint="eastAsia" w:hAnsi="宋体"/>
          <w:b/>
          <w:color w:val="auto"/>
          <w:sz w:val="24"/>
          <w:szCs w:val="24"/>
        </w:rPr>
      </w:pPr>
      <w:r>
        <w:rPr>
          <w:rFonts w:hint="eastAsia" w:hAnsi="宋体"/>
          <w:b/>
          <w:color w:val="auto"/>
          <w:sz w:val="24"/>
          <w:szCs w:val="24"/>
        </w:rPr>
        <w:t>三、质疑事项具体内容</w:t>
      </w:r>
    </w:p>
    <w:p w14:paraId="5D920713">
      <w:pPr>
        <w:pStyle w:val="2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46263A25">
      <w:pPr>
        <w:pStyle w:val="2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439179E7">
      <w:pPr>
        <w:pStyle w:val="2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3EFE724D">
      <w:pPr>
        <w:pStyle w:val="2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质疑事项2</w:t>
      </w:r>
    </w:p>
    <w:p w14:paraId="4273D694">
      <w:pPr>
        <w:pStyle w:val="27"/>
        <w:spacing w:line="360" w:lineRule="auto"/>
        <w:ind w:left="25" w:leftChars="12" w:firstLine="472" w:firstLineChars="197"/>
        <w:contextualSpacing/>
        <w:rPr>
          <w:rFonts w:hint="eastAsia" w:hAnsi="宋体"/>
          <w:color w:val="auto"/>
          <w:sz w:val="24"/>
          <w:szCs w:val="24"/>
        </w:rPr>
      </w:pPr>
      <w:r>
        <w:rPr>
          <w:rFonts w:hAnsi="宋体"/>
          <w:color w:val="auto"/>
          <w:sz w:val="24"/>
          <w:szCs w:val="24"/>
        </w:rPr>
        <w:t>……</w:t>
      </w:r>
    </w:p>
    <w:p w14:paraId="70FBC71A">
      <w:pPr>
        <w:pStyle w:val="2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四、与质疑事项相关的质疑请求：</w:t>
      </w:r>
    </w:p>
    <w:p w14:paraId="06121A66">
      <w:pPr>
        <w:pStyle w:val="2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7F8B6888">
      <w:pPr>
        <w:pStyle w:val="27"/>
        <w:spacing w:line="360" w:lineRule="auto"/>
        <w:ind w:left="25" w:leftChars="12" w:firstLine="352" w:firstLineChars="147"/>
        <w:contextualSpacing/>
        <w:rPr>
          <w:rFonts w:hint="eastAsia" w:hAnsi="宋体"/>
          <w:color w:val="auto"/>
          <w:sz w:val="24"/>
          <w:szCs w:val="24"/>
        </w:rPr>
      </w:pPr>
    </w:p>
    <w:p w14:paraId="2236336D">
      <w:pPr>
        <w:pStyle w:val="2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签字（签章）：                                       公章：</w:t>
      </w:r>
    </w:p>
    <w:p w14:paraId="145FA68E">
      <w:pPr>
        <w:pStyle w:val="27"/>
        <w:spacing w:line="360" w:lineRule="auto"/>
        <w:ind w:firstLine="480" w:firstLineChars="200"/>
        <w:contextualSpacing/>
        <w:rPr>
          <w:rFonts w:hint="eastAsia" w:hAnsi="宋体"/>
          <w:b/>
          <w:color w:val="auto"/>
          <w:sz w:val="24"/>
          <w:szCs w:val="24"/>
        </w:rPr>
      </w:pPr>
      <w:r>
        <w:rPr>
          <w:rFonts w:hint="eastAsia" w:hAnsi="宋体"/>
          <w:color w:val="auto"/>
          <w:sz w:val="24"/>
          <w:szCs w:val="24"/>
        </w:rPr>
        <w:t>日期：</w:t>
      </w:r>
    </w:p>
    <w:p w14:paraId="348553C7">
      <w:pPr>
        <w:pStyle w:val="27"/>
        <w:spacing w:line="360" w:lineRule="auto"/>
        <w:contextualSpacing/>
        <w:rPr>
          <w:rFonts w:hint="eastAsia" w:hAnsi="宋体"/>
          <w:b/>
          <w:color w:val="auto"/>
          <w:sz w:val="24"/>
          <w:szCs w:val="24"/>
        </w:rPr>
      </w:pPr>
      <w:r>
        <w:rPr>
          <w:rFonts w:hint="eastAsia" w:hAnsi="宋体"/>
          <w:b/>
          <w:color w:val="auto"/>
          <w:sz w:val="24"/>
          <w:szCs w:val="24"/>
        </w:rPr>
        <w:t>说明：</w:t>
      </w:r>
    </w:p>
    <w:p w14:paraId="79EBC9FD">
      <w:pPr>
        <w:pStyle w:val="27"/>
        <w:spacing w:line="360" w:lineRule="auto"/>
        <w:ind w:left="25" w:leftChars="12" w:firstLine="354" w:firstLineChars="147"/>
        <w:contextualSpacing/>
        <w:rPr>
          <w:rFonts w:hint="eastAsia"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65B0E0CD">
      <w:pPr>
        <w:pStyle w:val="27"/>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ACF5E8">
      <w:pPr>
        <w:pStyle w:val="27"/>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3.质疑函的质疑事项应具体、明确，并有必要的事实依据和法律依据。</w:t>
      </w:r>
    </w:p>
    <w:p w14:paraId="7F62B286">
      <w:pPr>
        <w:pStyle w:val="27"/>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4.质疑函的质疑请求应与质疑事项相关。</w:t>
      </w:r>
    </w:p>
    <w:p w14:paraId="0867B871">
      <w:pPr>
        <w:pStyle w:val="27"/>
        <w:spacing w:line="360" w:lineRule="auto"/>
        <w:ind w:left="25" w:leftChars="12" w:firstLine="354" w:firstLineChars="147"/>
        <w:contextualSpacing/>
        <w:rPr>
          <w:rFonts w:hint="eastAsia"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0E1B80F9">
      <w:pPr>
        <w:pStyle w:val="27"/>
        <w:snapToGrid w:val="0"/>
        <w:rPr>
          <w:b/>
          <w:color w:val="auto"/>
          <w:sz w:val="24"/>
          <w:szCs w:val="24"/>
        </w:rPr>
      </w:pPr>
    </w:p>
    <w:p w14:paraId="502F9398">
      <w:pPr>
        <w:rPr>
          <w:color w:val="auto"/>
          <w:sz w:val="32"/>
          <w:szCs w:val="40"/>
        </w:rPr>
      </w:pPr>
    </w:p>
    <w:p w14:paraId="4C3DFE77">
      <w:pPr>
        <w:rPr>
          <w:color w:val="auto"/>
          <w:sz w:val="32"/>
          <w:szCs w:val="40"/>
        </w:rPr>
      </w:pPr>
    </w:p>
    <w:p w14:paraId="015809AE">
      <w:pPr>
        <w:rPr>
          <w:color w:val="auto"/>
          <w:sz w:val="32"/>
          <w:szCs w:val="40"/>
        </w:rPr>
      </w:pPr>
    </w:p>
    <w:p w14:paraId="297801A6">
      <w:pPr>
        <w:rPr>
          <w:color w:val="auto"/>
          <w:sz w:val="32"/>
          <w:szCs w:val="40"/>
        </w:rPr>
      </w:pPr>
    </w:p>
    <w:p w14:paraId="7BE401F0">
      <w:pPr>
        <w:rPr>
          <w:color w:val="auto"/>
          <w:sz w:val="32"/>
          <w:szCs w:val="40"/>
        </w:rPr>
      </w:pPr>
    </w:p>
    <w:p w14:paraId="752B4836">
      <w:pPr>
        <w:rPr>
          <w:color w:val="auto"/>
          <w:sz w:val="32"/>
          <w:szCs w:val="40"/>
        </w:rPr>
      </w:pPr>
    </w:p>
    <w:p w14:paraId="187E3721">
      <w:pPr>
        <w:rPr>
          <w:color w:val="auto"/>
          <w:sz w:val="32"/>
          <w:szCs w:val="40"/>
        </w:rPr>
      </w:pPr>
    </w:p>
    <w:p w14:paraId="3D15BC0A">
      <w:pPr>
        <w:rPr>
          <w:color w:val="auto"/>
          <w:sz w:val="32"/>
          <w:szCs w:val="40"/>
        </w:rPr>
      </w:pPr>
    </w:p>
    <w:p w14:paraId="05DB9750">
      <w:pPr>
        <w:rPr>
          <w:color w:val="auto"/>
          <w:sz w:val="32"/>
          <w:szCs w:val="40"/>
        </w:rPr>
      </w:pPr>
    </w:p>
    <w:p w14:paraId="54489D12">
      <w:pPr>
        <w:rPr>
          <w:color w:val="auto"/>
          <w:sz w:val="32"/>
          <w:szCs w:val="40"/>
        </w:rPr>
      </w:pPr>
    </w:p>
    <w:p w14:paraId="00BEA08C">
      <w:pPr>
        <w:rPr>
          <w:color w:val="auto"/>
          <w:sz w:val="32"/>
          <w:szCs w:val="40"/>
        </w:rPr>
      </w:pPr>
    </w:p>
    <w:p w14:paraId="2C21C8A4">
      <w:pPr>
        <w:rPr>
          <w:color w:val="auto"/>
          <w:sz w:val="32"/>
          <w:szCs w:val="40"/>
        </w:rPr>
      </w:pPr>
    </w:p>
    <w:p w14:paraId="271B14BF">
      <w:pPr>
        <w:rPr>
          <w:color w:val="auto"/>
          <w:sz w:val="32"/>
          <w:szCs w:val="40"/>
        </w:rPr>
      </w:pPr>
    </w:p>
    <w:p w14:paraId="54F7A835">
      <w:pPr>
        <w:pStyle w:val="8"/>
        <w:rPr>
          <w:color w:val="auto"/>
        </w:rPr>
      </w:pPr>
    </w:p>
    <w:p w14:paraId="3BFCE005">
      <w:pPr>
        <w:pStyle w:val="8"/>
        <w:rPr>
          <w:color w:val="auto"/>
        </w:rPr>
      </w:pPr>
    </w:p>
    <w:p w14:paraId="6F2AEB0B">
      <w:pPr>
        <w:pStyle w:val="8"/>
        <w:rPr>
          <w:color w:val="auto"/>
        </w:rPr>
      </w:pPr>
    </w:p>
    <w:p w14:paraId="5C87ECEC">
      <w:pPr>
        <w:pStyle w:val="8"/>
        <w:rPr>
          <w:color w:val="auto"/>
        </w:rPr>
      </w:pPr>
    </w:p>
    <w:p w14:paraId="6598F12C">
      <w:pPr>
        <w:pStyle w:val="8"/>
        <w:rPr>
          <w:color w:val="auto"/>
        </w:rPr>
      </w:pPr>
    </w:p>
    <w:p w14:paraId="37692437">
      <w:pPr>
        <w:spacing w:line="360" w:lineRule="auto"/>
        <w:jc w:val="center"/>
        <w:rPr>
          <w:rFonts w:hint="eastAsia" w:ascii="方正小标宋简体" w:hAnsi="方正小标宋简体" w:eastAsia="方正小标宋简体" w:cs="方正小标宋简体"/>
          <w:color w:val="auto"/>
          <w:sz w:val="44"/>
          <w:szCs w:val="44"/>
        </w:rPr>
      </w:pPr>
    </w:p>
    <w:p w14:paraId="579F15CA">
      <w:pPr>
        <w:spacing w:line="360" w:lineRule="auto"/>
        <w:jc w:val="center"/>
        <w:rPr>
          <w:rFonts w:hint="eastAsia" w:ascii="方正小标宋简体" w:hAnsi="方正小标宋简体" w:eastAsia="方正小标宋简体" w:cs="方正小标宋简体"/>
          <w:color w:val="auto"/>
          <w:sz w:val="44"/>
          <w:szCs w:val="44"/>
        </w:rPr>
      </w:pPr>
    </w:p>
    <w:p w14:paraId="0D13CEFC">
      <w:pPr>
        <w:spacing w:line="360" w:lineRule="auto"/>
        <w:jc w:val="center"/>
        <w:rPr>
          <w:rFonts w:hint="eastAsia" w:ascii="方正小标宋简体" w:hAnsi="方正小标宋简体" w:eastAsia="方正小标宋简体" w:cs="方正小标宋简体"/>
          <w:color w:val="auto"/>
          <w:sz w:val="44"/>
          <w:szCs w:val="44"/>
        </w:rPr>
      </w:pPr>
    </w:p>
    <w:p w14:paraId="4BF862E7">
      <w:pPr>
        <w:spacing w:line="360" w:lineRule="auto"/>
        <w:jc w:val="center"/>
        <w:rPr>
          <w:rFonts w:hint="eastAsia" w:ascii="方正小标宋简体" w:hAnsi="方正小标宋简体" w:eastAsia="方正小标宋简体" w:cs="方正小标宋简体"/>
          <w:color w:val="auto"/>
          <w:sz w:val="44"/>
          <w:szCs w:val="44"/>
        </w:rPr>
      </w:pPr>
    </w:p>
    <w:p w14:paraId="12F70B17">
      <w:pPr>
        <w:spacing w:line="36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14:paraId="2A713CA9">
      <w:pPr>
        <w:pStyle w:val="27"/>
        <w:snapToGrid w:val="0"/>
        <w:spacing w:line="360" w:lineRule="auto"/>
        <w:ind w:firstLine="482" w:firstLineChars="200"/>
        <w:rPr>
          <w:rFonts w:hint="eastAsia" w:hAnsi="宋体"/>
          <w:b/>
          <w:bCs/>
          <w:color w:val="auto"/>
          <w:sz w:val="24"/>
          <w:szCs w:val="24"/>
        </w:rPr>
      </w:pPr>
      <w:r>
        <w:rPr>
          <w:rFonts w:hint="eastAsia" w:hAnsi="宋体"/>
          <w:b/>
          <w:bCs/>
          <w:color w:val="auto"/>
          <w:sz w:val="24"/>
          <w:szCs w:val="24"/>
        </w:rPr>
        <w:t>一、投诉相关主体基本情况：</w:t>
      </w:r>
    </w:p>
    <w:p w14:paraId="5530E7ED">
      <w:pPr>
        <w:pStyle w:val="27"/>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503E4258">
      <w:pPr>
        <w:pStyle w:val="27"/>
        <w:snapToGrid w:val="0"/>
        <w:spacing w:line="360" w:lineRule="auto"/>
        <w:ind w:firstLine="480" w:firstLineChars="200"/>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7F83FC3D">
      <w:pPr>
        <w:pStyle w:val="27"/>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14:paraId="05709AF0">
      <w:pPr>
        <w:pStyle w:val="27"/>
        <w:snapToGrid w:val="0"/>
        <w:spacing w:line="360" w:lineRule="auto"/>
        <w:ind w:firstLine="480" w:firstLineChars="200"/>
        <w:rPr>
          <w:rFonts w:hint="eastAsia"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4BF49685">
      <w:pPr>
        <w:pStyle w:val="27"/>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013F420A">
      <w:pPr>
        <w:pStyle w:val="27"/>
        <w:snapToGrid w:val="0"/>
        <w:spacing w:line="360" w:lineRule="auto"/>
        <w:ind w:firstLine="480" w:firstLineChars="200"/>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72D52550">
      <w:pPr>
        <w:pStyle w:val="27"/>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76056A4B">
      <w:pPr>
        <w:pStyle w:val="27"/>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被投诉人1：</w:t>
      </w:r>
    </w:p>
    <w:p w14:paraId="48CBAAC5">
      <w:pPr>
        <w:pStyle w:val="27"/>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14:paraId="48631438">
      <w:pPr>
        <w:pStyle w:val="27"/>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1C0B7B38">
      <w:pPr>
        <w:pStyle w:val="27"/>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7F82C2C5">
      <w:pPr>
        <w:pStyle w:val="27"/>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被投诉人2：</w:t>
      </w:r>
    </w:p>
    <w:p w14:paraId="5676FEF2">
      <w:pPr>
        <w:pStyle w:val="27"/>
        <w:snapToGrid w:val="0"/>
        <w:spacing w:line="360" w:lineRule="auto"/>
        <w:ind w:firstLine="480" w:firstLineChars="200"/>
        <w:rPr>
          <w:rFonts w:hint="eastAsia" w:hAnsi="宋体"/>
          <w:bCs/>
          <w:color w:val="auto"/>
          <w:sz w:val="24"/>
          <w:szCs w:val="24"/>
        </w:rPr>
      </w:pPr>
      <w:r>
        <w:rPr>
          <w:rFonts w:hAnsi="宋体"/>
          <w:bCs/>
          <w:color w:val="auto"/>
          <w:sz w:val="24"/>
          <w:szCs w:val="24"/>
        </w:rPr>
        <w:t>……</w:t>
      </w:r>
    </w:p>
    <w:p w14:paraId="2E1F5BAA">
      <w:pPr>
        <w:pStyle w:val="27"/>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040C42C2">
      <w:pPr>
        <w:pStyle w:val="27"/>
        <w:snapToGrid w:val="0"/>
        <w:spacing w:line="360" w:lineRule="auto"/>
        <w:ind w:firstLine="480" w:firstLineChars="200"/>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6569B037">
      <w:pPr>
        <w:pStyle w:val="27"/>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229A2079">
      <w:pPr>
        <w:pStyle w:val="27"/>
        <w:snapToGrid w:val="0"/>
        <w:spacing w:line="360" w:lineRule="auto"/>
        <w:ind w:firstLine="482" w:firstLineChars="200"/>
        <w:rPr>
          <w:rFonts w:hint="eastAsia" w:hAnsi="宋体"/>
          <w:b/>
          <w:bCs/>
          <w:color w:val="auto"/>
          <w:sz w:val="24"/>
          <w:szCs w:val="24"/>
        </w:rPr>
      </w:pPr>
      <w:r>
        <w:rPr>
          <w:rFonts w:hint="eastAsia" w:hAnsi="宋体"/>
          <w:b/>
          <w:bCs/>
          <w:color w:val="auto"/>
          <w:sz w:val="24"/>
          <w:szCs w:val="24"/>
        </w:rPr>
        <w:t>二、投诉项目基本情况：</w:t>
      </w:r>
    </w:p>
    <w:p w14:paraId="0DDC8A6B">
      <w:pPr>
        <w:pStyle w:val="27"/>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60B6D0C8">
      <w:pPr>
        <w:pStyle w:val="27"/>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60748569">
      <w:pPr>
        <w:pStyle w:val="27"/>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712EF78A">
      <w:pPr>
        <w:pStyle w:val="27"/>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31DB66A4">
      <w:pPr>
        <w:pStyle w:val="27"/>
        <w:spacing w:line="360" w:lineRule="auto"/>
        <w:ind w:left="25" w:leftChars="12" w:firstLine="472" w:firstLineChars="197"/>
        <w:rPr>
          <w:rFonts w:hint="eastAsia"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48FD5EA5">
      <w:pPr>
        <w:pStyle w:val="27"/>
        <w:spacing w:line="360" w:lineRule="auto"/>
        <w:ind w:left="25" w:leftChars="12" w:firstLine="472" w:firstLineChars="197"/>
        <w:rPr>
          <w:rFonts w:hint="eastAsia"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3B24BB34">
      <w:pPr>
        <w:pStyle w:val="27"/>
        <w:spacing w:line="360" w:lineRule="auto"/>
        <w:ind w:left="25" w:leftChars="12" w:firstLine="472" w:firstLineChars="196"/>
        <w:rPr>
          <w:rFonts w:hint="eastAsia" w:hAnsi="宋体"/>
          <w:b/>
          <w:color w:val="auto"/>
          <w:sz w:val="24"/>
          <w:szCs w:val="24"/>
        </w:rPr>
      </w:pPr>
      <w:r>
        <w:rPr>
          <w:rFonts w:hint="eastAsia" w:hAnsi="宋体"/>
          <w:b/>
          <w:color w:val="auto"/>
          <w:sz w:val="24"/>
          <w:szCs w:val="24"/>
        </w:rPr>
        <w:t>三、质疑基本情况</w:t>
      </w:r>
    </w:p>
    <w:p w14:paraId="0B2E9CE0">
      <w:pPr>
        <w:pStyle w:val="27"/>
        <w:spacing w:line="360" w:lineRule="auto"/>
        <w:ind w:firstLine="480" w:firstLineChars="200"/>
        <w:rPr>
          <w:rFonts w:hint="eastAsia"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1644EED5">
      <w:pPr>
        <w:pStyle w:val="27"/>
        <w:spacing w:line="360" w:lineRule="auto"/>
        <w:ind w:firstLine="241"/>
        <w:rPr>
          <w:rFonts w:hint="eastAsia"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6D8B105B">
      <w:pPr>
        <w:pStyle w:val="27"/>
        <w:spacing w:line="360" w:lineRule="auto"/>
        <w:ind w:firstLine="241"/>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0AFF6EFE">
      <w:pPr>
        <w:pStyle w:val="27"/>
        <w:spacing w:line="360" w:lineRule="auto"/>
        <w:ind w:firstLine="480" w:firstLineChars="200"/>
        <w:rPr>
          <w:rFonts w:hint="eastAsia"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14:paraId="0451CA89">
      <w:pPr>
        <w:pStyle w:val="27"/>
        <w:spacing w:line="360" w:lineRule="auto"/>
        <w:ind w:left="25" w:leftChars="12" w:firstLine="472" w:firstLineChars="196"/>
        <w:rPr>
          <w:rFonts w:hint="eastAsia" w:hAnsi="宋体"/>
          <w:b/>
          <w:color w:val="auto"/>
          <w:sz w:val="24"/>
          <w:szCs w:val="24"/>
        </w:rPr>
      </w:pPr>
      <w:r>
        <w:rPr>
          <w:rFonts w:hint="eastAsia" w:hAnsi="宋体"/>
          <w:b/>
          <w:color w:val="auto"/>
          <w:sz w:val="24"/>
          <w:szCs w:val="24"/>
        </w:rPr>
        <w:t>四、投诉事项具体内容</w:t>
      </w:r>
    </w:p>
    <w:p w14:paraId="50D3AF74">
      <w:pPr>
        <w:pStyle w:val="27"/>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63FECC21">
      <w:pPr>
        <w:pStyle w:val="27"/>
        <w:spacing w:line="360" w:lineRule="auto"/>
        <w:ind w:firstLine="480" w:firstLineChars="200"/>
        <w:rPr>
          <w:rFonts w:hint="eastAsia"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40EA09C5">
      <w:pPr>
        <w:pStyle w:val="27"/>
        <w:spacing w:line="360" w:lineRule="auto"/>
        <w:ind w:left="25" w:leftChars="12" w:firstLine="472" w:firstLineChars="197"/>
        <w:rPr>
          <w:rFonts w:hint="eastAsia" w:hAnsi="宋体"/>
          <w:color w:val="auto"/>
          <w:sz w:val="24"/>
          <w:szCs w:val="24"/>
        </w:rPr>
      </w:pPr>
      <w:r>
        <w:rPr>
          <w:rFonts w:hint="eastAsia" w:hAnsi="宋体"/>
          <w:bCs/>
          <w:color w:val="auto"/>
          <w:sz w:val="24"/>
          <w:szCs w:val="24"/>
          <w:u w:val="single"/>
        </w:rPr>
        <w:t xml:space="preserve">                                                                                        </w:t>
      </w:r>
    </w:p>
    <w:p w14:paraId="6D85A71A">
      <w:pPr>
        <w:pStyle w:val="27"/>
        <w:spacing w:line="360" w:lineRule="auto"/>
        <w:ind w:firstLine="480" w:firstLineChars="200"/>
        <w:rPr>
          <w:rFonts w:hint="eastAsia"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3B6876CC">
      <w:pPr>
        <w:pStyle w:val="27"/>
        <w:spacing w:line="360" w:lineRule="auto"/>
        <w:ind w:left="25" w:leftChars="12" w:firstLine="352" w:firstLineChars="147"/>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31A24EBF">
      <w:pPr>
        <w:pStyle w:val="27"/>
        <w:spacing w:line="360" w:lineRule="auto"/>
        <w:ind w:left="25" w:leftChars="12" w:firstLine="472" w:firstLineChars="197"/>
        <w:rPr>
          <w:rFonts w:hint="eastAsia"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3AB3B8AC">
      <w:pPr>
        <w:pStyle w:val="27"/>
        <w:spacing w:line="360" w:lineRule="auto"/>
        <w:ind w:left="25" w:leftChars="12" w:firstLine="472" w:firstLineChars="197"/>
        <w:rPr>
          <w:rFonts w:hint="eastAsia" w:hAnsi="宋体"/>
          <w:bCs/>
          <w:color w:val="auto"/>
          <w:sz w:val="24"/>
          <w:szCs w:val="24"/>
        </w:rPr>
      </w:pPr>
      <w:r>
        <w:rPr>
          <w:rFonts w:hAnsi="宋体"/>
          <w:bCs/>
          <w:color w:val="auto"/>
          <w:sz w:val="24"/>
          <w:szCs w:val="24"/>
        </w:rPr>
        <w:t>……</w:t>
      </w:r>
    </w:p>
    <w:p w14:paraId="1BC07CAC">
      <w:pPr>
        <w:pStyle w:val="27"/>
        <w:spacing w:line="360" w:lineRule="auto"/>
        <w:ind w:left="25" w:leftChars="12" w:firstLine="472" w:firstLineChars="196"/>
        <w:rPr>
          <w:rFonts w:hint="eastAsia" w:hAnsi="宋体"/>
          <w:b/>
          <w:color w:val="auto"/>
          <w:sz w:val="24"/>
          <w:szCs w:val="24"/>
        </w:rPr>
      </w:pPr>
      <w:r>
        <w:rPr>
          <w:rFonts w:hint="eastAsia" w:hAnsi="宋体"/>
          <w:b/>
          <w:color w:val="auto"/>
          <w:sz w:val="24"/>
          <w:szCs w:val="24"/>
        </w:rPr>
        <w:t>五、与投诉事项相关的投诉请求：</w:t>
      </w:r>
    </w:p>
    <w:p w14:paraId="427B9253">
      <w:pPr>
        <w:pStyle w:val="27"/>
        <w:spacing w:line="360" w:lineRule="auto"/>
        <w:ind w:left="25" w:leftChars="12" w:firstLine="472" w:firstLineChars="197"/>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19A94AB4">
      <w:pPr>
        <w:pStyle w:val="27"/>
        <w:spacing w:line="360" w:lineRule="auto"/>
        <w:ind w:left="25" w:leftChars="12" w:firstLine="352" w:firstLineChars="147"/>
        <w:rPr>
          <w:rFonts w:hint="eastAsia" w:hAnsi="宋体"/>
          <w:color w:val="auto"/>
          <w:sz w:val="24"/>
          <w:szCs w:val="24"/>
        </w:rPr>
      </w:pPr>
    </w:p>
    <w:p w14:paraId="0EA398FC">
      <w:pPr>
        <w:pStyle w:val="27"/>
        <w:spacing w:line="360" w:lineRule="auto"/>
        <w:ind w:left="25" w:leftChars="12" w:firstLine="472" w:firstLineChars="197"/>
        <w:rPr>
          <w:rFonts w:hint="eastAsia" w:hAnsi="宋体"/>
          <w:color w:val="auto"/>
          <w:sz w:val="24"/>
          <w:szCs w:val="24"/>
        </w:rPr>
      </w:pPr>
      <w:r>
        <w:rPr>
          <w:rFonts w:hint="eastAsia" w:hAnsi="宋体"/>
          <w:color w:val="auto"/>
          <w:sz w:val="24"/>
          <w:szCs w:val="24"/>
        </w:rPr>
        <w:t>签字（签章）：                                       公章：</w:t>
      </w:r>
    </w:p>
    <w:p w14:paraId="3530BADD">
      <w:pPr>
        <w:pStyle w:val="27"/>
        <w:spacing w:line="360" w:lineRule="auto"/>
        <w:ind w:left="25" w:leftChars="12" w:firstLine="352" w:firstLineChars="147"/>
        <w:rPr>
          <w:rFonts w:hint="eastAsia" w:hAnsi="宋体"/>
          <w:color w:val="auto"/>
          <w:sz w:val="24"/>
          <w:szCs w:val="24"/>
        </w:rPr>
      </w:pPr>
    </w:p>
    <w:p w14:paraId="297D766B">
      <w:pPr>
        <w:pStyle w:val="27"/>
        <w:spacing w:line="360" w:lineRule="auto"/>
        <w:ind w:left="25" w:leftChars="12" w:firstLine="472" w:firstLineChars="197"/>
        <w:rPr>
          <w:rFonts w:hint="eastAsia" w:hAnsi="宋体"/>
          <w:color w:val="auto"/>
          <w:sz w:val="24"/>
          <w:szCs w:val="24"/>
        </w:rPr>
      </w:pPr>
      <w:r>
        <w:rPr>
          <w:rFonts w:hint="eastAsia" w:hAnsi="宋体"/>
          <w:color w:val="auto"/>
          <w:sz w:val="24"/>
          <w:szCs w:val="24"/>
        </w:rPr>
        <w:t>日期：</w:t>
      </w:r>
    </w:p>
    <w:p w14:paraId="4D34C14F">
      <w:pPr>
        <w:pStyle w:val="27"/>
        <w:spacing w:line="360" w:lineRule="auto"/>
        <w:ind w:left="25" w:leftChars="12" w:firstLine="472" w:firstLineChars="197"/>
        <w:rPr>
          <w:rFonts w:hint="eastAsia" w:hAnsi="宋体"/>
          <w:b/>
          <w:color w:val="auto"/>
          <w:sz w:val="24"/>
          <w:szCs w:val="24"/>
        </w:rPr>
      </w:pPr>
      <w:r>
        <w:rPr>
          <w:rFonts w:hint="eastAsia" w:hAnsi="宋体"/>
          <w:bCs/>
          <w:color w:val="auto"/>
          <w:sz w:val="24"/>
          <w:szCs w:val="24"/>
        </w:rPr>
        <w:t xml:space="preserve">                                                                                 </w:t>
      </w:r>
    </w:p>
    <w:p w14:paraId="7BE8D6C0">
      <w:pPr>
        <w:pStyle w:val="27"/>
        <w:snapToGrid w:val="0"/>
        <w:spacing w:line="360" w:lineRule="auto"/>
        <w:rPr>
          <w:rFonts w:hint="eastAsia" w:hAnsi="宋体"/>
          <w:b/>
          <w:color w:val="auto"/>
          <w:sz w:val="24"/>
          <w:szCs w:val="24"/>
        </w:rPr>
      </w:pPr>
      <w:r>
        <w:rPr>
          <w:rFonts w:hint="eastAsia" w:hAnsi="宋体"/>
          <w:b/>
          <w:color w:val="auto"/>
          <w:sz w:val="24"/>
          <w:szCs w:val="24"/>
        </w:rPr>
        <w:t>说明：</w:t>
      </w:r>
    </w:p>
    <w:p w14:paraId="2E8388E6">
      <w:pPr>
        <w:pStyle w:val="27"/>
        <w:spacing w:line="360" w:lineRule="auto"/>
        <w:ind w:left="25" w:leftChars="12" w:firstLine="354" w:firstLineChars="147"/>
        <w:rPr>
          <w:rFonts w:hint="eastAsia"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0727B0DB">
      <w:pPr>
        <w:pStyle w:val="27"/>
        <w:spacing w:line="360" w:lineRule="auto"/>
        <w:ind w:left="25" w:leftChars="12" w:firstLine="354" w:firstLineChars="147"/>
        <w:rPr>
          <w:rFonts w:hint="eastAsia"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8B8781C">
      <w:pPr>
        <w:pStyle w:val="27"/>
        <w:spacing w:line="360" w:lineRule="auto"/>
        <w:ind w:left="25" w:leftChars="12" w:firstLine="354" w:firstLineChars="147"/>
        <w:rPr>
          <w:rFonts w:hint="eastAsia" w:hAnsi="宋体"/>
          <w:b/>
          <w:color w:val="auto"/>
          <w:sz w:val="24"/>
          <w:szCs w:val="24"/>
        </w:rPr>
      </w:pPr>
      <w:r>
        <w:rPr>
          <w:rFonts w:hint="eastAsia" w:hAnsi="宋体"/>
          <w:b/>
          <w:color w:val="auto"/>
          <w:sz w:val="24"/>
          <w:szCs w:val="24"/>
        </w:rPr>
        <w:t>3.投诉书应简要列明质疑事项，质疑函、质疑答复等作为附件材料提供。</w:t>
      </w:r>
    </w:p>
    <w:p w14:paraId="77E486A3">
      <w:pPr>
        <w:pStyle w:val="27"/>
        <w:spacing w:line="360" w:lineRule="auto"/>
        <w:ind w:left="25" w:leftChars="12" w:firstLine="354" w:firstLineChars="147"/>
        <w:rPr>
          <w:rFonts w:hint="eastAsia" w:hAnsi="宋体"/>
          <w:b/>
          <w:color w:val="auto"/>
          <w:sz w:val="24"/>
          <w:szCs w:val="24"/>
        </w:rPr>
      </w:pPr>
      <w:r>
        <w:rPr>
          <w:rFonts w:hint="eastAsia" w:hAnsi="宋体"/>
          <w:b/>
          <w:color w:val="auto"/>
          <w:sz w:val="24"/>
          <w:szCs w:val="24"/>
        </w:rPr>
        <w:t>4.投诉书的投诉事项应具体、明确，并有必要的事实依据和法律依据。</w:t>
      </w:r>
    </w:p>
    <w:p w14:paraId="150E0B76">
      <w:pPr>
        <w:pStyle w:val="27"/>
        <w:spacing w:line="360" w:lineRule="auto"/>
        <w:ind w:left="25" w:leftChars="12" w:firstLine="354" w:firstLineChars="147"/>
        <w:rPr>
          <w:rFonts w:hint="eastAsia" w:hAnsi="宋体"/>
          <w:b/>
          <w:color w:val="auto"/>
          <w:sz w:val="24"/>
          <w:szCs w:val="24"/>
        </w:rPr>
      </w:pPr>
      <w:r>
        <w:rPr>
          <w:rFonts w:hint="eastAsia" w:hAnsi="宋体"/>
          <w:b/>
          <w:color w:val="auto"/>
          <w:sz w:val="24"/>
          <w:szCs w:val="24"/>
        </w:rPr>
        <w:t>5.投诉书的投诉请求应与投诉事项相关。</w:t>
      </w:r>
    </w:p>
    <w:p w14:paraId="56DA653D">
      <w:pPr>
        <w:pStyle w:val="27"/>
        <w:spacing w:line="360" w:lineRule="auto"/>
        <w:ind w:left="25" w:leftChars="12" w:firstLine="354" w:firstLineChars="147"/>
        <w:rPr>
          <w:rFonts w:hint="eastAsia"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p w14:paraId="136AB7EB">
      <w:pPr>
        <w:pStyle w:val="3"/>
        <w:jc w:val="center"/>
        <w:rPr>
          <w:color w:val="auto"/>
        </w:rPr>
      </w:pPr>
      <w:bookmarkStart w:id="105" w:name="_Toc74323461"/>
    </w:p>
    <w:p w14:paraId="001E7549">
      <w:pPr>
        <w:pStyle w:val="3"/>
        <w:jc w:val="center"/>
        <w:rPr>
          <w:color w:val="auto"/>
        </w:rPr>
      </w:pPr>
    </w:p>
    <w:p w14:paraId="2B862CDD">
      <w:pPr>
        <w:pStyle w:val="3"/>
        <w:jc w:val="center"/>
        <w:rPr>
          <w:color w:val="auto"/>
        </w:rPr>
      </w:pPr>
    </w:p>
    <w:p w14:paraId="5573EEBB">
      <w:pPr>
        <w:rPr>
          <w:color w:val="auto"/>
        </w:rPr>
      </w:pPr>
    </w:p>
    <w:p w14:paraId="5B9A58FE">
      <w:pPr>
        <w:pStyle w:val="3"/>
        <w:jc w:val="center"/>
        <w:rPr>
          <w:color w:val="auto"/>
        </w:rPr>
      </w:pPr>
      <w:r>
        <w:rPr>
          <w:rFonts w:hint="eastAsia"/>
          <w:color w:val="auto"/>
        </w:rPr>
        <w:t>第七章 合同文本</w:t>
      </w:r>
      <w:bookmarkEnd w:id="105"/>
    </w:p>
    <w:p w14:paraId="4B54F90A">
      <w:pPr>
        <w:spacing w:line="520" w:lineRule="exact"/>
        <w:rPr>
          <w:rFonts w:hint="eastAsia" w:ascii="宋体" w:hAnsi="宋体" w:cs="Courier New"/>
          <w:b/>
          <w:color w:val="auto"/>
          <w:sz w:val="32"/>
          <w:szCs w:val="32"/>
        </w:rPr>
      </w:pPr>
    </w:p>
    <w:p w14:paraId="15E2DCA3">
      <w:pPr>
        <w:pStyle w:val="4"/>
        <w:spacing w:line="360" w:lineRule="auto"/>
        <w:jc w:val="center"/>
        <w:rPr>
          <w:rFonts w:hint="eastAsia" w:ascii="宋体" w:hAnsi="宋体" w:cs="宋体"/>
          <w:color w:val="auto"/>
          <w:sz w:val="28"/>
          <w:szCs w:val="28"/>
        </w:rPr>
      </w:pPr>
      <w:r>
        <w:rPr>
          <w:rFonts w:ascii="宋体" w:hAnsi="宋体" w:cs="宋体"/>
          <w:color w:val="auto"/>
          <w:sz w:val="24"/>
        </w:rPr>
        <w:br w:type="page"/>
      </w:r>
      <w:bookmarkStart w:id="106" w:name="_Toc724920571"/>
      <w:bookmarkStart w:id="107" w:name="_Toc31091"/>
      <w:bookmarkStart w:id="108" w:name="_Toc28776"/>
      <w:bookmarkStart w:id="109" w:name="_Toc351203480"/>
      <w:bookmarkStart w:id="110" w:name="_Toc32649"/>
      <w:bookmarkStart w:id="111" w:name="_Toc373227552"/>
      <w:bookmarkStart w:id="112" w:name="_Toc407135191"/>
      <w:bookmarkStart w:id="113" w:name="_Toc373478199"/>
      <w:bookmarkStart w:id="114" w:name="_Toc296890982"/>
      <w:bookmarkStart w:id="115" w:name="_Toc1756478213"/>
      <w:bookmarkStart w:id="116" w:name="_Toc389065255"/>
      <w:bookmarkStart w:id="117" w:name="_Toc78449777"/>
      <w:bookmarkStart w:id="118" w:name="_Toc296503025"/>
      <w:bookmarkStart w:id="119" w:name="_Toc20978"/>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3B371130">
      <w:pPr>
        <w:pStyle w:val="4"/>
        <w:jc w:val="center"/>
        <w:rPr>
          <w:color w:val="auto"/>
          <w:sz w:val="24"/>
        </w:rPr>
      </w:pPr>
      <w:bookmarkStart w:id="120" w:name="_Toc25165"/>
      <w:r>
        <w:rPr>
          <w:rFonts w:hint="eastAsia"/>
          <w:color w:val="auto"/>
          <w:sz w:val="24"/>
        </w:rPr>
        <w:t>第一部分 合同协议书</w:t>
      </w:r>
      <w:bookmarkEnd w:id="120"/>
    </w:p>
    <w:p w14:paraId="4A9B2C36">
      <w:pPr>
        <w:spacing w:line="360" w:lineRule="auto"/>
        <w:ind w:left="1680" w:hanging="1680" w:hangingChars="800"/>
        <w:rPr>
          <w:rFonts w:hint="eastAsia" w:ascii="宋体" w:hAnsi="宋体" w:cs="宋体"/>
          <w:color w:val="auto"/>
          <w:szCs w:val="21"/>
          <w:u w:val="single"/>
        </w:rPr>
      </w:pPr>
      <w:r>
        <w:rPr>
          <w:rFonts w:hint="eastAsia" w:ascii="宋体" w:hAnsi="宋体" w:cs="宋体"/>
          <w:color w:val="auto"/>
          <w:szCs w:val="21"/>
        </w:rPr>
        <w:t>发包人（全称）：</w:t>
      </w:r>
      <w:r>
        <w:rPr>
          <w:rFonts w:hint="eastAsia" w:ascii="宋体" w:hAnsi="宋体" w:cs="宋体"/>
          <w:color w:val="auto"/>
          <w:szCs w:val="21"/>
          <w:u w:val="single"/>
        </w:rPr>
        <w:t>广西壮族自治区南溪山医院（广西壮族自治区第二人民医院）</w:t>
      </w:r>
    </w:p>
    <w:p w14:paraId="3DFC0249">
      <w:pPr>
        <w:spacing w:line="360" w:lineRule="auto"/>
        <w:rPr>
          <w:rFonts w:hint="eastAsia"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07F08F3A">
      <w:pPr>
        <w:spacing w:line="360" w:lineRule="auto"/>
        <w:rPr>
          <w:rFonts w:hint="eastAsia" w:ascii="宋体" w:hAnsi="宋体" w:cs="宋体"/>
          <w:color w:val="auto"/>
          <w:szCs w:val="21"/>
        </w:rPr>
      </w:pPr>
      <w:r>
        <w:rPr>
          <w:rFonts w:hint="eastAsia" w:ascii="宋体" w:hAnsi="宋体" w:cs="宋体"/>
          <w:color w:val="auto"/>
          <w:szCs w:val="21"/>
        </w:rPr>
        <w:t>根据《中华人民共和国民法典》、《中华人民共和国建筑法》及有关法律规定，遵循平等、自愿、公平和诚实信用的原则，双方就</w:t>
      </w:r>
      <w:r>
        <w:rPr>
          <w:rFonts w:hint="eastAsia" w:ascii="宋体" w:hAnsi="宋体" w:cs="宋体"/>
          <w:color w:val="auto"/>
          <w:szCs w:val="21"/>
          <w:u w:val="single"/>
        </w:rPr>
        <w:t xml:space="preserve"> 南溪山医院大礼堂修缮工程</w:t>
      </w:r>
      <w:r>
        <w:rPr>
          <w:rFonts w:hint="eastAsia" w:ascii="宋体" w:hAnsi="宋体" w:cs="宋体"/>
          <w:color w:val="auto"/>
          <w:szCs w:val="21"/>
        </w:rPr>
        <w:t>施工及有关事项协商一致，共同达成如下协议：</w:t>
      </w:r>
      <w:bookmarkStart w:id="121" w:name="_Toc351203481"/>
    </w:p>
    <w:p w14:paraId="32B35C58">
      <w:pPr>
        <w:pStyle w:val="5"/>
        <w:rPr>
          <w:color w:val="auto"/>
          <w:sz w:val="21"/>
          <w:szCs w:val="21"/>
        </w:rPr>
      </w:pPr>
      <w:bookmarkStart w:id="122" w:name="_Toc10886"/>
      <w:bookmarkStart w:id="123" w:name="_Toc25820"/>
      <w:bookmarkStart w:id="124" w:name="_Toc19586"/>
      <w:bookmarkStart w:id="125" w:name="_Toc25946"/>
      <w:bookmarkStart w:id="126" w:name="_Toc28651"/>
      <w:r>
        <w:rPr>
          <w:rFonts w:hint="eastAsia"/>
          <w:color w:val="auto"/>
          <w:sz w:val="21"/>
          <w:szCs w:val="21"/>
        </w:rPr>
        <w:t>一、工程概况</w:t>
      </w:r>
      <w:bookmarkEnd w:id="121"/>
      <w:bookmarkEnd w:id="122"/>
      <w:bookmarkEnd w:id="123"/>
      <w:bookmarkEnd w:id="124"/>
      <w:bookmarkEnd w:id="125"/>
      <w:bookmarkEnd w:id="126"/>
    </w:p>
    <w:p w14:paraId="25EA5F42">
      <w:pPr>
        <w:spacing w:line="360" w:lineRule="auto"/>
        <w:rPr>
          <w:rFonts w:hint="eastAsia" w:ascii="宋体" w:hAnsi="宋体" w:cs="宋体"/>
          <w:color w:val="auto"/>
          <w:szCs w:val="21"/>
          <w:u w:val="single"/>
        </w:rPr>
      </w:pPr>
      <w:r>
        <w:rPr>
          <w:rFonts w:hint="eastAsia" w:ascii="宋体" w:hAnsi="宋体" w:cs="宋体"/>
          <w:color w:val="auto"/>
          <w:szCs w:val="21"/>
        </w:rPr>
        <w:t>1. 工程名称：</w:t>
      </w:r>
      <w:r>
        <w:rPr>
          <w:rFonts w:hint="eastAsia" w:ascii="宋体" w:hAnsi="宋体" w:cs="宋体"/>
          <w:color w:val="auto"/>
          <w:szCs w:val="21"/>
          <w:u w:val="single"/>
        </w:rPr>
        <w:t>南溪山医院大礼堂修缮工程</w:t>
      </w:r>
      <w:r>
        <w:rPr>
          <w:rFonts w:hint="eastAsia" w:ascii="宋体" w:hAnsi="宋体" w:cs="宋体"/>
          <w:color w:val="auto"/>
          <w:szCs w:val="21"/>
        </w:rPr>
        <w:t>。</w:t>
      </w:r>
    </w:p>
    <w:p w14:paraId="2B551ECD">
      <w:pPr>
        <w:spacing w:line="360" w:lineRule="auto"/>
        <w:rPr>
          <w:rFonts w:hint="eastAsia" w:ascii="宋体" w:hAnsi="宋体" w:cs="宋体"/>
          <w:color w:val="auto"/>
          <w:szCs w:val="21"/>
        </w:rPr>
      </w:pPr>
      <w:r>
        <w:rPr>
          <w:rFonts w:hint="eastAsia" w:ascii="宋体" w:hAnsi="宋体" w:cs="宋体"/>
          <w:color w:val="auto"/>
          <w:szCs w:val="21"/>
        </w:rPr>
        <w:t>2. 工程地点：</w:t>
      </w:r>
      <w:r>
        <w:rPr>
          <w:rFonts w:hint="eastAsia" w:ascii="宋体" w:hAnsi="宋体" w:cs="宋体"/>
          <w:color w:val="auto"/>
          <w:szCs w:val="21"/>
          <w:u w:val="single"/>
        </w:rPr>
        <w:t>广西壮族自治区南溪山医院（广西壮族自治区第二人民医院）院内（广西桂林市象山区崇信路46号）</w:t>
      </w:r>
      <w:r>
        <w:rPr>
          <w:rFonts w:hint="eastAsia" w:ascii="宋体" w:hAnsi="宋体" w:cs="宋体"/>
          <w:color w:val="auto"/>
          <w:szCs w:val="21"/>
        </w:rPr>
        <w:t>。</w:t>
      </w:r>
    </w:p>
    <w:p w14:paraId="7B8B5E4F">
      <w:pPr>
        <w:spacing w:line="360" w:lineRule="auto"/>
        <w:rPr>
          <w:rFonts w:hint="eastAsia" w:ascii="宋体" w:hAnsi="宋体" w:cs="宋体"/>
          <w:color w:val="auto"/>
          <w:szCs w:val="21"/>
        </w:rPr>
      </w:pPr>
      <w:r>
        <w:rPr>
          <w:rFonts w:hint="eastAsia" w:ascii="宋体" w:hAnsi="宋体" w:cs="宋体"/>
          <w:color w:val="auto"/>
          <w:szCs w:val="21"/>
        </w:rPr>
        <w:t>3. 工程立项批准文号：</w:t>
      </w:r>
      <w:r>
        <w:rPr>
          <w:rFonts w:hint="eastAsia" w:ascii="宋体" w:hAnsi="宋体" w:cs="宋体"/>
          <w:color w:val="auto"/>
          <w:szCs w:val="21"/>
          <w:u w:val="single"/>
        </w:rPr>
        <w:t xml:space="preserve">        /         </w:t>
      </w:r>
      <w:r>
        <w:rPr>
          <w:rFonts w:hint="eastAsia" w:ascii="宋体" w:hAnsi="宋体" w:cs="宋体"/>
          <w:color w:val="auto"/>
          <w:szCs w:val="21"/>
        </w:rPr>
        <w:t>。</w:t>
      </w:r>
    </w:p>
    <w:p w14:paraId="2CADF39D">
      <w:pPr>
        <w:spacing w:line="360" w:lineRule="auto"/>
        <w:rPr>
          <w:rFonts w:hint="eastAsia" w:ascii="宋体" w:hAnsi="宋体" w:cs="宋体"/>
          <w:color w:val="auto"/>
          <w:szCs w:val="21"/>
        </w:rPr>
      </w:pPr>
      <w:r>
        <w:rPr>
          <w:rFonts w:hint="eastAsia" w:ascii="宋体" w:hAnsi="宋体" w:cs="宋体"/>
          <w:color w:val="auto"/>
          <w:szCs w:val="21"/>
        </w:rPr>
        <w:t>4. 资金来源：</w:t>
      </w:r>
      <w:r>
        <w:rPr>
          <w:rFonts w:hint="eastAsia" w:ascii="宋体" w:hAnsi="宋体" w:cs="宋体"/>
          <w:color w:val="auto"/>
          <w:szCs w:val="21"/>
          <w:u w:val="single"/>
        </w:rPr>
        <w:t xml:space="preserve"> 财政性资金 </w:t>
      </w:r>
      <w:r>
        <w:rPr>
          <w:rFonts w:hint="eastAsia" w:ascii="宋体" w:hAnsi="宋体" w:cs="宋体"/>
          <w:color w:val="auto"/>
          <w:szCs w:val="21"/>
        </w:rPr>
        <w:t>。</w:t>
      </w:r>
    </w:p>
    <w:p w14:paraId="28678BB4">
      <w:pPr>
        <w:spacing w:line="360" w:lineRule="auto"/>
        <w:rPr>
          <w:rFonts w:hint="eastAsia" w:ascii="宋体" w:hAnsi="宋体" w:cs="宋体"/>
          <w:color w:val="auto"/>
          <w:szCs w:val="21"/>
        </w:rPr>
      </w:pPr>
      <w:r>
        <w:rPr>
          <w:rFonts w:hint="eastAsia" w:ascii="宋体" w:hAnsi="宋体" w:cs="宋体"/>
          <w:color w:val="auto"/>
          <w:szCs w:val="21"/>
        </w:rPr>
        <w:t>5. 工程内容：</w:t>
      </w:r>
      <w:r>
        <w:rPr>
          <w:rFonts w:hint="eastAsia" w:ascii="宋体" w:hAnsi="宋体" w:cs="宋体"/>
          <w:color w:val="auto"/>
          <w:szCs w:val="21"/>
          <w:u w:val="single"/>
        </w:rPr>
        <w:t>本工程为南溪山医院大礼堂修缮工程，位于桂林市市区内，主要建设内容包括外墙面改造，木走廊修缮，屋面修整。</w:t>
      </w:r>
    </w:p>
    <w:p w14:paraId="27673EAD">
      <w:pPr>
        <w:spacing w:line="360" w:lineRule="auto"/>
        <w:rPr>
          <w:rFonts w:hint="eastAsia" w:ascii="宋体" w:hAnsi="宋体" w:cs="宋体"/>
          <w:color w:val="auto"/>
          <w:szCs w:val="21"/>
        </w:rPr>
      </w:pPr>
      <w:r>
        <w:rPr>
          <w:rFonts w:hint="eastAsia" w:ascii="宋体" w:hAnsi="宋体" w:cs="宋体"/>
          <w:color w:val="auto"/>
          <w:szCs w:val="21"/>
        </w:rPr>
        <w:t>群体工程应附《承包人承揽工程项目一览表》（附件1）。</w:t>
      </w:r>
    </w:p>
    <w:p w14:paraId="3EDC34DC">
      <w:pPr>
        <w:spacing w:line="360" w:lineRule="auto"/>
        <w:rPr>
          <w:rFonts w:hint="eastAsia" w:ascii="宋体" w:hAnsi="宋体" w:cs="宋体"/>
          <w:color w:val="auto"/>
          <w:szCs w:val="21"/>
        </w:rPr>
      </w:pPr>
      <w:r>
        <w:rPr>
          <w:rFonts w:hint="eastAsia" w:ascii="宋体" w:hAnsi="宋体" w:cs="宋体"/>
          <w:color w:val="auto"/>
          <w:szCs w:val="21"/>
        </w:rPr>
        <w:t>6. 工程承包范围：</w:t>
      </w:r>
      <w:r>
        <w:rPr>
          <w:rFonts w:hint="eastAsia" w:ascii="宋体" w:hAnsi="宋体" w:cs="宋体"/>
          <w:color w:val="auto"/>
          <w:szCs w:val="21"/>
          <w:u w:val="single"/>
        </w:rPr>
        <w:t xml:space="preserve">施工图纸范围内包含的施工内容，详见工程量清单 </w:t>
      </w:r>
      <w:r>
        <w:rPr>
          <w:rFonts w:hint="eastAsia" w:ascii="宋体" w:hAnsi="宋体" w:cs="宋体"/>
          <w:color w:val="auto"/>
          <w:szCs w:val="21"/>
        </w:rPr>
        <w:t>。</w:t>
      </w:r>
    </w:p>
    <w:p w14:paraId="20E4B6BD">
      <w:pPr>
        <w:pStyle w:val="5"/>
        <w:rPr>
          <w:color w:val="auto"/>
          <w:sz w:val="21"/>
          <w:szCs w:val="21"/>
        </w:rPr>
      </w:pPr>
      <w:bookmarkStart w:id="127" w:name="_Toc14994"/>
      <w:bookmarkStart w:id="128" w:name="_Toc12356"/>
      <w:bookmarkStart w:id="129" w:name="_Toc26285"/>
      <w:bookmarkStart w:id="130" w:name="_Toc11245"/>
      <w:bookmarkStart w:id="131" w:name="_Toc9069"/>
      <w:bookmarkStart w:id="132" w:name="_Toc351203482"/>
      <w:r>
        <w:rPr>
          <w:rFonts w:hint="eastAsia"/>
          <w:color w:val="auto"/>
          <w:sz w:val="21"/>
          <w:szCs w:val="21"/>
        </w:rPr>
        <w:t>二、合同工期</w:t>
      </w:r>
      <w:bookmarkEnd w:id="127"/>
      <w:bookmarkEnd w:id="128"/>
      <w:bookmarkEnd w:id="129"/>
      <w:bookmarkEnd w:id="130"/>
      <w:bookmarkEnd w:id="131"/>
      <w:bookmarkEnd w:id="132"/>
    </w:p>
    <w:p w14:paraId="014329D6">
      <w:pPr>
        <w:spacing w:line="360" w:lineRule="auto"/>
        <w:rPr>
          <w:rFonts w:hint="eastAsia"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日。（具体以发包人书面通知为准）</w:t>
      </w:r>
    </w:p>
    <w:p w14:paraId="08A89A90">
      <w:pPr>
        <w:spacing w:line="360" w:lineRule="auto"/>
        <w:rPr>
          <w:rFonts w:hint="eastAsia"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73E330C">
      <w:pPr>
        <w:spacing w:line="360" w:lineRule="auto"/>
        <w:rPr>
          <w:rFonts w:hint="eastAsia"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 xml:space="preserve">    </w:t>
      </w:r>
      <w:r>
        <w:rPr>
          <w:rFonts w:hint="eastAsia" w:ascii="宋体" w:hAnsi="宋体" w:cs="宋体"/>
          <w:color w:val="auto"/>
          <w:szCs w:val="21"/>
        </w:rPr>
        <w:t>天。工期总日历天数与根据前述计划开竣工日期计算的工期天数不一致的，以工期总日历天数为准。</w:t>
      </w:r>
    </w:p>
    <w:p w14:paraId="38392332">
      <w:pPr>
        <w:pStyle w:val="5"/>
        <w:rPr>
          <w:color w:val="auto"/>
          <w:sz w:val="21"/>
          <w:szCs w:val="21"/>
        </w:rPr>
      </w:pPr>
      <w:bookmarkStart w:id="133" w:name="_Toc30304"/>
      <w:bookmarkStart w:id="134" w:name="_Toc183"/>
      <w:bookmarkStart w:id="135" w:name="_Toc17019"/>
      <w:bookmarkStart w:id="136" w:name="_Toc13364"/>
      <w:bookmarkStart w:id="137" w:name="_Toc351203483"/>
      <w:r>
        <w:rPr>
          <w:rFonts w:hint="eastAsia"/>
          <w:color w:val="auto"/>
          <w:sz w:val="21"/>
          <w:szCs w:val="21"/>
        </w:rPr>
        <w:t>三、质量标准</w:t>
      </w:r>
      <w:bookmarkEnd w:id="133"/>
      <w:bookmarkEnd w:id="134"/>
      <w:bookmarkEnd w:id="135"/>
      <w:bookmarkEnd w:id="136"/>
      <w:bookmarkEnd w:id="137"/>
    </w:p>
    <w:p w14:paraId="0308106E">
      <w:pPr>
        <w:spacing w:line="360" w:lineRule="auto"/>
        <w:rPr>
          <w:rFonts w:hint="eastAsia" w:ascii="宋体" w:hAnsi="宋体" w:cs="宋体"/>
          <w:color w:val="auto"/>
          <w:szCs w:val="21"/>
        </w:rPr>
      </w:pPr>
      <w:r>
        <w:rPr>
          <w:rFonts w:hint="eastAsia" w:ascii="宋体" w:hAnsi="宋体" w:cs="宋体"/>
          <w:color w:val="auto"/>
          <w:szCs w:val="21"/>
        </w:rPr>
        <w:t>工程质量符合</w:t>
      </w:r>
      <w:r>
        <w:rPr>
          <w:rFonts w:hint="eastAsia" w:ascii="宋体" w:hAnsi="宋体" w:cs="宋体"/>
          <w:color w:val="auto"/>
          <w:szCs w:val="21"/>
          <w:u w:val="single"/>
        </w:rPr>
        <w:t xml:space="preserve"> 合格 </w:t>
      </w:r>
      <w:r>
        <w:rPr>
          <w:rFonts w:hint="eastAsia" w:ascii="宋体" w:hAnsi="宋体" w:cs="宋体"/>
          <w:color w:val="auto"/>
          <w:szCs w:val="21"/>
        </w:rPr>
        <w:t>标准。</w:t>
      </w:r>
    </w:p>
    <w:p w14:paraId="676B0893">
      <w:pPr>
        <w:pStyle w:val="5"/>
        <w:rPr>
          <w:color w:val="auto"/>
          <w:sz w:val="21"/>
          <w:szCs w:val="21"/>
        </w:rPr>
      </w:pPr>
      <w:bookmarkStart w:id="138" w:name="_Toc9099"/>
      <w:bookmarkStart w:id="139" w:name="_Toc14640"/>
      <w:bookmarkStart w:id="140" w:name="_Toc351203484"/>
      <w:bookmarkStart w:id="141" w:name="_Toc456"/>
      <w:bookmarkStart w:id="142" w:name="_Toc6270"/>
      <w:bookmarkStart w:id="143" w:name="_Toc15850"/>
      <w:r>
        <w:rPr>
          <w:rFonts w:hint="eastAsia"/>
          <w:color w:val="auto"/>
          <w:sz w:val="21"/>
          <w:szCs w:val="21"/>
        </w:rPr>
        <w:t>四、签约合同价与合同价格形式</w:t>
      </w:r>
      <w:bookmarkEnd w:id="138"/>
      <w:bookmarkEnd w:id="139"/>
      <w:bookmarkEnd w:id="140"/>
      <w:bookmarkEnd w:id="141"/>
      <w:bookmarkEnd w:id="142"/>
      <w:bookmarkEnd w:id="143"/>
    </w:p>
    <w:p w14:paraId="1034ED96">
      <w:pPr>
        <w:spacing w:line="360" w:lineRule="auto"/>
        <w:rPr>
          <w:rFonts w:hint="eastAsia" w:ascii="宋体" w:hAnsi="宋体" w:cs="宋体"/>
          <w:color w:val="auto"/>
          <w:szCs w:val="21"/>
        </w:rPr>
      </w:pPr>
      <w:r>
        <w:rPr>
          <w:rFonts w:hint="eastAsia" w:ascii="宋体" w:hAnsi="宋体" w:cs="宋体"/>
          <w:color w:val="auto"/>
          <w:szCs w:val="21"/>
        </w:rPr>
        <w:t>1. 签约合同价为：</w:t>
      </w:r>
    </w:p>
    <w:p w14:paraId="598B5979">
      <w:pPr>
        <w:spacing w:line="360" w:lineRule="auto"/>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51F469D2">
      <w:pPr>
        <w:spacing w:line="360" w:lineRule="auto"/>
        <w:rPr>
          <w:rFonts w:hint="eastAsia" w:ascii="宋体" w:hAnsi="宋体" w:cs="宋体"/>
          <w:color w:val="auto"/>
          <w:szCs w:val="21"/>
        </w:rPr>
      </w:pPr>
      <w:r>
        <w:rPr>
          <w:rFonts w:hint="eastAsia" w:ascii="宋体" w:hAnsi="宋体" w:cs="宋体"/>
          <w:color w:val="auto"/>
          <w:szCs w:val="21"/>
        </w:rPr>
        <w:t>其中：</w:t>
      </w:r>
    </w:p>
    <w:p w14:paraId="288C8897">
      <w:pPr>
        <w:spacing w:line="360" w:lineRule="auto"/>
        <w:rPr>
          <w:rFonts w:hint="eastAsia" w:ascii="宋体" w:hAnsi="宋体" w:cs="宋体"/>
          <w:color w:val="auto"/>
          <w:szCs w:val="21"/>
        </w:rPr>
      </w:pPr>
      <w:r>
        <w:rPr>
          <w:rFonts w:hint="eastAsia" w:ascii="宋体" w:hAnsi="宋体" w:cs="宋体"/>
          <w:color w:val="auto"/>
          <w:szCs w:val="21"/>
        </w:rPr>
        <w:t>（1）安全文明施工费：</w:t>
      </w:r>
    </w:p>
    <w:p w14:paraId="3260C087">
      <w:pPr>
        <w:spacing w:line="360" w:lineRule="auto"/>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44C6D34F">
      <w:pPr>
        <w:spacing w:line="360" w:lineRule="auto"/>
        <w:rPr>
          <w:rFonts w:hint="eastAsia" w:ascii="宋体" w:hAnsi="宋体" w:cs="宋体"/>
          <w:color w:val="auto"/>
          <w:szCs w:val="21"/>
        </w:rPr>
      </w:pPr>
      <w:r>
        <w:rPr>
          <w:rFonts w:hint="eastAsia" w:ascii="宋体" w:hAnsi="宋体" w:cs="宋体"/>
          <w:color w:val="auto"/>
          <w:szCs w:val="21"/>
        </w:rPr>
        <w:t>（2）材料和工程设备暂估价金额：</w:t>
      </w:r>
    </w:p>
    <w:p w14:paraId="1AA5567E">
      <w:pPr>
        <w:spacing w:line="360" w:lineRule="auto"/>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53F3DC9D">
      <w:pPr>
        <w:spacing w:line="360" w:lineRule="auto"/>
        <w:rPr>
          <w:rFonts w:hint="eastAsia" w:ascii="宋体" w:hAnsi="宋体" w:cs="宋体"/>
          <w:color w:val="auto"/>
          <w:szCs w:val="21"/>
        </w:rPr>
      </w:pPr>
      <w:r>
        <w:rPr>
          <w:rFonts w:hint="eastAsia" w:ascii="宋体" w:hAnsi="宋体" w:cs="宋体"/>
          <w:color w:val="auto"/>
          <w:szCs w:val="21"/>
        </w:rPr>
        <w:t>（3）专业工程暂估价金额：</w:t>
      </w:r>
    </w:p>
    <w:p w14:paraId="4D635FC1">
      <w:pPr>
        <w:spacing w:line="360" w:lineRule="auto"/>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785D5E74">
      <w:pPr>
        <w:spacing w:line="360" w:lineRule="auto"/>
        <w:rPr>
          <w:rFonts w:hint="eastAsia" w:ascii="宋体" w:hAnsi="宋体" w:cs="宋体"/>
          <w:color w:val="auto"/>
          <w:szCs w:val="21"/>
        </w:rPr>
      </w:pPr>
      <w:r>
        <w:rPr>
          <w:rFonts w:hint="eastAsia" w:ascii="宋体" w:hAnsi="宋体" w:cs="宋体"/>
          <w:color w:val="auto"/>
          <w:szCs w:val="21"/>
        </w:rPr>
        <w:t>（4）安全生产责任保险费暂估价金额：</w:t>
      </w:r>
    </w:p>
    <w:p w14:paraId="30FD8532">
      <w:pPr>
        <w:spacing w:line="360" w:lineRule="auto"/>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08EBAF27">
      <w:pPr>
        <w:spacing w:line="360" w:lineRule="auto"/>
        <w:rPr>
          <w:rFonts w:hint="eastAsia" w:ascii="宋体" w:hAnsi="宋体" w:cs="宋体"/>
          <w:color w:val="auto"/>
          <w:szCs w:val="21"/>
        </w:rPr>
      </w:pPr>
      <w:r>
        <w:rPr>
          <w:rFonts w:hint="eastAsia" w:ascii="宋体" w:hAnsi="宋体" w:cs="宋体"/>
          <w:color w:val="auto"/>
          <w:szCs w:val="21"/>
        </w:rPr>
        <w:t>（5）暂列金额：</w:t>
      </w:r>
    </w:p>
    <w:p w14:paraId="54AB126E">
      <w:pPr>
        <w:spacing w:line="360" w:lineRule="auto"/>
        <w:rPr>
          <w:rFonts w:hint="eastAsia"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41EEE6B2">
      <w:pPr>
        <w:spacing w:line="360" w:lineRule="auto"/>
        <w:rPr>
          <w:rFonts w:hint="eastAsia" w:ascii="宋体" w:hAnsi="宋体" w:cs="宋体"/>
          <w:color w:val="auto"/>
          <w:szCs w:val="21"/>
        </w:rPr>
      </w:pPr>
      <w:r>
        <w:rPr>
          <w:rFonts w:hint="eastAsia" w:ascii="宋体" w:hAnsi="宋体" w:cs="宋体"/>
          <w:color w:val="auto"/>
          <w:szCs w:val="21"/>
        </w:rPr>
        <w:t>2. 合同价格形式：</w:t>
      </w:r>
      <w:r>
        <w:rPr>
          <w:rFonts w:hint="eastAsia" w:ascii="宋体" w:hAnsi="宋体" w:cs="宋体"/>
          <w:color w:val="auto"/>
          <w:szCs w:val="21"/>
          <w:u w:val="single"/>
        </w:rPr>
        <w:t xml:space="preserve">  固定综合单价 </w:t>
      </w:r>
      <w:r>
        <w:rPr>
          <w:rFonts w:hint="eastAsia" w:ascii="宋体" w:hAnsi="宋体" w:cs="宋体"/>
          <w:color w:val="auto"/>
          <w:szCs w:val="21"/>
        </w:rPr>
        <w:t>。</w:t>
      </w:r>
    </w:p>
    <w:p w14:paraId="05150140">
      <w:pPr>
        <w:pStyle w:val="5"/>
        <w:rPr>
          <w:color w:val="auto"/>
          <w:sz w:val="21"/>
          <w:szCs w:val="21"/>
        </w:rPr>
      </w:pPr>
      <w:bookmarkStart w:id="144" w:name="_Toc351203485"/>
      <w:bookmarkStart w:id="145" w:name="_Toc3999"/>
      <w:bookmarkStart w:id="146" w:name="_Toc13144"/>
      <w:bookmarkStart w:id="147" w:name="_Toc10352"/>
      <w:bookmarkStart w:id="148" w:name="_Toc8436"/>
      <w:bookmarkStart w:id="149" w:name="_Toc29346"/>
      <w:r>
        <w:rPr>
          <w:rFonts w:hint="eastAsia"/>
          <w:color w:val="auto"/>
          <w:sz w:val="21"/>
          <w:szCs w:val="21"/>
        </w:rPr>
        <w:t>五、</w:t>
      </w:r>
      <w:bookmarkEnd w:id="144"/>
      <w:r>
        <w:rPr>
          <w:rFonts w:hint="eastAsia"/>
          <w:color w:val="auto"/>
          <w:sz w:val="21"/>
          <w:szCs w:val="21"/>
        </w:rPr>
        <w:t>项目经理</w:t>
      </w:r>
      <w:bookmarkEnd w:id="145"/>
      <w:bookmarkEnd w:id="146"/>
      <w:bookmarkEnd w:id="147"/>
      <w:bookmarkEnd w:id="148"/>
      <w:bookmarkEnd w:id="149"/>
    </w:p>
    <w:p w14:paraId="11DDABC6">
      <w:pPr>
        <w:spacing w:line="360" w:lineRule="auto"/>
        <w:rPr>
          <w:rFonts w:hint="eastAsia" w:ascii="宋体" w:hAnsi="宋体" w:cs="宋体"/>
          <w:color w:val="auto"/>
          <w:szCs w:val="21"/>
        </w:rPr>
      </w:pPr>
      <w:r>
        <w:rPr>
          <w:rFonts w:hint="eastAsia" w:ascii="宋体" w:hAnsi="宋体" w:cs="宋体"/>
          <w:color w:val="auto"/>
          <w:szCs w:val="21"/>
        </w:rPr>
        <w:t>承包人项目经理（即责任工程师，下同）：</w:t>
      </w:r>
      <w:r>
        <w:rPr>
          <w:rFonts w:hint="eastAsia" w:ascii="宋体" w:hAnsi="宋体" w:cs="宋体"/>
          <w:color w:val="auto"/>
          <w:szCs w:val="21"/>
          <w:u w:val="single"/>
        </w:rPr>
        <w:t xml:space="preserve">             </w:t>
      </w:r>
      <w:r>
        <w:rPr>
          <w:rFonts w:hint="eastAsia" w:ascii="宋体" w:hAnsi="宋体" w:cs="宋体"/>
          <w:color w:val="auto"/>
          <w:szCs w:val="21"/>
        </w:rPr>
        <w:t>。</w:t>
      </w:r>
    </w:p>
    <w:p w14:paraId="00139543">
      <w:pPr>
        <w:pStyle w:val="5"/>
        <w:rPr>
          <w:color w:val="auto"/>
          <w:sz w:val="21"/>
          <w:szCs w:val="21"/>
        </w:rPr>
      </w:pPr>
      <w:bookmarkStart w:id="150" w:name="_Toc5625"/>
      <w:bookmarkStart w:id="151" w:name="_Toc22917"/>
      <w:bookmarkStart w:id="152" w:name="_Toc18013"/>
      <w:bookmarkStart w:id="153" w:name="_Toc351203486"/>
      <w:bookmarkStart w:id="154" w:name="_Toc14918"/>
      <w:bookmarkStart w:id="155" w:name="_Toc14646"/>
      <w:r>
        <w:rPr>
          <w:rFonts w:hint="eastAsia"/>
          <w:color w:val="auto"/>
          <w:sz w:val="21"/>
          <w:szCs w:val="21"/>
        </w:rPr>
        <w:t>六、合同文件构成</w:t>
      </w:r>
      <w:bookmarkEnd w:id="150"/>
      <w:bookmarkEnd w:id="151"/>
      <w:bookmarkEnd w:id="152"/>
      <w:bookmarkEnd w:id="153"/>
      <w:bookmarkEnd w:id="154"/>
      <w:bookmarkEnd w:id="155"/>
    </w:p>
    <w:p w14:paraId="0A51E603">
      <w:pPr>
        <w:spacing w:line="360" w:lineRule="auto"/>
        <w:rPr>
          <w:rFonts w:hint="eastAsia" w:ascii="宋体" w:hAnsi="宋体" w:cs="宋体"/>
          <w:color w:val="auto"/>
          <w:szCs w:val="21"/>
        </w:rPr>
      </w:pPr>
      <w:r>
        <w:rPr>
          <w:rFonts w:hint="eastAsia" w:ascii="宋体" w:hAnsi="宋体" w:cs="宋体"/>
          <w:color w:val="auto"/>
          <w:szCs w:val="21"/>
        </w:rPr>
        <w:t>本协议书与下列文件一起构成合同文件：</w:t>
      </w:r>
    </w:p>
    <w:p w14:paraId="02F1BD30">
      <w:pPr>
        <w:autoSpaceDE w:val="0"/>
        <w:autoSpaceDN w:val="0"/>
        <w:spacing w:line="360" w:lineRule="auto"/>
        <w:jc w:val="left"/>
        <w:rPr>
          <w:rFonts w:hint="eastAsia" w:ascii="宋体" w:hAnsi="宋体" w:cs="宋体"/>
          <w:color w:val="auto"/>
          <w:szCs w:val="21"/>
        </w:rPr>
      </w:pPr>
      <w:r>
        <w:rPr>
          <w:rFonts w:hint="eastAsia" w:ascii="宋体" w:hAnsi="宋体" w:cs="宋体"/>
          <w:color w:val="auto"/>
          <w:szCs w:val="21"/>
        </w:rPr>
        <w:t>（1）成交通知书（如有）；</w:t>
      </w:r>
    </w:p>
    <w:p w14:paraId="0EF38F22">
      <w:pPr>
        <w:autoSpaceDE w:val="0"/>
        <w:autoSpaceDN w:val="0"/>
        <w:spacing w:line="360" w:lineRule="auto"/>
        <w:jc w:val="left"/>
        <w:rPr>
          <w:rFonts w:hint="eastAsia" w:ascii="宋体" w:hAnsi="宋体" w:cs="宋体"/>
          <w:color w:val="auto"/>
          <w:szCs w:val="21"/>
        </w:rPr>
      </w:pPr>
      <w:r>
        <w:rPr>
          <w:rFonts w:hint="eastAsia" w:ascii="宋体" w:hAnsi="宋体" w:cs="宋体"/>
          <w:color w:val="auto"/>
          <w:szCs w:val="21"/>
        </w:rPr>
        <w:t xml:space="preserve">（2）竞标函及其附录（如有）； </w:t>
      </w:r>
    </w:p>
    <w:p w14:paraId="30C6D195">
      <w:pPr>
        <w:autoSpaceDE w:val="0"/>
        <w:autoSpaceDN w:val="0"/>
        <w:spacing w:line="360" w:lineRule="auto"/>
        <w:jc w:val="left"/>
        <w:rPr>
          <w:rFonts w:hint="eastAsia" w:ascii="宋体" w:hAnsi="宋体" w:cs="宋体"/>
          <w:color w:val="auto"/>
          <w:szCs w:val="21"/>
        </w:rPr>
      </w:pPr>
      <w:r>
        <w:rPr>
          <w:rFonts w:hint="eastAsia" w:ascii="宋体" w:hAnsi="宋体" w:cs="宋体"/>
          <w:color w:val="auto"/>
          <w:szCs w:val="21"/>
        </w:rPr>
        <w:t>（3）专用合同条款及其附件；</w:t>
      </w:r>
    </w:p>
    <w:p w14:paraId="56630B53">
      <w:pPr>
        <w:autoSpaceDE w:val="0"/>
        <w:autoSpaceDN w:val="0"/>
        <w:spacing w:line="360" w:lineRule="auto"/>
        <w:jc w:val="left"/>
        <w:rPr>
          <w:rFonts w:hint="eastAsia" w:ascii="宋体" w:hAnsi="宋体" w:cs="宋体"/>
          <w:color w:val="auto"/>
          <w:szCs w:val="21"/>
        </w:rPr>
      </w:pPr>
      <w:r>
        <w:rPr>
          <w:rFonts w:hint="eastAsia" w:ascii="宋体" w:hAnsi="宋体" w:cs="宋体"/>
          <w:color w:val="auto"/>
          <w:szCs w:val="21"/>
        </w:rPr>
        <w:t>（4）通用合同条款；</w:t>
      </w:r>
    </w:p>
    <w:p w14:paraId="30B660BF">
      <w:pPr>
        <w:autoSpaceDE w:val="0"/>
        <w:autoSpaceDN w:val="0"/>
        <w:spacing w:line="360" w:lineRule="auto"/>
        <w:jc w:val="left"/>
        <w:rPr>
          <w:rFonts w:hint="eastAsia" w:ascii="宋体" w:hAnsi="宋体" w:cs="宋体"/>
          <w:color w:val="auto"/>
          <w:szCs w:val="21"/>
        </w:rPr>
      </w:pPr>
      <w:r>
        <w:rPr>
          <w:rFonts w:hint="eastAsia" w:ascii="宋体" w:hAnsi="宋体" w:cs="宋体"/>
          <w:color w:val="auto"/>
          <w:szCs w:val="21"/>
        </w:rPr>
        <w:t>（5）竞争性谈判文件及其更改通知、澄清附件；</w:t>
      </w:r>
    </w:p>
    <w:p w14:paraId="5FAA40F3">
      <w:pPr>
        <w:autoSpaceDE w:val="0"/>
        <w:autoSpaceDN w:val="0"/>
        <w:spacing w:line="360" w:lineRule="auto"/>
        <w:jc w:val="left"/>
        <w:rPr>
          <w:rFonts w:hint="eastAsia" w:ascii="宋体" w:hAnsi="宋体" w:cs="宋体"/>
          <w:color w:val="auto"/>
          <w:szCs w:val="21"/>
        </w:rPr>
      </w:pPr>
      <w:r>
        <w:rPr>
          <w:rFonts w:hint="eastAsia" w:ascii="宋体" w:hAnsi="宋体" w:cs="宋体"/>
          <w:color w:val="auto"/>
          <w:szCs w:val="21"/>
        </w:rPr>
        <w:t>（6）工程报告单及工程量清单；</w:t>
      </w:r>
    </w:p>
    <w:p w14:paraId="218A81A5">
      <w:pPr>
        <w:autoSpaceDE w:val="0"/>
        <w:autoSpaceDN w:val="0"/>
        <w:spacing w:line="360" w:lineRule="auto"/>
        <w:jc w:val="left"/>
        <w:rPr>
          <w:rFonts w:hint="eastAsia" w:ascii="宋体" w:hAnsi="宋体" w:cs="宋体"/>
          <w:color w:val="auto"/>
          <w:szCs w:val="21"/>
        </w:rPr>
      </w:pPr>
      <w:r>
        <w:rPr>
          <w:rFonts w:hint="eastAsia" w:ascii="宋体" w:hAnsi="宋体" w:cs="宋体"/>
          <w:color w:val="auto"/>
          <w:szCs w:val="21"/>
        </w:rPr>
        <w:t>（7）图纸会审记录、施工组织设计及施工方案、设计变更、发包人通知及指令、现场签证、工程技术联系单、发承包人确认的相关文件资料等有关工程洽商、变更等书面协议；</w:t>
      </w:r>
    </w:p>
    <w:p w14:paraId="599C68D6">
      <w:pPr>
        <w:autoSpaceDE w:val="0"/>
        <w:autoSpaceDN w:val="0"/>
        <w:spacing w:line="360" w:lineRule="auto"/>
        <w:jc w:val="left"/>
        <w:rPr>
          <w:rFonts w:hint="eastAsia" w:ascii="宋体" w:hAnsi="宋体" w:cs="宋体"/>
          <w:color w:val="auto"/>
          <w:szCs w:val="21"/>
        </w:rPr>
      </w:pPr>
      <w:r>
        <w:rPr>
          <w:rFonts w:hint="eastAsia" w:ascii="宋体" w:hAnsi="宋体" w:cs="宋体"/>
          <w:color w:val="auto"/>
          <w:szCs w:val="21"/>
        </w:rPr>
        <w:t>（8）其他合同文件：</w:t>
      </w:r>
    </w:p>
    <w:p w14:paraId="606EC809">
      <w:pPr>
        <w:autoSpaceDE w:val="0"/>
        <w:autoSpaceDN w:val="0"/>
        <w:spacing w:line="360" w:lineRule="auto"/>
        <w:jc w:val="left"/>
        <w:rPr>
          <w:rFonts w:hint="eastAsia"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14FCE97F">
      <w:pPr>
        <w:pStyle w:val="5"/>
        <w:rPr>
          <w:color w:val="auto"/>
          <w:sz w:val="21"/>
          <w:szCs w:val="21"/>
        </w:rPr>
      </w:pPr>
      <w:bookmarkStart w:id="156" w:name="_Toc24512"/>
      <w:bookmarkStart w:id="157" w:name="_Toc167"/>
      <w:bookmarkStart w:id="158" w:name="_Toc12292"/>
      <w:bookmarkStart w:id="159" w:name="_Toc8176"/>
      <w:bookmarkStart w:id="160" w:name="_Toc29487"/>
      <w:bookmarkStart w:id="161" w:name="_Toc351203487"/>
      <w:r>
        <w:rPr>
          <w:rFonts w:hint="eastAsia"/>
          <w:color w:val="auto"/>
          <w:sz w:val="21"/>
          <w:szCs w:val="21"/>
        </w:rPr>
        <w:t>七、承诺</w:t>
      </w:r>
      <w:bookmarkEnd w:id="156"/>
      <w:bookmarkEnd w:id="157"/>
      <w:bookmarkEnd w:id="158"/>
      <w:bookmarkEnd w:id="159"/>
      <w:bookmarkEnd w:id="160"/>
      <w:bookmarkEnd w:id="161"/>
    </w:p>
    <w:p w14:paraId="45967A03">
      <w:pPr>
        <w:spacing w:line="360" w:lineRule="auto"/>
        <w:rPr>
          <w:rFonts w:hint="eastAsia" w:ascii="宋体" w:hAnsi="宋体" w:cs="宋体"/>
          <w:color w:val="auto"/>
          <w:szCs w:val="21"/>
        </w:rPr>
      </w:pPr>
      <w:r>
        <w:rPr>
          <w:rFonts w:hint="eastAsia" w:ascii="宋体" w:hAnsi="宋体" w:cs="宋体"/>
          <w:color w:val="auto"/>
          <w:szCs w:val="21"/>
        </w:rPr>
        <w:t>1. 发包人承诺按照法律规定履行项目审批手续、筹集工程建设资金并按照合同约定的期限和方式支付合同价款。</w:t>
      </w:r>
    </w:p>
    <w:p w14:paraId="38D3ACDE">
      <w:pPr>
        <w:spacing w:line="360" w:lineRule="auto"/>
        <w:rPr>
          <w:rFonts w:hint="eastAsia" w:ascii="宋体" w:hAnsi="宋体" w:cs="宋体"/>
          <w:color w:val="auto"/>
          <w:szCs w:val="21"/>
        </w:rPr>
      </w:pPr>
      <w:r>
        <w:rPr>
          <w:rFonts w:hint="eastAsia" w:ascii="宋体" w:hAnsi="宋体" w:cs="宋体"/>
          <w:color w:val="auto"/>
          <w:szCs w:val="21"/>
        </w:rPr>
        <w:t>2. 承包人承诺按照法律规定及合同约定组织完成工程施工，确保工程质量和安全，不进行转包及违法分包，并在缺陷责任期及保修期内承担相应的工程维修责任。</w:t>
      </w:r>
    </w:p>
    <w:p w14:paraId="2B9B8A14">
      <w:pPr>
        <w:spacing w:line="360" w:lineRule="auto"/>
        <w:rPr>
          <w:rFonts w:hint="eastAsia" w:ascii="宋体" w:hAnsi="宋体" w:cs="宋体"/>
          <w:color w:val="auto"/>
          <w:szCs w:val="21"/>
        </w:rPr>
      </w:pPr>
      <w:r>
        <w:rPr>
          <w:rFonts w:hint="eastAsia" w:ascii="宋体" w:hAnsi="宋体" w:cs="宋体"/>
          <w:color w:val="auto"/>
          <w:szCs w:val="21"/>
        </w:rPr>
        <w:t>3. 发包人和承包人通过招投标形式签订合同的，双方理解并承诺不再就同一工程另行签订与合同实质性内容相背离的协议。</w:t>
      </w:r>
      <w:bookmarkStart w:id="162" w:name="_Toc351203488"/>
    </w:p>
    <w:p w14:paraId="090CFB68">
      <w:pPr>
        <w:pStyle w:val="5"/>
        <w:rPr>
          <w:color w:val="auto"/>
          <w:sz w:val="21"/>
          <w:szCs w:val="21"/>
        </w:rPr>
      </w:pPr>
      <w:bookmarkStart w:id="163" w:name="_Toc8878"/>
      <w:bookmarkStart w:id="164" w:name="_Toc27966"/>
      <w:bookmarkStart w:id="165" w:name="_Toc22301"/>
      <w:bookmarkStart w:id="166" w:name="_Toc23938"/>
      <w:bookmarkStart w:id="167" w:name="_Toc31314"/>
      <w:r>
        <w:rPr>
          <w:rFonts w:hint="eastAsia"/>
          <w:color w:val="auto"/>
          <w:sz w:val="21"/>
          <w:szCs w:val="21"/>
        </w:rPr>
        <w:t>八、词语含义</w:t>
      </w:r>
      <w:bookmarkEnd w:id="162"/>
      <w:bookmarkEnd w:id="163"/>
      <w:bookmarkEnd w:id="164"/>
      <w:bookmarkEnd w:id="165"/>
      <w:bookmarkEnd w:id="166"/>
      <w:bookmarkEnd w:id="167"/>
    </w:p>
    <w:p w14:paraId="52158BF6">
      <w:pPr>
        <w:spacing w:line="360" w:lineRule="auto"/>
        <w:rPr>
          <w:rFonts w:hint="eastAsia" w:ascii="宋体" w:hAnsi="宋体" w:cs="宋体"/>
          <w:color w:val="auto"/>
          <w:szCs w:val="21"/>
        </w:rPr>
      </w:pPr>
      <w:r>
        <w:rPr>
          <w:rFonts w:hint="eastAsia" w:ascii="宋体" w:hAnsi="宋体" w:cs="宋体"/>
          <w:color w:val="auto"/>
          <w:szCs w:val="21"/>
        </w:rPr>
        <w:t>本协议书中词语含义与第二部分通用合同条款中赋予的含义相同。</w:t>
      </w:r>
    </w:p>
    <w:p w14:paraId="1FA74BA3">
      <w:pPr>
        <w:pStyle w:val="5"/>
        <w:rPr>
          <w:color w:val="auto"/>
          <w:sz w:val="21"/>
          <w:szCs w:val="21"/>
        </w:rPr>
      </w:pPr>
      <w:bookmarkStart w:id="168" w:name="_Toc29292"/>
      <w:bookmarkStart w:id="169" w:name="_Toc14080"/>
      <w:bookmarkStart w:id="170" w:name="_Toc1252"/>
      <w:bookmarkStart w:id="171" w:name="_Toc24379"/>
      <w:bookmarkStart w:id="172" w:name="_Toc351203489"/>
      <w:bookmarkStart w:id="173" w:name="_Toc8331"/>
      <w:r>
        <w:rPr>
          <w:rFonts w:hint="eastAsia"/>
          <w:color w:val="auto"/>
          <w:sz w:val="21"/>
          <w:szCs w:val="21"/>
        </w:rPr>
        <w:t>九、签订时间</w:t>
      </w:r>
      <w:bookmarkEnd w:id="168"/>
      <w:bookmarkEnd w:id="169"/>
      <w:bookmarkEnd w:id="170"/>
      <w:bookmarkEnd w:id="171"/>
      <w:bookmarkEnd w:id="172"/>
      <w:bookmarkEnd w:id="173"/>
    </w:p>
    <w:p w14:paraId="700D7BF0">
      <w:pPr>
        <w:spacing w:line="360" w:lineRule="auto"/>
        <w:rPr>
          <w:rFonts w:hint="eastAsia" w:ascii="宋体" w:hAnsi="宋体" w:cs="宋体"/>
          <w:color w:val="auto"/>
          <w:szCs w:val="21"/>
        </w:rPr>
      </w:pPr>
      <w:r>
        <w:rPr>
          <w:rFonts w:hint="eastAsia" w:ascii="宋体" w:hAnsi="宋体" w:cs="宋体"/>
          <w:color w:val="auto"/>
          <w:szCs w:val="21"/>
        </w:rPr>
        <w:t>本合同于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日签订。</w:t>
      </w:r>
    </w:p>
    <w:p w14:paraId="50588A37">
      <w:pPr>
        <w:pStyle w:val="5"/>
        <w:rPr>
          <w:color w:val="auto"/>
          <w:sz w:val="21"/>
          <w:szCs w:val="21"/>
        </w:rPr>
      </w:pPr>
      <w:bookmarkStart w:id="174" w:name="_Toc7053"/>
      <w:bookmarkStart w:id="175" w:name="_Toc26891"/>
      <w:bookmarkStart w:id="176" w:name="_Toc16643"/>
      <w:bookmarkStart w:id="177" w:name="_Toc351203490"/>
      <w:bookmarkStart w:id="178" w:name="_Toc7913"/>
      <w:bookmarkStart w:id="179" w:name="_Toc23430"/>
      <w:r>
        <w:rPr>
          <w:rFonts w:hint="eastAsia"/>
          <w:color w:val="auto"/>
          <w:sz w:val="21"/>
          <w:szCs w:val="21"/>
        </w:rPr>
        <w:t>十、签订地点</w:t>
      </w:r>
      <w:bookmarkEnd w:id="174"/>
      <w:bookmarkEnd w:id="175"/>
      <w:bookmarkEnd w:id="176"/>
      <w:bookmarkEnd w:id="177"/>
      <w:bookmarkEnd w:id="178"/>
      <w:bookmarkEnd w:id="179"/>
    </w:p>
    <w:p w14:paraId="6FBB4CB3">
      <w:pPr>
        <w:spacing w:line="360" w:lineRule="auto"/>
        <w:rPr>
          <w:rFonts w:hint="eastAsia" w:ascii="宋体" w:hAnsi="宋体" w:cs="宋体"/>
          <w:color w:val="auto"/>
          <w:szCs w:val="21"/>
        </w:rPr>
      </w:pPr>
      <w:r>
        <w:rPr>
          <w:rFonts w:hint="eastAsia" w:ascii="宋体" w:hAnsi="宋体" w:cs="宋体"/>
          <w:color w:val="auto"/>
          <w:szCs w:val="21"/>
        </w:rPr>
        <w:t>本合同在</w:t>
      </w:r>
      <w:r>
        <w:rPr>
          <w:rFonts w:hint="eastAsia" w:ascii="宋体" w:hAnsi="宋体" w:cs="宋体"/>
          <w:color w:val="auto"/>
          <w:szCs w:val="21"/>
          <w:u w:val="single"/>
        </w:rPr>
        <w:t xml:space="preserve">     桂林象山区       </w:t>
      </w:r>
      <w:r>
        <w:rPr>
          <w:rFonts w:hint="eastAsia" w:ascii="宋体" w:hAnsi="宋体" w:cs="宋体"/>
          <w:color w:val="auto"/>
          <w:szCs w:val="21"/>
        </w:rPr>
        <w:t>签订。</w:t>
      </w:r>
    </w:p>
    <w:p w14:paraId="7F7A5E5E">
      <w:pPr>
        <w:pStyle w:val="5"/>
        <w:rPr>
          <w:color w:val="auto"/>
          <w:sz w:val="21"/>
          <w:szCs w:val="21"/>
        </w:rPr>
      </w:pPr>
      <w:bookmarkStart w:id="180" w:name="_Toc32384"/>
      <w:bookmarkStart w:id="181" w:name="_Toc16275"/>
      <w:bookmarkStart w:id="182" w:name="_Toc351203491"/>
      <w:bookmarkStart w:id="183" w:name="_Toc10308"/>
      <w:bookmarkStart w:id="184" w:name="_Toc13900"/>
      <w:bookmarkStart w:id="185" w:name="_Toc9492"/>
      <w:r>
        <w:rPr>
          <w:rFonts w:hint="eastAsia"/>
          <w:color w:val="auto"/>
          <w:sz w:val="21"/>
          <w:szCs w:val="21"/>
        </w:rPr>
        <w:t>十一、补充协议</w:t>
      </w:r>
      <w:bookmarkEnd w:id="180"/>
      <w:bookmarkEnd w:id="181"/>
      <w:bookmarkEnd w:id="182"/>
      <w:bookmarkEnd w:id="183"/>
      <w:bookmarkEnd w:id="184"/>
      <w:bookmarkEnd w:id="185"/>
    </w:p>
    <w:p w14:paraId="1483395B">
      <w:pPr>
        <w:spacing w:line="360" w:lineRule="auto"/>
        <w:rPr>
          <w:rFonts w:hint="eastAsia" w:ascii="宋体" w:hAnsi="宋体" w:cs="宋体"/>
          <w:color w:val="auto"/>
          <w:szCs w:val="21"/>
        </w:rPr>
      </w:pPr>
      <w:r>
        <w:rPr>
          <w:rFonts w:hint="eastAsia" w:ascii="宋体" w:hAnsi="宋体" w:cs="宋体"/>
          <w:color w:val="auto"/>
          <w:szCs w:val="21"/>
        </w:rPr>
        <w:t>合同未尽事宜，合同当事人另行签订补充协议，补充协议是合同的组成部分。</w:t>
      </w:r>
    </w:p>
    <w:p w14:paraId="093C1F9E">
      <w:pPr>
        <w:pStyle w:val="5"/>
        <w:rPr>
          <w:color w:val="auto"/>
          <w:sz w:val="21"/>
          <w:szCs w:val="21"/>
        </w:rPr>
      </w:pPr>
      <w:bookmarkStart w:id="186" w:name="_Toc1117"/>
      <w:bookmarkStart w:id="187" w:name="_Toc11644"/>
      <w:bookmarkStart w:id="188" w:name="_Toc2291"/>
      <w:bookmarkStart w:id="189" w:name="_Toc27083"/>
      <w:bookmarkStart w:id="190" w:name="_Toc351203492"/>
      <w:bookmarkStart w:id="191" w:name="_Toc11827"/>
      <w:r>
        <w:rPr>
          <w:rFonts w:hint="eastAsia"/>
          <w:color w:val="auto"/>
          <w:sz w:val="21"/>
          <w:szCs w:val="21"/>
        </w:rPr>
        <w:t>十二、合同生效</w:t>
      </w:r>
      <w:bookmarkEnd w:id="186"/>
      <w:bookmarkEnd w:id="187"/>
      <w:bookmarkEnd w:id="188"/>
      <w:bookmarkEnd w:id="189"/>
      <w:bookmarkEnd w:id="190"/>
      <w:bookmarkEnd w:id="191"/>
    </w:p>
    <w:p w14:paraId="6295B5C8">
      <w:pPr>
        <w:spacing w:line="360" w:lineRule="auto"/>
        <w:rPr>
          <w:rFonts w:hint="eastAsia" w:ascii="宋体" w:hAnsi="宋体" w:cs="宋体"/>
          <w:color w:val="auto"/>
          <w:szCs w:val="21"/>
        </w:rPr>
      </w:pPr>
      <w:bookmarkStart w:id="192" w:name="_Toc351203493"/>
      <w:r>
        <w:rPr>
          <w:rFonts w:hint="eastAsia" w:ascii="宋体" w:hAnsi="宋体" w:cs="宋体"/>
          <w:color w:val="auto"/>
          <w:szCs w:val="21"/>
        </w:rPr>
        <w:t>本合同自</w:t>
      </w:r>
      <w:r>
        <w:rPr>
          <w:rFonts w:hint="eastAsia" w:ascii="宋体" w:hAnsi="宋体" w:cs="宋体"/>
          <w:color w:val="auto"/>
          <w:szCs w:val="21"/>
          <w:u w:val="single"/>
        </w:rPr>
        <w:t xml:space="preserve"> 各方法定代表人或委托代理人签字并加盖单位公章后立即 </w:t>
      </w:r>
      <w:r>
        <w:rPr>
          <w:rFonts w:hint="eastAsia" w:ascii="宋体" w:hAnsi="宋体" w:cs="宋体"/>
          <w:color w:val="auto"/>
          <w:szCs w:val="21"/>
        </w:rPr>
        <w:t>生效。</w:t>
      </w:r>
    </w:p>
    <w:p w14:paraId="246B9B24">
      <w:pPr>
        <w:pStyle w:val="5"/>
        <w:rPr>
          <w:color w:val="auto"/>
          <w:sz w:val="21"/>
          <w:szCs w:val="21"/>
        </w:rPr>
      </w:pPr>
      <w:bookmarkStart w:id="193" w:name="_Toc15548"/>
      <w:bookmarkStart w:id="194" w:name="_Toc23855"/>
      <w:bookmarkStart w:id="195" w:name="_Toc19738"/>
      <w:bookmarkStart w:id="196" w:name="_Toc1236"/>
      <w:bookmarkStart w:id="197" w:name="_Toc31577"/>
      <w:r>
        <w:rPr>
          <w:rFonts w:hint="eastAsia"/>
          <w:color w:val="auto"/>
          <w:sz w:val="21"/>
          <w:szCs w:val="21"/>
        </w:rPr>
        <w:t>十三、合同份数</w:t>
      </w:r>
      <w:bookmarkEnd w:id="192"/>
      <w:bookmarkEnd w:id="193"/>
      <w:bookmarkEnd w:id="194"/>
      <w:bookmarkEnd w:id="195"/>
      <w:bookmarkEnd w:id="196"/>
      <w:bookmarkEnd w:id="197"/>
    </w:p>
    <w:p w14:paraId="4F2B739E">
      <w:pPr>
        <w:spacing w:line="360" w:lineRule="auto"/>
        <w:rPr>
          <w:rFonts w:hint="eastAsia" w:ascii="宋体" w:hAnsi="宋体" w:cs="宋体"/>
          <w:color w:val="auto"/>
          <w:szCs w:val="21"/>
        </w:rPr>
      </w:pPr>
      <w:r>
        <w:rPr>
          <w:rFonts w:hint="eastAsia" w:ascii="宋体" w:hAnsi="宋体" w:cs="宋体"/>
          <w:color w:val="auto"/>
          <w:szCs w:val="21"/>
        </w:rPr>
        <w:t>本合同一式</w:t>
      </w:r>
      <w:r>
        <w:rPr>
          <w:rFonts w:hint="eastAsia" w:ascii="宋体" w:hAnsi="宋体" w:cs="宋体"/>
          <w:color w:val="auto"/>
          <w:szCs w:val="21"/>
          <w:u w:val="single"/>
        </w:rPr>
        <w:t xml:space="preserve"> 捌 </w:t>
      </w:r>
      <w:r>
        <w:rPr>
          <w:rFonts w:hint="eastAsia" w:ascii="宋体" w:hAnsi="宋体" w:cs="宋体"/>
          <w:color w:val="auto"/>
          <w:szCs w:val="21"/>
        </w:rPr>
        <w:t>份，均具有同等法律效力，发包人执</w:t>
      </w:r>
      <w:r>
        <w:rPr>
          <w:rFonts w:hint="eastAsia" w:ascii="宋体" w:hAnsi="宋体" w:cs="宋体"/>
          <w:color w:val="auto"/>
          <w:szCs w:val="21"/>
          <w:u w:val="single"/>
        </w:rPr>
        <w:t xml:space="preserve"> 肆 </w:t>
      </w:r>
      <w:r>
        <w:rPr>
          <w:rFonts w:hint="eastAsia" w:ascii="宋体" w:hAnsi="宋体" w:cs="宋体"/>
          <w:color w:val="auto"/>
          <w:szCs w:val="21"/>
        </w:rPr>
        <w:t>份，承包人执</w:t>
      </w:r>
      <w:r>
        <w:rPr>
          <w:rFonts w:hint="eastAsia" w:ascii="宋体" w:hAnsi="宋体" w:cs="宋体"/>
          <w:color w:val="auto"/>
          <w:szCs w:val="21"/>
          <w:u w:val="single"/>
        </w:rPr>
        <w:t xml:space="preserve"> 肆 </w:t>
      </w:r>
      <w:r>
        <w:rPr>
          <w:rFonts w:hint="eastAsia" w:ascii="宋体" w:hAnsi="宋体" w:cs="宋体"/>
          <w:color w:val="auto"/>
          <w:szCs w:val="21"/>
        </w:rPr>
        <w:t>份。</w:t>
      </w:r>
    </w:p>
    <w:p w14:paraId="50FF4F70">
      <w:pPr>
        <w:spacing w:line="360" w:lineRule="auto"/>
        <w:rPr>
          <w:rFonts w:hint="eastAsia" w:ascii="宋体" w:hAnsi="宋体" w:cs="宋体"/>
          <w:color w:val="auto"/>
          <w:szCs w:val="21"/>
        </w:rPr>
      </w:pPr>
    </w:p>
    <w:p w14:paraId="6D9749C3">
      <w:pPr>
        <w:spacing w:line="360" w:lineRule="auto"/>
        <w:rPr>
          <w:rFonts w:hint="eastAsia" w:ascii="宋体" w:hAnsi="宋体" w:cs="宋体"/>
          <w:color w:val="auto"/>
          <w:szCs w:val="21"/>
        </w:rPr>
      </w:pPr>
      <w:r>
        <w:rPr>
          <w:rFonts w:hint="eastAsia" w:ascii="宋体" w:hAnsi="宋体" w:cs="宋体"/>
          <w:color w:val="auto"/>
          <w:szCs w:val="21"/>
        </w:rPr>
        <w:t>发包人：广西壮族自治区南溪山医院      承包人：  （公章）</w:t>
      </w:r>
    </w:p>
    <w:p w14:paraId="5FF5A204">
      <w:pPr>
        <w:spacing w:line="360" w:lineRule="auto"/>
        <w:rPr>
          <w:rFonts w:hint="eastAsia" w:ascii="宋体" w:hAnsi="宋体" w:cs="宋体"/>
          <w:color w:val="auto"/>
          <w:szCs w:val="21"/>
          <w:u w:val="single"/>
        </w:rPr>
      </w:pPr>
      <w:r>
        <w:rPr>
          <w:rFonts w:hint="eastAsia" w:ascii="宋体" w:hAnsi="宋体" w:cs="宋体"/>
          <w:color w:val="auto"/>
          <w:spacing w:val="-11"/>
          <w:szCs w:val="21"/>
        </w:rPr>
        <w:t>（广西壮族自治区第二人民医院）（公章）</w:t>
      </w:r>
      <w:r>
        <w:rPr>
          <w:rFonts w:hint="eastAsia" w:ascii="宋体" w:hAnsi="宋体" w:cs="宋体"/>
          <w:color w:val="auto"/>
          <w:szCs w:val="21"/>
        </w:rPr>
        <w:t xml:space="preserve">                          </w:t>
      </w:r>
    </w:p>
    <w:p w14:paraId="6D556E1C">
      <w:pPr>
        <w:spacing w:line="360" w:lineRule="auto"/>
        <w:rPr>
          <w:rFonts w:hint="eastAsia" w:ascii="宋体" w:hAnsi="宋体" w:cs="宋体"/>
          <w:color w:val="auto"/>
          <w:szCs w:val="21"/>
        </w:rPr>
      </w:pPr>
      <w:r>
        <w:rPr>
          <w:rFonts w:hint="eastAsia" w:ascii="宋体" w:hAnsi="宋体" w:cs="宋体"/>
          <w:color w:val="auto"/>
          <w:szCs w:val="21"/>
        </w:rPr>
        <w:t>法定代表人或其委托代理人：       法定代表人或其委托代理人：</w:t>
      </w:r>
    </w:p>
    <w:p w14:paraId="016E0F47">
      <w:pPr>
        <w:spacing w:line="360" w:lineRule="auto"/>
        <w:rPr>
          <w:rFonts w:hint="eastAsia" w:ascii="宋体" w:hAnsi="宋体" w:cs="宋体"/>
          <w:color w:val="auto"/>
          <w:szCs w:val="21"/>
        </w:rPr>
      </w:pPr>
      <w:r>
        <w:rPr>
          <w:rFonts w:hint="eastAsia" w:ascii="宋体" w:hAnsi="宋体" w:cs="宋体"/>
          <w:color w:val="auto"/>
          <w:szCs w:val="21"/>
        </w:rPr>
        <w:t>（签字或盖章）                    （签字或盖章）</w:t>
      </w:r>
    </w:p>
    <w:p w14:paraId="764CC7DE">
      <w:pPr>
        <w:spacing w:line="360" w:lineRule="auto"/>
        <w:rPr>
          <w:rFonts w:hint="eastAsia" w:ascii="宋体" w:hAnsi="宋体" w:cs="宋体"/>
          <w:color w:val="auto"/>
          <w:szCs w:val="21"/>
          <w:u w:val="single"/>
        </w:rPr>
      </w:pPr>
    </w:p>
    <w:p w14:paraId="7A9C8EE0">
      <w:pPr>
        <w:tabs>
          <w:tab w:val="left" w:pos="4410"/>
        </w:tabs>
        <w:spacing w:line="360" w:lineRule="auto"/>
        <w:rPr>
          <w:rFonts w:hint="eastAsia" w:ascii="宋体" w:hAnsi="宋体" w:cs="宋体"/>
          <w:color w:val="auto"/>
          <w:szCs w:val="21"/>
        </w:rPr>
      </w:pPr>
      <w:r>
        <w:rPr>
          <w:rFonts w:hint="eastAsia" w:ascii="宋体" w:hAnsi="宋体" w:cs="宋体"/>
          <w:color w:val="auto"/>
          <w:szCs w:val="21"/>
        </w:rPr>
        <w:t>统一社会信用代码：</w:t>
      </w:r>
      <w:r>
        <w:rPr>
          <w:rFonts w:hint="eastAsia" w:ascii="宋体" w:hAnsi="宋体" w:cs="宋体"/>
          <w:color w:val="auto"/>
          <w:szCs w:val="21"/>
          <w:u w:val="single"/>
        </w:rPr>
        <w:t xml:space="preserve">           </w:t>
      </w:r>
      <w:r>
        <w:rPr>
          <w:rFonts w:hint="eastAsia" w:ascii="宋体" w:hAnsi="宋体" w:cs="宋体"/>
          <w:color w:val="auto"/>
          <w:szCs w:val="21"/>
        </w:rPr>
        <w:t xml:space="preserve">     统一社会信用代码：</w:t>
      </w:r>
      <w:r>
        <w:rPr>
          <w:rFonts w:hint="eastAsia" w:ascii="宋体" w:hAnsi="宋体" w:cs="宋体"/>
          <w:color w:val="auto"/>
          <w:szCs w:val="21"/>
          <w:u w:val="single"/>
        </w:rPr>
        <w:t xml:space="preserve">          </w:t>
      </w:r>
    </w:p>
    <w:p w14:paraId="63221D16">
      <w:pPr>
        <w:spacing w:line="360" w:lineRule="auto"/>
        <w:rPr>
          <w:rFonts w:hint="eastAsia"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广西桂林市崇信路46号 </w:t>
      </w:r>
      <w:r>
        <w:rPr>
          <w:rFonts w:hint="eastAsia" w:ascii="宋体" w:hAnsi="宋体" w:cs="宋体"/>
          <w:color w:val="auto"/>
          <w:szCs w:val="21"/>
        </w:rPr>
        <w:t xml:space="preserve">     地  址：</w:t>
      </w:r>
      <w:r>
        <w:rPr>
          <w:rFonts w:hint="eastAsia" w:ascii="宋体" w:hAnsi="宋体" w:cs="宋体"/>
          <w:color w:val="auto"/>
          <w:szCs w:val="21"/>
          <w:u w:val="single"/>
        </w:rPr>
        <w:t xml:space="preserve">                    </w:t>
      </w:r>
    </w:p>
    <w:p w14:paraId="2EC2BC9F">
      <w:pPr>
        <w:spacing w:line="360" w:lineRule="auto"/>
        <w:rPr>
          <w:rFonts w:hint="eastAsia"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r>
        <w:rPr>
          <w:rFonts w:hint="eastAsia" w:ascii="宋体" w:hAnsi="宋体" w:cs="宋体"/>
          <w:color w:val="auto"/>
          <w:szCs w:val="21"/>
        </w:rPr>
        <w:t xml:space="preserve">     邮政编码：</w:t>
      </w:r>
      <w:r>
        <w:rPr>
          <w:rFonts w:hint="eastAsia" w:ascii="宋体" w:hAnsi="宋体" w:cs="宋体"/>
          <w:color w:val="auto"/>
          <w:szCs w:val="21"/>
          <w:u w:val="single"/>
        </w:rPr>
        <w:t xml:space="preserve">                  </w:t>
      </w:r>
    </w:p>
    <w:p w14:paraId="7FCADB40">
      <w:pPr>
        <w:spacing w:line="360" w:lineRule="auto"/>
        <w:rPr>
          <w:rFonts w:hint="eastAsia"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p>
    <w:p w14:paraId="244A2EFF">
      <w:pPr>
        <w:spacing w:line="360" w:lineRule="auto"/>
        <w:rPr>
          <w:rFonts w:hint="eastAsia" w:ascii="宋体" w:hAnsi="宋体" w:cs="宋体"/>
          <w:color w:val="auto"/>
          <w:szCs w:val="21"/>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14:paraId="4CF9B325">
      <w:pPr>
        <w:spacing w:line="360" w:lineRule="auto"/>
        <w:rPr>
          <w:rFonts w:hint="eastAsia"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0773-3832549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p>
    <w:p w14:paraId="225A695C">
      <w:pPr>
        <w:spacing w:line="360" w:lineRule="auto"/>
        <w:rPr>
          <w:rFonts w:hint="eastAsia"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                 </w:t>
      </w:r>
      <w:r>
        <w:rPr>
          <w:rFonts w:hint="eastAsia" w:ascii="宋体" w:hAnsi="宋体" w:cs="宋体"/>
          <w:color w:val="auto"/>
          <w:szCs w:val="21"/>
        </w:rPr>
        <w:t xml:space="preserve">     传  真：</w:t>
      </w:r>
      <w:r>
        <w:rPr>
          <w:rFonts w:hint="eastAsia" w:ascii="宋体" w:hAnsi="宋体" w:cs="宋体"/>
          <w:color w:val="auto"/>
          <w:szCs w:val="21"/>
          <w:u w:val="single"/>
        </w:rPr>
        <w:t xml:space="preserve">                    </w:t>
      </w:r>
    </w:p>
    <w:p w14:paraId="0188BCE0">
      <w:pPr>
        <w:spacing w:line="360" w:lineRule="auto"/>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nysbk3831227@163.com</w:t>
      </w:r>
      <w:r>
        <w:rPr>
          <w:rFonts w:hint="eastAsia" w:ascii="宋体" w:hAnsi="宋体" w:cs="宋体"/>
          <w:color w:val="auto"/>
          <w:szCs w:val="21"/>
        </w:rPr>
        <w:t xml:space="preserve">    电子信箱：</w:t>
      </w:r>
      <w:r>
        <w:rPr>
          <w:rFonts w:hint="eastAsia" w:ascii="宋体" w:hAnsi="宋体" w:cs="宋体"/>
          <w:color w:val="auto"/>
          <w:szCs w:val="21"/>
          <w:u w:val="single"/>
        </w:rPr>
        <w:t xml:space="preserve">                  </w:t>
      </w:r>
    </w:p>
    <w:p w14:paraId="75C297AB">
      <w:pPr>
        <w:spacing w:line="360" w:lineRule="auto"/>
        <w:rPr>
          <w:rFonts w:hint="eastAsia" w:ascii="宋体" w:hAnsi="宋体" w:cs="宋体"/>
          <w:color w:val="auto"/>
          <w:szCs w:val="21"/>
          <w:u w:val="single"/>
        </w:rPr>
      </w:pPr>
      <w:r>
        <w:rPr>
          <w:rFonts w:hint="eastAsia" w:ascii="宋体" w:hAnsi="宋体" w:cs="宋体"/>
          <w:color w:val="auto"/>
          <w:szCs w:val="21"/>
        </w:rPr>
        <w:t>开户银行：</w:t>
      </w:r>
      <w:r>
        <w:rPr>
          <w:rFonts w:hint="eastAsia" w:ascii="宋体" w:hAnsi="宋体" w:cs="宋体"/>
          <w:color w:val="auto"/>
          <w:szCs w:val="21"/>
          <w:u w:val="single"/>
        </w:rPr>
        <w:t>中国建设银行股份有限</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14:paraId="4541611A">
      <w:pPr>
        <w:spacing w:line="360" w:lineRule="auto"/>
        <w:rPr>
          <w:rFonts w:hint="eastAsia" w:ascii="宋体" w:hAnsi="宋体" w:cs="宋体"/>
          <w:color w:val="auto"/>
          <w:szCs w:val="21"/>
          <w:u w:val="single"/>
        </w:rPr>
      </w:pPr>
      <w:r>
        <w:rPr>
          <w:rFonts w:hint="eastAsia" w:ascii="宋体" w:hAnsi="宋体" w:cs="宋体"/>
          <w:color w:val="auto"/>
          <w:szCs w:val="21"/>
          <w:u w:val="single"/>
        </w:rPr>
        <w:t xml:space="preserve">公司桂林城南支行  </w:t>
      </w:r>
      <w:r>
        <w:rPr>
          <w:rFonts w:hint="eastAsia" w:ascii="宋体" w:hAnsi="宋体" w:cs="宋体"/>
          <w:color w:val="auto"/>
          <w:szCs w:val="21"/>
        </w:rPr>
        <w:t xml:space="preserve">                        </w:t>
      </w:r>
      <w:r>
        <w:rPr>
          <w:rFonts w:hint="eastAsia" w:ascii="宋体" w:hAnsi="宋体" w:cs="宋体"/>
          <w:color w:val="auto"/>
          <w:szCs w:val="21"/>
          <w:u w:val="single"/>
        </w:rPr>
        <w:t xml:space="preserve">                    </w:t>
      </w:r>
    </w:p>
    <w:p w14:paraId="7836E9B3">
      <w:pPr>
        <w:spacing w:line="360" w:lineRule="auto"/>
        <w:rPr>
          <w:rFonts w:hint="eastAsia" w:ascii="宋体" w:hAnsi="宋体" w:cs="宋体"/>
          <w:color w:val="auto"/>
          <w:szCs w:val="21"/>
          <w:u w:val="single"/>
        </w:rPr>
      </w:pPr>
      <w:r>
        <w:rPr>
          <w:rFonts w:hint="eastAsia" w:ascii="宋体" w:hAnsi="宋体" w:cs="宋体"/>
          <w:color w:val="auto"/>
          <w:szCs w:val="21"/>
        </w:rPr>
        <w:t>账  号：</w:t>
      </w:r>
      <w:r>
        <w:rPr>
          <w:rFonts w:hint="eastAsia" w:ascii="宋体" w:hAnsi="宋体" w:cs="宋体"/>
          <w:color w:val="auto"/>
          <w:szCs w:val="21"/>
          <w:u w:val="single"/>
        </w:rPr>
        <w:t xml:space="preserve"> 45001635305059666666 </w:t>
      </w:r>
      <w:r>
        <w:rPr>
          <w:rFonts w:hint="eastAsia" w:ascii="宋体" w:hAnsi="宋体" w:cs="宋体"/>
          <w:color w:val="auto"/>
          <w:szCs w:val="21"/>
        </w:rPr>
        <w:t xml:space="preserve">    账  号：</w:t>
      </w:r>
      <w:r>
        <w:rPr>
          <w:rFonts w:hint="eastAsia" w:ascii="宋体" w:hAnsi="宋体" w:cs="宋体"/>
          <w:color w:val="auto"/>
          <w:szCs w:val="21"/>
          <w:u w:val="single"/>
        </w:rPr>
        <w:t xml:space="preserve">                   </w:t>
      </w:r>
    </w:p>
    <w:p w14:paraId="6DB06E43">
      <w:pPr>
        <w:pStyle w:val="4"/>
        <w:jc w:val="center"/>
        <w:rPr>
          <w:rFonts w:hint="eastAsia" w:ascii="宋体" w:hAnsi="宋体" w:cs="宋体"/>
          <w:color w:val="auto"/>
          <w:sz w:val="21"/>
          <w:szCs w:val="21"/>
        </w:rPr>
      </w:pPr>
      <w:r>
        <w:rPr>
          <w:rFonts w:hint="eastAsia" w:ascii="宋体" w:hAnsi="宋体" w:cs="宋体"/>
          <w:color w:val="auto"/>
          <w:sz w:val="21"/>
          <w:szCs w:val="21"/>
        </w:rPr>
        <w:br w:type="page"/>
      </w:r>
      <w:bookmarkStart w:id="198" w:name="_Toc20096"/>
      <w:bookmarkStart w:id="199" w:name="_Toc28636"/>
      <w:bookmarkStart w:id="200" w:name="_Toc7254"/>
      <w:bookmarkStart w:id="201" w:name="_Toc20557"/>
      <w:bookmarkStart w:id="202" w:name="_Toc19006"/>
      <w:r>
        <w:rPr>
          <w:rFonts w:hint="eastAsia"/>
          <w:color w:val="auto"/>
          <w:sz w:val="24"/>
        </w:rPr>
        <w:t>第二部分 通用合同条款</w:t>
      </w:r>
      <w:bookmarkEnd w:id="198"/>
      <w:bookmarkEnd w:id="199"/>
      <w:bookmarkEnd w:id="200"/>
      <w:bookmarkEnd w:id="201"/>
      <w:bookmarkEnd w:id="202"/>
    </w:p>
    <w:p w14:paraId="2482F275">
      <w:pPr>
        <w:jc w:val="center"/>
        <w:rPr>
          <w:rFonts w:hint="eastAsia" w:ascii="宋体" w:hAnsi="宋体" w:cs="宋体"/>
          <w:b/>
          <w:bCs/>
          <w:color w:val="auto"/>
          <w:szCs w:val="21"/>
        </w:rPr>
      </w:pPr>
      <w:bookmarkStart w:id="203" w:name="_Toc28118"/>
      <w:bookmarkStart w:id="204" w:name="_Toc17801"/>
      <w:bookmarkStart w:id="205" w:name="_Toc14009"/>
      <w:bookmarkStart w:id="206" w:name="_Toc28635"/>
      <w:bookmarkStart w:id="207" w:name="_Toc26819"/>
      <w:r>
        <w:rPr>
          <w:rFonts w:hint="eastAsia" w:ascii="宋体" w:hAnsi="宋体" w:cs="宋体"/>
          <w:b/>
          <w:bCs/>
          <w:color w:val="auto"/>
          <w:szCs w:val="21"/>
        </w:rPr>
        <w:t>采用《建设工程施工合同（示范文本）》（GF—2017—0201）。</w:t>
      </w:r>
      <w:bookmarkEnd w:id="203"/>
      <w:bookmarkEnd w:id="204"/>
      <w:bookmarkEnd w:id="205"/>
      <w:bookmarkEnd w:id="206"/>
      <w:bookmarkEnd w:id="207"/>
    </w:p>
    <w:p w14:paraId="4E9C3E8E">
      <w:pPr>
        <w:spacing w:line="360" w:lineRule="auto"/>
        <w:rPr>
          <w:rFonts w:hint="eastAsia" w:ascii="宋体" w:hAnsi="宋体" w:cs="宋体"/>
          <w:b/>
          <w:color w:val="auto"/>
          <w:szCs w:val="21"/>
        </w:rPr>
      </w:pPr>
    </w:p>
    <w:p w14:paraId="5B18B56F">
      <w:pPr>
        <w:pStyle w:val="3"/>
        <w:spacing w:line="360" w:lineRule="auto"/>
        <w:ind w:firstLine="211" w:firstLineChars="100"/>
        <w:rPr>
          <w:rFonts w:cs="宋体"/>
          <w:color w:val="auto"/>
          <w:sz w:val="21"/>
          <w:szCs w:val="21"/>
        </w:rPr>
      </w:pPr>
      <w:bookmarkStart w:id="208" w:name="_Toc21970"/>
      <w:bookmarkStart w:id="209" w:name="_Toc27026"/>
      <w:bookmarkStart w:id="210" w:name="_Toc17284"/>
      <w:bookmarkStart w:id="211" w:name="_Toc2121"/>
      <w:bookmarkStart w:id="212" w:name="_Toc29943"/>
    </w:p>
    <w:p w14:paraId="5DF55A16">
      <w:pPr>
        <w:pStyle w:val="4"/>
        <w:jc w:val="center"/>
        <w:rPr>
          <w:color w:val="auto"/>
          <w:sz w:val="24"/>
        </w:rPr>
      </w:pPr>
      <w:bookmarkStart w:id="213" w:name="_Toc31963"/>
      <w:r>
        <w:rPr>
          <w:rFonts w:hint="eastAsia"/>
          <w:color w:val="auto"/>
          <w:sz w:val="24"/>
        </w:rPr>
        <w:t>第三部分 专用合同条款</w:t>
      </w:r>
      <w:bookmarkEnd w:id="208"/>
      <w:bookmarkEnd w:id="209"/>
      <w:bookmarkEnd w:id="210"/>
      <w:bookmarkEnd w:id="211"/>
      <w:bookmarkEnd w:id="212"/>
      <w:bookmarkEnd w:id="213"/>
    </w:p>
    <w:p w14:paraId="288DD403">
      <w:pPr>
        <w:pStyle w:val="4"/>
        <w:spacing w:line="360" w:lineRule="auto"/>
        <w:ind w:firstLine="422" w:firstLineChars="200"/>
        <w:rPr>
          <w:rFonts w:hint="eastAsia" w:ascii="宋体" w:hAnsi="宋体" w:cs="宋体"/>
          <w:color w:val="auto"/>
          <w:sz w:val="21"/>
          <w:szCs w:val="21"/>
        </w:rPr>
      </w:pPr>
      <w:bookmarkStart w:id="214" w:name="_Toc27807"/>
      <w:bookmarkStart w:id="215" w:name="_Toc14091"/>
      <w:bookmarkStart w:id="216" w:name="_Toc2096"/>
      <w:bookmarkStart w:id="217" w:name="_Toc32214"/>
      <w:bookmarkStart w:id="218" w:name="_Toc3667"/>
      <w:bookmarkStart w:id="219" w:name="_Toc32036"/>
      <w:r>
        <w:rPr>
          <w:rFonts w:hint="eastAsia" w:ascii="宋体" w:hAnsi="宋体" w:cs="宋体"/>
          <w:color w:val="auto"/>
          <w:sz w:val="21"/>
          <w:szCs w:val="21"/>
        </w:rPr>
        <w:t>1</w:t>
      </w:r>
      <w:bookmarkStart w:id="220" w:name="_Toc292559361"/>
      <w:bookmarkStart w:id="221" w:name="_Toc292559866"/>
      <w:bookmarkStart w:id="222" w:name="_Toc296890984"/>
      <w:bookmarkStart w:id="223" w:name="_Toc297048342"/>
      <w:bookmarkStart w:id="224" w:name="_Toc297120456"/>
      <w:bookmarkStart w:id="225" w:name="_Toc296891196"/>
      <w:bookmarkStart w:id="226" w:name="_Toc296503156"/>
      <w:bookmarkStart w:id="227" w:name="_Toc296944495"/>
      <w:bookmarkStart w:id="228" w:name="_Toc296346657"/>
      <w:bookmarkStart w:id="229" w:name="_Toc296347155"/>
      <w:r>
        <w:rPr>
          <w:rFonts w:hint="eastAsia" w:ascii="宋体" w:hAnsi="宋体" w:cs="宋体"/>
          <w:color w:val="auto"/>
          <w:sz w:val="21"/>
          <w:szCs w:val="21"/>
        </w:rPr>
        <w:t>. 一般约定</w:t>
      </w:r>
      <w:bookmarkEnd w:id="214"/>
      <w:bookmarkEnd w:id="215"/>
      <w:bookmarkEnd w:id="216"/>
      <w:bookmarkEnd w:id="217"/>
      <w:bookmarkEnd w:id="218"/>
      <w:bookmarkEnd w:id="219"/>
    </w:p>
    <w:bookmarkEnd w:id="220"/>
    <w:bookmarkEnd w:id="221"/>
    <w:bookmarkEnd w:id="222"/>
    <w:bookmarkEnd w:id="223"/>
    <w:bookmarkEnd w:id="224"/>
    <w:bookmarkEnd w:id="225"/>
    <w:bookmarkEnd w:id="226"/>
    <w:bookmarkEnd w:id="227"/>
    <w:bookmarkEnd w:id="228"/>
    <w:bookmarkEnd w:id="229"/>
    <w:p w14:paraId="640B3EA5">
      <w:pPr>
        <w:pStyle w:val="5"/>
        <w:ind w:firstLine="422" w:firstLineChars="200"/>
        <w:rPr>
          <w:rFonts w:hint="eastAsia" w:ascii="宋体" w:hAnsi="宋体" w:cs="宋体"/>
          <w:color w:val="auto"/>
          <w:sz w:val="21"/>
          <w:szCs w:val="21"/>
        </w:rPr>
      </w:pPr>
      <w:bookmarkStart w:id="230" w:name="_Toc11621"/>
      <w:bookmarkStart w:id="231" w:name="_Toc19297"/>
      <w:bookmarkStart w:id="232" w:name="_Toc16322"/>
      <w:bookmarkStart w:id="233" w:name="_Toc486528952"/>
      <w:bookmarkStart w:id="234" w:name="_Toc525"/>
      <w:bookmarkStart w:id="235" w:name="_Toc373227693"/>
      <w:bookmarkStart w:id="236" w:name="_Toc12506"/>
      <w:bookmarkStart w:id="237" w:name="_Toc28744"/>
      <w:bookmarkStart w:id="238" w:name="_Toc389065259"/>
      <w:bookmarkStart w:id="239" w:name="_Toc373478340"/>
      <w:r>
        <w:rPr>
          <w:rFonts w:hint="eastAsia" w:ascii="宋体" w:hAnsi="宋体" w:cs="宋体"/>
          <w:color w:val="auto"/>
          <w:sz w:val="21"/>
          <w:szCs w:val="21"/>
        </w:rPr>
        <w:t>1.1 词语定义</w:t>
      </w:r>
      <w:bookmarkEnd w:id="230"/>
      <w:bookmarkEnd w:id="231"/>
      <w:bookmarkEnd w:id="232"/>
      <w:bookmarkEnd w:id="233"/>
      <w:bookmarkEnd w:id="234"/>
      <w:bookmarkEnd w:id="235"/>
      <w:bookmarkEnd w:id="236"/>
      <w:bookmarkEnd w:id="237"/>
      <w:bookmarkEnd w:id="238"/>
      <w:bookmarkEnd w:id="239"/>
    </w:p>
    <w:p w14:paraId="1E6F2BB1">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1.1.1 合同</w:t>
      </w:r>
    </w:p>
    <w:p w14:paraId="29EBE06C">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1.1.1.10 其他合同文件包括：</w:t>
      </w:r>
      <w:r>
        <w:rPr>
          <w:rFonts w:hint="eastAsia" w:ascii="宋体" w:hAnsi="宋体" w:cs="宋体"/>
          <w:color w:val="auto"/>
          <w:szCs w:val="21"/>
          <w:u w:val="single"/>
        </w:rPr>
        <w:t xml:space="preserve">成交通知书、竞标函及竞标函附录、技术标准和要求、已标价工程量清单、竞争性谈判文件及附件（含所有补充通知） </w:t>
      </w:r>
      <w:r>
        <w:rPr>
          <w:rFonts w:hint="eastAsia" w:ascii="宋体" w:hAnsi="宋体" w:cs="宋体"/>
          <w:color w:val="auto"/>
          <w:szCs w:val="21"/>
        </w:rPr>
        <w:t>。</w:t>
      </w:r>
    </w:p>
    <w:p w14:paraId="590D4EC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1.1.2 合同当事人及其他相关方</w:t>
      </w:r>
    </w:p>
    <w:p w14:paraId="6E93DC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1.1.2.4 监理人：</w:t>
      </w:r>
    </w:p>
    <w:p w14:paraId="3990E4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068E29F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签约时填写     </w:t>
      </w:r>
      <w:r>
        <w:rPr>
          <w:rFonts w:hint="eastAsia" w:ascii="宋体" w:hAnsi="宋体" w:cs="宋体"/>
          <w:color w:val="auto"/>
          <w:szCs w:val="21"/>
        </w:rPr>
        <w:t>；</w:t>
      </w:r>
    </w:p>
    <w:p w14:paraId="16EC317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签约时填写        </w:t>
      </w:r>
      <w:r>
        <w:rPr>
          <w:rFonts w:hint="eastAsia" w:ascii="宋体" w:hAnsi="宋体" w:cs="宋体"/>
          <w:color w:val="auto"/>
          <w:szCs w:val="21"/>
        </w:rPr>
        <w:t>；</w:t>
      </w:r>
    </w:p>
    <w:p w14:paraId="7E31473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签约时填写     </w:t>
      </w:r>
      <w:r>
        <w:rPr>
          <w:rFonts w:hint="eastAsia" w:ascii="宋体" w:hAnsi="宋体" w:cs="宋体"/>
          <w:color w:val="auto"/>
          <w:szCs w:val="21"/>
        </w:rPr>
        <w:t>；</w:t>
      </w:r>
    </w:p>
    <w:p w14:paraId="4385E54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签约时填写       </w:t>
      </w:r>
      <w:r>
        <w:rPr>
          <w:rFonts w:hint="eastAsia" w:ascii="宋体" w:hAnsi="宋体" w:cs="宋体"/>
          <w:color w:val="auto"/>
          <w:szCs w:val="21"/>
        </w:rPr>
        <w:t>。</w:t>
      </w:r>
    </w:p>
    <w:p w14:paraId="02BA3FB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1.1.2.5 设计人：</w:t>
      </w:r>
    </w:p>
    <w:p w14:paraId="3E2A542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签约时填写            </w:t>
      </w:r>
      <w:r>
        <w:rPr>
          <w:rFonts w:hint="eastAsia" w:ascii="宋体" w:hAnsi="宋体" w:cs="宋体"/>
          <w:color w:val="auto"/>
          <w:szCs w:val="21"/>
        </w:rPr>
        <w:t>；</w:t>
      </w:r>
    </w:p>
    <w:p w14:paraId="78EB106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签约时填写       </w:t>
      </w:r>
      <w:r>
        <w:rPr>
          <w:rFonts w:hint="eastAsia" w:ascii="宋体" w:hAnsi="宋体" w:cs="宋体"/>
          <w:color w:val="auto"/>
          <w:szCs w:val="21"/>
        </w:rPr>
        <w:t>；</w:t>
      </w:r>
    </w:p>
    <w:p w14:paraId="6CE0D45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签约时填写       </w:t>
      </w:r>
      <w:r>
        <w:rPr>
          <w:rFonts w:hint="eastAsia" w:ascii="宋体" w:hAnsi="宋体" w:cs="宋体"/>
          <w:color w:val="auto"/>
          <w:szCs w:val="21"/>
        </w:rPr>
        <w:t>；</w:t>
      </w:r>
    </w:p>
    <w:p w14:paraId="083E41B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签约时填写               </w:t>
      </w:r>
      <w:r>
        <w:rPr>
          <w:rFonts w:hint="eastAsia" w:ascii="宋体" w:hAnsi="宋体" w:cs="宋体"/>
          <w:color w:val="auto"/>
          <w:szCs w:val="21"/>
        </w:rPr>
        <w:t>；</w:t>
      </w:r>
    </w:p>
    <w:p w14:paraId="576B70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签约时填写           </w:t>
      </w:r>
      <w:r>
        <w:rPr>
          <w:rFonts w:hint="eastAsia" w:ascii="宋体" w:hAnsi="宋体" w:cs="宋体"/>
          <w:color w:val="auto"/>
          <w:szCs w:val="21"/>
        </w:rPr>
        <w:t>。</w:t>
      </w:r>
    </w:p>
    <w:p w14:paraId="4FBD591B">
      <w:pPr>
        <w:pStyle w:val="83"/>
        <w:spacing w:line="360" w:lineRule="auto"/>
        <w:rPr>
          <w:rFonts w:hint="eastAsia" w:cs="宋体"/>
          <w:color w:val="auto"/>
          <w:sz w:val="21"/>
        </w:rPr>
      </w:pPr>
      <w:bookmarkStart w:id="240" w:name="_Toc389065260"/>
      <w:bookmarkStart w:id="241" w:name="_Toc486528953"/>
      <w:bookmarkStart w:id="242" w:name="_Toc373227694"/>
      <w:bookmarkStart w:id="243" w:name="_Toc373478341"/>
      <w:r>
        <w:rPr>
          <w:rFonts w:hint="eastAsia" w:cs="宋体"/>
          <w:color w:val="auto"/>
          <w:sz w:val="21"/>
        </w:rPr>
        <w:t>1.1.3 工程和设备</w:t>
      </w:r>
    </w:p>
    <w:p w14:paraId="2E103A33">
      <w:pPr>
        <w:pStyle w:val="83"/>
        <w:spacing w:line="360" w:lineRule="auto"/>
        <w:rPr>
          <w:rFonts w:hint="eastAsia" w:cs="宋体"/>
          <w:color w:val="auto"/>
          <w:sz w:val="21"/>
        </w:rPr>
      </w:pPr>
      <w:r>
        <w:rPr>
          <w:rFonts w:hint="eastAsia" w:cs="宋体"/>
          <w:color w:val="auto"/>
          <w:sz w:val="21"/>
        </w:rPr>
        <w:t>1.1.3.7 作为施工现场组成部分的其他场所包括：</w:t>
      </w:r>
      <w:r>
        <w:rPr>
          <w:rFonts w:hint="eastAsia" w:cs="宋体"/>
          <w:color w:val="auto"/>
          <w:sz w:val="21"/>
          <w:u w:val="single"/>
        </w:rPr>
        <w:t xml:space="preserve">  无  </w:t>
      </w:r>
      <w:r>
        <w:rPr>
          <w:rFonts w:hint="eastAsia" w:cs="宋体"/>
          <w:color w:val="auto"/>
          <w:sz w:val="21"/>
        </w:rPr>
        <w:t>。</w:t>
      </w:r>
    </w:p>
    <w:p w14:paraId="3F9584C1">
      <w:pPr>
        <w:pStyle w:val="83"/>
        <w:spacing w:line="360" w:lineRule="auto"/>
        <w:rPr>
          <w:rFonts w:hint="eastAsia" w:cs="宋体"/>
          <w:color w:val="auto"/>
          <w:sz w:val="21"/>
        </w:rPr>
      </w:pPr>
      <w:r>
        <w:rPr>
          <w:rFonts w:hint="eastAsia" w:cs="宋体"/>
          <w:color w:val="auto"/>
          <w:sz w:val="21"/>
        </w:rPr>
        <w:t>1.1.3.9 永久占地包括：</w:t>
      </w:r>
      <w:r>
        <w:rPr>
          <w:rFonts w:hint="eastAsia" w:cs="宋体"/>
          <w:b/>
          <w:bCs/>
          <w:color w:val="auto"/>
          <w:sz w:val="21"/>
          <w:u w:val="single"/>
        </w:rPr>
        <w:t>同通用条款，无特殊约定</w:t>
      </w:r>
      <w:r>
        <w:rPr>
          <w:rFonts w:hint="eastAsia" w:cs="宋体"/>
          <w:color w:val="auto"/>
          <w:sz w:val="21"/>
          <w:u w:val="single"/>
        </w:rPr>
        <w:t xml:space="preserve">  </w:t>
      </w:r>
      <w:r>
        <w:rPr>
          <w:rFonts w:hint="eastAsia" w:cs="宋体"/>
          <w:color w:val="auto"/>
          <w:sz w:val="21"/>
        </w:rPr>
        <w:t>。</w:t>
      </w:r>
    </w:p>
    <w:p w14:paraId="6612ABDD">
      <w:pPr>
        <w:pStyle w:val="83"/>
        <w:spacing w:line="360" w:lineRule="auto"/>
        <w:rPr>
          <w:rFonts w:hint="eastAsia" w:cs="宋体"/>
          <w:color w:val="auto"/>
          <w:sz w:val="21"/>
        </w:rPr>
      </w:pPr>
      <w:bookmarkStart w:id="244" w:name="_Toc10396"/>
      <w:r>
        <w:rPr>
          <w:rFonts w:hint="eastAsia" w:cs="宋体"/>
          <w:color w:val="auto"/>
          <w:sz w:val="21"/>
        </w:rPr>
        <w:t>1.1.3.10 临时占地包括：</w:t>
      </w:r>
      <w:r>
        <w:rPr>
          <w:rFonts w:hint="eastAsia" w:cs="宋体"/>
          <w:color w:val="auto"/>
          <w:sz w:val="21"/>
          <w:u w:val="single"/>
        </w:rPr>
        <w:t>由承包人根据现场踏勘情况结合施工现场所处位置自行解决。</w:t>
      </w:r>
    </w:p>
    <w:p w14:paraId="75582F9F">
      <w:pPr>
        <w:pStyle w:val="5"/>
        <w:ind w:firstLine="422" w:firstLineChars="200"/>
        <w:rPr>
          <w:rFonts w:hint="eastAsia" w:ascii="宋体" w:hAnsi="宋体" w:cs="宋体"/>
          <w:color w:val="auto"/>
          <w:sz w:val="21"/>
          <w:szCs w:val="21"/>
        </w:rPr>
      </w:pPr>
      <w:bookmarkStart w:id="245" w:name="_Toc24592"/>
      <w:bookmarkStart w:id="246" w:name="_Toc26784"/>
      <w:bookmarkStart w:id="247" w:name="_Toc29166"/>
      <w:bookmarkStart w:id="248" w:name="_Toc23448"/>
      <w:bookmarkStart w:id="249" w:name="_Toc25379"/>
      <w:r>
        <w:rPr>
          <w:rFonts w:hint="eastAsia" w:ascii="宋体" w:hAnsi="宋体" w:cs="宋体"/>
          <w:color w:val="auto"/>
          <w:sz w:val="21"/>
          <w:szCs w:val="21"/>
        </w:rPr>
        <w:t>1.3 法律</w:t>
      </w:r>
      <w:bookmarkEnd w:id="240"/>
      <w:bookmarkEnd w:id="241"/>
      <w:bookmarkEnd w:id="242"/>
      <w:bookmarkEnd w:id="243"/>
      <w:bookmarkEnd w:id="244"/>
      <w:bookmarkEnd w:id="245"/>
      <w:bookmarkEnd w:id="246"/>
      <w:bookmarkEnd w:id="247"/>
      <w:bookmarkEnd w:id="248"/>
      <w:bookmarkEnd w:id="249"/>
    </w:p>
    <w:p w14:paraId="5327EE02">
      <w:pPr>
        <w:autoSpaceDE w:val="0"/>
        <w:autoSpaceDN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适用于合同的其他规范性文件：</w:t>
      </w:r>
      <w:r>
        <w:rPr>
          <w:rFonts w:hint="eastAsia" w:ascii="宋体" w:hAnsi="宋体" w:cs="宋体"/>
          <w:color w:val="auto"/>
          <w:szCs w:val="21"/>
          <w:u w:val="single"/>
        </w:rPr>
        <w:t xml:space="preserve">《中华人民共和国民法典》、《中华人民共和国建筑法》、《建设工程质量管理条例》、《文物保护工程管理办法》以及国家和地方关于建设工程管理的有关法规、条例等适用本合同 </w:t>
      </w:r>
      <w:r>
        <w:rPr>
          <w:rFonts w:hint="eastAsia" w:ascii="宋体" w:hAnsi="宋体" w:cs="宋体"/>
          <w:color w:val="auto"/>
          <w:szCs w:val="21"/>
        </w:rPr>
        <w:t>。</w:t>
      </w:r>
    </w:p>
    <w:p w14:paraId="3DE29752">
      <w:pPr>
        <w:pStyle w:val="5"/>
        <w:ind w:firstLine="422" w:firstLineChars="200"/>
        <w:rPr>
          <w:rFonts w:hint="eastAsia" w:ascii="宋体" w:hAnsi="宋体" w:cs="宋体"/>
          <w:color w:val="auto"/>
          <w:sz w:val="21"/>
          <w:szCs w:val="21"/>
        </w:rPr>
      </w:pPr>
      <w:bookmarkStart w:id="250" w:name="_Toc486528954"/>
      <w:bookmarkStart w:id="251" w:name="_Toc373227695"/>
      <w:bookmarkStart w:id="252" w:name="_Toc27727"/>
      <w:bookmarkStart w:id="253" w:name="_Toc11553"/>
      <w:bookmarkStart w:id="254" w:name="_Toc31075"/>
      <w:bookmarkStart w:id="255" w:name="_Toc389065261"/>
      <w:bookmarkStart w:id="256" w:name="_Toc373478342"/>
      <w:bookmarkStart w:id="257" w:name="_Toc3231"/>
      <w:bookmarkStart w:id="258" w:name="_Toc27771"/>
      <w:bookmarkStart w:id="259" w:name="_Toc8427"/>
      <w:r>
        <w:rPr>
          <w:rFonts w:hint="eastAsia" w:ascii="宋体" w:hAnsi="宋体" w:cs="宋体"/>
          <w:color w:val="auto"/>
          <w:sz w:val="21"/>
          <w:szCs w:val="21"/>
        </w:rPr>
        <w:t>1.4 标准和规范</w:t>
      </w:r>
      <w:bookmarkEnd w:id="250"/>
      <w:bookmarkEnd w:id="251"/>
      <w:bookmarkEnd w:id="252"/>
      <w:bookmarkEnd w:id="253"/>
      <w:bookmarkEnd w:id="254"/>
      <w:bookmarkEnd w:id="255"/>
      <w:bookmarkEnd w:id="256"/>
      <w:bookmarkEnd w:id="257"/>
      <w:bookmarkEnd w:id="258"/>
      <w:bookmarkEnd w:id="259"/>
    </w:p>
    <w:p w14:paraId="38D4016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1.4.1 适用于工程的标准规范包括：</w:t>
      </w:r>
      <w:r>
        <w:rPr>
          <w:rFonts w:hint="eastAsia" w:ascii="宋体" w:hAnsi="宋体" w:cs="宋体"/>
          <w:color w:val="auto"/>
          <w:szCs w:val="21"/>
          <w:u w:val="single"/>
        </w:rPr>
        <w:t xml:space="preserve">按合同签订时国家现行法律、行政法规及项目所在地政府的有关法规和规章  </w:t>
      </w:r>
      <w:r>
        <w:rPr>
          <w:rFonts w:hint="eastAsia" w:ascii="宋体" w:hAnsi="宋体" w:cs="宋体"/>
          <w:color w:val="auto"/>
          <w:szCs w:val="21"/>
        </w:rPr>
        <w:t>。</w:t>
      </w:r>
    </w:p>
    <w:p w14:paraId="38469360">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1.4.2 发包人提供国外标准、规范的名称：</w:t>
      </w:r>
      <w:r>
        <w:rPr>
          <w:rFonts w:hint="eastAsia" w:ascii="宋体" w:hAnsi="宋体" w:cs="宋体"/>
          <w:color w:val="auto"/>
          <w:szCs w:val="21"/>
          <w:u w:val="single"/>
        </w:rPr>
        <w:t>无</w:t>
      </w:r>
      <w:r>
        <w:rPr>
          <w:rFonts w:hint="eastAsia" w:ascii="宋体" w:hAnsi="宋体" w:cs="宋体"/>
          <w:color w:val="auto"/>
          <w:szCs w:val="21"/>
        </w:rPr>
        <w:t>；</w:t>
      </w:r>
    </w:p>
    <w:p w14:paraId="0690A43E">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发包人提供国外标准、规范的份数：</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75F9943E">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发包人提供国外标准、规范的名称：</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02B917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1.4.3 发包人对工程的技术标准和功能要求的特殊要求：</w:t>
      </w:r>
      <w:r>
        <w:rPr>
          <w:rFonts w:hint="eastAsia" w:ascii="宋体" w:hAnsi="宋体" w:cs="宋体"/>
          <w:color w:val="auto"/>
          <w:szCs w:val="21"/>
          <w:u w:val="single"/>
        </w:rPr>
        <w:t xml:space="preserve">   无    </w:t>
      </w:r>
      <w:r>
        <w:rPr>
          <w:rFonts w:hint="eastAsia" w:ascii="宋体" w:hAnsi="宋体" w:cs="宋体"/>
          <w:color w:val="auto"/>
          <w:szCs w:val="21"/>
        </w:rPr>
        <w:t>。</w:t>
      </w:r>
    </w:p>
    <w:p w14:paraId="11D29799">
      <w:pPr>
        <w:pStyle w:val="5"/>
        <w:ind w:firstLine="422" w:firstLineChars="200"/>
        <w:rPr>
          <w:rFonts w:hint="eastAsia" w:ascii="宋体" w:hAnsi="宋体" w:cs="宋体"/>
          <w:color w:val="auto"/>
          <w:sz w:val="21"/>
          <w:szCs w:val="21"/>
        </w:rPr>
      </w:pPr>
      <w:bookmarkStart w:id="260" w:name="_Toc389065262"/>
      <w:bookmarkStart w:id="261" w:name="_Toc9239"/>
      <w:bookmarkStart w:id="262" w:name="_Toc10392"/>
      <w:bookmarkStart w:id="263" w:name="_Toc4854"/>
      <w:bookmarkStart w:id="264" w:name="_Toc486528955"/>
      <w:bookmarkStart w:id="265" w:name="_Toc373227696"/>
      <w:bookmarkStart w:id="266" w:name="_Toc14768"/>
      <w:bookmarkStart w:id="267" w:name="_Toc1297"/>
      <w:bookmarkStart w:id="268" w:name="_Toc13007"/>
      <w:bookmarkStart w:id="269" w:name="_Toc373478343"/>
      <w:r>
        <w:rPr>
          <w:rFonts w:hint="eastAsia" w:ascii="宋体" w:hAnsi="宋体" w:cs="宋体"/>
          <w:color w:val="auto"/>
          <w:sz w:val="21"/>
          <w:szCs w:val="21"/>
        </w:rPr>
        <w:t>1.5 合同文件的优先顺序</w:t>
      </w:r>
      <w:bookmarkEnd w:id="260"/>
      <w:bookmarkEnd w:id="261"/>
      <w:bookmarkEnd w:id="262"/>
      <w:bookmarkEnd w:id="263"/>
      <w:bookmarkEnd w:id="264"/>
      <w:bookmarkEnd w:id="265"/>
      <w:bookmarkEnd w:id="266"/>
      <w:bookmarkEnd w:id="267"/>
      <w:bookmarkEnd w:id="268"/>
      <w:bookmarkEnd w:id="269"/>
    </w:p>
    <w:p w14:paraId="570E7BA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合同文件组成及优先顺序为：</w:t>
      </w:r>
    </w:p>
    <w:p w14:paraId="61ABD4C5">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（1）合同协议书；</w:t>
      </w:r>
    </w:p>
    <w:p w14:paraId="180E6E7F">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（2）竞争性谈判文件及成交通知书（如果有）；</w:t>
      </w:r>
    </w:p>
    <w:p w14:paraId="7CB1CB4F">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（3）竞标函及其附录（如果有）；</w:t>
      </w:r>
    </w:p>
    <w:p w14:paraId="4BD19959">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（4）专用合同条款及其附件；</w:t>
      </w:r>
    </w:p>
    <w:p w14:paraId="42F4CAB7">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（5）通用合同条款；</w:t>
      </w:r>
    </w:p>
    <w:p w14:paraId="4411B116">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w:t>
      </w:r>
      <w:r>
        <w:rPr>
          <w:rFonts w:hint="eastAsia" w:ascii="宋体" w:hAnsi="宋体" w:cs="宋体"/>
          <w:color w:val="auto"/>
          <w:kern w:val="0"/>
          <w:szCs w:val="21"/>
          <w:u w:val="single"/>
        </w:rPr>
        <w:t xml:space="preserve">标准、规范及有关技术文件 </w:t>
      </w:r>
      <w:r>
        <w:rPr>
          <w:rFonts w:hint="eastAsia" w:ascii="宋体" w:hAnsi="宋体" w:cs="宋体"/>
          <w:color w:val="auto"/>
          <w:kern w:val="0"/>
          <w:szCs w:val="21"/>
        </w:rPr>
        <w:t>；</w:t>
      </w:r>
    </w:p>
    <w:p w14:paraId="75C37454">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（7）</w:t>
      </w:r>
      <w:r>
        <w:rPr>
          <w:rFonts w:hint="eastAsia" w:ascii="宋体" w:hAnsi="宋体" w:cs="宋体"/>
          <w:color w:val="auto"/>
          <w:kern w:val="0"/>
          <w:szCs w:val="21"/>
          <w:u w:val="single"/>
        </w:rPr>
        <w:t>图纸（含图纸修改通知单及图纸设计变更文件）</w:t>
      </w:r>
      <w:r>
        <w:rPr>
          <w:rFonts w:hint="eastAsia" w:ascii="宋体" w:hAnsi="宋体" w:cs="宋体"/>
          <w:color w:val="auto"/>
          <w:kern w:val="0"/>
          <w:szCs w:val="21"/>
        </w:rPr>
        <w:t>；</w:t>
      </w:r>
    </w:p>
    <w:p w14:paraId="6652A476">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（8）</w:t>
      </w:r>
      <w:r>
        <w:rPr>
          <w:rFonts w:hint="eastAsia" w:ascii="宋体" w:hAnsi="宋体" w:cs="宋体"/>
          <w:color w:val="auto"/>
          <w:kern w:val="0"/>
          <w:szCs w:val="21"/>
          <w:u w:val="single"/>
        </w:rPr>
        <w:t>已标价工程量清单</w:t>
      </w:r>
      <w:r>
        <w:rPr>
          <w:rFonts w:hint="eastAsia" w:ascii="宋体" w:hAnsi="宋体" w:cs="宋体"/>
          <w:color w:val="auto"/>
          <w:kern w:val="0"/>
          <w:szCs w:val="21"/>
        </w:rPr>
        <w:t>；</w:t>
      </w:r>
    </w:p>
    <w:p w14:paraId="0B7C3D14">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（9）</w:t>
      </w:r>
      <w:r>
        <w:rPr>
          <w:rFonts w:hint="eastAsia" w:ascii="宋体" w:hAnsi="宋体" w:cs="宋体"/>
          <w:color w:val="auto"/>
          <w:kern w:val="0"/>
          <w:szCs w:val="21"/>
          <w:u w:val="single"/>
        </w:rPr>
        <w:t>本工程预算控制价造价成果文件；</w:t>
      </w:r>
    </w:p>
    <w:p w14:paraId="383FE58F">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10）《建设工程工程量清单计价规范》（GB50500-2013）、《建设工程工程量清单计价规范（GB50500-2013）广西壮族自治区实施细则》、《建设工程工程量计算规范》（GB50854~50862-2013）、《建设工程工程量计算规范（GB50854~50862-2013）广西壮族自治区实施细则（修订本）》及《关于建筑业实施营业税改征增值税后广西壮族自治区建设工程计价依据调整的通知》（桂建标〔2016〕17号）。</w:t>
      </w:r>
    </w:p>
    <w:p w14:paraId="065668C2">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说明：（6）、（7）、（8）、（9）填空内容分别限于技术标准和要求、图纸、已标价工程量清单或预算书、其他合同文件四者之一，其优先顺序可根据采取的不同合同方式由双方约定。</w:t>
      </w:r>
    </w:p>
    <w:p w14:paraId="3BFD8ABB">
      <w:pPr>
        <w:pStyle w:val="5"/>
        <w:ind w:firstLine="422" w:firstLineChars="200"/>
        <w:rPr>
          <w:rFonts w:hint="eastAsia" w:ascii="宋体" w:hAnsi="宋体" w:cs="宋体"/>
          <w:color w:val="auto"/>
          <w:sz w:val="21"/>
          <w:szCs w:val="21"/>
        </w:rPr>
      </w:pPr>
      <w:bookmarkStart w:id="270" w:name="_Toc389065263"/>
      <w:bookmarkStart w:id="271" w:name="_Toc17294"/>
      <w:bookmarkStart w:id="272" w:name="_Toc486528956"/>
      <w:bookmarkStart w:id="273" w:name="_Toc32712"/>
      <w:bookmarkStart w:id="274" w:name="_Toc18913"/>
      <w:bookmarkStart w:id="275" w:name="_Toc10833"/>
      <w:bookmarkStart w:id="276" w:name="_Toc32446"/>
      <w:bookmarkStart w:id="277" w:name="_Toc373227697"/>
      <w:bookmarkStart w:id="278" w:name="_Toc17706"/>
      <w:bookmarkStart w:id="279" w:name="_Toc373478344"/>
      <w:r>
        <w:rPr>
          <w:rFonts w:hint="eastAsia" w:ascii="宋体" w:hAnsi="宋体" w:cs="宋体"/>
          <w:color w:val="auto"/>
          <w:sz w:val="21"/>
          <w:szCs w:val="21"/>
        </w:rPr>
        <w:t>1.6 图纸和承包人文件</w:t>
      </w:r>
      <w:bookmarkEnd w:id="270"/>
      <w:bookmarkEnd w:id="271"/>
      <w:bookmarkEnd w:id="272"/>
      <w:bookmarkEnd w:id="273"/>
      <w:bookmarkEnd w:id="274"/>
      <w:bookmarkEnd w:id="275"/>
      <w:bookmarkEnd w:id="276"/>
      <w:bookmarkEnd w:id="277"/>
      <w:bookmarkEnd w:id="278"/>
      <w:bookmarkEnd w:id="279"/>
      <w:r>
        <w:rPr>
          <w:rFonts w:hint="eastAsia" w:ascii="宋体" w:hAnsi="宋体" w:cs="宋体"/>
          <w:color w:val="auto"/>
          <w:sz w:val="21"/>
          <w:szCs w:val="21"/>
        </w:rPr>
        <w:tab/>
      </w:r>
    </w:p>
    <w:p w14:paraId="08C000E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 图纸的提供</w:t>
      </w:r>
    </w:p>
    <w:p w14:paraId="48EE5C2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合同签定后7天内</w:t>
      </w:r>
      <w:r>
        <w:rPr>
          <w:rFonts w:hint="eastAsia" w:ascii="宋体" w:hAnsi="宋体" w:cs="宋体"/>
          <w:color w:val="auto"/>
          <w:szCs w:val="21"/>
        </w:rPr>
        <w:t>；</w:t>
      </w:r>
    </w:p>
    <w:p w14:paraId="7B5228A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color w:val="auto"/>
          <w:szCs w:val="21"/>
          <w:u w:val="single"/>
        </w:rPr>
        <w:t>肆套，承包人需要增加图纸套数的，发包人应代为复制，复制费用由承包人承担</w:t>
      </w:r>
      <w:r>
        <w:rPr>
          <w:rFonts w:hint="eastAsia" w:ascii="宋体" w:hAnsi="宋体" w:cs="宋体"/>
          <w:color w:val="auto"/>
          <w:szCs w:val="21"/>
        </w:rPr>
        <w:t>；</w:t>
      </w:r>
    </w:p>
    <w:p w14:paraId="19EE32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经审核并通过备案的施工图一份（含设计变更）</w:t>
      </w:r>
      <w:r>
        <w:rPr>
          <w:rFonts w:hint="eastAsia" w:ascii="宋体" w:hAnsi="宋体" w:cs="宋体"/>
          <w:color w:val="auto"/>
          <w:szCs w:val="21"/>
        </w:rPr>
        <w:t>。</w:t>
      </w:r>
    </w:p>
    <w:p w14:paraId="620252E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1.6.4 承包人文件</w:t>
      </w:r>
    </w:p>
    <w:p w14:paraId="0E33DE6F">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需要由承包人提供的文件，包括：</w:t>
      </w:r>
      <w:r>
        <w:rPr>
          <w:rFonts w:hint="eastAsia" w:ascii="宋体" w:hAnsi="宋体" w:cs="宋体"/>
          <w:color w:val="auto"/>
          <w:szCs w:val="21"/>
          <w:u w:val="single"/>
        </w:rPr>
        <w:t xml:space="preserve">  /  </w:t>
      </w:r>
      <w:r>
        <w:rPr>
          <w:rFonts w:hint="eastAsia" w:ascii="宋体" w:hAnsi="宋体" w:cs="宋体"/>
          <w:color w:val="auto"/>
          <w:szCs w:val="21"/>
        </w:rPr>
        <w:t>；</w:t>
      </w:r>
    </w:p>
    <w:p w14:paraId="76E912B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合同签订开始至竣工验收合格后一个月内</w:t>
      </w:r>
      <w:r>
        <w:rPr>
          <w:rFonts w:hint="eastAsia" w:ascii="宋体" w:hAnsi="宋体" w:cs="宋体"/>
          <w:color w:val="auto"/>
          <w:szCs w:val="21"/>
        </w:rPr>
        <w:t>；</w:t>
      </w:r>
    </w:p>
    <w:p w14:paraId="6680519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 xml:space="preserve">   一式六份   </w:t>
      </w:r>
      <w:r>
        <w:rPr>
          <w:rFonts w:hint="eastAsia" w:ascii="宋体" w:hAnsi="宋体" w:cs="宋体"/>
          <w:color w:val="auto"/>
          <w:szCs w:val="21"/>
        </w:rPr>
        <w:t>；</w:t>
      </w:r>
    </w:p>
    <w:p w14:paraId="63C62C5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纸质，装订成册</w:t>
      </w:r>
      <w:r>
        <w:rPr>
          <w:rFonts w:hint="eastAsia" w:ascii="宋体" w:hAnsi="宋体" w:cs="宋体"/>
          <w:color w:val="auto"/>
          <w:szCs w:val="21"/>
        </w:rPr>
        <w:t>；</w:t>
      </w:r>
    </w:p>
    <w:p w14:paraId="44A12CA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发包人审批承包人文件的期限：</w:t>
      </w:r>
      <w:r>
        <w:rPr>
          <w:rFonts w:hint="eastAsia" w:ascii="宋体" w:hAnsi="宋体" w:cs="宋体"/>
          <w:color w:val="auto"/>
          <w:szCs w:val="21"/>
          <w:u w:val="single"/>
        </w:rPr>
        <w:t>收到承包人提供的文件后7天内</w:t>
      </w:r>
      <w:r>
        <w:rPr>
          <w:rFonts w:hint="eastAsia" w:ascii="宋体" w:hAnsi="宋体" w:cs="宋体"/>
          <w:color w:val="auto"/>
          <w:szCs w:val="21"/>
        </w:rPr>
        <w:t>。</w:t>
      </w:r>
    </w:p>
    <w:p w14:paraId="763ACAF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1.6.5 现场图纸准备</w:t>
      </w:r>
    </w:p>
    <w:p w14:paraId="4889972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pacing w:val="-6"/>
          <w:szCs w:val="21"/>
          <w:u w:val="single"/>
        </w:rPr>
        <w:t>所有涉工程的文件、图纸、数据未经发包人许可不得以任何形式私自保留或外传，由于承包人不能按时提供文件导致发包人不能及时办理施工许可证，所造成的后果由承包人承担</w:t>
      </w:r>
      <w:r>
        <w:rPr>
          <w:rFonts w:hint="eastAsia" w:ascii="宋体" w:hAnsi="宋体" w:cs="宋体"/>
          <w:color w:val="auto"/>
          <w:szCs w:val="21"/>
        </w:rPr>
        <w:t>。</w:t>
      </w:r>
    </w:p>
    <w:p w14:paraId="6178DE87">
      <w:pPr>
        <w:pStyle w:val="5"/>
        <w:ind w:firstLine="422" w:firstLineChars="200"/>
        <w:rPr>
          <w:rFonts w:hint="eastAsia" w:ascii="宋体" w:hAnsi="宋体" w:cs="宋体"/>
          <w:color w:val="auto"/>
          <w:sz w:val="21"/>
          <w:szCs w:val="21"/>
        </w:rPr>
      </w:pPr>
      <w:bookmarkStart w:id="280" w:name="_Toc389065264"/>
      <w:bookmarkStart w:id="281" w:name="_Toc22658"/>
      <w:bookmarkStart w:id="282" w:name="_Toc30642"/>
      <w:bookmarkStart w:id="283" w:name="_Toc20800"/>
      <w:bookmarkStart w:id="284" w:name="_Toc14333"/>
      <w:bookmarkStart w:id="285" w:name="_Toc373478345"/>
      <w:bookmarkStart w:id="286" w:name="_Toc30945"/>
      <w:bookmarkStart w:id="287" w:name="_Toc373227698"/>
      <w:bookmarkStart w:id="288" w:name="_Toc486528957"/>
      <w:bookmarkStart w:id="289" w:name="_Toc12640"/>
      <w:r>
        <w:rPr>
          <w:rFonts w:hint="eastAsia" w:ascii="宋体" w:hAnsi="宋体" w:cs="宋体"/>
          <w:color w:val="auto"/>
          <w:sz w:val="21"/>
          <w:szCs w:val="21"/>
        </w:rPr>
        <w:t>1.7 联络</w:t>
      </w:r>
      <w:bookmarkEnd w:id="280"/>
      <w:bookmarkEnd w:id="281"/>
      <w:bookmarkEnd w:id="282"/>
      <w:bookmarkEnd w:id="283"/>
      <w:bookmarkEnd w:id="284"/>
      <w:bookmarkEnd w:id="285"/>
      <w:bookmarkEnd w:id="286"/>
      <w:bookmarkEnd w:id="287"/>
      <w:bookmarkEnd w:id="288"/>
      <w:bookmarkEnd w:id="289"/>
    </w:p>
    <w:p w14:paraId="74FDCAB0">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1.7.1发包人和承包人应当在</w:t>
      </w:r>
      <w:r>
        <w:rPr>
          <w:rFonts w:hint="eastAsia" w:ascii="宋体" w:hAnsi="宋体" w:cs="宋体"/>
          <w:color w:val="auto"/>
          <w:szCs w:val="21"/>
          <w:u w:val="single"/>
        </w:rPr>
        <w:t xml:space="preserve">7 </w:t>
      </w:r>
      <w:r>
        <w:rPr>
          <w:rFonts w:hint="eastAsia" w:ascii="宋体" w:hAnsi="宋体" w:cs="宋体"/>
          <w:color w:val="auto"/>
          <w:kern w:val="0"/>
          <w:szCs w:val="21"/>
        </w:rPr>
        <w:t>天内将与合同有关的通知、批准、证明、证书、指示、指令、要求、请求、同意、意见、确定和决定等书面函件送达对方当事人。</w:t>
      </w:r>
    </w:p>
    <w:p w14:paraId="4755C67C">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1.7.2 发包人接收文件的地点：</w:t>
      </w:r>
      <w:r>
        <w:rPr>
          <w:rFonts w:hint="eastAsia" w:ascii="宋体" w:hAnsi="宋体" w:cs="宋体"/>
          <w:color w:val="auto"/>
          <w:kern w:val="0"/>
          <w:szCs w:val="21"/>
          <w:u w:val="single"/>
        </w:rPr>
        <w:t>广西</w:t>
      </w:r>
      <w:r>
        <w:rPr>
          <w:rFonts w:hint="eastAsia" w:ascii="宋体" w:hAnsi="宋体" w:cs="宋体"/>
          <w:color w:val="auto"/>
          <w:szCs w:val="21"/>
          <w:u w:val="single"/>
        </w:rPr>
        <w:t>桂林市象山区崇信路46号</w:t>
      </w:r>
      <w:r>
        <w:rPr>
          <w:rFonts w:hint="eastAsia" w:ascii="宋体" w:hAnsi="宋体" w:cs="宋体"/>
          <w:color w:val="auto"/>
          <w:kern w:val="0"/>
          <w:szCs w:val="21"/>
        </w:rPr>
        <w:t>；</w:t>
      </w:r>
    </w:p>
    <w:p w14:paraId="40AC6953">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发包人指定的接收人为：</w:t>
      </w:r>
      <w:r>
        <w:rPr>
          <w:rFonts w:hint="eastAsia" w:ascii="宋体" w:hAnsi="宋体" w:cs="宋体"/>
          <w:color w:val="auto"/>
          <w:szCs w:val="21"/>
          <w:u w:val="single"/>
        </w:rPr>
        <w:t>签约时填写</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kern w:val="0"/>
          <w:szCs w:val="21"/>
        </w:rPr>
        <w:t>；</w:t>
      </w:r>
    </w:p>
    <w:p w14:paraId="31516CAB">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承包人接收文件的地点：</w:t>
      </w:r>
      <w:r>
        <w:rPr>
          <w:rFonts w:hint="eastAsia" w:ascii="宋体" w:hAnsi="宋体" w:cs="宋体"/>
          <w:color w:val="auto"/>
          <w:szCs w:val="21"/>
          <w:u w:val="single"/>
        </w:rPr>
        <w:t>签约时填写</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kern w:val="0"/>
          <w:szCs w:val="21"/>
        </w:rPr>
        <w:t>；</w:t>
      </w:r>
    </w:p>
    <w:p w14:paraId="1BC2BBF5">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承包人指定的接收人为：</w:t>
      </w:r>
      <w:r>
        <w:rPr>
          <w:rFonts w:hint="eastAsia" w:ascii="宋体" w:hAnsi="宋体" w:cs="宋体"/>
          <w:color w:val="auto"/>
          <w:szCs w:val="21"/>
          <w:u w:val="single"/>
        </w:rPr>
        <w:t>签约时填写               </w:t>
      </w:r>
      <w:r>
        <w:rPr>
          <w:rFonts w:hint="eastAsia" w:ascii="宋体" w:hAnsi="宋体" w:cs="宋体"/>
          <w:color w:val="auto"/>
          <w:kern w:val="0"/>
          <w:szCs w:val="21"/>
        </w:rPr>
        <w:t>；</w:t>
      </w:r>
    </w:p>
    <w:p w14:paraId="18B165B2">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监理人接收文件的地点：</w:t>
      </w:r>
      <w:r>
        <w:rPr>
          <w:rFonts w:hint="eastAsia" w:ascii="宋体" w:hAnsi="宋体" w:cs="宋体"/>
          <w:color w:val="auto"/>
          <w:szCs w:val="21"/>
          <w:u w:val="single"/>
        </w:rPr>
        <w:t>签约时填写            </w:t>
      </w:r>
      <w:r>
        <w:rPr>
          <w:rFonts w:hint="eastAsia" w:ascii="宋体" w:hAnsi="宋体" w:cs="宋体"/>
          <w:color w:val="auto"/>
          <w:kern w:val="0"/>
          <w:szCs w:val="21"/>
        </w:rPr>
        <w:t>；</w:t>
      </w:r>
    </w:p>
    <w:p w14:paraId="68972046">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监理人指定的接收人为：</w:t>
      </w:r>
      <w:r>
        <w:rPr>
          <w:rFonts w:hint="eastAsia" w:ascii="宋体" w:hAnsi="宋体" w:cs="宋体"/>
          <w:color w:val="auto"/>
          <w:szCs w:val="21"/>
          <w:u w:val="single"/>
        </w:rPr>
        <w:t>签约时填写                 </w:t>
      </w:r>
      <w:r>
        <w:rPr>
          <w:rFonts w:hint="eastAsia" w:ascii="宋体" w:hAnsi="宋体" w:cs="宋体"/>
          <w:color w:val="auto"/>
          <w:kern w:val="0"/>
          <w:szCs w:val="21"/>
        </w:rPr>
        <w:t>。</w:t>
      </w:r>
    </w:p>
    <w:p w14:paraId="08BE09A1">
      <w:pPr>
        <w:pStyle w:val="5"/>
        <w:ind w:firstLine="422" w:firstLineChars="200"/>
        <w:rPr>
          <w:rFonts w:hint="eastAsia" w:ascii="宋体" w:hAnsi="宋体" w:cs="宋体"/>
          <w:color w:val="auto"/>
          <w:sz w:val="21"/>
          <w:szCs w:val="21"/>
        </w:rPr>
      </w:pPr>
      <w:bookmarkStart w:id="290" w:name="_Toc17600"/>
      <w:bookmarkStart w:id="291" w:name="_Toc18687"/>
      <w:bookmarkStart w:id="292" w:name="_Toc2168"/>
      <w:bookmarkStart w:id="293" w:name="_Toc373227699"/>
      <w:bookmarkStart w:id="294" w:name="_Toc23331"/>
      <w:bookmarkStart w:id="295" w:name="_Toc373478346"/>
      <w:bookmarkStart w:id="296" w:name="_Toc7087"/>
      <w:bookmarkStart w:id="297" w:name="_Toc486528958"/>
      <w:bookmarkStart w:id="298" w:name="_Toc25179"/>
      <w:bookmarkStart w:id="299" w:name="_Toc389065265"/>
      <w:r>
        <w:rPr>
          <w:rFonts w:hint="eastAsia" w:ascii="宋体" w:hAnsi="宋体" w:cs="宋体"/>
          <w:color w:val="auto"/>
          <w:sz w:val="21"/>
          <w:szCs w:val="21"/>
        </w:rPr>
        <w:t>1.10 交通运输</w:t>
      </w:r>
      <w:bookmarkEnd w:id="290"/>
      <w:bookmarkEnd w:id="291"/>
      <w:bookmarkEnd w:id="292"/>
      <w:bookmarkEnd w:id="293"/>
      <w:bookmarkEnd w:id="294"/>
      <w:bookmarkEnd w:id="295"/>
      <w:bookmarkEnd w:id="296"/>
      <w:bookmarkEnd w:id="297"/>
      <w:bookmarkEnd w:id="298"/>
      <w:bookmarkEnd w:id="299"/>
    </w:p>
    <w:p w14:paraId="7D8424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bookmarkStart w:id="300" w:name="_Toc300934943"/>
      <w:bookmarkStart w:id="301" w:name="_Toc303539100"/>
      <w:bookmarkStart w:id="302" w:name="_Toc304295521"/>
      <w:bookmarkStart w:id="303" w:name="_Toc312677986"/>
      <w:bookmarkStart w:id="304" w:name="_Toc318581155"/>
      <w:r>
        <w:rPr>
          <w:rFonts w:hint="eastAsia" w:ascii="宋体" w:hAnsi="宋体" w:cs="宋体"/>
          <w:color w:val="auto"/>
          <w:szCs w:val="21"/>
        </w:rPr>
        <w:t>.10.1 出入现场的权利</w:t>
      </w:r>
    </w:p>
    <w:p w14:paraId="5167FA43">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关于出入现场的权利的约定：</w:t>
      </w:r>
      <w:r>
        <w:rPr>
          <w:rFonts w:hint="eastAsia" w:ascii="宋体" w:hAnsi="宋体" w:cs="宋体"/>
          <w:color w:val="auto"/>
          <w:szCs w:val="21"/>
          <w:u w:val="single"/>
        </w:rPr>
        <w:t xml:space="preserve">取得道路通行权、场外设施修建权的办理人：承包人负责办理，其相关费用由承包人承担 </w:t>
      </w:r>
      <w:r>
        <w:rPr>
          <w:rFonts w:hint="eastAsia" w:ascii="宋体" w:hAnsi="宋体" w:cs="宋体"/>
          <w:color w:val="auto"/>
          <w:szCs w:val="21"/>
        </w:rPr>
        <w:t>。</w:t>
      </w:r>
    </w:p>
    <w:bookmarkEnd w:id="300"/>
    <w:bookmarkEnd w:id="301"/>
    <w:bookmarkEnd w:id="302"/>
    <w:bookmarkEnd w:id="303"/>
    <w:bookmarkEnd w:id="304"/>
    <w:p w14:paraId="1CF8B9C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bookmarkStart w:id="305" w:name="_Toc300934944"/>
      <w:bookmarkStart w:id="306" w:name="_Toc312677987"/>
      <w:bookmarkStart w:id="307" w:name="_Toc304295522"/>
      <w:bookmarkStart w:id="308" w:name="_Toc303539101"/>
      <w:bookmarkStart w:id="309" w:name="_Toc318581156"/>
      <w:r>
        <w:rPr>
          <w:rFonts w:hint="eastAsia" w:ascii="宋体" w:hAnsi="宋体" w:cs="宋体"/>
          <w:color w:val="auto"/>
          <w:szCs w:val="21"/>
        </w:rPr>
        <w:t>.10.3 场内交通</w:t>
      </w:r>
    </w:p>
    <w:p w14:paraId="0CFBCE2E">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关于场外交通和场内交通的边界的约定：</w:t>
      </w:r>
      <w:r>
        <w:rPr>
          <w:rFonts w:hint="eastAsia" w:ascii="宋体" w:hAnsi="宋体" w:cs="宋体"/>
          <w:color w:val="auto"/>
          <w:kern w:val="0"/>
          <w:szCs w:val="21"/>
          <w:u w:val="single"/>
        </w:rPr>
        <w:t>以施工现场工地临时围墙为界，围墙以外为场外，以内为场内</w:t>
      </w:r>
      <w:r>
        <w:rPr>
          <w:rFonts w:hint="eastAsia" w:ascii="宋体" w:hAnsi="宋体" w:cs="宋体"/>
          <w:color w:val="auto"/>
          <w:spacing w:val="-6"/>
          <w:szCs w:val="21"/>
          <w:u w:val="single"/>
        </w:rPr>
        <w:t xml:space="preserve"> </w:t>
      </w:r>
      <w:r>
        <w:rPr>
          <w:rFonts w:hint="eastAsia" w:ascii="宋体" w:hAnsi="宋体" w:cs="宋体"/>
          <w:color w:val="auto"/>
          <w:szCs w:val="21"/>
        </w:rPr>
        <w:t>。</w:t>
      </w:r>
    </w:p>
    <w:p w14:paraId="332167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color w:val="auto"/>
          <w:szCs w:val="21"/>
          <w:u w:val="single"/>
        </w:rPr>
        <w:t>由承包人根据现场实际自行考虑，费用自理</w:t>
      </w:r>
      <w:r>
        <w:rPr>
          <w:rFonts w:hint="eastAsia" w:ascii="宋体" w:hAnsi="宋体" w:cs="宋体"/>
          <w:color w:val="auto"/>
          <w:szCs w:val="21"/>
        </w:rPr>
        <w:t>。</w:t>
      </w:r>
      <w:bookmarkEnd w:id="305"/>
      <w:bookmarkEnd w:id="306"/>
      <w:bookmarkEnd w:id="307"/>
      <w:bookmarkEnd w:id="308"/>
      <w:bookmarkEnd w:id="309"/>
      <w:bookmarkStart w:id="310" w:name="_Toc318581157"/>
    </w:p>
    <w:p w14:paraId="2395C43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1.10.4 超大件和超重件的运输</w:t>
      </w:r>
    </w:p>
    <w:p w14:paraId="4395EDF7">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 xml:space="preserve"> 承包人  </w:t>
      </w:r>
      <w:r>
        <w:rPr>
          <w:rFonts w:hint="eastAsia" w:ascii="宋体" w:hAnsi="宋体" w:cs="宋体"/>
          <w:color w:val="auto"/>
          <w:szCs w:val="21"/>
        </w:rPr>
        <w:t>承担。</w:t>
      </w:r>
    </w:p>
    <w:bookmarkEnd w:id="310"/>
    <w:p w14:paraId="69D6F119">
      <w:pPr>
        <w:pStyle w:val="5"/>
        <w:ind w:firstLine="422" w:firstLineChars="200"/>
        <w:rPr>
          <w:rFonts w:hint="eastAsia" w:ascii="宋体" w:hAnsi="宋体" w:cs="宋体"/>
          <w:color w:val="auto"/>
          <w:sz w:val="21"/>
          <w:szCs w:val="21"/>
        </w:rPr>
      </w:pPr>
      <w:bookmarkStart w:id="311" w:name="_Toc22584"/>
      <w:bookmarkStart w:id="312" w:name="_Toc486528959"/>
      <w:bookmarkStart w:id="313" w:name="_Toc5320"/>
      <w:bookmarkStart w:id="314" w:name="_Toc31844"/>
      <w:bookmarkStart w:id="315" w:name="_Toc32609"/>
      <w:bookmarkStart w:id="316" w:name="_Toc389065266"/>
      <w:bookmarkStart w:id="317" w:name="_Toc12100"/>
      <w:bookmarkStart w:id="318" w:name="_Toc373227700"/>
      <w:bookmarkStart w:id="319" w:name="_Toc373478347"/>
      <w:bookmarkStart w:id="320" w:name="_Toc15027"/>
      <w:r>
        <w:rPr>
          <w:rFonts w:hint="eastAsia" w:ascii="宋体" w:hAnsi="宋体" w:cs="宋体"/>
          <w:color w:val="auto"/>
          <w:sz w:val="21"/>
          <w:szCs w:val="21"/>
        </w:rPr>
        <w:t>1.11 知识产权</w:t>
      </w:r>
      <w:bookmarkEnd w:id="311"/>
      <w:bookmarkEnd w:id="312"/>
      <w:bookmarkEnd w:id="313"/>
      <w:bookmarkEnd w:id="314"/>
      <w:bookmarkEnd w:id="315"/>
      <w:bookmarkEnd w:id="316"/>
      <w:bookmarkEnd w:id="317"/>
      <w:bookmarkEnd w:id="318"/>
      <w:bookmarkEnd w:id="319"/>
      <w:bookmarkEnd w:id="320"/>
    </w:p>
    <w:p w14:paraId="75EC3A2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u w:val="single"/>
        </w:rPr>
        <w:t xml:space="preserve">  发包人    </w:t>
      </w:r>
      <w:r>
        <w:rPr>
          <w:rFonts w:hint="eastAsia" w:ascii="宋体" w:hAnsi="宋体" w:cs="宋体"/>
          <w:color w:val="auto"/>
          <w:szCs w:val="21"/>
        </w:rPr>
        <w:t>。</w:t>
      </w:r>
    </w:p>
    <w:p w14:paraId="027FBD7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关于发包人提供的上述文件的使用限制的要求：</w:t>
      </w:r>
      <w:r>
        <w:rPr>
          <w:rFonts w:hint="eastAsia" w:ascii="宋体" w:hAnsi="宋体" w:cs="宋体"/>
          <w:color w:val="auto"/>
          <w:szCs w:val="21"/>
          <w:u w:val="single"/>
        </w:rPr>
        <w:t xml:space="preserve"> 使用期限为施工工期内 </w:t>
      </w:r>
      <w:r>
        <w:rPr>
          <w:rFonts w:hint="eastAsia" w:ascii="宋体" w:hAnsi="宋体" w:cs="宋体"/>
          <w:color w:val="auto"/>
          <w:szCs w:val="21"/>
        </w:rPr>
        <w:t>。</w:t>
      </w:r>
    </w:p>
    <w:p w14:paraId="79953D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color w:val="auto"/>
          <w:szCs w:val="21"/>
          <w:u w:val="single"/>
        </w:rPr>
        <w:t xml:space="preserve">归发包人所有 </w:t>
      </w:r>
      <w:r>
        <w:rPr>
          <w:rFonts w:hint="eastAsia" w:ascii="宋体" w:hAnsi="宋体" w:cs="宋体"/>
          <w:color w:val="auto"/>
          <w:szCs w:val="21"/>
        </w:rPr>
        <w:t>。</w:t>
      </w:r>
    </w:p>
    <w:p w14:paraId="6D6AEFF5">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关于承包人提供的上述文件的使用限制的要求：</w:t>
      </w:r>
      <w:r>
        <w:rPr>
          <w:rFonts w:hint="eastAsia" w:ascii="宋体" w:hAnsi="宋体" w:cs="宋体"/>
          <w:color w:val="auto"/>
          <w:szCs w:val="21"/>
          <w:u w:val="single"/>
        </w:rPr>
        <w:t xml:space="preserve"> 使用期限为施工工期内 </w:t>
      </w:r>
      <w:r>
        <w:rPr>
          <w:rFonts w:hint="eastAsia" w:ascii="宋体" w:hAnsi="宋体" w:cs="宋体"/>
          <w:color w:val="auto"/>
          <w:szCs w:val="21"/>
        </w:rPr>
        <w:t>。</w:t>
      </w:r>
    </w:p>
    <w:p w14:paraId="3A847514">
      <w:pPr>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rPr>
        <w:t xml:space="preserve">1.11.4 </w:t>
      </w:r>
      <w:r>
        <w:rPr>
          <w:rFonts w:hint="eastAsia" w:ascii="宋体" w:hAnsi="宋体" w:cs="宋体"/>
          <w:color w:val="auto"/>
          <w:spacing w:val="-6"/>
          <w:szCs w:val="21"/>
        </w:rPr>
        <w:t>承包人在施工过程中所采用的专利、专有技术、技术秘密的使用费的承担方式：</w:t>
      </w:r>
      <w:r>
        <w:rPr>
          <w:rFonts w:hint="eastAsia" w:ascii="宋体" w:hAnsi="宋体" w:cs="宋体"/>
          <w:color w:val="auto"/>
          <w:spacing w:val="-6"/>
          <w:szCs w:val="21"/>
          <w:u w:val="single"/>
        </w:rPr>
        <w:t>由承包人承担</w:t>
      </w:r>
      <w:r>
        <w:rPr>
          <w:rFonts w:hint="eastAsia" w:ascii="宋体" w:hAnsi="宋体" w:cs="宋体"/>
          <w:color w:val="auto"/>
          <w:kern w:val="0"/>
          <w:szCs w:val="21"/>
        </w:rPr>
        <w:t>。</w:t>
      </w:r>
    </w:p>
    <w:p w14:paraId="4963891D">
      <w:pPr>
        <w:pStyle w:val="4"/>
        <w:spacing w:line="360" w:lineRule="auto"/>
        <w:ind w:firstLine="422" w:firstLineChars="200"/>
        <w:rPr>
          <w:rFonts w:hint="eastAsia" w:ascii="宋体" w:hAnsi="宋体" w:cs="宋体"/>
          <w:color w:val="auto"/>
          <w:sz w:val="21"/>
          <w:szCs w:val="21"/>
        </w:rPr>
      </w:pPr>
      <w:bookmarkStart w:id="321" w:name="_Toc11337"/>
      <w:bookmarkStart w:id="322" w:name="_Toc28881"/>
      <w:bookmarkStart w:id="323" w:name="_Toc373227702"/>
      <w:bookmarkStart w:id="324" w:name="_Toc351203634"/>
      <w:bookmarkStart w:id="325" w:name="_Toc389065268"/>
      <w:bookmarkStart w:id="326" w:name="_Toc2331"/>
      <w:bookmarkStart w:id="327" w:name="_Toc11479"/>
      <w:bookmarkStart w:id="328" w:name="_Toc26050"/>
      <w:bookmarkStart w:id="329" w:name="_Toc486528961"/>
      <w:bookmarkStart w:id="330" w:name="_Toc373478349"/>
      <w:bookmarkStart w:id="331" w:name="_Toc2923"/>
      <w:r>
        <w:rPr>
          <w:rFonts w:hint="eastAsia" w:ascii="宋体" w:hAnsi="宋体" w:cs="宋体"/>
          <w:color w:val="auto"/>
          <w:sz w:val="21"/>
          <w:szCs w:val="21"/>
        </w:rPr>
        <w:t>2</w:t>
      </w:r>
      <w:bookmarkStart w:id="332" w:name="_Toc292559867"/>
      <w:bookmarkStart w:id="333" w:name="_Toc296890985"/>
      <w:bookmarkStart w:id="334" w:name="_Toc297048343"/>
      <w:bookmarkStart w:id="335" w:name="_Toc292559362"/>
      <w:bookmarkStart w:id="336" w:name="_Toc296503157"/>
      <w:bookmarkStart w:id="337" w:name="_Toc297120457"/>
      <w:bookmarkStart w:id="338" w:name="_Toc296891197"/>
      <w:bookmarkStart w:id="339" w:name="_Toc296346658"/>
      <w:bookmarkStart w:id="340" w:name="_Toc296347156"/>
      <w:bookmarkStart w:id="341" w:name="_Toc296944496"/>
      <w:r>
        <w:rPr>
          <w:rFonts w:hint="eastAsia" w:ascii="宋体" w:hAnsi="宋体" w:cs="宋体"/>
          <w:color w:val="auto"/>
          <w:sz w:val="21"/>
          <w:szCs w:val="21"/>
        </w:rPr>
        <w:t>. 发包人</w:t>
      </w:r>
      <w:bookmarkEnd w:id="321"/>
      <w:bookmarkEnd w:id="322"/>
      <w:bookmarkEnd w:id="323"/>
      <w:bookmarkEnd w:id="324"/>
      <w:bookmarkEnd w:id="325"/>
      <w:bookmarkEnd w:id="326"/>
      <w:bookmarkEnd w:id="327"/>
      <w:bookmarkEnd w:id="328"/>
      <w:bookmarkEnd w:id="329"/>
      <w:bookmarkEnd w:id="330"/>
      <w:bookmarkEnd w:id="331"/>
    </w:p>
    <w:bookmarkEnd w:id="332"/>
    <w:bookmarkEnd w:id="333"/>
    <w:bookmarkEnd w:id="334"/>
    <w:bookmarkEnd w:id="335"/>
    <w:bookmarkEnd w:id="336"/>
    <w:bookmarkEnd w:id="337"/>
    <w:bookmarkEnd w:id="338"/>
    <w:bookmarkEnd w:id="339"/>
    <w:bookmarkEnd w:id="340"/>
    <w:bookmarkEnd w:id="341"/>
    <w:p w14:paraId="0A8FF7D4">
      <w:pPr>
        <w:pStyle w:val="5"/>
        <w:ind w:firstLine="422" w:firstLineChars="200"/>
        <w:rPr>
          <w:rFonts w:hint="eastAsia" w:ascii="宋体" w:hAnsi="宋体" w:cs="宋体"/>
          <w:color w:val="auto"/>
          <w:sz w:val="21"/>
          <w:szCs w:val="21"/>
        </w:rPr>
      </w:pPr>
      <w:bookmarkStart w:id="342" w:name="_Toc26604"/>
      <w:bookmarkStart w:id="343" w:name="_Toc23398"/>
      <w:bookmarkStart w:id="344" w:name="_Toc486528962"/>
      <w:bookmarkStart w:id="345" w:name="_Toc3061"/>
      <w:bookmarkStart w:id="346" w:name="_Toc14877"/>
      <w:bookmarkStart w:id="347" w:name="_Toc373227703"/>
      <w:bookmarkStart w:id="348" w:name="_Toc373478350"/>
      <w:bookmarkStart w:id="349" w:name="_Toc20816"/>
      <w:bookmarkStart w:id="350" w:name="_Toc29387"/>
      <w:bookmarkStart w:id="351" w:name="_Toc389065269"/>
      <w:r>
        <w:rPr>
          <w:rFonts w:hint="eastAsia" w:ascii="宋体" w:hAnsi="宋体" w:cs="宋体"/>
          <w:color w:val="auto"/>
          <w:sz w:val="21"/>
          <w:szCs w:val="21"/>
        </w:rPr>
        <w:t>2.2 发包人代表</w:t>
      </w:r>
      <w:bookmarkEnd w:id="342"/>
      <w:bookmarkEnd w:id="343"/>
      <w:bookmarkEnd w:id="344"/>
      <w:bookmarkEnd w:id="345"/>
      <w:bookmarkEnd w:id="346"/>
      <w:bookmarkEnd w:id="347"/>
      <w:bookmarkEnd w:id="348"/>
      <w:bookmarkEnd w:id="349"/>
      <w:bookmarkEnd w:id="350"/>
      <w:bookmarkEnd w:id="351"/>
    </w:p>
    <w:p w14:paraId="50232EC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发包人代表：</w:t>
      </w:r>
    </w:p>
    <w:p w14:paraId="70C6229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7C29F1B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7029F0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xml:space="preserve"> 签约时填写           </w:t>
      </w:r>
      <w:r>
        <w:rPr>
          <w:rFonts w:hint="eastAsia" w:ascii="宋体" w:hAnsi="宋体" w:cs="宋体"/>
          <w:color w:val="auto"/>
          <w:szCs w:val="21"/>
        </w:rPr>
        <w:t>；</w:t>
      </w:r>
    </w:p>
    <w:p w14:paraId="13F9CA2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70CC654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6C560FF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通信地址：广西桂林市象山区崇信路46号 。</w:t>
      </w:r>
    </w:p>
    <w:p w14:paraId="3CB02391">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发包人对发包人代表的授权范围如下：</w:t>
      </w:r>
      <w:r>
        <w:rPr>
          <w:rFonts w:hint="eastAsia" w:ascii="宋体" w:hAnsi="宋体" w:cs="宋体"/>
          <w:color w:val="auto"/>
          <w:szCs w:val="21"/>
          <w:u w:val="single"/>
        </w:rPr>
        <w:t>对工程进度、质量进行监督、</w:t>
      </w:r>
      <w:r>
        <w:rPr>
          <w:rFonts w:hint="eastAsia" w:ascii="宋体" w:hAnsi="宋体" w:cs="宋体"/>
          <w:color w:val="auto"/>
          <w:spacing w:val="-6"/>
          <w:szCs w:val="21"/>
          <w:u w:val="single"/>
        </w:rPr>
        <w:t>办理中间交工工程验收手续，负责现场签证，解决由发包人授权处理的事宜</w:t>
      </w:r>
      <w:r>
        <w:rPr>
          <w:rFonts w:hint="eastAsia" w:ascii="宋体" w:hAnsi="宋体" w:cs="宋体"/>
          <w:color w:val="auto"/>
          <w:spacing w:val="-6"/>
          <w:szCs w:val="21"/>
        </w:rPr>
        <w:t>。</w:t>
      </w:r>
    </w:p>
    <w:p w14:paraId="4C51569B">
      <w:pPr>
        <w:pStyle w:val="5"/>
        <w:ind w:firstLine="422" w:firstLineChars="200"/>
        <w:rPr>
          <w:rFonts w:hint="eastAsia" w:ascii="宋体" w:hAnsi="宋体" w:cs="宋体"/>
          <w:color w:val="auto"/>
          <w:sz w:val="21"/>
          <w:szCs w:val="21"/>
        </w:rPr>
      </w:pPr>
      <w:bookmarkStart w:id="352" w:name="_Toc5523"/>
      <w:bookmarkStart w:id="353" w:name="_Toc486528963"/>
      <w:bookmarkStart w:id="354" w:name="_Toc12108"/>
      <w:bookmarkStart w:id="355" w:name="_Toc11490"/>
      <w:bookmarkStart w:id="356" w:name="_Toc14946"/>
      <w:bookmarkStart w:id="357" w:name="_Toc27096"/>
      <w:bookmarkStart w:id="358" w:name="_Toc373227704"/>
      <w:bookmarkStart w:id="359" w:name="_Toc389065270"/>
      <w:bookmarkStart w:id="360" w:name="_Toc373478351"/>
      <w:bookmarkStart w:id="361" w:name="_Toc27614"/>
      <w:r>
        <w:rPr>
          <w:rFonts w:hint="eastAsia" w:ascii="宋体" w:hAnsi="宋体" w:cs="宋体"/>
          <w:color w:val="auto"/>
          <w:sz w:val="21"/>
          <w:szCs w:val="21"/>
        </w:rPr>
        <w:t>2.4 施工现场、施工条件和基础资料的提供</w:t>
      </w:r>
      <w:bookmarkEnd w:id="352"/>
      <w:bookmarkEnd w:id="353"/>
      <w:bookmarkEnd w:id="354"/>
      <w:bookmarkEnd w:id="355"/>
      <w:bookmarkEnd w:id="356"/>
      <w:bookmarkEnd w:id="357"/>
      <w:bookmarkEnd w:id="358"/>
      <w:bookmarkEnd w:id="359"/>
      <w:bookmarkEnd w:id="360"/>
      <w:bookmarkEnd w:id="361"/>
    </w:p>
    <w:p w14:paraId="6774457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2.4.1 提供施工现场</w:t>
      </w:r>
    </w:p>
    <w:p w14:paraId="729A835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color w:val="auto"/>
          <w:szCs w:val="21"/>
          <w:u w:val="single"/>
        </w:rPr>
        <w:t>施工场地应当在监理人发出的开工通知中载明的开工日期前 七 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cs="宋体"/>
          <w:color w:val="auto"/>
          <w:szCs w:val="21"/>
        </w:rPr>
        <w:t>。</w:t>
      </w:r>
    </w:p>
    <w:p w14:paraId="2CAD333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 提供施工条件</w:t>
      </w:r>
    </w:p>
    <w:p w14:paraId="0B919414">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关于发包人应负责提供施工所需要的条件，包括：</w:t>
      </w:r>
      <w:r>
        <w:rPr>
          <w:rFonts w:hint="eastAsia" w:ascii="宋体" w:hAnsi="宋体" w:cs="宋体"/>
          <w:color w:val="auto"/>
          <w:szCs w:val="21"/>
          <w:u w:val="single"/>
        </w:rPr>
        <w:t xml:space="preserve">发包人可配合承包人办理开工所需手续及相关申请，费用由承包人自行解决。若供电部门的原因造成停电，承包人必须自行解决施工用电，费用自理  </w:t>
      </w:r>
      <w:r>
        <w:rPr>
          <w:rFonts w:hint="eastAsia" w:ascii="宋体" w:hAnsi="宋体" w:cs="宋体"/>
          <w:color w:val="auto"/>
          <w:szCs w:val="21"/>
        </w:rPr>
        <w:t>。</w:t>
      </w:r>
    </w:p>
    <w:p w14:paraId="6AEA7C5C">
      <w:pPr>
        <w:pStyle w:val="5"/>
        <w:ind w:firstLine="422" w:firstLineChars="200"/>
        <w:rPr>
          <w:rFonts w:hint="eastAsia" w:ascii="宋体" w:hAnsi="宋体" w:cs="宋体"/>
          <w:color w:val="auto"/>
          <w:sz w:val="21"/>
          <w:szCs w:val="21"/>
        </w:rPr>
      </w:pPr>
      <w:bookmarkStart w:id="362" w:name="_Toc21681"/>
      <w:bookmarkStart w:id="363" w:name="_Toc16866"/>
      <w:bookmarkStart w:id="364" w:name="_Toc17446"/>
      <w:bookmarkStart w:id="365" w:name="_Toc373227705"/>
      <w:bookmarkStart w:id="366" w:name="_Toc486528964"/>
      <w:bookmarkStart w:id="367" w:name="_Toc21106"/>
      <w:bookmarkStart w:id="368" w:name="_Toc389065271"/>
      <w:bookmarkStart w:id="369" w:name="_Toc12138"/>
      <w:bookmarkStart w:id="370" w:name="_Toc373478352"/>
      <w:bookmarkStart w:id="371" w:name="_Toc23054"/>
      <w:r>
        <w:rPr>
          <w:rFonts w:hint="eastAsia" w:ascii="宋体" w:hAnsi="宋体" w:cs="宋体"/>
          <w:color w:val="auto"/>
          <w:sz w:val="21"/>
          <w:szCs w:val="21"/>
        </w:rPr>
        <w:t>2.5 资金来源证明及支付担保</w:t>
      </w:r>
      <w:bookmarkEnd w:id="362"/>
      <w:bookmarkEnd w:id="363"/>
      <w:bookmarkEnd w:id="364"/>
      <w:bookmarkEnd w:id="365"/>
      <w:bookmarkEnd w:id="366"/>
      <w:bookmarkEnd w:id="367"/>
      <w:bookmarkEnd w:id="368"/>
      <w:bookmarkEnd w:id="369"/>
      <w:bookmarkEnd w:id="370"/>
      <w:bookmarkEnd w:id="371"/>
    </w:p>
    <w:p w14:paraId="40B1BEF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发包人提供资金来源证明的期限要求：</w:t>
      </w:r>
      <w:r>
        <w:rPr>
          <w:rFonts w:hint="eastAsia" w:ascii="宋体" w:hAnsi="宋体" w:cs="宋体"/>
          <w:color w:val="auto"/>
          <w:szCs w:val="21"/>
          <w:u w:val="single"/>
        </w:rPr>
        <w:t xml:space="preserve">   无       </w:t>
      </w:r>
      <w:r>
        <w:rPr>
          <w:rFonts w:hint="eastAsia" w:ascii="宋体" w:hAnsi="宋体" w:cs="宋体"/>
          <w:color w:val="auto"/>
          <w:szCs w:val="21"/>
        </w:rPr>
        <w:t>。</w:t>
      </w:r>
    </w:p>
    <w:p w14:paraId="7DF913E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rPr>
        <w:t xml:space="preserve"> 否               </w:t>
      </w:r>
      <w:r>
        <w:rPr>
          <w:rFonts w:hint="eastAsia" w:ascii="宋体" w:hAnsi="宋体" w:cs="宋体"/>
          <w:color w:val="auto"/>
          <w:szCs w:val="21"/>
        </w:rPr>
        <w:t>。</w:t>
      </w:r>
    </w:p>
    <w:p w14:paraId="577E5C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发包人提供支付担保的形式：</w:t>
      </w:r>
      <w:r>
        <w:rPr>
          <w:rFonts w:hint="eastAsia" w:ascii="宋体" w:hAnsi="宋体" w:cs="宋体"/>
          <w:color w:val="auto"/>
          <w:szCs w:val="21"/>
          <w:u w:val="single"/>
        </w:rPr>
        <w:t xml:space="preserve">  无                </w:t>
      </w:r>
      <w:r>
        <w:rPr>
          <w:rFonts w:hint="eastAsia" w:ascii="宋体" w:hAnsi="宋体" w:cs="宋体"/>
          <w:color w:val="auto"/>
          <w:szCs w:val="21"/>
        </w:rPr>
        <w:t>。</w:t>
      </w:r>
    </w:p>
    <w:p w14:paraId="25AB3462">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发包人提供的支付担保格式见合同附件/。</w:t>
      </w:r>
    </w:p>
    <w:p w14:paraId="34055517">
      <w:pPr>
        <w:pStyle w:val="4"/>
        <w:spacing w:line="360" w:lineRule="auto"/>
        <w:ind w:firstLine="422" w:firstLineChars="200"/>
        <w:rPr>
          <w:rFonts w:hint="eastAsia" w:ascii="宋体" w:hAnsi="宋体" w:cs="宋体"/>
          <w:color w:val="auto"/>
          <w:sz w:val="21"/>
          <w:szCs w:val="21"/>
        </w:rPr>
      </w:pPr>
      <w:bookmarkStart w:id="372" w:name="_Toc389065272"/>
      <w:bookmarkStart w:id="373" w:name="_Toc373478353"/>
      <w:bookmarkStart w:id="374" w:name="_Toc3826"/>
      <w:bookmarkStart w:id="375" w:name="_Toc16376"/>
      <w:bookmarkStart w:id="376" w:name="_Toc12699"/>
      <w:bookmarkStart w:id="377" w:name="_Toc16854"/>
      <w:bookmarkStart w:id="378" w:name="_Toc3044"/>
      <w:bookmarkStart w:id="379" w:name="_Toc3422"/>
      <w:bookmarkStart w:id="380" w:name="_Toc486528965"/>
      <w:bookmarkStart w:id="381" w:name="_Toc373227706"/>
      <w:bookmarkStart w:id="382" w:name="_Toc351203635"/>
      <w:r>
        <w:rPr>
          <w:rFonts w:hint="eastAsia" w:ascii="宋体" w:hAnsi="宋体" w:cs="宋体"/>
          <w:color w:val="auto"/>
          <w:sz w:val="21"/>
          <w:szCs w:val="21"/>
        </w:rPr>
        <w:t>3</w:t>
      </w:r>
      <w:bookmarkStart w:id="383" w:name="_Toc296346659"/>
      <w:bookmarkStart w:id="384" w:name="_Toc292559363"/>
      <w:bookmarkStart w:id="385" w:name="_Toc296890986"/>
      <w:bookmarkStart w:id="386" w:name="_Toc292559868"/>
      <w:bookmarkStart w:id="387" w:name="_Toc296944497"/>
      <w:bookmarkStart w:id="388" w:name="_Toc296347157"/>
      <w:bookmarkStart w:id="389" w:name="_Toc296503158"/>
      <w:bookmarkStart w:id="390" w:name="_Toc297048344"/>
      <w:bookmarkStart w:id="391" w:name="_Toc296891198"/>
      <w:bookmarkStart w:id="392" w:name="_Toc297120458"/>
      <w:r>
        <w:rPr>
          <w:rFonts w:hint="eastAsia" w:ascii="宋体" w:hAnsi="宋体" w:cs="宋体"/>
          <w:color w:val="auto"/>
          <w:sz w:val="21"/>
          <w:szCs w:val="21"/>
        </w:rPr>
        <w:t>. 承包人</w:t>
      </w:r>
      <w:bookmarkEnd w:id="372"/>
      <w:bookmarkEnd w:id="373"/>
      <w:bookmarkEnd w:id="374"/>
      <w:bookmarkEnd w:id="375"/>
      <w:bookmarkEnd w:id="376"/>
      <w:bookmarkEnd w:id="377"/>
      <w:bookmarkEnd w:id="378"/>
      <w:bookmarkEnd w:id="379"/>
      <w:bookmarkEnd w:id="380"/>
      <w:bookmarkEnd w:id="381"/>
      <w:bookmarkEnd w:id="382"/>
    </w:p>
    <w:bookmarkEnd w:id="383"/>
    <w:bookmarkEnd w:id="384"/>
    <w:bookmarkEnd w:id="385"/>
    <w:bookmarkEnd w:id="386"/>
    <w:bookmarkEnd w:id="387"/>
    <w:bookmarkEnd w:id="388"/>
    <w:bookmarkEnd w:id="389"/>
    <w:bookmarkEnd w:id="390"/>
    <w:bookmarkEnd w:id="391"/>
    <w:bookmarkEnd w:id="392"/>
    <w:p w14:paraId="4B9E23C1">
      <w:pPr>
        <w:pStyle w:val="5"/>
        <w:ind w:firstLine="422" w:firstLineChars="200"/>
        <w:rPr>
          <w:rFonts w:hint="eastAsia" w:ascii="宋体" w:hAnsi="宋体" w:cs="宋体"/>
          <w:color w:val="auto"/>
          <w:sz w:val="21"/>
          <w:szCs w:val="21"/>
        </w:rPr>
      </w:pPr>
      <w:bookmarkStart w:id="393" w:name="_Toc373478354"/>
      <w:bookmarkStart w:id="394" w:name="_Toc32500"/>
      <w:bookmarkStart w:id="395" w:name="_Toc31723"/>
      <w:bookmarkStart w:id="396" w:name="_Toc1725"/>
      <w:bookmarkStart w:id="397" w:name="_Toc24732"/>
      <w:bookmarkStart w:id="398" w:name="_Toc373227707"/>
      <w:bookmarkStart w:id="399" w:name="_Toc486528966"/>
      <w:bookmarkStart w:id="400" w:name="_Toc389065273"/>
      <w:bookmarkStart w:id="401" w:name="_Toc13771"/>
      <w:bookmarkStart w:id="402" w:name="_Toc24588"/>
      <w:r>
        <w:rPr>
          <w:rFonts w:hint="eastAsia" w:ascii="宋体" w:hAnsi="宋体" w:cs="宋体"/>
          <w:color w:val="auto"/>
          <w:sz w:val="21"/>
          <w:szCs w:val="21"/>
        </w:rPr>
        <w:t>3.1 承包人的一般义务</w:t>
      </w:r>
      <w:bookmarkEnd w:id="393"/>
      <w:bookmarkEnd w:id="394"/>
      <w:bookmarkEnd w:id="395"/>
      <w:bookmarkEnd w:id="396"/>
      <w:bookmarkEnd w:id="397"/>
      <w:bookmarkEnd w:id="398"/>
      <w:bookmarkEnd w:id="399"/>
      <w:bookmarkEnd w:id="400"/>
      <w:bookmarkEnd w:id="401"/>
      <w:bookmarkEnd w:id="402"/>
    </w:p>
    <w:p w14:paraId="0CCE7922">
      <w:pPr>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（9）</w:t>
      </w:r>
      <w:r>
        <w:rPr>
          <w:rFonts w:hint="eastAsia" w:ascii="宋体" w:hAnsi="宋体" w:cs="宋体"/>
          <w:color w:val="auto"/>
          <w:szCs w:val="21"/>
        </w:rPr>
        <w:t>承包人提交的竣工资料的内容：</w:t>
      </w:r>
      <w:r>
        <w:rPr>
          <w:rFonts w:hint="eastAsia" w:ascii="宋体" w:hAnsi="宋体" w:cs="宋体"/>
          <w:color w:val="auto"/>
          <w:szCs w:val="21"/>
          <w:u w:val="single"/>
        </w:rPr>
        <w:t xml:space="preserve">   同通用条款   </w:t>
      </w:r>
      <w:r>
        <w:rPr>
          <w:rFonts w:hint="eastAsia" w:ascii="宋体" w:hAnsi="宋体" w:cs="宋体"/>
          <w:color w:val="auto"/>
          <w:szCs w:val="21"/>
        </w:rPr>
        <w:t>。</w:t>
      </w:r>
    </w:p>
    <w:p w14:paraId="6809D4E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承包人需要提交的竣工资料套数：</w:t>
      </w:r>
      <w:r>
        <w:rPr>
          <w:rFonts w:hint="eastAsia" w:ascii="宋体" w:hAnsi="宋体" w:cs="宋体"/>
          <w:color w:val="auto"/>
          <w:szCs w:val="21"/>
          <w:u w:val="single"/>
        </w:rPr>
        <w:t xml:space="preserve">     壹式陆套      </w:t>
      </w:r>
      <w:r>
        <w:rPr>
          <w:rFonts w:hint="eastAsia" w:ascii="宋体" w:hAnsi="宋体" w:cs="宋体"/>
          <w:color w:val="auto"/>
          <w:szCs w:val="21"/>
        </w:rPr>
        <w:t>。</w:t>
      </w:r>
    </w:p>
    <w:p w14:paraId="5C39B40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single"/>
        </w:rPr>
        <w:t xml:space="preserve">   承包人承担    </w:t>
      </w:r>
      <w:r>
        <w:rPr>
          <w:rFonts w:hint="eastAsia" w:ascii="宋体" w:hAnsi="宋体" w:cs="宋体"/>
          <w:color w:val="auto"/>
          <w:szCs w:val="21"/>
        </w:rPr>
        <w:t>。</w:t>
      </w:r>
    </w:p>
    <w:p w14:paraId="2CBC520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single"/>
        </w:rPr>
        <w:t xml:space="preserve">竣工验收前十五天内 </w:t>
      </w:r>
      <w:r>
        <w:rPr>
          <w:rFonts w:hint="eastAsia" w:ascii="宋体" w:hAnsi="宋体" w:cs="宋体"/>
          <w:color w:val="auto"/>
          <w:szCs w:val="21"/>
        </w:rPr>
        <w:t>。</w:t>
      </w:r>
    </w:p>
    <w:p w14:paraId="4FA3961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color w:val="auto"/>
          <w:szCs w:val="21"/>
          <w:u w:val="single"/>
        </w:rPr>
        <w:t>纸质版、影像资料及相应份数的电子版</w:t>
      </w:r>
      <w:r>
        <w:rPr>
          <w:rFonts w:hint="eastAsia" w:ascii="宋体" w:hAnsi="宋体" w:cs="宋体"/>
          <w:color w:val="auto"/>
          <w:szCs w:val="21"/>
        </w:rPr>
        <w:t>。</w:t>
      </w:r>
    </w:p>
    <w:p w14:paraId="51C17EAB">
      <w:pPr>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（10）承包人应履行的其他义务：</w:t>
      </w:r>
      <w:r>
        <w:rPr>
          <w:rFonts w:hint="eastAsia" w:ascii="宋体" w:hAnsi="宋体" w:cs="宋体"/>
          <w:color w:val="auto"/>
          <w:kern w:val="0"/>
          <w:szCs w:val="21"/>
          <w:u w:val="single"/>
        </w:rPr>
        <w:t>①承包人应当主动协调与本项目相关的单位或企业，确保项目施工顺利进行；②承包人应按时支付农民工工资，发包人支付到合同价款的80％时，承包人应全部支付完农民工工资，之后如有农民工到发包方单位及上级部门反映索要工资现象视为违约，每发生一次扣除最终结算价的1％，发包方可从应向承包方支付的款项中扣除；③施工期间如需办理停水手续，所产生的费用由承包人承担；④承包人在承包工程施工期间所发生的施工安全责任事故，全部应由承包人承担经济责任和法律责任。 关于配合费由承包方与现在建工程总包方协商解决。</w:t>
      </w:r>
    </w:p>
    <w:p w14:paraId="07253433">
      <w:pPr>
        <w:pStyle w:val="5"/>
        <w:ind w:firstLine="422" w:firstLineChars="200"/>
        <w:rPr>
          <w:rFonts w:hint="eastAsia" w:ascii="宋体" w:hAnsi="宋体" w:cs="宋体"/>
          <w:color w:val="auto"/>
          <w:sz w:val="21"/>
          <w:szCs w:val="21"/>
        </w:rPr>
      </w:pPr>
      <w:bookmarkStart w:id="403" w:name="_Toc24726"/>
      <w:bookmarkStart w:id="404" w:name="_Toc486528967"/>
      <w:bookmarkStart w:id="405" w:name="_Toc8096"/>
      <w:bookmarkStart w:id="406" w:name="_Toc21719"/>
      <w:bookmarkStart w:id="407" w:name="_Toc373478355"/>
      <w:bookmarkStart w:id="408" w:name="_Toc373227708"/>
      <w:bookmarkStart w:id="409" w:name="_Toc27412"/>
      <w:bookmarkStart w:id="410" w:name="_Toc11872"/>
      <w:bookmarkStart w:id="411" w:name="_Toc4605"/>
      <w:bookmarkStart w:id="412" w:name="_Toc389065274"/>
      <w:r>
        <w:rPr>
          <w:rFonts w:hint="eastAsia" w:ascii="宋体" w:hAnsi="宋体" w:cs="宋体"/>
          <w:color w:val="auto"/>
          <w:sz w:val="21"/>
          <w:szCs w:val="21"/>
        </w:rPr>
        <w:t>3.2 项目经理</w:t>
      </w:r>
      <w:bookmarkEnd w:id="403"/>
      <w:bookmarkEnd w:id="404"/>
      <w:bookmarkEnd w:id="405"/>
      <w:bookmarkEnd w:id="406"/>
      <w:bookmarkEnd w:id="407"/>
      <w:bookmarkEnd w:id="408"/>
      <w:bookmarkEnd w:id="409"/>
      <w:bookmarkEnd w:id="410"/>
      <w:bookmarkEnd w:id="411"/>
      <w:bookmarkEnd w:id="412"/>
    </w:p>
    <w:p w14:paraId="39504658">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 xml:space="preserve">3.2.1 </w:t>
      </w:r>
      <w:r>
        <w:rPr>
          <w:rFonts w:hint="eastAsia" w:ascii="宋体" w:hAnsi="宋体" w:cs="宋体"/>
          <w:color w:val="auto"/>
          <w:szCs w:val="21"/>
        </w:rPr>
        <w:t>项目经理（即责任工程师，下同）：</w:t>
      </w:r>
    </w:p>
    <w:p w14:paraId="57A7723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姓    名：</w:t>
      </w:r>
      <w:r>
        <w:rPr>
          <w:rFonts w:hint="eastAsia" w:ascii="宋体" w:hAnsi="宋体" w:cs="宋体"/>
          <w:color w:val="auto"/>
          <w:kern w:val="0"/>
          <w:szCs w:val="21"/>
          <w:u w:val="single"/>
        </w:rPr>
        <w:t>签约时填写</w:t>
      </w:r>
      <w:r>
        <w:rPr>
          <w:rFonts w:hint="eastAsia" w:ascii="宋体" w:hAnsi="宋体" w:cs="宋体"/>
          <w:color w:val="auto"/>
          <w:szCs w:val="21"/>
        </w:rPr>
        <w:t>；</w:t>
      </w:r>
    </w:p>
    <w:p w14:paraId="4DD47B9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身份证号：</w:t>
      </w:r>
      <w:r>
        <w:rPr>
          <w:rFonts w:hint="eastAsia" w:ascii="宋体" w:hAnsi="宋体" w:cs="宋体"/>
          <w:color w:val="auto"/>
          <w:kern w:val="0"/>
          <w:szCs w:val="21"/>
          <w:u w:val="single"/>
        </w:rPr>
        <w:t>签约时填写</w:t>
      </w:r>
      <w:r>
        <w:rPr>
          <w:rFonts w:hint="eastAsia" w:ascii="宋体" w:hAnsi="宋体" w:cs="宋体"/>
          <w:color w:val="auto"/>
          <w:szCs w:val="21"/>
        </w:rPr>
        <w:t>；</w:t>
      </w:r>
    </w:p>
    <w:p w14:paraId="6B956B9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文物责任工程师证业务范围：</w:t>
      </w:r>
      <w:r>
        <w:rPr>
          <w:rFonts w:hint="eastAsia" w:ascii="宋体" w:hAnsi="宋体" w:cs="宋体"/>
          <w:color w:val="auto"/>
          <w:kern w:val="0"/>
          <w:szCs w:val="21"/>
          <w:u w:val="single"/>
        </w:rPr>
        <w:t>签约时填写</w:t>
      </w:r>
      <w:r>
        <w:rPr>
          <w:rFonts w:hint="eastAsia" w:ascii="宋体" w:hAnsi="宋体" w:cs="宋体"/>
          <w:color w:val="auto"/>
          <w:szCs w:val="21"/>
        </w:rPr>
        <w:t>；</w:t>
      </w:r>
    </w:p>
    <w:p w14:paraId="5E4DCB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文物责任工程师证证书号：</w:t>
      </w:r>
      <w:r>
        <w:rPr>
          <w:rFonts w:hint="eastAsia" w:ascii="宋体" w:hAnsi="宋体" w:cs="宋体"/>
          <w:color w:val="auto"/>
          <w:kern w:val="0"/>
          <w:szCs w:val="21"/>
          <w:u w:val="single"/>
        </w:rPr>
        <w:t>签约时填写</w:t>
      </w:r>
      <w:r>
        <w:rPr>
          <w:rFonts w:hint="eastAsia" w:ascii="宋体" w:hAnsi="宋体" w:cs="宋体"/>
          <w:color w:val="auto"/>
          <w:szCs w:val="21"/>
        </w:rPr>
        <w:t>；</w:t>
      </w:r>
    </w:p>
    <w:p w14:paraId="69824F1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kern w:val="0"/>
          <w:szCs w:val="21"/>
          <w:u w:val="single"/>
        </w:rPr>
        <w:t>签约时填写</w:t>
      </w:r>
      <w:r>
        <w:rPr>
          <w:rFonts w:hint="eastAsia" w:ascii="宋体" w:hAnsi="宋体" w:cs="宋体"/>
          <w:color w:val="auto"/>
          <w:szCs w:val="21"/>
        </w:rPr>
        <w:t>；</w:t>
      </w:r>
    </w:p>
    <w:p w14:paraId="472129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kern w:val="0"/>
          <w:szCs w:val="21"/>
          <w:u w:val="single"/>
        </w:rPr>
        <w:t>签约时填写</w:t>
      </w:r>
      <w:r>
        <w:rPr>
          <w:rFonts w:hint="eastAsia" w:ascii="宋体" w:hAnsi="宋体" w:cs="宋体"/>
          <w:color w:val="auto"/>
          <w:szCs w:val="21"/>
        </w:rPr>
        <w:t>；</w:t>
      </w:r>
    </w:p>
    <w:p w14:paraId="5E4309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kern w:val="0"/>
          <w:szCs w:val="21"/>
          <w:u w:val="single"/>
        </w:rPr>
        <w:t>签约时填写</w:t>
      </w:r>
      <w:r>
        <w:rPr>
          <w:rFonts w:hint="eastAsia" w:ascii="宋体" w:hAnsi="宋体" w:cs="宋体"/>
          <w:color w:val="auto"/>
          <w:szCs w:val="21"/>
        </w:rPr>
        <w:t>；</w:t>
      </w:r>
    </w:p>
    <w:p w14:paraId="4CDA895B">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承包人对项目经理的授权范围如下：</w:t>
      </w:r>
      <w:r>
        <w:rPr>
          <w:rFonts w:hint="eastAsia" w:ascii="宋体" w:hAnsi="宋体" w:cs="宋体"/>
          <w:color w:val="auto"/>
          <w:szCs w:val="21"/>
          <w:u w:val="single"/>
        </w:rPr>
        <w:t>作为承包人在项目的授权代表，全面履行工程项目的管理职责，不得代表承包人或以承包人的名义借款和赊购材料，在未得到承包人书面授权时，不得代表承包人签订任何合同或协议。</w:t>
      </w:r>
    </w:p>
    <w:p w14:paraId="76D44A23">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关于项目经理每月在施工现场的时间要求：</w:t>
      </w:r>
      <w:r>
        <w:rPr>
          <w:rFonts w:hint="eastAsia" w:ascii="宋体" w:hAnsi="宋体" w:cs="宋体"/>
          <w:color w:val="auto"/>
          <w:szCs w:val="21"/>
          <w:u w:val="single"/>
        </w:rPr>
        <w:t>不得少于22个工作日。</w:t>
      </w:r>
    </w:p>
    <w:p w14:paraId="492D1800">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承包人未提交劳动合同，以及没有为项目经理缴纳社会保险证明的违约责任：</w:t>
      </w:r>
      <w:r>
        <w:rPr>
          <w:rFonts w:hint="eastAsia" w:ascii="宋体" w:hAnsi="宋体" w:cs="宋体"/>
          <w:color w:val="auto"/>
          <w:szCs w:val="21"/>
          <w:u w:val="single"/>
        </w:rPr>
        <w:t>发包人有权要求更换项目经理，由此增加的费用和（或）延误的工期由承包人承担。</w:t>
      </w:r>
    </w:p>
    <w:p w14:paraId="61FE986E">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项目经理未经批准，擅自离开施工现场的违约责任：</w:t>
      </w:r>
      <w:r>
        <w:rPr>
          <w:rFonts w:hint="eastAsia" w:ascii="宋体" w:hAnsi="宋体" w:cs="宋体"/>
          <w:color w:val="auto"/>
          <w:szCs w:val="21"/>
          <w:u w:val="single"/>
        </w:rPr>
        <w:t>项目经理每月在岗不得少于22天/月。在岗每天不少于6小时未经发包人同意或正当理由，项目经理每月在岗少于22天，每缺勤一天，发包人有权处违约金5000元/日（人民币）。</w:t>
      </w:r>
    </w:p>
    <w:p w14:paraId="7F2AAB65">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3.2.3 承包人擅自更换项目经理的违约责任：</w:t>
      </w:r>
      <w:r>
        <w:rPr>
          <w:rFonts w:hint="eastAsia" w:ascii="宋体" w:hAnsi="宋体" w:cs="宋体"/>
          <w:color w:val="auto"/>
          <w:szCs w:val="21"/>
          <w:u w:val="single"/>
        </w:rPr>
        <w:t>承包人项目经理必须与承包人参与竞标时所承诺的人员一致，并在开工前7天前到任。在监理人向承包人颁发本工程已竣工证明材料前，不存在有在建、已中标（成交）未开工或已列为其他项目中标（成交）候选人第一名的责任工程师的情形。未经发包人书面同意，承包人擅自更换项目经理的视为违约，违约金处3000元/人•次（人民币）</w:t>
      </w:r>
      <w:r>
        <w:rPr>
          <w:rFonts w:hint="eastAsia" w:ascii="宋体" w:hAnsi="宋体" w:cs="宋体"/>
          <w:color w:val="auto"/>
          <w:szCs w:val="21"/>
        </w:rPr>
        <w:t>。</w:t>
      </w:r>
    </w:p>
    <w:p w14:paraId="22FE3010">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3.2.4 承包人无正当理由拒绝更换项目经理的违约责任：</w:t>
      </w:r>
      <w:r>
        <w:rPr>
          <w:rFonts w:hint="eastAsia" w:ascii="宋体" w:hAnsi="宋体" w:cs="宋体"/>
          <w:color w:val="auto"/>
          <w:szCs w:val="21"/>
          <w:u w:val="single"/>
        </w:rPr>
        <w:t>因承包人项目经理不称职，发包人要求调换而未及时调换的，视为承包人违约，承担违约责任，必须向发包人支付违约金3000元/人•次（人民币），仍不改正的可解除合同</w:t>
      </w:r>
      <w:r>
        <w:rPr>
          <w:rFonts w:hint="eastAsia" w:ascii="宋体" w:hAnsi="宋体" w:cs="宋体"/>
          <w:color w:val="auto"/>
          <w:szCs w:val="21"/>
        </w:rPr>
        <w:t>。</w:t>
      </w:r>
    </w:p>
    <w:p w14:paraId="0C869EB9">
      <w:pPr>
        <w:pStyle w:val="5"/>
        <w:ind w:firstLine="422" w:firstLineChars="200"/>
        <w:rPr>
          <w:rFonts w:hint="eastAsia" w:ascii="宋体" w:hAnsi="宋体" w:cs="宋体"/>
          <w:color w:val="auto"/>
          <w:sz w:val="21"/>
          <w:szCs w:val="21"/>
        </w:rPr>
      </w:pPr>
      <w:bookmarkStart w:id="413" w:name="_Toc373478356"/>
      <w:bookmarkStart w:id="414" w:name="_Toc28040"/>
      <w:bookmarkStart w:id="415" w:name="_Toc373227709"/>
      <w:bookmarkStart w:id="416" w:name="_Toc486528968"/>
      <w:bookmarkStart w:id="417" w:name="_Toc15495"/>
      <w:bookmarkStart w:id="418" w:name="_Toc25115"/>
      <w:bookmarkStart w:id="419" w:name="_Toc1271"/>
      <w:bookmarkStart w:id="420" w:name="_Toc24106"/>
      <w:bookmarkStart w:id="421" w:name="_Toc389065275"/>
      <w:bookmarkStart w:id="422" w:name="_Toc24310"/>
      <w:r>
        <w:rPr>
          <w:rFonts w:hint="eastAsia" w:ascii="宋体" w:hAnsi="宋体" w:cs="宋体"/>
          <w:color w:val="auto"/>
          <w:sz w:val="21"/>
          <w:szCs w:val="21"/>
        </w:rPr>
        <w:t>3.3 承包人人员</w:t>
      </w:r>
      <w:bookmarkEnd w:id="413"/>
      <w:bookmarkEnd w:id="414"/>
      <w:bookmarkEnd w:id="415"/>
      <w:bookmarkEnd w:id="416"/>
      <w:bookmarkEnd w:id="417"/>
      <w:bookmarkEnd w:id="418"/>
      <w:bookmarkEnd w:id="419"/>
      <w:bookmarkEnd w:id="420"/>
      <w:bookmarkEnd w:id="421"/>
      <w:bookmarkEnd w:id="422"/>
    </w:p>
    <w:p w14:paraId="2383C89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3.3.1 承包人提交施工技术人员及施工现场管理人员安排报告的期限：</w:t>
      </w:r>
      <w:r>
        <w:rPr>
          <w:rFonts w:hint="eastAsia" w:ascii="宋体" w:hAnsi="宋体" w:cs="宋体"/>
          <w:color w:val="auto"/>
          <w:szCs w:val="21"/>
          <w:u w:val="single"/>
        </w:rPr>
        <w:t>开工前7天内</w:t>
      </w:r>
      <w:r>
        <w:rPr>
          <w:rFonts w:hint="eastAsia" w:ascii="宋体" w:hAnsi="宋体" w:cs="宋体"/>
          <w:color w:val="auto"/>
          <w:szCs w:val="21"/>
        </w:rPr>
        <w:t>。</w:t>
      </w:r>
      <w:bookmarkStart w:id="423" w:name="_Toc26913"/>
      <w:bookmarkStart w:id="424" w:name="_Toc28505"/>
      <w:bookmarkStart w:id="425" w:name="_Toc11359"/>
      <w:bookmarkStart w:id="426" w:name="_Toc24045"/>
      <w:bookmarkStart w:id="427" w:name="_Toc2930"/>
      <w:bookmarkStart w:id="428" w:name="_Toc373227710"/>
      <w:bookmarkStart w:id="429" w:name="_Toc373478357"/>
      <w:bookmarkStart w:id="430" w:name="_Toc389065276"/>
      <w:bookmarkStart w:id="431" w:name="_Toc486528969"/>
    </w:p>
    <w:p w14:paraId="11B246B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因承包人主要施工管理人员不称职，发包人要求调换而无正当理由拒绝撤换或未及时调换的，视为承包人违约，承担违约责任，处以每次人民币5000元处罚，仍不改正的可解除合同</w:t>
      </w:r>
      <w:r>
        <w:rPr>
          <w:rFonts w:hint="eastAsia" w:ascii="宋体" w:hAnsi="宋体" w:cs="宋体"/>
          <w:color w:val="auto"/>
          <w:szCs w:val="21"/>
        </w:rPr>
        <w:t>。</w:t>
      </w:r>
      <w:bookmarkEnd w:id="423"/>
      <w:bookmarkEnd w:id="424"/>
      <w:bookmarkEnd w:id="425"/>
      <w:bookmarkEnd w:id="426"/>
      <w:bookmarkEnd w:id="427"/>
      <w:bookmarkStart w:id="432" w:name="_Toc18519"/>
      <w:bookmarkStart w:id="433" w:name="_Toc8405"/>
      <w:bookmarkStart w:id="434" w:name="_Toc18949"/>
      <w:bookmarkStart w:id="435" w:name="_Toc26324"/>
      <w:bookmarkStart w:id="436" w:name="_Toc6247"/>
    </w:p>
    <w:p w14:paraId="7F4F540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3.3.4 承包人主要施工管理人员离开施工现场的批准要求：</w:t>
      </w:r>
      <w:r>
        <w:rPr>
          <w:rFonts w:hint="eastAsia" w:ascii="宋体" w:hAnsi="宋体" w:cs="宋体"/>
          <w:color w:val="auto"/>
          <w:szCs w:val="21"/>
          <w:u w:val="single"/>
        </w:rPr>
        <w:t>同通用条款</w:t>
      </w:r>
      <w:r>
        <w:rPr>
          <w:rFonts w:hint="eastAsia" w:ascii="宋体" w:hAnsi="宋体" w:cs="宋体"/>
          <w:color w:val="auto"/>
          <w:szCs w:val="21"/>
        </w:rPr>
        <w:t>。</w:t>
      </w:r>
      <w:bookmarkEnd w:id="432"/>
      <w:bookmarkEnd w:id="433"/>
      <w:bookmarkEnd w:id="434"/>
      <w:bookmarkEnd w:id="435"/>
      <w:bookmarkEnd w:id="436"/>
      <w:bookmarkStart w:id="437" w:name="_Toc1655"/>
      <w:bookmarkStart w:id="438" w:name="_Toc17349"/>
      <w:bookmarkStart w:id="439" w:name="_Toc28581"/>
      <w:bookmarkStart w:id="440" w:name="_Toc22747"/>
      <w:bookmarkStart w:id="441" w:name="_Toc29828"/>
    </w:p>
    <w:p w14:paraId="2157C5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color w:val="auto"/>
          <w:szCs w:val="21"/>
          <w:u w:val="single"/>
        </w:rPr>
        <w:t>安全员及其承诺的其它在场管理人员未经发包人书面同意不准擅自更换，否则承担违约责任，处以每次人民币5000元处罚，仍不改正的可解除合同</w:t>
      </w:r>
      <w:r>
        <w:rPr>
          <w:rFonts w:hint="eastAsia" w:ascii="宋体" w:hAnsi="宋体" w:cs="宋体"/>
          <w:color w:val="auto"/>
          <w:szCs w:val="21"/>
        </w:rPr>
        <w:t>。</w:t>
      </w:r>
      <w:bookmarkEnd w:id="437"/>
      <w:bookmarkEnd w:id="438"/>
      <w:bookmarkEnd w:id="439"/>
      <w:bookmarkEnd w:id="440"/>
      <w:bookmarkEnd w:id="441"/>
    </w:p>
    <w:p w14:paraId="3F4625D4">
      <w:pPr>
        <w:pStyle w:val="5"/>
        <w:ind w:firstLine="420" w:firstLineChars="200"/>
        <w:rPr>
          <w:rFonts w:hint="eastAsia" w:ascii="宋体" w:hAnsi="宋体" w:cs="宋体"/>
          <w:b w:val="0"/>
          <w:color w:val="auto"/>
          <w:sz w:val="21"/>
          <w:szCs w:val="21"/>
        </w:rPr>
      </w:pPr>
      <w:bookmarkStart w:id="442" w:name="_Toc26371"/>
      <w:bookmarkStart w:id="443" w:name="_Toc24229"/>
      <w:bookmarkStart w:id="444" w:name="_Toc5265"/>
      <w:bookmarkStart w:id="445" w:name="_Toc12084"/>
      <w:bookmarkStart w:id="446" w:name="_Toc383"/>
      <w:bookmarkStart w:id="447" w:name="_Toc17271"/>
      <w:r>
        <w:rPr>
          <w:rFonts w:hint="eastAsia" w:ascii="宋体" w:hAnsi="宋体" w:cs="宋体"/>
          <w:b w:val="0"/>
          <w:color w:val="auto"/>
          <w:sz w:val="21"/>
          <w:szCs w:val="21"/>
        </w:rPr>
        <w:t>承包人主要施工管理人员擅自离开施工现场的违约责任：</w:t>
      </w:r>
      <w:r>
        <w:rPr>
          <w:rFonts w:hint="eastAsia" w:ascii="宋体" w:hAnsi="宋体" w:cs="宋体"/>
          <w:b w:val="0"/>
          <w:color w:val="auto"/>
          <w:sz w:val="21"/>
          <w:szCs w:val="21"/>
          <w:u w:val="single"/>
        </w:rPr>
        <w:t xml:space="preserve"> 未经发包人同意，主要施工管理人员擅自离岗的，视为承包人违约，承担违约责任，处以每次人民币5000元处罚，仍不改正的可解除合同</w:t>
      </w:r>
      <w:r>
        <w:rPr>
          <w:rFonts w:hint="eastAsia" w:ascii="宋体" w:hAnsi="宋体" w:cs="宋体"/>
          <w:b w:val="0"/>
          <w:color w:val="auto"/>
          <w:sz w:val="21"/>
          <w:szCs w:val="21"/>
        </w:rPr>
        <w:t>。</w:t>
      </w:r>
      <w:bookmarkEnd w:id="442"/>
      <w:bookmarkEnd w:id="443"/>
      <w:bookmarkEnd w:id="444"/>
      <w:bookmarkEnd w:id="445"/>
      <w:bookmarkEnd w:id="446"/>
      <w:bookmarkEnd w:id="447"/>
    </w:p>
    <w:p w14:paraId="01261C86">
      <w:pPr>
        <w:pStyle w:val="5"/>
        <w:ind w:firstLine="422" w:firstLineChars="200"/>
        <w:rPr>
          <w:rFonts w:hint="eastAsia" w:ascii="宋体" w:hAnsi="宋体" w:cs="宋体"/>
          <w:color w:val="auto"/>
          <w:sz w:val="21"/>
          <w:szCs w:val="21"/>
        </w:rPr>
      </w:pPr>
      <w:bookmarkStart w:id="448" w:name="_Toc8061"/>
      <w:bookmarkStart w:id="449" w:name="_Toc32026"/>
      <w:bookmarkStart w:id="450" w:name="_Toc1760"/>
      <w:bookmarkStart w:id="451" w:name="_Toc2952"/>
      <w:bookmarkStart w:id="452" w:name="_Toc3691"/>
      <w:bookmarkStart w:id="453" w:name="_Toc22617"/>
      <w:r>
        <w:rPr>
          <w:rFonts w:hint="eastAsia" w:ascii="宋体" w:hAnsi="宋体" w:cs="宋体"/>
          <w:color w:val="auto"/>
          <w:sz w:val="21"/>
          <w:szCs w:val="21"/>
        </w:rPr>
        <w:t>3</w:t>
      </w:r>
      <w:bookmarkStart w:id="454" w:name="_Toc296944498"/>
      <w:bookmarkStart w:id="455" w:name="_Toc303539102"/>
      <w:bookmarkStart w:id="456" w:name="_Toc297120459"/>
      <w:bookmarkStart w:id="457" w:name="_Toc297048345"/>
      <w:bookmarkStart w:id="458" w:name="_Toc296503159"/>
      <w:bookmarkStart w:id="459" w:name="_Toc296346660"/>
      <w:bookmarkStart w:id="460" w:name="_Toc296347158"/>
      <w:bookmarkStart w:id="461" w:name="_Toc304295523"/>
      <w:bookmarkStart w:id="462" w:name="_Toc297216151"/>
      <w:bookmarkStart w:id="463" w:name="_Toc312677988"/>
      <w:bookmarkStart w:id="464" w:name="_Toc296891199"/>
      <w:bookmarkStart w:id="465" w:name="_Toc297123492"/>
      <w:bookmarkStart w:id="466" w:name="_Toc292559364"/>
      <w:bookmarkStart w:id="467" w:name="_Toc292559869"/>
      <w:bookmarkStart w:id="468" w:name="_Toc300934945"/>
      <w:bookmarkStart w:id="469" w:name="_Toc296890987"/>
      <w:r>
        <w:rPr>
          <w:rFonts w:hint="eastAsia" w:ascii="宋体" w:hAnsi="宋体" w:cs="宋体"/>
          <w:color w:val="auto"/>
          <w:sz w:val="21"/>
          <w:szCs w:val="21"/>
        </w:rPr>
        <w:t>.5 分包</w:t>
      </w:r>
      <w:bookmarkEnd w:id="428"/>
      <w:bookmarkEnd w:id="429"/>
      <w:bookmarkEnd w:id="430"/>
      <w:bookmarkEnd w:id="431"/>
      <w:bookmarkEnd w:id="448"/>
      <w:bookmarkEnd w:id="449"/>
      <w:bookmarkEnd w:id="450"/>
      <w:bookmarkEnd w:id="451"/>
      <w:bookmarkEnd w:id="452"/>
      <w:bookmarkEnd w:id="453"/>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14:paraId="2E20E06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bookmarkStart w:id="470" w:name="_Toc296347159"/>
      <w:bookmarkStart w:id="471" w:name="_Toc296503160"/>
      <w:bookmarkStart w:id="472" w:name="_Toc296944499"/>
      <w:bookmarkStart w:id="473" w:name="_Toc297123493"/>
      <w:bookmarkStart w:id="474" w:name="_Toc304295524"/>
      <w:bookmarkStart w:id="475" w:name="_Toc297120460"/>
      <w:bookmarkStart w:id="476" w:name="_Toc303539103"/>
      <w:bookmarkStart w:id="477" w:name="_Toc296891200"/>
      <w:bookmarkStart w:id="478" w:name="_Toc297216152"/>
      <w:bookmarkStart w:id="479" w:name="_Toc297048346"/>
      <w:bookmarkStart w:id="480" w:name="_Toc292559365"/>
      <w:bookmarkStart w:id="481" w:name="_Toc318581158"/>
      <w:bookmarkStart w:id="482" w:name="_Toc300934946"/>
      <w:bookmarkStart w:id="483" w:name="_Toc312677989"/>
      <w:bookmarkStart w:id="484" w:name="_Toc296890988"/>
      <w:bookmarkStart w:id="485" w:name="_Toc296346661"/>
      <w:bookmarkStart w:id="486" w:name="_Toc292559870"/>
      <w:r>
        <w:rPr>
          <w:rFonts w:hint="eastAsia" w:ascii="宋体" w:hAnsi="宋体" w:cs="宋体"/>
          <w:color w:val="auto"/>
          <w:szCs w:val="21"/>
        </w:rPr>
        <w:t>.5.1 分包的一般约定</w:t>
      </w:r>
    </w:p>
    <w:p w14:paraId="3E4C965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经评审备案的施工图纸范围内包含的施工内容</w:t>
      </w:r>
      <w:r>
        <w:rPr>
          <w:rFonts w:hint="eastAsia" w:ascii="宋体" w:hAnsi="宋体" w:cs="宋体"/>
          <w:color w:val="auto"/>
          <w:szCs w:val="21"/>
        </w:rPr>
        <w:t>。</w:t>
      </w:r>
    </w:p>
    <w:p w14:paraId="1B30A0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主体结构、关键性工作的范围：</w:t>
      </w:r>
      <w:r>
        <w:rPr>
          <w:rFonts w:hint="eastAsia" w:ascii="宋体" w:hAnsi="宋体" w:cs="宋体"/>
          <w:color w:val="auto"/>
          <w:szCs w:val="21"/>
          <w:u w:val="single"/>
        </w:rPr>
        <w:t xml:space="preserve"> /　　        </w:t>
      </w:r>
      <w:r>
        <w:rPr>
          <w:rFonts w:hint="eastAsia" w:ascii="宋体" w:hAnsi="宋体" w:cs="宋体"/>
          <w:color w:val="auto"/>
          <w:szCs w:val="21"/>
        </w:rPr>
        <w:t>。</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338FC7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bookmarkStart w:id="487" w:name="_Toc312677990"/>
      <w:bookmarkStart w:id="488" w:name="_Toc318581159"/>
      <w:r>
        <w:rPr>
          <w:rFonts w:hint="eastAsia" w:ascii="宋体" w:hAnsi="宋体" w:cs="宋体"/>
          <w:color w:val="auto"/>
          <w:szCs w:val="21"/>
        </w:rPr>
        <w:t>.5.2 分包的确定</w:t>
      </w:r>
    </w:p>
    <w:p w14:paraId="2DD39018">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 xml:space="preserve"> /            </w:t>
      </w:r>
      <w:r>
        <w:rPr>
          <w:rFonts w:hint="eastAsia" w:ascii="宋体" w:hAnsi="宋体" w:cs="宋体"/>
          <w:color w:val="auto"/>
          <w:szCs w:val="21"/>
        </w:rPr>
        <w:t>。</w:t>
      </w:r>
    </w:p>
    <w:p w14:paraId="284BAACF">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其他关于分包的约定：</w:t>
      </w:r>
      <w:r>
        <w:rPr>
          <w:rFonts w:hint="eastAsia" w:ascii="宋体" w:hAnsi="宋体" w:cs="宋体"/>
          <w:color w:val="auto"/>
          <w:szCs w:val="21"/>
          <w:u w:val="single"/>
        </w:rPr>
        <w:t>/</w:t>
      </w:r>
    </w:p>
    <w:p w14:paraId="79E482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3.5.4 分包合同价款</w:t>
      </w:r>
    </w:p>
    <w:bookmarkEnd w:id="487"/>
    <w:bookmarkEnd w:id="488"/>
    <w:p w14:paraId="4E73C2CF">
      <w:pPr>
        <w:spacing w:line="360" w:lineRule="auto"/>
        <w:ind w:firstLine="420" w:firstLineChars="200"/>
        <w:rPr>
          <w:rFonts w:hint="eastAsia" w:ascii="宋体" w:hAnsi="宋体" w:cs="宋体"/>
          <w:color w:val="auto"/>
          <w:szCs w:val="21"/>
        </w:rPr>
      </w:pPr>
      <w:bookmarkStart w:id="489" w:name="_Toc373227711"/>
      <w:bookmarkStart w:id="490" w:name="_Toc389065277"/>
      <w:bookmarkStart w:id="491" w:name="_Toc373478358"/>
      <w:r>
        <w:rPr>
          <w:rFonts w:hint="eastAsia" w:ascii="宋体" w:hAnsi="宋体" w:cs="宋体"/>
          <w:color w:val="auto"/>
          <w:szCs w:val="21"/>
        </w:rPr>
        <w:t>关于分包合同价款支付的约定：</w:t>
      </w:r>
      <w:r>
        <w:rPr>
          <w:rFonts w:hint="eastAsia" w:ascii="宋体" w:hAnsi="宋体" w:cs="宋体"/>
          <w:color w:val="auto"/>
          <w:szCs w:val="21"/>
          <w:u w:val="single"/>
        </w:rPr>
        <w:t>无。</w:t>
      </w:r>
    </w:p>
    <w:p w14:paraId="4A05701E">
      <w:pPr>
        <w:pStyle w:val="5"/>
        <w:ind w:firstLine="422" w:firstLineChars="200"/>
        <w:rPr>
          <w:rFonts w:hint="eastAsia" w:ascii="宋体" w:hAnsi="宋体" w:cs="宋体"/>
          <w:color w:val="auto"/>
          <w:sz w:val="21"/>
          <w:szCs w:val="21"/>
        </w:rPr>
      </w:pPr>
      <w:bookmarkStart w:id="492" w:name="_Toc22926"/>
      <w:bookmarkStart w:id="493" w:name="_Toc6053"/>
      <w:bookmarkStart w:id="494" w:name="_Toc8486"/>
      <w:bookmarkStart w:id="495" w:name="_Toc5262"/>
      <w:bookmarkStart w:id="496" w:name="_Toc27644"/>
      <w:bookmarkStart w:id="497" w:name="_Toc31734"/>
      <w:bookmarkStart w:id="498" w:name="_Toc486528970"/>
      <w:r>
        <w:rPr>
          <w:rFonts w:hint="eastAsia" w:ascii="宋体" w:hAnsi="宋体" w:cs="宋体"/>
          <w:color w:val="auto"/>
          <w:sz w:val="21"/>
          <w:szCs w:val="21"/>
        </w:rPr>
        <w:t>3.6 工程照管与成品、半成品保护</w:t>
      </w:r>
      <w:bookmarkEnd w:id="489"/>
      <w:bookmarkEnd w:id="490"/>
      <w:bookmarkEnd w:id="491"/>
      <w:bookmarkEnd w:id="492"/>
      <w:bookmarkEnd w:id="493"/>
      <w:bookmarkEnd w:id="494"/>
      <w:bookmarkEnd w:id="495"/>
      <w:bookmarkEnd w:id="496"/>
      <w:bookmarkEnd w:id="497"/>
      <w:bookmarkEnd w:id="498"/>
    </w:p>
    <w:p w14:paraId="4DAAFE79">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承包人负责照管工程及工程相关的材料、工程设备的起始时间：</w:t>
      </w:r>
      <w:r>
        <w:rPr>
          <w:rFonts w:hint="eastAsia" w:ascii="宋体" w:hAnsi="宋体" w:cs="宋体"/>
          <w:color w:val="auto"/>
          <w:kern w:val="0"/>
          <w:szCs w:val="21"/>
          <w:u w:val="single"/>
        </w:rPr>
        <w:t xml:space="preserve">工程开工至项目移交为止 </w:t>
      </w:r>
      <w:r>
        <w:rPr>
          <w:rFonts w:hint="eastAsia" w:ascii="宋体" w:hAnsi="宋体" w:cs="宋体"/>
          <w:color w:val="auto"/>
          <w:kern w:val="0"/>
          <w:szCs w:val="21"/>
        </w:rPr>
        <w:t>。</w:t>
      </w:r>
    </w:p>
    <w:p w14:paraId="33F13E0D">
      <w:pPr>
        <w:pStyle w:val="5"/>
        <w:ind w:firstLine="422" w:firstLineChars="200"/>
        <w:rPr>
          <w:rFonts w:hint="eastAsia" w:ascii="宋体" w:hAnsi="宋体" w:cs="宋体"/>
          <w:color w:val="auto"/>
          <w:sz w:val="21"/>
          <w:szCs w:val="21"/>
        </w:rPr>
      </w:pPr>
      <w:bookmarkStart w:id="499" w:name="_Toc373227712"/>
      <w:bookmarkStart w:id="500" w:name="_Toc389065278"/>
      <w:bookmarkStart w:id="501" w:name="_Toc373478359"/>
      <w:bookmarkStart w:id="502" w:name="_Toc947"/>
      <w:bookmarkStart w:id="503" w:name="_Toc486528971"/>
      <w:bookmarkStart w:id="504" w:name="_Toc17286"/>
      <w:bookmarkStart w:id="505" w:name="_Toc5877"/>
      <w:bookmarkStart w:id="506" w:name="_Toc22818"/>
      <w:bookmarkStart w:id="507" w:name="_Toc24167"/>
      <w:bookmarkStart w:id="508" w:name="_Toc31392"/>
      <w:r>
        <w:rPr>
          <w:rFonts w:hint="eastAsia" w:ascii="宋体" w:hAnsi="宋体" w:cs="宋体"/>
          <w:color w:val="auto"/>
          <w:sz w:val="21"/>
          <w:szCs w:val="21"/>
        </w:rPr>
        <w:t>3.7 履约</w:t>
      </w:r>
      <w:bookmarkEnd w:id="499"/>
      <w:bookmarkEnd w:id="500"/>
      <w:bookmarkEnd w:id="501"/>
      <w:r>
        <w:rPr>
          <w:rFonts w:hint="eastAsia" w:ascii="宋体" w:hAnsi="宋体" w:cs="宋体"/>
          <w:color w:val="auto"/>
          <w:sz w:val="21"/>
          <w:szCs w:val="21"/>
        </w:rPr>
        <w:t>保证金</w:t>
      </w:r>
      <w:bookmarkEnd w:id="502"/>
      <w:bookmarkEnd w:id="503"/>
      <w:bookmarkEnd w:id="504"/>
      <w:bookmarkEnd w:id="505"/>
      <w:bookmarkEnd w:id="506"/>
      <w:bookmarkEnd w:id="507"/>
      <w:bookmarkEnd w:id="508"/>
    </w:p>
    <w:p w14:paraId="48E6473F">
      <w:pPr>
        <w:spacing w:line="360" w:lineRule="auto"/>
        <w:ind w:left="440"/>
        <w:jc w:val="left"/>
        <w:rPr>
          <w:rFonts w:hint="eastAsia" w:ascii="宋体" w:hAnsi="宋体" w:cs="宋体"/>
          <w:color w:val="auto"/>
          <w:szCs w:val="21"/>
        </w:rPr>
      </w:pPr>
      <w:bookmarkStart w:id="509" w:name="_Toc373227713"/>
      <w:bookmarkStart w:id="510" w:name="_Toc389065279"/>
      <w:bookmarkStart w:id="511" w:name="_Toc351203636"/>
      <w:bookmarkStart w:id="512" w:name="_Toc373478360"/>
      <w:r>
        <w:rPr>
          <w:rFonts w:hint="eastAsia" w:ascii="宋体" w:hAnsi="宋体" w:cs="宋体"/>
          <w:color w:val="auto"/>
          <w:spacing w:val="-1"/>
          <w:szCs w:val="21"/>
        </w:rPr>
        <w:t>承包人是否</w:t>
      </w:r>
      <w:r>
        <w:rPr>
          <w:rFonts w:hint="eastAsia" w:ascii="宋体" w:hAnsi="宋体" w:cs="宋体"/>
          <w:color w:val="auto"/>
          <w:szCs w:val="21"/>
        </w:rPr>
        <w:t>提供履约担保：</w:t>
      </w:r>
      <w:r>
        <w:rPr>
          <w:rFonts w:hint="eastAsia" w:ascii="宋体" w:hAnsi="宋体" w:cs="宋体"/>
          <w:color w:val="auto"/>
          <w:szCs w:val="21"/>
          <w:u w:val="single"/>
        </w:rPr>
        <w:t>是</w:t>
      </w:r>
      <w:r>
        <w:rPr>
          <w:rFonts w:hint="eastAsia" w:ascii="宋体" w:hAnsi="宋体" w:cs="宋体"/>
          <w:color w:val="auto"/>
          <w:szCs w:val="21"/>
        </w:rPr>
        <w:t>。</w:t>
      </w:r>
    </w:p>
    <w:p w14:paraId="45482383">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承包人提供履约担保的形式、金额及期限的：</w:t>
      </w:r>
      <w:r>
        <w:rPr>
          <w:rFonts w:hint="eastAsia" w:ascii="宋体" w:hAnsi="宋体" w:cs="宋体"/>
          <w:color w:val="auto"/>
          <w:szCs w:val="21"/>
          <w:u w:val="single"/>
        </w:rPr>
        <w:t>合同价款扣除发包人材料设备价款、暂估专业工程、暂列金额后的2%；期限：承包人在收到成交通知书后，须在25日内（但在签订合同前）向发包人足额提交履约保证金，否则发包人可以取消其成交资格。</w:t>
      </w:r>
    </w:p>
    <w:p w14:paraId="7B873A71">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承包人提供履约担保的形式：</w:t>
      </w:r>
      <w:r>
        <w:rPr>
          <w:rFonts w:hint="eastAsia" w:hAnsi="宋体" w:cs="宋体"/>
          <w:color w:val="auto"/>
          <w:u w:val="single"/>
        </w:rPr>
        <w:t>可以是银行转账、电汇或网上支付、保函（银行保函、电子保函、保证保险保函、工程担保保函）等形式</w:t>
      </w:r>
      <w:r>
        <w:rPr>
          <w:rFonts w:hint="eastAsia" w:ascii="宋体" w:hAnsi="宋体" w:cs="宋体"/>
          <w:color w:val="auto"/>
          <w:szCs w:val="21"/>
          <w:u w:val="single"/>
        </w:rPr>
        <w:t>。</w:t>
      </w:r>
    </w:p>
    <w:p w14:paraId="0DDA09CC">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1）履约保证金在承包人按合同约定履行合同后且验收合格，由承包人凭《广西壮族自治区政府采购项目合同验收书》（详见附表）向发包人申请办理履约保证金退还手续，发包人在收到合格材料后5个工作日内以银行转账方式如数退还（不计利息）。</w:t>
      </w:r>
    </w:p>
    <w:p w14:paraId="00B69D9F">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（2）在履约保证金退还日期前，若承包人的开户名称、开户银行、账号有变动的，请以书面形式通知履约保证金收取单位，否则由此产生的后果由承包人自负。</w:t>
      </w:r>
    </w:p>
    <w:p w14:paraId="78C98D50">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（3）承包人在签订合同后存在违约情形的，履约保证金不予退还。履约保证金不足以赔偿损失的，按实际损失赔偿。</w:t>
      </w:r>
    </w:p>
    <w:p w14:paraId="673F2AE0">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履约保证金指定账户：</w:t>
      </w:r>
    </w:p>
    <w:p w14:paraId="7D5CBFA5">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开户名称：</w:t>
      </w:r>
      <w:r>
        <w:rPr>
          <w:rFonts w:hint="eastAsia" w:ascii="宋体" w:hAnsi="宋体" w:cs="宋体"/>
          <w:color w:val="auto"/>
          <w:szCs w:val="21"/>
          <w:u w:val="single"/>
        </w:rPr>
        <w:t>广西壮族自治区南溪山医院（广西壮族自治区第二人民医院）</w:t>
      </w:r>
    </w:p>
    <w:p w14:paraId="6A3108D6">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开户银行：</w:t>
      </w:r>
      <w:r>
        <w:rPr>
          <w:rFonts w:hint="eastAsia" w:ascii="宋体" w:hAnsi="宋体" w:cs="宋体"/>
          <w:color w:val="auto"/>
          <w:szCs w:val="21"/>
          <w:u w:val="single"/>
        </w:rPr>
        <w:t>中国建设银行股份有限公司桂林城南支行</w:t>
      </w:r>
    </w:p>
    <w:p w14:paraId="762CE928">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账号：</w:t>
      </w:r>
      <w:r>
        <w:rPr>
          <w:rFonts w:hint="eastAsia" w:ascii="宋体" w:hAnsi="宋体" w:cs="宋体"/>
          <w:color w:val="auto"/>
          <w:szCs w:val="21"/>
          <w:u w:val="single"/>
        </w:rPr>
        <w:t>45001635305059666666</w:t>
      </w:r>
    </w:p>
    <w:p w14:paraId="33F9A78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u w:val="single"/>
        </w:rPr>
        <w:t>备    注：</w:t>
      </w:r>
    </w:p>
    <w:p w14:paraId="0B9DCE87">
      <w:pPr>
        <w:spacing w:line="360" w:lineRule="auto"/>
        <w:ind w:firstLine="422" w:firstLineChars="200"/>
        <w:rPr>
          <w:rFonts w:hint="eastAsia" w:ascii="宋体" w:hAnsi="宋体" w:cs="宋体"/>
          <w:color w:val="auto"/>
          <w:szCs w:val="21"/>
          <w:u w:val="single"/>
        </w:rPr>
      </w:pPr>
      <w:r>
        <w:rPr>
          <w:rFonts w:hint="eastAsia" w:hAnsi="宋体"/>
          <w:b/>
          <w:color w:val="auto"/>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008BFA6">
      <w:pPr>
        <w:pStyle w:val="4"/>
        <w:spacing w:line="360" w:lineRule="auto"/>
        <w:ind w:firstLine="422" w:firstLineChars="200"/>
        <w:rPr>
          <w:rFonts w:hint="eastAsia" w:ascii="宋体" w:hAnsi="宋体" w:cs="宋体"/>
          <w:color w:val="auto"/>
          <w:sz w:val="21"/>
          <w:szCs w:val="21"/>
        </w:rPr>
      </w:pPr>
      <w:bookmarkStart w:id="513" w:name="_Toc16339"/>
      <w:bookmarkStart w:id="514" w:name="_Toc29803"/>
      <w:bookmarkStart w:id="515" w:name="_Toc1813"/>
      <w:bookmarkStart w:id="516" w:name="_Toc27004"/>
      <w:bookmarkStart w:id="517" w:name="_Toc486528972"/>
      <w:bookmarkStart w:id="518" w:name="_Toc419"/>
      <w:bookmarkStart w:id="519" w:name="_Toc4087"/>
      <w:r>
        <w:rPr>
          <w:rFonts w:hint="eastAsia" w:ascii="宋体" w:hAnsi="宋体" w:cs="宋体"/>
          <w:color w:val="auto"/>
          <w:sz w:val="21"/>
          <w:szCs w:val="21"/>
        </w:rPr>
        <w:t>4</w:t>
      </w:r>
      <w:bookmarkStart w:id="520" w:name="_Toc292559871"/>
      <w:bookmarkStart w:id="521" w:name="_Toc296346663"/>
      <w:bookmarkStart w:id="522" w:name="_Toc267251413"/>
      <w:bookmarkStart w:id="523" w:name="_Toc292559366"/>
      <w:bookmarkStart w:id="524" w:name="_Toc297048348"/>
      <w:bookmarkStart w:id="525" w:name="_Toc296347161"/>
      <w:bookmarkStart w:id="526" w:name="_Toc296944501"/>
      <w:bookmarkStart w:id="527" w:name="_Toc296890990"/>
      <w:bookmarkStart w:id="528" w:name="_Toc296503162"/>
      <w:bookmarkStart w:id="529" w:name="_Toc297120462"/>
      <w:bookmarkStart w:id="530" w:name="_Toc296891202"/>
      <w:r>
        <w:rPr>
          <w:rFonts w:hint="eastAsia" w:ascii="宋体" w:hAnsi="宋体" w:cs="宋体"/>
          <w:color w:val="auto"/>
          <w:sz w:val="21"/>
          <w:szCs w:val="21"/>
        </w:rPr>
        <w:t>. 监</w:t>
      </w:r>
      <w:bookmarkEnd w:id="520"/>
      <w:bookmarkEnd w:id="521"/>
      <w:bookmarkEnd w:id="522"/>
      <w:bookmarkEnd w:id="523"/>
      <w:bookmarkEnd w:id="524"/>
      <w:bookmarkEnd w:id="525"/>
      <w:bookmarkEnd w:id="526"/>
      <w:bookmarkEnd w:id="527"/>
      <w:bookmarkEnd w:id="528"/>
      <w:bookmarkEnd w:id="529"/>
      <w:bookmarkEnd w:id="530"/>
      <w:r>
        <w:rPr>
          <w:rFonts w:hint="eastAsia" w:ascii="宋体" w:hAnsi="宋体" w:cs="宋体"/>
          <w:color w:val="auto"/>
          <w:sz w:val="21"/>
          <w:szCs w:val="21"/>
        </w:rPr>
        <w:t>理人</w:t>
      </w:r>
      <w:bookmarkEnd w:id="509"/>
      <w:bookmarkEnd w:id="510"/>
      <w:bookmarkEnd w:id="511"/>
      <w:bookmarkEnd w:id="512"/>
      <w:bookmarkEnd w:id="513"/>
      <w:bookmarkEnd w:id="514"/>
      <w:bookmarkEnd w:id="515"/>
      <w:bookmarkEnd w:id="516"/>
      <w:bookmarkEnd w:id="517"/>
      <w:bookmarkEnd w:id="518"/>
      <w:bookmarkEnd w:id="519"/>
    </w:p>
    <w:p w14:paraId="2AAD1C65">
      <w:pPr>
        <w:pStyle w:val="5"/>
        <w:ind w:firstLine="422" w:firstLineChars="200"/>
        <w:rPr>
          <w:rFonts w:hint="eastAsia" w:ascii="宋体" w:hAnsi="宋体" w:cs="宋体"/>
          <w:color w:val="auto"/>
          <w:sz w:val="21"/>
          <w:szCs w:val="21"/>
        </w:rPr>
      </w:pPr>
      <w:bookmarkStart w:id="531" w:name="_Toc13495"/>
      <w:bookmarkStart w:id="532" w:name="_Toc373478361"/>
      <w:bookmarkStart w:id="533" w:name="_Toc486528973"/>
      <w:bookmarkStart w:id="534" w:name="_Toc373227714"/>
      <w:bookmarkStart w:id="535" w:name="_Toc575"/>
      <w:bookmarkStart w:id="536" w:name="_Toc28236"/>
      <w:bookmarkStart w:id="537" w:name="_Toc16808"/>
      <w:bookmarkStart w:id="538" w:name="_Toc20176"/>
      <w:bookmarkStart w:id="539" w:name="_Toc15413"/>
      <w:bookmarkStart w:id="540" w:name="_Toc389065280"/>
      <w:r>
        <w:rPr>
          <w:rFonts w:hint="eastAsia" w:ascii="宋体" w:hAnsi="宋体" w:cs="宋体"/>
          <w:color w:val="auto"/>
          <w:sz w:val="21"/>
          <w:szCs w:val="21"/>
        </w:rPr>
        <w:t>4.1 监理人的一般规定</w:t>
      </w:r>
      <w:bookmarkEnd w:id="531"/>
      <w:bookmarkEnd w:id="532"/>
      <w:bookmarkEnd w:id="533"/>
      <w:bookmarkEnd w:id="534"/>
      <w:bookmarkEnd w:id="535"/>
      <w:bookmarkEnd w:id="536"/>
      <w:bookmarkEnd w:id="537"/>
      <w:bookmarkEnd w:id="538"/>
      <w:bookmarkEnd w:id="539"/>
      <w:bookmarkEnd w:id="540"/>
    </w:p>
    <w:p w14:paraId="4E27276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color w:val="auto"/>
          <w:szCs w:val="21"/>
          <w:u w:val="single"/>
        </w:rPr>
        <w:t>工程施工范围内所有内容</w:t>
      </w:r>
      <w:r>
        <w:rPr>
          <w:rFonts w:hint="eastAsia" w:ascii="宋体" w:hAnsi="宋体" w:cs="宋体"/>
          <w:color w:val="auto"/>
          <w:szCs w:val="21"/>
        </w:rPr>
        <w:t>。</w:t>
      </w:r>
    </w:p>
    <w:p w14:paraId="4F1F9D0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color w:val="auto"/>
          <w:szCs w:val="21"/>
          <w:u w:val="single"/>
        </w:rPr>
        <w:t>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详细见发包人与监理单位签订的监理合同）。5、工程内容和材料变更确认应得到发包人的书面批准。不管通用合同条款如何约定，监理人履行须经发包人批准行使的权利时，应当向承包人出示其行使该权利已经取得发包人批准的文件或者其他合法有效的证明。</w:t>
      </w:r>
      <w:r>
        <w:rPr>
          <w:rFonts w:hint="eastAsia" w:ascii="宋体" w:hAnsi="宋体" w:cs="宋体"/>
          <w:color w:val="auto"/>
          <w:szCs w:val="21"/>
        </w:rPr>
        <w:t xml:space="preserve"> </w:t>
      </w:r>
    </w:p>
    <w:p w14:paraId="0AD7934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szCs w:val="21"/>
          <w:u w:val="single"/>
        </w:rPr>
        <w:t>由承包人提供并承担相关费用</w:t>
      </w:r>
      <w:r>
        <w:rPr>
          <w:rFonts w:hint="eastAsia" w:ascii="宋体" w:hAnsi="宋体" w:cs="宋体"/>
          <w:i/>
          <w:iCs/>
          <w:color w:val="auto"/>
          <w:szCs w:val="21"/>
        </w:rPr>
        <w:t>。</w:t>
      </w:r>
    </w:p>
    <w:p w14:paraId="0B3A9338">
      <w:pPr>
        <w:pStyle w:val="5"/>
        <w:ind w:firstLine="422" w:firstLineChars="200"/>
        <w:rPr>
          <w:rFonts w:hint="eastAsia" w:ascii="宋体" w:hAnsi="宋体" w:cs="宋体"/>
          <w:color w:val="auto"/>
          <w:sz w:val="21"/>
          <w:szCs w:val="21"/>
        </w:rPr>
      </w:pPr>
      <w:bookmarkStart w:id="541" w:name="_Toc5560"/>
      <w:bookmarkStart w:id="542" w:name="_Toc373478362"/>
      <w:bookmarkStart w:id="543" w:name="_Toc373227715"/>
      <w:bookmarkStart w:id="544" w:name="_Toc486528974"/>
      <w:bookmarkStart w:id="545" w:name="_Toc12336"/>
      <w:bookmarkStart w:id="546" w:name="_Toc18035"/>
      <w:bookmarkStart w:id="547" w:name="_Toc15639"/>
      <w:bookmarkStart w:id="548" w:name="_Toc389065281"/>
      <w:bookmarkStart w:id="549" w:name="_Toc23880"/>
      <w:bookmarkStart w:id="550" w:name="_Toc1872"/>
      <w:r>
        <w:rPr>
          <w:rFonts w:hint="eastAsia" w:ascii="宋体" w:hAnsi="宋体" w:cs="宋体"/>
          <w:color w:val="auto"/>
          <w:sz w:val="21"/>
          <w:szCs w:val="21"/>
        </w:rPr>
        <w:t>4.2 监理人员</w:t>
      </w:r>
      <w:bookmarkEnd w:id="541"/>
      <w:bookmarkEnd w:id="542"/>
      <w:bookmarkEnd w:id="543"/>
      <w:bookmarkEnd w:id="544"/>
      <w:bookmarkEnd w:id="545"/>
      <w:bookmarkEnd w:id="546"/>
      <w:bookmarkEnd w:id="547"/>
      <w:bookmarkEnd w:id="548"/>
      <w:bookmarkEnd w:id="549"/>
      <w:bookmarkEnd w:id="550"/>
    </w:p>
    <w:p w14:paraId="612E7F3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总监理工程师：</w:t>
      </w:r>
    </w:p>
    <w:p w14:paraId="4FD26F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57053B3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7EBD56B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40B48AF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6944E3F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12E9CB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2E31C34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461C337C">
      <w:pPr>
        <w:pStyle w:val="5"/>
        <w:ind w:firstLine="422" w:firstLineChars="200"/>
        <w:rPr>
          <w:rFonts w:hint="eastAsia" w:ascii="宋体" w:hAnsi="宋体" w:cs="宋体"/>
          <w:color w:val="auto"/>
          <w:sz w:val="21"/>
          <w:szCs w:val="21"/>
        </w:rPr>
      </w:pPr>
      <w:bookmarkStart w:id="551" w:name="_Toc389065282"/>
      <w:bookmarkStart w:id="552" w:name="_Toc27175"/>
      <w:bookmarkStart w:id="553" w:name="_Toc1514"/>
      <w:bookmarkStart w:id="554" w:name="_Toc373478363"/>
      <w:bookmarkStart w:id="555" w:name="_Toc16768"/>
      <w:bookmarkStart w:id="556" w:name="_Toc19363"/>
      <w:bookmarkStart w:id="557" w:name="_Toc19507"/>
      <w:bookmarkStart w:id="558" w:name="_Toc31919"/>
      <w:bookmarkStart w:id="559" w:name="_Toc486528975"/>
      <w:bookmarkStart w:id="560" w:name="_Toc373227716"/>
      <w:r>
        <w:rPr>
          <w:rFonts w:hint="eastAsia" w:ascii="宋体" w:hAnsi="宋体" w:cs="宋体"/>
          <w:color w:val="auto"/>
          <w:sz w:val="21"/>
          <w:szCs w:val="21"/>
        </w:rPr>
        <w:t>4.4 商定或确定</w:t>
      </w:r>
      <w:bookmarkEnd w:id="551"/>
      <w:bookmarkEnd w:id="552"/>
      <w:bookmarkEnd w:id="553"/>
      <w:bookmarkEnd w:id="554"/>
      <w:bookmarkEnd w:id="555"/>
      <w:bookmarkEnd w:id="556"/>
      <w:bookmarkEnd w:id="557"/>
      <w:bookmarkEnd w:id="558"/>
      <w:bookmarkEnd w:id="559"/>
      <w:bookmarkEnd w:id="560"/>
    </w:p>
    <w:p w14:paraId="42EFEF98">
      <w:pPr>
        <w:spacing w:line="360" w:lineRule="auto"/>
        <w:ind w:firstLine="420" w:firstLineChars="200"/>
        <w:rPr>
          <w:rFonts w:hint="eastAsia" w:ascii="宋体" w:hAnsi="宋体" w:cs="宋体"/>
          <w:color w:val="auto"/>
          <w:szCs w:val="21"/>
        </w:rPr>
      </w:pPr>
      <w:bookmarkStart w:id="561" w:name="_Toc267251418"/>
      <w:r>
        <w:rPr>
          <w:rFonts w:hint="eastAsia" w:ascii="宋体" w:hAnsi="宋体" w:cs="宋体"/>
          <w:color w:val="auto"/>
          <w:szCs w:val="21"/>
        </w:rPr>
        <w:t>在发包人和承包人不能通过协商达成一致意见时，发包人授权监理人对以下事项进行确定：</w:t>
      </w:r>
    </w:p>
    <w:p w14:paraId="09C76201">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4107744A">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u w:val="single"/>
        </w:rPr>
        <w:t xml:space="preserve">签约时填写               </w:t>
      </w:r>
      <w:r>
        <w:rPr>
          <w:rFonts w:hint="eastAsia" w:ascii="宋体" w:hAnsi="宋体" w:cs="宋体"/>
          <w:color w:val="auto"/>
          <w:szCs w:val="21"/>
        </w:rPr>
        <w:t>；</w:t>
      </w:r>
    </w:p>
    <w:p w14:paraId="56051000">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u w:val="single"/>
        </w:rPr>
        <w:t xml:space="preserve"> 签约时填写               </w:t>
      </w:r>
      <w:r>
        <w:rPr>
          <w:rFonts w:hint="eastAsia" w:ascii="宋体" w:hAnsi="宋体" w:cs="宋体"/>
          <w:color w:val="auto"/>
          <w:szCs w:val="21"/>
        </w:rPr>
        <w:t>。</w:t>
      </w:r>
    </w:p>
    <w:p w14:paraId="1B43B707">
      <w:pPr>
        <w:pStyle w:val="4"/>
        <w:spacing w:line="360" w:lineRule="auto"/>
        <w:ind w:firstLine="422" w:firstLineChars="200"/>
        <w:rPr>
          <w:rFonts w:hint="eastAsia" w:ascii="宋体" w:hAnsi="宋体" w:cs="宋体"/>
          <w:color w:val="auto"/>
          <w:sz w:val="21"/>
          <w:szCs w:val="21"/>
        </w:rPr>
      </w:pPr>
      <w:bookmarkStart w:id="562" w:name="_Toc373478364"/>
      <w:bookmarkStart w:id="563" w:name="_Toc12909"/>
      <w:bookmarkStart w:id="564" w:name="_Toc351203637"/>
      <w:bookmarkStart w:id="565" w:name="_Toc2936"/>
      <w:bookmarkStart w:id="566" w:name="_Toc486528976"/>
      <w:bookmarkStart w:id="567" w:name="_Toc373227717"/>
      <w:bookmarkStart w:id="568" w:name="_Toc7866"/>
      <w:bookmarkStart w:id="569" w:name="_Toc16610"/>
      <w:bookmarkStart w:id="570" w:name="_Toc389065283"/>
      <w:bookmarkStart w:id="571" w:name="_Toc6845"/>
      <w:bookmarkStart w:id="572" w:name="_Toc6006"/>
      <w:r>
        <w:rPr>
          <w:rFonts w:hint="eastAsia" w:ascii="宋体" w:hAnsi="宋体" w:cs="宋体"/>
          <w:color w:val="auto"/>
          <w:sz w:val="21"/>
          <w:szCs w:val="21"/>
        </w:rPr>
        <w:t>5</w:t>
      </w:r>
      <w:bookmarkEnd w:id="561"/>
      <w:bookmarkStart w:id="573" w:name="_Toc296347162"/>
      <w:bookmarkStart w:id="574" w:name="_Toc297048349"/>
      <w:bookmarkStart w:id="575" w:name="_Toc296503163"/>
      <w:bookmarkStart w:id="576" w:name="_Toc296890991"/>
      <w:bookmarkStart w:id="577" w:name="_Toc297120463"/>
      <w:bookmarkStart w:id="578" w:name="_Toc296891203"/>
      <w:bookmarkStart w:id="579" w:name="_Toc292559872"/>
      <w:bookmarkStart w:id="580" w:name="_Toc296944502"/>
      <w:bookmarkStart w:id="581" w:name="_Toc292559367"/>
      <w:bookmarkStart w:id="582" w:name="_Toc296346664"/>
      <w:r>
        <w:rPr>
          <w:rFonts w:hint="eastAsia" w:ascii="宋体" w:hAnsi="宋体" w:cs="宋体"/>
          <w:color w:val="auto"/>
          <w:sz w:val="21"/>
          <w:szCs w:val="21"/>
        </w:rPr>
        <w:t>. 工程质量</w:t>
      </w:r>
      <w:bookmarkEnd w:id="562"/>
      <w:bookmarkEnd w:id="563"/>
      <w:bookmarkEnd w:id="564"/>
      <w:bookmarkEnd w:id="565"/>
      <w:bookmarkEnd w:id="566"/>
      <w:bookmarkEnd w:id="567"/>
      <w:bookmarkEnd w:id="568"/>
      <w:bookmarkEnd w:id="569"/>
      <w:bookmarkEnd w:id="570"/>
      <w:bookmarkEnd w:id="571"/>
      <w:bookmarkEnd w:id="572"/>
    </w:p>
    <w:p w14:paraId="0FD15805">
      <w:pPr>
        <w:pStyle w:val="5"/>
        <w:ind w:firstLine="422" w:firstLineChars="200"/>
        <w:rPr>
          <w:rFonts w:hint="eastAsia" w:ascii="宋体" w:hAnsi="宋体" w:cs="宋体"/>
          <w:color w:val="auto"/>
          <w:sz w:val="21"/>
          <w:szCs w:val="21"/>
        </w:rPr>
      </w:pPr>
      <w:bookmarkStart w:id="583" w:name="_Toc32241"/>
      <w:bookmarkStart w:id="584" w:name="_Toc10256"/>
      <w:bookmarkStart w:id="585" w:name="_Toc373478365"/>
      <w:bookmarkStart w:id="586" w:name="_Toc5463"/>
      <w:bookmarkStart w:id="587" w:name="_Toc389065284"/>
      <w:bookmarkStart w:id="588" w:name="_Toc373227718"/>
      <w:bookmarkStart w:id="589" w:name="_Toc486528977"/>
      <w:bookmarkStart w:id="590" w:name="_Toc14639"/>
      <w:bookmarkStart w:id="591" w:name="_Toc32640"/>
      <w:bookmarkStart w:id="592" w:name="_Toc9460"/>
      <w:r>
        <w:rPr>
          <w:rFonts w:hint="eastAsia" w:ascii="宋体" w:hAnsi="宋体" w:cs="宋体"/>
          <w:color w:val="auto"/>
          <w:sz w:val="21"/>
          <w:szCs w:val="21"/>
        </w:rPr>
        <w:t>5.1 质量要求</w:t>
      </w:r>
      <w:bookmarkEnd w:id="583"/>
      <w:bookmarkEnd w:id="584"/>
      <w:bookmarkEnd w:id="585"/>
      <w:bookmarkEnd w:id="586"/>
      <w:bookmarkEnd w:id="587"/>
      <w:bookmarkEnd w:id="588"/>
      <w:bookmarkEnd w:id="589"/>
      <w:bookmarkEnd w:id="590"/>
      <w:bookmarkEnd w:id="591"/>
      <w:bookmarkEnd w:id="592"/>
    </w:p>
    <w:p w14:paraId="6D2A6E70">
      <w:pPr>
        <w:wordWrap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5</w:t>
      </w:r>
      <w:bookmarkStart w:id="593" w:name="_Toc300934949"/>
      <w:bookmarkStart w:id="594" w:name="_Toc297216155"/>
      <w:bookmarkStart w:id="595" w:name="_Toc312677997"/>
      <w:bookmarkStart w:id="596" w:name="_Toc318581164"/>
      <w:bookmarkStart w:id="597" w:name="_Toc304295527"/>
      <w:bookmarkStart w:id="598" w:name="_Toc297123496"/>
      <w:bookmarkStart w:id="599" w:name="_Toc303539106"/>
      <w:r>
        <w:rPr>
          <w:rFonts w:hint="eastAsia" w:ascii="宋体" w:hAnsi="宋体" w:cs="宋体"/>
          <w:color w:val="auto"/>
          <w:szCs w:val="21"/>
        </w:rPr>
        <w:t>.1.1 特殊质量标准和要求：</w:t>
      </w:r>
      <w:r>
        <w:rPr>
          <w:rFonts w:hint="eastAsia" w:ascii="宋体" w:hAnsi="宋体" w:cs="宋体"/>
          <w:color w:val="auto"/>
          <w:szCs w:val="21"/>
          <w:u w:val="single"/>
        </w:rPr>
        <w:t>（1）按现行有关的文物保护、工程建设标准、技术规范执行。（2）施工过程不得损坏文物本体，否则由承包人承担责任并承担由此产生的一切后果。（3）因承包人原因造成工程质量达不到合同约定验收标准的，监理人有权要求承包人在七日内返工直至符合合同要求为止，由此造成的费用增加和（或）工期延误由承包人承担。如超过规定期限，按5000元/次计算给予处罚，造成工程逾期竣工的，承包人还应当承担逾期违约责任。</w:t>
      </w:r>
    </w:p>
    <w:p w14:paraId="0FDBA87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关于工程奖项的约定：</w:t>
      </w:r>
      <w:r>
        <w:rPr>
          <w:rFonts w:hint="eastAsia" w:ascii="宋体" w:hAnsi="宋体" w:cs="宋体"/>
          <w:color w:val="auto"/>
          <w:szCs w:val="21"/>
          <w:u w:val="single"/>
        </w:rPr>
        <w:t>无</w:t>
      </w:r>
      <w:r>
        <w:rPr>
          <w:rFonts w:hint="eastAsia" w:ascii="宋体" w:hAnsi="宋体" w:cs="宋体"/>
          <w:color w:val="auto"/>
          <w:szCs w:val="21"/>
        </w:rPr>
        <w:t>。</w:t>
      </w:r>
    </w:p>
    <w:p w14:paraId="78DB892A">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5.1.3质量争议</w:t>
      </w:r>
    </w:p>
    <w:p w14:paraId="192A149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和承包人对工程质量有争议的，除可按合同特别约定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质量保修书的约定执行；已竣工未验收且未实际投入使用的工程以及停工、停建的工程，根据检测结果确定解决方案，或按工程质量监督机构的处理决定执行。</w:t>
      </w:r>
    </w:p>
    <w:p w14:paraId="7E64699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5.3 隐蔽工程检查</w:t>
      </w:r>
    </w:p>
    <w:p w14:paraId="6D33173F">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5.3.2承包人提前通知监理人隐蔽工程检查的期限的约定：</w:t>
      </w:r>
      <w:r>
        <w:rPr>
          <w:rFonts w:hint="eastAsia" w:ascii="宋体" w:hAnsi="宋体" w:cs="宋体"/>
          <w:bCs/>
          <w:color w:val="auto"/>
          <w:szCs w:val="21"/>
        </w:rPr>
        <w:t>工程隐蔽或中间验收前12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p>
    <w:p w14:paraId="5C0FCCF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6537DE8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48  </w:t>
      </w:r>
      <w:r>
        <w:rPr>
          <w:rFonts w:hint="eastAsia" w:ascii="宋体" w:hAnsi="宋体" w:cs="宋体"/>
          <w:color w:val="auto"/>
          <w:szCs w:val="21"/>
        </w:rPr>
        <w:t>小时。</w:t>
      </w:r>
      <w:bookmarkStart w:id="600" w:name="_Toc15106"/>
      <w:bookmarkStart w:id="601" w:name="_Toc373478366"/>
      <w:bookmarkStart w:id="602" w:name="_Toc486528978"/>
      <w:bookmarkStart w:id="603" w:name="_Toc351203638"/>
      <w:bookmarkStart w:id="604" w:name="_Toc373227719"/>
      <w:bookmarkStart w:id="605" w:name="_Toc389065285"/>
      <w:bookmarkStart w:id="606" w:name="_Toc8739"/>
      <w:bookmarkStart w:id="607" w:name="_Toc29143"/>
      <w:bookmarkStart w:id="608" w:name="_Toc16802"/>
      <w:bookmarkStart w:id="609" w:name="_Toc8654"/>
    </w:p>
    <w:p w14:paraId="2B619C7E">
      <w:pPr>
        <w:pStyle w:val="4"/>
        <w:spacing w:line="360" w:lineRule="auto"/>
        <w:ind w:firstLine="422" w:firstLineChars="200"/>
        <w:rPr>
          <w:rFonts w:hint="eastAsia" w:ascii="宋体" w:hAnsi="宋体" w:cs="宋体"/>
          <w:color w:val="auto"/>
          <w:sz w:val="21"/>
          <w:szCs w:val="21"/>
        </w:rPr>
      </w:pPr>
      <w:r>
        <w:rPr>
          <w:rFonts w:hint="eastAsia" w:ascii="宋体" w:hAnsi="宋体" w:cs="宋体"/>
          <w:color w:val="auto"/>
          <w:sz w:val="21"/>
          <w:szCs w:val="21"/>
        </w:rPr>
        <w:t>6.安全文明施工与环境保护</w:t>
      </w:r>
      <w:bookmarkEnd w:id="600"/>
      <w:bookmarkEnd w:id="601"/>
      <w:bookmarkEnd w:id="602"/>
      <w:bookmarkEnd w:id="603"/>
      <w:bookmarkEnd w:id="604"/>
      <w:bookmarkEnd w:id="605"/>
      <w:bookmarkEnd w:id="606"/>
      <w:bookmarkEnd w:id="607"/>
      <w:bookmarkEnd w:id="608"/>
      <w:bookmarkEnd w:id="609"/>
    </w:p>
    <w:p w14:paraId="5ABD5C5F">
      <w:pPr>
        <w:pStyle w:val="5"/>
        <w:ind w:firstLine="422" w:firstLineChars="200"/>
        <w:rPr>
          <w:rFonts w:hint="eastAsia" w:ascii="宋体" w:hAnsi="宋体" w:cs="宋体"/>
          <w:color w:val="auto"/>
          <w:sz w:val="21"/>
          <w:szCs w:val="21"/>
        </w:rPr>
      </w:pPr>
      <w:bookmarkStart w:id="610" w:name="_Toc373478367"/>
      <w:bookmarkStart w:id="611" w:name="_Toc486528979"/>
      <w:bookmarkStart w:id="612" w:name="_Toc17972"/>
      <w:bookmarkStart w:id="613" w:name="_Toc373227720"/>
      <w:bookmarkStart w:id="614" w:name="_Toc24502"/>
      <w:bookmarkStart w:id="615" w:name="_Toc16096"/>
      <w:bookmarkStart w:id="616" w:name="_Toc27418"/>
      <w:bookmarkStart w:id="617" w:name="_Toc5664"/>
      <w:bookmarkStart w:id="618" w:name="_Toc389065286"/>
      <w:bookmarkStart w:id="619" w:name="_Toc24802"/>
      <w:r>
        <w:rPr>
          <w:rFonts w:hint="eastAsia" w:ascii="宋体" w:hAnsi="宋体" w:cs="宋体"/>
          <w:color w:val="auto"/>
          <w:sz w:val="21"/>
          <w:szCs w:val="21"/>
        </w:rPr>
        <w:t>6.1 安全文明施工</w:t>
      </w:r>
      <w:bookmarkEnd w:id="610"/>
      <w:bookmarkEnd w:id="611"/>
      <w:bookmarkEnd w:id="612"/>
      <w:bookmarkEnd w:id="613"/>
      <w:bookmarkEnd w:id="614"/>
      <w:bookmarkEnd w:id="615"/>
      <w:bookmarkEnd w:id="616"/>
      <w:bookmarkEnd w:id="617"/>
      <w:bookmarkEnd w:id="618"/>
      <w:bookmarkEnd w:id="619"/>
    </w:p>
    <w:p w14:paraId="2D8D971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 xml:space="preserve">  按当地行政主管部门规定  </w:t>
      </w:r>
      <w:r>
        <w:rPr>
          <w:rFonts w:hint="eastAsia" w:ascii="宋体" w:hAnsi="宋体" w:cs="宋体"/>
          <w:color w:val="auto"/>
          <w:szCs w:val="21"/>
        </w:rPr>
        <w:t>。</w:t>
      </w:r>
    </w:p>
    <w:p w14:paraId="2BEAC48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关于安全文明施工奖项的约定：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6882EB40">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6.1.4 关于治安保卫的特别约定：</w:t>
      </w:r>
      <w:r>
        <w:rPr>
          <w:rFonts w:hint="eastAsia" w:ascii="宋体" w:hAnsi="宋体" w:cs="宋体"/>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施工过程中，发生任何安全事故，造成人身、财产损害的，由此产生的全部法律责任与法律后果均由承包人承担，并由承包人支付全部赔偿</w:t>
      </w:r>
      <w:r>
        <w:rPr>
          <w:rFonts w:hint="eastAsia" w:ascii="宋体" w:hAnsi="宋体" w:cs="宋体"/>
          <w:color w:val="auto"/>
          <w:szCs w:val="21"/>
        </w:rPr>
        <w:t>。</w:t>
      </w:r>
    </w:p>
    <w:p w14:paraId="0187DF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 xml:space="preserve"> 按当地行政主管部门规定执行 </w:t>
      </w:r>
      <w:r>
        <w:rPr>
          <w:rFonts w:hint="eastAsia" w:ascii="宋体" w:hAnsi="宋体" w:cs="宋体"/>
          <w:color w:val="auto"/>
          <w:szCs w:val="21"/>
        </w:rPr>
        <w:t>。</w:t>
      </w:r>
    </w:p>
    <w:p w14:paraId="5496F9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6.1.5 文明施工</w:t>
      </w:r>
    </w:p>
    <w:p w14:paraId="3EEA1F6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合同当事人对文明施工的要求：</w:t>
      </w:r>
      <w:r>
        <w:rPr>
          <w:rFonts w:hint="eastAsia" w:ascii="宋体" w:hAnsi="宋体" w:cs="宋体"/>
          <w:color w:val="auto"/>
          <w:szCs w:val="21"/>
          <w:u w:val="single"/>
        </w:rPr>
        <w:t xml:space="preserve"> 开工前提供。</w:t>
      </w:r>
    </w:p>
    <w:p w14:paraId="36C3D94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6.1.6 关于安全文明施工费支付比例和支付期限的约定：</w:t>
      </w:r>
    </w:p>
    <w:p w14:paraId="12738CB4">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（1）本合同价款已包含安全文明施工费</w:t>
      </w:r>
      <w:r>
        <w:rPr>
          <w:rFonts w:hint="eastAsia" w:ascii="宋体" w:hAnsi="宋体" w:cs="宋体"/>
          <w:color w:val="auto"/>
          <w:kern w:val="0"/>
          <w:szCs w:val="21"/>
          <w:u w:val="single"/>
        </w:rPr>
        <w:t xml:space="preserve">        </w:t>
      </w:r>
      <w:r>
        <w:rPr>
          <w:rFonts w:hint="eastAsia" w:ascii="宋体" w:hAnsi="宋体" w:cs="宋体"/>
          <w:color w:val="auto"/>
          <w:kern w:val="0"/>
          <w:szCs w:val="21"/>
        </w:rPr>
        <w:t>元。</w:t>
      </w:r>
    </w:p>
    <w:p w14:paraId="75E99E4B">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（2）使用要求：专款专用。具体按</w:t>
      </w:r>
      <w:r>
        <w:rPr>
          <w:rFonts w:hint="eastAsia" w:ascii="宋体" w:hAnsi="宋体" w:cs="宋体"/>
          <w:color w:val="auto"/>
          <w:kern w:val="0"/>
          <w:szCs w:val="21"/>
          <w:u w:val="single"/>
        </w:rPr>
        <w:t>《广西壮族自治区建设工程安全文明施工费使用管理细则》（桂建质〔2015〕16号）</w:t>
      </w:r>
      <w:r>
        <w:rPr>
          <w:rFonts w:hint="eastAsia" w:ascii="宋体" w:hAnsi="宋体" w:cs="宋体"/>
          <w:color w:val="auto"/>
          <w:kern w:val="0"/>
          <w:szCs w:val="21"/>
        </w:rPr>
        <w:t>和</w:t>
      </w:r>
      <w:r>
        <w:rPr>
          <w:rFonts w:hint="eastAsia" w:ascii="宋体" w:hAnsi="宋体" w:cs="宋体"/>
          <w:color w:val="auto"/>
          <w:kern w:val="0"/>
          <w:szCs w:val="21"/>
          <w:u w:val="single"/>
        </w:rPr>
        <w:t xml:space="preserve"> 桂林 </w:t>
      </w:r>
      <w:r>
        <w:rPr>
          <w:rFonts w:hint="eastAsia" w:ascii="宋体" w:hAnsi="宋体" w:cs="宋体"/>
          <w:color w:val="auto"/>
          <w:kern w:val="0"/>
          <w:szCs w:val="21"/>
        </w:rPr>
        <w:t>市相关规定执行。</w:t>
      </w:r>
    </w:p>
    <w:p w14:paraId="1E6A9956">
      <w:pPr>
        <w:pStyle w:val="279"/>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（3）支付约定：在本合同签订后15个工作日内，预付安全文明施工费总额的30%，其余部分与进度款同期支付。</w:t>
      </w:r>
    </w:p>
    <w:p w14:paraId="7A8935E8">
      <w:pPr>
        <w:pStyle w:val="279"/>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6.1.7在工程建设过程中，发包人或监理人将不定期组织对承包人的安全管理进行检查，对未按合同要求执行和现场存在安全隐患问题等情况下达整改通知单，承包人未在指定期限内完成整改的，视为承包违约，发包人有权视情况按2000~20000元/次处罚，且暂不支付进度款。</w:t>
      </w:r>
    </w:p>
    <w:p w14:paraId="7CE5F1ED">
      <w:pPr>
        <w:autoSpaceDE w:val="0"/>
        <w:autoSpaceDN w:val="0"/>
        <w:spacing w:line="360" w:lineRule="auto"/>
        <w:ind w:firstLine="422" w:firstLineChars="200"/>
        <w:rPr>
          <w:rFonts w:hint="eastAsia" w:ascii="宋体" w:hAnsi="宋体" w:cs="宋体"/>
          <w:b/>
          <w:bCs/>
          <w:color w:val="auto"/>
          <w:szCs w:val="21"/>
        </w:rPr>
      </w:pPr>
      <w:bookmarkStart w:id="620" w:name="_Toc373227721"/>
      <w:bookmarkStart w:id="621" w:name="_Toc373478368"/>
      <w:bookmarkStart w:id="622" w:name="_Toc389065287"/>
      <w:r>
        <w:rPr>
          <w:rFonts w:hint="eastAsia" w:ascii="宋体" w:hAnsi="宋体" w:cs="宋体"/>
          <w:b/>
          <w:bCs/>
          <w:color w:val="auto"/>
          <w:szCs w:val="21"/>
        </w:rPr>
        <w:t>6.3 环境保护</w:t>
      </w:r>
      <w:bookmarkEnd w:id="620"/>
      <w:bookmarkEnd w:id="621"/>
      <w:bookmarkEnd w:id="622"/>
    </w:p>
    <w:p w14:paraId="1C7EF9A0">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因施工需要，经发包人批准，由承包人办理有关施工场地交通、环卫和施工噪音管理等手续，费用由承包人负责</w:t>
      </w:r>
      <w:r>
        <w:rPr>
          <w:rFonts w:hint="eastAsia" w:ascii="宋体" w:hAnsi="宋体" w:cs="宋体"/>
          <w:color w:val="auto"/>
          <w:szCs w:val="21"/>
        </w:rPr>
        <w:t>。</w:t>
      </w:r>
    </w:p>
    <w:p w14:paraId="4E3B3196">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经过城市道路的施工车辆，必须按交警、城管、运输等部门相关规定执行。由于施工车辆造成的道路、环境等污染，其责任和费用均由承包人承担</w:t>
      </w:r>
      <w:r>
        <w:rPr>
          <w:rFonts w:hint="eastAsia" w:ascii="宋体" w:hAnsi="宋体" w:cs="宋体"/>
          <w:color w:val="auto"/>
          <w:szCs w:val="21"/>
        </w:rPr>
        <w:t>。</w:t>
      </w:r>
    </w:p>
    <w:bookmarkEnd w:id="593"/>
    <w:bookmarkEnd w:id="594"/>
    <w:bookmarkEnd w:id="595"/>
    <w:bookmarkEnd w:id="596"/>
    <w:bookmarkEnd w:id="597"/>
    <w:bookmarkEnd w:id="598"/>
    <w:bookmarkEnd w:id="599"/>
    <w:p w14:paraId="4FEA25C0">
      <w:pPr>
        <w:pStyle w:val="4"/>
        <w:spacing w:line="360" w:lineRule="auto"/>
        <w:ind w:firstLine="422" w:firstLineChars="200"/>
        <w:rPr>
          <w:rFonts w:hint="eastAsia" w:ascii="宋体" w:hAnsi="宋体" w:cs="宋体"/>
          <w:color w:val="auto"/>
          <w:sz w:val="21"/>
          <w:szCs w:val="21"/>
        </w:rPr>
      </w:pPr>
      <w:bookmarkStart w:id="623" w:name="_Toc373478369"/>
      <w:bookmarkStart w:id="624" w:name="_Toc23791"/>
      <w:bookmarkStart w:id="625" w:name="_Toc351203639"/>
      <w:bookmarkStart w:id="626" w:name="_Toc14838"/>
      <w:bookmarkStart w:id="627" w:name="_Toc32466"/>
      <w:bookmarkStart w:id="628" w:name="_Toc373227722"/>
      <w:bookmarkStart w:id="629" w:name="_Toc27411"/>
      <w:bookmarkStart w:id="630" w:name="_Toc486528980"/>
      <w:bookmarkStart w:id="631" w:name="_Toc389065288"/>
      <w:bookmarkStart w:id="632" w:name="_Toc9328"/>
      <w:bookmarkStart w:id="633" w:name="_Toc30379"/>
      <w:r>
        <w:rPr>
          <w:rFonts w:hint="eastAsia" w:ascii="宋体" w:hAnsi="宋体" w:cs="宋体"/>
          <w:color w:val="auto"/>
          <w:sz w:val="21"/>
          <w:szCs w:val="21"/>
        </w:rPr>
        <w:t>7. 工期和进度</w:t>
      </w:r>
      <w:bookmarkEnd w:id="623"/>
      <w:bookmarkEnd w:id="624"/>
      <w:bookmarkEnd w:id="625"/>
      <w:bookmarkEnd w:id="626"/>
      <w:bookmarkEnd w:id="627"/>
      <w:bookmarkEnd w:id="628"/>
      <w:bookmarkEnd w:id="629"/>
      <w:bookmarkEnd w:id="630"/>
      <w:bookmarkEnd w:id="631"/>
      <w:bookmarkEnd w:id="632"/>
      <w:bookmarkEnd w:id="633"/>
    </w:p>
    <w:p w14:paraId="64B723EB">
      <w:pPr>
        <w:pStyle w:val="5"/>
        <w:ind w:firstLine="422" w:firstLineChars="200"/>
        <w:rPr>
          <w:rFonts w:hint="eastAsia" w:ascii="宋体" w:hAnsi="宋体" w:cs="宋体"/>
          <w:color w:val="auto"/>
          <w:sz w:val="21"/>
          <w:szCs w:val="21"/>
        </w:rPr>
      </w:pPr>
      <w:bookmarkStart w:id="634" w:name="_Toc373478370"/>
      <w:bookmarkStart w:id="635" w:name="_Toc16567"/>
      <w:bookmarkStart w:id="636" w:name="_Toc486528981"/>
      <w:bookmarkStart w:id="637" w:name="_Toc22277"/>
      <w:bookmarkStart w:id="638" w:name="_Toc27204"/>
      <w:bookmarkStart w:id="639" w:name="_Toc30046"/>
      <w:bookmarkStart w:id="640" w:name="_Toc389065289"/>
      <w:bookmarkStart w:id="641" w:name="_Toc373227723"/>
      <w:bookmarkStart w:id="642" w:name="_Toc24867"/>
      <w:r>
        <w:rPr>
          <w:rFonts w:hint="eastAsia" w:ascii="宋体" w:hAnsi="宋体" w:cs="宋体"/>
          <w:color w:val="auto"/>
          <w:sz w:val="21"/>
          <w:szCs w:val="21"/>
        </w:rPr>
        <w:t>7.1 施工组织设计</w:t>
      </w:r>
      <w:bookmarkEnd w:id="634"/>
      <w:bookmarkEnd w:id="635"/>
      <w:bookmarkEnd w:id="636"/>
      <w:bookmarkEnd w:id="637"/>
      <w:bookmarkEnd w:id="638"/>
      <w:bookmarkEnd w:id="639"/>
      <w:bookmarkEnd w:id="640"/>
      <w:bookmarkEnd w:id="641"/>
      <w:bookmarkEnd w:id="642"/>
    </w:p>
    <w:p w14:paraId="60E9E129">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7.1.1 合</w:t>
      </w:r>
      <w:r>
        <w:rPr>
          <w:rFonts w:hint="eastAsia" w:ascii="宋体" w:hAnsi="宋体" w:cs="宋体"/>
          <w:color w:val="auto"/>
          <w:kern w:val="0"/>
          <w:szCs w:val="21"/>
        </w:rPr>
        <w:t>同当事人约定的施工组织设计应包括的其他内容</w:t>
      </w:r>
      <w:r>
        <w:rPr>
          <w:rFonts w:hint="eastAsia" w:ascii="宋体" w:hAnsi="宋体" w:cs="宋体"/>
          <w:color w:val="auto"/>
          <w:szCs w:val="21"/>
        </w:rPr>
        <w:t>：</w:t>
      </w:r>
      <w:r>
        <w:rPr>
          <w:rFonts w:hint="eastAsia" w:ascii="宋体" w:hAnsi="宋体" w:cs="宋体"/>
          <w:color w:val="auto"/>
          <w:szCs w:val="21"/>
          <w:u w:val="single"/>
        </w:rPr>
        <w:t xml:space="preserve"> 施工进度计划包括总进度计划、分阶段和分项进度计划、设备材料人员进场计划；施工方案说明包括分部、分项工程或工程部位的名称及施工顺序和方法</w:t>
      </w:r>
      <w:r>
        <w:rPr>
          <w:rFonts w:hint="eastAsia" w:ascii="宋体" w:hAnsi="宋体" w:cs="宋体"/>
          <w:color w:val="auto"/>
          <w:szCs w:val="21"/>
        </w:rPr>
        <w:t>。</w:t>
      </w:r>
    </w:p>
    <w:p w14:paraId="076FC63A">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rPr>
        <w:t xml:space="preserve">7.1.2 </w:t>
      </w:r>
      <w:r>
        <w:rPr>
          <w:rFonts w:hint="eastAsia" w:ascii="宋体" w:hAnsi="宋体" w:cs="宋体"/>
          <w:color w:val="auto"/>
          <w:kern w:val="0"/>
          <w:szCs w:val="21"/>
        </w:rPr>
        <w:t>施工组织设计的提交和修改</w:t>
      </w:r>
    </w:p>
    <w:p w14:paraId="66145ADC">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承包人提交详细施工组织设计的期限的约定：</w:t>
      </w:r>
      <w:r>
        <w:rPr>
          <w:rFonts w:hint="eastAsia" w:ascii="宋体" w:hAnsi="宋体" w:cs="宋体"/>
          <w:color w:val="auto"/>
          <w:szCs w:val="21"/>
          <w:u w:val="single"/>
        </w:rPr>
        <w:t xml:space="preserve"> 开工前7天 </w:t>
      </w:r>
      <w:r>
        <w:rPr>
          <w:rFonts w:hint="eastAsia" w:ascii="宋体" w:hAnsi="宋体" w:cs="宋体"/>
          <w:color w:val="auto"/>
          <w:szCs w:val="21"/>
        </w:rPr>
        <w:t>。</w:t>
      </w:r>
    </w:p>
    <w:p w14:paraId="35EEA82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发包人和监理人在收到详细的施工组织设计后确认或提出修改意见的期限：</w:t>
      </w:r>
      <w:r>
        <w:rPr>
          <w:rFonts w:hint="eastAsia" w:ascii="宋体" w:hAnsi="宋体" w:cs="宋体"/>
          <w:color w:val="auto"/>
          <w:szCs w:val="21"/>
          <w:u w:val="single"/>
        </w:rPr>
        <w:t xml:space="preserve">  收到后7天。</w:t>
      </w:r>
    </w:p>
    <w:p w14:paraId="1FB6A2A9">
      <w:pPr>
        <w:pStyle w:val="5"/>
        <w:ind w:firstLine="422" w:firstLineChars="200"/>
        <w:rPr>
          <w:rFonts w:hint="eastAsia" w:ascii="宋体" w:hAnsi="宋体" w:cs="宋体"/>
          <w:color w:val="auto"/>
          <w:sz w:val="21"/>
          <w:szCs w:val="21"/>
        </w:rPr>
      </w:pPr>
      <w:bookmarkStart w:id="643" w:name="_Toc27488"/>
      <w:bookmarkStart w:id="644" w:name="_Toc7879"/>
      <w:bookmarkStart w:id="645" w:name="_Toc27431"/>
      <w:bookmarkStart w:id="646" w:name="_Toc30273"/>
      <w:bookmarkStart w:id="647" w:name="_Toc486528982"/>
      <w:bookmarkStart w:id="648" w:name="_Toc7081"/>
      <w:bookmarkStart w:id="649" w:name="_Toc373478371"/>
      <w:bookmarkStart w:id="650" w:name="_Toc389065290"/>
      <w:bookmarkStart w:id="651" w:name="_Toc25374"/>
      <w:bookmarkStart w:id="652" w:name="_Toc373227724"/>
      <w:r>
        <w:rPr>
          <w:rFonts w:hint="eastAsia" w:ascii="宋体" w:hAnsi="宋体" w:cs="宋体"/>
          <w:color w:val="auto"/>
          <w:sz w:val="21"/>
          <w:szCs w:val="21"/>
        </w:rPr>
        <w:t>7</w:t>
      </w:r>
      <w:bookmarkStart w:id="653" w:name="_Toc300934966"/>
      <w:bookmarkStart w:id="654" w:name="_Toc312678005"/>
      <w:bookmarkStart w:id="655" w:name="_Toc303539123"/>
      <w:bookmarkStart w:id="656" w:name="_Toc297123514"/>
      <w:bookmarkStart w:id="657" w:name="_Toc312677479"/>
      <w:bookmarkStart w:id="658" w:name="_Toc304295541"/>
      <w:bookmarkStart w:id="659" w:name="_Toc297216173"/>
      <w:r>
        <w:rPr>
          <w:rFonts w:hint="eastAsia" w:ascii="宋体" w:hAnsi="宋体" w:cs="宋体"/>
          <w:color w:val="auto"/>
          <w:sz w:val="21"/>
          <w:szCs w:val="21"/>
        </w:rPr>
        <w:t>.2 施工进度计划</w:t>
      </w:r>
      <w:bookmarkEnd w:id="643"/>
      <w:bookmarkEnd w:id="644"/>
      <w:bookmarkEnd w:id="645"/>
      <w:bookmarkEnd w:id="646"/>
      <w:bookmarkEnd w:id="647"/>
      <w:bookmarkEnd w:id="648"/>
      <w:bookmarkEnd w:id="649"/>
      <w:bookmarkEnd w:id="650"/>
      <w:bookmarkEnd w:id="651"/>
      <w:bookmarkEnd w:id="652"/>
    </w:p>
    <w:p w14:paraId="3C8AFE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7.2.2 施工进度计划的修订</w:t>
      </w:r>
    </w:p>
    <w:p w14:paraId="3B5F68F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发包人和监理人在收到修订的施工进度计划后确认或提出修改意见的期限： </w:t>
      </w:r>
      <w:r>
        <w:rPr>
          <w:rFonts w:hint="eastAsia" w:ascii="宋体" w:hAnsi="宋体" w:cs="宋体"/>
          <w:color w:val="auto"/>
          <w:szCs w:val="21"/>
          <w:u w:val="single"/>
        </w:rPr>
        <w:t>收到后7天。</w:t>
      </w:r>
    </w:p>
    <w:p w14:paraId="564A333A">
      <w:pPr>
        <w:pStyle w:val="5"/>
        <w:ind w:firstLine="422" w:firstLineChars="200"/>
        <w:rPr>
          <w:rFonts w:hint="eastAsia" w:ascii="宋体" w:hAnsi="宋体" w:cs="宋体"/>
          <w:color w:val="auto"/>
          <w:sz w:val="21"/>
          <w:szCs w:val="21"/>
        </w:rPr>
      </w:pPr>
      <w:bookmarkStart w:id="660" w:name="_Toc16750"/>
      <w:bookmarkStart w:id="661" w:name="_Toc17315"/>
      <w:bookmarkStart w:id="662" w:name="_Toc30669"/>
      <w:bookmarkStart w:id="663" w:name="_Toc25504"/>
      <w:bookmarkStart w:id="664" w:name="_Toc373478372"/>
      <w:bookmarkStart w:id="665" w:name="_Toc486528983"/>
      <w:bookmarkStart w:id="666" w:name="_Toc6418"/>
      <w:bookmarkStart w:id="667" w:name="_Toc373227725"/>
      <w:bookmarkStart w:id="668" w:name="_Toc3560"/>
      <w:bookmarkStart w:id="669" w:name="_Toc389065291"/>
      <w:r>
        <w:rPr>
          <w:rFonts w:hint="eastAsia" w:ascii="宋体" w:hAnsi="宋体" w:cs="宋体"/>
          <w:color w:val="auto"/>
          <w:sz w:val="21"/>
          <w:szCs w:val="21"/>
        </w:rPr>
        <w:t>7.3 开工</w:t>
      </w:r>
      <w:bookmarkEnd w:id="660"/>
      <w:bookmarkEnd w:id="661"/>
      <w:bookmarkEnd w:id="662"/>
      <w:bookmarkEnd w:id="663"/>
      <w:bookmarkEnd w:id="664"/>
      <w:bookmarkEnd w:id="665"/>
      <w:bookmarkEnd w:id="666"/>
      <w:bookmarkEnd w:id="667"/>
      <w:bookmarkEnd w:id="668"/>
      <w:bookmarkEnd w:id="669"/>
    </w:p>
    <w:p w14:paraId="779C290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7.3.1 开工准备</w:t>
      </w:r>
    </w:p>
    <w:p w14:paraId="3CE0215B">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关于承包人提交</w:t>
      </w:r>
      <w:r>
        <w:rPr>
          <w:rFonts w:hint="eastAsia" w:ascii="宋体" w:hAnsi="宋体" w:cs="宋体"/>
          <w:color w:val="auto"/>
          <w:kern w:val="0"/>
          <w:szCs w:val="21"/>
        </w:rPr>
        <w:t>工程开工报审表的期限：</w:t>
      </w:r>
      <w:r>
        <w:rPr>
          <w:rFonts w:hint="eastAsia" w:ascii="宋体" w:hAnsi="宋体" w:cs="宋体"/>
          <w:color w:val="auto"/>
          <w:szCs w:val="21"/>
          <w:u w:val="single"/>
        </w:rPr>
        <w:t xml:space="preserve"> 开工前7天  </w:t>
      </w:r>
      <w:r>
        <w:rPr>
          <w:rFonts w:hint="eastAsia" w:ascii="宋体" w:hAnsi="宋体" w:cs="宋体"/>
          <w:color w:val="auto"/>
          <w:szCs w:val="21"/>
        </w:rPr>
        <w:t>。</w:t>
      </w:r>
    </w:p>
    <w:p w14:paraId="7D6C721A">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关于发包人应完成的其他开工准备工作及期限：</w:t>
      </w:r>
      <w:r>
        <w:rPr>
          <w:rFonts w:hint="eastAsia" w:ascii="宋体" w:hAnsi="宋体" w:cs="宋体"/>
          <w:color w:val="auto"/>
          <w:szCs w:val="21"/>
          <w:u w:val="single"/>
        </w:rPr>
        <w:t xml:space="preserve">   /   </w:t>
      </w:r>
      <w:r>
        <w:rPr>
          <w:rFonts w:hint="eastAsia" w:ascii="宋体" w:hAnsi="宋体" w:cs="宋体"/>
          <w:color w:val="auto"/>
          <w:szCs w:val="21"/>
        </w:rPr>
        <w:t>。</w:t>
      </w:r>
    </w:p>
    <w:p w14:paraId="44624BAD">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关于承包人应完成的其他开工准备工作及期限：</w:t>
      </w:r>
      <w:r>
        <w:rPr>
          <w:rFonts w:hint="eastAsia" w:ascii="宋体" w:hAnsi="宋体" w:cs="宋体"/>
          <w:color w:val="auto"/>
          <w:szCs w:val="21"/>
          <w:u w:val="single"/>
        </w:rPr>
        <w:t xml:space="preserve">    /  </w:t>
      </w:r>
      <w:r>
        <w:rPr>
          <w:rFonts w:hint="eastAsia" w:ascii="宋体" w:hAnsi="宋体" w:cs="宋体"/>
          <w:color w:val="auto"/>
          <w:szCs w:val="21"/>
        </w:rPr>
        <w:t>。</w:t>
      </w:r>
    </w:p>
    <w:p w14:paraId="09FE0BF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7.3.2 开工通知</w:t>
      </w:r>
    </w:p>
    <w:p w14:paraId="721E77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因发包人原因造成监理人未能在计划开工日期之日起</w:t>
      </w:r>
      <w:r>
        <w:rPr>
          <w:rFonts w:hint="eastAsia" w:ascii="宋体" w:hAnsi="宋体" w:cs="宋体"/>
          <w:color w:val="auto"/>
          <w:szCs w:val="21"/>
          <w:u w:val="single"/>
        </w:rPr>
        <w:t xml:space="preserve"> 三十 </w:t>
      </w:r>
      <w:r>
        <w:rPr>
          <w:rFonts w:hint="eastAsia" w:ascii="宋体" w:hAnsi="宋体" w:cs="宋体"/>
          <w:color w:val="auto"/>
          <w:szCs w:val="21"/>
        </w:rPr>
        <w:t>天内发出开工通知的，承包人有权提出价格调整要求，或者解除合同。</w:t>
      </w:r>
    </w:p>
    <w:bookmarkEnd w:id="653"/>
    <w:bookmarkEnd w:id="654"/>
    <w:bookmarkEnd w:id="655"/>
    <w:bookmarkEnd w:id="656"/>
    <w:bookmarkEnd w:id="657"/>
    <w:bookmarkEnd w:id="658"/>
    <w:bookmarkEnd w:id="659"/>
    <w:p w14:paraId="15E4B2E1">
      <w:pPr>
        <w:pStyle w:val="5"/>
        <w:ind w:firstLine="422" w:firstLineChars="200"/>
        <w:rPr>
          <w:rFonts w:hint="eastAsia" w:ascii="宋体" w:hAnsi="宋体" w:cs="宋体"/>
          <w:color w:val="auto"/>
          <w:sz w:val="21"/>
          <w:szCs w:val="21"/>
        </w:rPr>
      </w:pPr>
      <w:bookmarkStart w:id="670" w:name="_Toc373478373"/>
      <w:bookmarkStart w:id="671" w:name="_Toc486528984"/>
      <w:bookmarkStart w:id="672" w:name="_Toc373227726"/>
      <w:bookmarkStart w:id="673" w:name="_Toc22806"/>
      <w:bookmarkStart w:id="674" w:name="_Toc389065292"/>
      <w:bookmarkStart w:id="675" w:name="_Toc24808"/>
      <w:bookmarkStart w:id="676" w:name="_Toc30986"/>
      <w:bookmarkStart w:id="677" w:name="_Toc10975"/>
      <w:bookmarkStart w:id="678" w:name="_Toc31760"/>
      <w:bookmarkStart w:id="679" w:name="_Toc24927"/>
      <w:r>
        <w:rPr>
          <w:rFonts w:hint="eastAsia" w:ascii="宋体" w:hAnsi="宋体" w:cs="宋体"/>
          <w:color w:val="auto"/>
          <w:sz w:val="21"/>
          <w:szCs w:val="21"/>
        </w:rPr>
        <w:t>7.4 测量放线</w:t>
      </w:r>
      <w:bookmarkEnd w:id="670"/>
      <w:bookmarkEnd w:id="671"/>
      <w:bookmarkEnd w:id="672"/>
      <w:bookmarkEnd w:id="673"/>
      <w:bookmarkEnd w:id="674"/>
      <w:bookmarkEnd w:id="675"/>
      <w:bookmarkEnd w:id="676"/>
      <w:bookmarkEnd w:id="677"/>
      <w:bookmarkEnd w:id="678"/>
      <w:bookmarkEnd w:id="679"/>
    </w:p>
    <w:p w14:paraId="01AF2926">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color w:val="auto"/>
          <w:szCs w:val="21"/>
          <w:u w:val="single"/>
        </w:rPr>
        <w:t xml:space="preserve">开工前七天，以书面形式交给承包人，双方现场进行交验 </w:t>
      </w:r>
      <w:r>
        <w:rPr>
          <w:rFonts w:hint="eastAsia" w:ascii="宋体" w:hAnsi="宋体" w:cs="宋体"/>
          <w:color w:val="auto"/>
          <w:szCs w:val="21"/>
        </w:rPr>
        <w:t>。</w:t>
      </w:r>
    </w:p>
    <w:p w14:paraId="37CA4E41">
      <w:pPr>
        <w:pStyle w:val="5"/>
        <w:ind w:firstLine="422" w:firstLineChars="200"/>
        <w:rPr>
          <w:rFonts w:hint="eastAsia" w:ascii="宋体" w:hAnsi="宋体" w:cs="宋体"/>
          <w:color w:val="auto"/>
          <w:sz w:val="21"/>
          <w:szCs w:val="21"/>
        </w:rPr>
      </w:pPr>
      <w:bookmarkStart w:id="680" w:name="_Toc9020"/>
      <w:bookmarkStart w:id="681" w:name="_Toc12626"/>
      <w:bookmarkStart w:id="682" w:name="_Toc1706"/>
      <w:bookmarkStart w:id="683" w:name="_Toc389065293"/>
      <w:bookmarkStart w:id="684" w:name="_Toc373227727"/>
      <w:bookmarkStart w:id="685" w:name="_Toc2602"/>
      <w:bookmarkStart w:id="686" w:name="_Toc25435"/>
      <w:bookmarkStart w:id="687" w:name="_Toc373478374"/>
      <w:bookmarkStart w:id="688" w:name="_Toc29585"/>
      <w:bookmarkStart w:id="689" w:name="_Toc486528985"/>
      <w:r>
        <w:rPr>
          <w:rFonts w:hint="eastAsia" w:ascii="宋体" w:hAnsi="宋体" w:cs="宋体"/>
          <w:color w:val="auto"/>
          <w:sz w:val="21"/>
          <w:szCs w:val="21"/>
        </w:rPr>
        <w:t>7</w:t>
      </w:r>
      <w:bookmarkStart w:id="690" w:name="_Toc300934968"/>
      <w:bookmarkStart w:id="691" w:name="_Toc297123516"/>
      <w:bookmarkStart w:id="692" w:name="_Toc312678010"/>
      <w:bookmarkStart w:id="693" w:name="_Toc304295546"/>
      <w:bookmarkStart w:id="694" w:name="_Toc297216175"/>
      <w:bookmarkStart w:id="695" w:name="_Toc312677484"/>
      <w:bookmarkStart w:id="696" w:name="_Toc303539125"/>
      <w:r>
        <w:rPr>
          <w:rFonts w:hint="eastAsia" w:ascii="宋体" w:hAnsi="宋体" w:cs="宋体"/>
          <w:color w:val="auto"/>
          <w:sz w:val="21"/>
          <w:szCs w:val="21"/>
        </w:rPr>
        <w:t>.5 工期延误</w:t>
      </w:r>
      <w:bookmarkEnd w:id="680"/>
      <w:bookmarkEnd w:id="681"/>
      <w:bookmarkEnd w:id="682"/>
      <w:bookmarkEnd w:id="683"/>
      <w:bookmarkEnd w:id="684"/>
      <w:bookmarkEnd w:id="685"/>
      <w:bookmarkEnd w:id="686"/>
      <w:bookmarkEnd w:id="687"/>
      <w:bookmarkEnd w:id="688"/>
      <w:bookmarkEnd w:id="689"/>
    </w:p>
    <w:bookmarkEnd w:id="690"/>
    <w:bookmarkEnd w:id="691"/>
    <w:bookmarkEnd w:id="692"/>
    <w:bookmarkEnd w:id="693"/>
    <w:bookmarkEnd w:id="694"/>
    <w:bookmarkEnd w:id="695"/>
    <w:bookmarkEnd w:id="696"/>
    <w:p w14:paraId="6728D6F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7.5.1 因发包人原因导致工期延误</w:t>
      </w:r>
    </w:p>
    <w:p w14:paraId="24CC0A9D">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（1）因发包人原因导致工期延误的其他情形：</w:t>
      </w:r>
      <w:r>
        <w:rPr>
          <w:rFonts w:hint="eastAsia" w:ascii="宋体" w:hAnsi="宋体" w:cs="宋体"/>
          <w:color w:val="auto"/>
          <w:szCs w:val="21"/>
          <w:u w:val="single"/>
        </w:rPr>
        <w:t xml:space="preserve"> 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材料单价或甲供材料提供延误的。</w:t>
      </w:r>
    </w:p>
    <w:p w14:paraId="42C002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bookmarkStart w:id="697" w:name="_Toc312678012"/>
      <w:bookmarkStart w:id="698" w:name="_Toc318581169"/>
      <w:bookmarkStart w:id="699" w:name="_Toc312677486"/>
      <w:bookmarkStart w:id="700" w:name="_Toc297123518"/>
      <w:bookmarkStart w:id="701" w:name="_Toc300934970"/>
      <w:bookmarkStart w:id="702" w:name="_Toc304295548"/>
      <w:bookmarkStart w:id="703" w:name="_Toc303539127"/>
      <w:bookmarkStart w:id="704" w:name="_Toc297216177"/>
      <w:r>
        <w:rPr>
          <w:rFonts w:hint="eastAsia" w:ascii="宋体" w:hAnsi="宋体" w:cs="宋体"/>
          <w:color w:val="auto"/>
          <w:szCs w:val="21"/>
        </w:rPr>
        <w:t>.5.2 因承包人原因导致工期延误</w:t>
      </w:r>
    </w:p>
    <w:bookmarkEnd w:id="697"/>
    <w:bookmarkEnd w:id="698"/>
    <w:bookmarkEnd w:id="699"/>
    <w:p w14:paraId="5B1B7E7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双方约定经监理工程师确认</w:t>
      </w:r>
      <w:r>
        <w:rPr>
          <w:rFonts w:hint="eastAsia" w:ascii="宋体" w:hAnsi="宋体" w:cs="宋体"/>
          <w:color w:val="auto"/>
          <w:spacing w:val="-6"/>
          <w:szCs w:val="21"/>
        </w:rPr>
        <w:t>，工期相应顺延的情况：</w:t>
      </w:r>
      <w:r>
        <w:rPr>
          <w:rFonts w:hint="eastAsia" w:ascii="宋体" w:hAnsi="宋体" w:cs="宋体"/>
          <w:bCs/>
          <w:color w:val="auto"/>
          <w:szCs w:val="21"/>
          <w:u w:val="single"/>
        </w:rPr>
        <w:t>不可抗力的原因</w:t>
      </w:r>
      <w:r>
        <w:rPr>
          <w:rFonts w:hint="eastAsia" w:ascii="宋体" w:hAnsi="宋体" w:cs="宋体"/>
          <w:color w:val="auto"/>
          <w:szCs w:val="21"/>
        </w:rPr>
        <w:t>。</w:t>
      </w:r>
    </w:p>
    <w:bookmarkEnd w:id="700"/>
    <w:bookmarkEnd w:id="701"/>
    <w:bookmarkEnd w:id="702"/>
    <w:bookmarkEnd w:id="703"/>
    <w:bookmarkEnd w:id="704"/>
    <w:p w14:paraId="48CFA1F4">
      <w:pPr>
        <w:spacing w:line="360" w:lineRule="auto"/>
        <w:ind w:firstLine="420" w:firstLineChars="200"/>
        <w:rPr>
          <w:rFonts w:hint="eastAsia" w:ascii="宋体" w:hAnsi="宋体" w:cs="宋体"/>
          <w:color w:val="auto"/>
          <w:szCs w:val="21"/>
          <w:u w:val="single"/>
        </w:rPr>
      </w:pPr>
      <w:bookmarkStart w:id="705" w:name="_Toc373478375"/>
      <w:bookmarkStart w:id="706" w:name="_Toc389065294"/>
      <w:bookmarkStart w:id="707" w:name="_Toc373227728"/>
      <w:r>
        <w:rPr>
          <w:rFonts w:hint="eastAsia" w:ascii="宋体" w:hAnsi="宋体" w:cs="宋体"/>
          <w:color w:val="auto"/>
          <w:szCs w:val="21"/>
        </w:rPr>
        <w:t>因承包人原因造成工期延误，逾期竣工违约金的计算方法为：</w:t>
      </w:r>
      <w:r>
        <w:rPr>
          <w:rFonts w:hint="eastAsia" w:ascii="宋体" w:hAnsi="宋体" w:cs="宋体"/>
          <w:color w:val="auto"/>
          <w:szCs w:val="21"/>
          <w:u w:val="single"/>
        </w:rPr>
        <w:t xml:space="preserve">非不可抗力原因，承包人不能按合同约定的时间竣工，承包人应承担违约责任并支付发包人误期赔偿费（每天赔偿金额为合同价款的千分之二），误期时间从规定竣工日期起直到全部工程或相应部分工程竣工验收各方签章日期之间的天数（扣除发包人批准顺延的工期）。发包人可从应向承包人支付的任何金额中扣除此项赔偿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逾期超过30日的，除按上述标准赔偿给发包人外，发包人有权单方解除本合同，没收全部履约保证金，承包人应当按本合同总价款的10%向发包人支付违约金，且由此造成的一切损失均由承包人自行负责。 </w:t>
      </w:r>
    </w:p>
    <w:p w14:paraId="6084D7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因承包人原因造成工期延误，逾期竣工违约金的上限：</w:t>
      </w:r>
      <w:r>
        <w:rPr>
          <w:rFonts w:hint="eastAsia" w:ascii="宋体" w:hAnsi="宋体" w:cs="宋体"/>
          <w:color w:val="auto"/>
          <w:szCs w:val="21"/>
          <w:u w:val="single"/>
        </w:rPr>
        <w:t xml:space="preserve">合同价的20% </w:t>
      </w:r>
      <w:r>
        <w:rPr>
          <w:rFonts w:hint="eastAsia" w:ascii="宋体" w:hAnsi="宋体" w:cs="宋体"/>
          <w:color w:val="auto"/>
          <w:szCs w:val="21"/>
        </w:rPr>
        <w:t>。</w:t>
      </w:r>
    </w:p>
    <w:p w14:paraId="6355868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由于承包人原因造成不能按期竣工的，监理人未在规定的期限内发出本款约定的书面通知的，发包人保留主张逾期竣工违约金的权利。</w:t>
      </w:r>
    </w:p>
    <w:p w14:paraId="63163E6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非发包人、承包人双方原因造成的工期延误，发包人同意工期顺延但不承担其他费用。</w:t>
      </w:r>
    </w:p>
    <w:p w14:paraId="67650E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bookmarkStart w:id="708" w:name="_Toc312678015"/>
      <w:bookmarkStart w:id="709" w:name="_Toc304295549"/>
      <w:bookmarkStart w:id="710" w:name="_Toc297216178"/>
      <w:bookmarkStart w:id="711" w:name="_Toc297123519"/>
      <w:bookmarkStart w:id="712" w:name="_Toc303539128"/>
      <w:bookmarkStart w:id="713" w:name="_Toc300934971"/>
      <w:r>
        <w:rPr>
          <w:rFonts w:hint="eastAsia" w:ascii="宋体" w:hAnsi="宋体" w:cs="宋体"/>
          <w:color w:val="auto"/>
          <w:szCs w:val="21"/>
        </w:rPr>
        <w:t>.6 不</w:t>
      </w:r>
      <w:bookmarkEnd w:id="708"/>
      <w:bookmarkEnd w:id="709"/>
      <w:bookmarkEnd w:id="710"/>
      <w:bookmarkEnd w:id="711"/>
      <w:bookmarkEnd w:id="712"/>
      <w:bookmarkEnd w:id="713"/>
      <w:r>
        <w:rPr>
          <w:rFonts w:hint="eastAsia" w:ascii="宋体" w:hAnsi="宋体" w:cs="宋体"/>
          <w:color w:val="auto"/>
          <w:szCs w:val="21"/>
        </w:rPr>
        <w:t>利物质条件</w:t>
      </w:r>
      <w:bookmarkEnd w:id="705"/>
      <w:bookmarkEnd w:id="706"/>
      <w:bookmarkEnd w:id="707"/>
    </w:p>
    <w:p w14:paraId="2AE71BA1">
      <w:pPr>
        <w:spacing w:line="360" w:lineRule="auto"/>
        <w:ind w:firstLine="420" w:firstLineChars="200"/>
        <w:rPr>
          <w:rFonts w:hint="eastAsia" w:ascii="宋体" w:hAnsi="宋体" w:cs="宋体"/>
          <w:color w:val="auto"/>
          <w:szCs w:val="21"/>
          <w:u w:val="single"/>
        </w:rPr>
      </w:pPr>
      <w:bookmarkStart w:id="714" w:name="_Toc297123520"/>
      <w:bookmarkStart w:id="715" w:name="_Toc318581172"/>
      <w:bookmarkStart w:id="716" w:name="_Toc297216179"/>
      <w:bookmarkStart w:id="717" w:name="_Toc312678016"/>
      <w:bookmarkStart w:id="718" w:name="_Toc303539129"/>
      <w:bookmarkStart w:id="719" w:name="_Toc300934972"/>
      <w:bookmarkStart w:id="720" w:name="_Toc304295550"/>
      <w:r>
        <w:rPr>
          <w:rFonts w:hint="eastAsia" w:ascii="宋体" w:hAnsi="宋体" w:cs="宋体"/>
          <w:color w:val="auto"/>
          <w:szCs w:val="21"/>
        </w:rPr>
        <w:t>不利物质条件的其他情形和有关约定：</w:t>
      </w:r>
      <w:r>
        <w:rPr>
          <w:rFonts w:hint="eastAsia" w:ascii="宋体" w:hAnsi="宋体" w:cs="宋体"/>
          <w:color w:val="auto"/>
          <w:szCs w:val="21"/>
          <w:u w:val="single"/>
        </w:rPr>
        <w:t xml:space="preserve">    /   </w:t>
      </w:r>
      <w:r>
        <w:rPr>
          <w:rFonts w:hint="eastAsia" w:ascii="宋体" w:hAnsi="宋体" w:cs="宋体"/>
          <w:color w:val="auto"/>
          <w:szCs w:val="21"/>
        </w:rPr>
        <w:t>。</w:t>
      </w:r>
    </w:p>
    <w:bookmarkEnd w:id="714"/>
    <w:bookmarkEnd w:id="715"/>
    <w:bookmarkEnd w:id="716"/>
    <w:bookmarkEnd w:id="717"/>
    <w:bookmarkEnd w:id="718"/>
    <w:bookmarkEnd w:id="719"/>
    <w:bookmarkEnd w:id="720"/>
    <w:p w14:paraId="7F1BB385">
      <w:pPr>
        <w:pStyle w:val="5"/>
        <w:ind w:firstLine="422" w:firstLineChars="200"/>
        <w:rPr>
          <w:rFonts w:hint="eastAsia" w:ascii="宋体" w:hAnsi="宋体" w:cs="宋体"/>
          <w:color w:val="auto"/>
          <w:sz w:val="21"/>
          <w:szCs w:val="21"/>
        </w:rPr>
      </w:pPr>
      <w:bookmarkStart w:id="721" w:name="_Toc32721"/>
      <w:bookmarkStart w:id="722" w:name="_Toc8354"/>
      <w:bookmarkStart w:id="723" w:name="_Toc16792"/>
      <w:bookmarkStart w:id="724" w:name="_Toc9807"/>
      <w:bookmarkStart w:id="725" w:name="_Toc32739"/>
      <w:bookmarkStart w:id="726" w:name="_Toc373227729"/>
      <w:bookmarkStart w:id="727" w:name="_Toc26520"/>
      <w:bookmarkStart w:id="728" w:name="_Toc389065295"/>
      <w:bookmarkStart w:id="729" w:name="_Toc486528986"/>
      <w:bookmarkStart w:id="730" w:name="_Toc373478376"/>
      <w:r>
        <w:rPr>
          <w:rFonts w:hint="eastAsia" w:ascii="宋体" w:hAnsi="宋体" w:cs="宋体"/>
          <w:color w:val="auto"/>
          <w:sz w:val="21"/>
          <w:szCs w:val="21"/>
        </w:rPr>
        <w:t>7</w:t>
      </w:r>
      <w:bookmarkStart w:id="731" w:name="_Toc297216180"/>
      <w:bookmarkStart w:id="732" w:name="_Toc303539130"/>
      <w:bookmarkStart w:id="733" w:name="_Toc304295551"/>
      <w:bookmarkStart w:id="734" w:name="_Toc312678017"/>
      <w:bookmarkStart w:id="735" w:name="_Toc300934973"/>
      <w:bookmarkStart w:id="736" w:name="_Toc297123521"/>
      <w:r>
        <w:rPr>
          <w:rFonts w:hint="eastAsia" w:ascii="宋体" w:hAnsi="宋体" w:cs="宋体"/>
          <w:color w:val="auto"/>
          <w:sz w:val="21"/>
          <w:szCs w:val="21"/>
        </w:rPr>
        <w:t>.7 异常恶劣的气候条件</w:t>
      </w:r>
      <w:bookmarkEnd w:id="721"/>
      <w:bookmarkEnd w:id="722"/>
      <w:bookmarkEnd w:id="723"/>
      <w:bookmarkEnd w:id="724"/>
      <w:bookmarkEnd w:id="725"/>
      <w:bookmarkEnd w:id="726"/>
      <w:bookmarkEnd w:id="727"/>
      <w:bookmarkEnd w:id="728"/>
      <w:bookmarkEnd w:id="729"/>
      <w:bookmarkEnd w:id="730"/>
    </w:p>
    <w:bookmarkEnd w:id="731"/>
    <w:bookmarkEnd w:id="732"/>
    <w:bookmarkEnd w:id="733"/>
    <w:bookmarkEnd w:id="734"/>
    <w:bookmarkEnd w:id="735"/>
    <w:bookmarkEnd w:id="736"/>
    <w:p w14:paraId="64C2F2D2">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发包人和承包人同意以下情形视为异常恶劣的气候条件：</w:t>
      </w:r>
      <w:bookmarkStart w:id="737" w:name="_Toc373478377"/>
      <w:bookmarkStart w:id="738" w:name="_Toc373227730"/>
      <w:bookmarkStart w:id="739" w:name="_Toc389065296"/>
      <w:r>
        <w:rPr>
          <w:rFonts w:hint="eastAsia" w:ascii="宋体" w:hAnsi="宋体" w:cs="宋体"/>
          <w:color w:val="auto"/>
          <w:szCs w:val="21"/>
          <w:u w:val="single"/>
        </w:rPr>
        <w:t>（1）10级以上持续1天的大风；（2）暴雨级以上持续1天的大雨；（3）50年以上未发生过的持续2天的高温天气；（4）50年以上未发生的持续2天的低温天气。施工场地受淹超过发包人提供设计图纸指明的设计洪水位以及因天气原因无法施工并经监理确认引起延误的情况。承包人有权要求发包人延长工期，但对上述几种情形，对工程施工造成影响和灾害的，需提供政府相关部门对不可抗力认定的证明材料为依据。</w:t>
      </w:r>
    </w:p>
    <w:p w14:paraId="25EA45B9">
      <w:pPr>
        <w:pStyle w:val="5"/>
        <w:ind w:firstLine="422" w:firstLineChars="200"/>
        <w:rPr>
          <w:rFonts w:hint="eastAsia" w:ascii="宋体" w:hAnsi="宋体" w:cs="宋体"/>
          <w:color w:val="auto"/>
          <w:sz w:val="21"/>
          <w:szCs w:val="21"/>
        </w:rPr>
      </w:pPr>
      <w:bookmarkStart w:id="740" w:name="_Toc12348"/>
      <w:bookmarkStart w:id="741" w:name="_Toc28125"/>
      <w:bookmarkStart w:id="742" w:name="_Toc25818"/>
      <w:bookmarkStart w:id="743" w:name="_Toc24763"/>
      <w:bookmarkStart w:id="744" w:name="_Toc25079"/>
      <w:bookmarkStart w:id="745" w:name="_Toc486528987"/>
      <w:bookmarkStart w:id="746" w:name="_Toc23449"/>
      <w:r>
        <w:rPr>
          <w:rFonts w:hint="eastAsia" w:ascii="宋体" w:hAnsi="宋体" w:cs="宋体"/>
          <w:color w:val="auto"/>
          <w:sz w:val="21"/>
          <w:szCs w:val="21"/>
        </w:rPr>
        <w:t>7.9 提前竣工</w:t>
      </w:r>
      <w:bookmarkEnd w:id="737"/>
      <w:bookmarkEnd w:id="738"/>
      <w:bookmarkEnd w:id="739"/>
      <w:bookmarkEnd w:id="740"/>
      <w:bookmarkEnd w:id="741"/>
      <w:bookmarkEnd w:id="742"/>
      <w:bookmarkEnd w:id="743"/>
      <w:bookmarkEnd w:id="744"/>
      <w:bookmarkEnd w:id="745"/>
      <w:bookmarkEnd w:id="746"/>
    </w:p>
    <w:p w14:paraId="27817F1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7.9.2提前竣工（赶工）增加费的计算方法：</w:t>
      </w:r>
      <w:r>
        <w:rPr>
          <w:rFonts w:hint="eastAsia" w:ascii="宋体" w:hAnsi="宋体" w:cs="宋体"/>
          <w:color w:val="auto"/>
          <w:szCs w:val="21"/>
          <w:u w:val="single"/>
        </w:rPr>
        <w:t xml:space="preserve">  无  </w:t>
      </w:r>
      <w:r>
        <w:rPr>
          <w:rFonts w:hint="eastAsia" w:ascii="宋体" w:hAnsi="宋体" w:cs="宋体"/>
          <w:color w:val="auto"/>
          <w:szCs w:val="21"/>
        </w:rPr>
        <w:t>。</w:t>
      </w:r>
    </w:p>
    <w:p w14:paraId="2DF611CA">
      <w:pPr>
        <w:pStyle w:val="4"/>
        <w:spacing w:line="360" w:lineRule="auto"/>
        <w:ind w:firstLine="422" w:firstLineChars="200"/>
        <w:rPr>
          <w:rFonts w:hint="eastAsia" w:ascii="宋体" w:hAnsi="宋体" w:cs="宋体"/>
          <w:color w:val="auto"/>
          <w:sz w:val="21"/>
          <w:szCs w:val="21"/>
        </w:rPr>
      </w:pPr>
      <w:bookmarkStart w:id="747" w:name="_Toc373227731"/>
      <w:bookmarkStart w:id="748" w:name="_Toc486528988"/>
      <w:bookmarkStart w:id="749" w:name="_Toc389065297"/>
      <w:bookmarkStart w:id="750" w:name="_Toc21520"/>
      <w:bookmarkStart w:id="751" w:name="_Toc22705"/>
      <w:bookmarkStart w:id="752" w:name="_Toc2950"/>
      <w:bookmarkStart w:id="753" w:name="_Toc8217"/>
      <w:bookmarkStart w:id="754" w:name="_Toc29969"/>
      <w:bookmarkStart w:id="755" w:name="_Toc373478378"/>
      <w:bookmarkStart w:id="756" w:name="_Toc351203640"/>
      <w:bookmarkStart w:id="757" w:name="_Toc1394"/>
      <w:r>
        <w:rPr>
          <w:rFonts w:hint="eastAsia" w:ascii="宋体" w:hAnsi="宋体" w:cs="宋体"/>
          <w:color w:val="auto"/>
          <w:sz w:val="21"/>
          <w:szCs w:val="21"/>
        </w:rPr>
        <w:t>8. 材料与设备</w:t>
      </w:r>
      <w:bookmarkEnd w:id="747"/>
      <w:bookmarkEnd w:id="748"/>
      <w:bookmarkEnd w:id="749"/>
      <w:bookmarkEnd w:id="750"/>
      <w:bookmarkEnd w:id="751"/>
      <w:bookmarkEnd w:id="752"/>
      <w:bookmarkEnd w:id="753"/>
      <w:bookmarkEnd w:id="754"/>
      <w:bookmarkEnd w:id="755"/>
      <w:bookmarkEnd w:id="756"/>
      <w:bookmarkEnd w:id="757"/>
    </w:p>
    <w:bookmarkEnd w:id="573"/>
    <w:bookmarkEnd w:id="574"/>
    <w:bookmarkEnd w:id="575"/>
    <w:bookmarkEnd w:id="576"/>
    <w:bookmarkEnd w:id="577"/>
    <w:bookmarkEnd w:id="578"/>
    <w:bookmarkEnd w:id="579"/>
    <w:bookmarkEnd w:id="580"/>
    <w:bookmarkEnd w:id="581"/>
    <w:bookmarkEnd w:id="582"/>
    <w:p w14:paraId="54154A33">
      <w:pPr>
        <w:autoSpaceDE w:val="0"/>
        <w:autoSpaceDN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8.4 材料与工程设备的保管与使用</w:t>
      </w:r>
    </w:p>
    <w:p w14:paraId="4FCC5BDF">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 xml:space="preserve">8.4.1发包人供应的材料设备的保管费用的承担： </w:t>
      </w:r>
      <w:r>
        <w:rPr>
          <w:rFonts w:hint="eastAsia" w:ascii="宋体" w:hAnsi="宋体" w:cs="宋体"/>
          <w:color w:val="auto"/>
          <w:szCs w:val="21"/>
          <w:u w:val="single"/>
        </w:rPr>
        <w:t xml:space="preserve">承包人承担 </w:t>
      </w:r>
      <w:r>
        <w:rPr>
          <w:rFonts w:hint="eastAsia" w:ascii="宋体" w:hAnsi="宋体" w:cs="宋体"/>
          <w:color w:val="auto"/>
          <w:kern w:val="0"/>
          <w:szCs w:val="21"/>
        </w:rPr>
        <w:t>。</w:t>
      </w:r>
    </w:p>
    <w:p w14:paraId="6DED4F94">
      <w:pPr>
        <w:pStyle w:val="5"/>
        <w:ind w:firstLine="422" w:firstLineChars="200"/>
        <w:rPr>
          <w:rFonts w:hint="eastAsia" w:ascii="宋体" w:hAnsi="宋体" w:cs="宋体"/>
          <w:color w:val="auto"/>
          <w:sz w:val="21"/>
          <w:szCs w:val="21"/>
        </w:rPr>
      </w:pPr>
      <w:bookmarkStart w:id="758" w:name="_Toc19684"/>
      <w:bookmarkStart w:id="759" w:name="_Toc373478381"/>
      <w:bookmarkStart w:id="760" w:name="_Toc18066"/>
      <w:bookmarkStart w:id="761" w:name="_Toc2206"/>
      <w:bookmarkStart w:id="762" w:name="_Toc373227734"/>
      <w:bookmarkStart w:id="763" w:name="_Toc389065300"/>
      <w:bookmarkStart w:id="764" w:name="_Toc29918"/>
      <w:bookmarkStart w:id="765" w:name="_Toc25567"/>
      <w:bookmarkStart w:id="766" w:name="_Toc486528991"/>
      <w:bookmarkStart w:id="767" w:name="_Toc22568"/>
      <w:bookmarkStart w:id="768" w:name="_Toc296891208"/>
      <w:bookmarkStart w:id="769" w:name="_Toc296346669"/>
      <w:bookmarkStart w:id="770" w:name="_Toc303539137"/>
      <w:bookmarkStart w:id="771" w:name="_Toc318581173"/>
      <w:bookmarkStart w:id="772" w:name="_Toc296944507"/>
      <w:bookmarkStart w:id="773" w:name="_Toc304295557"/>
      <w:bookmarkStart w:id="774" w:name="_Toc296890996"/>
      <w:bookmarkStart w:id="775" w:name="_Toc312678020"/>
      <w:bookmarkStart w:id="776" w:name="_Toc297048354"/>
      <w:bookmarkStart w:id="777" w:name="_Toc296347167"/>
      <w:bookmarkStart w:id="778" w:name="_Toc297123528"/>
      <w:bookmarkStart w:id="779" w:name="_Toc296503168"/>
      <w:bookmarkStart w:id="780" w:name="_Toc312677494"/>
      <w:bookmarkStart w:id="781" w:name="_Toc300934980"/>
      <w:bookmarkStart w:id="782" w:name="_Toc297216187"/>
      <w:bookmarkStart w:id="783" w:name="_Toc297120468"/>
      <w:bookmarkStart w:id="784" w:name="_Toc267251424"/>
      <w:bookmarkStart w:id="785" w:name="_Toc280868656"/>
      <w:bookmarkStart w:id="786" w:name="_Toc280868655"/>
      <w:r>
        <w:rPr>
          <w:rFonts w:hint="eastAsia" w:ascii="宋体" w:hAnsi="宋体" w:cs="宋体"/>
          <w:color w:val="auto"/>
          <w:sz w:val="21"/>
          <w:szCs w:val="21"/>
        </w:rPr>
        <w:t>8.6 样品</w:t>
      </w:r>
      <w:bookmarkEnd w:id="758"/>
      <w:bookmarkEnd w:id="759"/>
      <w:bookmarkEnd w:id="760"/>
      <w:bookmarkEnd w:id="761"/>
      <w:bookmarkEnd w:id="762"/>
      <w:bookmarkEnd w:id="763"/>
      <w:bookmarkEnd w:id="764"/>
      <w:bookmarkEnd w:id="765"/>
      <w:bookmarkEnd w:id="766"/>
      <w:bookmarkEnd w:id="767"/>
    </w:p>
    <w:p w14:paraId="4412CB3D">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8.6.1 样品的报送与封存</w:t>
      </w:r>
    </w:p>
    <w:p w14:paraId="200BC159">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需要承包人报送样品的材料或工程设备，样品的种类、名称、规格、数量要求：</w:t>
      </w:r>
      <w:r>
        <w:rPr>
          <w:rFonts w:hint="eastAsia" w:ascii="宋体" w:hAnsi="宋体" w:cs="宋体"/>
          <w:color w:val="auto"/>
          <w:szCs w:val="21"/>
          <w:u w:val="single"/>
        </w:rPr>
        <w:t xml:space="preserve">主要材料涉及品种、款式、颜色等方面内容的，承包人应提交准备合格的材料样品送发包人选定 </w:t>
      </w:r>
      <w:r>
        <w:rPr>
          <w:rFonts w:hint="eastAsia" w:ascii="宋体" w:hAnsi="宋体" w:cs="宋体"/>
          <w:color w:val="auto"/>
          <w:szCs w:val="21"/>
        </w:rPr>
        <w:t>。</w:t>
      </w:r>
    </w:p>
    <w:p w14:paraId="7E05332B">
      <w:pPr>
        <w:pStyle w:val="5"/>
        <w:ind w:firstLine="422" w:firstLineChars="200"/>
        <w:rPr>
          <w:rFonts w:hint="eastAsia" w:ascii="宋体" w:hAnsi="宋体" w:cs="宋体"/>
          <w:color w:val="auto"/>
          <w:sz w:val="21"/>
          <w:szCs w:val="21"/>
        </w:rPr>
      </w:pPr>
      <w:bookmarkStart w:id="787" w:name="_Toc373227735"/>
      <w:bookmarkStart w:id="788" w:name="_Toc10613"/>
      <w:bookmarkStart w:id="789" w:name="_Toc24804"/>
      <w:bookmarkStart w:id="790" w:name="_Toc15698"/>
      <w:bookmarkStart w:id="791" w:name="_Toc373478382"/>
      <w:bookmarkStart w:id="792" w:name="_Toc389065301"/>
      <w:bookmarkStart w:id="793" w:name="_Toc486528992"/>
      <w:bookmarkStart w:id="794" w:name="_Toc18242"/>
      <w:bookmarkStart w:id="795" w:name="_Toc14874"/>
      <w:bookmarkStart w:id="796" w:name="_Toc22920"/>
      <w:r>
        <w:rPr>
          <w:rFonts w:hint="eastAsia" w:ascii="宋体" w:hAnsi="宋体" w:cs="宋体"/>
          <w:color w:val="auto"/>
          <w:sz w:val="21"/>
          <w:szCs w:val="21"/>
        </w:rPr>
        <w:t>8.8 施工设备和临时设施</w:t>
      </w:r>
      <w:bookmarkEnd w:id="787"/>
      <w:bookmarkEnd w:id="788"/>
      <w:bookmarkEnd w:id="789"/>
      <w:bookmarkEnd w:id="790"/>
      <w:bookmarkEnd w:id="791"/>
      <w:bookmarkEnd w:id="792"/>
      <w:bookmarkEnd w:id="793"/>
      <w:bookmarkEnd w:id="794"/>
      <w:bookmarkEnd w:id="795"/>
      <w:bookmarkEnd w:id="796"/>
    </w:p>
    <w:p w14:paraId="2888EF89">
      <w:pPr>
        <w:autoSpaceDE w:val="0"/>
        <w:autoSpaceDN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8.8.1 承包人提供的施工设备和临时设施</w:t>
      </w:r>
    </w:p>
    <w:p w14:paraId="285A1870">
      <w:pPr>
        <w:autoSpaceDE w:val="0"/>
        <w:autoSpaceDN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236846F9">
      <w:pPr>
        <w:autoSpaceDE w:val="0"/>
        <w:autoSpaceDN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关于修建临时设施费用承担的约定：</w:t>
      </w:r>
    </w:p>
    <w:p w14:paraId="72778077">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①承包人的临时用地（含项目部驻地等）租用费（含拆迁补偿）、临时用地的环保、恢复、临时用地及地面附着物拆除等费用均由承包人负责，以上费用在成交报价中综合考虑</w:t>
      </w:r>
      <w:r>
        <w:rPr>
          <w:rFonts w:hint="eastAsia" w:ascii="宋体" w:hAnsi="宋体" w:cs="宋体"/>
          <w:color w:val="auto"/>
          <w:szCs w:val="21"/>
        </w:rPr>
        <w:t>。</w:t>
      </w:r>
    </w:p>
    <w:p w14:paraId="6D885668">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②承包人负责合同实施期间其合同段内临时交通道路（含场内连接公共交通道路）和交通设施的修建、维修、养护和交通管理工作，并承担一切费用</w:t>
      </w:r>
      <w:r>
        <w:rPr>
          <w:rFonts w:hint="eastAsia" w:ascii="宋体" w:hAnsi="宋体" w:cs="宋体"/>
          <w:color w:val="auto"/>
          <w:szCs w:val="21"/>
        </w:rPr>
        <w:t>。</w:t>
      </w:r>
    </w:p>
    <w:p w14:paraId="2267B351">
      <w:pPr>
        <w:autoSpaceDE w:val="0"/>
        <w:autoSpaceDN w:val="0"/>
        <w:spacing w:line="360" w:lineRule="auto"/>
        <w:ind w:firstLine="420" w:firstLineChars="200"/>
        <w:rPr>
          <w:rFonts w:hint="eastAsia" w:ascii="宋体" w:hAnsi="宋体" w:cs="宋体"/>
          <w:color w:val="auto"/>
          <w:szCs w:val="21"/>
        </w:rPr>
      </w:pPr>
      <w:r>
        <w:rPr>
          <w:rFonts w:hint="eastAsia" w:ascii="宋体" w:hAnsi="宋体" w:cs="宋体"/>
          <w:color w:val="auto"/>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宋体" w:hAnsi="宋体" w:cs="宋体"/>
          <w:color w:val="auto"/>
          <w:szCs w:val="21"/>
        </w:rPr>
        <w:t>。</w:t>
      </w:r>
    </w:p>
    <w:p w14:paraId="7F56F4AD">
      <w:pPr>
        <w:autoSpaceDE w:val="0"/>
        <w:autoSpaceDN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8.8.2 发包人提供的施工设备和临时设施</w:t>
      </w:r>
    </w:p>
    <w:p w14:paraId="45F59146">
      <w:pPr>
        <w:autoSpaceDE w:val="0"/>
        <w:autoSpaceDN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发包人提供的施工设备和临时设施：</w:t>
      </w:r>
      <w:r>
        <w:rPr>
          <w:rFonts w:hint="eastAsia" w:ascii="宋体" w:hAnsi="宋体" w:cs="宋体"/>
          <w:color w:val="auto"/>
          <w:szCs w:val="21"/>
          <w:u w:val="single"/>
        </w:rPr>
        <w:t xml:space="preserve">      待定       </w:t>
      </w:r>
      <w:r>
        <w:rPr>
          <w:rFonts w:hint="eastAsia" w:ascii="宋体" w:hAnsi="宋体" w:cs="宋体"/>
          <w:color w:val="auto"/>
          <w:szCs w:val="21"/>
        </w:rPr>
        <w:t>。</w:t>
      </w:r>
    </w:p>
    <w:p w14:paraId="78D31127">
      <w:pPr>
        <w:autoSpaceDE w:val="0"/>
        <w:autoSpaceDN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发包人提供的施工设备和临时设施的运行、维护、拆除、清运费用的承担人：</w:t>
      </w:r>
      <w:r>
        <w:rPr>
          <w:rFonts w:hint="eastAsia" w:ascii="宋体" w:hAnsi="宋体" w:cs="宋体"/>
          <w:color w:val="auto"/>
          <w:szCs w:val="21"/>
          <w:u w:val="single"/>
        </w:rPr>
        <w:t xml:space="preserve">  待定  </w:t>
      </w:r>
      <w:r>
        <w:rPr>
          <w:rFonts w:hint="eastAsia" w:ascii="宋体" w:hAnsi="宋体" w:cs="宋体"/>
          <w:color w:val="auto"/>
          <w:szCs w:val="21"/>
        </w:rPr>
        <w:t>。</w:t>
      </w:r>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5446067E">
      <w:pPr>
        <w:pStyle w:val="4"/>
        <w:spacing w:line="360" w:lineRule="auto"/>
        <w:ind w:firstLine="422" w:firstLineChars="200"/>
        <w:rPr>
          <w:rFonts w:hint="eastAsia" w:ascii="宋体" w:hAnsi="宋体" w:cs="宋体"/>
          <w:color w:val="auto"/>
          <w:sz w:val="21"/>
          <w:szCs w:val="21"/>
        </w:rPr>
      </w:pPr>
      <w:bookmarkStart w:id="797" w:name="_Toc389065302"/>
      <w:bookmarkStart w:id="798" w:name="_Toc13369"/>
      <w:bookmarkStart w:id="799" w:name="_Toc373478383"/>
      <w:bookmarkStart w:id="800" w:name="_Toc373227736"/>
      <w:bookmarkStart w:id="801" w:name="_Toc1182"/>
      <w:bookmarkStart w:id="802" w:name="_Toc351203641"/>
      <w:bookmarkStart w:id="803" w:name="_Toc21094"/>
      <w:bookmarkStart w:id="804" w:name="_Toc30222"/>
      <w:bookmarkStart w:id="805" w:name="_Toc486528993"/>
      <w:bookmarkStart w:id="806" w:name="_Toc4205"/>
      <w:bookmarkStart w:id="807" w:name="_Toc32722"/>
      <w:r>
        <w:rPr>
          <w:rFonts w:hint="eastAsia" w:ascii="宋体" w:hAnsi="宋体" w:cs="宋体"/>
          <w:color w:val="auto"/>
          <w:sz w:val="21"/>
          <w:szCs w:val="21"/>
        </w:rPr>
        <w:t>9</w:t>
      </w:r>
      <w:bookmarkEnd w:id="784"/>
      <w:bookmarkEnd w:id="785"/>
      <w:bookmarkEnd w:id="786"/>
      <w:bookmarkStart w:id="808" w:name="_Toc303539139"/>
      <w:bookmarkStart w:id="809" w:name="_Toc297216192"/>
      <w:bookmarkStart w:id="810" w:name="_Toc300934982"/>
      <w:bookmarkStart w:id="811" w:name="_Toc304295559"/>
      <w:bookmarkStart w:id="812" w:name="_Toc297123533"/>
      <w:bookmarkStart w:id="813" w:name="_Toc312677495"/>
      <w:bookmarkStart w:id="814" w:name="_Toc312678021"/>
      <w:bookmarkStart w:id="815" w:name="_Toc296944512"/>
      <w:bookmarkStart w:id="816" w:name="_Toc296346674"/>
      <w:bookmarkStart w:id="817" w:name="_Toc297048359"/>
      <w:bookmarkStart w:id="818" w:name="_Toc297120473"/>
      <w:bookmarkStart w:id="819" w:name="_Toc296503173"/>
      <w:bookmarkStart w:id="820" w:name="_Toc296347172"/>
      <w:bookmarkStart w:id="821" w:name="_Toc267251428"/>
      <w:bookmarkStart w:id="822" w:name="_Toc296891213"/>
      <w:bookmarkStart w:id="823" w:name="_Toc296891001"/>
      <w:bookmarkStart w:id="824" w:name="_Toc292559378"/>
      <w:bookmarkStart w:id="825" w:name="_Toc267251427"/>
      <w:bookmarkStart w:id="826" w:name="_Toc292559883"/>
      <w:r>
        <w:rPr>
          <w:rFonts w:hint="eastAsia" w:ascii="宋体" w:hAnsi="宋体" w:cs="宋体"/>
          <w:color w:val="auto"/>
          <w:sz w:val="21"/>
          <w:szCs w:val="21"/>
        </w:rPr>
        <w:t>. 试验与检验</w:t>
      </w:r>
      <w:bookmarkEnd w:id="797"/>
      <w:bookmarkEnd w:id="798"/>
      <w:bookmarkEnd w:id="799"/>
      <w:bookmarkEnd w:id="800"/>
      <w:bookmarkEnd w:id="801"/>
      <w:bookmarkEnd w:id="802"/>
      <w:bookmarkEnd w:id="803"/>
      <w:bookmarkEnd w:id="804"/>
      <w:bookmarkEnd w:id="805"/>
      <w:bookmarkEnd w:id="806"/>
      <w:bookmarkEnd w:id="807"/>
    </w:p>
    <w:bookmarkEnd w:id="808"/>
    <w:bookmarkEnd w:id="809"/>
    <w:bookmarkEnd w:id="810"/>
    <w:bookmarkEnd w:id="811"/>
    <w:bookmarkEnd w:id="812"/>
    <w:bookmarkEnd w:id="813"/>
    <w:bookmarkEnd w:id="814"/>
    <w:p w14:paraId="1D73FD65">
      <w:pPr>
        <w:pStyle w:val="5"/>
        <w:ind w:firstLine="422" w:firstLineChars="200"/>
        <w:rPr>
          <w:rFonts w:hint="eastAsia" w:ascii="宋体" w:hAnsi="宋体" w:cs="宋体"/>
          <w:color w:val="auto"/>
          <w:sz w:val="21"/>
          <w:szCs w:val="21"/>
        </w:rPr>
      </w:pPr>
      <w:bookmarkStart w:id="827" w:name="_Toc373227737"/>
      <w:bookmarkStart w:id="828" w:name="_Toc10420"/>
      <w:bookmarkStart w:id="829" w:name="_Toc16034"/>
      <w:bookmarkStart w:id="830" w:name="_Toc389065303"/>
      <w:bookmarkStart w:id="831" w:name="_Toc486528994"/>
      <w:bookmarkStart w:id="832" w:name="_Toc28561"/>
      <w:bookmarkStart w:id="833" w:name="_Toc19072"/>
      <w:bookmarkStart w:id="834" w:name="_Toc15339"/>
      <w:bookmarkStart w:id="835" w:name="_Toc373478384"/>
      <w:bookmarkStart w:id="836" w:name="_Toc10044"/>
      <w:r>
        <w:rPr>
          <w:rFonts w:hint="eastAsia" w:ascii="宋体" w:hAnsi="宋体" w:cs="宋体"/>
          <w:color w:val="auto"/>
          <w:sz w:val="21"/>
          <w:szCs w:val="21"/>
        </w:rPr>
        <w:t>9</w:t>
      </w:r>
      <w:bookmarkStart w:id="837" w:name="_Toc312678022"/>
      <w:bookmarkStart w:id="838" w:name="_Toc297216193"/>
      <w:bookmarkStart w:id="839" w:name="_Toc300934983"/>
      <w:bookmarkStart w:id="840" w:name="_Toc297123534"/>
      <w:bookmarkStart w:id="841" w:name="_Toc303539140"/>
      <w:bookmarkStart w:id="842" w:name="_Toc304295560"/>
      <w:bookmarkStart w:id="843" w:name="_Toc312677496"/>
      <w:r>
        <w:rPr>
          <w:rFonts w:hint="eastAsia" w:ascii="宋体" w:hAnsi="宋体" w:cs="宋体"/>
          <w:color w:val="auto"/>
          <w:sz w:val="21"/>
          <w:szCs w:val="21"/>
        </w:rPr>
        <w:t>.1 试验设备与试验人员</w:t>
      </w:r>
      <w:bookmarkEnd w:id="827"/>
      <w:bookmarkEnd w:id="828"/>
      <w:bookmarkEnd w:id="829"/>
      <w:bookmarkEnd w:id="830"/>
      <w:bookmarkEnd w:id="831"/>
      <w:bookmarkEnd w:id="832"/>
      <w:bookmarkEnd w:id="833"/>
      <w:bookmarkEnd w:id="834"/>
      <w:bookmarkEnd w:id="835"/>
      <w:bookmarkEnd w:id="836"/>
    </w:p>
    <w:bookmarkEnd w:id="837"/>
    <w:bookmarkEnd w:id="838"/>
    <w:bookmarkEnd w:id="839"/>
    <w:bookmarkEnd w:id="840"/>
    <w:bookmarkEnd w:id="841"/>
    <w:bookmarkEnd w:id="842"/>
    <w:bookmarkEnd w:id="843"/>
    <w:p w14:paraId="05CCDB9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w:t>
      </w:r>
      <w:bookmarkStart w:id="844" w:name="_Toc303539141"/>
      <w:bookmarkStart w:id="845" w:name="_Toc300934984"/>
      <w:bookmarkStart w:id="846" w:name="_Toc304295561"/>
      <w:bookmarkStart w:id="847" w:name="_Toc312677497"/>
      <w:bookmarkStart w:id="848" w:name="_Toc297216194"/>
      <w:bookmarkStart w:id="849" w:name="_Toc312678023"/>
      <w:bookmarkStart w:id="850" w:name="_Toc297123535"/>
      <w:bookmarkStart w:id="851" w:name="_Toc318581174"/>
      <w:r>
        <w:rPr>
          <w:rFonts w:hint="eastAsia" w:ascii="宋体" w:hAnsi="宋体" w:cs="宋体"/>
          <w:color w:val="auto"/>
          <w:szCs w:val="21"/>
        </w:rPr>
        <w:t>.1.2 试验设备</w:t>
      </w:r>
    </w:p>
    <w:p w14:paraId="1F101548">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施工现场需要配置的试验场所：</w:t>
      </w:r>
      <w:bookmarkEnd w:id="844"/>
      <w:bookmarkEnd w:id="845"/>
      <w:bookmarkEnd w:id="846"/>
      <w:bookmarkEnd w:id="847"/>
      <w:bookmarkEnd w:id="848"/>
      <w:bookmarkEnd w:id="849"/>
      <w:bookmarkEnd w:id="850"/>
      <w:bookmarkStart w:id="852" w:name="_Toc297216195"/>
      <w:bookmarkStart w:id="853" w:name="_Toc312677498"/>
      <w:bookmarkStart w:id="854" w:name="_Toc304295562"/>
      <w:bookmarkStart w:id="855" w:name="_Toc303539142"/>
      <w:bookmarkStart w:id="856" w:name="_Toc300934985"/>
      <w:bookmarkStart w:id="857" w:name="_Toc297123536"/>
      <w:bookmarkStart w:id="858" w:name="_Toc312678024"/>
      <w:r>
        <w:rPr>
          <w:rFonts w:hint="eastAsia" w:ascii="宋体" w:hAnsi="宋体" w:cs="宋体"/>
          <w:color w:val="auto"/>
          <w:szCs w:val="21"/>
          <w:u w:val="single"/>
        </w:rPr>
        <w:t xml:space="preserve">    按相关规定执行 </w:t>
      </w:r>
      <w:r>
        <w:rPr>
          <w:rFonts w:hint="eastAsia" w:ascii="宋体" w:hAnsi="宋体" w:cs="宋体"/>
          <w:color w:val="auto"/>
          <w:szCs w:val="21"/>
        </w:rPr>
        <w:t>。</w:t>
      </w:r>
    </w:p>
    <w:p w14:paraId="470D2932">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施工现场需要配备的试验设备：</w:t>
      </w:r>
      <w:r>
        <w:rPr>
          <w:rFonts w:hint="eastAsia" w:ascii="宋体" w:hAnsi="宋体" w:cs="宋体"/>
          <w:color w:val="auto"/>
          <w:szCs w:val="21"/>
          <w:u w:val="single"/>
        </w:rPr>
        <w:t xml:space="preserve">    按相关规定执行 </w:t>
      </w:r>
      <w:r>
        <w:rPr>
          <w:rFonts w:hint="eastAsia" w:ascii="宋体" w:hAnsi="宋体" w:cs="宋体"/>
          <w:color w:val="auto"/>
          <w:szCs w:val="21"/>
        </w:rPr>
        <w:t>。</w:t>
      </w:r>
    </w:p>
    <w:p w14:paraId="5EF24C49">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 xml:space="preserve">：按相关规定执行 </w:t>
      </w:r>
      <w:r>
        <w:rPr>
          <w:rFonts w:hint="eastAsia" w:ascii="宋体" w:hAnsi="宋体" w:cs="宋体"/>
          <w:color w:val="auto"/>
          <w:szCs w:val="21"/>
        </w:rPr>
        <w:t>。</w:t>
      </w:r>
    </w:p>
    <w:p w14:paraId="106586A8">
      <w:pPr>
        <w:pStyle w:val="5"/>
        <w:ind w:firstLine="422" w:firstLineChars="200"/>
        <w:rPr>
          <w:rFonts w:hint="eastAsia" w:ascii="宋体" w:hAnsi="宋体" w:cs="宋体"/>
          <w:color w:val="auto"/>
          <w:sz w:val="21"/>
          <w:szCs w:val="21"/>
        </w:rPr>
      </w:pPr>
      <w:bookmarkStart w:id="859" w:name="_Toc373227738"/>
      <w:bookmarkStart w:id="860" w:name="_Toc26859"/>
      <w:bookmarkStart w:id="861" w:name="_Toc373478385"/>
      <w:bookmarkStart w:id="862" w:name="_Toc22207"/>
      <w:bookmarkStart w:id="863" w:name="_Toc486528995"/>
      <w:bookmarkStart w:id="864" w:name="_Toc389065304"/>
      <w:bookmarkStart w:id="865" w:name="_Toc17233"/>
      <w:bookmarkStart w:id="866" w:name="_Toc11525"/>
      <w:bookmarkStart w:id="867" w:name="_Toc17096"/>
      <w:r>
        <w:rPr>
          <w:rFonts w:hint="eastAsia" w:ascii="宋体" w:hAnsi="宋体" w:cs="宋体"/>
          <w:color w:val="auto"/>
          <w:sz w:val="21"/>
          <w:szCs w:val="21"/>
        </w:rPr>
        <w:t>9.4 现场工艺试验</w:t>
      </w:r>
      <w:bookmarkEnd w:id="859"/>
      <w:bookmarkEnd w:id="860"/>
      <w:bookmarkEnd w:id="861"/>
      <w:bookmarkEnd w:id="862"/>
      <w:bookmarkEnd w:id="863"/>
      <w:bookmarkEnd w:id="864"/>
      <w:bookmarkEnd w:id="865"/>
      <w:bookmarkEnd w:id="866"/>
      <w:bookmarkEnd w:id="867"/>
      <w:r>
        <w:rPr>
          <w:rFonts w:hint="eastAsia" w:ascii="宋体" w:hAnsi="宋体" w:cs="宋体"/>
          <w:color w:val="auto"/>
          <w:sz w:val="21"/>
          <w:szCs w:val="21"/>
        </w:rPr>
        <w:t xml:space="preserve"> </w:t>
      </w:r>
    </w:p>
    <w:p w14:paraId="21EB915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现场工艺试验的有关约定：</w:t>
      </w:r>
      <w:r>
        <w:rPr>
          <w:rFonts w:hint="eastAsia" w:ascii="宋体" w:hAnsi="宋体" w:cs="宋体"/>
          <w:color w:val="auto"/>
          <w:szCs w:val="21"/>
          <w:u w:val="single"/>
        </w:rPr>
        <w:t xml:space="preserve">      按相关规定执行     </w:t>
      </w:r>
      <w:r>
        <w:rPr>
          <w:rFonts w:hint="eastAsia" w:ascii="宋体" w:hAnsi="宋体" w:cs="宋体"/>
          <w:color w:val="auto"/>
          <w:szCs w:val="21"/>
        </w:rPr>
        <w:t>。</w:t>
      </w:r>
    </w:p>
    <w:bookmarkEnd w:id="851"/>
    <w:bookmarkEnd w:id="852"/>
    <w:bookmarkEnd w:id="853"/>
    <w:bookmarkEnd w:id="854"/>
    <w:bookmarkEnd w:id="855"/>
    <w:bookmarkEnd w:id="856"/>
    <w:bookmarkEnd w:id="857"/>
    <w:bookmarkEnd w:id="858"/>
    <w:p w14:paraId="65341DFB">
      <w:pPr>
        <w:pStyle w:val="4"/>
        <w:spacing w:line="360" w:lineRule="auto"/>
        <w:ind w:firstLine="422" w:firstLineChars="200"/>
        <w:rPr>
          <w:rFonts w:hint="eastAsia" w:ascii="宋体" w:hAnsi="宋体" w:cs="宋体"/>
          <w:color w:val="auto"/>
          <w:sz w:val="21"/>
          <w:szCs w:val="21"/>
        </w:rPr>
      </w:pPr>
      <w:bookmarkStart w:id="868" w:name="_Toc373478386"/>
      <w:bookmarkStart w:id="869" w:name="_Toc13169"/>
      <w:bookmarkStart w:id="870" w:name="_Toc389065305"/>
      <w:bookmarkStart w:id="871" w:name="_Toc6527"/>
      <w:bookmarkStart w:id="872" w:name="_Toc204"/>
      <w:bookmarkStart w:id="873" w:name="_Toc17265"/>
      <w:bookmarkStart w:id="874" w:name="_Toc373227739"/>
      <w:bookmarkStart w:id="875" w:name="_Toc351203642"/>
      <w:bookmarkStart w:id="876" w:name="_Toc21909"/>
      <w:bookmarkStart w:id="877" w:name="_Toc32693"/>
      <w:bookmarkStart w:id="878" w:name="_Toc486528997"/>
      <w:r>
        <w:rPr>
          <w:rFonts w:hint="eastAsia" w:ascii="宋体" w:hAnsi="宋体" w:cs="宋体"/>
          <w:color w:val="auto"/>
          <w:sz w:val="21"/>
          <w:szCs w:val="21"/>
        </w:rPr>
        <w:t>1</w:t>
      </w:r>
      <w:bookmarkEnd w:id="815"/>
      <w:bookmarkEnd w:id="816"/>
      <w:bookmarkEnd w:id="817"/>
      <w:bookmarkEnd w:id="818"/>
      <w:bookmarkEnd w:id="819"/>
      <w:bookmarkEnd w:id="820"/>
      <w:bookmarkEnd w:id="821"/>
      <w:bookmarkEnd w:id="822"/>
      <w:bookmarkEnd w:id="823"/>
      <w:bookmarkEnd w:id="824"/>
      <w:bookmarkEnd w:id="825"/>
      <w:bookmarkEnd w:id="826"/>
      <w:bookmarkStart w:id="879" w:name="_Toc296944532"/>
      <w:bookmarkStart w:id="880" w:name="_Toc297048379"/>
      <w:bookmarkStart w:id="881" w:name="_Toc296347192"/>
      <w:bookmarkStart w:id="882" w:name="_Toc297120493"/>
      <w:bookmarkStart w:id="883" w:name="_Toc297216199"/>
      <w:bookmarkStart w:id="884" w:name="_Toc296891233"/>
      <w:bookmarkStart w:id="885" w:name="_Toc292559903"/>
      <w:bookmarkStart w:id="886" w:name="_Toc304295566"/>
      <w:bookmarkStart w:id="887" w:name="_Toc296346694"/>
      <w:bookmarkStart w:id="888" w:name="_Toc300934989"/>
      <w:bookmarkStart w:id="889" w:name="_Toc303539146"/>
      <w:bookmarkStart w:id="890" w:name="_Toc296891021"/>
      <w:bookmarkStart w:id="891" w:name="_Toc292559398"/>
      <w:bookmarkStart w:id="892" w:name="_Toc297123540"/>
      <w:bookmarkStart w:id="893" w:name="_Toc296503193"/>
      <w:bookmarkStart w:id="894" w:name="_Toc312677499"/>
      <w:bookmarkStart w:id="895" w:name="_Toc312678025"/>
      <w:bookmarkStart w:id="896" w:name="_Toc267251440"/>
      <w:bookmarkStart w:id="897" w:name="_Toc267251437"/>
      <w:bookmarkStart w:id="898" w:name="_Toc267251439"/>
      <w:bookmarkStart w:id="899" w:name="_Toc267251433"/>
      <w:bookmarkStart w:id="900" w:name="_Toc267251441"/>
      <w:bookmarkStart w:id="901" w:name="_Toc267251435"/>
      <w:bookmarkStart w:id="902" w:name="_Toc267251442"/>
      <w:r>
        <w:rPr>
          <w:rFonts w:hint="eastAsia" w:ascii="宋体" w:hAnsi="宋体" w:cs="宋体"/>
          <w:color w:val="auto"/>
          <w:sz w:val="21"/>
          <w:szCs w:val="21"/>
        </w:rPr>
        <w:t>0. 变更</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bookmarkEnd w:id="894"/>
    <w:bookmarkEnd w:id="895"/>
    <w:p w14:paraId="1B6F22CB">
      <w:pPr>
        <w:pStyle w:val="5"/>
        <w:ind w:firstLine="422" w:firstLineChars="200"/>
        <w:rPr>
          <w:rFonts w:hint="eastAsia" w:ascii="宋体" w:hAnsi="宋体" w:cs="宋体"/>
          <w:color w:val="auto"/>
          <w:sz w:val="21"/>
          <w:szCs w:val="21"/>
        </w:rPr>
      </w:pPr>
      <w:bookmarkStart w:id="903" w:name="_Toc31385"/>
      <w:bookmarkStart w:id="904" w:name="_Toc21702"/>
      <w:bookmarkStart w:id="905" w:name="_Toc486528998"/>
      <w:bookmarkStart w:id="906" w:name="_Toc29883"/>
      <w:bookmarkStart w:id="907" w:name="_Toc373478387"/>
      <w:bookmarkStart w:id="908" w:name="_Toc389065306"/>
      <w:bookmarkStart w:id="909" w:name="_Toc1669"/>
      <w:bookmarkStart w:id="910" w:name="_Toc1581"/>
      <w:bookmarkStart w:id="911" w:name="_Toc373227740"/>
      <w:bookmarkStart w:id="912" w:name="_Toc10005"/>
      <w:r>
        <w:rPr>
          <w:rFonts w:hint="eastAsia" w:ascii="宋体" w:hAnsi="宋体" w:cs="宋体"/>
          <w:color w:val="auto"/>
          <w:sz w:val="21"/>
          <w:szCs w:val="21"/>
        </w:rPr>
        <w:t>1</w:t>
      </w:r>
      <w:bookmarkStart w:id="913" w:name="_Toc292559904"/>
      <w:bookmarkStart w:id="914" w:name="_Toc312678026"/>
      <w:bookmarkStart w:id="915" w:name="_Toc296944533"/>
      <w:bookmarkStart w:id="916" w:name="_Toc296503194"/>
      <w:bookmarkStart w:id="917" w:name="_Toc296891234"/>
      <w:bookmarkStart w:id="918" w:name="_Toc297048380"/>
      <w:bookmarkStart w:id="919" w:name="_Toc304295567"/>
      <w:bookmarkStart w:id="920" w:name="_Toc296347193"/>
      <w:bookmarkStart w:id="921" w:name="_Toc297120494"/>
      <w:bookmarkStart w:id="922" w:name="_Toc312677500"/>
      <w:bookmarkStart w:id="923" w:name="_Toc303539147"/>
      <w:bookmarkStart w:id="924" w:name="_Toc300934990"/>
      <w:bookmarkStart w:id="925" w:name="_Toc296346695"/>
      <w:bookmarkStart w:id="926" w:name="_Toc297216200"/>
      <w:bookmarkStart w:id="927" w:name="_Toc296891022"/>
      <w:bookmarkStart w:id="928" w:name="_Toc292559399"/>
      <w:bookmarkStart w:id="929" w:name="_Toc297123541"/>
      <w:r>
        <w:rPr>
          <w:rFonts w:hint="eastAsia" w:ascii="宋体" w:hAnsi="宋体" w:cs="宋体"/>
          <w:color w:val="auto"/>
          <w:sz w:val="21"/>
          <w:szCs w:val="21"/>
        </w:rPr>
        <w:t>0.1 变更的范围</w:t>
      </w:r>
      <w:bookmarkEnd w:id="903"/>
      <w:bookmarkEnd w:id="904"/>
      <w:bookmarkEnd w:id="905"/>
      <w:bookmarkEnd w:id="906"/>
      <w:bookmarkEnd w:id="907"/>
      <w:bookmarkEnd w:id="908"/>
      <w:bookmarkEnd w:id="909"/>
      <w:bookmarkEnd w:id="910"/>
      <w:bookmarkEnd w:id="911"/>
      <w:bookmarkEnd w:id="912"/>
    </w:p>
    <w:p w14:paraId="11967B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关于变更的范围的约定：</w:t>
      </w:r>
      <w:r>
        <w:rPr>
          <w:rFonts w:hint="eastAsia" w:ascii="宋体" w:hAnsi="宋体" w:cs="宋体"/>
          <w:color w:val="auto"/>
          <w:szCs w:val="21"/>
          <w:u w:val="single"/>
        </w:rPr>
        <w:t>同通用条款</w:t>
      </w:r>
      <w:r>
        <w:rPr>
          <w:rFonts w:hint="eastAsia" w:ascii="宋体" w:hAnsi="宋体" w:cs="宋体"/>
          <w:color w:val="auto"/>
          <w:szCs w:val="21"/>
        </w:rPr>
        <w:t>。</w:t>
      </w:r>
    </w:p>
    <w:p w14:paraId="5519ECDA">
      <w:pPr>
        <w:pStyle w:val="5"/>
        <w:ind w:firstLine="422" w:firstLineChars="200"/>
        <w:rPr>
          <w:rFonts w:hint="eastAsia" w:ascii="宋体" w:hAnsi="宋体" w:cs="宋体"/>
          <w:color w:val="auto"/>
          <w:sz w:val="21"/>
          <w:szCs w:val="21"/>
        </w:rPr>
      </w:pPr>
      <w:bookmarkStart w:id="930" w:name="_Toc19962"/>
      <w:bookmarkStart w:id="931" w:name="_Toc27564"/>
      <w:bookmarkStart w:id="932" w:name="_Toc22936"/>
      <w:bookmarkStart w:id="933" w:name="_Toc20640"/>
      <w:bookmarkStart w:id="934" w:name="_Toc10217"/>
      <w:bookmarkStart w:id="935" w:name="_Toc24517"/>
      <w:bookmarkStart w:id="936" w:name="_Toc486528999"/>
      <w:bookmarkStart w:id="937" w:name="_Toc373478388"/>
      <w:bookmarkStart w:id="938" w:name="_Toc389065307"/>
      <w:bookmarkStart w:id="939" w:name="_Toc373227741"/>
      <w:r>
        <w:rPr>
          <w:rFonts w:hint="eastAsia" w:ascii="宋体" w:hAnsi="宋体" w:cs="宋体"/>
          <w:color w:val="auto"/>
          <w:sz w:val="21"/>
          <w:szCs w:val="21"/>
        </w:rPr>
        <w:t>10.2变更权</w:t>
      </w:r>
      <w:bookmarkEnd w:id="930"/>
      <w:bookmarkEnd w:id="931"/>
      <w:bookmarkEnd w:id="932"/>
      <w:bookmarkEnd w:id="933"/>
      <w:bookmarkEnd w:id="934"/>
      <w:bookmarkEnd w:id="935"/>
    </w:p>
    <w:p w14:paraId="5EA049CD">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rPr>
        <w:t xml:space="preserve">本工程在实施期间因不可预见因素、设计变更及发包人要求所引起的工程量增减（变更、签证），其工程量按实际发生并经监理工程师及发包人派驻的现场管理员、工程师、主管领导签字及发包方盖章认可，且应留下现场相片做为变更记录 。未按上述程序取得发包人及监理方认可的工程量，发包人不予结算，相关损失由承包人自行承担 </w:t>
      </w:r>
      <w:r>
        <w:rPr>
          <w:rFonts w:hint="eastAsia" w:ascii="宋体" w:hAnsi="宋体" w:cs="宋体"/>
          <w:color w:val="auto"/>
          <w:szCs w:val="21"/>
        </w:rPr>
        <w:t>。</w:t>
      </w:r>
    </w:p>
    <w:p w14:paraId="463C18CF">
      <w:pPr>
        <w:pStyle w:val="5"/>
        <w:ind w:firstLine="422" w:firstLineChars="200"/>
        <w:rPr>
          <w:rFonts w:hint="eastAsia" w:ascii="宋体" w:hAnsi="宋体" w:cs="宋体"/>
          <w:color w:val="auto"/>
          <w:sz w:val="21"/>
          <w:szCs w:val="21"/>
        </w:rPr>
      </w:pPr>
      <w:bookmarkStart w:id="940" w:name="_Toc18416"/>
      <w:bookmarkStart w:id="941" w:name="_Toc31619"/>
      <w:bookmarkStart w:id="942" w:name="_Toc30922"/>
      <w:bookmarkStart w:id="943" w:name="_Toc2142"/>
      <w:bookmarkStart w:id="944" w:name="_Toc6535"/>
      <w:bookmarkStart w:id="945" w:name="_Toc11225"/>
      <w:r>
        <w:rPr>
          <w:rFonts w:hint="eastAsia" w:ascii="宋体" w:hAnsi="宋体" w:cs="宋体"/>
          <w:color w:val="auto"/>
          <w:sz w:val="21"/>
          <w:szCs w:val="21"/>
        </w:rPr>
        <w:t>10.3 变更程序</w:t>
      </w:r>
      <w:bookmarkEnd w:id="936"/>
      <w:bookmarkEnd w:id="937"/>
      <w:bookmarkEnd w:id="938"/>
      <w:bookmarkEnd w:id="939"/>
      <w:bookmarkEnd w:id="940"/>
      <w:bookmarkEnd w:id="941"/>
      <w:bookmarkEnd w:id="942"/>
      <w:bookmarkEnd w:id="943"/>
      <w:bookmarkEnd w:id="944"/>
      <w:bookmarkEnd w:id="945"/>
    </w:p>
    <w:p w14:paraId="0A90A727">
      <w:pPr>
        <w:pStyle w:val="27"/>
        <w:spacing w:line="360" w:lineRule="auto"/>
        <w:ind w:firstLine="420" w:firstLineChars="200"/>
        <w:rPr>
          <w:rFonts w:hint="eastAsia" w:hAnsi="宋体" w:cs="宋体"/>
          <w:bCs/>
          <w:color w:val="auto"/>
          <w:sz w:val="21"/>
        </w:rPr>
      </w:pPr>
      <w:r>
        <w:rPr>
          <w:rFonts w:hint="eastAsia" w:hAnsi="宋体" w:cs="宋体"/>
          <w:bCs/>
          <w:color w:val="auto"/>
          <w:sz w:val="21"/>
        </w:rPr>
        <w:t>10.3.1 国有投资项目：</w:t>
      </w:r>
    </w:p>
    <w:p w14:paraId="6A69307F">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⑴设计变更和工程签证，按各市政府或相关部门的规定办理。属不可抗力（自然灾害、突发事件等）造成变更的，按特事特办原则予以办理。</w:t>
      </w:r>
    </w:p>
    <w:p w14:paraId="60767437">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⑵建设单位在实施项目过程中，若发生单价变动，由建设单位、监理单位、施工单位及其他相关单位共同商定并签字确认。</w:t>
      </w:r>
    </w:p>
    <w:p w14:paraId="3B555A64">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54798432">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（4）承包人提交变更报价书的期限：收到变更后7天  。</w:t>
      </w:r>
    </w:p>
    <w:p w14:paraId="54D15225">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10.3.2 非国有投资项目： /</w:t>
      </w:r>
    </w:p>
    <w:p w14:paraId="7D49496D">
      <w:pPr>
        <w:pStyle w:val="5"/>
        <w:ind w:firstLine="422" w:firstLineChars="200"/>
        <w:rPr>
          <w:rFonts w:hint="eastAsia" w:ascii="宋体" w:hAnsi="宋体" w:cs="宋体"/>
          <w:color w:val="auto"/>
          <w:sz w:val="21"/>
          <w:szCs w:val="21"/>
        </w:rPr>
      </w:pPr>
      <w:bookmarkStart w:id="946" w:name="_Toc21896"/>
      <w:bookmarkStart w:id="947" w:name="_Toc373478389"/>
      <w:bookmarkStart w:id="948" w:name="_Toc28200"/>
      <w:bookmarkStart w:id="949" w:name="_Toc21142"/>
      <w:bookmarkStart w:id="950" w:name="_Toc389065308"/>
      <w:bookmarkStart w:id="951" w:name="_Toc11013"/>
      <w:bookmarkStart w:id="952" w:name="_Toc373227742"/>
      <w:bookmarkStart w:id="953" w:name="_Toc14087"/>
      <w:bookmarkStart w:id="954" w:name="_Toc486529000"/>
      <w:bookmarkStart w:id="955" w:name="_Toc32417"/>
      <w:r>
        <w:rPr>
          <w:rFonts w:hint="eastAsia" w:ascii="宋体" w:hAnsi="宋体" w:cs="宋体"/>
          <w:color w:val="auto"/>
          <w:sz w:val="21"/>
          <w:szCs w:val="21"/>
        </w:rPr>
        <w:t>10.4 变更估价</w:t>
      </w:r>
      <w:bookmarkEnd w:id="946"/>
      <w:bookmarkEnd w:id="947"/>
      <w:bookmarkEnd w:id="948"/>
      <w:bookmarkEnd w:id="949"/>
      <w:bookmarkEnd w:id="950"/>
      <w:bookmarkEnd w:id="951"/>
      <w:bookmarkEnd w:id="952"/>
      <w:bookmarkEnd w:id="953"/>
      <w:bookmarkEnd w:id="954"/>
      <w:bookmarkEnd w:id="955"/>
    </w:p>
    <w:p w14:paraId="7F92E1B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10.4.1 变更估价原则</w:t>
      </w:r>
    </w:p>
    <w:p w14:paraId="40E93052">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关于变更估价的约定:</w:t>
      </w:r>
      <w:r>
        <w:rPr>
          <w:rFonts w:hint="eastAsia" w:ascii="宋体" w:hAnsi="宋体" w:cs="宋体"/>
          <w:color w:val="auto"/>
          <w:szCs w:val="21"/>
          <w:u w:val="single"/>
        </w:rPr>
        <w:t xml:space="preserve"> 因设计变更、相关签证引起工程项目、工程量任何变化的，变更合同价款按下列方法进行：工程量清单报价表中有相同细目的按承包人竞标时的成交单价进行结算；工程量清单报价表中有类似细目的参考类似成交单价结算；新增项目有定额的按现行定额×成交下浮系数（承包人的成交报价÷预算价）计算，其中材料价格有信息的按信息价，无信息价的按市场价；新增项目无定额可套的，由发包人、承包人根据市场价格协商决定；新增项目的单价应经有资质的审核机构审定。国家和自治区政策性调整有关费用标准的，按文件规定执行</w:t>
      </w:r>
      <w:r>
        <w:rPr>
          <w:rFonts w:hint="eastAsia" w:ascii="宋体" w:hAnsi="宋体" w:cs="宋体"/>
          <w:color w:val="auto"/>
          <w:szCs w:val="21"/>
        </w:rPr>
        <w:t>。</w:t>
      </w:r>
    </w:p>
    <w:p w14:paraId="4CEF9EB8">
      <w:pPr>
        <w:pStyle w:val="5"/>
        <w:ind w:firstLine="422" w:firstLineChars="200"/>
        <w:rPr>
          <w:rFonts w:hint="eastAsia" w:ascii="宋体" w:hAnsi="宋体" w:cs="宋体"/>
          <w:color w:val="auto"/>
          <w:sz w:val="21"/>
          <w:szCs w:val="21"/>
        </w:rPr>
      </w:pPr>
      <w:bookmarkStart w:id="956" w:name="_Toc25105"/>
      <w:bookmarkStart w:id="957" w:name="_Toc28603"/>
      <w:bookmarkStart w:id="958" w:name="_Toc389065309"/>
      <w:bookmarkStart w:id="959" w:name="_Toc486529001"/>
      <w:bookmarkStart w:id="960" w:name="_Toc373478390"/>
      <w:bookmarkStart w:id="961" w:name="_Toc26056"/>
      <w:bookmarkStart w:id="962" w:name="_Toc1462"/>
      <w:bookmarkStart w:id="963" w:name="_Toc9919"/>
      <w:bookmarkStart w:id="964" w:name="_Toc9792"/>
      <w:bookmarkStart w:id="965" w:name="_Toc373227743"/>
      <w:r>
        <w:rPr>
          <w:rFonts w:hint="eastAsia" w:ascii="宋体" w:hAnsi="宋体" w:cs="宋体"/>
          <w:color w:val="auto"/>
          <w:sz w:val="21"/>
          <w:szCs w:val="21"/>
        </w:rPr>
        <w:t>1</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Start w:id="966" w:name="_Toc297120497"/>
      <w:bookmarkStart w:id="967" w:name="_Toc296891237"/>
      <w:bookmarkStart w:id="968" w:name="_Toc296944536"/>
      <w:bookmarkStart w:id="969" w:name="_Toc297216203"/>
      <w:bookmarkStart w:id="970" w:name="_Toc297123544"/>
      <w:bookmarkStart w:id="971" w:name="_Toc296346698"/>
      <w:bookmarkStart w:id="972" w:name="_Toc303539150"/>
      <w:bookmarkStart w:id="973" w:name="_Toc292559402"/>
      <w:bookmarkStart w:id="974" w:name="_Toc300934993"/>
      <w:bookmarkStart w:id="975" w:name="_Toc292559907"/>
      <w:bookmarkStart w:id="976" w:name="_Toc296891025"/>
      <w:bookmarkStart w:id="977" w:name="_Toc296347196"/>
      <w:bookmarkStart w:id="978" w:name="_Toc297048383"/>
      <w:bookmarkStart w:id="979" w:name="_Toc296503197"/>
      <w:bookmarkStart w:id="980" w:name="_Toc312677503"/>
      <w:bookmarkStart w:id="981" w:name="_Toc304295570"/>
      <w:bookmarkStart w:id="982" w:name="_Toc312678029"/>
      <w:r>
        <w:rPr>
          <w:rFonts w:hint="eastAsia" w:ascii="宋体" w:hAnsi="宋体" w:cs="宋体"/>
          <w:color w:val="auto"/>
          <w:sz w:val="21"/>
          <w:szCs w:val="21"/>
        </w:rPr>
        <w:t>0.5 承</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Start w:id="983" w:name="_Toc296891031"/>
      <w:bookmarkStart w:id="984" w:name="_Toc297048389"/>
      <w:bookmarkStart w:id="985" w:name="_Toc292559913"/>
      <w:bookmarkStart w:id="986" w:name="_Toc296503203"/>
      <w:bookmarkStart w:id="987" w:name="_Toc297123545"/>
      <w:bookmarkStart w:id="988" w:name="_Toc297120503"/>
      <w:bookmarkStart w:id="989" w:name="_Toc296347202"/>
      <w:bookmarkStart w:id="990" w:name="_Toc303539151"/>
      <w:bookmarkStart w:id="991" w:name="_Toc300934994"/>
      <w:bookmarkStart w:id="992" w:name="_Toc296346704"/>
      <w:bookmarkStart w:id="993" w:name="_Toc296944542"/>
      <w:bookmarkStart w:id="994" w:name="_Toc292559408"/>
      <w:bookmarkStart w:id="995" w:name="_Toc296891243"/>
      <w:bookmarkStart w:id="996" w:name="_Toc297216204"/>
      <w:r>
        <w:rPr>
          <w:rFonts w:hint="eastAsia" w:ascii="宋体" w:hAnsi="宋体" w:cs="宋体"/>
          <w:color w:val="auto"/>
          <w:sz w:val="21"/>
          <w:szCs w:val="21"/>
        </w:rPr>
        <w:t>包人的合理化建议</w:t>
      </w:r>
      <w:bookmarkEnd w:id="956"/>
      <w:bookmarkEnd w:id="957"/>
      <w:bookmarkEnd w:id="958"/>
      <w:bookmarkEnd w:id="959"/>
      <w:bookmarkEnd w:id="960"/>
      <w:bookmarkEnd w:id="961"/>
      <w:bookmarkEnd w:id="962"/>
      <w:bookmarkEnd w:id="963"/>
      <w:bookmarkEnd w:id="964"/>
      <w:bookmarkEnd w:id="965"/>
    </w:p>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14:paraId="1FA8C60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监理人审查承包人合理化建议的期限：</w:t>
      </w:r>
      <w:r>
        <w:rPr>
          <w:rFonts w:hint="eastAsia" w:ascii="宋体" w:hAnsi="宋体" w:cs="宋体"/>
          <w:color w:val="auto"/>
          <w:szCs w:val="21"/>
          <w:u w:val="single"/>
        </w:rPr>
        <w:t xml:space="preserve">同通用条款 </w:t>
      </w:r>
      <w:r>
        <w:rPr>
          <w:rFonts w:hint="eastAsia" w:ascii="宋体" w:hAnsi="宋体" w:cs="宋体"/>
          <w:color w:val="auto"/>
          <w:szCs w:val="21"/>
        </w:rPr>
        <w:t>。</w:t>
      </w:r>
    </w:p>
    <w:p w14:paraId="28C18B1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single"/>
        </w:rPr>
        <w:t xml:space="preserve">同通用条款 </w:t>
      </w:r>
      <w:r>
        <w:rPr>
          <w:rFonts w:hint="eastAsia" w:ascii="宋体" w:hAnsi="宋体" w:cs="宋体"/>
          <w:color w:val="auto"/>
          <w:szCs w:val="21"/>
        </w:rPr>
        <w:t>。</w:t>
      </w:r>
    </w:p>
    <w:p w14:paraId="240243C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w:t>
      </w:r>
      <w:bookmarkStart w:id="997" w:name="_Toc297123546"/>
      <w:bookmarkStart w:id="998" w:name="_Toc312678030"/>
      <w:bookmarkStart w:id="999" w:name="_Toc297216205"/>
      <w:bookmarkStart w:id="1000" w:name="_Toc304295571"/>
      <w:bookmarkStart w:id="1001" w:name="_Toc292559914"/>
      <w:bookmarkStart w:id="1002" w:name="_Toc292559409"/>
      <w:bookmarkStart w:id="1003" w:name="_Toc296346705"/>
      <w:bookmarkStart w:id="1004" w:name="_Toc296347203"/>
      <w:bookmarkStart w:id="1005" w:name="_Toc318581175"/>
      <w:bookmarkStart w:id="1006" w:name="_Toc312677504"/>
      <w:bookmarkStart w:id="1007" w:name="_Toc300934995"/>
      <w:bookmarkStart w:id="1008" w:name="_Toc296503204"/>
      <w:bookmarkStart w:id="1009" w:name="_Toc296891244"/>
      <w:bookmarkStart w:id="1010" w:name="_Toc296944543"/>
      <w:bookmarkStart w:id="1011" w:name="_Toc297120504"/>
      <w:bookmarkStart w:id="1012" w:name="_Toc296891032"/>
      <w:bookmarkStart w:id="1013" w:name="_Toc297048390"/>
      <w:bookmarkStart w:id="1014" w:name="_Toc303539152"/>
      <w:r>
        <w:rPr>
          <w:rFonts w:hint="eastAsia" w:ascii="宋体" w:hAnsi="宋体" w:cs="宋体"/>
          <w:color w:val="auto"/>
          <w:szCs w:val="21"/>
        </w:rPr>
        <w:t>包人提出的合理化建议降低了合同价格或者提高了工程经济效益的奖励的方法和金额为：</w:t>
      </w:r>
      <w:r>
        <w:rPr>
          <w:rFonts w:hint="eastAsia" w:ascii="宋体" w:hAnsi="宋体" w:cs="宋体"/>
          <w:color w:val="auto"/>
          <w:szCs w:val="21"/>
          <w:u w:val="single"/>
        </w:rPr>
        <w:t>无</w:t>
      </w:r>
      <w:r>
        <w:rPr>
          <w:rFonts w:hint="eastAsia" w:ascii="宋体" w:hAnsi="宋体" w:cs="宋体"/>
          <w:color w:val="auto"/>
          <w:szCs w:val="21"/>
        </w:rPr>
        <w:t>。</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05EE1EC1">
      <w:pPr>
        <w:pStyle w:val="5"/>
        <w:ind w:firstLine="422" w:firstLineChars="200"/>
        <w:rPr>
          <w:rFonts w:hint="eastAsia" w:ascii="宋体" w:hAnsi="宋体" w:cs="宋体"/>
          <w:color w:val="auto"/>
          <w:sz w:val="21"/>
          <w:szCs w:val="21"/>
        </w:rPr>
      </w:pPr>
      <w:bookmarkStart w:id="1015" w:name="_Toc464"/>
      <w:bookmarkStart w:id="1016" w:name="_Toc373227745"/>
      <w:bookmarkStart w:id="1017" w:name="_Toc389065311"/>
      <w:bookmarkStart w:id="1018" w:name="_Toc486529003"/>
      <w:bookmarkStart w:id="1019" w:name="_Toc22331"/>
      <w:bookmarkStart w:id="1020" w:name="_Toc373478392"/>
      <w:bookmarkStart w:id="1021" w:name="_Toc14661"/>
      <w:bookmarkStart w:id="1022" w:name="_Toc7469"/>
      <w:bookmarkStart w:id="1023" w:name="_Toc31907"/>
      <w:bookmarkStart w:id="1024" w:name="_Toc17428"/>
      <w:r>
        <w:rPr>
          <w:rFonts w:hint="eastAsia" w:ascii="宋体" w:hAnsi="宋体" w:cs="宋体"/>
          <w:color w:val="auto"/>
          <w:sz w:val="21"/>
          <w:szCs w:val="21"/>
        </w:rPr>
        <w:t>10.8 暂列金额</w:t>
      </w:r>
      <w:bookmarkEnd w:id="1015"/>
      <w:bookmarkEnd w:id="1016"/>
      <w:bookmarkEnd w:id="1017"/>
      <w:bookmarkEnd w:id="1018"/>
      <w:bookmarkEnd w:id="1019"/>
      <w:bookmarkEnd w:id="1020"/>
      <w:bookmarkEnd w:id="1021"/>
      <w:bookmarkEnd w:id="1022"/>
      <w:bookmarkEnd w:id="1023"/>
      <w:bookmarkEnd w:id="1024"/>
    </w:p>
    <w:p w14:paraId="1B1E8B36">
      <w:pPr>
        <w:autoSpaceDE w:val="0"/>
        <w:autoSpaceDN w:val="0"/>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合同当事人关于暂列金额使用的约定：</w:t>
      </w:r>
      <w:r>
        <w:rPr>
          <w:rFonts w:hint="eastAsia" w:ascii="宋体" w:hAnsi="宋体" w:cs="宋体"/>
          <w:color w:val="auto"/>
          <w:szCs w:val="21"/>
          <w:u w:val="single"/>
        </w:rPr>
        <w:t xml:space="preserve"> （1）已签约合同价中的暂列金额由发包人掌握使用</w:t>
      </w:r>
      <w:r>
        <w:rPr>
          <w:rFonts w:hint="eastAsia" w:ascii="宋体" w:hAnsi="宋体" w:cs="宋体"/>
          <w:color w:val="auto"/>
          <w:szCs w:val="21"/>
        </w:rPr>
        <w:t xml:space="preserve">。 </w:t>
      </w:r>
      <w:r>
        <w:rPr>
          <w:rFonts w:hint="eastAsia" w:ascii="宋体" w:hAnsi="宋体" w:cs="宋体"/>
          <w:color w:val="auto"/>
          <w:szCs w:val="21"/>
          <w:u w:val="single"/>
        </w:rPr>
        <w:t xml:space="preserve">（2）发包人按照规定所作支付后，暂列金额如有余额归发包人 </w:t>
      </w:r>
      <w:r>
        <w:rPr>
          <w:rFonts w:hint="eastAsia" w:ascii="宋体" w:hAnsi="宋体" w:cs="宋体"/>
          <w:color w:val="auto"/>
          <w:szCs w:val="21"/>
        </w:rPr>
        <w:t>。</w:t>
      </w:r>
    </w:p>
    <w:p w14:paraId="7DCF59D3">
      <w:pPr>
        <w:pStyle w:val="4"/>
        <w:spacing w:line="360" w:lineRule="auto"/>
        <w:ind w:firstLine="422" w:firstLineChars="200"/>
        <w:rPr>
          <w:rFonts w:hint="eastAsia" w:ascii="宋体" w:hAnsi="宋体" w:cs="宋体"/>
          <w:color w:val="auto"/>
          <w:sz w:val="21"/>
          <w:szCs w:val="21"/>
        </w:rPr>
      </w:pPr>
      <w:bookmarkStart w:id="1025" w:name="_Toc14533"/>
      <w:bookmarkStart w:id="1026" w:name="_Toc373478393"/>
      <w:bookmarkStart w:id="1027" w:name="_Toc21165"/>
      <w:bookmarkStart w:id="1028" w:name="_Toc351203643"/>
      <w:bookmarkStart w:id="1029" w:name="_Toc13750"/>
      <w:bookmarkStart w:id="1030" w:name="_Toc486529004"/>
      <w:bookmarkStart w:id="1031" w:name="_Toc389065312"/>
      <w:bookmarkStart w:id="1032" w:name="_Toc373227746"/>
      <w:bookmarkStart w:id="1033" w:name="_Toc7187"/>
      <w:bookmarkStart w:id="1034" w:name="_Toc12876"/>
      <w:bookmarkStart w:id="1035" w:name="_Toc17219"/>
      <w:r>
        <w:rPr>
          <w:rFonts w:hint="eastAsia" w:ascii="宋体" w:hAnsi="宋体" w:cs="宋体"/>
          <w:color w:val="auto"/>
          <w:sz w:val="21"/>
          <w:szCs w:val="21"/>
        </w:rPr>
        <w:t>11. 价格调整</w:t>
      </w:r>
      <w:bookmarkEnd w:id="1025"/>
      <w:bookmarkEnd w:id="1026"/>
      <w:bookmarkEnd w:id="1027"/>
      <w:bookmarkEnd w:id="1028"/>
      <w:bookmarkEnd w:id="1029"/>
      <w:bookmarkEnd w:id="1030"/>
      <w:bookmarkEnd w:id="1031"/>
      <w:bookmarkEnd w:id="1032"/>
      <w:bookmarkEnd w:id="1033"/>
      <w:bookmarkEnd w:id="1034"/>
      <w:bookmarkEnd w:id="1035"/>
    </w:p>
    <w:p w14:paraId="16B5F13C">
      <w:pPr>
        <w:pStyle w:val="5"/>
        <w:ind w:firstLine="422" w:firstLineChars="200"/>
        <w:rPr>
          <w:rFonts w:hint="eastAsia" w:ascii="宋体" w:hAnsi="宋体" w:cs="宋体"/>
          <w:color w:val="auto"/>
          <w:sz w:val="21"/>
          <w:szCs w:val="21"/>
        </w:rPr>
      </w:pPr>
      <w:bookmarkStart w:id="1036" w:name="_Toc26627"/>
      <w:bookmarkStart w:id="1037" w:name="_Toc25522"/>
      <w:bookmarkStart w:id="1038" w:name="_Toc7410"/>
      <w:bookmarkStart w:id="1039" w:name="_Toc373478394"/>
      <w:bookmarkStart w:id="1040" w:name="_Toc486529005"/>
      <w:bookmarkStart w:id="1041" w:name="_Toc30102"/>
      <w:bookmarkStart w:id="1042" w:name="_Toc2791"/>
      <w:bookmarkStart w:id="1043" w:name="_Toc389065313"/>
      <w:bookmarkStart w:id="1044" w:name="_Toc373227747"/>
      <w:bookmarkStart w:id="1045" w:name="_Toc10373"/>
      <w:bookmarkStart w:id="1046" w:name="_Toc292559406"/>
      <w:bookmarkStart w:id="1047" w:name="_Toc296891029"/>
      <w:bookmarkStart w:id="1048" w:name="_Toc312678039"/>
      <w:bookmarkStart w:id="1049" w:name="_Toc297123550"/>
      <w:bookmarkStart w:id="1050" w:name="_Toc296944540"/>
      <w:bookmarkStart w:id="1051" w:name="_Toc296346702"/>
      <w:bookmarkStart w:id="1052" w:name="_Toc296891241"/>
      <w:bookmarkStart w:id="1053" w:name="_Toc297048387"/>
      <w:bookmarkStart w:id="1054" w:name="_Toc292559911"/>
      <w:bookmarkStart w:id="1055" w:name="_Toc304295577"/>
      <w:bookmarkStart w:id="1056" w:name="_Toc297216209"/>
      <w:bookmarkStart w:id="1057" w:name="_Toc300935000"/>
      <w:bookmarkStart w:id="1058" w:name="_Toc296347200"/>
      <w:bookmarkStart w:id="1059" w:name="_Toc296503201"/>
      <w:bookmarkStart w:id="1060" w:name="_Toc303539157"/>
      <w:bookmarkStart w:id="1061" w:name="_Toc297120501"/>
      <w:r>
        <w:rPr>
          <w:rFonts w:hint="eastAsia" w:ascii="宋体" w:hAnsi="宋体" w:cs="宋体"/>
          <w:color w:val="auto"/>
          <w:sz w:val="21"/>
          <w:szCs w:val="21"/>
        </w:rPr>
        <w:t>11.1 市场价格波动引起的调整</w:t>
      </w:r>
      <w:bookmarkEnd w:id="1036"/>
      <w:bookmarkEnd w:id="1037"/>
      <w:bookmarkEnd w:id="1038"/>
      <w:bookmarkEnd w:id="1039"/>
      <w:bookmarkEnd w:id="1040"/>
      <w:bookmarkEnd w:id="1041"/>
      <w:bookmarkEnd w:id="1042"/>
      <w:bookmarkEnd w:id="1043"/>
      <w:bookmarkEnd w:id="1044"/>
      <w:bookmarkEnd w:id="1045"/>
    </w:p>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14:paraId="5CF44EC1">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市场价格波动是否调整合同价格的约定：</w:t>
      </w:r>
      <w:r>
        <w:rPr>
          <w:rFonts w:hint="eastAsia" w:ascii="宋体" w:hAnsi="宋体" w:cs="宋体"/>
          <w:color w:val="auto"/>
          <w:szCs w:val="21"/>
          <w:u w:val="single"/>
        </w:rPr>
        <w:t xml:space="preserve"> </w:t>
      </w:r>
      <w:r>
        <w:rPr>
          <w:rFonts w:hint="eastAsia" w:ascii="宋体" w:hAnsi="宋体" w:cs="宋体"/>
          <w:color w:val="auto"/>
          <w:kern w:val="0"/>
          <w:szCs w:val="21"/>
          <w:u w:val="single"/>
        </w:rPr>
        <w:t>否</w:t>
      </w:r>
      <w:r>
        <w:rPr>
          <w:rFonts w:hint="eastAsia" w:ascii="宋体" w:hAnsi="宋体" w:cs="宋体"/>
          <w:color w:val="auto"/>
          <w:szCs w:val="21"/>
          <w:u w:val="single"/>
        </w:rPr>
        <w:t xml:space="preserve"> </w:t>
      </w:r>
      <w:r>
        <w:rPr>
          <w:rFonts w:hint="eastAsia" w:ascii="宋体" w:hAnsi="宋体" w:cs="宋体"/>
          <w:color w:val="auto"/>
          <w:szCs w:val="21"/>
        </w:rPr>
        <w:t>。</w:t>
      </w:r>
    </w:p>
    <w:p w14:paraId="237E38A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single"/>
        </w:rPr>
        <w:t>/</w:t>
      </w:r>
      <w:r>
        <w:rPr>
          <w:rFonts w:hint="eastAsia" w:ascii="宋体" w:hAnsi="宋体" w:cs="宋体"/>
          <w:color w:val="auto"/>
          <w:szCs w:val="21"/>
        </w:rPr>
        <w:t>种方式对合同价格进行调整：</w:t>
      </w:r>
    </w:p>
    <w:p w14:paraId="3C501FC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第1种方式：采用价格指数进行价格调整。</w:t>
      </w:r>
    </w:p>
    <w:p w14:paraId="68E00F93">
      <w:pPr>
        <w:spacing w:line="360" w:lineRule="auto"/>
        <w:ind w:firstLine="396" w:firstLineChars="200"/>
        <w:jc w:val="left"/>
        <w:rPr>
          <w:rFonts w:hint="eastAsia" w:ascii="宋体" w:hAnsi="宋体" w:cs="宋体"/>
          <w:color w:val="auto"/>
          <w:szCs w:val="21"/>
          <w:u w:val="single"/>
        </w:rPr>
      </w:pPr>
      <w:r>
        <w:rPr>
          <w:rFonts w:hint="eastAsia" w:ascii="宋体" w:hAnsi="宋体" w:cs="宋体"/>
          <w:color w:val="auto"/>
          <w:spacing w:val="-6"/>
          <w:szCs w:val="21"/>
        </w:rPr>
        <w:t>关于各</w:t>
      </w:r>
      <w:r>
        <w:rPr>
          <w:rFonts w:hint="eastAsia" w:ascii="宋体" w:hAnsi="宋体" w:cs="宋体"/>
          <w:color w:val="auto"/>
          <w:spacing w:val="-11"/>
          <w:szCs w:val="21"/>
        </w:rPr>
        <w:t>可调因子、定值和变值权重，以及基本价格</w:t>
      </w:r>
      <w:r>
        <w:rPr>
          <w:rFonts w:hint="eastAsia" w:ascii="宋体" w:hAnsi="宋体" w:cs="宋体"/>
          <w:color w:val="auto"/>
          <w:spacing w:val="-6"/>
          <w:szCs w:val="21"/>
        </w:rPr>
        <w:t>指数及其来源的约：</w:t>
      </w:r>
      <w:r>
        <w:rPr>
          <w:rFonts w:hint="eastAsia" w:ascii="宋体" w:hAnsi="宋体" w:cs="宋体"/>
          <w:color w:val="auto"/>
          <w:spacing w:val="-6"/>
          <w:szCs w:val="21"/>
          <w:u w:val="single"/>
        </w:rPr>
        <w:t xml:space="preserve"> /</w:t>
      </w:r>
      <w:r>
        <w:rPr>
          <w:rFonts w:hint="eastAsia" w:ascii="宋体" w:hAnsi="宋体" w:cs="宋体"/>
          <w:color w:val="auto"/>
          <w:szCs w:val="21"/>
        </w:rPr>
        <w:t xml:space="preserve">；  </w:t>
      </w:r>
    </w:p>
    <w:p w14:paraId="76C2650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第2种方式：采用造价信息进行价格调整。</w:t>
      </w:r>
    </w:p>
    <w:p w14:paraId="1AAA83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（1）允许调整的主要材料（设备）、基期价格、风险系数、成交报价：详见《承包人提供主要材料和设备一览表》。</w:t>
      </w:r>
    </w:p>
    <w:p w14:paraId="1A791F3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（2）主要材料确认价：</w:t>
      </w:r>
    </w:p>
    <w:p w14:paraId="33AF3DF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按施工期间《</w:t>
      </w:r>
      <w:r>
        <w:rPr>
          <w:rFonts w:hint="eastAsia" w:ascii="宋体" w:hAnsi="宋体" w:cs="宋体"/>
          <w:color w:val="auto"/>
          <w:szCs w:val="21"/>
          <w:u w:val="single"/>
        </w:rPr>
        <w:t xml:space="preserve"> 桂林 </w:t>
      </w:r>
      <w:r>
        <w:rPr>
          <w:rFonts w:hint="eastAsia" w:ascii="宋体" w:hAnsi="宋体" w:cs="宋体"/>
          <w:color w:val="auto"/>
          <w:szCs w:val="21"/>
        </w:rPr>
        <w:t>市建设工程造价信息》加权平均计算，信息价没有的按通用条款规定确定。</w:t>
      </w:r>
    </w:p>
    <w:p w14:paraId="64E94DC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（3）价差计算方法：</w:t>
      </w:r>
    </w:p>
    <w:p w14:paraId="6558A5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①《承包人提供主要材料和设备一览表》中载明的材料成交报价低于基准价格的：合同履行期间材料单价涨幅以基准价格为基础超过</w:t>
      </w:r>
      <w:r>
        <w:rPr>
          <w:rFonts w:hint="eastAsia" w:ascii="宋体" w:hAnsi="宋体" w:cs="宋体"/>
          <w:color w:val="auto"/>
          <w:szCs w:val="21"/>
          <w:u w:val="single"/>
        </w:rPr>
        <w:t xml:space="preserve"> 5 </w:t>
      </w:r>
      <w:r>
        <w:rPr>
          <w:rFonts w:hint="eastAsia" w:ascii="宋体" w:hAnsi="宋体" w:cs="宋体"/>
          <w:color w:val="auto"/>
          <w:szCs w:val="21"/>
        </w:rPr>
        <w:t xml:space="preserve">%时，或材料单价跌幅以成交报价为基础超过 </w:t>
      </w:r>
      <w:r>
        <w:rPr>
          <w:rFonts w:hint="eastAsia" w:ascii="宋体" w:hAnsi="宋体" w:cs="宋体"/>
          <w:color w:val="auto"/>
          <w:szCs w:val="21"/>
          <w:u w:val="single"/>
        </w:rPr>
        <w:t xml:space="preserve">5 </w:t>
      </w:r>
      <w:r>
        <w:rPr>
          <w:rFonts w:hint="eastAsia" w:ascii="宋体" w:hAnsi="宋体" w:cs="宋体"/>
          <w:color w:val="auto"/>
          <w:szCs w:val="21"/>
        </w:rPr>
        <w:t>%时，其超过部分据实调整。</w:t>
      </w:r>
    </w:p>
    <w:p w14:paraId="14DF73A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②承包人在《承包人提供主要材料和设备一览表》中载明的材料成交报价高于基准价格的：专用合同条款合同履行期间材料单价跌幅以基准价格为基础超过</w:t>
      </w:r>
      <w:r>
        <w:rPr>
          <w:rFonts w:hint="eastAsia" w:ascii="宋体" w:hAnsi="宋体" w:cs="宋体"/>
          <w:color w:val="auto"/>
          <w:szCs w:val="21"/>
          <w:u w:val="single"/>
        </w:rPr>
        <w:t xml:space="preserve"> 5 </w:t>
      </w:r>
      <w:r>
        <w:rPr>
          <w:rFonts w:hint="eastAsia" w:ascii="宋体" w:hAnsi="宋体" w:cs="宋体"/>
          <w:color w:val="auto"/>
          <w:szCs w:val="21"/>
        </w:rPr>
        <w:t>%时，材料单价涨幅以成交报价为基础超过</w:t>
      </w:r>
      <w:r>
        <w:rPr>
          <w:rFonts w:hint="eastAsia" w:ascii="宋体" w:hAnsi="宋体" w:cs="宋体"/>
          <w:color w:val="auto"/>
          <w:szCs w:val="21"/>
          <w:u w:val="single"/>
        </w:rPr>
        <w:t xml:space="preserve"> 5 </w:t>
      </w:r>
      <w:r>
        <w:rPr>
          <w:rFonts w:hint="eastAsia" w:ascii="宋体" w:hAnsi="宋体" w:cs="宋体"/>
          <w:color w:val="auto"/>
          <w:szCs w:val="21"/>
        </w:rPr>
        <w:t>%时，其超过部分据实调整。</w:t>
      </w:r>
    </w:p>
    <w:p w14:paraId="5B640D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③承包人在《承包人提供主要材料和设备一览表》中载明的材料单价等于基准单价的：合同履行期间材料单价涨跌幅以基准单价为基础超过±</w:t>
      </w:r>
      <w:r>
        <w:rPr>
          <w:rFonts w:hint="eastAsia" w:ascii="宋体" w:hAnsi="宋体" w:cs="宋体"/>
          <w:color w:val="auto"/>
          <w:szCs w:val="21"/>
          <w:u w:val="single"/>
        </w:rPr>
        <w:t xml:space="preserve"> 5 </w:t>
      </w:r>
      <w:r>
        <w:rPr>
          <w:rFonts w:hint="eastAsia" w:ascii="宋体" w:hAnsi="宋体" w:cs="宋体"/>
          <w:color w:val="auto"/>
          <w:szCs w:val="21"/>
        </w:rPr>
        <w:t>%时，其超过部分据实调整。</w:t>
      </w:r>
    </w:p>
    <w:p w14:paraId="2856A27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第3种方式：</w:t>
      </w:r>
      <w:r>
        <w:rPr>
          <w:rFonts w:hint="eastAsia" w:ascii="宋体" w:hAnsi="宋体" w:cs="宋体"/>
          <w:color w:val="auto"/>
          <w:szCs w:val="21"/>
          <w:u w:val="single"/>
        </w:rPr>
        <w:t xml:space="preserve"> / </w:t>
      </w:r>
      <w:r>
        <w:rPr>
          <w:rFonts w:hint="eastAsia" w:ascii="宋体" w:hAnsi="宋体" w:cs="宋体"/>
          <w:color w:val="auto"/>
          <w:szCs w:val="21"/>
        </w:rPr>
        <w:t>。</w:t>
      </w:r>
    </w:p>
    <w:bookmarkEnd w:id="896"/>
    <w:bookmarkEnd w:id="897"/>
    <w:bookmarkEnd w:id="898"/>
    <w:bookmarkEnd w:id="899"/>
    <w:bookmarkEnd w:id="900"/>
    <w:bookmarkEnd w:id="901"/>
    <w:p w14:paraId="1EA28B4A">
      <w:pPr>
        <w:pStyle w:val="4"/>
        <w:spacing w:line="360" w:lineRule="auto"/>
        <w:ind w:firstLine="422" w:firstLineChars="200"/>
        <w:rPr>
          <w:rFonts w:hint="eastAsia" w:ascii="宋体" w:hAnsi="宋体" w:cs="宋体"/>
          <w:color w:val="auto"/>
          <w:sz w:val="21"/>
          <w:szCs w:val="21"/>
        </w:rPr>
      </w:pPr>
      <w:bookmarkStart w:id="1062" w:name="_Toc297120505"/>
      <w:bookmarkStart w:id="1063" w:name="_Toc296347204"/>
      <w:bookmarkStart w:id="1064" w:name="_Toc296503205"/>
      <w:bookmarkStart w:id="1065" w:name="_Toc296891033"/>
      <w:bookmarkStart w:id="1066" w:name="_Toc296346706"/>
      <w:bookmarkStart w:id="1067" w:name="_Toc292559915"/>
      <w:bookmarkStart w:id="1068" w:name="_Toc292559410"/>
      <w:bookmarkStart w:id="1069" w:name="_Toc297048391"/>
      <w:bookmarkStart w:id="1070" w:name="_Toc296891245"/>
      <w:bookmarkStart w:id="1071" w:name="_Toc296944544"/>
      <w:bookmarkStart w:id="1072" w:name="_Toc351203644"/>
      <w:bookmarkStart w:id="1073" w:name="_Toc486529006"/>
      <w:bookmarkStart w:id="1074" w:name="_Toc13234"/>
      <w:bookmarkStart w:id="1075" w:name="_Toc373478395"/>
      <w:bookmarkStart w:id="1076" w:name="_Toc17509"/>
      <w:bookmarkStart w:id="1077" w:name="_Toc373227748"/>
      <w:bookmarkStart w:id="1078" w:name="_Toc26290"/>
      <w:bookmarkStart w:id="1079" w:name="_Toc32590"/>
      <w:bookmarkStart w:id="1080" w:name="_Toc240"/>
      <w:bookmarkStart w:id="1081" w:name="_Toc14104"/>
      <w:bookmarkStart w:id="1082" w:name="_Toc297123552"/>
      <w:bookmarkStart w:id="1083" w:name="_Toc312678040"/>
      <w:bookmarkStart w:id="1084" w:name="_Toc304295579"/>
      <w:bookmarkStart w:id="1085" w:name="_Toc303539159"/>
      <w:bookmarkStart w:id="1086" w:name="_Toc297216211"/>
      <w:bookmarkStart w:id="1087" w:name="_Toc300935002"/>
      <w:r>
        <w:rPr>
          <w:rFonts w:hint="eastAsia" w:ascii="宋体" w:hAnsi="宋体" w:cs="宋体"/>
          <w:color w:val="auto"/>
          <w:sz w:val="21"/>
          <w:szCs w:val="21"/>
        </w:rPr>
        <w:t xml:space="preserve">12. </w:t>
      </w:r>
      <w:bookmarkEnd w:id="1062"/>
      <w:bookmarkEnd w:id="1063"/>
      <w:bookmarkEnd w:id="1064"/>
      <w:bookmarkEnd w:id="1065"/>
      <w:bookmarkEnd w:id="1066"/>
      <w:bookmarkEnd w:id="1067"/>
      <w:bookmarkEnd w:id="1068"/>
      <w:bookmarkEnd w:id="1069"/>
      <w:bookmarkEnd w:id="1070"/>
      <w:bookmarkEnd w:id="1071"/>
      <w:r>
        <w:rPr>
          <w:rFonts w:hint="eastAsia" w:ascii="宋体" w:hAnsi="宋体" w:cs="宋体"/>
          <w:color w:val="auto"/>
          <w:sz w:val="21"/>
          <w:szCs w:val="21"/>
        </w:rPr>
        <w:t>合同价格、计量与支付</w:t>
      </w:r>
      <w:bookmarkEnd w:id="1072"/>
      <w:bookmarkEnd w:id="1073"/>
      <w:bookmarkEnd w:id="1074"/>
      <w:bookmarkEnd w:id="1075"/>
      <w:bookmarkEnd w:id="1076"/>
      <w:bookmarkEnd w:id="1077"/>
      <w:bookmarkEnd w:id="1078"/>
      <w:bookmarkEnd w:id="1079"/>
      <w:bookmarkEnd w:id="1080"/>
      <w:bookmarkEnd w:id="1081"/>
    </w:p>
    <w:bookmarkEnd w:id="1082"/>
    <w:bookmarkEnd w:id="1083"/>
    <w:bookmarkEnd w:id="1084"/>
    <w:bookmarkEnd w:id="1085"/>
    <w:bookmarkEnd w:id="1086"/>
    <w:bookmarkEnd w:id="1087"/>
    <w:p w14:paraId="5CC65F3C">
      <w:pPr>
        <w:pStyle w:val="5"/>
        <w:ind w:firstLine="422" w:firstLineChars="200"/>
        <w:rPr>
          <w:rFonts w:hint="eastAsia" w:ascii="宋体" w:hAnsi="宋体" w:cs="宋体"/>
          <w:color w:val="auto"/>
          <w:sz w:val="21"/>
          <w:szCs w:val="21"/>
        </w:rPr>
      </w:pPr>
      <w:bookmarkStart w:id="1088" w:name="_Toc292559916"/>
      <w:bookmarkStart w:id="1089" w:name="_Toc292559411"/>
      <w:bookmarkStart w:id="1090" w:name="_Toc267251461"/>
      <w:bookmarkStart w:id="1091" w:name="_Toc296944545"/>
      <w:bookmarkStart w:id="1092" w:name="_Toc296891034"/>
      <w:bookmarkStart w:id="1093" w:name="_Toc296346707"/>
      <w:bookmarkStart w:id="1094" w:name="_Toc296347205"/>
      <w:bookmarkStart w:id="1095" w:name="_Toc297120506"/>
      <w:bookmarkStart w:id="1096" w:name="_Toc297048392"/>
      <w:bookmarkStart w:id="1097" w:name="_Toc296891246"/>
      <w:bookmarkStart w:id="1098" w:name="_Toc296503206"/>
      <w:bookmarkStart w:id="1099" w:name="_Toc373478396"/>
      <w:bookmarkStart w:id="1100" w:name="_Toc25618"/>
      <w:bookmarkStart w:id="1101" w:name="_Toc14577"/>
      <w:bookmarkStart w:id="1102" w:name="_Toc30997"/>
      <w:bookmarkStart w:id="1103" w:name="_Toc486529007"/>
      <w:bookmarkStart w:id="1104" w:name="_Toc389065314"/>
      <w:bookmarkStart w:id="1105" w:name="_Toc29169"/>
      <w:bookmarkStart w:id="1106" w:name="_Toc9805"/>
      <w:bookmarkStart w:id="1107" w:name="_Toc32052"/>
      <w:bookmarkStart w:id="1108" w:name="_Toc373227749"/>
      <w:bookmarkStart w:id="1109" w:name="_Toc300935003"/>
      <w:bookmarkStart w:id="1110" w:name="_Toc297123553"/>
      <w:bookmarkStart w:id="1111" w:name="_Toc304295580"/>
      <w:bookmarkStart w:id="1112" w:name="_Toc303539160"/>
      <w:bookmarkStart w:id="1113" w:name="_Toc297216212"/>
      <w:bookmarkStart w:id="1114" w:name="_Toc312678041"/>
      <w:r>
        <w:rPr>
          <w:rFonts w:hint="eastAsia" w:ascii="宋体" w:hAnsi="宋体" w:cs="宋体"/>
          <w:color w:val="auto"/>
          <w:sz w:val="21"/>
          <w:szCs w:val="21"/>
        </w:rPr>
        <w:t>12.1 合</w:t>
      </w:r>
      <w:bookmarkEnd w:id="1088"/>
      <w:bookmarkEnd w:id="1089"/>
      <w:bookmarkEnd w:id="1090"/>
      <w:r>
        <w:rPr>
          <w:rFonts w:hint="eastAsia" w:ascii="宋体" w:hAnsi="宋体" w:cs="宋体"/>
          <w:color w:val="auto"/>
          <w:sz w:val="21"/>
          <w:szCs w:val="21"/>
        </w:rPr>
        <w:t>同价</w:t>
      </w:r>
      <w:bookmarkEnd w:id="1091"/>
      <w:bookmarkEnd w:id="1092"/>
      <w:bookmarkEnd w:id="1093"/>
      <w:bookmarkEnd w:id="1094"/>
      <w:bookmarkEnd w:id="1095"/>
      <w:bookmarkEnd w:id="1096"/>
      <w:bookmarkEnd w:id="1097"/>
      <w:bookmarkEnd w:id="1098"/>
      <w:r>
        <w:rPr>
          <w:rFonts w:hint="eastAsia" w:ascii="宋体" w:hAnsi="宋体" w:cs="宋体"/>
          <w:color w:val="auto"/>
          <w:sz w:val="21"/>
          <w:szCs w:val="21"/>
        </w:rPr>
        <w:t>格形式</w:t>
      </w:r>
      <w:bookmarkEnd w:id="1099"/>
      <w:bookmarkEnd w:id="1100"/>
      <w:bookmarkEnd w:id="1101"/>
      <w:bookmarkEnd w:id="1102"/>
      <w:bookmarkEnd w:id="1103"/>
      <w:bookmarkEnd w:id="1104"/>
      <w:bookmarkEnd w:id="1105"/>
      <w:bookmarkEnd w:id="1106"/>
      <w:bookmarkEnd w:id="1107"/>
      <w:bookmarkEnd w:id="1108"/>
    </w:p>
    <w:bookmarkEnd w:id="1109"/>
    <w:bookmarkEnd w:id="1110"/>
    <w:bookmarkEnd w:id="1111"/>
    <w:bookmarkEnd w:id="1112"/>
    <w:bookmarkEnd w:id="1113"/>
    <w:bookmarkEnd w:id="1114"/>
    <w:p w14:paraId="41407A55">
      <w:pPr>
        <w:spacing w:line="360" w:lineRule="auto"/>
        <w:ind w:firstLine="420" w:firstLineChars="200"/>
        <w:rPr>
          <w:rFonts w:hint="eastAsia" w:ascii="宋体" w:hAnsi="宋体" w:cs="宋体"/>
          <w:color w:val="auto"/>
          <w:szCs w:val="21"/>
        </w:rPr>
      </w:pPr>
      <w:bookmarkStart w:id="1115" w:name="_Toc373227750"/>
      <w:bookmarkStart w:id="1116" w:name="_Toc389065315"/>
      <w:bookmarkStart w:id="1117" w:name="_Toc373478397"/>
      <w:bookmarkStart w:id="1118" w:name="_Toc297216213"/>
      <w:bookmarkStart w:id="1119" w:name="_Toc300935004"/>
      <w:bookmarkStart w:id="1120" w:name="_Toc304295581"/>
      <w:bookmarkStart w:id="1121" w:name="_Toc303539161"/>
      <w:bookmarkStart w:id="1122" w:name="_Toc297123554"/>
      <w:bookmarkStart w:id="1123" w:name="_Toc312678042"/>
      <w:bookmarkStart w:id="1124" w:name="_Toc292559412"/>
      <w:bookmarkStart w:id="1125" w:name="_Toc296346708"/>
      <w:bookmarkStart w:id="1126" w:name="_Toc296891247"/>
      <w:bookmarkStart w:id="1127" w:name="_Toc297048393"/>
      <w:bookmarkStart w:id="1128" w:name="_Toc296503207"/>
      <w:bookmarkStart w:id="1129" w:name="_Toc296944546"/>
      <w:bookmarkStart w:id="1130" w:name="_Toc296347206"/>
      <w:bookmarkStart w:id="1131" w:name="_Toc296891035"/>
      <w:bookmarkStart w:id="1132" w:name="_Toc297120507"/>
      <w:bookmarkStart w:id="1133" w:name="_Toc292559917"/>
      <w:r>
        <w:rPr>
          <w:rFonts w:hint="eastAsia" w:ascii="宋体" w:hAnsi="宋体" w:cs="宋体"/>
          <w:color w:val="auto"/>
          <w:szCs w:val="21"/>
        </w:rPr>
        <w:t>（1）单价合同。</w:t>
      </w:r>
    </w:p>
    <w:p w14:paraId="61A1DA2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本合同价款采用固定综合单价方式确定。</w:t>
      </w:r>
    </w:p>
    <w:p w14:paraId="193C059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综合单价包含的风险范围：</w:t>
      </w:r>
      <w:r>
        <w:rPr>
          <w:rFonts w:hint="eastAsia" w:ascii="宋体" w:hAnsi="宋体" w:cs="宋体"/>
          <w:color w:val="auto"/>
          <w:szCs w:val="21"/>
          <w:u w:val="single"/>
        </w:rPr>
        <w:t>除工程变更、政策性调整、</w:t>
      </w:r>
      <w:r>
        <w:rPr>
          <w:rFonts w:hint="eastAsia"/>
          <w:color w:val="auto"/>
        </w:rPr>
        <w:t>工程量清单缺项、工程量偏差</w:t>
      </w:r>
      <w:r>
        <w:rPr>
          <w:rFonts w:hint="eastAsia" w:ascii="宋体" w:hAnsi="宋体" w:cs="宋体"/>
          <w:color w:val="auto"/>
          <w:szCs w:val="21"/>
          <w:u w:val="single"/>
        </w:rPr>
        <w:t>风险以外因素</w:t>
      </w:r>
      <w:r>
        <w:rPr>
          <w:rFonts w:hint="eastAsia" w:ascii="宋体" w:hAnsi="宋体" w:cs="宋体"/>
          <w:color w:val="auto"/>
          <w:szCs w:val="21"/>
        </w:rPr>
        <w:t>。</w:t>
      </w:r>
    </w:p>
    <w:p w14:paraId="2EAFDE8E">
      <w:pPr>
        <w:pStyle w:val="27"/>
        <w:spacing w:line="360" w:lineRule="auto"/>
        <w:ind w:firstLine="400" w:firstLineChars="200"/>
        <w:rPr>
          <w:rFonts w:hint="eastAsia" w:hAnsi="宋体" w:cs="宋体"/>
          <w:color w:val="auto"/>
        </w:rPr>
      </w:pPr>
      <w:r>
        <w:rPr>
          <w:rFonts w:hint="eastAsia" w:hAnsi="宋体" w:cs="宋体"/>
          <w:color w:val="auto"/>
        </w:rPr>
        <w:t>风险范围以外合同价格的调整方法：</w:t>
      </w:r>
    </w:p>
    <w:p w14:paraId="2BF9BFDC">
      <w:pPr>
        <w:pStyle w:val="27"/>
        <w:spacing w:line="360" w:lineRule="auto"/>
        <w:ind w:firstLine="400" w:firstLineChars="200"/>
        <w:rPr>
          <w:rFonts w:hint="eastAsia" w:hAnsi="宋体" w:cs="宋体"/>
          <w:color w:val="auto"/>
        </w:rPr>
      </w:pPr>
      <w:r>
        <w:rPr>
          <w:rFonts w:hint="eastAsia" w:hAnsi="宋体" w:cs="宋体"/>
          <w:color w:val="auto"/>
        </w:rPr>
        <w:t>①工程变更：按10.4.1变更估价原则的约定调整。</w:t>
      </w:r>
    </w:p>
    <w:p w14:paraId="27421F55">
      <w:pPr>
        <w:pStyle w:val="27"/>
        <w:spacing w:line="360" w:lineRule="auto"/>
        <w:ind w:firstLine="400" w:firstLineChars="200"/>
        <w:rPr>
          <w:rFonts w:hint="eastAsia" w:hAnsi="宋体" w:cs="宋体"/>
          <w:color w:val="auto"/>
        </w:rPr>
      </w:pPr>
      <w:r>
        <w:rPr>
          <w:rFonts w:hint="eastAsia" w:hAnsi="宋体" w:cs="宋体"/>
          <w:color w:val="auto"/>
        </w:rPr>
        <w:t>②政策性调整：按自治区相关行政主管部门颁布的文件执行。</w:t>
      </w:r>
    </w:p>
    <w:p w14:paraId="2EB8D380">
      <w:pPr>
        <w:pStyle w:val="27"/>
        <w:spacing w:line="360" w:lineRule="auto"/>
        <w:ind w:firstLine="400" w:firstLineChars="200"/>
        <w:rPr>
          <w:rFonts w:hint="eastAsia" w:hAnsi="宋体" w:cs="宋体"/>
          <w:color w:val="auto"/>
        </w:rPr>
      </w:pPr>
      <w:r>
        <w:rPr>
          <w:rFonts w:hint="eastAsia" w:hAnsi="宋体" w:cs="宋体"/>
          <w:color w:val="auto"/>
        </w:rPr>
        <w:t>③材料价格风险：按11.1的约定调整。</w:t>
      </w:r>
    </w:p>
    <w:p w14:paraId="0396A44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④其它：</w:t>
      </w:r>
      <w:r>
        <w:rPr>
          <w:rFonts w:hint="eastAsia"/>
          <w:color w:val="auto"/>
          <w:u w:val="single"/>
        </w:rPr>
        <w:t>工程量清单缺项、工程量偏差</w:t>
      </w:r>
      <w:r>
        <w:rPr>
          <w:rFonts w:hint="eastAsia" w:ascii="宋体" w:hAnsi="宋体" w:cs="宋体"/>
          <w:color w:val="auto"/>
          <w:szCs w:val="21"/>
          <w:u w:val="single"/>
        </w:rPr>
        <w:t>按10.4.1约定调整</w:t>
      </w:r>
      <w:r>
        <w:rPr>
          <w:rFonts w:hint="eastAsia" w:ascii="宋体" w:hAnsi="宋体" w:cs="宋体"/>
          <w:color w:val="auto"/>
          <w:szCs w:val="21"/>
        </w:rPr>
        <w:t>。</w:t>
      </w:r>
    </w:p>
    <w:p w14:paraId="452801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（2）总价合同。</w:t>
      </w:r>
    </w:p>
    <w:p w14:paraId="2ACB3B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总价包含的风险范围：</w:t>
      </w:r>
      <w:r>
        <w:rPr>
          <w:rFonts w:hint="eastAsia" w:ascii="宋体" w:hAnsi="宋体" w:cs="宋体"/>
          <w:color w:val="auto"/>
          <w:szCs w:val="21"/>
          <w:u w:val="single"/>
        </w:rPr>
        <w:t xml:space="preserve">   /                                   </w:t>
      </w:r>
      <w:r>
        <w:rPr>
          <w:rFonts w:hint="eastAsia" w:ascii="宋体" w:hAnsi="宋体" w:cs="宋体"/>
          <w:color w:val="auto"/>
          <w:szCs w:val="21"/>
        </w:rPr>
        <w:t>。</w:t>
      </w:r>
    </w:p>
    <w:p w14:paraId="51B1424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                     </w:t>
      </w:r>
      <w:r>
        <w:rPr>
          <w:rFonts w:hint="eastAsia" w:ascii="宋体" w:hAnsi="宋体" w:cs="宋体"/>
          <w:color w:val="auto"/>
          <w:szCs w:val="21"/>
        </w:rPr>
        <w:t>。</w:t>
      </w:r>
    </w:p>
    <w:p w14:paraId="1848F31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（3）其他价格方式：</w:t>
      </w:r>
      <w:r>
        <w:rPr>
          <w:rFonts w:hint="eastAsia" w:ascii="宋体" w:hAnsi="宋体" w:cs="宋体"/>
          <w:color w:val="auto"/>
          <w:szCs w:val="21"/>
          <w:u w:val="single"/>
        </w:rPr>
        <w:t xml:space="preserve">                  /                     </w:t>
      </w:r>
      <w:r>
        <w:rPr>
          <w:rFonts w:hint="eastAsia" w:ascii="宋体" w:hAnsi="宋体" w:cs="宋体"/>
          <w:color w:val="auto"/>
          <w:szCs w:val="21"/>
        </w:rPr>
        <w:t>。</w:t>
      </w:r>
    </w:p>
    <w:p w14:paraId="41A37E65">
      <w:pPr>
        <w:pStyle w:val="5"/>
        <w:ind w:firstLine="422" w:firstLineChars="200"/>
        <w:rPr>
          <w:rFonts w:hint="eastAsia" w:ascii="宋体" w:hAnsi="宋体" w:cs="宋体"/>
          <w:color w:val="auto"/>
          <w:sz w:val="21"/>
          <w:szCs w:val="21"/>
        </w:rPr>
      </w:pPr>
      <w:bookmarkStart w:id="1134" w:name="_Toc1160"/>
      <w:bookmarkStart w:id="1135" w:name="_Toc26654"/>
      <w:bookmarkStart w:id="1136" w:name="_Toc486529008"/>
      <w:bookmarkStart w:id="1137" w:name="_Toc26869"/>
      <w:bookmarkStart w:id="1138" w:name="_Toc24975"/>
      <w:bookmarkStart w:id="1139" w:name="_Toc15542"/>
      <w:bookmarkStart w:id="1140" w:name="_Toc2753"/>
      <w:r>
        <w:rPr>
          <w:rFonts w:hint="eastAsia" w:ascii="宋体" w:hAnsi="宋体" w:cs="宋体"/>
          <w:color w:val="auto"/>
          <w:sz w:val="21"/>
          <w:szCs w:val="21"/>
        </w:rPr>
        <w:t>12.2 预付款</w:t>
      </w:r>
      <w:bookmarkEnd w:id="1115"/>
      <w:bookmarkEnd w:id="1116"/>
      <w:bookmarkEnd w:id="1117"/>
      <w:bookmarkEnd w:id="1134"/>
      <w:bookmarkEnd w:id="1135"/>
      <w:bookmarkEnd w:id="1136"/>
      <w:bookmarkEnd w:id="1137"/>
      <w:bookmarkEnd w:id="1138"/>
      <w:bookmarkEnd w:id="1139"/>
      <w:bookmarkEnd w:id="1140"/>
    </w:p>
    <w:bookmarkEnd w:id="1118"/>
    <w:bookmarkEnd w:id="1119"/>
    <w:bookmarkEnd w:id="1120"/>
    <w:bookmarkEnd w:id="1121"/>
    <w:bookmarkEnd w:id="1122"/>
    <w:bookmarkEnd w:id="1123"/>
    <w:p w14:paraId="3834C0E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12.2.1 预付款的支付</w:t>
      </w:r>
    </w:p>
    <w:p w14:paraId="5AD86FE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预付款支付比例或金额：</w:t>
      </w:r>
      <w:r>
        <w:rPr>
          <w:rFonts w:hint="eastAsia" w:ascii="宋体" w:hAnsi="宋体" w:cs="宋体"/>
          <w:bCs/>
          <w:color w:val="auto"/>
          <w:szCs w:val="21"/>
          <w:u w:val="single"/>
        </w:rPr>
        <w:t>扣除暂估专业工程、暂列金额的30%预付款</w:t>
      </w:r>
    </w:p>
    <w:p w14:paraId="3C4A9810">
      <w:pPr>
        <w:spacing w:line="360" w:lineRule="auto"/>
        <w:ind w:firstLine="420" w:firstLineChars="200"/>
        <w:jc w:val="left"/>
        <w:rPr>
          <w:color w:val="auto"/>
          <w:szCs w:val="21"/>
        </w:rPr>
      </w:pPr>
      <w:r>
        <w:rPr>
          <w:rFonts w:hint="eastAsia" w:hAnsi="宋体" w:cs="宋体"/>
          <w:color w:val="auto"/>
          <w:szCs w:val="21"/>
        </w:rPr>
        <w:t>预付款支付期限：</w:t>
      </w:r>
      <w:r>
        <w:rPr>
          <w:rFonts w:hint="eastAsia" w:ascii="宋体" w:hAnsi="宋体" w:cs="宋体"/>
          <w:color w:val="auto"/>
          <w:szCs w:val="21"/>
          <w:u w:val="single"/>
        </w:rPr>
        <w:t>发包人</w:t>
      </w:r>
      <w:r>
        <w:rPr>
          <w:rFonts w:hint="eastAsia" w:ascii="宋体" w:hAnsi="宋体" w:cs="宋体"/>
          <w:bCs/>
          <w:color w:val="auto"/>
          <w:szCs w:val="21"/>
          <w:u w:val="single"/>
        </w:rPr>
        <w:t>在签订合同后30日历天内支付</w:t>
      </w:r>
      <w:r>
        <w:rPr>
          <w:rFonts w:hint="eastAsia" w:hAnsi="宋体" w:cs="宋体"/>
          <w:color w:val="auto"/>
          <w:szCs w:val="21"/>
        </w:rPr>
        <w:t>。</w:t>
      </w:r>
    </w:p>
    <w:p w14:paraId="14B863CC">
      <w:pPr>
        <w:spacing w:line="360" w:lineRule="auto"/>
        <w:ind w:firstLine="420" w:firstLineChars="200"/>
        <w:jc w:val="left"/>
        <w:rPr>
          <w:rFonts w:hint="eastAsia" w:hAnsi="宋体" w:cs="宋体"/>
          <w:color w:val="auto"/>
          <w:szCs w:val="21"/>
        </w:rPr>
      </w:pPr>
      <w:r>
        <w:rPr>
          <w:rFonts w:hint="eastAsia" w:hAnsi="宋体" w:cs="宋体"/>
          <w:color w:val="auto"/>
          <w:szCs w:val="21"/>
        </w:rPr>
        <w:t>预付款扣回的方式：</w:t>
      </w:r>
      <w:r>
        <w:rPr>
          <w:rFonts w:hint="eastAsia" w:ascii="宋体" w:hAnsi="宋体" w:cs="宋体"/>
          <w:bCs/>
          <w:color w:val="auto"/>
          <w:szCs w:val="21"/>
          <w:u w:val="single"/>
        </w:rPr>
        <w:t>从第一次支付的进度款中扣回</w:t>
      </w:r>
      <w:r>
        <w:rPr>
          <w:rFonts w:hint="eastAsia" w:hAnsi="宋体" w:cs="宋体"/>
          <w:color w:val="auto"/>
          <w:szCs w:val="21"/>
        </w:rPr>
        <w:t>。</w:t>
      </w:r>
    </w:p>
    <w:p w14:paraId="00D9559E">
      <w:pPr>
        <w:spacing w:line="360" w:lineRule="auto"/>
        <w:ind w:firstLine="420" w:firstLineChars="200"/>
        <w:jc w:val="left"/>
        <w:rPr>
          <w:color w:val="auto"/>
          <w:szCs w:val="21"/>
        </w:rPr>
      </w:pPr>
      <w:r>
        <w:rPr>
          <w:color w:val="auto"/>
          <w:szCs w:val="21"/>
        </w:rPr>
        <w:t xml:space="preserve">12.2.2 </w:t>
      </w:r>
      <w:r>
        <w:rPr>
          <w:rFonts w:hint="eastAsia" w:hAnsi="宋体" w:cs="宋体"/>
          <w:color w:val="auto"/>
          <w:szCs w:val="21"/>
        </w:rPr>
        <w:t>预付款担保</w:t>
      </w:r>
    </w:p>
    <w:p w14:paraId="2CB62CF8">
      <w:pPr>
        <w:spacing w:line="360" w:lineRule="auto"/>
        <w:ind w:firstLine="420" w:firstLineChars="200"/>
        <w:jc w:val="left"/>
        <w:rPr>
          <w:color w:val="auto"/>
          <w:szCs w:val="21"/>
        </w:rPr>
      </w:pPr>
      <w:r>
        <w:rPr>
          <w:rFonts w:hint="eastAsia"/>
          <w:color w:val="auto"/>
          <w:szCs w:val="21"/>
        </w:rPr>
        <w:t>承包人提交预付款担保的期限：承包人应在合同签订后，申请预付款前提供同等数额的预付款担保。</w:t>
      </w:r>
    </w:p>
    <w:p w14:paraId="63E80421">
      <w:pPr>
        <w:spacing w:line="360" w:lineRule="auto"/>
        <w:ind w:firstLine="420" w:firstLineChars="200"/>
        <w:jc w:val="left"/>
        <w:rPr>
          <w:color w:val="auto"/>
          <w:szCs w:val="21"/>
        </w:rPr>
      </w:pPr>
      <w:r>
        <w:rPr>
          <w:rFonts w:hint="eastAsia"/>
          <w:color w:val="auto"/>
          <w:szCs w:val="21"/>
        </w:rPr>
        <w:t>预付款担保的形式为：可以是银行转账、电汇或网上支付、保函（银行保函、电子保函、保证保险保函、工程担保保函）等形式。</w:t>
      </w:r>
    </w:p>
    <w:p w14:paraId="56F349C1">
      <w:pPr>
        <w:spacing w:line="360" w:lineRule="auto"/>
        <w:ind w:firstLine="420" w:firstLineChars="200"/>
        <w:rPr>
          <w:rFonts w:hint="eastAsia" w:ascii="宋体" w:hAnsi="宋体" w:cs="宋体"/>
          <w:color w:val="auto"/>
          <w:szCs w:val="21"/>
        </w:rPr>
      </w:pPr>
      <w:r>
        <w:rPr>
          <w:rFonts w:hint="eastAsia"/>
          <w:color w:val="auto"/>
          <w:szCs w:val="21"/>
        </w:rPr>
        <w:t>预付款担保格式见合同附件8、9。预付款支付申请（核准）表见合同附件10</w:t>
      </w:r>
    </w:p>
    <w:bookmarkEnd w:id="1124"/>
    <w:bookmarkEnd w:id="1125"/>
    <w:bookmarkEnd w:id="1126"/>
    <w:bookmarkEnd w:id="1127"/>
    <w:bookmarkEnd w:id="1128"/>
    <w:bookmarkEnd w:id="1129"/>
    <w:bookmarkEnd w:id="1130"/>
    <w:bookmarkEnd w:id="1131"/>
    <w:bookmarkEnd w:id="1132"/>
    <w:bookmarkEnd w:id="1133"/>
    <w:p w14:paraId="4E615884">
      <w:pPr>
        <w:pStyle w:val="5"/>
        <w:ind w:firstLine="422" w:firstLineChars="200"/>
        <w:rPr>
          <w:rFonts w:hint="eastAsia" w:ascii="宋体" w:hAnsi="宋体" w:cs="宋体"/>
          <w:color w:val="auto"/>
          <w:sz w:val="21"/>
          <w:szCs w:val="21"/>
        </w:rPr>
      </w:pPr>
      <w:bookmarkStart w:id="1141" w:name="_Toc486529009"/>
      <w:bookmarkStart w:id="1142" w:name="_Toc389065316"/>
      <w:bookmarkStart w:id="1143" w:name="_Toc17905"/>
      <w:bookmarkStart w:id="1144" w:name="_Toc16418"/>
      <w:bookmarkStart w:id="1145" w:name="_Toc16356"/>
      <w:bookmarkStart w:id="1146" w:name="_Toc5697"/>
      <w:bookmarkStart w:id="1147" w:name="_Toc23472"/>
      <w:bookmarkStart w:id="1148" w:name="_Toc373227751"/>
      <w:bookmarkStart w:id="1149" w:name="_Toc373478398"/>
      <w:bookmarkStart w:id="1150" w:name="_Toc3414"/>
      <w:r>
        <w:rPr>
          <w:rFonts w:hint="eastAsia" w:ascii="宋体" w:hAnsi="宋体" w:cs="宋体"/>
          <w:color w:val="auto"/>
          <w:sz w:val="21"/>
          <w:szCs w:val="21"/>
        </w:rPr>
        <w:t>12.3 计量</w:t>
      </w:r>
      <w:bookmarkEnd w:id="1141"/>
      <w:bookmarkEnd w:id="1142"/>
      <w:bookmarkEnd w:id="1143"/>
      <w:bookmarkEnd w:id="1144"/>
      <w:bookmarkEnd w:id="1145"/>
      <w:bookmarkEnd w:id="1146"/>
      <w:bookmarkEnd w:id="1147"/>
      <w:bookmarkEnd w:id="1148"/>
      <w:bookmarkEnd w:id="1149"/>
      <w:bookmarkEnd w:id="1150"/>
    </w:p>
    <w:p w14:paraId="078D8CE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12.3.1 计量原则</w:t>
      </w:r>
    </w:p>
    <w:p w14:paraId="5C6368A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工程量计算规则：</w:t>
      </w:r>
      <w:r>
        <w:rPr>
          <w:rFonts w:hint="eastAsia" w:ascii="宋体" w:hAnsi="宋体" w:cs="宋体"/>
          <w:color w:val="auto"/>
          <w:szCs w:val="21"/>
          <w:u w:val="single"/>
        </w:rPr>
        <w:t xml:space="preserve">工程的计量均以《建设工程工程量清单计价规范》（GB50500－2013）和及其广西壮族自治区实施细则、《建设工程工程量清单计算规范》（GB50854～50862－2013）及其广西实施细则（修订本）、本工程补充项目清单为准 </w:t>
      </w:r>
      <w:r>
        <w:rPr>
          <w:rFonts w:hint="eastAsia" w:ascii="宋体" w:hAnsi="宋体" w:cs="宋体"/>
          <w:color w:val="auto"/>
          <w:szCs w:val="21"/>
        </w:rPr>
        <w:t>。</w:t>
      </w:r>
    </w:p>
    <w:p w14:paraId="6CB30710">
      <w:pPr>
        <w:spacing w:line="360" w:lineRule="auto"/>
        <w:ind w:firstLine="420" w:firstLineChars="200"/>
        <w:rPr>
          <w:rFonts w:hint="eastAsia" w:ascii="宋体" w:hAnsi="宋体" w:cs="宋体"/>
          <w:color w:val="auto"/>
          <w:szCs w:val="21"/>
        </w:rPr>
      </w:pPr>
      <w:r>
        <w:rPr>
          <w:rFonts w:hint="eastAsia" w:ascii="宋体" w:hAnsi="宋体" w:cs="宋体"/>
          <w:color w:val="auto"/>
          <w:szCs w:val="21"/>
          <w:u w:val="single"/>
        </w:rPr>
        <w:t>本工程材料价按《桂林市建设工程造价信息》2025年第4期信息价确定，信息价内没有的材料价按市场询价</w:t>
      </w:r>
      <w:r>
        <w:rPr>
          <w:rFonts w:hint="eastAsia" w:ascii="宋体" w:hAnsi="宋体" w:cs="宋体"/>
          <w:color w:val="auto"/>
          <w:szCs w:val="21"/>
        </w:rPr>
        <w:t>。</w:t>
      </w:r>
    </w:p>
    <w:p w14:paraId="2B22F1B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12.3.2 计量周期</w:t>
      </w:r>
    </w:p>
    <w:p w14:paraId="769ED6F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single"/>
        </w:rPr>
        <w:t xml:space="preserve">每月25日前 </w:t>
      </w:r>
      <w:r>
        <w:rPr>
          <w:rFonts w:hint="eastAsia" w:ascii="宋体" w:hAnsi="宋体" w:cs="宋体"/>
          <w:color w:val="auto"/>
          <w:szCs w:val="21"/>
        </w:rPr>
        <w:t>。</w:t>
      </w:r>
    </w:p>
    <w:p w14:paraId="46A9760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12.3.3 单价合同的计量</w:t>
      </w:r>
    </w:p>
    <w:p w14:paraId="6E21E2A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关于单价合同计量的约定：</w:t>
      </w:r>
    </w:p>
    <w:p w14:paraId="2501010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工程量清单所列的工程量，不能作为承包人按合同履行其责任依据，实际施工中发生的工程量增加或减少并不影响承包人履行合同的责任，工程结算以完成的实际工程量为准。</w:t>
      </w:r>
    </w:p>
    <w:p w14:paraId="329133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 除另有规定外，工程师应按照合同通过计量来核实确定已完成的工程量和价款，承包人应得到该价款扣除保留金后的金额。当工程师要对已完工的工程量进行计量时，应适时地通知承包人参加。</w:t>
      </w:r>
    </w:p>
    <w:p w14:paraId="077CF32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12.3.4 总价合同的计量</w:t>
      </w:r>
    </w:p>
    <w:p w14:paraId="5F89C58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关于总价合同计量的约定：除工程变更外，原图纸范围内的工程量不得按实计量。进度款按支付分解表支付，按通用条款第</w:t>
      </w:r>
      <w:r>
        <w:rPr>
          <w:rFonts w:hint="eastAsia" w:ascii="宋体" w:hAnsi="宋体" w:cs="宋体"/>
          <w:color w:val="auto"/>
          <w:kern w:val="0"/>
          <w:szCs w:val="21"/>
        </w:rPr>
        <w:t>12.3.4</w:t>
      </w:r>
      <w:r>
        <w:rPr>
          <w:rFonts w:hint="eastAsia" w:ascii="宋体" w:hAnsi="宋体" w:cs="宋体"/>
          <w:color w:val="auto"/>
          <w:szCs w:val="21"/>
        </w:rPr>
        <w:t>项</w:t>
      </w:r>
      <w:r>
        <w:rPr>
          <w:rFonts w:hint="eastAsia" w:ascii="宋体" w:hAnsi="宋体" w:cs="宋体"/>
          <w:color w:val="auto"/>
          <w:kern w:val="0"/>
          <w:szCs w:val="21"/>
        </w:rPr>
        <w:t>〔总价合同的计量〕</w:t>
      </w:r>
      <w:r>
        <w:rPr>
          <w:rFonts w:hint="eastAsia" w:ascii="宋体" w:hAnsi="宋体" w:cs="宋体"/>
          <w:color w:val="auto"/>
          <w:szCs w:val="21"/>
        </w:rPr>
        <w:t>约定进行计量，但</w:t>
      </w:r>
      <w:r>
        <w:rPr>
          <w:rFonts w:hint="eastAsia" w:ascii="宋体" w:hAnsi="宋体" w:cs="宋体"/>
          <w:color w:val="auto"/>
          <w:kern w:val="0"/>
          <w:szCs w:val="21"/>
        </w:rPr>
        <w:t>合同价款按照支付分解表进行支付。</w:t>
      </w:r>
    </w:p>
    <w:p w14:paraId="436CF25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12.3.6 其他价格形式合同的计量</w:t>
      </w:r>
    </w:p>
    <w:p w14:paraId="4599C2F4">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  按通用条款执行     </w:t>
      </w:r>
      <w:r>
        <w:rPr>
          <w:rFonts w:hint="eastAsia" w:ascii="宋体" w:hAnsi="宋体" w:cs="宋体"/>
          <w:color w:val="auto"/>
          <w:szCs w:val="21"/>
        </w:rPr>
        <w:t>。</w:t>
      </w:r>
    </w:p>
    <w:p w14:paraId="36D8F231">
      <w:pPr>
        <w:pStyle w:val="5"/>
        <w:ind w:firstLine="422" w:firstLineChars="200"/>
        <w:rPr>
          <w:rFonts w:hint="eastAsia" w:ascii="宋体" w:hAnsi="宋体" w:cs="宋体"/>
          <w:color w:val="auto"/>
          <w:sz w:val="21"/>
          <w:szCs w:val="21"/>
        </w:rPr>
      </w:pPr>
      <w:bookmarkStart w:id="1151" w:name="_Toc11159"/>
      <w:bookmarkStart w:id="1152" w:name="_Toc373478399"/>
      <w:bookmarkStart w:id="1153" w:name="_Toc6548"/>
      <w:bookmarkStart w:id="1154" w:name="_Toc22045"/>
      <w:bookmarkStart w:id="1155" w:name="_Toc373227752"/>
      <w:bookmarkStart w:id="1156" w:name="_Toc1911"/>
      <w:bookmarkStart w:id="1157" w:name="_Toc486529010"/>
      <w:bookmarkStart w:id="1158" w:name="_Toc19373"/>
      <w:bookmarkStart w:id="1159" w:name="_Toc389065317"/>
      <w:bookmarkStart w:id="1160" w:name="_Toc21944"/>
      <w:r>
        <w:rPr>
          <w:rFonts w:hint="eastAsia" w:ascii="宋体" w:hAnsi="宋体" w:cs="宋体"/>
          <w:color w:val="auto"/>
          <w:sz w:val="21"/>
          <w:szCs w:val="21"/>
        </w:rPr>
        <w:t>12.4 工程进度款支付</w:t>
      </w:r>
      <w:bookmarkEnd w:id="1151"/>
      <w:bookmarkEnd w:id="1152"/>
      <w:bookmarkEnd w:id="1153"/>
      <w:bookmarkEnd w:id="1154"/>
      <w:bookmarkEnd w:id="1155"/>
      <w:bookmarkEnd w:id="1156"/>
      <w:bookmarkEnd w:id="1157"/>
      <w:bookmarkEnd w:id="1158"/>
      <w:bookmarkEnd w:id="1159"/>
      <w:bookmarkEnd w:id="1160"/>
    </w:p>
    <w:p w14:paraId="3BD01CB0">
      <w:pPr>
        <w:spacing w:line="360" w:lineRule="auto"/>
        <w:ind w:firstLine="422" w:firstLineChars="200"/>
        <w:rPr>
          <w:rFonts w:hint="eastAsia" w:ascii="宋体" w:hAnsi="宋体" w:cs="宋体"/>
          <w:b/>
          <w:color w:val="auto"/>
          <w:szCs w:val="21"/>
        </w:rPr>
      </w:pPr>
      <w:bookmarkStart w:id="1161" w:name="_Toc296503211"/>
      <w:bookmarkStart w:id="1162" w:name="_Toc296347210"/>
      <w:bookmarkStart w:id="1163" w:name="_Toc297216215"/>
      <w:bookmarkStart w:id="1164" w:name="_Toc296346712"/>
      <w:bookmarkStart w:id="1165" w:name="_Toc303539163"/>
      <w:bookmarkStart w:id="1166" w:name="_Toc292559921"/>
      <w:bookmarkStart w:id="1167" w:name="_Toc300935006"/>
      <w:bookmarkStart w:id="1168" w:name="_Toc296891251"/>
      <w:bookmarkStart w:id="1169" w:name="_Toc296891039"/>
      <w:bookmarkStart w:id="1170" w:name="_Toc297120511"/>
      <w:bookmarkStart w:id="1171" w:name="_Toc297123556"/>
      <w:bookmarkStart w:id="1172" w:name="_Toc297048397"/>
      <w:bookmarkStart w:id="1173" w:name="_Toc292559416"/>
      <w:bookmarkStart w:id="1174" w:name="_Toc296944550"/>
      <w:r>
        <w:rPr>
          <w:rFonts w:hint="eastAsia" w:ascii="宋体" w:hAnsi="宋体" w:cs="宋体"/>
          <w:b/>
          <w:color w:val="auto"/>
          <w:szCs w:val="21"/>
        </w:rPr>
        <w:t>12.4.1 付款周期</w:t>
      </w:r>
    </w:p>
    <w:p w14:paraId="39E97271">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关于付款周期的约定：</w:t>
      </w:r>
      <w:r>
        <w:rPr>
          <w:rFonts w:hint="eastAsia" w:ascii="宋体" w:hAnsi="宋体" w:cs="宋体"/>
          <w:b/>
          <w:color w:val="auto"/>
          <w:szCs w:val="21"/>
          <w:u w:val="single"/>
        </w:rPr>
        <w:t>发包人在签订合同后30日历天内支付合同价款（扣除暂估专业工程、暂列金额）的30%预付款；在承包人完成至工程量的60%后的30个工作日内支付至合同价款的50%；在承包人完成至工程量的80%后的30个工作日内支付至合同价款的75%；工程竣工验收合格且工程结算经相关部门最终审定后，工程款支付至结算总价的97%；工程价款结算总额的3%待缺陷责任期（24个月）</w:t>
      </w:r>
      <w:r>
        <w:rPr>
          <w:rFonts w:hint="eastAsia" w:hAnsi="宋体" w:cs="宋体"/>
          <w:color w:val="auto"/>
          <w:u w:val="single"/>
        </w:rPr>
        <w:t>满</w:t>
      </w:r>
      <w:r>
        <w:rPr>
          <w:rFonts w:hint="eastAsia" w:ascii="宋体" w:hAnsi="宋体" w:cs="宋体"/>
          <w:b/>
          <w:color w:val="auto"/>
          <w:szCs w:val="21"/>
          <w:u w:val="single"/>
        </w:rPr>
        <w:t>后，双方确认无质量返修问题且无扣款事项后由发包人向承包人（无息）支付</w:t>
      </w:r>
      <w:r>
        <w:rPr>
          <w:rFonts w:hint="eastAsia" w:ascii="宋体" w:hAnsi="宋体" w:cs="宋体"/>
          <w:b/>
          <w:bCs/>
          <w:color w:val="auto"/>
          <w:szCs w:val="21"/>
          <w:u w:val="single"/>
        </w:rPr>
        <w:t>。承包人每次请款前，应向发包人提交书面请款报告，并根据双方确认的金额向发包人开具足额合法正式发票，否则，发包人有权暂不付款且不构成违约，发票认证通过是发包人付款的必要条件之一</w:t>
      </w:r>
      <w:r>
        <w:rPr>
          <w:rFonts w:hint="eastAsia" w:ascii="宋体" w:hAnsi="宋体" w:cs="宋体"/>
          <w:b/>
          <w:bCs/>
          <w:color w:val="auto"/>
          <w:szCs w:val="21"/>
        </w:rPr>
        <w:t>。</w:t>
      </w:r>
    </w:p>
    <w:p w14:paraId="4BD81F1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12.4.2 进度付款申请单的编制</w:t>
      </w:r>
    </w:p>
    <w:p w14:paraId="3D2E48A4">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关于进度付款申请单编制的约定：</w:t>
      </w:r>
      <w:r>
        <w:rPr>
          <w:rFonts w:hint="eastAsia" w:ascii="宋体" w:hAnsi="宋体" w:cs="宋体"/>
          <w:color w:val="auto"/>
          <w:szCs w:val="21"/>
          <w:u w:val="single"/>
        </w:rPr>
        <w:t>承包人应在每个计量周期到期后的7天内向发包人提交已完工程进度款支付申请一式四份，详细说明此周期自己认为有权得到的款额，包括分包人已完工程的价款</w:t>
      </w:r>
      <w:r>
        <w:rPr>
          <w:rFonts w:hint="eastAsia" w:ascii="宋体" w:hAnsi="宋体" w:cs="宋体"/>
          <w:color w:val="auto"/>
          <w:szCs w:val="21"/>
        </w:rPr>
        <w:t>。</w:t>
      </w:r>
    </w:p>
    <w:p w14:paraId="33A5A2C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Pr>
          <w:rFonts w:hint="eastAsia" w:ascii="宋体" w:hAnsi="宋体" w:cs="宋体"/>
          <w:color w:val="auto"/>
          <w:szCs w:val="21"/>
        </w:rPr>
        <w:t>2.4.3 进度付款申请单的提交</w:t>
      </w:r>
    </w:p>
    <w:p w14:paraId="7461A48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bCs/>
          <w:color w:val="auto"/>
          <w:szCs w:val="21"/>
          <w:u w:val="single"/>
        </w:rPr>
        <w:t>按专用条款12.4.2执行</w:t>
      </w:r>
      <w:r>
        <w:rPr>
          <w:rFonts w:hint="eastAsia" w:ascii="宋体" w:hAnsi="宋体" w:cs="宋体"/>
          <w:bCs/>
          <w:color w:val="auto"/>
          <w:szCs w:val="21"/>
        </w:rPr>
        <w:t>。</w:t>
      </w:r>
    </w:p>
    <w:p w14:paraId="60F17D6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2B6582DC">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7059F79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12.4.4 进度款审核和支付</w:t>
      </w:r>
    </w:p>
    <w:p w14:paraId="467CCC4D">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（1）监理人审查并报送发包人的期限：</w:t>
      </w:r>
      <w:r>
        <w:rPr>
          <w:rFonts w:hint="eastAsia" w:ascii="宋体" w:hAnsi="宋体" w:cs="宋体"/>
          <w:color w:val="auto"/>
          <w:szCs w:val="21"/>
          <w:u w:val="single"/>
        </w:rPr>
        <w:t xml:space="preserve">收到申请5个工作日内 </w:t>
      </w:r>
      <w:r>
        <w:rPr>
          <w:rFonts w:hint="eastAsia" w:ascii="宋体" w:hAnsi="宋体" w:cs="宋体"/>
          <w:color w:val="auto"/>
          <w:szCs w:val="21"/>
        </w:rPr>
        <w:t>。</w:t>
      </w:r>
    </w:p>
    <w:p w14:paraId="3CB67B77">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发包人完成审批并签发进度款支付证书的期限：</w:t>
      </w:r>
      <w:r>
        <w:rPr>
          <w:rFonts w:hint="eastAsia" w:ascii="宋体" w:hAnsi="宋体" w:cs="宋体"/>
          <w:color w:val="auto"/>
          <w:szCs w:val="21"/>
          <w:u w:val="single"/>
        </w:rPr>
        <w:t>收到监理审查报告10个工作日内</w:t>
      </w:r>
      <w:r>
        <w:rPr>
          <w:rFonts w:hint="eastAsia" w:ascii="宋体" w:hAnsi="宋体" w:cs="宋体"/>
          <w:color w:val="auto"/>
          <w:szCs w:val="21"/>
        </w:rPr>
        <w:t>。</w:t>
      </w:r>
    </w:p>
    <w:p w14:paraId="3FAB67B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（2）发包人支付进度款的期限：</w:t>
      </w:r>
      <w:r>
        <w:rPr>
          <w:rFonts w:hint="eastAsia" w:ascii="宋体" w:hAnsi="宋体" w:cs="宋体"/>
          <w:color w:val="auto"/>
          <w:szCs w:val="21"/>
          <w:u w:val="single"/>
        </w:rPr>
        <w:t>详见12.4.1</w:t>
      </w:r>
      <w:r>
        <w:rPr>
          <w:rFonts w:hint="eastAsia" w:ascii="宋体" w:hAnsi="宋体" w:cs="宋体"/>
          <w:color w:val="auto"/>
          <w:szCs w:val="21"/>
        </w:rPr>
        <w:t>。</w:t>
      </w:r>
    </w:p>
    <w:p w14:paraId="2DB7798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发包人逾期支付进度款的违约金的计算方式：</w:t>
      </w:r>
      <w:r>
        <w:rPr>
          <w:rFonts w:hint="eastAsia" w:ascii="宋体" w:hAnsi="宋体" w:cs="宋体"/>
          <w:color w:val="auto"/>
          <w:szCs w:val="21"/>
          <w:u w:val="single"/>
        </w:rPr>
        <w:t xml:space="preserve">       /      </w:t>
      </w:r>
      <w:r>
        <w:rPr>
          <w:rFonts w:hint="eastAsia" w:ascii="宋体" w:hAnsi="宋体" w:cs="宋体"/>
          <w:color w:val="auto"/>
          <w:szCs w:val="21"/>
        </w:rPr>
        <w:t>。</w:t>
      </w:r>
    </w:p>
    <w:p w14:paraId="72BE0EE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进度款支付方式：</w:t>
      </w:r>
      <w:r>
        <w:rPr>
          <w:rFonts w:hint="eastAsia" w:ascii="宋体" w:hAnsi="宋体" w:cs="宋体"/>
          <w:color w:val="auto"/>
          <w:szCs w:val="21"/>
          <w:u w:val="single"/>
        </w:rPr>
        <w:t>银行转账</w:t>
      </w:r>
      <w:r>
        <w:rPr>
          <w:rFonts w:hint="eastAsia" w:ascii="宋体" w:hAnsi="宋体" w:cs="宋体"/>
          <w:color w:val="auto"/>
          <w:szCs w:val="21"/>
        </w:rPr>
        <w:t>。</w:t>
      </w:r>
    </w:p>
    <w:p w14:paraId="004E8C1D">
      <w:pPr>
        <w:spacing w:line="360" w:lineRule="auto"/>
        <w:ind w:firstLine="525" w:firstLineChars="250"/>
        <w:jc w:val="left"/>
        <w:rPr>
          <w:rFonts w:hint="eastAsia" w:hAnsi="宋体"/>
          <w:color w:val="auto"/>
        </w:rPr>
      </w:pPr>
      <w:r>
        <w:rPr>
          <w:rFonts w:hint="eastAsia" w:hAnsi="宋体"/>
          <w:color w:val="auto"/>
        </w:rPr>
        <w:t>（3） 农民工工资支付</w:t>
      </w:r>
    </w:p>
    <w:p w14:paraId="6061E011">
      <w:pPr>
        <w:spacing w:line="360" w:lineRule="auto"/>
        <w:ind w:firstLine="525" w:firstLineChars="250"/>
        <w:jc w:val="left"/>
        <w:rPr>
          <w:rFonts w:hint="eastAsia" w:hAnsi="宋体" w:cs="宋体"/>
          <w:color w:val="auto"/>
          <w:kern w:val="0"/>
        </w:rPr>
      </w:pPr>
      <w:r>
        <w:rPr>
          <w:rFonts w:hint="eastAsia" w:hAnsi="宋体" w:cs="宋体"/>
          <w:color w:val="auto"/>
          <w:kern w:val="0"/>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25DDDA79">
      <w:pPr>
        <w:spacing w:line="360" w:lineRule="auto"/>
        <w:ind w:firstLine="525" w:firstLineChars="250"/>
        <w:jc w:val="left"/>
        <w:rPr>
          <w:rFonts w:hint="eastAsia" w:hAnsi="宋体" w:cs="宋体"/>
          <w:color w:val="auto"/>
          <w:kern w:val="0"/>
        </w:rPr>
      </w:pPr>
      <w:r>
        <w:rPr>
          <w:rFonts w:hint="eastAsia" w:hAnsi="宋体" w:cs="宋体"/>
          <w:color w:val="auto"/>
          <w:kern w:val="0"/>
        </w:rPr>
        <w:t>2）人工费应与工程进度款分账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账出来的人工费转入承包人农民工工资支付专用账户，转入农民工工资支付专用账户环节必须有银行流水凭证。</w:t>
      </w:r>
    </w:p>
    <w:p w14:paraId="4B132434">
      <w:pPr>
        <w:spacing w:line="360" w:lineRule="auto"/>
        <w:ind w:firstLine="525" w:firstLineChars="250"/>
        <w:jc w:val="left"/>
        <w:rPr>
          <w:rFonts w:hint="eastAsia" w:hAnsi="宋体" w:cs="宋体"/>
          <w:color w:val="auto"/>
          <w:kern w:val="0"/>
        </w:rPr>
      </w:pPr>
      <w:r>
        <w:rPr>
          <w:rFonts w:hint="eastAsia" w:hAnsi="宋体" w:cs="宋体"/>
          <w:color w:val="auto"/>
          <w:kern w:val="0"/>
        </w:rPr>
        <w:t>3）发包人依据工程进度，审核承包人申报的工程进度款，按照与承包人约定的人工费支付比例20%（房建项目不少于20%，市政项目不少于15%），将人工费及时足额拨付至承包人的农民工工资专用账户，其余工程进度款项由发包人支付到承包人的单位基本户。</w:t>
      </w:r>
    </w:p>
    <w:p w14:paraId="3860CD56">
      <w:pPr>
        <w:spacing w:line="360" w:lineRule="auto"/>
        <w:ind w:firstLine="525" w:firstLineChars="250"/>
        <w:jc w:val="left"/>
        <w:rPr>
          <w:rFonts w:hint="eastAsia" w:hAnsi="宋体" w:cs="宋体"/>
          <w:color w:val="auto"/>
          <w:kern w:val="0"/>
        </w:rPr>
      </w:pPr>
      <w:r>
        <w:rPr>
          <w:rFonts w:hint="eastAsia" w:hAnsi="宋体" w:cs="宋体"/>
          <w:color w:val="auto"/>
          <w:kern w:val="0"/>
        </w:rPr>
        <w:t xml:space="preserve">4）工程建设领域总包单位对农民工工资支付负总责，推行分包单位农民工工资委托总包单位代发制度（以下简称总包代发制度）。工程建设项目实行总包代发制度的，总包单位与分包单位签订委托工资支付协议。 </w:t>
      </w:r>
    </w:p>
    <w:p w14:paraId="74B22C0A">
      <w:pPr>
        <w:spacing w:line="360" w:lineRule="auto"/>
        <w:ind w:firstLine="525" w:firstLineChars="250"/>
        <w:jc w:val="left"/>
        <w:rPr>
          <w:rFonts w:hint="eastAsia" w:hAnsi="宋体" w:cs="宋体"/>
          <w:color w:val="auto"/>
          <w:kern w:val="0"/>
        </w:rPr>
      </w:pPr>
      <w:r>
        <w:rPr>
          <w:rFonts w:hint="eastAsia" w:hAnsi="宋体" w:cs="宋体"/>
          <w:color w:val="auto"/>
          <w:kern w:val="0"/>
        </w:rPr>
        <w:t>5）凡未向付款单位提供农民工工资专用账户的，或者请款单位在申请工程进度款时未将人工费单列的，付款单位有权拒绝支付工程进度款。</w:t>
      </w:r>
    </w:p>
    <w:p w14:paraId="725066A1">
      <w:pPr>
        <w:spacing w:line="360" w:lineRule="auto"/>
        <w:ind w:firstLine="525" w:firstLineChars="250"/>
        <w:jc w:val="left"/>
        <w:rPr>
          <w:rFonts w:hint="eastAsia" w:hAnsi="宋体" w:cs="宋体"/>
          <w:color w:val="auto"/>
          <w:kern w:val="0"/>
        </w:rPr>
      </w:pPr>
      <w:r>
        <w:rPr>
          <w:rFonts w:hint="eastAsia" w:hAnsi="宋体" w:cs="宋体"/>
          <w:color w:val="auto"/>
          <w:kern w:val="0"/>
        </w:rPr>
        <w:t>6）人工费使用要求：专款专用，除发放农民工工资外，不得用于其他用途。</w:t>
      </w:r>
    </w:p>
    <w:p w14:paraId="117E1704">
      <w:pPr>
        <w:spacing w:line="360" w:lineRule="auto"/>
        <w:ind w:firstLine="525" w:firstLineChars="250"/>
        <w:jc w:val="left"/>
        <w:rPr>
          <w:rFonts w:hint="eastAsia" w:hAnsi="宋体" w:cs="宋体"/>
          <w:color w:val="auto"/>
          <w:kern w:val="0"/>
        </w:rPr>
      </w:pPr>
      <w:r>
        <w:rPr>
          <w:rFonts w:hint="eastAsia" w:hAnsi="宋体" w:cs="宋体"/>
          <w:color w:val="auto"/>
          <w:kern w:val="0"/>
        </w:rPr>
        <w:t>7）承包人将人工费支付情况定期报告发包人和监理单位，并提供相应的材料接受相关行政主管部门和劳动保障行政主管部门对此事项监管。</w:t>
      </w:r>
    </w:p>
    <w:p w14:paraId="2D45B6EA">
      <w:pPr>
        <w:autoSpaceDE w:val="0"/>
        <w:autoSpaceDN w:val="0"/>
        <w:adjustRightInd w:val="0"/>
        <w:spacing w:line="360" w:lineRule="auto"/>
        <w:ind w:firstLine="630" w:firstLineChars="300"/>
        <w:jc w:val="left"/>
        <w:rPr>
          <w:rFonts w:hint="eastAsia" w:hAnsi="宋体" w:cs="宋体"/>
          <w:color w:val="auto"/>
          <w:kern w:val="0"/>
        </w:rPr>
      </w:pPr>
      <w:r>
        <w:rPr>
          <w:rFonts w:hint="eastAsia" w:hAnsi="宋体" w:cs="宋体"/>
          <w:color w:val="auto"/>
          <w:kern w:val="0"/>
        </w:rPr>
        <w:t>8）人工费支付专用账户：××××公司农民工工资支付专用账户。账号：</w:t>
      </w:r>
      <w:r>
        <w:rPr>
          <w:rFonts w:hint="eastAsia" w:hAnsi="宋体" w:cs="宋体"/>
          <w:color w:val="auto"/>
          <w:kern w:val="0"/>
          <w:u w:val="single"/>
        </w:rPr>
        <w:t xml:space="preserve">  </w:t>
      </w:r>
      <w:r>
        <w:rPr>
          <w:rFonts w:hAnsi="宋体" w:cs="宋体"/>
          <w:color w:val="auto"/>
          <w:kern w:val="0"/>
          <w:u w:val="single"/>
        </w:rPr>
        <w:t xml:space="preserve"> </w:t>
      </w:r>
      <w:r>
        <w:rPr>
          <w:rFonts w:hint="eastAsia" w:hAnsi="宋体" w:cs="宋体"/>
          <w:color w:val="auto"/>
          <w:kern w:val="0"/>
          <w:u w:val="single"/>
        </w:rPr>
        <w:t xml:space="preserve">  </w:t>
      </w:r>
      <w:r>
        <w:rPr>
          <w:rFonts w:hAnsi="宋体" w:cs="宋体"/>
          <w:color w:val="auto"/>
          <w:kern w:val="0"/>
          <w:u w:val="single"/>
        </w:rPr>
        <w:t xml:space="preserve"> </w:t>
      </w:r>
      <w:r>
        <w:rPr>
          <w:rFonts w:hint="eastAsia" w:hAnsi="宋体" w:cs="宋体"/>
          <w:color w:val="auto"/>
          <w:kern w:val="0"/>
          <w:u w:val="single"/>
        </w:rPr>
        <w:t xml:space="preserve"> </w:t>
      </w:r>
      <w:r>
        <w:rPr>
          <w:rFonts w:hAnsi="宋体" w:cs="宋体"/>
          <w:color w:val="auto"/>
          <w:kern w:val="0"/>
          <w:u w:val="single"/>
        </w:rPr>
        <w:t xml:space="preserve">  </w:t>
      </w:r>
      <w:r>
        <w:rPr>
          <w:rFonts w:hint="eastAsia" w:hAnsi="宋体" w:cs="宋体"/>
          <w:color w:val="auto"/>
          <w:kern w:val="0"/>
          <w:u w:val="single"/>
        </w:rPr>
        <w:t xml:space="preserve">  </w:t>
      </w:r>
      <w:r>
        <w:rPr>
          <w:rFonts w:hAnsi="宋体" w:cs="宋体"/>
          <w:color w:val="auto"/>
          <w:kern w:val="0"/>
        </w:rPr>
        <w:t>。</w:t>
      </w:r>
    </w:p>
    <w:p w14:paraId="66870D4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12.4.6 支付分解表的编制</w:t>
      </w:r>
    </w:p>
    <w:p w14:paraId="6614D6DF">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（1）总价合同支付分解表的编制与审批：</w:t>
      </w:r>
      <w:r>
        <w:rPr>
          <w:rFonts w:hint="eastAsia" w:ascii="宋体" w:hAnsi="宋体" w:cs="宋体"/>
          <w:color w:val="auto"/>
          <w:szCs w:val="21"/>
          <w:u w:val="single"/>
        </w:rPr>
        <w:t xml:space="preserve">    /   </w:t>
      </w:r>
      <w:r>
        <w:rPr>
          <w:rFonts w:hint="eastAsia" w:ascii="宋体" w:hAnsi="宋体" w:cs="宋体"/>
          <w:color w:val="auto"/>
          <w:szCs w:val="21"/>
        </w:rPr>
        <w:t>。</w:t>
      </w:r>
    </w:p>
    <w:p w14:paraId="48841BCD">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hAnsi="宋体" w:cs="宋体"/>
          <w:color w:val="auto"/>
        </w:rPr>
        <w:t>单价合同的总价项目支付分解表的编制与审批：总价项目不采用支付分解表的方式计算，而按《建设工程工程量清单计价规范（</w:t>
      </w:r>
      <w:r>
        <w:rPr>
          <w:rFonts w:hAnsi="宋体"/>
          <w:color w:val="auto"/>
        </w:rPr>
        <w:t>GB50500-2013</w:t>
      </w:r>
      <w:r>
        <w:rPr>
          <w:rFonts w:hint="eastAsia" w:hAnsi="宋体" w:cs="宋体"/>
          <w:color w:val="auto"/>
        </w:rPr>
        <w:t>）广西壮族自治区实施细则》的规定执行。</w:t>
      </w:r>
    </w:p>
    <w:bookmarkEnd w:id="902"/>
    <w:p w14:paraId="0F2B6BCE">
      <w:pPr>
        <w:pStyle w:val="4"/>
        <w:spacing w:line="360" w:lineRule="auto"/>
        <w:ind w:firstLine="422" w:firstLineChars="200"/>
        <w:rPr>
          <w:rFonts w:hint="eastAsia" w:ascii="宋体" w:hAnsi="宋体" w:cs="宋体"/>
          <w:color w:val="auto"/>
          <w:sz w:val="21"/>
          <w:szCs w:val="21"/>
        </w:rPr>
      </w:pPr>
      <w:bookmarkStart w:id="1175" w:name="_Toc373227753"/>
      <w:bookmarkStart w:id="1176" w:name="_Toc389065318"/>
      <w:bookmarkStart w:id="1177" w:name="_Toc25063"/>
      <w:bookmarkStart w:id="1178" w:name="_Toc29298"/>
      <w:bookmarkStart w:id="1179" w:name="_Toc351203645"/>
      <w:bookmarkStart w:id="1180" w:name="_Toc373478400"/>
      <w:bookmarkStart w:id="1181" w:name="_Toc631"/>
      <w:bookmarkStart w:id="1182" w:name="_Toc6405"/>
      <w:bookmarkStart w:id="1183" w:name="_Toc6310"/>
      <w:bookmarkStart w:id="1184" w:name="_Toc4003"/>
      <w:bookmarkStart w:id="1185" w:name="_Toc486529011"/>
      <w:bookmarkStart w:id="1186" w:name="_Toc297123564"/>
      <w:bookmarkStart w:id="1187" w:name="_Toc296346720"/>
      <w:bookmarkStart w:id="1188" w:name="_Toc296944558"/>
      <w:bookmarkStart w:id="1189" w:name="_Toc297216223"/>
      <w:bookmarkStart w:id="1190" w:name="_Toc297120519"/>
      <w:bookmarkStart w:id="1191" w:name="_Toc297048405"/>
      <w:bookmarkStart w:id="1192" w:name="_Toc296891259"/>
      <w:bookmarkStart w:id="1193" w:name="_Toc300935015"/>
      <w:bookmarkStart w:id="1194" w:name="_Toc292559424"/>
      <w:bookmarkStart w:id="1195" w:name="_Toc296891047"/>
      <w:bookmarkStart w:id="1196" w:name="_Toc303539172"/>
      <w:bookmarkStart w:id="1197" w:name="_Toc304295593"/>
      <w:bookmarkStart w:id="1198" w:name="_Toc296503219"/>
      <w:bookmarkStart w:id="1199" w:name="_Toc296347218"/>
      <w:bookmarkStart w:id="1200" w:name="_Toc312678053"/>
      <w:bookmarkStart w:id="1201" w:name="_Toc292559929"/>
      <w:r>
        <w:rPr>
          <w:rFonts w:hint="eastAsia" w:ascii="宋体" w:hAnsi="宋体" w:cs="宋体"/>
          <w:color w:val="auto"/>
          <w:sz w:val="21"/>
          <w:szCs w:val="21"/>
        </w:rPr>
        <w:t>13. 验收和工程试车</w:t>
      </w:r>
      <w:bookmarkEnd w:id="1175"/>
      <w:bookmarkEnd w:id="1176"/>
      <w:bookmarkEnd w:id="1177"/>
      <w:bookmarkEnd w:id="1178"/>
      <w:bookmarkEnd w:id="1179"/>
      <w:bookmarkEnd w:id="1180"/>
      <w:bookmarkEnd w:id="1181"/>
      <w:bookmarkEnd w:id="1182"/>
      <w:bookmarkEnd w:id="1183"/>
      <w:bookmarkEnd w:id="1184"/>
      <w:bookmarkEnd w:id="1185"/>
    </w:p>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14:paraId="0FD379A2">
      <w:pPr>
        <w:pStyle w:val="5"/>
        <w:ind w:firstLine="422" w:firstLineChars="200"/>
        <w:rPr>
          <w:rFonts w:hint="eastAsia" w:ascii="宋体" w:hAnsi="宋体" w:cs="宋体"/>
          <w:color w:val="auto"/>
          <w:sz w:val="21"/>
          <w:szCs w:val="21"/>
        </w:rPr>
      </w:pPr>
      <w:bookmarkStart w:id="1202" w:name="_Toc5842"/>
      <w:bookmarkStart w:id="1203" w:name="_Toc373478401"/>
      <w:bookmarkStart w:id="1204" w:name="_Toc13920"/>
      <w:bookmarkStart w:id="1205" w:name="_Toc10796"/>
      <w:bookmarkStart w:id="1206" w:name="_Toc13448"/>
      <w:bookmarkStart w:id="1207" w:name="_Toc373227754"/>
      <w:bookmarkStart w:id="1208" w:name="_Toc389065319"/>
      <w:bookmarkStart w:id="1209" w:name="_Toc5844"/>
      <w:bookmarkStart w:id="1210" w:name="_Toc486529012"/>
      <w:bookmarkStart w:id="1211" w:name="_Toc3283"/>
      <w:r>
        <w:rPr>
          <w:rFonts w:hint="eastAsia" w:ascii="宋体" w:hAnsi="宋体" w:cs="宋体"/>
          <w:color w:val="auto"/>
          <w:sz w:val="21"/>
          <w:szCs w:val="21"/>
        </w:rPr>
        <w:t>13.1 分部分项工程验收</w:t>
      </w:r>
      <w:bookmarkEnd w:id="1202"/>
      <w:bookmarkEnd w:id="1203"/>
      <w:bookmarkEnd w:id="1204"/>
      <w:bookmarkEnd w:id="1205"/>
      <w:bookmarkEnd w:id="1206"/>
      <w:bookmarkEnd w:id="1207"/>
      <w:bookmarkEnd w:id="1208"/>
      <w:bookmarkEnd w:id="1209"/>
      <w:bookmarkEnd w:id="1210"/>
      <w:bookmarkEnd w:id="1211"/>
    </w:p>
    <w:p w14:paraId="3EEDED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48B87E8D">
      <w:pPr>
        <w:spacing w:line="360" w:lineRule="auto"/>
        <w:ind w:firstLine="420" w:firstLineChars="200"/>
        <w:rPr>
          <w:rFonts w:hint="eastAsia" w:ascii="宋体" w:hAnsi="宋体" w:cs="宋体"/>
          <w:b/>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48  </w:t>
      </w:r>
      <w:r>
        <w:rPr>
          <w:rFonts w:hint="eastAsia" w:ascii="宋体" w:hAnsi="宋体" w:cs="宋体"/>
          <w:color w:val="auto"/>
          <w:szCs w:val="21"/>
        </w:rPr>
        <w:t>小时。</w:t>
      </w:r>
    </w:p>
    <w:p w14:paraId="68DBB8AB">
      <w:pPr>
        <w:spacing w:line="360" w:lineRule="auto"/>
        <w:ind w:firstLine="420" w:firstLineChars="200"/>
        <w:rPr>
          <w:rFonts w:hint="eastAsia" w:ascii="宋体" w:hAnsi="宋体" w:cs="宋体"/>
          <w:color w:val="auto"/>
          <w:szCs w:val="21"/>
        </w:rPr>
      </w:pPr>
      <w:bookmarkStart w:id="1212" w:name="_Toc486529013"/>
      <w:bookmarkStart w:id="1213" w:name="_Toc389065320"/>
      <w:bookmarkStart w:id="1214" w:name="_Toc373227755"/>
      <w:bookmarkStart w:id="1215" w:name="_Toc373478402"/>
      <w:bookmarkStart w:id="1216" w:name="_Toc312678056"/>
      <w:bookmarkStart w:id="1217" w:name="_Toc304295596"/>
      <w:bookmarkStart w:id="1218" w:name="_Toc296503223"/>
      <w:bookmarkStart w:id="1219" w:name="_Toc303539173"/>
      <w:bookmarkStart w:id="1220" w:name="_Toc296891263"/>
      <w:bookmarkStart w:id="1221" w:name="_Toc297120523"/>
      <w:bookmarkStart w:id="1222" w:name="_Toc292559933"/>
      <w:bookmarkStart w:id="1223" w:name="_Toc292559428"/>
      <w:bookmarkStart w:id="1224" w:name="_Toc296944562"/>
      <w:bookmarkStart w:id="1225" w:name="_Toc297216224"/>
      <w:bookmarkStart w:id="1226" w:name="_Toc297123565"/>
      <w:bookmarkStart w:id="1227" w:name="_Toc296346724"/>
      <w:bookmarkStart w:id="1228" w:name="_Toc297048409"/>
      <w:bookmarkStart w:id="1229" w:name="_Toc296347222"/>
      <w:bookmarkStart w:id="1230" w:name="_Toc296891051"/>
      <w:bookmarkStart w:id="1231" w:name="_Toc300935016"/>
      <w:bookmarkStart w:id="1232" w:name="_Toc267251472"/>
      <w:bookmarkStart w:id="1233" w:name="_Toc267251473"/>
      <w:bookmarkStart w:id="1234" w:name="_Toc267251474"/>
      <w:bookmarkStart w:id="1235" w:name="_Toc267251475"/>
      <w:bookmarkStart w:id="1236" w:name="_Toc267251476"/>
      <w:bookmarkStart w:id="1237" w:name="_Toc267251470"/>
      <w:bookmarkStart w:id="1238" w:name="_Toc267251471"/>
      <w:r>
        <w:rPr>
          <w:rFonts w:hint="eastAsia" w:ascii="宋体" w:hAnsi="宋体" w:cs="宋体"/>
          <w:color w:val="auto"/>
          <w:szCs w:val="21"/>
        </w:rPr>
        <w:t>13.1.3中间验收</w:t>
      </w:r>
    </w:p>
    <w:p w14:paraId="504862F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本工程需要进行中间验收的部位如下：按国家有关验收规程执行。</w:t>
      </w:r>
    </w:p>
    <w:p w14:paraId="04099EB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当工程进度达到本款约定的中间验收部位时，承包人应当进行自检，并在中间验收前48小时以书面形式通知监理人、发包人验收。书面通知应包括中间验收的内容、验收时间和地点。承包人应当准备验收记录。只有监理人和发包人验收合格并在验收记录上签字后，承包人方可继续施工。验收不合格的，承包人在  48小时期限内进行修改后重新验收。</w:t>
      </w:r>
    </w:p>
    <w:p w14:paraId="00196A3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监理人或发包人不能按时进行验收的，应在验收前24小时以书面形式向承包人提出延期要求，延期不能超过48小时。监理人或发包人未能按本款约定的时限提出延期要求，又未按期进行验收的，承包人可自行组织验收，监理人必须认同验收记录。</w:t>
      </w:r>
    </w:p>
    <w:p w14:paraId="6A0C236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经监理人验收后工程质量符合约定的验收标准，但验收24小时后监理人仍不在验收记录上签字的，视为监理人已经认可验收记录，承包人可继续施工。</w:t>
      </w:r>
    </w:p>
    <w:p w14:paraId="6EB82B4B">
      <w:pPr>
        <w:pStyle w:val="5"/>
        <w:ind w:firstLine="422" w:firstLineChars="200"/>
        <w:rPr>
          <w:rFonts w:hint="eastAsia" w:ascii="宋体" w:hAnsi="宋体" w:cs="宋体"/>
          <w:color w:val="auto"/>
          <w:sz w:val="21"/>
          <w:szCs w:val="21"/>
        </w:rPr>
      </w:pPr>
      <w:bookmarkStart w:id="1239" w:name="_Toc19549"/>
      <w:bookmarkStart w:id="1240" w:name="_Toc13768"/>
      <w:bookmarkStart w:id="1241" w:name="_Toc25878"/>
      <w:bookmarkStart w:id="1242" w:name="_Toc15741"/>
      <w:bookmarkStart w:id="1243" w:name="_Toc21522"/>
      <w:bookmarkStart w:id="1244" w:name="_Toc9774"/>
      <w:r>
        <w:rPr>
          <w:rFonts w:hint="eastAsia" w:ascii="宋体" w:hAnsi="宋体" w:cs="宋体"/>
          <w:color w:val="auto"/>
          <w:sz w:val="21"/>
          <w:szCs w:val="21"/>
        </w:rPr>
        <w:t>13.2 竣工验收</w:t>
      </w:r>
      <w:bookmarkEnd w:id="1212"/>
      <w:bookmarkEnd w:id="1213"/>
      <w:bookmarkEnd w:id="1214"/>
      <w:bookmarkEnd w:id="1215"/>
      <w:bookmarkEnd w:id="1239"/>
      <w:bookmarkEnd w:id="1240"/>
      <w:bookmarkEnd w:id="1241"/>
      <w:bookmarkEnd w:id="1242"/>
      <w:bookmarkEnd w:id="1243"/>
      <w:bookmarkEnd w:id="1244"/>
    </w:p>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14:paraId="2A61DF26">
      <w:pPr>
        <w:spacing w:line="360" w:lineRule="auto"/>
        <w:ind w:firstLine="420" w:firstLineChars="200"/>
        <w:rPr>
          <w:rFonts w:hint="eastAsia" w:ascii="宋体" w:hAnsi="宋体" w:cs="宋体"/>
          <w:color w:val="auto"/>
          <w:szCs w:val="21"/>
        </w:rPr>
      </w:pPr>
      <w:bookmarkStart w:id="1245" w:name="_Toc280868704"/>
      <w:bookmarkStart w:id="1246" w:name="_Toc280868705"/>
      <w:bookmarkStart w:id="1247" w:name="_Toc280868706"/>
      <w:bookmarkStart w:id="1248" w:name="_Toc280868707"/>
      <w:bookmarkStart w:id="1249" w:name="_Toc280868708"/>
      <w:bookmarkStart w:id="1250" w:name="_Toc280868709"/>
      <w:r>
        <w:rPr>
          <w:rFonts w:hint="eastAsia" w:ascii="宋体" w:hAnsi="宋体" w:cs="宋体"/>
          <w:color w:val="auto"/>
          <w:szCs w:val="21"/>
        </w:rPr>
        <w:t>13.2.1竣工验收条件</w:t>
      </w:r>
    </w:p>
    <w:p w14:paraId="07BA74D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（3）承包人负责整理和提交的竣工验收资料应当符合工程所在地相关行政主管部门和（或）城市建设档案管理机构有关施工资料的要求，具体内容包括：</w:t>
      </w:r>
      <w:r>
        <w:rPr>
          <w:rFonts w:hint="eastAsia" w:ascii="宋体" w:hAnsi="宋体" w:cs="宋体"/>
          <w:color w:val="auto"/>
          <w:szCs w:val="21"/>
          <w:u w:val="single"/>
        </w:rPr>
        <w:t xml:space="preserve"> 参照桂林市城建馆存档要求及发包人需要 </w:t>
      </w:r>
      <w:r>
        <w:rPr>
          <w:rFonts w:hint="eastAsia" w:ascii="宋体" w:hAnsi="宋体" w:cs="宋体"/>
          <w:color w:val="auto"/>
          <w:szCs w:val="21"/>
        </w:rPr>
        <w:t>。</w:t>
      </w:r>
    </w:p>
    <w:p w14:paraId="17224E1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竣工验收资料的份数：</w:t>
      </w:r>
      <w:r>
        <w:rPr>
          <w:rFonts w:hint="eastAsia" w:ascii="宋体" w:hAnsi="宋体" w:cs="宋体"/>
          <w:color w:val="auto"/>
          <w:szCs w:val="21"/>
          <w:u w:val="single"/>
        </w:rPr>
        <w:t xml:space="preserve"> 一式六套 </w:t>
      </w:r>
      <w:r>
        <w:rPr>
          <w:rFonts w:hint="eastAsia" w:ascii="宋体" w:hAnsi="宋体" w:cs="宋体"/>
          <w:color w:val="auto"/>
          <w:szCs w:val="21"/>
        </w:rPr>
        <w:t>。</w:t>
      </w:r>
    </w:p>
    <w:p w14:paraId="1A1B130A">
      <w:pPr>
        <w:spacing w:line="360" w:lineRule="auto"/>
        <w:ind w:firstLine="420" w:firstLineChars="200"/>
        <w:rPr>
          <w:rFonts w:hint="eastAsia" w:ascii="宋体" w:hAnsi="宋体" w:cs="宋体"/>
          <w:color w:val="auto"/>
          <w:szCs w:val="21"/>
        </w:rPr>
      </w:pPr>
      <w:r>
        <w:rPr>
          <w:rFonts w:hint="eastAsia" w:ascii="宋体" w:hAnsi="宋体" w:cs="宋体"/>
          <w:bCs/>
          <w:color w:val="auto"/>
          <w:szCs w:val="21"/>
        </w:rPr>
        <w:t>承包人提供竣工图的约定：</w:t>
      </w:r>
      <w:r>
        <w:rPr>
          <w:rFonts w:hint="eastAsia" w:ascii="宋体" w:hAnsi="宋体" w:cs="宋体"/>
          <w:bCs/>
          <w:color w:val="auto"/>
          <w:szCs w:val="21"/>
          <w:u w:val="single"/>
        </w:rPr>
        <w:t xml:space="preserve">    竣工验收正式通过后15天，提供竣工图的数量为6套  </w:t>
      </w:r>
      <w:r>
        <w:rPr>
          <w:rFonts w:hint="eastAsia" w:ascii="宋体" w:hAnsi="宋体" w:cs="宋体"/>
          <w:bCs/>
          <w:color w:val="auto"/>
          <w:szCs w:val="21"/>
        </w:rPr>
        <w:t>。</w:t>
      </w:r>
    </w:p>
    <w:p w14:paraId="1BB6271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13.2.2竣工验收程序</w:t>
      </w:r>
    </w:p>
    <w:bookmarkEnd w:id="1245"/>
    <w:p w14:paraId="3605BF79">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kern w:val="0"/>
          <w:szCs w:val="21"/>
        </w:rPr>
        <w:t>关于竣工验收程序的约定：</w:t>
      </w:r>
      <w:r>
        <w:rPr>
          <w:rFonts w:hint="eastAsia" w:ascii="宋体" w:hAnsi="宋体" w:cs="宋体"/>
          <w:color w:val="auto"/>
          <w:szCs w:val="21"/>
          <w:u w:val="single"/>
        </w:rPr>
        <w:t xml:space="preserve">            /             </w:t>
      </w:r>
      <w:r>
        <w:rPr>
          <w:rFonts w:hint="eastAsia" w:ascii="宋体" w:hAnsi="宋体" w:cs="宋体"/>
          <w:color w:val="auto"/>
          <w:szCs w:val="21"/>
        </w:rPr>
        <w:t>。</w:t>
      </w:r>
    </w:p>
    <w:p w14:paraId="158F47F2">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发包人不按照本项约定组织竣工验收、颁发工程验收证书的违约金的计算方法：</w:t>
      </w:r>
      <w:r>
        <w:rPr>
          <w:rFonts w:hint="eastAsia" w:ascii="宋体" w:hAnsi="宋体" w:cs="宋体"/>
          <w:color w:val="auto"/>
          <w:szCs w:val="21"/>
          <w:u w:val="single"/>
        </w:rPr>
        <w:t xml:space="preserve">   /   </w:t>
      </w:r>
      <w:r>
        <w:rPr>
          <w:rFonts w:hint="eastAsia" w:ascii="宋体" w:hAnsi="宋体" w:cs="宋体"/>
          <w:color w:val="auto"/>
          <w:szCs w:val="21"/>
        </w:rPr>
        <w:t>。</w:t>
      </w:r>
    </w:p>
    <w:bookmarkEnd w:id="1246"/>
    <w:p w14:paraId="34C7D13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13.2.5移交、接收全部与部分工程</w:t>
      </w:r>
    </w:p>
    <w:bookmarkEnd w:id="1247"/>
    <w:p w14:paraId="70B26E64">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承包人向发包人移交工程的期限：</w:t>
      </w:r>
      <w:r>
        <w:rPr>
          <w:rFonts w:hint="eastAsia" w:ascii="宋体" w:hAnsi="宋体" w:cs="宋体"/>
          <w:color w:val="auto"/>
          <w:szCs w:val="21"/>
          <w:u w:val="single"/>
        </w:rPr>
        <w:t xml:space="preserve"> 同通用条款  </w:t>
      </w:r>
      <w:r>
        <w:rPr>
          <w:rFonts w:hint="eastAsia" w:ascii="宋体" w:hAnsi="宋体" w:cs="宋体"/>
          <w:color w:val="auto"/>
          <w:szCs w:val="21"/>
        </w:rPr>
        <w:t>。</w:t>
      </w:r>
    </w:p>
    <w:p w14:paraId="0841E7BF">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发包人未按本合同约定接收全部或部分工程的，违约金的计算方法为：/</w:t>
      </w:r>
      <w:r>
        <w:rPr>
          <w:rFonts w:hint="eastAsia" w:ascii="宋体" w:hAnsi="宋体" w:cs="宋体"/>
          <w:color w:val="auto"/>
          <w:szCs w:val="21"/>
          <w:u w:val="single"/>
        </w:rPr>
        <w:t xml:space="preserve"> </w:t>
      </w:r>
      <w:r>
        <w:rPr>
          <w:rFonts w:hint="eastAsia" w:ascii="宋体" w:hAnsi="宋体" w:cs="宋体"/>
          <w:color w:val="auto"/>
          <w:szCs w:val="21"/>
        </w:rPr>
        <w:t>。</w:t>
      </w:r>
    </w:p>
    <w:p w14:paraId="63642FC6">
      <w:pPr>
        <w:pStyle w:val="83"/>
        <w:autoSpaceDE w:val="0"/>
        <w:autoSpaceDN w:val="0"/>
        <w:spacing w:line="360" w:lineRule="auto"/>
        <w:ind w:firstLine="400"/>
        <w:jc w:val="left"/>
        <w:rPr>
          <w:rFonts w:hint="eastAsia" w:cs="宋体"/>
          <w:color w:val="auto"/>
        </w:rPr>
      </w:pPr>
      <w:r>
        <w:rPr>
          <w:rFonts w:hint="eastAsia" w:cs="宋体"/>
          <w:color w:val="auto"/>
        </w:rPr>
        <w:t>承包人未按时移交工程的，违约金的计算方法为：</w:t>
      </w:r>
      <w:r>
        <w:rPr>
          <w:rFonts w:hint="eastAsia" w:cs="宋体"/>
          <w:color w:val="auto"/>
          <w:spacing w:val="-6"/>
          <w:u w:val="single"/>
        </w:rPr>
        <w:t xml:space="preserve">每拖延一天工期支付给发包人合同金额的千分之二/天的违约金，最高限额为合同价扣除发包人材料价款、暂估专业工程、暂列金额后的3% </w:t>
      </w:r>
      <w:r>
        <w:rPr>
          <w:rFonts w:hint="eastAsia" w:cs="宋体"/>
          <w:color w:val="auto"/>
        </w:rPr>
        <w:t>。</w:t>
      </w:r>
    </w:p>
    <w:bookmarkEnd w:id="1248"/>
    <w:p w14:paraId="1589B146">
      <w:pPr>
        <w:pStyle w:val="5"/>
        <w:ind w:firstLine="422" w:firstLineChars="200"/>
        <w:rPr>
          <w:rFonts w:hint="eastAsia" w:ascii="宋体" w:hAnsi="宋体" w:cs="宋体"/>
          <w:color w:val="auto"/>
          <w:sz w:val="21"/>
          <w:szCs w:val="21"/>
        </w:rPr>
      </w:pPr>
      <w:bookmarkStart w:id="1251" w:name="_Toc13260"/>
      <w:bookmarkStart w:id="1252" w:name="_Toc373478403"/>
      <w:bookmarkStart w:id="1253" w:name="_Toc373227756"/>
      <w:bookmarkStart w:id="1254" w:name="_Toc389065321"/>
      <w:bookmarkStart w:id="1255" w:name="_Toc486529014"/>
      <w:bookmarkStart w:id="1256" w:name="_Toc18947"/>
      <w:bookmarkStart w:id="1257" w:name="_Toc21046"/>
      <w:bookmarkStart w:id="1258" w:name="_Toc16487"/>
      <w:bookmarkStart w:id="1259" w:name="_Toc5303"/>
      <w:bookmarkStart w:id="1260" w:name="_Toc31434"/>
      <w:r>
        <w:rPr>
          <w:rFonts w:hint="eastAsia" w:ascii="宋体" w:hAnsi="宋体" w:cs="宋体"/>
          <w:color w:val="auto"/>
          <w:sz w:val="21"/>
          <w:szCs w:val="21"/>
        </w:rPr>
        <w:t>13.3 工程试车</w:t>
      </w:r>
      <w:bookmarkEnd w:id="1251"/>
      <w:bookmarkEnd w:id="1252"/>
      <w:bookmarkEnd w:id="1253"/>
      <w:bookmarkEnd w:id="1254"/>
      <w:bookmarkEnd w:id="1255"/>
      <w:bookmarkEnd w:id="1256"/>
      <w:bookmarkEnd w:id="1257"/>
      <w:bookmarkEnd w:id="1258"/>
      <w:bookmarkEnd w:id="1259"/>
      <w:bookmarkEnd w:id="1260"/>
    </w:p>
    <w:bookmarkEnd w:id="1249"/>
    <w:p w14:paraId="5E6284F2">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13.3.1 试车程序</w:t>
      </w:r>
    </w:p>
    <w:p w14:paraId="049332CD">
      <w:pPr>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工程试车内容：</w:t>
      </w:r>
      <w:r>
        <w:rPr>
          <w:rFonts w:hint="eastAsia" w:ascii="宋体" w:hAnsi="宋体" w:cs="宋体"/>
          <w:color w:val="auto"/>
          <w:szCs w:val="21"/>
          <w:u w:val="single"/>
        </w:rPr>
        <w:t xml:space="preserve">            /              </w:t>
      </w:r>
      <w:r>
        <w:rPr>
          <w:rFonts w:hint="eastAsia" w:ascii="宋体" w:hAnsi="宋体" w:cs="宋体"/>
          <w:color w:val="auto"/>
          <w:szCs w:val="21"/>
        </w:rPr>
        <w:t>。</w:t>
      </w:r>
    </w:p>
    <w:p w14:paraId="1E1091C1">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（1）单机无负荷试车费用由</w:t>
      </w:r>
      <w:r>
        <w:rPr>
          <w:rFonts w:hint="eastAsia" w:ascii="宋体" w:hAnsi="宋体" w:cs="宋体"/>
          <w:color w:val="auto"/>
          <w:szCs w:val="21"/>
          <w:u w:val="single"/>
        </w:rPr>
        <w:t xml:space="preserve">   承包人   </w:t>
      </w:r>
      <w:r>
        <w:rPr>
          <w:rFonts w:hint="eastAsia" w:ascii="宋体" w:hAnsi="宋体" w:cs="宋体"/>
          <w:color w:val="auto"/>
          <w:kern w:val="0"/>
          <w:szCs w:val="21"/>
        </w:rPr>
        <w:t>承担；</w:t>
      </w:r>
    </w:p>
    <w:p w14:paraId="7CB46430">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（2）无负荷联动试车费用由</w:t>
      </w:r>
      <w:r>
        <w:rPr>
          <w:rFonts w:hint="eastAsia" w:ascii="宋体" w:hAnsi="宋体" w:cs="宋体"/>
          <w:color w:val="auto"/>
          <w:szCs w:val="21"/>
          <w:u w:val="single"/>
        </w:rPr>
        <w:t xml:space="preserve">   承包人   </w:t>
      </w:r>
      <w:r>
        <w:rPr>
          <w:rFonts w:hint="eastAsia" w:ascii="宋体" w:hAnsi="宋体" w:cs="宋体"/>
          <w:color w:val="auto"/>
          <w:kern w:val="0"/>
          <w:szCs w:val="21"/>
        </w:rPr>
        <w:t>承担。</w:t>
      </w:r>
    </w:p>
    <w:p w14:paraId="2F7485CA">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13.3.3 投料试车</w:t>
      </w:r>
    </w:p>
    <w:p w14:paraId="243D7611">
      <w:pPr>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关于投料试车相关事项的约定：</w:t>
      </w:r>
      <w:r>
        <w:rPr>
          <w:rFonts w:hint="eastAsia" w:ascii="宋体" w:hAnsi="宋体" w:cs="宋体"/>
          <w:color w:val="auto"/>
          <w:szCs w:val="21"/>
          <w:u w:val="single"/>
        </w:rPr>
        <w:t xml:space="preserve"> 投料试运行应在工程竣工验收后由发包人负责，如发包人要求在工程竣工验收前进行或需要承包人配合时，应征得承包人同意，另行签订补充协议  </w:t>
      </w:r>
      <w:r>
        <w:rPr>
          <w:rFonts w:hint="eastAsia" w:ascii="宋体" w:hAnsi="宋体" w:cs="宋体"/>
          <w:color w:val="auto"/>
          <w:szCs w:val="21"/>
        </w:rPr>
        <w:t>。</w:t>
      </w:r>
    </w:p>
    <w:p w14:paraId="64E7424A">
      <w:pPr>
        <w:pStyle w:val="5"/>
        <w:ind w:firstLine="422" w:firstLineChars="200"/>
        <w:rPr>
          <w:rFonts w:hint="eastAsia" w:ascii="宋体" w:hAnsi="宋体" w:cs="宋体"/>
          <w:color w:val="auto"/>
          <w:sz w:val="21"/>
          <w:szCs w:val="21"/>
        </w:rPr>
      </w:pPr>
      <w:bookmarkStart w:id="1261" w:name="_Toc8579"/>
      <w:bookmarkStart w:id="1262" w:name="_Toc373478404"/>
      <w:bookmarkStart w:id="1263" w:name="_Toc3656"/>
      <w:bookmarkStart w:id="1264" w:name="_Toc486529015"/>
      <w:bookmarkStart w:id="1265" w:name="_Toc23531"/>
      <w:bookmarkStart w:id="1266" w:name="_Toc21155"/>
      <w:bookmarkStart w:id="1267" w:name="_Toc373227757"/>
      <w:bookmarkStart w:id="1268" w:name="_Toc25065"/>
      <w:bookmarkStart w:id="1269" w:name="_Toc389065322"/>
      <w:bookmarkStart w:id="1270" w:name="_Toc7690"/>
      <w:r>
        <w:rPr>
          <w:rFonts w:hint="eastAsia" w:ascii="宋体" w:hAnsi="宋体" w:cs="宋体"/>
          <w:color w:val="auto"/>
          <w:sz w:val="21"/>
          <w:szCs w:val="21"/>
        </w:rPr>
        <w:t>13.6 竣工退场</w:t>
      </w:r>
      <w:bookmarkEnd w:id="1261"/>
      <w:bookmarkEnd w:id="1262"/>
      <w:bookmarkEnd w:id="1263"/>
      <w:bookmarkEnd w:id="1264"/>
      <w:bookmarkEnd w:id="1265"/>
      <w:bookmarkEnd w:id="1266"/>
      <w:bookmarkEnd w:id="1267"/>
      <w:bookmarkEnd w:id="1268"/>
      <w:bookmarkEnd w:id="1269"/>
      <w:bookmarkEnd w:id="1270"/>
    </w:p>
    <w:p w14:paraId="16E7021A">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13.6.1 竣工退场</w:t>
      </w:r>
    </w:p>
    <w:p w14:paraId="37486488">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承包人完成竣工退场的期限：</w:t>
      </w:r>
      <w:r>
        <w:rPr>
          <w:rFonts w:hint="eastAsia" w:ascii="宋体" w:hAnsi="宋体" w:cs="宋体"/>
          <w:color w:val="auto"/>
          <w:szCs w:val="21"/>
          <w:u w:val="single"/>
        </w:rPr>
        <w:t xml:space="preserve"> 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 </w:t>
      </w:r>
      <w:r>
        <w:rPr>
          <w:rFonts w:hint="eastAsia" w:ascii="宋体" w:hAnsi="宋体" w:cs="宋体"/>
          <w:color w:val="auto"/>
          <w:kern w:val="0"/>
          <w:szCs w:val="21"/>
        </w:rPr>
        <w:t>。</w:t>
      </w:r>
    </w:p>
    <w:p w14:paraId="6F457B03">
      <w:pPr>
        <w:pStyle w:val="4"/>
        <w:spacing w:line="360" w:lineRule="auto"/>
        <w:ind w:firstLine="422" w:firstLineChars="200"/>
        <w:rPr>
          <w:rFonts w:hint="eastAsia" w:ascii="宋体" w:hAnsi="宋体" w:cs="宋体"/>
          <w:color w:val="auto"/>
          <w:sz w:val="21"/>
          <w:szCs w:val="21"/>
        </w:rPr>
      </w:pPr>
      <w:bookmarkStart w:id="1271" w:name="_Toc26970"/>
      <w:bookmarkStart w:id="1272" w:name="_Toc11993"/>
      <w:bookmarkStart w:id="1273" w:name="_Toc28677"/>
      <w:bookmarkStart w:id="1274" w:name="_Toc351203646"/>
      <w:bookmarkStart w:id="1275" w:name="_Toc30720"/>
      <w:bookmarkStart w:id="1276" w:name="_Toc486529016"/>
      <w:bookmarkStart w:id="1277" w:name="_Toc5781"/>
      <w:bookmarkStart w:id="1278" w:name="_Toc373478405"/>
      <w:bookmarkStart w:id="1279" w:name="_Toc389065323"/>
      <w:bookmarkStart w:id="1280" w:name="_Toc373227758"/>
      <w:bookmarkStart w:id="1281" w:name="_Toc7179"/>
      <w:r>
        <w:rPr>
          <w:rFonts w:hint="eastAsia" w:ascii="宋体" w:hAnsi="宋体" w:cs="宋体"/>
          <w:color w:val="auto"/>
          <w:sz w:val="21"/>
          <w:szCs w:val="21"/>
        </w:rPr>
        <w:t>14. 竣工结算</w:t>
      </w:r>
      <w:bookmarkEnd w:id="1271"/>
      <w:bookmarkEnd w:id="1272"/>
      <w:bookmarkEnd w:id="1273"/>
      <w:bookmarkEnd w:id="1274"/>
      <w:bookmarkEnd w:id="1275"/>
      <w:bookmarkEnd w:id="1276"/>
      <w:bookmarkEnd w:id="1277"/>
      <w:bookmarkEnd w:id="1278"/>
      <w:bookmarkEnd w:id="1279"/>
      <w:bookmarkEnd w:id="1280"/>
      <w:bookmarkEnd w:id="1281"/>
    </w:p>
    <w:p w14:paraId="578D187A">
      <w:pPr>
        <w:pStyle w:val="5"/>
        <w:ind w:firstLine="422" w:firstLineChars="200"/>
        <w:rPr>
          <w:rFonts w:hint="eastAsia" w:ascii="宋体" w:hAnsi="宋体" w:cs="宋体"/>
          <w:color w:val="auto"/>
          <w:sz w:val="21"/>
          <w:szCs w:val="21"/>
        </w:rPr>
      </w:pPr>
      <w:bookmarkStart w:id="1282" w:name="_Toc373227759"/>
      <w:bookmarkStart w:id="1283" w:name="_Toc373478406"/>
      <w:bookmarkStart w:id="1284" w:name="_Toc29360"/>
      <w:bookmarkStart w:id="1285" w:name="_Toc11112"/>
      <w:bookmarkStart w:id="1286" w:name="_Toc389065324"/>
      <w:bookmarkStart w:id="1287" w:name="_Toc11718"/>
      <w:bookmarkStart w:id="1288" w:name="_Toc11431"/>
      <w:bookmarkStart w:id="1289" w:name="_Toc29751"/>
      <w:bookmarkStart w:id="1290" w:name="_Toc486529017"/>
      <w:bookmarkStart w:id="1291" w:name="_Toc8035"/>
      <w:r>
        <w:rPr>
          <w:rFonts w:hint="eastAsia" w:ascii="宋体" w:hAnsi="宋体" w:cs="宋体"/>
          <w:color w:val="auto"/>
          <w:sz w:val="21"/>
          <w:szCs w:val="21"/>
        </w:rPr>
        <w:t>14.1 竣工付款申请</w:t>
      </w:r>
      <w:bookmarkEnd w:id="1282"/>
      <w:bookmarkEnd w:id="1283"/>
      <w:bookmarkEnd w:id="1284"/>
      <w:bookmarkEnd w:id="1285"/>
      <w:bookmarkEnd w:id="1286"/>
      <w:bookmarkEnd w:id="1287"/>
      <w:bookmarkEnd w:id="1288"/>
      <w:bookmarkEnd w:id="1289"/>
      <w:bookmarkEnd w:id="1290"/>
      <w:bookmarkEnd w:id="1291"/>
    </w:p>
    <w:p w14:paraId="5AF0D9D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承包人提交竣工付款申请单的期限：</w:t>
      </w:r>
      <w:r>
        <w:rPr>
          <w:rFonts w:hint="eastAsia" w:ascii="宋体" w:hAnsi="宋体" w:cs="宋体"/>
          <w:color w:val="auto"/>
          <w:szCs w:val="21"/>
          <w:u w:val="single"/>
        </w:rPr>
        <w:t>竣工验收合格后28天内</w:t>
      </w:r>
      <w:r>
        <w:rPr>
          <w:rFonts w:hint="eastAsia" w:ascii="宋体" w:hAnsi="宋体" w:cs="宋体"/>
          <w:color w:val="auto"/>
          <w:szCs w:val="21"/>
        </w:rPr>
        <w:t>。</w:t>
      </w:r>
    </w:p>
    <w:p w14:paraId="64E2A915">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竣工付款申请单应包括的内容：</w:t>
      </w:r>
      <w:r>
        <w:rPr>
          <w:rFonts w:hint="eastAsia" w:ascii="宋体" w:hAnsi="宋体" w:cs="宋体"/>
          <w:color w:val="auto"/>
          <w:szCs w:val="21"/>
          <w:u w:val="single"/>
        </w:rPr>
        <w:t>竣工结算由承包人一次性提交相关结算资料（包括但不限于施工合同、工程量计算书、结算书、变更设计通知单、签证单、竣工图、有关材料价格调整的依据、有关工期调整的依据等）报监理初审，监理初审后报发包人委托有资质的造价咨询机构审核，审核过程中不再提出补充或变更资料的要求，送审工程量及单价不再增加。结算时其送审结算总价不能超过签约合同价（除暂列金额、暂估价）的10%，乙方应充分考虑风险因素，超过结算标准的部分由乙方自行承担。</w:t>
      </w:r>
    </w:p>
    <w:p w14:paraId="667D7480">
      <w:pPr>
        <w:pStyle w:val="5"/>
        <w:ind w:firstLine="422" w:firstLineChars="200"/>
        <w:rPr>
          <w:rFonts w:hint="eastAsia" w:ascii="宋体" w:hAnsi="宋体" w:cs="宋体"/>
          <w:color w:val="auto"/>
          <w:sz w:val="21"/>
          <w:szCs w:val="21"/>
        </w:rPr>
      </w:pPr>
      <w:bookmarkStart w:id="1292" w:name="_Toc4170"/>
      <w:bookmarkStart w:id="1293" w:name="_Toc19536"/>
      <w:bookmarkStart w:id="1294" w:name="_Toc389065325"/>
      <w:bookmarkStart w:id="1295" w:name="_Toc16601"/>
      <w:bookmarkStart w:id="1296" w:name="_Toc373227760"/>
      <w:bookmarkStart w:id="1297" w:name="_Toc373478407"/>
      <w:bookmarkStart w:id="1298" w:name="_Toc2691"/>
      <w:bookmarkStart w:id="1299" w:name="_Toc486529018"/>
      <w:bookmarkStart w:id="1300" w:name="_Toc7646"/>
      <w:bookmarkStart w:id="1301" w:name="_Toc9242"/>
      <w:r>
        <w:rPr>
          <w:rFonts w:hint="eastAsia" w:ascii="宋体" w:hAnsi="宋体" w:cs="宋体"/>
          <w:color w:val="auto"/>
          <w:sz w:val="21"/>
          <w:szCs w:val="21"/>
        </w:rPr>
        <w:t>14.2 竣工结算审核</w:t>
      </w:r>
      <w:bookmarkEnd w:id="1292"/>
      <w:bookmarkEnd w:id="1293"/>
      <w:bookmarkEnd w:id="1294"/>
      <w:bookmarkEnd w:id="1295"/>
      <w:bookmarkEnd w:id="1296"/>
      <w:bookmarkEnd w:id="1297"/>
      <w:bookmarkEnd w:id="1298"/>
      <w:bookmarkEnd w:id="1299"/>
      <w:bookmarkEnd w:id="1300"/>
      <w:bookmarkEnd w:id="1301"/>
    </w:p>
    <w:p w14:paraId="4A05063A">
      <w:pPr>
        <w:spacing w:line="360" w:lineRule="auto"/>
        <w:ind w:firstLine="420" w:firstLineChars="200"/>
        <w:jc w:val="left"/>
        <w:rPr>
          <w:color w:val="auto"/>
          <w:szCs w:val="21"/>
        </w:rPr>
      </w:pPr>
      <w:r>
        <w:rPr>
          <w:rFonts w:hint="eastAsia" w:hAnsi="宋体" w:cs="宋体"/>
          <w:color w:val="auto"/>
          <w:szCs w:val="21"/>
        </w:rPr>
        <w:t>发包人审批竣工付款申请单的期限：</w:t>
      </w:r>
    </w:p>
    <w:tbl>
      <w:tblPr>
        <w:tblStyle w:val="4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8B6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DD0FD68">
            <w:pPr>
              <w:spacing w:line="360" w:lineRule="auto"/>
              <w:rPr>
                <w:color w:val="auto"/>
                <w:szCs w:val="21"/>
              </w:rPr>
            </w:pPr>
          </w:p>
        </w:tc>
        <w:tc>
          <w:tcPr>
            <w:tcW w:w="2466" w:type="dxa"/>
            <w:vAlign w:val="center"/>
          </w:tcPr>
          <w:p w14:paraId="55968580">
            <w:pPr>
              <w:spacing w:line="360" w:lineRule="auto"/>
              <w:ind w:firstLine="27" w:firstLineChars="13"/>
              <w:jc w:val="center"/>
              <w:rPr>
                <w:color w:val="auto"/>
                <w:szCs w:val="21"/>
              </w:rPr>
            </w:pPr>
            <w:r>
              <w:rPr>
                <w:rFonts w:hint="eastAsia" w:hAnsi="宋体" w:cs="宋体"/>
                <w:color w:val="auto"/>
                <w:szCs w:val="21"/>
              </w:rPr>
              <w:t>工程竣工结算报告金额</w:t>
            </w:r>
          </w:p>
        </w:tc>
        <w:tc>
          <w:tcPr>
            <w:tcW w:w="5967" w:type="dxa"/>
            <w:vAlign w:val="center"/>
          </w:tcPr>
          <w:p w14:paraId="0A8C701F">
            <w:pPr>
              <w:spacing w:line="360" w:lineRule="auto"/>
              <w:ind w:firstLine="441" w:firstLineChars="210"/>
              <w:jc w:val="center"/>
              <w:rPr>
                <w:color w:val="auto"/>
                <w:szCs w:val="21"/>
              </w:rPr>
            </w:pPr>
            <w:r>
              <w:rPr>
                <w:rFonts w:hint="eastAsia" w:hAnsi="宋体" w:cs="宋体"/>
                <w:color w:val="auto"/>
                <w:szCs w:val="21"/>
              </w:rPr>
              <w:t>发包人审查时间</w:t>
            </w:r>
          </w:p>
        </w:tc>
      </w:tr>
      <w:tr w14:paraId="7C78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A82ABF3">
            <w:pPr>
              <w:spacing w:line="360" w:lineRule="auto"/>
              <w:jc w:val="center"/>
              <w:rPr>
                <w:color w:val="auto"/>
                <w:szCs w:val="21"/>
              </w:rPr>
            </w:pPr>
            <w:r>
              <w:rPr>
                <w:color w:val="auto"/>
                <w:szCs w:val="21"/>
              </w:rPr>
              <w:t>1</w:t>
            </w:r>
          </w:p>
        </w:tc>
        <w:tc>
          <w:tcPr>
            <w:tcW w:w="2466" w:type="dxa"/>
            <w:vAlign w:val="center"/>
          </w:tcPr>
          <w:p w14:paraId="520B2FF1">
            <w:pPr>
              <w:spacing w:line="360" w:lineRule="auto"/>
              <w:ind w:firstLine="27" w:firstLineChars="13"/>
              <w:jc w:val="center"/>
              <w:rPr>
                <w:color w:val="auto"/>
                <w:szCs w:val="21"/>
              </w:rPr>
            </w:pPr>
            <w:r>
              <w:rPr>
                <w:color w:val="auto"/>
                <w:szCs w:val="21"/>
              </w:rPr>
              <w:t>500</w:t>
            </w:r>
            <w:r>
              <w:rPr>
                <w:rFonts w:hint="eastAsia" w:hAnsi="宋体" w:cs="宋体"/>
                <w:color w:val="auto"/>
                <w:szCs w:val="21"/>
              </w:rPr>
              <w:t>万元以下</w:t>
            </w:r>
          </w:p>
        </w:tc>
        <w:tc>
          <w:tcPr>
            <w:tcW w:w="5967" w:type="dxa"/>
            <w:vAlign w:val="center"/>
          </w:tcPr>
          <w:p w14:paraId="123AFFE7">
            <w:pPr>
              <w:spacing w:line="360" w:lineRule="auto"/>
              <w:ind w:firstLine="441" w:firstLineChars="210"/>
              <w:jc w:val="center"/>
              <w:rPr>
                <w:color w:val="auto"/>
                <w:szCs w:val="21"/>
              </w:rPr>
            </w:pPr>
            <w:r>
              <w:rPr>
                <w:rFonts w:hint="eastAsia" w:hAnsi="宋体" w:cs="宋体"/>
                <w:color w:val="auto"/>
                <w:szCs w:val="21"/>
              </w:rPr>
              <w:t>从接到竣工结算报告和完整的竣工结算资料之日起</w:t>
            </w:r>
            <w:r>
              <w:rPr>
                <w:color w:val="auto"/>
                <w:szCs w:val="21"/>
              </w:rPr>
              <w:t>20</w:t>
            </w:r>
            <w:r>
              <w:rPr>
                <w:rFonts w:hint="eastAsia" w:hAnsi="宋体" w:cs="宋体"/>
                <w:color w:val="auto"/>
                <w:szCs w:val="21"/>
              </w:rPr>
              <w:t>天</w:t>
            </w:r>
          </w:p>
        </w:tc>
      </w:tr>
      <w:tr w14:paraId="63F7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2F5A0B3">
            <w:pPr>
              <w:spacing w:line="360" w:lineRule="auto"/>
              <w:jc w:val="center"/>
              <w:rPr>
                <w:color w:val="auto"/>
                <w:szCs w:val="21"/>
              </w:rPr>
            </w:pPr>
            <w:r>
              <w:rPr>
                <w:color w:val="auto"/>
                <w:szCs w:val="21"/>
              </w:rPr>
              <w:t>2</w:t>
            </w:r>
          </w:p>
        </w:tc>
        <w:tc>
          <w:tcPr>
            <w:tcW w:w="2466" w:type="dxa"/>
            <w:vAlign w:val="center"/>
          </w:tcPr>
          <w:p w14:paraId="4422B33E">
            <w:pPr>
              <w:spacing w:line="360" w:lineRule="auto"/>
              <w:ind w:firstLine="27" w:firstLineChars="13"/>
              <w:jc w:val="center"/>
              <w:rPr>
                <w:color w:val="auto"/>
                <w:szCs w:val="21"/>
              </w:rPr>
            </w:pPr>
            <w:r>
              <w:rPr>
                <w:color w:val="auto"/>
                <w:szCs w:val="21"/>
              </w:rPr>
              <w:t>500</w:t>
            </w:r>
            <w:r>
              <w:rPr>
                <w:rFonts w:hint="eastAsia" w:hAnsi="宋体" w:cs="宋体"/>
                <w:color w:val="auto"/>
                <w:szCs w:val="21"/>
              </w:rPr>
              <w:t>万元</w:t>
            </w:r>
            <w:r>
              <w:rPr>
                <w:color w:val="auto"/>
                <w:szCs w:val="21"/>
              </w:rPr>
              <w:t>-2000</w:t>
            </w:r>
            <w:r>
              <w:rPr>
                <w:rFonts w:hint="eastAsia" w:hAnsi="宋体" w:cs="宋体"/>
                <w:color w:val="auto"/>
                <w:szCs w:val="21"/>
              </w:rPr>
              <w:t>万元</w:t>
            </w:r>
          </w:p>
        </w:tc>
        <w:tc>
          <w:tcPr>
            <w:tcW w:w="5967" w:type="dxa"/>
            <w:vAlign w:val="center"/>
          </w:tcPr>
          <w:p w14:paraId="02431E8E">
            <w:pPr>
              <w:spacing w:line="360" w:lineRule="auto"/>
              <w:ind w:firstLine="441" w:firstLineChars="210"/>
              <w:jc w:val="center"/>
              <w:rPr>
                <w:color w:val="auto"/>
                <w:szCs w:val="21"/>
              </w:rPr>
            </w:pPr>
            <w:r>
              <w:rPr>
                <w:rFonts w:hint="eastAsia" w:hAnsi="宋体" w:cs="宋体"/>
                <w:color w:val="auto"/>
                <w:szCs w:val="21"/>
              </w:rPr>
              <w:t>从接到竣工结算报告和完整的竣工结算资料之日起</w:t>
            </w:r>
            <w:r>
              <w:rPr>
                <w:color w:val="auto"/>
                <w:szCs w:val="21"/>
              </w:rPr>
              <w:t>30</w:t>
            </w:r>
            <w:r>
              <w:rPr>
                <w:rFonts w:hint="eastAsia" w:hAnsi="宋体" w:cs="宋体"/>
                <w:color w:val="auto"/>
                <w:szCs w:val="21"/>
              </w:rPr>
              <w:t>天</w:t>
            </w:r>
          </w:p>
        </w:tc>
      </w:tr>
      <w:tr w14:paraId="41BB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5EF8698">
            <w:pPr>
              <w:spacing w:line="360" w:lineRule="auto"/>
              <w:jc w:val="center"/>
              <w:rPr>
                <w:color w:val="auto"/>
                <w:szCs w:val="21"/>
              </w:rPr>
            </w:pPr>
            <w:r>
              <w:rPr>
                <w:color w:val="auto"/>
                <w:szCs w:val="21"/>
              </w:rPr>
              <w:t>3</w:t>
            </w:r>
          </w:p>
        </w:tc>
        <w:tc>
          <w:tcPr>
            <w:tcW w:w="2466" w:type="dxa"/>
            <w:vAlign w:val="center"/>
          </w:tcPr>
          <w:p w14:paraId="410B40BF">
            <w:pPr>
              <w:spacing w:line="360" w:lineRule="auto"/>
              <w:ind w:firstLine="27" w:firstLineChars="13"/>
              <w:jc w:val="center"/>
              <w:rPr>
                <w:color w:val="auto"/>
                <w:szCs w:val="21"/>
              </w:rPr>
            </w:pPr>
            <w:r>
              <w:rPr>
                <w:color w:val="auto"/>
                <w:szCs w:val="21"/>
              </w:rPr>
              <w:t>2000</w:t>
            </w:r>
            <w:r>
              <w:rPr>
                <w:rFonts w:hint="eastAsia" w:hAnsi="宋体" w:cs="宋体"/>
                <w:color w:val="auto"/>
                <w:szCs w:val="21"/>
              </w:rPr>
              <w:t>万元</w:t>
            </w:r>
            <w:r>
              <w:rPr>
                <w:color w:val="auto"/>
                <w:szCs w:val="21"/>
              </w:rPr>
              <w:t>-5000</w:t>
            </w:r>
            <w:r>
              <w:rPr>
                <w:rFonts w:hint="eastAsia" w:hAnsi="宋体" w:cs="宋体"/>
                <w:color w:val="auto"/>
                <w:szCs w:val="21"/>
              </w:rPr>
              <w:t>万元</w:t>
            </w:r>
          </w:p>
        </w:tc>
        <w:tc>
          <w:tcPr>
            <w:tcW w:w="5967" w:type="dxa"/>
            <w:vAlign w:val="center"/>
          </w:tcPr>
          <w:p w14:paraId="67BFBCD2">
            <w:pPr>
              <w:spacing w:line="360" w:lineRule="auto"/>
              <w:ind w:firstLine="441" w:firstLineChars="210"/>
              <w:jc w:val="center"/>
              <w:rPr>
                <w:color w:val="auto"/>
                <w:szCs w:val="21"/>
              </w:rPr>
            </w:pPr>
            <w:r>
              <w:rPr>
                <w:rFonts w:hint="eastAsia" w:hAnsi="宋体" w:cs="宋体"/>
                <w:color w:val="auto"/>
                <w:szCs w:val="21"/>
              </w:rPr>
              <w:t>从接到竣工结算报告和完整的竣工结算资料之日起</w:t>
            </w:r>
            <w:r>
              <w:rPr>
                <w:color w:val="auto"/>
                <w:szCs w:val="21"/>
              </w:rPr>
              <w:t>45</w:t>
            </w:r>
            <w:r>
              <w:rPr>
                <w:rFonts w:hint="eastAsia" w:hAnsi="宋体" w:cs="宋体"/>
                <w:color w:val="auto"/>
                <w:szCs w:val="21"/>
              </w:rPr>
              <w:t>天</w:t>
            </w:r>
          </w:p>
        </w:tc>
      </w:tr>
      <w:tr w14:paraId="6879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896A82A">
            <w:pPr>
              <w:spacing w:line="360" w:lineRule="auto"/>
              <w:jc w:val="center"/>
              <w:rPr>
                <w:color w:val="auto"/>
                <w:szCs w:val="21"/>
              </w:rPr>
            </w:pPr>
            <w:r>
              <w:rPr>
                <w:color w:val="auto"/>
                <w:szCs w:val="21"/>
              </w:rPr>
              <w:t>4</w:t>
            </w:r>
          </w:p>
        </w:tc>
        <w:tc>
          <w:tcPr>
            <w:tcW w:w="2466" w:type="dxa"/>
            <w:vAlign w:val="center"/>
          </w:tcPr>
          <w:p w14:paraId="26BE3378">
            <w:pPr>
              <w:spacing w:line="360" w:lineRule="auto"/>
              <w:ind w:firstLine="27" w:firstLineChars="13"/>
              <w:jc w:val="center"/>
              <w:rPr>
                <w:color w:val="auto"/>
                <w:szCs w:val="21"/>
              </w:rPr>
            </w:pPr>
            <w:r>
              <w:rPr>
                <w:color w:val="auto"/>
                <w:szCs w:val="21"/>
              </w:rPr>
              <w:t>5000</w:t>
            </w:r>
            <w:r>
              <w:rPr>
                <w:rFonts w:hint="eastAsia" w:hAnsi="宋体" w:cs="宋体"/>
                <w:color w:val="auto"/>
                <w:szCs w:val="21"/>
              </w:rPr>
              <w:t>万元以上</w:t>
            </w:r>
          </w:p>
        </w:tc>
        <w:tc>
          <w:tcPr>
            <w:tcW w:w="5967" w:type="dxa"/>
            <w:vAlign w:val="center"/>
          </w:tcPr>
          <w:p w14:paraId="69C93EC2">
            <w:pPr>
              <w:spacing w:line="360" w:lineRule="auto"/>
              <w:ind w:firstLine="441" w:firstLineChars="210"/>
              <w:jc w:val="center"/>
              <w:rPr>
                <w:color w:val="auto"/>
                <w:szCs w:val="21"/>
              </w:rPr>
            </w:pPr>
            <w:r>
              <w:rPr>
                <w:rFonts w:hint="eastAsia" w:hAnsi="宋体" w:cs="宋体"/>
                <w:color w:val="auto"/>
                <w:szCs w:val="21"/>
              </w:rPr>
              <w:t>从接到竣工结算报告和完整的竣工结算资料之日起</w:t>
            </w:r>
            <w:r>
              <w:rPr>
                <w:color w:val="auto"/>
                <w:szCs w:val="21"/>
              </w:rPr>
              <w:t>60</w:t>
            </w:r>
            <w:r>
              <w:rPr>
                <w:rFonts w:hint="eastAsia" w:hAnsi="宋体" w:cs="宋体"/>
                <w:color w:val="auto"/>
                <w:szCs w:val="21"/>
              </w:rPr>
              <w:t>天</w:t>
            </w:r>
          </w:p>
        </w:tc>
      </w:tr>
      <w:tr w14:paraId="30EA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B114653">
            <w:pPr>
              <w:spacing w:line="360" w:lineRule="auto"/>
              <w:jc w:val="center"/>
              <w:rPr>
                <w:color w:val="auto"/>
                <w:szCs w:val="21"/>
              </w:rPr>
            </w:pPr>
            <w:r>
              <w:rPr>
                <w:rFonts w:hint="eastAsia"/>
                <w:color w:val="auto"/>
                <w:szCs w:val="21"/>
              </w:rPr>
              <w:t>5</w:t>
            </w:r>
          </w:p>
        </w:tc>
        <w:tc>
          <w:tcPr>
            <w:tcW w:w="2466" w:type="dxa"/>
            <w:vAlign w:val="center"/>
          </w:tcPr>
          <w:p w14:paraId="00C3B17A">
            <w:pPr>
              <w:spacing w:line="360" w:lineRule="auto"/>
              <w:ind w:firstLine="27" w:firstLineChars="13"/>
              <w:jc w:val="center"/>
              <w:rPr>
                <w:color w:val="auto"/>
                <w:szCs w:val="21"/>
              </w:rPr>
            </w:pPr>
            <w:r>
              <w:rPr>
                <w:rFonts w:hint="eastAsia"/>
                <w:color w:val="auto"/>
                <w:szCs w:val="21"/>
              </w:rPr>
              <w:t>5000万以上每增加</w:t>
            </w:r>
            <w:r>
              <w:rPr>
                <w:color w:val="auto"/>
                <w:szCs w:val="21"/>
              </w:rPr>
              <w:t>0.5</w:t>
            </w:r>
            <w:r>
              <w:rPr>
                <w:rFonts w:hint="eastAsia"/>
                <w:color w:val="auto"/>
                <w:szCs w:val="21"/>
              </w:rPr>
              <w:t>亿（不足0.5亿不增加）</w:t>
            </w:r>
          </w:p>
        </w:tc>
        <w:tc>
          <w:tcPr>
            <w:tcW w:w="5967" w:type="dxa"/>
            <w:vAlign w:val="center"/>
          </w:tcPr>
          <w:p w14:paraId="6E7C4832">
            <w:pPr>
              <w:spacing w:line="360" w:lineRule="auto"/>
              <w:ind w:firstLine="441" w:firstLineChars="210"/>
              <w:jc w:val="center"/>
              <w:rPr>
                <w:rFonts w:hint="eastAsia" w:hAnsi="宋体" w:cs="宋体"/>
                <w:color w:val="auto"/>
                <w:szCs w:val="21"/>
              </w:rPr>
            </w:pPr>
            <w:r>
              <w:rPr>
                <w:rFonts w:hint="eastAsia" w:hAnsi="宋体" w:cs="宋体"/>
                <w:color w:val="auto"/>
                <w:szCs w:val="21"/>
              </w:rPr>
              <w:t>增加10天</w:t>
            </w:r>
          </w:p>
        </w:tc>
      </w:tr>
    </w:tbl>
    <w:p w14:paraId="31290D76">
      <w:pPr>
        <w:spacing w:line="360" w:lineRule="auto"/>
        <w:ind w:firstLine="420" w:firstLineChars="200"/>
        <w:jc w:val="left"/>
        <w:rPr>
          <w:rFonts w:hint="eastAsia" w:hAnsi="宋体" w:cs="宋体"/>
          <w:color w:val="auto"/>
          <w:kern w:val="0"/>
        </w:rPr>
      </w:pPr>
      <w:r>
        <w:rPr>
          <w:rFonts w:hint="eastAsia" w:hAnsi="宋体" w:cs="宋体"/>
          <w:color w:val="auto"/>
          <w:kern w:val="0"/>
        </w:rPr>
        <w:t>工程竣工验收合格后，承包人应按约定一次性报送完整的竣工结算资料至发包人，原则上不再接收补充的结算资料。审核过程中，如发包人提出需承包人补充的结算资料，经发包人催促后20天内仍未提供或没有明确答复，发包人可根据现有资料办理结算，审核时间相应顺延。本工程最终结算价以双方签订最终结算书为准或业主聘请的第三方有关造价单位审定为准。</w:t>
      </w:r>
    </w:p>
    <w:p w14:paraId="0EF6320D">
      <w:pPr>
        <w:spacing w:line="360" w:lineRule="auto"/>
        <w:ind w:firstLine="420" w:firstLineChars="200"/>
        <w:jc w:val="left"/>
        <w:rPr>
          <w:rFonts w:hint="eastAsia" w:hAnsi="宋体"/>
          <w:color w:val="auto"/>
          <w:szCs w:val="21"/>
        </w:rPr>
      </w:pPr>
      <w:r>
        <w:rPr>
          <w:rFonts w:hAnsi="宋体"/>
          <w:bCs/>
          <w:color w:val="auto"/>
          <w:szCs w:val="21"/>
        </w:rPr>
        <w:t>因承包人提供的结算资料不完整而需要补充或承包人不按时对账耽误时间时，审查时间应相应顺延</w:t>
      </w:r>
      <w:r>
        <w:rPr>
          <w:rFonts w:hAnsi="宋体"/>
          <w:color w:val="auto"/>
          <w:szCs w:val="21"/>
        </w:rPr>
        <w:t>。</w:t>
      </w:r>
    </w:p>
    <w:p w14:paraId="1AA8FD92">
      <w:pPr>
        <w:spacing w:line="400" w:lineRule="exact"/>
        <w:ind w:firstLine="411" w:firstLineChars="196"/>
        <w:rPr>
          <w:rFonts w:hint="eastAsia" w:ascii="宋体" w:hAnsi="宋体" w:cs="宋体"/>
          <w:color w:val="auto"/>
          <w:szCs w:val="21"/>
        </w:rPr>
      </w:pPr>
      <w:bookmarkStart w:id="1302" w:name="_Toc25969"/>
      <w:bookmarkStart w:id="1303" w:name="_Toc9936"/>
      <w:bookmarkStart w:id="1304" w:name="_Toc486529019"/>
      <w:bookmarkStart w:id="1305" w:name="_Toc19624"/>
      <w:bookmarkStart w:id="1306" w:name="_Toc13246"/>
      <w:bookmarkStart w:id="1307" w:name="_Toc3407"/>
      <w:bookmarkStart w:id="1308" w:name="_Toc11892"/>
      <w:bookmarkStart w:id="1309" w:name="_Toc373478408"/>
      <w:bookmarkStart w:id="1310" w:name="_Toc373227761"/>
      <w:bookmarkStart w:id="1311" w:name="_Toc389065326"/>
      <w:r>
        <w:rPr>
          <w:rFonts w:hint="eastAsia" w:ascii="宋体" w:hAnsi="宋体" w:cs="宋体"/>
          <w:color w:val="auto"/>
          <w:szCs w:val="21"/>
        </w:rPr>
        <w:t>14.4 最终结清</w:t>
      </w:r>
      <w:bookmarkEnd w:id="1302"/>
      <w:bookmarkEnd w:id="1303"/>
      <w:bookmarkEnd w:id="1304"/>
      <w:bookmarkEnd w:id="1305"/>
      <w:bookmarkEnd w:id="1306"/>
      <w:bookmarkEnd w:id="1307"/>
      <w:bookmarkEnd w:id="1308"/>
      <w:bookmarkEnd w:id="1309"/>
      <w:bookmarkEnd w:id="1310"/>
      <w:bookmarkEnd w:id="1311"/>
    </w:p>
    <w:p w14:paraId="77683FF7">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14.4.1 最终结清申请单</w:t>
      </w:r>
    </w:p>
    <w:p w14:paraId="756AEEDF">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承包人提交最终结清申请单的份数：</w:t>
      </w:r>
      <w:r>
        <w:rPr>
          <w:rFonts w:hint="eastAsia" w:ascii="宋体" w:hAnsi="宋体" w:cs="宋体"/>
          <w:color w:val="auto"/>
          <w:szCs w:val="21"/>
          <w:u w:val="single"/>
        </w:rPr>
        <w:t xml:space="preserve">   一式四份   </w:t>
      </w:r>
      <w:r>
        <w:rPr>
          <w:rFonts w:hint="eastAsia" w:ascii="宋体" w:hAnsi="宋体" w:cs="宋体"/>
          <w:color w:val="auto"/>
          <w:szCs w:val="21"/>
        </w:rPr>
        <w:t>。</w:t>
      </w:r>
    </w:p>
    <w:p w14:paraId="225AE2DD">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承包人提交最终结算申请单的期限：</w:t>
      </w:r>
      <w:r>
        <w:rPr>
          <w:rFonts w:hint="eastAsia" w:ascii="宋体" w:hAnsi="宋体" w:cs="宋体"/>
          <w:color w:val="auto"/>
          <w:kern w:val="0"/>
          <w:szCs w:val="21"/>
          <w:u w:val="single"/>
        </w:rPr>
        <w:t>缺陷责任期终止证书签发后14天内向监理人提交4份竣工付款申请单及相关证明材料</w:t>
      </w:r>
      <w:r>
        <w:rPr>
          <w:rFonts w:hint="eastAsia" w:ascii="宋体" w:hAnsi="宋体" w:cs="宋体"/>
          <w:color w:val="auto"/>
          <w:szCs w:val="21"/>
        </w:rPr>
        <w:t xml:space="preserve">。 </w:t>
      </w:r>
    </w:p>
    <w:p w14:paraId="13BE09E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14.4.2 最终结清证书和支付</w:t>
      </w:r>
    </w:p>
    <w:p w14:paraId="7C8DF58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（1）发包人完成最终结清申请单的审批并颁发最终结清证书的期限：</w:t>
      </w:r>
      <w:r>
        <w:rPr>
          <w:rFonts w:hint="eastAsia" w:ascii="宋体" w:hAnsi="宋体" w:cs="宋体"/>
          <w:color w:val="auto"/>
          <w:szCs w:val="21"/>
          <w:u w:val="single"/>
        </w:rPr>
        <w:t xml:space="preserve">同通用条款 </w:t>
      </w:r>
      <w:r>
        <w:rPr>
          <w:rFonts w:hint="eastAsia" w:ascii="宋体" w:hAnsi="宋体" w:cs="宋体"/>
          <w:color w:val="auto"/>
          <w:szCs w:val="21"/>
        </w:rPr>
        <w:t>。</w:t>
      </w:r>
    </w:p>
    <w:p w14:paraId="6D10E80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（2）发包人完成支付的期限：</w:t>
      </w:r>
      <w:r>
        <w:rPr>
          <w:rFonts w:hint="eastAsia" w:ascii="宋体" w:hAnsi="宋体" w:cs="宋体"/>
          <w:color w:val="auto"/>
          <w:szCs w:val="21"/>
          <w:u w:val="single"/>
        </w:rPr>
        <w:t>在颁发最终结清证书后的30天内</w:t>
      </w:r>
      <w:r>
        <w:rPr>
          <w:rFonts w:hint="eastAsia" w:ascii="宋体" w:hAnsi="宋体" w:cs="宋体"/>
          <w:color w:val="auto"/>
          <w:szCs w:val="21"/>
        </w:rPr>
        <w:t>。</w:t>
      </w:r>
    </w:p>
    <w:bookmarkEnd w:id="1232"/>
    <w:bookmarkEnd w:id="1233"/>
    <w:bookmarkEnd w:id="1234"/>
    <w:bookmarkEnd w:id="1235"/>
    <w:bookmarkEnd w:id="1236"/>
    <w:bookmarkEnd w:id="1237"/>
    <w:bookmarkEnd w:id="1238"/>
    <w:bookmarkEnd w:id="1250"/>
    <w:p w14:paraId="3CA21FFF">
      <w:pPr>
        <w:pStyle w:val="4"/>
        <w:spacing w:line="360" w:lineRule="auto"/>
        <w:ind w:firstLine="422" w:firstLineChars="200"/>
        <w:rPr>
          <w:rFonts w:hint="eastAsia" w:ascii="宋体" w:hAnsi="宋体" w:cs="宋体"/>
          <w:color w:val="auto"/>
          <w:sz w:val="21"/>
          <w:szCs w:val="21"/>
        </w:rPr>
      </w:pPr>
      <w:bookmarkStart w:id="1312" w:name="_Toc25582"/>
      <w:bookmarkStart w:id="1313" w:name="_Toc351203647"/>
      <w:bookmarkStart w:id="1314" w:name="_Toc373227762"/>
      <w:bookmarkStart w:id="1315" w:name="_Toc19805"/>
      <w:bookmarkStart w:id="1316" w:name="_Toc486529020"/>
      <w:bookmarkStart w:id="1317" w:name="_Toc389065327"/>
      <w:bookmarkStart w:id="1318" w:name="_Toc24759"/>
      <w:bookmarkStart w:id="1319" w:name="_Toc12946"/>
      <w:bookmarkStart w:id="1320" w:name="_Toc31248"/>
      <w:bookmarkStart w:id="1321" w:name="_Toc373478409"/>
      <w:bookmarkStart w:id="1322" w:name="_Toc26618"/>
      <w:bookmarkStart w:id="1323" w:name="_Toc267251483"/>
      <w:bookmarkStart w:id="1324" w:name="_Toc267251484"/>
      <w:bookmarkStart w:id="1325" w:name="_Toc267251482"/>
      <w:bookmarkStart w:id="1326" w:name="_Toc267251485"/>
      <w:bookmarkStart w:id="1327" w:name="_Toc267251486"/>
      <w:bookmarkStart w:id="1328" w:name="_Toc267251488"/>
      <w:bookmarkStart w:id="1329" w:name="_Toc267251490"/>
      <w:bookmarkStart w:id="1330" w:name="_Toc267251489"/>
      <w:bookmarkStart w:id="1331" w:name="_Toc267251498"/>
      <w:bookmarkStart w:id="1332" w:name="_Toc267251492"/>
      <w:bookmarkStart w:id="1333" w:name="_Toc267251493"/>
      <w:bookmarkStart w:id="1334" w:name="_Toc267251497"/>
      <w:bookmarkStart w:id="1335" w:name="_Toc267251494"/>
      <w:bookmarkStart w:id="1336" w:name="_Toc267251502"/>
      <w:bookmarkStart w:id="1337" w:name="_Toc267251503"/>
      <w:bookmarkStart w:id="1338" w:name="_Toc267251491"/>
      <w:bookmarkStart w:id="1339" w:name="_Toc267251496"/>
      <w:bookmarkStart w:id="1340" w:name="_Toc267251499"/>
      <w:bookmarkStart w:id="1341" w:name="_Toc267251501"/>
      <w:bookmarkStart w:id="1342" w:name="_Toc267251495"/>
      <w:bookmarkStart w:id="1343" w:name="_Toc267251504"/>
      <w:bookmarkStart w:id="1344" w:name="_Toc267251506"/>
      <w:bookmarkStart w:id="1345" w:name="_Toc267251507"/>
      <w:bookmarkStart w:id="1346" w:name="_Toc267251508"/>
      <w:bookmarkStart w:id="1347" w:name="_Toc267251509"/>
      <w:bookmarkStart w:id="1348" w:name="_Toc267251514"/>
      <w:bookmarkStart w:id="1349" w:name="_Toc267251513"/>
      <w:bookmarkStart w:id="1350" w:name="_Toc267251510"/>
      <w:bookmarkStart w:id="1351" w:name="_Toc267251511"/>
      <w:bookmarkStart w:id="1352" w:name="_Toc267251515"/>
      <w:r>
        <w:rPr>
          <w:rFonts w:hint="eastAsia" w:ascii="宋体" w:hAnsi="宋体" w:cs="宋体"/>
          <w:color w:val="auto"/>
          <w:sz w:val="21"/>
          <w:szCs w:val="21"/>
        </w:rPr>
        <w:t>15. 缺陷责任期与保修</w:t>
      </w:r>
      <w:bookmarkEnd w:id="1312"/>
      <w:bookmarkEnd w:id="1313"/>
      <w:bookmarkEnd w:id="1314"/>
      <w:bookmarkEnd w:id="1315"/>
      <w:bookmarkEnd w:id="1316"/>
      <w:bookmarkEnd w:id="1317"/>
      <w:bookmarkEnd w:id="1318"/>
      <w:bookmarkEnd w:id="1319"/>
      <w:bookmarkEnd w:id="1320"/>
      <w:bookmarkEnd w:id="1321"/>
      <w:bookmarkEnd w:id="1322"/>
    </w:p>
    <w:p w14:paraId="32B2502E">
      <w:pPr>
        <w:pStyle w:val="5"/>
        <w:ind w:firstLine="422" w:firstLineChars="200"/>
        <w:rPr>
          <w:rFonts w:hint="eastAsia" w:ascii="宋体" w:hAnsi="宋体" w:cs="宋体"/>
          <w:color w:val="auto"/>
          <w:sz w:val="21"/>
          <w:szCs w:val="21"/>
        </w:rPr>
      </w:pPr>
      <w:bookmarkStart w:id="1353" w:name="_Toc14255"/>
      <w:bookmarkStart w:id="1354" w:name="_Toc12351"/>
      <w:bookmarkStart w:id="1355" w:name="_Toc6291"/>
      <w:bookmarkStart w:id="1356" w:name="_Toc486529021"/>
      <w:bookmarkStart w:id="1357" w:name="_Toc317"/>
      <w:bookmarkStart w:id="1358" w:name="_Toc389065328"/>
      <w:bookmarkStart w:id="1359" w:name="_Toc373227763"/>
      <w:bookmarkStart w:id="1360" w:name="_Toc373478410"/>
      <w:bookmarkStart w:id="1361" w:name="_Toc16766"/>
      <w:bookmarkStart w:id="1362" w:name="_Toc7534"/>
      <w:r>
        <w:rPr>
          <w:rFonts w:hint="eastAsia" w:ascii="宋体" w:hAnsi="宋体" w:cs="宋体"/>
          <w:color w:val="auto"/>
          <w:sz w:val="21"/>
          <w:szCs w:val="21"/>
        </w:rPr>
        <w:t>15.2 缺陷责任期</w:t>
      </w:r>
      <w:bookmarkEnd w:id="1323"/>
      <w:bookmarkEnd w:id="1353"/>
      <w:bookmarkEnd w:id="1354"/>
      <w:bookmarkEnd w:id="1355"/>
      <w:bookmarkEnd w:id="1356"/>
      <w:bookmarkEnd w:id="1357"/>
      <w:bookmarkEnd w:id="1358"/>
      <w:bookmarkEnd w:id="1359"/>
      <w:bookmarkEnd w:id="1360"/>
      <w:bookmarkEnd w:id="1361"/>
      <w:bookmarkEnd w:id="1362"/>
    </w:p>
    <w:p w14:paraId="7DBAC6AE">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缺陷责任期的具体期限：</w:t>
      </w:r>
      <w:r>
        <w:rPr>
          <w:rFonts w:hint="eastAsia" w:ascii="宋体" w:hAnsi="宋体" w:cs="宋体"/>
          <w:color w:val="auto"/>
          <w:szCs w:val="21"/>
          <w:u w:val="single"/>
        </w:rPr>
        <w:t xml:space="preserve"> 24个月 </w:t>
      </w:r>
      <w:r>
        <w:rPr>
          <w:rFonts w:hint="eastAsia" w:ascii="宋体" w:hAnsi="宋体" w:cs="宋体"/>
          <w:color w:val="auto"/>
          <w:szCs w:val="21"/>
        </w:rPr>
        <w:t>。</w:t>
      </w:r>
    </w:p>
    <w:p w14:paraId="0164F67A">
      <w:pPr>
        <w:pStyle w:val="5"/>
        <w:ind w:firstLine="422" w:firstLineChars="200"/>
        <w:rPr>
          <w:rFonts w:hint="eastAsia" w:ascii="宋体" w:hAnsi="宋体" w:cs="宋体"/>
          <w:color w:val="auto"/>
          <w:sz w:val="21"/>
          <w:szCs w:val="21"/>
        </w:rPr>
      </w:pPr>
      <w:bookmarkStart w:id="1363" w:name="_Toc3489"/>
      <w:bookmarkStart w:id="1364" w:name="_Toc373478411"/>
      <w:bookmarkStart w:id="1365" w:name="_Toc373227764"/>
      <w:bookmarkStart w:id="1366" w:name="_Toc486529022"/>
      <w:bookmarkStart w:id="1367" w:name="_Toc389065329"/>
      <w:bookmarkStart w:id="1368" w:name="_Toc17341"/>
      <w:bookmarkStart w:id="1369" w:name="_Toc21824"/>
      <w:bookmarkStart w:id="1370" w:name="_Toc551"/>
      <w:bookmarkStart w:id="1371" w:name="_Toc5390"/>
      <w:bookmarkStart w:id="1372" w:name="_Toc32084"/>
      <w:r>
        <w:rPr>
          <w:rFonts w:hint="eastAsia" w:ascii="宋体" w:hAnsi="宋体" w:cs="宋体"/>
          <w:color w:val="auto"/>
          <w:sz w:val="21"/>
          <w:szCs w:val="21"/>
        </w:rPr>
        <w:t>15.3 质量保证金</w:t>
      </w:r>
      <w:bookmarkEnd w:id="1363"/>
      <w:bookmarkEnd w:id="1364"/>
      <w:bookmarkEnd w:id="1365"/>
      <w:bookmarkEnd w:id="1366"/>
      <w:bookmarkEnd w:id="1367"/>
      <w:bookmarkEnd w:id="1368"/>
      <w:bookmarkEnd w:id="1369"/>
      <w:bookmarkEnd w:id="1370"/>
      <w:bookmarkEnd w:id="1371"/>
      <w:bookmarkEnd w:id="1372"/>
    </w:p>
    <w:p w14:paraId="1950642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rPr>
        <w:t xml:space="preserve">  扣留 </w:t>
      </w:r>
      <w:r>
        <w:rPr>
          <w:rFonts w:hint="eastAsia" w:ascii="宋体" w:hAnsi="宋体" w:cs="宋体"/>
          <w:color w:val="auto"/>
          <w:szCs w:val="21"/>
        </w:rPr>
        <w:t>。</w:t>
      </w:r>
    </w:p>
    <w:p w14:paraId="3C1E66F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15.3.1 承包人提供质量保证金的方式</w:t>
      </w:r>
    </w:p>
    <w:p w14:paraId="755FCA7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2  </w:t>
      </w:r>
      <w:r>
        <w:rPr>
          <w:rFonts w:hint="eastAsia" w:ascii="宋体" w:hAnsi="宋体" w:cs="宋体"/>
          <w:color w:val="auto"/>
          <w:szCs w:val="21"/>
        </w:rPr>
        <w:t>种方式：</w:t>
      </w:r>
    </w:p>
    <w:p w14:paraId="76E6D4C0">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（1）质量保证金保函，保证金额为：</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107CB979">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bCs/>
          <w:color w:val="auto"/>
          <w:szCs w:val="21"/>
        </w:rPr>
        <w:t>发包人按工程价款结算总额的</w:t>
      </w:r>
      <w:r>
        <w:rPr>
          <w:rFonts w:hint="eastAsia" w:ascii="宋体" w:hAnsi="宋体" w:cs="宋体"/>
          <w:bCs/>
          <w:color w:val="auto"/>
          <w:szCs w:val="21"/>
          <w:u w:val="single"/>
        </w:rPr>
        <w:t xml:space="preserve"> 3 </w:t>
      </w:r>
      <w:r>
        <w:rPr>
          <w:rFonts w:hint="eastAsia" w:ascii="宋体" w:hAnsi="宋体" w:cs="宋体"/>
          <w:bCs/>
          <w:color w:val="auto"/>
          <w:szCs w:val="21"/>
        </w:rPr>
        <w:t>%预留工程质量保修金，待缺陷责任期满后返还</w:t>
      </w:r>
      <w:r>
        <w:rPr>
          <w:rFonts w:hint="eastAsia" w:ascii="宋体" w:hAnsi="宋体" w:cs="宋体"/>
          <w:color w:val="auto"/>
          <w:kern w:val="0"/>
          <w:szCs w:val="21"/>
        </w:rPr>
        <w:t>；</w:t>
      </w:r>
    </w:p>
    <w:p w14:paraId="1BE403D7">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（3）其他方式：</w:t>
      </w:r>
      <w:r>
        <w:rPr>
          <w:rFonts w:hint="eastAsia" w:ascii="宋体" w:hAnsi="宋体" w:cs="宋体"/>
          <w:bCs/>
          <w:color w:val="auto"/>
          <w:szCs w:val="21"/>
          <w:u w:val="single"/>
        </w:rPr>
        <w:t xml:space="preserve"> </w:t>
      </w:r>
      <w:r>
        <w:rPr>
          <w:rFonts w:hint="eastAsia" w:ascii="宋体" w:hAnsi="宋体" w:cs="宋体"/>
          <w:color w:val="auto"/>
          <w:kern w:val="0"/>
          <w:szCs w:val="21"/>
          <w:u w:val="single"/>
        </w:rPr>
        <w:t xml:space="preserve"> /</w:t>
      </w:r>
      <w:r>
        <w:rPr>
          <w:rFonts w:hint="eastAsia" w:ascii="宋体" w:hAnsi="宋体" w:cs="宋体"/>
          <w:bCs/>
          <w:color w:val="auto"/>
          <w:szCs w:val="21"/>
          <w:u w:val="single"/>
        </w:rPr>
        <w:t xml:space="preserve">  </w:t>
      </w:r>
      <w:r>
        <w:rPr>
          <w:rFonts w:hint="eastAsia" w:ascii="宋体" w:hAnsi="宋体" w:cs="宋体"/>
          <w:bCs/>
          <w:color w:val="auto"/>
          <w:szCs w:val="21"/>
        </w:rPr>
        <w:t>。</w:t>
      </w:r>
    </w:p>
    <w:p w14:paraId="157421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15.3.2 质量保证金的扣留</w:t>
      </w:r>
    </w:p>
    <w:p w14:paraId="23314A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 xml:space="preserve">  2  </w:t>
      </w:r>
      <w:r>
        <w:rPr>
          <w:rFonts w:hint="eastAsia" w:ascii="宋体" w:hAnsi="宋体" w:cs="宋体"/>
          <w:color w:val="auto"/>
          <w:szCs w:val="21"/>
        </w:rPr>
        <w:t>种方式：</w:t>
      </w:r>
    </w:p>
    <w:p w14:paraId="350995ED">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（1）在支付工程进度款时逐次扣留，在此情形下，质量保证金的计算基数不包括预付款的支付、扣回以及价格调整的金额；</w:t>
      </w:r>
    </w:p>
    <w:p w14:paraId="4BC973D9">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（2）工程竣工结算时一次性扣留质量保证金；</w:t>
      </w:r>
    </w:p>
    <w:p w14:paraId="0A6E2201">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（3）其他扣留方式：</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3E1B2F7E">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szCs w:val="21"/>
        </w:rPr>
        <w:t>关于质量保证金的补充约定：</w:t>
      </w:r>
      <w:r>
        <w:rPr>
          <w:rFonts w:hint="eastAsia" w:ascii="宋体" w:hAnsi="宋体" w:cs="宋体"/>
          <w:color w:val="auto"/>
          <w:kern w:val="0"/>
          <w:szCs w:val="21"/>
          <w:u w:val="single"/>
        </w:rPr>
        <w:t>承包人未按照法律法规有关规定和合同约定履行质量保修义务的，发包人有权从质量保证金中扣留用于质量保修的各项支出，且无需经过承包人认可或同意</w:t>
      </w:r>
      <w:r>
        <w:rPr>
          <w:rFonts w:hint="eastAsia" w:ascii="宋体" w:hAnsi="宋体" w:cs="宋体"/>
          <w:color w:val="auto"/>
          <w:kern w:val="0"/>
          <w:szCs w:val="21"/>
        </w:rPr>
        <w:t>。</w:t>
      </w:r>
    </w:p>
    <w:bookmarkEnd w:id="1324"/>
    <w:bookmarkEnd w:id="1325"/>
    <w:p w14:paraId="33F9D847">
      <w:pPr>
        <w:pStyle w:val="5"/>
        <w:ind w:firstLine="422" w:firstLineChars="200"/>
        <w:rPr>
          <w:rFonts w:hint="eastAsia" w:ascii="宋体" w:hAnsi="宋体" w:cs="宋体"/>
          <w:color w:val="auto"/>
          <w:sz w:val="21"/>
          <w:szCs w:val="21"/>
        </w:rPr>
      </w:pPr>
      <w:bookmarkStart w:id="1373" w:name="_Toc14531"/>
      <w:bookmarkStart w:id="1374" w:name="_Toc373478412"/>
      <w:bookmarkStart w:id="1375" w:name="_Toc373227765"/>
      <w:bookmarkStart w:id="1376" w:name="_Toc20484"/>
      <w:bookmarkStart w:id="1377" w:name="_Toc9185"/>
      <w:bookmarkStart w:id="1378" w:name="_Toc8995"/>
      <w:bookmarkStart w:id="1379" w:name="_Toc486529023"/>
      <w:bookmarkStart w:id="1380" w:name="_Toc13339"/>
      <w:bookmarkStart w:id="1381" w:name="_Toc389065330"/>
      <w:bookmarkStart w:id="1382" w:name="_Toc23492"/>
      <w:r>
        <w:rPr>
          <w:rFonts w:hint="eastAsia" w:ascii="宋体" w:hAnsi="宋体" w:cs="宋体"/>
          <w:color w:val="auto"/>
          <w:sz w:val="21"/>
          <w:szCs w:val="21"/>
        </w:rPr>
        <w:t>15.4 保修</w:t>
      </w:r>
      <w:bookmarkEnd w:id="1373"/>
      <w:bookmarkEnd w:id="1374"/>
      <w:bookmarkEnd w:id="1375"/>
      <w:bookmarkEnd w:id="1376"/>
      <w:bookmarkEnd w:id="1377"/>
      <w:bookmarkEnd w:id="1378"/>
      <w:bookmarkEnd w:id="1379"/>
      <w:bookmarkEnd w:id="1380"/>
      <w:bookmarkEnd w:id="1381"/>
      <w:bookmarkEnd w:id="1382"/>
    </w:p>
    <w:bookmarkEnd w:id="1326"/>
    <w:p w14:paraId="12EAFE0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15.4.1 保修责任</w:t>
      </w:r>
    </w:p>
    <w:p w14:paraId="5C200B0A">
      <w:pPr>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rPr>
        <w:t>工程质量保修期为：</w:t>
      </w:r>
      <w:r>
        <w:rPr>
          <w:rFonts w:hint="eastAsia" w:ascii="宋体" w:hAnsi="宋体" w:cs="宋体"/>
          <w:color w:val="auto"/>
          <w:kern w:val="0"/>
          <w:szCs w:val="21"/>
          <w:u w:val="single"/>
        </w:rPr>
        <w:t xml:space="preserve">  按工程质量保证书的约定    </w:t>
      </w:r>
      <w:r>
        <w:rPr>
          <w:rFonts w:hint="eastAsia" w:ascii="宋体" w:hAnsi="宋体" w:cs="宋体"/>
          <w:color w:val="auto"/>
          <w:kern w:val="0"/>
          <w:szCs w:val="21"/>
        </w:rPr>
        <w:t>。</w:t>
      </w:r>
    </w:p>
    <w:p w14:paraId="545456D3">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szCs w:val="21"/>
        </w:rPr>
        <w:t>工程质量保修书具体内容见合同附件2。</w:t>
      </w:r>
    </w:p>
    <w:p w14:paraId="4293AE7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15.4.3 修复通知</w:t>
      </w:r>
    </w:p>
    <w:p w14:paraId="36993F49">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承包人收到保修通知并到达工程现场的合理时间：</w:t>
      </w:r>
      <w:r>
        <w:rPr>
          <w:rFonts w:hint="eastAsia" w:ascii="宋体" w:hAnsi="宋体" w:cs="宋体"/>
          <w:color w:val="auto"/>
          <w:kern w:val="0"/>
          <w:szCs w:val="21"/>
          <w:u w:val="single"/>
        </w:rPr>
        <w:t xml:space="preserve"> 按质量保修书的约定  </w:t>
      </w:r>
      <w:r>
        <w:rPr>
          <w:rFonts w:hint="eastAsia" w:ascii="宋体" w:hAnsi="宋体" w:cs="宋体"/>
          <w:color w:val="auto"/>
          <w:kern w:val="0"/>
          <w:szCs w:val="21"/>
        </w:rPr>
        <w:t>。</w:t>
      </w:r>
    </w:p>
    <w:bookmarkEnd w:id="1327"/>
    <w:bookmarkEnd w:id="1328"/>
    <w:bookmarkEnd w:id="1329"/>
    <w:bookmarkEnd w:id="1330"/>
    <w:p w14:paraId="301D9981">
      <w:pPr>
        <w:pStyle w:val="4"/>
        <w:spacing w:line="360" w:lineRule="auto"/>
        <w:ind w:firstLine="422" w:firstLineChars="200"/>
        <w:rPr>
          <w:rFonts w:hint="eastAsia" w:ascii="宋体" w:hAnsi="宋体" w:cs="宋体"/>
          <w:color w:val="auto"/>
          <w:sz w:val="21"/>
          <w:szCs w:val="21"/>
        </w:rPr>
      </w:pPr>
      <w:bookmarkStart w:id="1383" w:name="_Toc26569"/>
      <w:bookmarkStart w:id="1384" w:name="_Toc19683"/>
      <w:bookmarkStart w:id="1385" w:name="_Toc21584"/>
      <w:bookmarkStart w:id="1386" w:name="_Toc32231"/>
      <w:bookmarkStart w:id="1387" w:name="_Toc373478413"/>
      <w:bookmarkStart w:id="1388" w:name="_Toc6871"/>
      <w:bookmarkStart w:id="1389" w:name="_Toc351203648"/>
      <w:bookmarkStart w:id="1390" w:name="_Toc30738"/>
      <w:bookmarkStart w:id="1391" w:name="_Toc486529024"/>
      <w:bookmarkStart w:id="1392" w:name="_Toc373227766"/>
      <w:bookmarkStart w:id="1393" w:name="_Toc389065331"/>
      <w:bookmarkStart w:id="1394" w:name="_Toc280868717"/>
      <w:bookmarkStart w:id="1395" w:name="_Toc280868718"/>
      <w:r>
        <w:rPr>
          <w:rFonts w:hint="eastAsia" w:ascii="宋体" w:hAnsi="宋体" w:cs="宋体"/>
          <w:color w:val="auto"/>
          <w:sz w:val="21"/>
          <w:szCs w:val="21"/>
        </w:rPr>
        <w:t>16. 违约</w:t>
      </w:r>
      <w:bookmarkEnd w:id="1383"/>
      <w:bookmarkEnd w:id="1384"/>
      <w:bookmarkEnd w:id="1385"/>
      <w:bookmarkEnd w:id="1386"/>
      <w:bookmarkEnd w:id="1387"/>
      <w:bookmarkEnd w:id="1388"/>
      <w:bookmarkEnd w:id="1389"/>
      <w:bookmarkEnd w:id="1390"/>
      <w:bookmarkEnd w:id="1391"/>
      <w:bookmarkEnd w:id="1392"/>
      <w:bookmarkEnd w:id="1393"/>
    </w:p>
    <w:p w14:paraId="7A96B65D">
      <w:pPr>
        <w:pStyle w:val="5"/>
        <w:ind w:firstLine="422" w:firstLineChars="200"/>
        <w:rPr>
          <w:rFonts w:hint="eastAsia" w:ascii="宋体" w:hAnsi="宋体" w:cs="宋体"/>
          <w:color w:val="auto"/>
          <w:sz w:val="21"/>
          <w:szCs w:val="21"/>
        </w:rPr>
      </w:pPr>
      <w:bookmarkStart w:id="1396" w:name="_Toc4746"/>
      <w:bookmarkStart w:id="1397" w:name="_Toc30454"/>
      <w:bookmarkStart w:id="1398" w:name="_Toc373227767"/>
      <w:bookmarkStart w:id="1399" w:name="_Toc6344"/>
      <w:bookmarkStart w:id="1400" w:name="_Toc16347"/>
      <w:bookmarkStart w:id="1401" w:name="_Toc14936"/>
      <w:bookmarkStart w:id="1402" w:name="_Toc373478414"/>
      <w:bookmarkStart w:id="1403" w:name="_Toc389065332"/>
      <w:bookmarkStart w:id="1404" w:name="_Toc3338"/>
      <w:bookmarkStart w:id="1405" w:name="_Toc486529025"/>
      <w:r>
        <w:rPr>
          <w:rFonts w:hint="eastAsia" w:ascii="宋体" w:hAnsi="宋体" w:cs="宋体"/>
          <w:color w:val="auto"/>
          <w:sz w:val="21"/>
          <w:szCs w:val="21"/>
        </w:rPr>
        <w:t>16.1 发包人违约</w:t>
      </w:r>
      <w:bookmarkEnd w:id="1396"/>
      <w:bookmarkEnd w:id="1397"/>
      <w:bookmarkEnd w:id="1398"/>
      <w:bookmarkEnd w:id="1399"/>
      <w:bookmarkEnd w:id="1400"/>
      <w:bookmarkEnd w:id="1401"/>
      <w:bookmarkEnd w:id="1402"/>
      <w:bookmarkEnd w:id="1403"/>
      <w:bookmarkEnd w:id="1404"/>
      <w:bookmarkEnd w:id="1405"/>
    </w:p>
    <w:p w14:paraId="02DEF91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16.1.1发包人违约的情形</w:t>
      </w:r>
    </w:p>
    <w:p w14:paraId="3F0678AA">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发包人违约的其他情形：</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764FEA06">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16.1.2 发包人违约的责任</w:t>
      </w:r>
    </w:p>
    <w:p w14:paraId="72D1D7F8">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发包人违约责任的承担方式和计算方法：</w:t>
      </w:r>
    </w:p>
    <w:p w14:paraId="77574598">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（1）因发包人原因未能在计划开工日期前7天内下达开工通知的违约责任：</w:t>
      </w:r>
      <w:r>
        <w:rPr>
          <w:rFonts w:hint="eastAsia" w:ascii="宋体" w:hAnsi="宋体" w:cs="宋体"/>
          <w:color w:val="auto"/>
          <w:kern w:val="0"/>
          <w:szCs w:val="21"/>
          <w:u w:val="single"/>
        </w:rPr>
        <w:t xml:space="preserve"> 工期相应顺延  </w:t>
      </w:r>
      <w:r>
        <w:rPr>
          <w:rFonts w:hint="eastAsia" w:ascii="宋体" w:hAnsi="宋体" w:cs="宋体"/>
          <w:color w:val="auto"/>
          <w:kern w:val="0"/>
          <w:szCs w:val="21"/>
        </w:rPr>
        <w:t>。</w:t>
      </w:r>
    </w:p>
    <w:p w14:paraId="6A15C5D6">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（2）因发包人原因未能按合同约定支付合同价款的违约责任：</w:t>
      </w:r>
      <w:r>
        <w:rPr>
          <w:rFonts w:hint="eastAsia" w:ascii="宋体" w:hAnsi="宋体" w:cs="宋体"/>
          <w:color w:val="auto"/>
          <w:kern w:val="0"/>
          <w:szCs w:val="21"/>
          <w:u w:val="single"/>
        </w:rPr>
        <w:t xml:space="preserve"> </w:t>
      </w:r>
      <w:r>
        <w:rPr>
          <w:rFonts w:hint="eastAsia" w:ascii="宋体" w:hAnsi="宋体" w:cs="宋体"/>
          <w:b/>
          <w:color w:val="auto"/>
          <w:kern w:val="0"/>
          <w:szCs w:val="21"/>
          <w:u w:val="single"/>
        </w:rPr>
        <w:t>无</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6053990D">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（3）发包人违反第10.1款〔变更的范围〕第（2）项约定，自行实施被取消的工作或转由他人实施的违约责任：</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022380A9">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270B8D51">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（5）因发包人违反合同约定造成暂停施工的违约责任：</w:t>
      </w:r>
      <w:r>
        <w:rPr>
          <w:rFonts w:hint="eastAsia" w:ascii="宋体" w:hAnsi="宋体" w:cs="宋体"/>
          <w:color w:val="auto"/>
          <w:kern w:val="0"/>
          <w:szCs w:val="21"/>
          <w:u w:val="single"/>
        </w:rPr>
        <w:t xml:space="preserve">     工期相应顺延  </w:t>
      </w:r>
      <w:r>
        <w:rPr>
          <w:rFonts w:hint="eastAsia" w:ascii="宋体" w:hAnsi="宋体" w:cs="宋体"/>
          <w:color w:val="auto"/>
          <w:kern w:val="0"/>
          <w:szCs w:val="21"/>
        </w:rPr>
        <w:t>。</w:t>
      </w:r>
    </w:p>
    <w:p w14:paraId="01391F91">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（6）发包人无正当理由没有在约定期限内发出复工指示，导致承包人无法复工的违约责任：</w:t>
      </w:r>
      <w:r>
        <w:rPr>
          <w:rFonts w:hint="eastAsia" w:ascii="宋体" w:hAnsi="宋体" w:cs="宋体"/>
          <w:color w:val="auto"/>
          <w:kern w:val="0"/>
          <w:szCs w:val="21"/>
          <w:u w:val="single"/>
        </w:rPr>
        <w:t xml:space="preserve">     工期相应顺延    </w:t>
      </w:r>
      <w:r>
        <w:rPr>
          <w:rFonts w:hint="eastAsia" w:ascii="宋体" w:hAnsi="宋体" w:cs="宋体"/>
          <w:color w:val="auto"/>
          <w:kern w:val="0"/>
          <w:szCs w:val="21"/>
        </w:rPr>
        <w:t>。</w:t>
      </w:r>
    </w:p>
    <w:p w14:paraId="077CBE91">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（7）其他：</w:t>
      </w:r>
      <w:r>
        <w:rPr>
          <w:rFonts w:hint="eastAsia" w:ascii="宋体" w:hAnsi="宋体" w:cs="宋体"/>
          <w:color w:val="auto"/>
          <w:kern w:val="0"/>
          <w:szCs w:val="21"/>
          <w:u w:val="single"/>
        </w:rPr>
        <w:t xml:space="preserve">      /                   </w:t>
      </w:r>
      <w:r>
        <w:rPr>
          <w:rFonts w:hint="eastAsia" w:ascii="宋体" w:hAnsi="宋体" w:cs="宋体"/>
          <w:color w:val="auto"/>
          <w:kern w:val="0"/>
          <w:szCs w:val="21"/>
        </w:rPr>
        <w:t>。</w:t>
      </w:r>
    </w:p>
    <w:p w14:paraId="57A77FB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16.1.3 因发包人违约解除合同</w:t>
      </w:r>
    </w:p>
    <w:p w14:paraId="4FDA856D">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承包人按16.1.1项〔发包人违约的情形〕约定暂停施工满</w:t>
      </w:r>
      <w:r>
        <w:rPr>
          <w:rFonts w:hint="eastAsia" w:ascii="宋体" w:hAnsi="宋体" w:cs="宋体"/>
          <w:color w:val="auto"/>
          <w:kern w:val="0"/>
          <w:szCs w:val="21"/>
          <w:u w:val="single"/>
        </w:rPr>
        <w:t xml:space="preserve">  /  </w:t>
      </w:r>
      <w:r>
        <w:rPr>
          <w:rFonts w:hint="eastAsia" w:ascii="宋体" w:hAnsi="宋体" w:cs="宋体"/>
          <w:color w:val="auto"/>
          <w:kern w:val="0"/>
          <w:szCs w:val="21"/>
        </w:rPr>
        <w:t>天后发包人仍不纠正其违约行为并致使合同目的不能实现的，承包人有权解除合同。</w:t>
      </w:r>
    </w:p>
    <w:p w14:paraId="0D3D79C6">
      <w:pPr>
        <w:pStyle w:val="5"/>
        <w:ind w:firstLine="422" w:firstLineChars="200"/>
        <w:rPr>
          <w:rFonts w:hint="eastAsia" w:ascii="宋体" w:hAnsi="宋体" w:cs="宋体"/>
          <w:color w:val="auto"/>
          <w:sz w:val="21"/>
          <w:szCs w:val="21"/>
        </w:rPr>
      </w:pPr>
      <w:bookmarkStart w:id="1406" w:name="_Toc389065333"/>
      <w:bookmarkStart w:id="1407" w:name="_Toc20192"/>
      <w:bookmarkStart w:id="1408" w:name="_Toc14374"/>
      <w:bookmarkStart w:id="1409" w:name="_Toc3961"/>
      <w:bookmarkStart w:id="1410" w:name="_Toc11925"/>
      <w:bookmarkStart w:id="1411" w:name="_Toc373478415"/>
      <w:bookmarkStart w:id="1412" w:name="_Toc1161"/>
      <w:bookmarkStart w:id="1413" w:name="_Toc486529026"/>
      <w:bookmarkStart w:id="1414" w:name="_Toc22265"/>
      <w:bookmarkStart w:id="1415" w:name="_Toc373227768"/>
      <w:r>
        <w:rPr>
          <w:rFonts w:hint="eastAsia" w:ascii="宋体" w:hAnsi="宋体" w:cs="宋体"/>
          <w:color w:val="auto"/>
          <w:sz w:val="21"/>
          <w:szCs w:val="21"/>
        </w:rPr>
        <w:t>16.2 承包人违约</w:t>
      </w:r>
      <w:bookmarkEnd w:id="1406"/>
      <w:bookmarkEnd w:id="1407"/>
      <w:bookmarkEnd w:id="1408"/>
      <w:bookmarkEnd w:id="1409"/>
      <w:bookmarkEnd w:id="1410"/>
      <w:bookmarkEnd w:id="1411"/>
      <w:bookmarkEnd w:id="1412"/>
      <w:bookmarkEnd w:id="1413"/>
      <w:bookmarkEnd w:id="1414"/>
      <w:bookmarkEnd w:id="1415"/>
    </w:p>
    <w:p w14:paraId="0A7545DF">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16.2.1 承包人违约的情形</w:t>
      </w:r>
    </w:p>
    <w:p w14:paraId="5006448B">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承包人违约的其他情形：</w:t>
      </w:r>
      <w:r>
        <w:rPr>
          <w:rFonts w:hint="eastAsia" w:ascii="宋体" w:hAnsi="宋体" w:cs="宋体"/>
          <w:color w:val="auto"/>
          <w:kern w:val="0"/>
          <w:szCs w:val="21"/>
          <w:u w:val="single"/>
        </w:rPr>
        <w:t xml:space="preserve">签约时填写           </w:t>
      </w:r>
      <w:r>
        <w:rPr>
          <w:rFonts w:hint="eastAsia" w:ascii="宋体" w:hAnsi="宋体" w:cs="宋体"/>
          <w:color w:val="auto"/>
          <w:kern w:val="0"/>
          <w:szCs w:val="21"/>
        </w:rPr>
        <w:t>。</w:t>
      </w:r>
    </w:p>
    <w:p w14:paraId="1B805BBE">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16.2.2承包人违约的责任</w:t>
      </w:r>
    </w:p>
    <w:p w14:paraId="264C5A4C">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承包人违约责任的承担方式和计算方法：</w:t>
      </w:r>
    </w:p>
    <w:p w14:paraId="5A30DA05">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承包人违反合同约定采购和使用不合格的材料和工程设备的或因承包人原因导致工程质量不符合合同要求的，承包人无条件返工处理，修复至工程质量要求并承担相关费用，并在发包人规定的时间内完成返工，否则发包人有权扣罚该分项工程10%的工程款作为处罚。因返工导致逾期竣工的，承包人应当承担逾期违约责任。承包人拒绝返工的，发包人有权单方解除本合同，没收履约保证金，并拒付不合格工程的全部款项，且承包人应当按合同总价款的10%向发包人支付违约金，违约金不足以弥补发包人损失的，承包人应当继续赔偿。</w:t>
      </w:r>
    </w:p>
    <w:p w14:paraId="1F28C570">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承包人在缺陷责任期及保修期内，未能在合理期限对工程缺陷进行修复，或拒绝按发包人要求进行修复的，或经监理人检验认为修复质量不合格而承包人拒绝再进行修补的，发包人将扣除承包人全部质量保修金，质量保修金不足以支付修复所需费用的，不足部分由承包人全额承担。</w:t>
      </w:r>
    </w:p>
    <w:p w14:paraId="7A2B286F">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64BB26DA">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16.2.3 因承包人违约解除合同</w:t>
      </w:r>
    </w:p>
    <w:p w14:paraId="7ACE7533">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关于承包人违约解除合同的特别约定：</w:t>
      </w:r>
      <w:r>
        <w:rPr>
          <w:rFonts w:hint="eastAsia" w:ascii="宋体" w:hAnsi="宋体" w:cs="宋体"/>
          <w:color w:val="auto"/>
          <w:kern w:val="0"/>
          <w:szCs w:val="21"/>
          <w:u w:val="single"/>
        </w:rPr>
        <w:t>承包人有违反以下情况之一的，发包人有权解除合同，并没收其全部履约保证金，且承包人应按合同总价的10%向发包人支付违约金：</w:t>
      </w:r>
    </w:p>
    <w:p w14:paraId="5D7316F8">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（1）承包人无正当理由不按开工通知的要求及时进场组织施工和不按签订协议书时商定的进度计划有效地开展施工准备，造成工期延误的；</w:t>
      </w:r>
    </w:p>
    <w:p w14:paraId="2345023C">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承包人违反本合同通用条款第3.5条规定私自将合同或合同的任何部分或任何权利转让给其他人，或私自将工程或工程的一部分分包、转包出去的，承包人与分包人、转包人之间的任何纠纷，以及由此产生的一切损失，均由承包人自行负责、承担；</w:t>
      </w:r>
    </w:p>
    <w:p w14:paraId="29737EFB">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（3）未经监理人批准，承包人私自将已按谈判文件承诺进入工地的工程设备、施工设备、临时工程或材料撤离工地的；</w:t>
      </w:r>
    </w:p>
    <w:p w14:paraId="4EDB2C17">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（4）由于承包人原因拒绝按合同进度计划及时完成合同规定的工程，而又未采取有效措施赶上进度，造成工期延误的；</w:t>
      </w:r>
    </w:p>
    <w:p w14:paraId="49373E14">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（5）承包人否认合同有效或拒绝履行合同规定的承包人义务，或由于法律、财务等原因导致承包人无法继续履行或实质上已停止履行合同的义务的；</w:t>
      </w:r>
    </w:p>
    <w:p w14:paraId="6755694B">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（6）合同签订之日起十五日内，承包人无法按合同规定及谈判文件的承诺进场经监理工程师认可的全部人员和机械的。</w:t>
      </w:r>
    </w:p>
    <w:p w14:paraId="52B54EE4">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u w:val="single"/>
        </w:rPr>
        <w:t xml:space="preserve"> 承包人承担  </w:t>
      </w:r>
      <w:r>
        <w:rPr>
          <w:rFonts w:hint="eastAsia" w:ascii="宋体" w:hAnsi="宋体" w:cs="宋体"/>
          <w:color w:val="auto"/>
          <w:kern w:val="0"/>
          <w:szCs w:val="21"/>
        </w:rPr>
        <w:t>。</w:t>
      </w:r>
    </w:p>
    <w:p w14:paraId="10A06935">
      <w:pPr>
        <w:pStyle w:val="4"/>
        <w:spacing w:line="360" w:lineRule="auto"/>
        <w:ind w:firstLine="422" w:firstLineChars="200"/>
        <w:rPr>
          <w:rFonts w:hint="eastAsia" w:ascii="宋体" w:hAnsi="宋体" w:cs="宋体"/>
          <w:color w:val="auto"/>
          <w:sz w:val="21"/>
          <w:szCs w:val="21"/>
        </w:rPr>
      </w:pPr>
      <w:bookmarkStart w:id="1416" w:name="_Toc24888"/>
      <w:bookmarkStart w:id="1417" w:name="_Toc373478416"/>
      <w:bookmarkStart w:id="1418" w:name="_Toc373227769"/>
      <w:bookmarkStart w:id="1419" w:name="_Toc30355"/>
      <w:bookmarkStart w:id="1420" w:name="_Toc5812"/>
      <w:bookmarkStart w:id="1421" w:name="_Toc27279"/>
      <w:bookmarkStart w:id="1422" w:name="_Toc389065334"/>
      <w:bookmarkStart w:id="1423" w:name="_Toc351203649"/>
      <w:bookmarkStart w:id="1424" w:name="_Toc3643"/>
      <w:bookmarkStart w:id="1425" w:name="_Toc16253"/>
      <w:bookmarkStart w:id="1426" w:name="_Toc486529027"/>
      <w:r>
        <w:rPr>
          <w:rFonts w:hint="eastAsia" w:ascii="宋体" w:hAnsi="宋体" w:cs="宋体"/>
          <w:color w:val="auto"/>
          <w:sz w:val="21"/>
          <w:szCs w:val="21"/>
        </w:rPr>
        <w:t>17. 不可抗力</w:t>
      </w:r>
      <w:bookmarkEnd w:id="1416"/>
      <w:bookmarkEnd w:id="1417"/>
      <w:bookmarkEnd w:id="1418"/>
      <w:bookmarkEnd w:id="1419"/>
      <w:bookmarkEnd w:id="1420"/>
      <w:bookmarkEnd w:id="1421"/>
      <w:bookmarkEnd w:id="1422"/>
      <w:bookmarkEnd w:id="1423"/>
      <w:bookmarkEnd w:id="1424"/>
      <w:bookmarkEnd w:id="1425"/>
      <w:bookmarkEnd w:id="1426"/>
      <w:r>
        <w:rPr>
          <w:rFonts w:hint="eastAsia" w:ascii="宋体" w:hAnsi="宋体" w:cs="宋体"/>
          <w:color w:val="auto"/>
          <w:sz w:val="21"/>
          <w:szCs w:val="21"/>
        </w:rPr>
        <w:t xml:space="preserve"> </w:t>
      </w:r>
      <w:bookmarkEnd w:id="1394"/>
    </w:p>
    <w:p w14:paraId="74F0CAB3">
      <w:pPr>
        <w:pStyle w:val="5"/>
        <w:ind w:firstLine="422" w:firstLineChars="200"/>
        <w:rPr>
          <w:rFonts w:hint="eastAsia" w:ascii="宋体" w:hAnsi="宋体" w:cs="宋体"/>
          <w:color w:val="auto"/>
          <w:sz w:val="21"/>
          <w:szCs w:val="21"/>
        </w:rPr>
      </w:pPr>
      <w:bookmarkStart w:id="1427" w:name="_Toc23655"/>
      <w:bookmarkStart w:id="1428" w:name="_Toc17038"/>
      <w:bookmarkStart w:id="1429" w:name="_Toc2477"/>
      <w:bookmarkStart w:id="1430" w:name="_Toc373227770"/>
      <w:bookmarkStart w:id="1431" w:name="_Toc10239"/>
      <w:bookmarkStart w:id="1432" w:name="_Toc486529028"/>
      <w:bookmarkStart w:id="1433" w:name="_Toc373478417"/>
      <w:bookmarkStart w:id="1434" w:name="_Toc389065335"/>
      <w:bookmarkStart w:id="1435" w:name="_Toc10991"/>
      <w:bookmarkStart w:id="1436" w:name="_Toc15408"/>
      <w:r>
        <w:rPr>
          <w:rFonts w:hint="eastAsia" w:ascii="宋体" w:hAnsi="宋体" w:cs="宋体"/>
          <w:color w:val="auto"/>
          <w:sz w:val="21"/>
          <w:szCs w:val="21"/>
        </w:rPr>
        <w:t>17.1 不可抗力的确认</w:t>
      </w:r>
      <w:bookmarkEnd w:id="1427"/>
      <w:bookmarkEnd w:id="1428"/>
      <w:bookmarkEnd w:id="1429"/>
      <w:bookmarkEnd w:id="1430"/>
      <w:bookmarkEnd w:id="1431"/>
      <w:bookmarkEnd w:id="1432"/>
      <w:bookmarkEnd w:id="1433"/>
      <w:bookmarkEnd w:id="1434"/>
      <w:bookmarkEnd w:id="1435"/>
      <w:bookmarkEnd w:id="1436"/>
    </w:p>
    <w:p w14:paraId="549D3AEC">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szCs w:val="21"/>
        </w:rPr>
        <w:t>除通用合同条款约定的不可抗力事件之外，视为不可抗力的其他情形：</w:t>
      </w:r>
      <w:r>
        <w:rPr>
          <w:rFonts w:hint="eastAsia" w:ascii="宋体" w:hAnsi="宋体" w:cs="宋体"/>
          <w:color w:val="auto"/>
          <w:kern w:val="0"/>
          <w:szCs w:val="21"/>
          <w:u w:val="single"/>
        </w:rPr>
        <w:t xml:space="preserve"> 不可抗力包括（1）恐怖主义、动乱、空中飞行整体坠落；（2）非发包人、承包人责任造成的爆炸、停工、火灾；（3）当地气象部门规定的情形；（4）当地地震部门规定的情形；（5）当地卫生部门规定的情形；（6）当地政府相关部门提供的对不可抗力的证明材料 </w:t>
      </w:r>
      <w:r>
        <w:rPr>
          <w:rFonts w:hint="eastAsia" w:ascii="宋体" w:hAnsi="宋体" w:cs="宋体"/>
          <w:color w:val="auto"/>
          <w:kern w:val="0"/>
          <w:szCs w:val="21"/>
        </w:rPr>
        <w:t>。</w:t>
      </w:r>
    </w:p>
    <w:p w14:paraId="2EEA605A">
      <w:pPr>
        <w:pStyle w:val="5"/>
        <w:ind w:firstLine="422" w:firstLineChars="200"/>
        <w:rPr>
          <w:rFonts w:hint="eastAsia" w:ascii="宋体" w:hAnsi="宋体" w:cs="宋体"/>
          <w:color w:val="auto"/>
          <w:sz w:val="21"/>
          <w:szCs w:val="21"/>
        </w:rPr>
      </w:pPr>
      <w:bookmarkStart w:id="1437" w:name="_Toc389065336"/>
      <w:bookmarkStart w:id="1438" w:name="_Toc15543"/>
      <w:bookmarkStart w:id="1439" w:name="_Toc373227771"/>
      <w:bookmarkStart w:id="1440" w:name="_Toc9545"/>
      <w:bookmarkStart w:id="1441" w:name="_Toc17531"/>
      <w:bookmarkStart w:id="1442" w:name="_Toc129"/>
      <w:bookmarkStart w:id="1443" w:name="_Toc373478418"/>
      <w:bookmarkStart w:id="1444" w:name="_Toc486529029"/>
      <w:bookmarkStart w:id="1445" w:name="_Toc20835"/>
      <w:bookmarkStart w:id="1446" w:name="_Toc28917"/>
      <w:r>
        <w:rPr>
          <w:rFonts w:hint="eastAsia" w:ascii="宋体" w:hAnsi="宋体" w:cs="宋体"/>
          <w:color w:val="auto"/>
          <w:sz w:val="21"/>
          <w:szCs w:val="21"/>
        </w:rPr>
        <w:t>17.4 因不可抗力解除合同</w:t>
      </w:r>
      <w:bookmarkEnd w:id="1437"/>
      <w:bookmarkEnd w:id="1438"/>
      <w:bookmarkEnd w:id="1439"/>
      <w:bookmarkEnd w:id="1440"/>
      <w:bookmarkEnd w:id="1441"/>
      <w:bookmarkEnd w:id="1442"/>
      <w:bookmarkEnd w:id="1443"/>
      <w:bookmarkEnd w:id="1444"/>
      <w:bookmarkEnd w:id="1445"/>
      <w:bookmarkEnd w:id="1446"/>
    </w:p>
    <w:p w14:paraId="707F36C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 xml:space="preserve">  14  </w:t>
      </w:r>
      <w:r>
        <w:rPr>
          <w:rFonts w:hint="eastAsia" w:ascii="宋体" w:hAnsi="宋体" w:cs="宋体"/>
          <w:color w:val="auto"/>
          <w:szCs w:val="21"/>
        </w:rPr>
        <w:t>个工作日内完成款项的支付。</w:t>
      </w:r>
    </w:p>
    <w:p w14:paraId="5B64970D">
      <w:pPr>
        <w:pStyle w:val="4"/>
        <w:spacing w:line="360" w:lineRule="auto"/>
        <w:ind w:firstLine="422" w:firstLineChars="200"/>
        <w:rPr>
          <w:rFonts w:hint="eastAsia" w:ascii="宋体" w:hAnsi="宋体" w:cs="宋体"/>
          <w:color w:val="auto"/>
          <w:sz w:val="21"/>
          <w:szCs w:val="21"/>
        </w:rPr>
      </w:pPr>
      <w:bookmarkStart w:id="1447" w:name="_Toc4553"/>
      <w:bookmarkStart w:id="1448" w:name="_Toc486529030"/>
      <w:bookmarkStart w:id="1449" w:name="_Toc351203650"/>
      <w:bookmarkStart w:id="1450" w:name="_Toc31777"/>
      <w:bookmarkStart w:id="1451" w:name="_Toc24424"/>
      <w:bookmarkStart w:id="1452" w:name="_Toc373227772"/>
      <w:bookmarkStart w:id="1453" w:name="_Toc20733"/>
      <w:bookmarkStart w:id="1454" w:name="_Toc389065337"/>
      <w:bookmarkStart w:id="1455" w:name="_Toc373478419"/>
      <w:bookmarkStart w:id="1456" w:name="_Toc13984"/>
      <w:r>
        <w:rPr>
          <w:rFonts w:hint="eastAsia" w:ascii="宋体" w:hAnsi="宋体" w:cs="宋体"/>
          <w:color w:val="auto"/>
          <w:sz w:val="21"/>
          <w:szCs w:val="21"/>
        </w:rPr>
        <w:t>18. 保险</w:t>
      </w:r>
      <w:bookmarkEnd w:id="1447"/>
      <w:bookmarkEnd w:id="1448"/>
      <w:bookmarkEnd w:id="1449"/>
      <w:bookmarkEnd w:id="1450"/>
      <w:bookmarkEnd w:id="1451"/>
      <w:bookmarkEnd w:id="1452"/>
      <w:bookmarkEnd w:id="1453"/>
      <w:bookmarkEnd w:id="1454"/>
      <w:bookmarkEnd w:id="1455"/>
      <w:bookmarkEnd w:id="1456"/>
    </w:p>
    <w:bookmarkEnd w:id="1395"/>
    <w:p w14:paraId="3D03C130">
      <w:pPr>
        <w:pStyle w:val="5"/>
        <w:ind w:firstLine="422" w:firstLineChars="200"/>
        <w:rPr>
          <w:rFonts w:hint="eastAsia" w:ascii="宋体" w:hAnsi="宋体" w:cs="宋体"/>
          <w:color w:val="auto"/>
          <w:sz w:val="21"/>
          <w:szCs w:val="21"/>
        </w:rPr>
      </w:pPr>
      <w:bookmarkStart w:id="1457" w:name="_Toc16737"/>
      <w:bookmarkStart w:id="1458" w:name="_Toc389065338"/>
      <w:bookmarkStart w:id="1459" w:name="_Toc21882"/>
      <w:bookmarkStart w:id="1460" w:name="_Toc19434"/>
      <w:bookmarkStart w:id="1461" w:name="_Toc373227773"/>
      <w:bookmarkStart w:id="1462" w:name="_Toc16396"/>
      <w:bookmarkStart w:id="1463" w:name="_Toc373478420"/>
      <w:bookmarkStart w:id="1464" w:name="_Toc30910"/>
      <w:bookmarkStart w:id="1465" w:name="_Toc486529031"/>
      <w:bookmarkStart w:id="1466" w:name="_Toc17914"/>
      <w:r>
        <w:rPr>
          <w:rFonts w:hint="eastAsia" w:ascii="宋体" w:hAnsi="宋体" w:cs="宋体"/>
          <w:color w:val="auto"/>
          <w:sz w:val="21"/>
          <w:szCs w:val="21"/>
        </w:rPr>
        <w:t>18.1 工程保险</w:t>
      </w:r>
      <w:bookmarkEnd w:id="1457"/>
      <w:bookmarkEnd w:id="1458"/>
      <w:bookmarkEnd w:id="1459"/>
      <w:bookmarkEnd w:id="1460"/>
      <w:bookmarkEnd w:id="1461"/>
      <w:bookmarkEnd w:id="1462"/>
      <w:bookmarkEnd w:id="1463"/>
      <w:bookmarkEnd w:id="1464"/>
      <w:bookmarkEnd w:id="1465"/>
      <w:bookmarkEnd w:id="1466"/>
    </w:p>
    <w:p w14:paraId="541724C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kern w:val="0"/>
          <w:szCs w:val="21"/>
          <w:u w:val="single"/>
        </w:rPr>
        <w:t xml:space="preserve">承包人应投保建筑工程一切险并承担与之相关的所有费用 </w:t>
      </w:r>
      <w:r>
        <w:rPr>
          <w:rFonts w:hint="eastAsia" w:ascii="宋体" w:hAnsi="宋体" w:cs="宋体"/>
          <w:color w:val="auto"/>
          <w:kern w:val="0"/>
          <w:szCs w:val="21"/>
        </w:rPr>
        <w:t>。</w:t>
      </w:r>
    </w:p>
    <w:p w14:paraId="16E9E38C">
      <w:pPr>
        <w:pStyle w:val="5"/>
        <w:ind w:firstLine="422" w:firstLineChars="200"/>
        <w:rPr>
          <w:rFonts w:hint="eastAsia" w:ascii="宋体" w:hAnsi="宋体" w:cs="宋体"/>
          <w:color w:val="auto"/>
          <w:sz w:val="21"/>
          <w:szCs w:val="21"/>
        </w:rPr>
      </w:pPr>
      <w:bookmarkStart w:id="1467" w:name="_Toc373227774"/>
      <w:bookmarkStart w:id="1468" w:name="_Toc18960"/>
      <w:bookmarkStart w:id="1469" w:name="_Toc389065339"/>
      <w:bookmarkStart w:id="1470" w:name="_Toc21429"/>
      <w:bookmarkStart w:id="1471" w:name="_Toc17849"/>
      <w:bookmarkStart w:id="1472" w:name="_Toc32195"/>
      <w:bookmarkStart w:id="1473" w:name="_Toc3673"/>
      <w:bookmarkStart w:id="1474" w:name="_Toc22342"/>
      <w:bookmarkStart w:id="1475" w:name="_Toc486529032"/>
      <w:bookmarkStart w:id="1476" w:name="_Toc373478421"/>
      <w:r>
        <w:rPr>
          <w:rFonts w:hint="eastAsia" w:ascii="宋体" w:hAnsi="宋体" w:cs="宋体"/>
          <w:color w:val="auto"/>
          <w:sz w:val="21"/>
          <w:szCs w:val="21"/>
        </w:rPr>
        <w:t>18.3 其他保险</w:t>
      </w:r>
      <w:bookmarkEnd w:id="1467"/>
      <w:bookmarkEnd w:id="1468"/>
      <w:bookmarkEnd w:id="1469"/>
      <w:bookmarkEnd w:id="1470"/>
      <w:bookmarkEnd w:id="1471"/>
      <w:bookmarkEnd w:id="1472"/>
      <w:bookmarkEnd w:id="1473"/>
      <w:bookmarkEnd w:id="1474"/>
      <w:bookmarkEnd w:id="1475"/>
      <w:bookmarkEnd w:id="1476"/>
    </w:p>
    <w:p w14:paraId="25CB26C3">
      <w:pPr>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rPr>
        <w:t>关于其他保险的约定：</w:t>
      </w:r>
      <w:r>
        <w:rPr>
          <w:rFonts w:hint="eastAsia" w:ascii="宋体" w:hAnsi="宋体" w:cs="宋体"/>
          <w:bCs/>
          <w:color w:val="auto"/>
          <w:szCs w:val="21"/>
          <w:u w:val="single"/>
        </w:rPr>
        <w:t xml:space="preserve"> </w:t>
      </w:r>
      <w:r>
        <w:rPr>
          <w:rFonts w:hint="eastAsia" w:ascii="宋体" w:hAnsi="宋体" w:cs="宋体"/>
          <w:b/>
          <w:bCs/>
          <w:color w:val="auto"/>
          <w:szCs w:val="21"/>
          <w:u w:val="single"/>
        </w:rPr>
        <w:t>承包人必须为施工现场从事施工的所有作业人员和管理人员办理意外伤害保险，并支付保险费</w:t>
      </w:r>
      <w:r>
        <w:rPr>
          <w:rFonts w:hint="eastAsia" w:ascii="宋体" w:hAnsi="宋体" w:cs="宋体"/>
          <w:bCs/>
          <w:color w:val="auto"/>
          <w:szCs w:val="21"/>
          <w:u w:val="single"/>
        </w:rPr>
        <w:t xml:space="preserve"> </w:t>
      </w:r>
      <w:r>
        <w:rPr>
          <w:rFonts w:hint="eastAsia" w:ascii="宋体" w:hAnsi="宋体" w:cs="宋体"/>
          <w:bCs/>
          <w:color w:val="auto"/>
          <w:szCs w:val="21"/>
        </w:rPr>
        <w:t>。</w:t>
      </w:r>
    </w:p>
    <w:p w14:paraId="7D9AC374">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 xml:space="preserve">  承包人自行考虑  </w:t>
      </w:r>
      <w:r>
        <w:rPr>
          <w:rFonts w:hint="eastAsia" w:ascii="宋体" w:hAnsi="宋体" w:cs="宋体"/>
          <w:color w:val="auto"/>
          <w:szCs w:val="21"/>
        </w:rPr>
        <w:t>。</w:t>
      </w:r>
    </w:p>
    <w:p w14:paraId="35493752">
      <w:pPr>
        <w:pStyle w:val="5"/>
        <w:ind w:firstLine="422" w:firstLineChars="200"/>
        <w:rPr>
          <w:rFonts w:hint="eastAsia" w:ascii="宋体" w:hAnsi="宋体" w:cs="宋体"/>
          <w:color w:val="auto"/>
          <w:sz w:val="21"/>
          <w:szCs w:val="21"/>
        </w:rPr>
      </w:pPr>
      <w:bookmarkStart w:id="1477" w:name="_Toc24724"/>
      <w:bookmarkStart w:id="1478" w:name="_Toc373227775"/>
      <w:bookmarkStart w:id="1479" w:name="_Toc30764"/>
      <w:bookmarkStart w:id="1480" w:name="_Toc32715"/>
      <w:bookmarkStart w:id="1481" w:name="_Toc13981"/>
      <w:bookmarkStart w:id="1482" w:name="_Toc486529033"/>
      <w:bookmarkStart w:id="1483" w:name="_Toc9937"/>
      <w:bookmarkStart w:id="1484" w:name="_Toc389065340"/>
      <w:bookmarkStart w:id="1485" w:name="_Toc373478422"/>
      <w:bookmarkStart w:id="1486" w:name="_Toc21301"/>
      <w:r>
        <w:rPr>
          <w:rFonts w:hint="eastAsia" w:ascii="宋体" w:hAnsi="宋体" w:cs="宋体"/>
          <w:color w:val="auto"/>
          <w:sz w:val="21"/>
          <w:szCs w:val="21"/>
        </w:rPr>
        <w:t>18.7 通知义务</w:t>
      </w:r>
      <w:bookmarkEnd w:id="1477"/>
      <w:bookmarkEnd w:id="1478"/>
      <w:bookmarkEnd w:id="1479"/>
      <w:bookmarkEnd w:id="1480"/>
      <w:bookmarkEnd w:id="1481"/>
      <w:bookmarkEnd w:id="1482"/>
      <w:bookmarkEnd w:id="1483"/>
      <w:bookmarkEnd w:id="1484"/>
      <w:bookmarkEnd w:id="1485"/>
      <w:bookmarkEnd w:id="1486"/>
    </w:p>
    <w:p w14:paraId="54DC1A22">
      <w:pPr>
        <w:spacing w:line="360" w:lineRule="auto"/>
        <w:ind w:firstLine="420" w:firstLineChars="200"/>
        <w:rPr>
          <w:rFonts w:hint="eastAsia" w:ascii="宋体" w:hAnsi="宋体" w:cs="宋体"/>
          <w:color w:val="auto"/>
          <w:szCs w:val="21"/>
          <w:u w:val="single"/>
        </w:rPr>
      </w:pPr>
      <w:r>
        <w:rPr>
          <w:rFonts w:hint="eastAsia" w:ascii="宋体" w:hAnsi="宋体" w:cs="宋体"/>
          <w:color w:val="auto"/>
          <w:kern w:val="0"/>
          <w:szCs w:val="21"/>
        </w:rPr>
        <w:t>关于变更保险合同时的通知义务的约定：</w:t>
      </w:r>
      <w:r>
        <w:rPr>
          <w:rFonts w:hint="eastAsia" w:ascii="宋体" w:hAnsi="宋体" w:cs="宋体"/>
          <w:color w:val="auto"/>
          <w:szCs w:val="21"/>
          <w:u w:val="single"/>
        </w:rPr>
        <w:t xml:space="preserve"> /     </w:t>
      </w:r>
      <w:r>
        <w:rPr>
          <w:rFonts w:hint="eastAsia" w:ascii="宋体" w:hAnsi="宋体" w:cs="宋体"/>
          <w:color w:val="auto"/>
          <w:szCs w:val="21"/>
        </w:rPr>
        <w:t>。</w:t>
      </w:r>
    </w:p>
    <w:bookmarkEnd w:id="1331"/>
    <w:bookmarkEnd w:id="1332"/>
    <w:bookmarkEnd w:id="1333"/>
    <w:bookmarkEnd w:id="1334"/>
    <w:bookmarkEnd w:id="1335"/>
    <w:bookmarkEnd w:id="1336"/>
    <w:bookmarkEnd w:id="1337"/>
    <w:bookmarkEnd w:id="1338"/>
    <w:bookmarkEnd w:id="1339"/>
    <w:bookmarkEnd w:id="1340"/>
    <w:bookmarkEnd w:id="1341"/>
    <w:bookmarkEnd w:id="1342"/>
    <w:p w14:paraId="1AE35FEC">
      <w:pPr>
        <w:pStyle w:val="4"/>
        <w:spacing w:line="360" w:lineRule="auto"/>
        <w:ind w:firstLine="422" w:firstLineChars="200"/>
        <w:rPr>
          <w:rFonts w:hint="eastAsia" w:ascii="宋体" w:hAnsi="宋体" w:cs="宋体"/>
          <w:color w:val="auto"/>
          <w:sz w:val="21"/>
          <w:szCs w:val="21"/>
        </w:rPr>
      </w:pPr>
      <w:bookmarkStart w:id="1487" w:name="_Toc373478423"/>
      <w:bookmarkStart w:id="1488" w:name="_Toc29538"/>
      <w:bookmarkStart w:id="1489" w:name="_Toc486529034"/>
      <w:bookmarkStart w:id="1490" w:name="_Toc351203651"/>
      <w:bookmarkStart w:id="1491" w:name="_Toc373227776"/>
      <w:bookmarkStart w:id="1492" w:name="_Toc13154"/>
      <w:bookmarkStart w:id="1493" w:name="_Toc11548"/>
      <w:bookmarkStart w:id="1494" w:name="_Toc389065341"/>
      <w:bookmarkStart w:id="1495" w:name="_Toc25509"/>
      <w:bookmarkStart w:id="1496" w:name="_Toc31740"/>
      <w:bookmarkStart w:id="1497" w:name="_Toc7285"/>
      <w:r>
        <w:rPr>
          <w:rFonts w:hint="eastAsia" w:ascii="宋体" w:hAnsi="宋体" w:cs="宋体"/>
          <w:color w:val="auto"/>
          <w:sz w:val="21"/>
          <w:szCs w:val="21"/>
        </w:rPr>
        <w:t>20. 争议解决</w:t>
      </w:r>
      <w:bookmarkEnd w:id="1487"/>
      <w:bookmarkEnd w:id="1488"/>
      <w:bookmarkEnd w:id="1489"/>
      <w:bookmarkEnd w:id="1490"/>
      <w:bookmarkEnd w:id="1491"/>
      <w:bookmarkEnd w:id="1492"/>
      <w:bookmarkEnd w:id="1493"/>
      <w:bookmarkEnd w:id="1494"/>
      <w:bookmarkEnd w:id="1495"/>
      <w:bookmarkEnd w:id="1496"/>
      <w:bookmarkEnd w:id="1497"/>
    </w:p>
    <w:bookmarkEnd w:id="1343"/>
    <w:bookmarkEnd w:id="1344"/>
    <w:p w14:paraId="1FE3A4D9">
      <w:pPr>
        <w:pStyle w:val="5"/>
        <w:ind w:firstLine="422" w:firstLineChars="200"/>
        <w:rPr>
          <w:rFonts w:hint="eastAsia" w:ascii="宋体" w:hAnsi="宋体" w:cs="宋体"/>
          <w:color w:val="auto"/>
          <w:sz w:val="21"/>
          <w:szCs w:val="21"/>
        </w:rPr>
      </w:pPr>
      <w:bookmarkStart w:id="1498" w:name="_Toc7193"/>
      <w:bookmarkStart w:id="1499" w:name="_Toc5920"/>
      <w:bookmarkStart w:id="1500" w:name="_Toc10893"/>
      <w:bookmarkStart w:id="1501" w:name="_Toc23988"/>
      <w:bookmarkStart w:id="1502" w:name="_Toc373227777"/>
      <w:bookmarkStart w:id="1503" w:name="_Toc5996"/>
      <w:bookmarkStart w:id="1504" w:name="_Toc373478424"/>
      <w:bookmarkStart w:id="1505" w:name="_Toc389065342"/>
      <w:bookmarkStart w:id="1506" w:name="_Toc20938"/>
      <w:bookmarkStart w:id="1507" w:name="_Toc486529035"/>
      <w:r>
        <w:rPr>
          <w:rFonts w:hint="eastAsia" w:ascii="宋体" w:hAnsi="宋体" w:cs="宋体"/>
          <w:color w:val="auto"/>
          <w:sz w:val="21"/>
          <w:szCs w:val="21"/>
        </w:rPr>
        <w:t>20.3 争</w:t>
      </w:r>
      <w:bookmarkEnd w:id="1345"/>
      <w:r>
        <w:rPr>
          <w:rFonts w:hint="eastAsia" w:ascii="宋体" w:hAnsi="宋体" w:cs="宋体"/>
          <w:color w:val="auto"/>
          <w:sz w:val="21"/>
          <w:szCs w:val="21"/>
        </w:rPr>
        <w:t>议评审</w:t>
      </w:r>
      <w:bookmarkEnd w:id="1498"/>
      <w:bookmarkEnd w:id="1499"/>
      <w:bookmarkEnd w:id="1500"/>
      <w:bookmarkEnd w:id="1501"/>
      <w:bookmarkEnd w:id="1502"/>
      <w:bookmarkEnd w:id="1503"/>
      <w:bookmarkEnd w:id="1504"/>
      <w:bookmarkEnd w:id="1505"/>
      <w:bookmarkEnd w:id="1506"/>
      <w:bookmarkEnd w:id="1507"/>
    </w:p>
    <w:p w14:paraId="7B37D093">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rPr>
        <w:t xml:space="preserve">     /  </w:t>
      </w:r>
      <w:r>
        <w:rPr>
          <w:rFonts w:hint="eastAsia" w:ascii="宋体" w:hAnsi="宋体" w:cs="宋体"/>
          <w:color w:val="auto"/>
          <w:szCs w:val="21"/>
        </w:rPr>
        <w:t>。</w:t>
      </w:r>
    </w:p>
    <w:p w14:paraId="27499D0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20.3.1 争议评审小组的确定</w:t>
      </w:r>
    </w:p>
    <w:p w14:paraId="4E18DDBE">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                 </w:t>
      </w:r>
      <w:r>
        <w:rPr>
          <w:rFonts w:hint="eastAsia" w:ascii="宋体" w:hAnsi="宋体" w:cs="宋体"/>
          <w:color w:val="auto"/>
          <w:szCs w:val="21"/>
        </w:rPr>
        <w:t>。</w:t>
      </w:r>
    </w:p>
    <w:p w14:paraId="2AFFAC9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                 </w:t>
      </w:r>
      <w:r>
        <w:rPr>
          <w:rFonts w:hint="eastAsia" w:ascii="宋体" w:hAnsi="宋体" w:cs="宋体"/>
          <w:color w:val="auto"/>
          <w:szCs w:val="21"/>
        </w:rPr>
        <w:t>。</w:t>
      </w:r>
    </w:p>
    <w:p w14:paraId="2D8C421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 xml:space="preserve">      /            </w:t>
      </w:r>
      <w:r>
        <w:rPr>
          <w:rFonts w:hint="eastAsia" w:ascii="宋体" w:hAnsi="宋体" w:cs="宋体"/>
          <w:color w:val="auto"/>
          <w:szCs w:val="21"/>
        </w:rPr>
        <w:t>。</w:t>
      </w:r>
    </w:p>
    <w:p w14:paraId="78D1540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1190CC23">
      <w:pPr>
        <w:autoSpaceDE w:val="0"/>
        <w:autoSpaceDN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20.3.2 争议评审小组的决定</w:t>
      </w:r>
    </w:p>
    <w:p w14:paraId="7AF4147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00C2B49D">
      <w:pPr>
        <w:pStyle w:val="5"/>
        <w:ind w:firstLine="422" w:firstLineChars="200"/>
        <w:rPr>
          <w:rFonts w:hint="eastAsia" w:ascii="宋体" w:hAnsi="宋体" w:cs="宋体"/>
          <w:color w:val="auto"/>
          <w:sz w:val="21"/>
          <w:szCs w:val="21"/>
        </w:rPr>
      </w:pPr>
      <w:bookmarkStart w:id="1508" w:name="_Toc11959"/>
      <w:bookmarkStart w:id="1509" w:name="_Toc389065343"/>
      <w:bookmarkStart w:id="1510" w:name="_Toc15922"/>
      <w:bookmarkStart w:id="1511" w:name="_Toc373478425"/>
      <w:bookmarkStart w:id="1512" w:name="_Toc7766"/>
      <w:bookmarkStart w:id="1513" w:name="_Toc373227778"/>
      <w:bookmarkStart w:id="1514" w:name="_Toc20566"/>
      <w:bookmarkStart w:id="1515" w:name="_Toc14815"/>
      <w:bookmarkStart w:id="1516" w:name="_Toc486529036"/>
      <w:bookmarkStart w:id="1517" w:name="_Toc22619"/>
      <w:r>
        <w:rPr>
          <w:rFonts w:hint="eastAsia" w:ascii="宋体" w:hAnsi="宋体" w:cs="宋体"/>
          <w:color w:val="auto"/>
          <w:sz w:val="21"/>
          <w:szCs w:val="21"/>
        </w:rPr>
        <w:t>20.4 仲裁或诉讼</w:t>
      </w:r>
      <w:bookmarkEnd w:id="1346"/>
      <w:bookmarkEnd w:id="1508"/>
      <w:bookmarkEnd w:id="1509"/>
      <w:bookmarkEnd w:id="1510"/>
      <w:bookmarkEnd w:id="1511"/>
      <w:bookmarkEnd w:id="1512"/>
      <w:bookmarkEnd w:id="1513"/>
      <w:bookmarkEnd w:id="1514"/>
      <w:bookmarkEnd w:id="1515"/>
      <w:bookmarkEnd w:id="1516"/>
      <w:bookmarkEnd w:id="1517"/>
    </w:p>
    <w:p w14:paraId="48979D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因合同及合同有关事项发生的争议，按下列第</w:t>
      </w:r>
      <w:r>
        <w:rPr>
          <w:rFonts w:hint="eastAsia" w:ascii="宋体" w:hAnsi="宋体" w:cs="宋体"/>
          <w:color w:val="auto"/>
          <w:szCs w:val="21"/>
          <w:u w:val="single"/>
        </w:rPr>
        <w:t xml:space="preserve"> （2） </w:t>
      </w:r>
      <w:r>
        <w:rPr>
          <w:rFonts w:hint="eastAsia" w:ascii="宋体" w:hAnsi="宋体" w:cs="宋体"/>
          <w:color w:val="auto"/>
          <w:szCs w:val="21"/>
        </w:rPr>
        <w:t>种方式解决：</w:t>
      </w:r>
    </w:p>
    <w:p w14:paraId="7B7ADB5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（1）提请</w:t>
      </w:r>
      <w:r>
        <w:rPr>
          <w:rFonts w:hint="eastAsia" w:ascii="宋体" w:hAnsi="宋体" w:cs="宋体"/>
          <w:color w:val="auto"/>
          <w:szCs w:val="21"/>
          <w:u w:val="single"/>
        </w:rPr>
        <w:t>桂林</w:t>
      </w:r>
      <w:r>
        <w:rPr>
          <w:rFonts w:hint="eastAsia" w:ascii="宋体" w:hAnsi="宋体" w:cs="宋体"/>
          <w:color w:val="auto"/>
          <w:szCs w:val="21"/>
        </w:rPr>
        <w:t>仲裁委员会按照该会仲裁规则进行仲裁，仲裁裁决是终局的，对合同双方均有约束力。</w:t>
      </w:r>
    </w:p>
    <w:p w14:paraId="333D25F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发包人所在地  </w:t>
      </w:r>
      <w:r>
        <w:rPr>
          <w:rFonts w:hint="eastAsia" w:ascii="宋体" w:hAnsi="宋体" w:cs="宋体"/>
          <w:color w:val="auto"/>
          <w:szCs w:val="21"/>
        </w:rPr>
        <w:t>人民法院起诉。</w:t>
      </w:r>
      <w:bookmarkEnd w:id="1347"/>
      <w:bookmarkEnd w:id="1348"/>
      <w:bookmarkEnd w:id="1349"/>
      <w:bookmarkEnd w:id="1350"/>
      <w:bookmarkEnd w:id="1351"/>
      <w:bookmarkEnd w:id="1352"/>
    </w:p>
    <w:p w14:paraId="4BE57547">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21 补充条款</w:t>
      </w:r>
    </w:p>
    <w:p w14:paraId="3CD0FFC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21.1本工程位于桂林市城区，承包人在成交报价时应自行考虑材料运输可能多出的费用，并将此项费用包含在综合单价内。工程施工过程中及结算时招标人将不允许再进行任何材料和设备的超运距签证。</w:t>
      </w:r>
    </w:p>
    <w:p w14:paraId="38F07C9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21.2</w:t>
      </w:r>
      <w:r>
        <w:rPr>
          <w:rFonts w:hint="eastAsia" w:hAnsi="宋体"/>
          <w:color w:val="auto"/>
        </w:rPr>
        <w:t>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未按上述规定执行的按违约处理，发包人可按规定上报监督管理部门</w:t>
      </w:r>
      <w:r>
        <w:rPr>
          <w:rFonts w:hint="eastAsia" w:ascii="宋体" w:hAnsi="宋体" w:cs="宋体"/>
          <w:color w:val="auto"/>
          <w:szCs w:val="21"/>
        </w:rPr>
        <w:t>。</w:t>
      </w:r>
    </w:p>
    <w:p w14:paraId="7CE8486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21.3承包人工程结算送审金额超过三方确认的审定金额的5%时，即（送审金额一审定金额）送审金额的5%时，超过5%部分的结算审核费由承包人承担，在结算款中扣除。</w:t>
      </w:r>
    </w:p>
    <w:p w14:paraId="762F77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21.4承包人有以下情形之一者，视为违约，发包人有权依法解除合同，没收其全部履约保证金承包人还应承担合同价款10%的违约金，并上报相关行政主管部门。</w:t>
      </w:r>
    </w:p>
    <w:p w14:paraId="1613FD9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①经有关建设主管部门鉴定确认，承包人有挂靠行为。</w:t>
      </w:r>
    </w:p>
    <w:p w14:paraId="17F374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②转包工程，以牟取转让费、管理费。</w:t>
      </w:r>
    </w:p>
    <w:p w14:paraId="71CA122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21.5如因政策性原因或者项目暂时（或永久）取消导致开工延误或无法开工，发包人不支付承包人任何赔偿或补偿，并可根据政策要求或项目情况延时开工或取消部分合同内容。 </w:t>
      </w:r>
    </w:p>
    <w:p w14:paraId="7026EAA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21.6承包人向发包人支付的违约金、罚款等，发包人有权从任何一笔应付款中予以扣除。</w:t>
      </w:r>
    </w:p>
    <w:p w14:paraId="200436EC">
      <w:pPr>
        <w:spacing w:line="360" w:lineRule="auto"/>
        <w:rPr>
          <w:rFonts w:hint="eastAsia" w:ascii="宋体" w:hAnsi="宋体" w:cs="宋体"/>
          <w:b/>
          <w:color w:val="auto"/>
          <w:szCs w:val="21"/>
        </w:rPr>
      </w:pPr>
      <w:bookmarkStart w:id="1518" w:name="_Toc351203652"/>
    </w:p>
    <w:p w14:paraId="5CBBCF21">
      <w:pPr>
        <w:pStyle w:val="2"/>
        <w:rPr>
          <w:rFonts w:hint="eastAsia" w:ascii="宋体" w:hAnsi="宋体" w:cs="宋体"/>
          <w:b/>
          <w:color w:val="auto"/>
          <w:szCs w:val="21"/>
        </w:rPr>
      </w:pPr>
    </w:p>
    <w:p w14:paraId="2C060533">
      <w:pPr>
        <w:pStyle w:val="2"/>
        <w:rPr>
          <w:rFonts w:hint="eastAsia" w:ascii="宋体" w:hAnsi="宋体" w:cs="宋体"/>
          <w:b/>
          <w:color w:val="auto"/>
          <w:szCs w:val="21"/>
        </w:rPr>
      </w:pPr>
    </w:p>
    <w:p w14:paraId="7E0231B1">
      <w:pPr>
        <w:pStyle w:val="2"/>
        <w:rPr>
          <w:rFonts w:hint="eastAsia" w:ascii="宋体" w:hAnsi="宋体" w:cs="宋体"/>
          <w:b/>
          <w:color w:val="auto"/>
          <w:szCs w:val="21"/>
        </w:rPr>
      </w:pPr>
    </w:p>
    <w:p w14:paraId="35394E09">
      <w:pPr>
        <w:pStyle w:val="2"/>
        <w:rPr>
          <w:rFonts w:hint="eastAsia" w:ascii="宋体" w:hAnsi="宋体" w:cs="宋体"/>
          <w:b/>
          <w:color w:val="auto"/>
          <w:szCs w:val="21"/>
        </w:rPr>
      </w:pPr>
    </w:p>
    <w:p w14:paraId="7273771F">
      <w:pPr>
        <w:pStyle w:val="2"/>
        <w:rPr>
          <w:rFonts w:hint="eastAsia" w:ascii="宋体" w:hAnsi="宋体" w:cs="宋体"/>
          <w:b/>
          <w:color w:val="auto"/>
          <w:szCs w:val="21"/>
        </w:rPr>
      </w:pPr>
    </w:p>
    <w:p w14:paraId="52ADE7E2">
      <w:pPr>
        <w:pStyle w:val="2"/>
        <w:rPr>
          <w:rFonts w:hint="eastAsia" w:ascii="宋体" w:hAnsi="宋体" w:cs="宋体"/>
          <w:b/>
          <w:color w:val="auto"/>
          <w:szCs w:val="21"/>
        </w:rPr>
      </w:pPr>
    </w:p>
    <w:p w14:paraId="74A59A3F">
      <w:pPr>
        <w:pStyle w:val="2"/>
        <w:rPr>
          <w:rFonts w:hint="eastAsia" w:ascii="宋体" w:hAnsi="宋体" w:cs="宋体"/>
          <w:b/>
          <w:color w:val="auto"/>
          <w:szCs w:val="21"/>
        </w:rPr>
      </w:pPr>
    </w:p>
    <w:p w14:paraId="101B583A">
      <w:pPr>
        <w:pStyle w:val="2"/>
        <w:rPr>
          <w:rFonts w:hint="eastAsia" w:ascii="宋体" w:hAnsi="宋体" w:cs="宋体"/>
          <w:b/>
          <w:color w:val="auto"/>
          <w:szCs w:val="21"/>
        </w:rPr>
      </w:pPr>
    </w:p>
    <w:p w14:paraId="04146DEF">
      <w:pPr>
        <w:pStyle w:val="2"/>
        <w:rPr>
          <w:rFonts w:hint="eastAsia" w:ascii="宋体" w:hAnsi="宋体" w:cs="宋体"/>
          <w:b/>
          <w:color w:val="auto"/>
          <w:szCs w:val="21"/>
        </w:rPr>
      </w:pPr>
    </w:p>
    <w:p w14:paraId="1ECA1A88">
      <w:pPr>
        <w:pStyle w:val="2"/>
        <w:rPr>
          <w:rFonts w:hint="eastAsia" w:ascii="宋体" w:hAnsi="宋体" w:cs="宋体"/>
          <w:b/>
          <w:color w:val="auto"/>
          <w:szCs w:val="21"/>
        </w:rPr>
      </w:pPr>
    </w:p>
    <w:p w14:paraId="4A68896E">
      <w:pPr>
        <w:pStyle w:val="2"/>
        <w:rPr>
          <w:rFonts w:hint="eastAsia" w:ascii="宋体" w:hAnsi="宋体" w:cs="宋体"/>
          <w:b/>
          <w:color w:val="auto"/>
          <w:szCs w:val="21"/>
        </w:rPr>
      </w:pPr>
    </w:p>
    <w:p w14:paraId="276D1961">
      <w:pPr>
        <w:pStyle w:val="2"/>
        <w:rPr>
          <w:rFonts w:hint="eastAsia" w:ascii="宋体" w:hAnsi="宋体" w:cs="宋体"/>
          <w:b/>
          <w:color w:val="auto"/>
          <w:szCs w:val="21"/>
        </w:rPr>
      </w:pPr>
    </w:p>
    <w:p w14:paraId="1F735E9B">
      <w:pPr>
        <w:pStyle w:val="2"/>
        <w:rPr>
          <w:rFonts w:hint="eastAsia" w:ascii="宋体" w:hAnsi="宋体" w:cs="宋体"/>
          <w:b/>
          <w:color w:val="auto"/>
          <w:szCs w:val="21"/>
        </w:rPr>
      </w:pPr>
    </w:p>
    <w:p w14:paraId="280114E9">
      <w:pPr>
        <w:pStyle w:val="2"/>
        <w:rPr>
          <w:rFonts w:hint="eastAsia" w:ascii="宋体" w:hAnsi="宋体" w:cs="宋体"/>
          <w:b/>
          <w:color w:val="auto"/>
          <w:szCs w:val="21"/>
        </w:rPr>
      </w:pPr>
    </w:p>
    <w:p w14:paraId="4C8BF5C0">
      <w:pPr>
        <w:pStyle w:val="2"/>
        <w:rPr>
          <w:rFonts w:hint="eastAsia" w:ascii="宋体" w:hAnsi="宋体" w:cs="宋体"/>
          <w:b/>
          <w:color w:val="auto"/>
          <w:szCs w:val="21"/>
        </w:rPr>
        <w:sectPr>
          <w:footerReference r:id="rId9" w:type="default"/>
          <w:pgSz w:w="11907" w:h="16840"/>
          <w:pgMar w:top="1440" w:right="1293" w:bottom="1440" w:left="1293" w:header="850" w:footer="850" w:gutter="0"/>
          <w:pgNumType w:start="1"/>
          <w:cols w:space="720" w:num="1"/>
          <w:docGrid w:linePitch="312" w:charSpace="0"/>
        </w:sectPr>
      </w:pPr>
    </w:p>
    <w:p w14:paraId="305FAF0D">
      <w:pPr>
        <w:snapToGrid w:val="0"/>
        <w:spacing w:line="360" w:lineRule="auto"/>
        <w:rPr>
          <w:rFonts w:hint="eastAsia" w:ascii="宋体" w:hAnsi="宋体" w:cs="宋体"/>
          <w:b/>
          <w:color w:val="auto"/>
          <w:szCs w:val="21"/>
        </w:rPr>
      </w:pPr>
      <w:r>
        <w:rPr>
          <w:rFonts w:hint="eastAsia" w:ascii="宋体" w:hAnsi="宋体" w:cs="宋体"/>
          <w:b/>
          <w:color w:val="auto"/>
          <w:szCs w:val="21"/>
        </w:rPr>
        <w:t>附件</w:t>
      </w:r>
    </w:p>
    <w:p w14:paraId="61CB5991">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协议书附件：</w:t>
      </w:r>
    </w:p>
    <w:p w14:paraId="5137F354">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附件1：承包人承揽工程项目一览表</w:t>
      </w:r>
    </w:p>
    <w:p w14:paraId="6A7ECDAE">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专用合同条款附件：</w:t>
      </w:r>
    </w:p>
    <w:p w14:paraId="1DA58932">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附件2：工程质量保修书</w:t>
      </w:r>
    </w:p>
    <w:p w14:paraId="728CF5BD">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附件3：主要建设工程文件目录</w:t>
      </w:r>
    </w:p>
    <w:p w14:paraId="24BC44CE">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附件4：承包人用于本工程施工的机械设备表</w:t>
      </w:r>
    </w:p>
    <w:p w14:paraId="65A85119">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附件5：承包人主要施工管理人员表</w:t>
      </w:r>
    </w:p>
    <w:p w14:paraId="053C2A1E">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附件6：履约保函示范文本（独立保函）</w:t>
      </w:r>
    </w:p>
    <w:p w14:paraId="702861F0">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附件7：履约保函示范文本（非独立保函）</w:t>
      </w:r>
    </w:p>
    <w:p w14:paraId="5842385C">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附件8：预付款保函示范文本（独立保函）</w:t>
      </w:r>
    </w:p>
    <w:p w14:paraId="7F790B24">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附件9 预付款保函示范文本（非独立保函）</w:t>
      </w:r>
    </w:p>
    <w:p w14:paraId="61AD6F98">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附件10。预付款支付申请（核准）表</w:t>
      </w:r>
    </w:p>
    <w:p w14:paraId="559EFC73">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附件11进度款支付申请（核准）表</w:t>
      </w:r>
    </w:p>
    <w:p w14:paraId="4F47A6A3">
      <w:pPr>
        <w:pStyle w:val="279"/>
        <w:wordWrap w:val="0"/>
        <w:spacing w:before="0" w:after="0" w:line="340" w:lineRule="exact"/>
        <w:rPr>
          <w:color w:val="auto"/>
          <w:szCs w:val="21"/>
        </w:rPr>
      </w:pPr>
      <w:r>
        <w:rPr>
          <w:rFonts w:hint="eastAsia"/>
          <w:color w:val="auto"/>
          <w:szCs w:val="21"/>
        </w:rPr>
        <w:t>附件12竣工结算款支付申请（核准）表</w:t>
      </w:r>
    </w:p>
    <w:p w14:paraId="0AD09369">
      <w:pPr>
        <w:pStyle w:val="279"/>
        <w:wordWrap w:val="0"/>
        <w:spacing w:before="0" w:after="0" w:line="340" w:lineRule="exact"/>
        <w:rPr>
          <w:color w:val="auto"/>
          <w:szCs w:val="21"/>
        </w:rPr>
      </w:pPr>
      <w:r>
        <w:rPr>
          <w:rFonts w:hint="eastAsia" w:hAnsi="宋体" w:cs="宋体"/>
          <w:color w:val="auto"/>
          <w:szCs w:val="21"/>
        </w:rPr>
        <w:t>附件13</w:t>
      </w:r>
      <w:r>
        <w:rPr>
          <w:rFonts w:hint="eastAsia"/>
          <w:color w:val="auto"/>
          <w:szCs w:val="21"/>
        </w:rPr>
        <w:t>最终结算款支付申请（核准）表</w:t>
      </w:r>
    </w:p>
    <w:p w14:paraId="7EB3CE99">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附件14：成交通知书</w:t>
      </w:r>
    </w:p>
    <w:p w14:paraId="5309D145">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附件15：承包人的竞标函</w:t>
      </w:r>
    </w:p>
    <w:p w14:paraId="3AAE307D">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附件16：承包人的谈判报价及最后报价</w:t>
      </w:r>
    </w:p>
    <w:p w14:paraId="4786FEE1">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附件17：承包人的营业执照等主体证明文件</w:t>
      </w:r>
    </w:p>
    <w:p w14:paraId="20ECE4EB">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附件18：承包人有效资质证书复印件</w:t>
      </w:r>
    </w:p>
    <w:p w14:paraId="3B16C36B">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附件19：承包人的有效安全生产许可证</w:t>
      </w:r>
    </w:p>
    <w:p w14:paraId="7353B49D">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附件20：承包人法人身份证复印件</w:t>
      </w:r>
    </w:p>
    <w:p w14:paraId="6D44D595">
      <w:pPr>
        <w:pStyle w:val="279"/>
        <w:wordWrap w:val="0"/>
        <w:spacing w:before="0" w:after="0" w:line="340" w:lineRule="exact"/>
        <w:rPr>
          <w:rFonts w:hint="eastAsia" w:ascii="宋体" w:hAnsi="宋体" w:cs="宋体"/>
          <w:color w:val="auto"/>
          <w:szCs w:val="21"/>
        </w:rPr>
      </w:pPr>
      <w:r>
        <w:rPr>
          <w:rFonts w:hint="eastAsia" w:ascii="宋体" w:hAnsi="宋体" w:cs="宋体"/>
          <w:color w:val="auto"/>
          <w:szCs w:val="21"/>
        </w:rPr>
        <w:t>附件21：承包人项目经理有效的资格证书复印件</w:t>
      </w:r>
    </w:p>
    <w:p w14:paraId="04C29A5C">
      <w:pPr>
        <w:pStyle w:val="279"/>
        <w:spacing w:before="0" w:after="0" w:line="360" w:lineRule="auto"/>
        <w:rPr>
          <w:rFonts w:hint="eastAsia" w:ascii="宋体" w:hAnsi="宋体" w:cs="宋体"/>
          <w:color w:val="auto"/>
          <w:szCs w:val="21"/>
        </w:rPr>
      </w:pPr>
    </w:p>
    <w:p w14:paraId="38A87E2F">
      <w:pPr>
        <w:pStyle w:val="279"/>
        <w:spacing w:before="0" w:after="0" w:line="360" w:lineRule="auto"/>
        <w:rPr>
          <w:rFonts w:hint="eastAsia" w:ascii="宋体" w:hAnsi="宋体" w:cs="宋体"/>
          <w:color w:val="auto"/>
          <w:szCs w:val="21"/>
        </w:rPr>
      </w:pPr>
    </w:p>
    <w:p w14:paraId="32FDA4D8">
      <w:pPr>
        <w:pStyle w:val="279"/>
        <w:spacing w:before="0" w:after="0" w:line="360" w:lineRule="auto"/>
        <w:rPr>
          <w:rFonts w:hint="eastAsia" w:ascii="宋体" w:hAnsi="宋体" w:cs="宋体"/>
          <w:color w:val="auto"/>
          <w:szCs w:val="21"/>
        </w:rPr>
      </w:pPr>
    </w:p>
    <w:p w14:paraId="47A9CF28">
      <w:pPr>
        <w:pStyle w:val="279"/>
        <w:spacing w:before="0" w:after="0" w:line="360" w:lineRule="auto"/>
        <w:rPr>
          <w:rFonts w:hint="eastAsia" w:ascii="宋体" w:hAnsi="宋体" w:cs="宋体"/>
          <w:color w:val="auto"/>
          <w:szCs w:val="21"/>
        </w:rPr>
      </w:pPr>
    </w:p>
    <w:p w14:paraId="587CFF75">
      <w:pPr>
        <w:pStyle w:val="279"/>
        <w:spacing w:before="0" w:after="0" w:line="360" w:lineRule="auto"/>
        <w:rPr>
          <w:rFonts w:hint="eastAsia" w:ascii="宋体" w:hAnsi="宋体" w:cs="宋体"/>
          <w:color w:val="auto"/>
          <w:szCs w:val="21"/>
        </w:rPr>
      </w:pPr>
    </w:p>
    <w:p w14:paraId="4E6101BF">
      <w:pPr>
        <w:pStyle w:val="279"/>
        <w:spacing w:before="0" w:after="0" w:line="360" w:lineRule="auto"/>
        <w:rPr>
          <w:rFonts w:hint="eastAsia" w:ascii="宋体" w:hAnsi="宋体" w:cs="宋体"/>
          <w:color w:val="auto"/>
          <w:szCs w:val="21"/>
        </w:rPr>
      </w:pPr>
    </w:p>
    <w:p w14:paraId="7A8CD8D8">
      <w:pPr>
        <w:pStyle w:val="279"/>
        <w:spacing w:before="0" w:after="0" w:line="360" w:lineRule="auto"/>
        <w:rPr>
          <w:rFonts w:hint="eastAsia" w:ascii="宋体" w:hAnsi="宋体" w:cs="宋体"/>
          <w:color w:val="auto"/>
          <w:szCs w:val="21"/>
        </w:rPr>
      </w:pPr>
    </w:p>
    <w:p w14:paraId="0867DC38">
      <w:pPr>
        <w:pStyle w:val="279"/>
        <w:spacing w:before="0" w:after="0" w:line="360" w:lineRule="auto"/>
        <w:rPr>
          <w:rFonts w:hint="eastAsia" w:ascii="宋体" w:hAnsi="宋体" w:cs="宋体"/>
          <w:color w:val="auto"/>
          <w:szCs w:val="21"/>
        </w:rPr>
      </w:pPr>
    </w:p>
    <w:p w14:paraId="13780CAA">
      <w:pPr>
        <w:pStyle w:val="279"/>
        <w:spacing w:before="0" w:after="0" w:line="360" w:lineRule="auto"/>
        <w:rPr>
          <w:rFonts w:hint="eastAsia" w:ascii="宋体" w:hAnsi="宋体" w:cs="宋体"/>
          <w:color w:val="auto"/>
          <w:szCs w:val="21"/>
        </w:rPr>
      </w:pPr>
    </w:p>
    <w:p w14:paraId="7F8A91B2">
      <w:pPr>
        <w:pStyle w:val="279"/>
        <w:spacing w:before="0" w:after="0" w:line="360" w:lineRule="auto"/>
        <w:rPr>
          <w:rFonts w:hint="eastAsia" w:ascii="宋体" w:hAnsi="宋体" w:cs="宋体"/>
          <w:color w:val="auto"/>
          <w:szCs w:val="21"/>
        </w:rPr>
      </w:pPr>
    </w:p>
    <w:p w14:paraId="020465DC">
      <w:pPr>
        <w:spacing w:before="120" w:beforeLines="50" w:after="120" w:afterLines="50" w:line="440" w:lineRule="exact"/>
        <w:jc w:val="left"/>
        <w:rPr>
          <w:rFonts w:ascii="仿宋_GB2312" w:eastAsia="仿宋_GB2312" w:cs="仿宋_GB2312"/>
          <w:color w:val="auto"/>
          <w:sz w:val="30"/>
          <w:szCs w:val="30"/>
        </w:rPr>
        <w:sectPr>
          <w:pgSz w:w="11905" w:h="16838"/>
          <w:pgMar w:top="1440" w:right="1519" w:bottom="1440" w:left="1519" w:header="850" w:footer="850" w:gutter="0"/>
          <w:cols w:space="720" w:num="1"/>
          <w:docGrid w:linePitch="312" w:charSpace="0"/>
        </w:sectPr>
      </w:pPr>
    </w:p>
    <w:p w14:paraId="7DC456B3">
      <w:pPr>
        <w:spacing w:before="120" w:beforeLines="50" w:after="120" w:afterLines="50" w:line="440" w:lineRule="exact"/>
        <w:jc w:val="left"/>
        <w:rPr>
          <w:rFonts w:ascii="仿宋_GB2312" w:eastAsia="仿宋_GB2312"/>
          <w:color w:val="auto"/>
          <w:sz w:val="30"/>
          <w:szCs w:val="30"/>
        </w:rPr>
      </w:pPr>
      <w:r>
        <w:rPr>
          <w:rFonts w:hint="eastAsia" w:ascii="仿宋_GB2312" w:eastAsia="仿宋_GB2312" w:cs="仿宋_GB2312"/>
          <w:color w:val="auto"/>
          <w:sz w:val="30"/>
          <w:szCs w:val="30"/>
        </w:rPr>
        <w:t>附件</w:t>
      </w:r>
      <w:r>
        <w:rPr>
          <w:rFonts w:ascii="仿宋_GB2312" w:eastAsia="仿宋_GB2312" w:cs="仿宋_GB2312"/>
          <w:color w:val="auto"/>
          <w:sz w:val="30"/>
          <w:szCs w:val="30"/>
        </w:rPr>
        <w:t>1</w:t>
      </w:r>
      <w:r>
        <w:rPr>
          <w:rFonts w:hint="eastAsia" w:ascii="仿宋_GB2312" w:eastAsia="仿宋_GB2312" w:cs="仿宋_GB2312"/>
          <w:color w:val="auto"/>
          <w:sz w:val="30"/>
          <w:szCs w:val="30"/>
        </w:rPr>
        <w:t>：</w:t>
      </w:r>
    </w:p>
    <w:p w14:paraId="703F108E">
      <w:pPr>
        <w:spacing w:before="120" w:beforeLines="50" w:after="120" w:afterLines="50" w:line="440" w:lineRule="exact"/>
        <w:jc w:val="center"/>
        <w:rPr>
          <w:rFonts w:eastAsia="黑体"/>
          <w:color w:val="auto"/>
          <w:sz w:val="30"/>
          <w:szCs w:val="30"/>
        </w:rPr>
      </w:pPr>
      <w:r>
        <w:rPr>
          <w:rFonts w:hint="eastAsia" w:eastAsia="黑体" w:cs="黑体"/>
          <w:color w:val="auto"/>
          <w:sz w:val="30"/>
          <w:szCs w:val="30"/>
        </w:rPr>
        <w:t>承包人承揽工程项目一览表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7CAA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3E6B0E59">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单位工程名称</w:t>
            </w:r>
          </w:p>
        </w:tc>
        <w:tc>
          <w:tcPr>
            <w:tcW w:w="1440" w:type="dxa"/>
            <w:vAlign w:val="center"/>
          </w:tcPr>
          <w:p w14:paraId="2C12426D">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建设规模</w:t>
            </w:r>
          </w:p>
        </w:tc>
        <w:tc>
          <w:tcPr>
            <w:tcW w:w="1620" w:type="dxa"/>
            <w:vAlign w:val="center"/>
          </w:tcPr>
          <w:p w14:paraId="538B1E1F">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建筑面积</w:t>
            </w:r>
            <w:r>
              <w:rPr>
                <w:rFonts w:eastAsia="仿宋_GB2312"/>
                <w:color w:val="auto"/>
                <w:sz w:val="28"/>
                <w:szCs w:val="28"/>
              </w:rPr>
              <w:t>(</w:t>
            </w:r>
            <w:r>
              <w:rPr>
                <w:rFonts w:hint="eastAsia" w:eastAsia="仿宋_GB2312" w:cs="仿宋_GB2312"/>
                <w:color w:val="auto"/>
                <w:sz w:val="28"/>
                <w:szCs w:val="28"/>
              </w:rPr>
              <w:t>平方米</w:t>
            </w:r>
            <w:r>
              <w:rPr>
                <w:rFonts w:eastAsia="仿宋_GB2312"/>
                <w:color w:val="auto"/>
                <w:sz w:val="28"/>
                <w:szCs w:val="28"/>
              </w:rPr>
              <w:t>)</w:t>
            </w:r>
          </w:p>
        </w:tc>
        <w:tc>
          <w:tcPr>
            <w:tcW w:w="1661" w:type="dxa"/>
            <w:vAlign w:val="center"/>
          </w:tcPr>
          <w:p w14:paraId="1B0F72E4">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结构形式</w:t>
            </w:r>
          </w:p>
        </w:tc>
        <w:tc>
          <w:tcPr>
            <w:tcW w:w="850" w:type="dxa"/>
            <w:vAlign w:val="center"/>
          </w:tcPr>
          <w:p w14:paraId="3AB75052">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层数</w:t>
            </w:r>
          </w:p>
        </w:tc>
        <w:tc>
          <w:tcPr>
            <w:tcW w:w="1560" w:type="dxa"/>
            <w:vAlign w:val="center"/>
          </w:tcPr>
          <w:p w14:paraId="25913C2C">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生产能力</w:t>
            </w:r>
          </w:p>
        </w:tc>
        <w:tc>
          <w:tcPr>
            <w:tcW w:w="2126" w:type="dxa"/>
            <w:vAlign w:val="center"/>
          </w:tcPr>
          <w:p w14:paraId="4FBE2A6B">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设备安装内容</w:t>
            </w:r>
          </w:p>
        </w:tc>
        <w:tc>
          <w:tcPr>
            <w:tcW w:w="1417" w:type="dxa"/>
            <w:vAlign w:val="center"/>
          </w:tcPr>
          <w:p w14:paraId="4D6E1AD2">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合同价格（元）</w:t>
            </w:r>
          </w:p>
        </w:tc>
        <w:tc>
          <w:tcPr>
            <w:tcW w:w="851" w:type="dxa"/>
            <w:vAlign w:val="center"/>
          </w:tcPr>
          <w:p w14:paraId="1407BCDD">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开工日期</w:t>
            </w:r>
          </w:p>
        </w:tc>
        <w:tc>
          <w:tcPr>
            <w:tcW w:w="850" w:type="dxa"/>
            <w:vAlign w:val="center"/>
          </w:tcPr>
          <w:p w14:paraId="07E52435">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竣工日期</w:t>
            </w:r>
          </w:p>
        </w:tc>
      </w:tr>
      <w:tr w14:paraId="6D17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ED67494">
            <w:pPr>
              <w:pStyle w:val="2"/>
              <w:keepNext/>
              <w:spacing w:after="0" w:line="440" w:lineRule="exact"/>
              <w:ind w:left="63" w:right="63"/>
              <w:rPr>
                <w:rFonts w:eastAsia="仿宋_GB2312"/>
                <w:color w:val="auto"/>
                <w:sz w:val="30"/>
                <w:szCs w:val="30"/>
              </w:rPr>
            </w:pPr>
          </w:p>
        </w:tc>
        <w:tc>
          <w:tcPr>
            <w:tcW w:w="1440" w:type="dxa"/>
            <w:vAlign w:val="center"/>
          </w:tcPr>
          <w:p w14:paraId="444319EC">
            <w:pPr>
              <w:pStyle w:val="2"/>
              <w:keepNext/>
              <w:spacing w:after="0" w:line="440" w:lineRule="exact"/>
              <w:ind w:left="63" w:right="63"/>
              <w:rPr>
                <w:rFonts w:eastAsia="仿宋_GB2312"/>
                <w:color w:val="auto"/>
                <w:sz w:val="30"/>
                <w:szCs w:val="30"/>
              </w:rPr>
            </w:pPr>
          </w:p>
        </w:tc>
        <w:tc>
          <w:tcPr>
            <w:tcW w:w="1620" w:type="dxa"/>
            <w:vAlign w:val="center"/>
          </w:tcPr>
          <w:p w14:paraId="5D464980">
            <w:pPr>
              <w:pStyle w:val="2"/>
              <w:keepNext/>
              <w:spacing w:after="0" w:line="440" w:lineRule="exact"/>
              <w:ind w:left="63" w:right="63"/>
              <w:rPr>
                <w:rFonts w:eastAsia="仿宋_GB2312"/>
                <w:color w:val="auto"/>
                <w:sz w:val="30"/>
                <w:szCs w:val="30"/>
              </w:rPr>
            </w:pPr>
          </w:p>
        </w:tc>
        <w:tc>
          <w:tcPr>
            <w:tcW w:w="1661" w:type="dxa"/>
            <w:vAlign w:val="center"/>
          </w:tcPr>
          <w:p w14:paraId="6C7E9A60">
            <w:pPr>
              <w:pStyle w:val="2"/>
              <w:keepNext/>
              <w:spacing w:after="0" w:line="440" w:lineRule="exact"/>
              <w:ind w:left="63" w:right="63"/>
              <w:rPr>
                <w:rFonts w:eastAsia="仿宋_GB2312"/>
                <w:color w:val="auto"/>
                <w:sz w:val="30"/>
                <w:szCs w:val="30"/>
              </w:rPr>
            </w:pPr>
          </w:p>
        </w:tc>
        <w:tc>
          <w:tcPr>
            <w:tcW w:w="850" w:type="dxa"/>
            <w:vAlign w:val="center"/>
          </w:tcPr>
          <w:p w14:paraId="4FF53DC6">
            <w:pPr>
              <w:pStyle w:val="2"/>
              <w:keepNext/>
              <w:spacing w:after="0" w:line="440" w:lineRule="exact"/>
              <w:ind w:left="63" w:right="63"/>
              <w:rPr>
                <w:rFonts w:eastAsia="仿宋_GB2312"/>
                <w:color w:val="auto"/>
                <w:sz w:val="30"/>
                <w:szCs w:val="30"/>
              </w:rPr>
            </w:pPr>
          </w:p>
        </w:tc>
        <w:tc>
          <w:tcPr>
            <w:tcW w:w="1560" w:type="dxa"/>
            <w:vAlign w:val="center"/>
          </w:tcPr>
          <w:p w14:paraId="0E4FBA29">
            <w:pPr>
              <w:pStyle w:val="2"/>
              <w:keepNext/>
              <w:spacing w:after="0" w:line="440" w:lineRule="exact"/>
              <w:ind w:left="63" w:right="63"/>
              <w:rPr>
                <w:rFonts w:eastAsia="仿宋_GB2312"/>
                <w:color w:val="auto"/>
                <w:sz w:val="30"/>
                <w:szCs w:val="30"/>
              </w:rPr>
            </w:pPr>
          </w:p>
        </w:tc>
        <w:tc>
          <w:tcPr>
            <w:tcW w:w="2126" w:type="dxa"/>
            <w:vAlign w:val="center"/>
          </w:tcPr>
          <w:p w14:paraId="23A57995">
            <w:pPr>
              <w:pStyle w:val="2"/>
              <w:keepNext/>
              <w:spacing w:after="0" w:line="440" w:lineRule="exact"/>
              <w:ind w:left="63" w:right="63"/>
              <w:rPr>
                <w:rFonts w:eastAsia="仿宋_GB2312"/>
                <w:color w:val="auto"/>
                <w:sz w:val="30"/>
                <w:szCs w:val="30"/>
              </w:rPr>
            </w:pPr>
          </w:p>
        </w:tc>
        <w:tc>
          <w:tcPr>
            <w:tcW w:w="1417" w:type="dxa"/>
            <w:vAlign w:val="center"/>
          </w:tcPr>
          <w:p w14:paraId="1E3615EF">
            <w:pPr>
              <w:pStyle w:val="2"/>
              <w:keepNext/>
              <w:spacing w:after="0" w:line="440" w:lineRule="exact"/>
              <w:ind w:left="63" w:right="63"/>
              <w:rPr>
                <w:rFonts w:eastAsia="仿宋_GB2312"/>
                <w:color w:val="auto"/>
                <w:sz w:val="30"/>
                <w:szCs w:val="30"/>
              </w:rPr>
            </w:pPr>
          </w:p>
        </w:tc>
        <w:tc>
          <w:tcPr>
            <w:tcW w:w="851" w:type="dxa"/>
            <w:vAlign w:val="center"/>
          </w:tcPr>
          <w:p w14:paraId="1BF42C45">
            <w:pPr>
              <w:pStyle w:val="2"/>
              <w:keepNext/>
              <w:spacing w:after="0" w:line="440" w:lineRule="exact"/>
              <w:ind w:left="63" w:right="63"/>
              <w:rPr>
                <w:rFonts w:eastAsia="仿宋_GB2312"/>
                <w:color w:val="auto"/>
                <w:sz w:val="30"/>
                <w:szCs w:val="30"/>
              </w:rPr>
            </w:pPr>
          </w:p>
        </w:tc>
        <w:tc>
          <w:tcPr>
            <w:tcW w:w="850" w:type="dxa"/>
            <w:vAlign w:val="center"/>
          </w:tcPr>
          <w:p w14:paraId="0153209F">
            <w:pPr>
              <w:pStyle w:val="2"/>
              <w:keepNext/>
              <w:spacing w:after="0" w:line="440" w:lineRule="exact"/>
              <w:ind w:left="63" w:right="63"/>
              <w:rPr>
                <w:rFonts w:eastAsia="仿宋_GB2312"/>
                <w:color w:val="auto"/>
                <w:sz w:val="30"/>
                <w:szCs w:val="30"/>
              </w:rPr>
            </w:pPr>
          </w:p>
        </w:tc>
      </w:tr>
      <w:tr w14:paraId="78EA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C4640F7">
            <w:pPr>
              <w:pStyle w:val="2"/>
              <w:keepNext/>
              <w:spacing w:after="0" w:line="440" w:lineRule="exact"/>
              <w:ind w:left="63" w:right="63"/>
              <w:rPr>
                <w:rFonts w:eastAsia="仿宋_GB2312"/>
                <w:color w:val="auto"/>
                <w:sz w:val="30"/>
                <w:szCs w:val="30"/>
              </w:rPr>
            </w:pPr>
          </w:p>
        </w:tc>
        <w:tc>
          <w:tcPr>
            <w:tcW w:w="1440" w:type="dxa"/>
            <w:vAlign w:val="center"/>
          </w:tcPr>
          <w:p w14:paraId="1E37067E">
            <w:pPr>
              <w:pStyle w:val="2"/>
              <w:keepNext/>
              <w:spacing w:after="0" w:line="440" w:lineRule="exact"/>
              <w:ind w:left="63" w:right="63"/>
              <w:rPr>
                <w:rFonts w:eastAsia="仿宋_GB2312"/>
                <w:color w:val="auto"/>
                <w:sz w:val="30"/>
                <w:szCs w:val="30"/>
              </w:rPr>
            </w:pPr>
          </w:p>
        </w:tc>
        <w:tc>
          <w:tcPr>
            <w:tcW w:w="1620" w:type="dxa"/>
            <w:vAlign w:val="center"/>
          </w:tcPr>
          <w:p w14:paraId="4000E38B">
            <w:pPr>
              <w:pStyle w:val="2"/>
              <w:keepNext/>
              <w:spacing w:after="0" w:line="440" w:lineRule="exact"/>
              <w:ind w:left="63" w:right="63"/>
              <w:rPr>
                <w:rFonts w:eastAsia="仿宋_GB2312"/>
                <w:color w:val="auto"/>
                <w:sz w:val="30"/>
                <w:szCs w:val="30"/>
              </w:rPr>
            </w:pPr>
          </w:p>
        </w:tc>
        <w:tc>
          <w:tcPr>
            <w:tcW w:w="1661" w:type="dxa"/>
            <w:vAlign w:val="center"/>
          </w:tcPr>
          <w:p w14:paraId="7D26282E">
            <w:pPr>
              <w:pStyle w:val="2"/>
              <w:keepNext/>
              <w:spacing w:after="0" w:line="440" w:lineRule="exact"/>
              <w:ind w:left="63" w:right="63"/>
              <w:rPr>
                <w:rFonts w:eastAsia="仿宋_GB2312"/>
                <w:color w:val="auto"/>
                <w:sz w:val="30"/>
                <w:szCs w:val="30"/>
              </w:rPr>
            </w:pPr>
          </w:p>
        </w:tc>
        <w:tc>
          <w:tcPr>
            <w:tcW w:w="850" w:type="dxa"/>
            <w:vAlign w:val="center"/>
          </w:tcPr>
          <w:p w14:paraId="3BE06100">
            <w:pPr>
              <w:pStyle w:val="2"/>
              <w:keepNext/>
              <w:spacing w:after="0" w:line="440" w:lineRule="exact"/>
              <w:ind w:left="63" w:right="63"/>
              <w:rPr>
                <w:rFonts w:eastAsia="仿宋_GB2312"/>
                <w:color w:val="auto"/>
                <w:sz w:val="30"/>
                <w:szCs w:val="30"/>
              </w:rPr>
            </w:pPr>
          </w:p>
        </w:tc>
        <w:tc>
          <w:tcPr>
            <w:tcW w:w="1560" w:type="dxa"/>
            <w:vAlign w:val="center"/>
          </w:tcPr>
          <w:p w14:paraId="29F6133E">
            <w:pPr>
              <w:pStyle w:val="2"/>
              <w:keepNext/>
              <w:spacing w:after="0" w:line="440" w:lineRule="exact"/>
              <w:ind w:left="63" w:right="63"/>
              <w:rPr>
                <w:rFonts w:eastAsia="仿宋_GB2312"/>
                <w:color w:val="auto"/>
                <w:sz w:val="30"/>
                <w:szCs w:val="30"/>
              </w:rPr>
            </w:pPr>
          </w:p>
        </w:tc>
        <w:tc>
          <w:tcPr>
            <w:tcW w:w="2126" w:type="dxa"/>
            <w:vAlign w:val="center"/>
          </w:tcPr>
          <w:p w14:paraId="604D0DFC">
            <w:pPr>
              <w:pStyle w:val="2"/>
              <w:keepNext/>
              <w:spacing w:after="0" w:line="440" w:lineRule="exact"/>
              <w:ind w:left="63" w:right="63"/>
              <w:rPr>
                <w:rFonts w:eastAsia="仿宋_GB2312"/>
                <w:color w:val="auto"/>
                <w:sz w:val="30"/>
                <w:szCs w:val="30"/>
              </w:rPr>
            </w:pPr>
          </w:p>
        </w:tc>
        <w:tc>
          <w:tcPr>
            <w:tcW w:w="1417" w:type="dxa"/>
            <w:vAlign w:val="center"/>
          </w:tcPr>
          <w:p w14:paraId="071E5BEF">
            <w:pPr>
              <w:pStyle w:val="2"/>
              <w:keepNext/>
              <w:spacing w:after="0" w:line="440" w:lineRule="exact"/>
              <w:ind w:left="63" w:right="63"/>
              <w:rPr>
                <w:rFonts w:eastAsia="仿宋_GB2312"/>
                <w:color w:val="auto"/>
                <w:sz w:val="30"/>
                <w:szCs w:val="30"/>
              </w:rPr>
            </w:pPr>
          </w:p>
        </w:tc>
        <w:tc>
          <w:tcPr>
            <w:tcW w:w="851" w:type="dxa"/>
            <w:vAlign w:val="center"/>
          </w:tcPr>
          <w:p w14:paraId="32B99C11">
            <w:pPr>
              <w:pStyle w:val="2"/>
              <w:keepNext/>
              <w:spacing w:after="0" w:line="440" w:lineRule="exact"/>
              <w:ind w:left="63" w:right="63"/>
              <w:rPr>
                <w:rFonts w:eastAsia="仿宋_GB2312"/>
                <w:color w:val="auto"/>
                <w:sz w:val="30"/>
                <w:szCs w:val="30"/>
              </w:rPr>
            </w:pPr>
          </w:p>
        </w:tc>
        <w:tc>
          <w:tcPr>
            <w:tcW w:w="850" w:type="dxa"/>
            <w:vAlign w:val="center"/>
          </w:tcPr>
          <w:p w14:paraId="15A51384">
            <w:pPr>
              <w:pStyle w:val="2"/>
              <w:keepNext/>
              <w:spacing w:after="0" w:line="440" w:lineRule="exact"/>
              <w:ind w:left="63" w:right="63"/>
              <w:rPr>
                <w:rFonts w:eastAsia="仿宋_GB2312"/>
                <w:color w:val="auto"/>
                <w:sz w:val="30"/>
                <w:szCs w:val="30"/>
              </w:rPr>
            </w:pPr>
          </w:p>
        </w:tc>
      </w:tr>
      <w:tr w14:paraId="2FBB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538EBD4">
            <w:pPr>
              <w:pStyle w:val="2"/>
              <w:keepNext/>
              <w:spacing w:after="0" w:line="440" w:lineRule="exact"/>
              <w:ind w:left="63" w:right="63"/>
              <w:rPr>
                <w:rFonts w:eastAsia="仿宋_GB2312"/>
                <w:color w:val="auto"/>
                <w:sz w:val="30"/>
                <w:szCs w:val="30"/>
              </w:rPr>
            </w:pPr>
          </w:p>
        </w:tc>
        <w:tc>
          <w:tcPr>
            <w:tcW w:w="1440" w:type="dxa"/>
            <w:vAlign w:val="center"/>
          </w:tcPr>
          <w:p w14:paraId="03BBF9D0">
            <w:pPr>
              <w:pStyle w:val="2"/>
              <w:keepNext/>
              <w:spacing w:after="0" w:line="440" w:lineRule="exact"/>
              <w:ind w:left="63" w:right="63"/>
              <w:rPr>
                <w:rFonts w:eastAsia="仿宋_GB2312"/>
                <w:color w:val="auto"/>
                <w:sz w:val="30"/>
                <w:szCs w:val="30"/>
              </w:rPr>
            </w:pPr>
          </w:p>
        </w:tc>
        <w:tc>
          <w:tcPr>
            <w:tcW w:w="1620" w:type="dxa"/>
            <w:vAlign w:val="center"/>
          </w:tcPr>
          <w:p w14:paraId="5D6B5336">
            <w:pPr>
              <w:pStyle w:val="2"/>
              <w:keepNext/>
              <w:spacing w:after="0" w:line="440" w:lineRule="exact"/>
              <w:ind w:left="63" w:right="63"/>
              <w:rPr>
                <w:rFonts w:eastAsia="仿宋_GB2312"/>
                <w:color w:val="auto"/>
                <w:sz w:val="30"/>
                <w:szCs w:val="30"/>
              </w:rPr>
            </w:pPr>
          </w:p>
        </w:tc>
        <w:tc>
          <w:tcPr>
            <w:tcW w:w="1661" w:type="dxa"/>
            <w:vAlign w:val="center"/>
          </w:tcPr>
          <w:p w14:paraId="796436B9">
            <w:pPr>
              <w:pStyle w:val="2"/>
              <w:keepNext/>
              <w:spacing w:after="0" w:line="440" w:lineRule="exact"/>
              <w:ind w:left="63" w:right="63"/>
              <w:rPr>
                <w:rFonts w:eastAsia="仿宋_GB2312"/>
                <w:color w:val="auto"/>
                <w:sz w:val="30"/>
                <w:szCs w:val="30"/>
              </w:rPr>
            </w:pPr>
          </w:p>
        </w:tc>
        <w:tc>
          <w:tcPr>
            <w:tcW w:w="850" w:type="dxa"/>
            <w:vAlign w:val="center"/>
          </w:tcPr>
          <w:p w14:paraId="14945DEE">
            <w:pPr>
              <w:pStyle w:val="2"/>
              <w:keepNext/>
              <w:spacing w:after="0" w:line="440" w:lineRule="exact"/>
              <w:ind w:left="63" w:right="63"/>
              <w:rPr>
                <w:rFonts w:eastAsia="仿宋_GB2312"/>
                <w:color w:val="auto"/>
                <w:sz w:val="30"/>
                <w:szCs w:val="30"/>
              </w:rPr>
            </w:pPr>
          </w:p>
        </w:tc>
        <w:tc>
          <w:tcPr>
            <w:tcW w:w="1560" w:type="dxa"/>
            <w:vAlign w:val="center"/>
          </w:tcPr>
          <w:p w14:paraId="1AE43DB8">
            <w:pPr>
              <w:pStyle w:val="2"/>
              <w:keepNext/>
              <w:spacing w:after="0" w:line="440" w:lineRule="exact"/>
              <w:ind w:left="63" w:right="63"/>
              <w:rPr>
                <w:rFonts w:eastAsia="仿宋_GB2312"/>
                <w:color w:val="auto"/>
                <w:sz w:val="30"/>
                <w:szCs w:val="30"/>
              </w:rPr>
            </w:pPr>
          </w:p>
        </w:tc>
        <w:tc>
          <w:tcPr>
            <w:tcW w:w="2126" w:type="dxa"/>
            <w:vAlign w:val="center"/>
          </w:tcPr>
          <w:p w14:paraId="41206F8B">
            <w:pPr>
              <w:pStyle w:val="2"/>
              <w:keepNext/>
              <w:spacing w:after="0" w:line="440" w:lineRule="exact"/>
              <w:ind w:left="63" w:right="63"/>
              <w:rPr>
                <w:rFonts w:eastAsia="仿宋_GB2312"/>
                <w:color w:val="auto"/>
                <w:sz w:val="30"/>
                <w:szCs w:val="30"/>
              </w:rPr>
            </w:pPr>
          </w:p>
        </w:tc>
        <w:tc>
          <w:tcPr>
            <w:tcW w:w="1417" w:type="dxa"/>
            <w:vAlign w:val="center"/>
          </w:tcPr>
          <w:p w14:paraId="14640E13">
            <w:pPr>
              <w:pStyle w:val="2"/>
              <w:keepNext/>
              <w:spacing w:after="0" w:line="440" w:lineRule="exact"/>
              <w:ind w:left="63" w:right="63"/>
              <w:rPr>
                <w:rFonts w:eastAsia="仿宋_GB2312"/>
                <w:color w:val="auto"/>
                <w:sz w:val="30"/>
                <w:szCs w:val="30"/>
              </w:rPr>
            </w:pPr>
          </w:p>
        </w:tc>
        <w:tc>
          <w:tcPr>
            <w:tcW w:w="851" w:type="dxa"/>
            <w:vAlign w:val="center"/>
          </w:tcPr>
          <w:p w14:paraId="5D7CBBED">
            <w:pPr>
              <w:pStyle w:val="2"/>
              <w:keepNext/>
              <w:spacing w:after="0" w:line="440" w:lineRule="exact"/>
              <w:ind w:left="63" w:right="63"/>
              <w:rPr>
                <w:rFonts w:eastAsia="仿宋_GB2312"/>
                <w:color w:val="auto"/>
                <w:sz w:val="30"/>
                <w:szCs w:val="30"/>
              </w:rPr>
            </w:pPr>
          </w:p>
        </w:tc>
        <w:tc>
          <w:tcPr>
            <w:tcW w:w="850" w:type="dxa"/>
            <w:vAlign w:val="center"/>
          </w:tcPr>
          <w:p w14:paraId="154268D0">
            <w:pPr>
              <w:pStyle w:val="2"/>
              <w:keepNext/>
              <w:spacing w:after="0" w:line="440" w:lineRule="exact"/>
              <w:ind w:left="63" w:right="63"/>
              <w:rPr>
                <w:rFonts w:eastAsia="仿宋_GB2312"/>
                <w:color w:val="auto"/>
                <w:sz w:val="30"/>
                <w:szCs w:val="30"/>
              </w:rPr>
            </w:pPr>
          </w:p>
        </w:tc>
      </w:tr>
      <w:tr w14:paraId="2B52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F1204A3">
            <w:pPr>
              <w:pStyle w:val="2"/>
              <w:keepNext/>
              <w:spacing w:after="0" w:line="440" w:lineRule="exact"/>
              <w:ind w:left="63" w:right="63"/>
              <w:rPr>
                <w:rFonts w:eastAsia="仿宋_GB2312"/>
                <w:color w:val="auto"/>
                <w:sz w:val="30"/>
                <w:szCs w:val="30"/>
              </w:rPr>
            </w:pPr>
          </w:p>
        </w:tc>
        <w:tc>
          <w:tcPr>
            <w:tcW w:w="1440" w:type="dxa"/>
            <w:vAlign w:val="center"/>
          </w:tcPr>
          <w:p w14:paraId="0148C7B9">
            <w:pPr>
              <w:pStyle w:val="2"/>
              <w:keepNext/>
              <w:spacing w:after="0" w:line="440" w:lineRule="exact"/>
              <w:ind w:left="63" w:right="63"/>
              <w:rPr>
                <w:rFonts w:eastAsia="仿宋_GB2312"/>
                <w:color w:val="auto"/>
                <w:sz w:val="30"/>
                <w:szCs w:val="30"/>
              </w:rPr>
            </w:pPr>
          </w:p>
        </w:tc>
        <w:tc>
          <w:tcPr>
            <w:tcW w:w="1620" w:type="dxa"/>
            <w:vAlign w:val="center"/>
          </w:tcPr>
          <w:p w14:paraId="6022A3E6">
            <w:pPr>
              <w:pStyle w:val="2"/>
              <w:keepNext/>
              <w:spacing w:after="0" w:line="440" w:lineRule="exact"/>
              <w:ind w:left="63" w:right="63"/>
              <w:rPr>
                <w:rFonts w:eastAsia="仿宋_GB2312"/>
                <w:color w:val="auto"/>
                <w:sz w:val="30"/>
                <w:szCs w:val="30"/>
              </w:rPr>
            </w:pPr>
          </w:p>
        </w:tc>
        <w:tc>
          <w:tcPr>
            <w:tcW w:w="1661" w:type="dxa"/>
            <w:vAlign w:val="center"/>
          </w:tcPr>
          <w:p w14:paraId="2BF6A864">
            <w:pPr>
              <w:pStyle w:val="2"/>
              <w:keepNext/>
              <w:spacing w:after="0" w:line="440" w:lineRule="exact"/>
              <w:ind w:left="63" w:right="63"/>
              <w:rPr>
                <w:rFonts w:eastAsia="仿宋_GB2312"/>
                <w:color w:val="auto"/>
                <w:sz w:val="30"/>
                <w:szCs w:val="30"/>
              </w:rPr>
            </w:pPr>
          </w:p>
        </w:tc>
        <w:tc>
          <w:tcPr>
            <w:tcW w:w="850" w:type="dxa"/>
            <w:vAlign w:val="center"/>
          </w:tcPr>
          <w:p w14:paraId="30A6D09B">
            <w:pPr>
              <w:pStyle w:val="2"/>
              <w:keepNext/>
              <w:spacing w:after="0" w:line="440" w:lineRule="exact"/>
              <w:ind w:left="63" w:right="63"/>
              <w:rPr>
                <w:rFonts w:eastAsia="仿宋_GB2312"/>
                <w:color w:val="auto"/>
                <w:sz w:val="30"/>
                <w:szCs w:val="30"/>
              </w:rPr>
            </w:pPr>
          </w:p>
        </w:tc>
        <w:tc>
          <w:tcPr>
            <w:tcW w:w="1560" w:type="dxa"/>
            <w:vAlign w:val="center"/>
          </w:tcPr>
          <w:p w14:paraId="0A9DA0B4">
            <w:pPr>
              <w:pStyle w:val="2"/>
              <w:keepNext/>
              <w:spacing w:after="0" w:line="440" w:lineRule="exact"/>
              <w:ind w:left="63" w:right="63"/>
              <w:rPr>
                <w:rFonts w:eastAsia="仿宋_GB2312"/>
                <w:color w:val="auto"/>
                <w:sz w:val="30"/>
                <w:szCs w:val="30"/>
              </w:rPr>
            </w:pPr>
          </w:p>
        </w:tc>
        <w:tc>
          <w:tcPr>
            <w:tcW w:w="2126" w:type="dxa"/>
            <w:vAlign w:val="center"/>
          </w:tcPr>
          <w:p w14:paraId="5C2ADD6D">
            <w:pPr>
              <w:pStyle w:val="2"/>
              <w:keepNext/>
              <w:spacing w:after="0" w:line="440" w:lineRule="exact"/>
              <w:ind w:left="63" w:right="63"/>
              <w:rPr>
                <w:rFonts w:eastAsia="仿宋_GB2312"/>
                <w:color w:val="auto"/>
                <w:sz w:val="30"/>
                <w:szCs w:val="30"/>
              </w:rPr>
            </w:pPr>
          </w:p>
        </w:tc>
        <w:tc>
          <w:tcPr>
            <w:tcW w:w="1417" w:type="dxa"/>
            <w:vAlign w:val="center"/>
          </w:tcPr>
          <w:p w14:paraId="737D75BD">
            <w:pPr>
              <w:pStyle w:val="2"/>
              <w:keepNext/>
              <w:spacing w:after="0" w:line="440" w:lineRule="exact"/>
              <w:ind w:left="63" w:right="63"/>
              <w:rPr>
                <w:rFonts w:eastAsia="仿宋_GB2312"/>
                <w:color w:val="auto"/>
                <w:sz w:val="30"/>
                <w:szCs w:val="30"/>
              </w:rPr>
            </w:pPr>
          </w:p>
        </w:tc>
        <w:tc>
          <w:tcPr>
            <w:tcW w:w="851" w:type="dxa"/>
            <w:vAlign w:val="center"/>
          </w:tcPr>
          <w:p w14:paraId="2F1AB704">
            <w:pPr>
              <w:pStyle w:val="2"/>
              <w:keepNext/>
              <w:spacing w:after="0" w:line="440" w:lineRule="exact"/>
              <w:ind w:left="63" w:right="63"/>
              <w:rPr>
                <w:rFonts w:eastAsia="仿宋_GB2312"/>
                <w:color w:val="auto"/>
                <w:sz w:val="30"/>
                <w:szCs w:val="30"/>
              </w:rPr>
            </w:pPr>
          </w:p>
        </w:tc>
        <w:tc>
          <w:tcPr>
            <w:tcW w:w="850" w:type="dxa"/>
            <w:vAlign w:val="center"/>
          </w:tcPr>
          <w:p w14:paraId="2EEBE8E6">
            <w:pPr>
              <w:pStyle w:val="2"/>
              <w:keepNext/>
              <w:spacing w:after="0" w:line="440" w:lineRule="exact"/>
              <w:ind w:left="63" w:right="63"/>
              <w:rPr>
                <w:rFonts w:eastAsia="仿宋_GB2312"/>
                <w:color w:val="auto"/>
                <w:sz w:val="30"/>
                <w:szCs w:val="30"/>
              </w:rPr>
            </w:pPr>
          </w:p>
        </w:tc>
      </w:tr>
      <w:tr w14:paraId="09A5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9273CA3">
            <w:pPr>
              <w:pStyle w:val="2"/>
              <w:keepNext/>
              <w:spacing w:after="0" w:line="440" w:lineRule="exact"/>
              <w:ind w:left="63" w:right="63"/>
              <w:rPr>
                <w:rFonts w:eastAsia="仿宋_GB2312"/>
                <w:color w:val="auto"/>
                <w:sz w:val="30"/>
                <w:szCs w:val="30"/>
              </w:rPr>
            </w:pPr>
          </w:p>
        </w:tc>
        <w:tc>
          <w:tcPr>
            <w:tcW w:w="1440" w:type="dxa"/>
            <w:vAlign w:val="center"/>
          </w:tcPr>
          <w:p w14:paraId="114DEC78">
            <w:pPr>
              <w:pStyle w:val="2"/>
              <w:keepNext/>
              <w:spacing w:after="0" w:line="440" w:lineRule="exact"/>
              <w:ind w:left="63" w:right="63"/>
              <w:rPr>
                <w:rFonts w:eastAsia="仿宋_GB2312"/>
                <w:color w:val="auto"/>
                <w:sz w:val="30"/>
                <w:szCs w:val="30"/>
              </w:rPr>
            </w:pPr>
          </w:p>
        </w:tc>
        <w:tc>
          <w:tcPr>
            <w:tcW w:w="1620" w:type="dxa"/>
            <w:vAlign w:val="center"/>
          </w:tcPr>
          <w:p w14:paraId="7575745C">
            <w:pPr>
              <w:pStyle w:val="2"/>
              <w:keepNext/>
              <w:spacing w:after="0" w:line="440" w:lineRule="exact"/>
              <w:ind w:left="63" w:right="63"/>
              <w:rPr>
                <w:rFonts w:eastAsia="仿宋_GB2312"/>
                <w:color w:val="auto"/>
                <w:sz w:val="30"/>
                <w:szCs w:val="30"/>
              </w:rPr>
            </w:pPr>
          </w:p>
        </w:tc>
        <w:tc>
          <w:tcPr>
            <w:tcW w:w="1661" w:type="dxa"/>
            <w:vAlign w:val="center"/>
          </w:tcPr>
          <w:p w14:paraId="35FDD32D">
            <w:pPr>
              <w:pStyle w:val="2"/>
              <w:keepNext/>
              <w:spacing w:after="0" w:line="440" w:lineRule="exact"/>
              <w:ind w:left="63" w:right="63"/>
              <w:rPr>
                <w:rFonts w:eastAsia="仿宋_GB2312"/>
                <w:color w:val="auto"/>
                <w:sz w:val="30"/>
                <w:szCs w:val="30"/>
              </w:rPr>
            </w:pPr>
          </w:p>
        </w:tc>
        <w:tc>
          <w:tcPr>
            <w:tcW w:w="850" w:type="dxa"/>
            <w:vAlign w:val="center"/>
          </w:tcPr>
          <w:p w14:paraId="659B3299">
            <w:pPr>
              <w:pStyle w:val="2"/>
              <w:keepNext/>
              <w:spacing w:after="0" w:line="440" w:lineRule="exact"/>
              <w:ind w:left="63" w:right="63"/>
              <w:rPr>
                <w:rFonts w:eastAsia="仿宋_GB2312"/>
                <w:color w:val="auto"/>
                <w:sz w:val="30"/>
                <w:szCs w:val="30"/>
              </w:rPr>
            </w:pPr>
          </w:p>
        </w:tc>
        <w:tc>
          <w:tcPr>
            <w:tcW w:w="1560" w:type="dxa"/>
            <w:vAlign w:val="center"/>
          </w:tcPr>
          <w:p w14:paraId="0DF0FBD7">
            <w:pPr>
              <w:pStyle w:val="2"/>
              <w:keepNext/>
              <w:spacing w:after="0" w:line="440" w:lineRule="exact"/>
              <w:ind w:left="63" w:right="63"/>
              <w:rPr>
                <w:rFonts w:eastAsia="仿宋_GB2312"/>
                <w:color w:val="auto"/>
                <w:sz w:val="30"/>
                <w:szCs w:val="30"/>
              </w:rPr>
            </w:pPr>
          </w:p>
        </w:tc>
        <w:tc>
          <w:tcPr>
            <w:tcW w:w="2126" w:type="dxa"/>
            <w:vAlign w:val="center"/>
          </w:tcPr>
          <w:p w14:paraId="70FA1BED">
            <w:pPr>
              <w:pStyle w:val="2"/>
              <w:keepNext/>
              <w:spacing w:after="0" w:line="440" w:lineRule="exact"/>
              <w:ind w:left="63" w:right="63"/>
              <w:rPr>
                <w:rFonts w:eastAsia="仿宋_GB2312"/>
                <w:color w:val="auto"/>
                <w:sz w:val="30"/>
                <w:szCs w:val="30"/>
              </w:rPr>
            </w:pPr>
          </w:p>
        </w:tc>
        <w:tc>
          <w:tcPr>
            <w:tcW w:w="1417" w:type="dxa"/>
            <w:vAlign w:val="center"/>
          </w:tcPr>
          <w:p w14:paraId="460E5579">
            <w:pPr>
              <w:pStyle w:val="2"/>
              <w:keepNext/>
              <w:spacing w:after="0" w:line="440" w:lineRule="exact"/>
              <w:ind w:left="63" w:right="63"/>
              <w:rPr>
                <w:rFonts w:eastAsia="仿宋_GB2312"/>
                <w:color w:val="auto"/>
                <w:sz w:val="30"/>
                <w:szCs w:val="30"/>
              </w:rPr>
            </w:pPr>
          </w:p>
        </w:tc>
        <w:tc>
          <w:tcPr>
            <w:tcW w:w="851" w:type="dxa"/>
            <w:vAlign w:val="center"/>
          </w:tcPr>
          <w:p w14:paraId="2EF1DEE5">
            <w:pPr>
              <w:pStyle w:val="2"/>
              <w:keepNext/>
              <w:spacing w:after="0" w:line="440" w:lineRule="exact"/>
              <w:ind w:left="63" w:right="63"/>
              <w:rPr>
                <w:rFonts w:eastAsia="仿宋_GB2312"/>
                <w:color w:val="auto"/>
                <w:sz w:val="30"/>
                <w:szCs w:val="30"/>
              </w:rPr>
            </w:pPr>
          </w:p>
        </w:tc>
        <w:tc>
          <w:tcPr>
            <w:tcW w:w="850" w:type="dxa"/>
            <w:vAlign w:val="center"/>
          </w:tcPr>
          <w:p w14:paraId="1000CC2A">
            <w:pPr>
              <w:pStyle w:val="2"/>
              <w:keepNext/>
              <w:spacing w:after="0" w:line="440" w:lineRule="exact"/>
              <w:ind w:left="63" w:right="63"/>
              <w:rPr>
                <w:rFonts w:eastAsia="仿宋_GB2312"/>
                <w:color w:val="auto"/>
                <w:sz w:val="30"/>
                <w:szCs w:val="30"/>
              </w:rPr>
            </w:pPr>
          </w:p>
        </w:tc>
      </w:tr>
      <w:tr w14:paraId="2B2A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DE2B144">
            <w:pPr>
              <w:pStyle w:val="2"/>
              <w:keepNext/>
              <w:spacing w:after="0" w:line="440" w:lineRule="exact"/>
              <w:ind w:left="63" w:right="63"/>
              <w:rPr>
                <w:rFonts w:eastAsia="仿宋_GB2312"/>
                <w:color w:val="auto"/>
                <w:sz w:val="30"/>
                <w:szCs w:val="30"/>
              </w:rPr>
            </w:pPr>
          </w:p>
        </w:tc>
        <w:tc>
          <w:tcPr>
            <w:tcW w:w="1440" w:type="dxa"/>
            <w:vAlign w:val="center"/>
          </w:tcPr>
          <w:p w14:paraId="1CB73394">
            <w:pPr>
              <w:pStyle w:val="2"/>
              <w:keepNext/>
              <w:spacing w:after="0" w:line="440" w:lineRule="exact"/>
              <w:ind w:left="63" w:right="63"/>
              <w:rPr>
                <w:rFonts w:eastAsia="仿宋_GB2312"/>
                <w:color w:val="auto"/>
                <w:sz w:val="30"/>
                <w:szCs w:val="30"/>
              </w:rPr>
            </w:pPr>
          </w:p>
        </w:tc>
        <w:tc>
          <w:tcPr>
            <w:tcW w:w="1620" w:type="dxa"/>
            <w:vAlign w:val="center"/>
          </w:tcPr>
          <w:p w14:paraId="3B427F3F">
            <w:pPr>
              <w:pStyle w:val="2"/>
              <w:keepNext/>
              <w:spacing w:after="0" w:line="440" w:lineRule="exact"/>
              <w:ind w:left="63" w:right="63"/>
              <w:rPr>
                <w:rFonts w:eastAsia="仿宋_GB2312"/>
                <w:color w:val="auto"/>
                <w:sz w:val="30"/>
                <w:szCs w:val="30"/>
              </w:rPr>
            </w:pPr>
          </w:p>
        </w:tc>
        <w:tc>
          <w:tcPr>
            <w:tcW w:w="1661" w:type="dxa"/>
            <w:vAlign w:val="center"/>
          </w:tcPr>
          <w:p w14:paraId="01185C7F">
            <w:pPr>
              <w:pStyle w:val="2"/>
              <w:keepNext/>
              <w:spacing w:after="0" w:line="440" w:lineRule="exact"/>
              <w:ind w:left="63" w:right="63"/>
              <w:rPr>
                <w:rFonts w:eastAsia="仿宋_GB2312"/>
                <w:color w:val="auto"/>
                <w:sz w:val="30"/>
                <w:szCs w:val="30"/>
              </w:rPr>
            </w:pPr>
          </w:p>
        </w:tc>
        <w:tc>
          <w:tcPr>
            <w:tcW w:w="850" w:type="dxa"/>
            <w:vAlign w:val="center"/>
          </w:tcPr>
          <w:p w14:paraId="1EA127FD">
            <w:pPr>
              <w:pStyle w:val="2"/>
              <w:keepNext/>
              <w:spacing w:after="0" w:line="440" w:lineRule="exact"/>
              <w:ind w:left="63" w:right="63"/>
              <w:rPr>
                <w:rFonts w:eastAsia="仿宋_GB2312"/>
                <w:color w:val="auto"/>
                <w:sz w:val="30"/>
                <w:szCs w:val="30"/>
              </w:rPr>
            </w:pPr>
          </w:p>
        </w:tc>
        <w:tc>
          <w:tcPr>
            <w:tcW w:w="1560" w:type="dxa"/>
            <w:vAlign w:val="center"/>
          </w:tcPr>
          <w:p w14:paraId="2787E310">
            <w:pPr>
              <w:pStyle w:val="2"/>
              <w:keepNext/>
              <w:spacing w:after="0" w:line="440" w:lineRule="exact"/>
              <w:ind w:left="63" w:right="63"/>
              <w:rPr>
                <w:rFonts w:eastAsia="仿宋_GB2312"/>
                <w:color w:val="auto"/>
                <w:sz w:val="30"/>
                <w:szCs w:val="30"/>
              </w:rPr>
            </w:pPr>
          </w:p>
        </w:tc>
        <w:tc>
          <w:tcPr>
            <w:tcW w:w="2126" w:type="dxa"/>
            <w:vAlign w:val="center"/>
          </w:tcPr>
          <w:p w14:paraId="231EAD1A">
            <w:pPr>
              <w:pStyle w:val="2"/>
              <w:keepNext/>
              <w:spacing w:after="0" w:line="440" w:lineRule="exact"/>
              <w:ind w:left="63" w:right="63"/>
              <w:rPr>
                <w:rFonts w:eastAsia="仿宋_GB2312"/>
                <w:color w:val="auto"/>
                <w:sz w:val="30"/>
                <w:szCs w:val="30"/>
              </w:rPr>
            </w:pPr>
          </w:p>
        </w:tc>
        <w:tc>
          <w:tcPr>
            <w:tcW w:w="1417" w:type="dxa"/>
            <w:vAlign w:val="center"/>
          </w:tcPr>
          <w:p w14:paraId="6AE376D4">
            <w:pPr>
              <w:pStyle w:val="2"/>
              <w:keepNext/>
              <w:spacing w:after="0" w:line="440" w:lineRule="exact"/>
              <w:ind w:left="63" w:right="63"/>
              <w:rPr>
                <w:rFonts w:eastAsia="仿宋_GB2312"/>
                <w:color w:val="auto"/>
                <w:sz w:val="30"/>
                <w:szCs w:val="30"/>
              </w:rPr>
            </w:pPr>
          </w:p>
        </w:tc>
        <w:tc>
          <w:tcPr>
            <w:tcW w:w="851" w:type="dxa"/>
            <w:vAlign w:val="center"/>
          </w:tcPr>
          <w:p w14:paraId="335283F0">
            <w:pPr>
              <w:pStyle w:val="2"/>
              <w:keepNext/>
              <w:spacing w:after="0" w:line="440" w:lineRule="exact"/>
              <w:ind w:left="63" w:right="63"/>
              <w:rPr>
                <w:rFonts w:eastAsia="仿宋_GB2312"/>
                <w:color w:val="auto"/>
                <w:sz w:val="30"/>
                <w:szCs w:val="30"/>
              </w:rPr>
            </w:pPr>
          </w:p>
        </w:tc>
        <w:tc>
          <w:tcPr>
            <w:tcW w:w="850" w:type="dxa"/>
            <w:vAlign w:val="center"/>
          </w:tcPr>
          <w:p w14:paraId="7F9C530B">
            <w:pPr>
              <w:pStyle w:val="2"/>
              <w:keepNext/>
              <w:spacing w:after="0" w:line="440" w:lineRule="exact"/>
              <w:ind w:left="63" w:right="63"/>
              <w:rPr>
                <w:rFonts w:eastAsia="仿宋_GB2312"/>
                <w:color w:val="auto"/>
                <w:sz w:val="30"/>
                <w:szCs w:val="30"/>
              </w:rPr>
            </w:pPr>
          </w:p>
        </w:tc>
      </w:tr>
      <w:tr w14:paraId="583E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3A49423">
            <w:pPr>
              <w:pStyle w:val="2"/>
              <w:keepNext/>
              <w:spacing w:after="0" w:line="440" w:lineRule="exact"/>
              <w:ind w:left="63" w:right="63"/>
              <w:rPr>
                <w:rFonts w:eastAsia="仿宋_GB2312"/>
                <w:color w:val="auto"/>
                <w:sz w:val="30"/>
                <w:szCs w:val="30"/>
              </w:rPr>
            </w:pPr>
          </w:p>
        </w:tc>
        <w:tc>
          <w:tcPr>
            <w:tcW w:w="1440" w:type="dxa"/>
            <w:vAlign w:val="center"/>
          </w:tcPr>
          <w:p w14:paraId="7BD3C2B3">
            <w:pPr>
              <w:pStyle w:val="2"/>
              <w:keepNext/>
              <w:spacing w:after="0" w:line="440" w:lineRule="exact"/>
              <w:ind w:left="63" w:right="63"/>
              <w:rPr>
                <w:rFonts w:eastAsia="仿宋_GB2312"/>
                <w:color w:val="auto"/>
                <w:sz w:val="30"/>
                <w:szCs w:val="30"/>
              </w:rPr>
            </w:pPr>
          </w:p>
        </w:tc>
        <w:tc>
          <w:tcPr>
            <w:tcW w:w="1620" w:type="dxa"/>
            <w:vAlign w:val="center"/>
          </w:tcPr>
          <w:p w14:paraId="05E151E1">
            <w:pPr>
              <w:pStyle w:val="2"/>
              <w:keepNext/>
              <w:spacing w:after="0" w:line="440" w:lineRule="exact"/>
              <w:ind w:left="63" w:right="63"/>
              <w:rPr>
                <w:rFonts w:eastAsia="仿宋_GB2312"/>
                <w:color w:val="auto"/>
                <w:sz w:val="30"/>
                <w:szCs w:val="30"/>
              </w:rPr>
            </w:pPr>
          </w:p>
        </w:tc>
        <w:tc>
          <w:tcPr>
            <w:tcW w:w="1661" w:type="dxa"/>
            <w:vAlign w:val="center"/>
          </w:tcPr>
          <w:p w14:paraId="300EDA2A">
            <w:pPr>
              <w:pStyle w:val="2"/>
              <w:keepNext/>
              <w:spacing w:after="0" w:line="440" w:lineRule="exact"/>
              <w:ind w:left="63" w:right="63"/>
              <w:rPr>
                <w:rFonts w:eastAsia="仿宋_GB2312"/>
                <w:color w:val="auto"/>
                <w:sz w:val="30"/>
                <w:szCs w:val="30"/>
              </w:rPr>
            </w:pPr>
          </w:p>
        </w:tc>
        <w:tc>
          <w:tcPr>
            <w:tcW w:w="850" w:type="dxa"/>
            <w:vAlign w:val="center"/>
          </w:tcPr>
          <w:p w14:paraId="44D4444A">
            <w:pPr>
              <w:pStyle w:val="2"/>
              <w:keepNext/>
              <w:spacing w:after="0" w:line="440" w:lineRule="exact"/>
              <w:ind w:left="63" w:right="63"/>
              <w:rPr>
                <w:rFonts w:eastAsia="仿宋_GB2312"/>
                <w:color w:val="auto"/>
                <w:sz w:val="30"/>
                <w:szCs w:val="30"/>
              </w:rPr>
            </w:pPr>
          </w:p>
        </w:tc>
        <w:tc>
          <w:tcPr>
            <w:tcW w:w="1560" w:type="dxa"/>
            <w:vAlign w:val="center"/>
          </w:tcPr>
          <w:p w14:paraId="1E4CAC38">
            <w:pPr>
              <w:pStyle w:val="2"/>
              <w:keepNext/>
              <w:spacing w:after="0" w:line="440" w:lineRule="exact"/>
              <w:ind w:left="63" w:right="63"/>
              <w:rPr>
                <w:rFonts w:eastAsia="仿宋_GB2312"/>
                <w:color w:val="auto"/>
                <w:sz w:val="30"/>
                <w:szCs w:val="30"/>
              </w:rPr>
            </w:pPr>
          </w:p>
        </w:tc>
        <w:tc>
          <w:tcPr>
            <w:tcW w:w="2126" w:type="dxa"/>
            <w:vAlign w:val="center"/>
          </w:tcPr>
          <w:p w14:paraId="7E7791F1">
            <w:pPr>
              <w:pStyle w:val="2"/>
              <w:keepNext/>
              <w:spacing w:after="0" w:line="440" w:lineRule="exact"/>
              <w:ind w:left="63" w:right="63"/>
              <w:rPr>
                <w:rFonts w:eastAsia="仿宋_GB2312"/>
                <w:color w:val="auto"/>
                <w:sz w:val="30"/>
                <w:szCs w:val="30"/>
              </w:rPr>
            </w:pPr>
          </w:p>
        </w:tc>
        <w:tc>
          <w:tcPr>
            <w:tcW w:w="1417" w:type="dxa"/>
            <w:vAlign w:val="center"/>
          </w:tcPr>
          <w:p w14:paraId="4C26D432">
            <w:pPr>
              <w:pStyle w:val="2"/>
              <w:keepNext/>
              <w:spacing w:after="0" w:line="440" w:lineRule="exact"/>
              <w:ind w:left="63" w:right="63"/>
              <w:rPr>
                <w:rFonts w:eastAsia="仿宋_GB2312"/>
                <w:color w:val="auto"/>
                <w:sz w:val="30"/>
                <w:szCs w:val="30"/>
              </w:rPr>
            </w:pPr>
          </w:p>
        </w:tc>
        <w:tc>
          <w:tcPr>
            <w:tcW w:w="851" w:type="dxa"/>
            <w:vAlign w:val="center"/>
          </w:tcPr>
          <w:p w14:paraId="08A74F92">
            <w:pPr>
              <w:pStyle w:val="2"/>
              <w:keepNext/>
              <w:spacing w:after="0" w:line="440" w:lineRule="exact"/>
              <w:ind w:left="63" w:right="63"/>
              <w:rPr>
                <w:rFonts w:eastAsia="仿宋_GB2312"/>
                <w:color w:val="auto"/>
                <w:sz w:val="30"/>
                <w:szCs w:val="30"/>
              </w:rPr>
            </w:pPr>
          </w:p>
        </w:tc>
        <w:tc>
          <w:tcPr>
            <w:tcW w:w="850" w:type="dxa"/>
            <w:vAlign w:val="center"/>
          </w:tcPr>
          <w:p w14:paraId="15A43982">
            <w:pPr>
              <w:pStyle w:val="2"/>
              <w:keepNext/>
              <w:spacing w:after="0" w:line="440" w:lineRule="exact"/>
              <w:ind w:left="63" w:right="63"/>
              <w:rPr>
                <w:rFonts w:eastAsia="仿宋_GB2312"/>
                <w:color w:val="auto"/>
                <w:sz w:val="30"/>
                <w:szCs w:val="30"/>
              </w:rPr>
            </w:pPr>
          </w:p>
        </w:tc>
      </w:tr>
      <w:tr w14:paraId="4124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EA9CDF5">
            <w:pPr>
              <w:pStyle w:val="2"/>
              <w:keepNext/>
              <w:spacing w:after="0" w:line="440" w:lineRule="exact"/>
              <w:ind w:left="63" w:right="63"/>
              <w:rPr>
                <w:rFonts w:eastAsia="仿宋_GB2312"/>
                <w:color w:val="auto"/>
                <w:sz w:val="30"/>
                <w:szCs w:val="30"/>
              </w:rPr>
            </w:pPr>
          </w:p>
        </w:tc>
        <w:tc>
          <w:tcPr>
            <w:tcW w:w="1440" w:type="dxa"/>
            <w:vAlign w:val="center"/>
          </w:tcPr>
          <w:p w14:paraId="534F2B43">
            <w:pPr>
              <w:pStyle w:val="2"/>
              <w:keepNext/>
              <w:spacing w:after="0" w:line="440" w:lineRule="exact"/>
              <w:ind w:left="63" w:right="63"/>
              <w:rPr>
                <w:rFonts w:eastAsia="仿宋_GB2312"/>
                <w:color w:val="auto"/>
                <w:sz w:val="30"/>
                <w:szCs w:val="30"/>
              </w:rPr>
            </w:pPr>
          </w:p>
        </w:tc>
        <w:tc>
          <w:tcPr>
            <w:tcW w:w="1620" w:type="dxa"/>
            <w:vAlign w:val="center"/>
          </w:tcPr>
          <w:p w14:paraId="1F3B7B8A">
            <w:pPr>
              <w:pStyle w:val="2"/>
              <w:keepNext/>
              <w:spacing w:after="0" w:line="440" w:lineRule="exact"/>
              <w:ind w:left="63" w:right="63"/>
              <w:rPr>
                <w:rFonts w:eastAsia="仿宋_GB2312"/>
                <w:color w:val="auto"/>
                <w:sz w:val="30"/>
                <w:szCs w:val="30"/>
              </w:rPr>
            </w:pPr>
          </w:p>
        </w:tc>
        <w:tc>
          <w:tcPr>
            <w:tcW w:w="1661" w:type="dxa"/>
            <w:vAlign w:val="center"/>
          </w:tcPr>
          <w:p w14:paraId="47FF1A93">
            <w:pPr>
              <w:pStyle w:val="2"/>
              <w:keepNext/>
              <w:spacing w:after="0" w:line="440" w:lineRule="exact"/>
              <w:ind w:left="63" w:right="63"/>
              <w:rPr>
                <w:rFonts w:eastAsia="仿宋_GB2312"/>
                <w:color w:val="auto"/>
                <w:sz w:val="30"/>
                <w:szCs w:val="30"/>
              </w:rPr>
            </w:pPr>
          </w:p>
        </w:tc>
        <w:tc>
          <w:tcPr>
            <w:tcW w:w="850" w:type="dxa"/>
            <w:vAlign w:val="center"/>
          </w:tcPr>
          <w:p w14:paraId="20AB5125">
            <w:pPr>
              <w:pStyle w:val="2"/>
              <w:keepNext/>
              <w:spacing w:after="0" w:line="440" w:lineRule="exact"/>
              <w:ind w:left="63" w:right="63"/>
              <w:rPr>
                <w:rFonts w:eastAsia="仿宋_GB2312"/>
                <w:color w:val="auto"/>
                <w:sz w:val="30"/>
                <w:szCs w:val="30"/>
              </w:rPr>
            </w:pPr>
          </w:p>
        </w:tc>
        <w:tc>
          <w:tcPr>
            <w:tcW w:w="1560" w:type="dxa"/>
            <w:vAlign w:val="center"/>
          </w:tcPr>
          <w:p w14:paraId="6754C6D0">
            <w:pPr>
              <w:pStyle w:val="2"/>
              <w:keepNext/>
              <w:spacing w:after="0" w:line="440" w:lineRule="exact"/>
              <w:ind w:left="63" w:right="63"/>
              <w:rPr>
                <w:rFonts w:eastAsia="仿宋_GB2312"/>
                <w:color w:val="auto"/>
                <w:sz w:val="30"/>
                <w:szCs w:val="30"/>
              </w:rPr>
            </w:pPr>
          </w:p>
        </w:tc>
        <w:tc>
          <w:tcPr>
            <w:tcW w:w="2126" w:type="dxa"/>
            <w:vAlign w:val="center"/>
          </w:tcPr>
          <w:p w14:paraId="3A5C199E">
            <w:pPr>
              <w:pStyle w:val="2"/>
              <w:keepNext/>
              <w:spacing w:after="0" w:line="440" w:lineRule="exact"/>
              <w:ind w:left="63" w:right="63"/>
              <w:rPr>
                <w:rFonts w:eastAsia="仿宋_GB2312"/>
                <w:color w:val="auto"/>
                <w:sz w:val="30"/>
                <w:szCs w:val="30"/>
              </w:rPr>
            </w:pPr>
          </w:p>
        </w:tc>
        <w:tc>
          <w:tcPr>
            <w:tcW w:w="1417" w:type="dxa"/>
            <w:vAlign w:val="center"/>
          </w:tcPr>
          <w:p w14:paraId="7A4F8621">
            <w:pPr>
              <w:pStyle w:val="2"/>
              <w:keepNext/>
              <w:spacing w:after="0" w:line="440" w:lineRule="exact"/>
              <w:ind w:left="63" w:right="63"/>
              <w:rPr>
                <w:rFonts w:eastAsia="仿宋_GB2312"/>
                <w:color w:val="auto"/>
                <w:sz w:val="30"/>
                <w:szCs w:val="30"/>
              </w:rPr>
            </w:pPr>
          </w:p>
        </w:tc>
        <w:tc>
          <w:tcPr>
            <w:tcW w:w="851" w:type="dxa"/>
            <w:vAlign w:val="center"/>
          </w:tcPr>
          <w:p w14:paraId="57D9A7FB">
            <w:pPr>
              <w:pStyle w:val="2"/>
              <w:keepNext/>
              <w:spacing w:after="0" w:line="440" w:lineRule="exact"/>
              <w:ind w:left="63" w:right="63"/>
              <w:rPr>
                <w:rFonts w:eastAsia="仿宋_GB2312"/>
                <w:color w:val="auto"/>
                <w:sz w:val="30"/>
                <w:szCs w:val="30"/>
              </w:rPr>
            </w:pPr>
          </w:p>
        </w:tc>
        <w:tc>
          <w:tcPr>
            <w:tcW w:w="850" w:type="dxa"/>
            <w:vAlign w:val="center"/>
          </w:tcPr>
          <w:p w14:paraId="540E3C19">
            <w:pPr>
              <w:pStyle w:val="2"/>
              <w:keepNext/>
              <w:spacing w:after="0" w:line="440" w:lineRule="exact"/>
              <w:ind w:left="63" w:right="63"/>
              <w:rPr>
                <w:rFonts w:eastAsia="仿宋_GB2312"/>
                <w:color w:val="auto"/>
                <w:sz w:val="30"/>
                <w:szCs w:val="30"/>
              </w:rPr>
            </w:pPr>
          </w:p>
        </w:tc>
      </w:tr>
      <w:tr w14:paraId="2E26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C3DA389">
            <w:pPr>
              <w:pStyle w:val="2"/>
              <w:keepNext/>
              <w:spacing w:after="0" w:line="440" w:lineRule="exact"/>
              <w:ind w:left="63" w:right="63"/>
              <w:rPr>
                <w:rFonts w:eastAsia="仿宋_GB2312"/>
                <w:color w:val="auto"/>
                <w:sz w:val="30"/>
                <w:szCs w:val="30"/>
              </w:rPr>
            </w:pPr>
          </w:p>
        </w:tc>
        <w:tc>
          <w:tcPr>
            <w:tcW w:w="1440" w:type="dxa"/>
            <w:vAlign w:val="center"/>
          </w:tcPr>
          <w:p w14:paraId="53B79C47">
            <w:pPr>
              <w:pStyle w:val="2"/>
              <w:keepNext/>
              <w:spacing w:after="0" w:line="440" w:lineRule="exact"/>
              <w:ind w:left="63" w:right="63"/>
              <w:rPr>
                <w:rFonts w:eastAsia="仿宋_GB2312"/>
                <w:color w:val="auto"/>
                <w:sz w:val="30"/>
                <w:szCs w:val="30"/>
              </w:rPr>
            </w:pPr>
          </w:p>
        </w:tc>
        <w:tc>
          <w:tcPr>
            <w:tcW w:w="1620" w:type="dxa"/>
            <w:vAlign w:val="center"/>
          </w:tcPr>
          <w:p w14:paraId="45F34402">
            <w:pPr>
              <w:pStyle w:val="2"/>
              <w:keepNext/>
              <w:spacing w:after="0" w:line="440" w:lineRule="exact"/>
              <w:ind w:left="63" w:right="63"/>
              <w:rPr>
                <w:rFonts w:eastAsia="仿宋_GB2312"/>
                <w:color w:val="auto"/>
                <w:sz w:val="30"/>
                <w:szCs w:val="30"/>
              </w:rPr>
            </w:pPr>
          </w:p>
        </w:tc>
        <w:tc>
          <w:tcPr>
            <w:tcW w:w="1661" w:type="dxa"/>
            <w:vAlign w:val="center"/>
          </w:tcPr>
          <w:p w14:paraId="2084D001">
            <w:pPr>
              <w:pStyle w:val="2"/>
              <w:keepNext/>
              <w:spacing w:after="0" w:line="440" w:lineRule="exact"/>
              <w:ind w:left="63" w:right="63"/>
              <w:rPr>
                <w:rFonts w:eastAsia="仿宋_GB2312"/>
                <w:color w:val="auto"/>
                <w:sz w:val="30"/>
                <w:szCs w:val="30"/>
              </w:rPr>
            </w:pPr>
          </w:p>
        </w:tc>
        <w:tc>
          <w:tcPr>
            <w:tcW w:w="850" w:type="dxa"/>
            <w:vAlign w:val="center"/>
          </w:tcPr>
          <w:p w14:paraId="222C7096">
            <w:pPr>
              <w:pStyle w:val="2"/>
              <w:keepNext/>
              <w:spacing w:after="0" w:line="440" w:lineRule="exact"/>
              <w:ind w:left="63" w:right="63"/>
              <w:rPr>
                <w:rFonts w:eastAsia="仿宋_GB2312"/>
                <w:color w:val="auto"/>
                <w:sz w:val="30"/>
                <w:szCs w:val="30"/>
              </w:rPr>
            </w:pPr>
          </w:p>
        </w:tc>
        <w:tc>
          <w:tcPr>
            <w:tcW w:w="1560" w:type="dxa"/>
            <w:vAlign w:val="center"/>
          </w:tcPr>
          <w:p w14:paraId="1DE7E324">
            <w:pPr>
              <w:pStyle w:val="2"/>
              <w:keepNext/>
              <w:spacing w:after="0" w:line="440" w:lineRule="exact"/>
              <w:ind w:left="63" w:right="63"/>
              <w:rPr>
                <w:rFonts w:eastAsia="仿宋_GB2312"/>
                <w:color w:val="auto"/>
                <w:sz w:val="30"/>
                <w:szCs w:val="30"/>
              </w:rPr>
            </w:pPr>
          </w:p>
        </w:tc>
        <w:tc>
          <w:tcPr>
            <w:tcW w:w="2126" w:type="dxa"/>
            <w:vAlign w:val="center"/>
          </w:tcPr>
          <w:p w14:paraId="64019BD7">
            <w:pPr>
              <w:pStyle w:val="2"/>
              <w:keepNext/>
              <w:spacing w:after="0" w:line="440" w:lineRule="exact"/>
              <w:ind w:left="63" w:right="63"/>
              <w:rPr>
                <w:rFonts w:eastAsia="仿宋_GB2312"/>
                <w:color w:val="auto"/>
                <w:sz w:val="30"/>
                <w:szCs w:val="30"/>
              </w:rPr>
            </w:pPr>
          </w:p>
        </w:tc>
        <w:tc>
          <w:tcPr>
            <w:tcW w:w="1417" w:type="dxa"/>
            <w:vAlign w:val="center"/>
          </w:tcPr>
          <w:p w14:paraId="2CC4770D">
            <w:pPr>
              <w:pStyle w:val="2"/>
              <w:keepNext/>
              <w:spacing w:after="0" w:line="440" w:lineRule="exact"/>
              <w:ind w:left="63" w:right="63"/>
              <w:rPr>
                <w:rFonts w:eastAsia="仿宋_GB2312"/>
                <w:color w:val="auto"/>
                <w:sz w:val="30"/>
                <w:szCs w:val="30"/>
              </w:rPr>
            </w:pPr>
          </w:p>
        </w:tc>
        <w:tc>
          <w:tcPr>
            <w:tcW w:w="851" w:type="dxa"/>
            <w:vAlign w:val="center"/>
          </w:tcPr>
          <w:p w14:paraId="0817EF70">
            <w:pPr>
              <w:pStyle w:val="2"/>
              <w:keepNext/>
              <w:spacing w:after="0" w:line="440" w:lineRule="exact"/>
              <w:ind w:left="63" w:right="63"/>
              <w:rPr>
                <w:rFonts w:eastAsia="仿宋_GB2312"/>
                <w:color w:val="auto"/>
                <w:sz w:val="30"/>
                <w:szCs w:val="30"/>
              </w:rPr>
            </w:pPr>
          </w:p>
        </w:tc>
        <w:tc>
          <w:tcPr>
            <w:tcW w:w="850" w:type="dxa"/>
            <w:vAlign w:val="center"/>
          </w:tcPr>
          <w:p w14:paraId="19495AA1">
            <w:pPr>
              <w:pStyle w:val="2"/>
              <w:keepNext/>
              <w:spacing w:after="0" w:line="440" w:lineRule="exact"/>
              <w:ind w:left="63" w:right="63"/>
              <w:rPr>
                <w:rFonts w:eastAsia="仿宋_GB2312"/>
                <w:color w:val="auto"/>
                <w:sz w:val="30"/>
                <w:szCs w:val="30"/>
              </w:rPr>
            </w:pPr>
          </w:p>
        </w:tc>
      </w:tr>
      <w:tr w14:paraId="0E8C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A410020">
            <w:pPr>
              <w:pStyle w:val="2"/>
              <w:keepNext/>
              <w:spacing w:after="0" w:line="440" w:lineRule="exact"/>
              <w:ind w:left="63" w:right="63"/>
              <w:rPr>
                <w:rFonts w:eastAsia="仿宋_GB2312"/>
                <w:color w:val="auto"/>
                <w:sz w:val="30"/>
                <w:szCs w:val="30"/>
              </w:rPr>
            </w:pPr>
          </w:p>
        </w:tc>
        <w:tc>
          <w:tcPr>
            <w:tcW w:w="1440" w:type="dxa"/>
            <w:vAlign w:val="center"/>
          </w:tcPr>
          <w:p w14:paraId="4AAE8672">
            <w:pPr>
              <w:pStyle w:val="2"/>
              <w:keepNext/>
              <w:spacing w:after="0" w:line="440" w:lineRule="exact"/>
              <w:ind w:left="63" w:right="63"/>
              <w:rPr>
                <w:rFonts w:eastAsia="仿宋_GB2312"/>
                <w:color w:val="auto"/>
                <w:sz w:val="30"/>
                <w:szCs w:val="30"/>
              </w:rPr>
            </w:pPr>
          </w:p>
        </w:tc>
        <w:tc>
          <w:tcPr>
            <w:tcW w:w="1620" w:type="dxa"/>
            <w:vAlign w:val="center"/>
          </w:tcPr>
          <w:p w14:paraId="24688D72">
            <w:pPr>
              <w:pStyle w:val="2"/>
              <w:keepNext/>
              <w:spacing w:after="0" w:line="440" w:lineRule="exact"/>
              <w:ind w:left="63" w:right="63"/>
              <w:rPr>
                <w:rFonts w:eastAsia="仿宋_GB2312"/>
                <w:color w:val="auto"/>
                <w:sz w:val="30"/>
                <w:szCs w:val="30"/>
              </w:rPr>
            </w:pPr>
          </w:p>
        </w:tc>
        <w:tc>
          <w:tcPr>
            <w:tcW w:w="1661" w:type="dxa"/>
            <w:vAlign w:val="center"/>
          </w:tcPr>
          <w:p w14:paraId="5A071392">
            <w:pPr>
              <w:pStyle w:val="2"/>
              <w:keepNext/>
              <w:spacing w:after="0" w:line="440" w:lineRule="exact"/>
              <w:ind w:left="63" w:right="63"/>
              <w:rPr>
                <w:rFonts w:eastAsia="仿宋_GB2312"/>
                <w:color w:val="auto"/>
                <w:sz w:val="30"/>
                <w:szCs w:val="30"/>
              </w:rPr>
            </w:pPr>
          </w:p>
        </w:tc>
        <w:tc>
          <w:tcPr>
            <w:tcW w:w="850" w:type="dxa"/>
            <w:vAlign w:val="center"/>
          </w:tcPr>
          <w:p w14:paraId="5C86BAFA">
            <w:pPr>
              <w:pStyle w:val="2"/>
              <w:keepNext/>
              <w:spacing w:after="0" w:line="440" w:lineRule="exact"/>
              <w:ind w:left="63" w:right="63"/>
              <w:rPr>
                <w:rFonts w:eastAsia="仿宋_GB2312"/>
                <w:color w:val="auto"/>
                <w:sz w:val="30"/>
                <w:szCs w:val="30"/>
              </w:rPr>
            </w:pPr>
          </w:p>
        </w:tc>
        <w:tc>
          <w:tcPr>
            <w:tcW w:w="1560" w:type="dxa"/>
            <w:vAlign w:val="center"/>
          </w:tcPr>
          <w:p w14:paraId="37BFFB16">
            <w:pPr>
              <w:pStyle w:val="2"/>
              <w:keepNext/>
              <w:spacing w:after="0" w:line="440" w:lineRule="exact"/>
              <w:ind w:left="63" w:right="63"/>
              <w:rPr>
                <w:rFonts w:eastAsia="仿宋_GB2312"/>
                <w:color w:val="auto"/>
                <w:sz w:val="30"/>
                <w:szCs w:val="30"/>
              </w:rPr>
            </w:pPr>
          </w:p>
        </w:tc>
        <w:tc>
          <w:tcPr>
            <w:tcW w:w="2126" w:type="dxa"/>
            <w:vAlign w:val="center"/>
          </w:tcPr>
          <w:p w14:paraId="5B1054E8">
            <w:pPr>
              <w:pStyle w:val="2"/>
              <w:keepNext/>
              <w:spacing w:after="0" w:line="440" w:lineRule="exact"/>
              <w:ind w:left="63" w:right="63"/>
              <w:rPr>
                <w:rFonts w:eastAsia="仿宋_GB2312"/>
                <w:color w:val="auto"/>
                <w:sz w:val="30"/>
                <w:szCs w:val="30"/>
              </w:rPr>
            </w:pPr>
          </w:p>
        </w:tc>
        <w:tc>
          <w:tcPr>
            <w:tcW w:w="1417" w:type="dxa"/>
            <w:vAlign w:val="center"/>
          </w:tcPr>
          <w:p w14:paraId="1C9620ED">
            <w:pPr>
              <w:pStyle w:val="2"/>
              <w:keepNext/>
              <w:spacing w:after="0" w:line="440" w:lineRule="exact"/>
              <w:ind w:left="63" w:right="63"/>
              <w:rPr>
                <w:rFonts w:eastAsia="仿宋_GB2312"/>
                <w:color w:val="auto"/>
                <w:sz w:val="30"/>
                <w:szCs w:val="30"/>
              </w:rPr>
            </w:pPr>
          </w:p>
        </w:tc>
        <w:tc>
          <w:tcPr>
            <w:tcW w:w="851" w:type="dxa"/>
            <w:vAlign w:val="center"/>
          </w:tcPr>
          <w:p w14:paraId="4679D301">
            <w:pPr>
              <w:pStyle w:val="2"/>
              <w:keepNext/>
              <w:spacing w:after="0" w:line="440" w:lineRule="exact"/>
              <w:ind w:left="63" w:right="63"/>
              <w:rPr>
                <w:rFonts w:eastAsia="仿宋_GB2312"/>
                <w:color w:val="auto"/>
                <w:sz w:val="30"/>
                <w:szCs w:val="30"/>
              </w:rPr>
            </w:pPr>
          </w:p>
        </w:tc>
        <w:tc>
          <w:tcPr>
            <w:tcW w:w="850" w:type="dxa"/>
            <w:vAlign w:val="center"/>
          </w:tcPr>
          <w:p w14:paraId="4AA09BF6">
            <w:pPr>
              <w:pStyle w:val="2"/>
              <w:keepNext/>
              <w:spacing w:after="0" w:line="440" w:lineRule="exact"/>
              <w:ind w:left="63" w:right="63"/>
              <w:rPr>
                <w:rFonts w:eastAsia="仿宋_GB2312"/>
                <w:color w:val="auto"/>
                <w:sz w:val="30"/>
                <w:szCs w:val="30"/>
              </w:rPr>
            </w:pPr>
          </w:p>
        </w:tc>
      </w:tr>
    </w:tbl>
    <w:p w14:paraId="2FF32D1B">
      <w:pPr>
        <w:spacing w:line="460" w:lineRule="exact"/>
        <w:ind w:firstLine="420" w:firstLineChars="200"/>
        <w:rPr>
          <w:color w:val="auto"/>
        </w:rPr>
      </w:pPr>
    </w:p>
    <w:p w14:paraId="1F162134">
      <w:pPr>
        <w:spacing w:line="460" w:lineRule="exact"/>
        <w:ind w:firstLine="420" w:firstLineChars="200"/>
        <w:rPr>
          <w:color w:val="auto"/>
        </w:rPr>
      </w:pPr>
    </w:p>
    <w:p w14:paraId="2F048ACE">
      <w:pPr>
        <w:spacing w:line="460" w:lineRule="exact"/>
        <w:ind w:firstLine="420" w:firstLineChars="200"/>
        <w:rPr>
          <w:color w:val="auto"/>
        </w:rPr>
        <w:sectPr>
          <w:pgSz w:w="16838" w:h="11905" w:orient="landscape"/>
          <w:pgMar w:top="1519" w:right="1440" w:bottom="1519" w:left="1440" w:header="850" w:footer="850" w:gutter="0"/>
          <w:cols w:space="720" w:num="1"/>
          <w:docGrid w:linePitch="312" w:charSpace="0"/>
        </w:sectPr>
      </w:pPr>
    </w:p>
    <w:p w14:paraId="5C4DBC2E">
      <w:pPr>
        <w:spacing w:line="440" w:lineRule="exact"/>
        <w:rPr>
          <w:color w:val="auto"/>
          <w:sz w:val="30"/>
          <w:szCs w:val="30"/>
        </w:rPr>
      </w:pPr>
      <w:r>
        <w:rPr>
          <w:rFonts w:hint="eastAsia" w:hAnsi="宋体" w:cs="宋体"/>
          <w:color w:val="auto"/>
          <w:sz w:val="30"/>
          <w:szCs w:val="30"/>
        </w:rPr>
        <w:t>附件</w:t>
      </w:r>
      <w:r>
        <w:rPr>
          <w:rFonts w:hint="eastAsia"/>
          <w:color w:val="auto"/>
          <w:sz w:val="30"/>
          <w:szCs w:val="30"/>
        </w:rPr>
        <w:t>2</w:t>
      </w:r>
      <w:r>
        <w:rPr>
          <w:rFonts w:hint="eastAsia" w:hAnsi="宋体" w:cs="宋体"/>
          <w:color w:val="auto"/>
          <w:sz w:val="30"/>
          <w:szCs w:val="30"/>
        </w:rPr>
        <w:t>：</w:t>
      </w:r>
    </w:p>
    <w:p w14:paraId="2D390528">
      <w:pPr>
        <w:spacing w:before="120" w:beforeLines="50" w:after="120" w:afterLines="50" w:line="440" w:lineRule="exact"/>
        <w:jc w:val="center"/>
        <w:rPr>
          <w:rFonts w:ascii="黑体" w:eastAsia="黑体"/>
          <w:color w:val="auto"/>
          <w:sz w:val="32"/>
          <w:szCs w:val="32"/>
        </w:rPr>
      </w:pPr>
      <w:r>
        <w:rPr>
          <w:rFonts w:hint="eastAsia" w:ascii="黑体" w:hAnsi="宋体" w:eastAsia="黑体" w:cs="黑体"/>
          <w:color w:val="auto"/>
          <w:sz w:val="32"/>
          <w:szCs w:val="32"/>
        </w:rPr>
        <w:t>工程质量保修书（房屋建筑工程）</w:t>
      </w:r>
    </w:p>
    <w:p w14:paraId="7F879E34">
      <w:pPr>
        <w:spacing w:line="440" w:lineRule="exact"/>
        <w:ind w:firstLine="420" w:firstLineChars="200"/>
        <w:rPr>
          <w:color w:val="auto"/>
        </w:rPr>
      </w:pPr>
      <w:r>
        <w:rPr>
          <w:rFonts w:hint="eastAsia" w:hAnsi="宋体" w:cs="宋体"/>
          <w:color w:val="auto"/>
        </w:rPr>
        <w:t>发包人（全称）：</w:t>
      </w:r>
      <w:r>
        <w:rPr>
          <w:rFonts w:hint="eastAsia" w:ascii="宋体" w:hAnsi="宋体" w:cs="宋体"/>
          <w:color w:val="auto"/>
          <w:szCs w:val="21"/>
          <w:u w:val="single"/>
        </w:rPr>
        <w:t>广西壮族自治区南溪山医院（广西壮族自治区第二人民医院）</w:t>
      </w:r>
      <w:r>
        <w:rPr>
          <w:color w:val="auto"/>
        </w:rPr>
        <w:t xml:space="preserve"> </w:t>
      </w:r>
    </w:p>
    <w:p w14:paraId="10CD2675">
      <w:pPr>
        <w:spacing w:line="440" w:lineRule="exact"/>
        <w:ind w:firstLine="420" w:firstLineChars="200"/>
        <w:rPr>
          <w:color w:val="auto"/>
        </w:rPr>
      </w:pPr>
      <w:r>
        <w:rPr>
          <w:rFonts w:hint="eastAsia" w:hAnsi="宋体" w:cs="宋体"/>
          <w:color w:val="auto"/>
        </w:rPr>
        <w:t>承包人（全称）：</w:t>
      </w:r>
      <w:r>
        <w:rPr>
          <w:color w:val="auto"/>
          <w:u w:val="single"/>
        </w:rPr>
        <w:t xml:space="preserve">                                </w:t>
      </w:r>
      <w:r>
        <w:rPr>
          <w:color w:val="auto"/>
        </w:rPr>
        <w:t xml:space="preserve"> </w:t>
      </w:r>
    </w:p>
    <w:p w14:paraId="294909D5">
      <w:pPr>
        <w:spacing w:line="440" w:lineRule="exact"/>
        <w:rPr>
          <w:color w:val="auto"/>
        </w:rPr>
      </w:pPr>
    </w:p>
    <w:p w14:paraId="720AF41D">
      <w:pPr>
        <w:spacing w:line="360" w:lineRule="auto"/>
        <w:ind w:firstLine="420" w:firstLineChars="200"/>
        <w:rPr>
          <w:rFonts w:hint="eastAsia" w:hAnsi="宋体"/>
          <w:color w:val="auto"/>
        </w:rPr>
      </w:pPr>
      <w:r>
        <w:rPr>
          <w:rFonts w:hint="eastAsia" w:hAnsi="宋体" w:cs="宋体"/>
          <w:color w:val="auto"/>
        </w:rPr>
        <w:t>发包人和承包人根据《中华人民共和国建筑法》和《建设工程质量管理条例》，经协商一致就</w:t>
      </w:r>
      <w:r>
        <w:rPr>
          <w:color w:val="auto"/>
          <w:u w:val="single"/>
        </w:rPr>
        <w:t xml:space="preserve">                                   </w:t>
      </w:r>
      <w:r>
        <w:rPr>
          <w:rFonts w:hint="eastAsia" w:hAnsi="宋体" w:cs="宋体"/>
          <w:color w:val="auto"/>
        </w:rPr>
        <w:t>（工程全称）签订工程质量保修书。</w:t>
      </w:r>
    </w:p>
    <w:p w14:paraId="2943DE2B">
      <w:pPr>
        <w:spacing w:line="360" w:lineRule="auto"/>
        <w:ind w:firstLine="420" w:firstLineChars="200"/>
        <w:rPr>
          <w:rFonts w:hint="eastAsia" w:ascii="黑体" w:hAnsi="宋体" w:eastAsia="黑体"/>
          <w:color w:val="auto"/>
        </w:rPr>
      </w:pPr>
      <w:r>
        <w:rPr>
          <w:rFonts w:hint="eastAsia" w:ascii="黑体" w:hAnsi="宋体" w:eastAsia="黑体" w:cs="黑体"/>
          <w:color w:val="auto"/>
        </w:rPr>
        <w:t>一、工程质量保修范围和内容</w:t>
      </w:r>
    </w:p>
    <w:p w14:paraId="2BAEE52C">
      <w:pPr>
        <w:spacing w:line="360" w:lineRule="auto"/>
        <w:ind w:firstLine="420" w:firstLineChars="200"/>
        <w:rPr>
          <w:color w:val="auto"/>
        </w:rPr>
      </w:pPr>
      <w:r>
        <w:rPr>
          <w:rFonts w:hint="eastAsia" w:hAnsi="宋体" w:cs="宋体"/>
          <w:color w:val="auto"/>
        </w:rPr>
        <w:t>承包人在质量保修期内，按照有关法律规定和合同约定，承担工程质量保修责任。</w:t>
      </w:r>
    </w:p>
    <w:p w14:paraId="6F9AA2BF">
      <w:pPr>
        <w:spacing w:line="360" w:lineRule="auto"/>
        <w:ind w:firstLine="420"/>
        <w:rPr>
          <w:rFonts w:hint="eastAsia" w:hAnsi="宋体"/>
          <w:color w:val="auto"/>
        </w:rPr>
      </w:pPr>
      <w:r>
        <w:rPr>
          <w:rFonts w:hint="eastAsia" w:hAnsi="宋体" w:cs="宋体"/>
          <w:color w:val="auto"/>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color w:val="auto"/>
          <w:u w:val="single"/>
        </w:rPr>
        <w:t xml:space="preserve">                                                                                                                                                            </w:t>
      </w:r>
    </w:p>
    <w:p w14:paraId="1A626A75">
      <w:pPr>
        <w:spacing w:line="360" w:lineRule="auto"/>
        <w:ind w:firstLine="420"/>
        <w:rPr>
          <w:rFonts w:hint="eastAsia" w:ascii="黑体" w:hAnsi="宋体" w:eastAsia="黑体"/>
          <w:color w:val="auto"/>
        </w:rPr>
      </w:pPr>
      <w:r>
        <w:rPr>
          <w:rFonts w:hint="eastAsia" w:ascii="黑体" w:hAnsi="宋体" w:eastAsia="黑体" w:cs="黑体"/>
          <w:color w:val="auto"/>
        </w:rPr>
        <w:t>二、质量保修期</w:t>
      </w:r>
    </w:p>
    <w:p w14:paraId="4C9AC1BA">
      <w:pPr>
        <w:spacing w:line="360" w:lineRule="auto"/>
        <w:ind w:firstLine="420"/>
        <w:rPr>
          <w:rFonts w:hint="eastAsia" w:hAnsi="宋体"/>
          <w:color w:val="auto"/>
        </w:rPr>
      </w:pPr>
      <w:r>
        <w:rPr>
          <w:rFonts w:hint="eastAsia" w:hAnsi="宋体" w:cs="宋体"/>
          <w:color w:val="auto"/>
        </w:rPr>
        <w:t>根据《建设工程质量管理条例》及有关规定，工程的质量保修期如下：</w:t>
      </w:r>
    </w:p>
    <w:p w14:paraId="6806D163">
      <w:pPr>
        <w:spacing w:line="360" w:lineRule="auto"/>
        <w:ind w:firstLine="420"/>
        <w:rPr>
          <w:rFonts w:hint="eastAsia" w:hAnsi="宋体"/>
          <w:color w:val="auto"/>
        </w:rPr>
      </w:pPr>
      <w:r>
        <w:rPr>
          <w:color w:val="auto"/>
        </w:rPr>
        <w:t>1</w:t>
      </w:r>
      <w:r>
        <w:rPr>
          <w:rFonts w:hint="eastAsia" w:hAnsi="宋体" w:cs="宋体"/>
          <w:color w:val="auto"/>
        </w:rPr>
        <w:t>．地基基础工程和主体结构工程为设计文件规定的工程合理使用年限；</w:t>
      </w:r>
    </w:p>
    <w:p w14:paraId="689BB47B">
      <w:pPr>
        <w:spacing w:line="360" w:lineRule="auto"/>
        <w:ind w:firstLine="420"/>
        <w:rPr>
          <w:rFonts w:hint="eastAsia" w:hAnsi="宋体"/>
          <w:color w:val="auto"/>
        </w:rPr>
      </w:pPr>
      <w:r>
        <w:rPr>
          <w:color w:val="auto"/>
        </w:rPr>
        <w:t>2</w:t>
      </w:r>
      <w:r>
        <w:rPr>
          <w:rFonts w:hint="eastAsia" w:hAnsi="宋体" w:cs="宋体"/>
          <w:color w:val="auto"/>
        </w:rPr>
        <w:t>．屋面防水工程、有防水要求的卫生间、房间和外墙面的防渗为</w:t>
      </w:r>
      <w:r>
        <w:rPr>
          <w:rFonts w:hint="eastAsia"/>
          <w:color w:val="auto"/>
          <w:u w:val="single"/>
        </w:rPr>
        <w:t>5</w:t>
      </w:r>
      <w:r>
        <w:rPr>
          <w:rFonts w:hint="eastAsia" w:hAnsi="宋体" w:cs="宋体"/>
          <w:color w:val="auto"/>
        </w:rPr>
        <w:t>年；</w:t>
      </w:r>
    </w:p>
    <w:p w14:paraId="3867B3A4">
      <w:pPr>
        <w:spacing w:line="360" w:lineRule="auto"/>
        <w:ind w:firstLine="420"/>
        <w:rPr>
          <w:rFonts w:hint="eastAsia" w:hAnsi="宋体"/>
          <w:color w:val="auto"/>
        </w:rPr>
      </w:pPr>
      <w:r>
        <w:rPr>
          <w:color w:val="auto"/>
        </w:rPr>
        <w:t>3</w:t>
      </w:r>
      <w:r>
        <w:rPr>
          <w:rFonts w:hint="eastAsia" w:hAnsi="宋体" w:cs="宋体"/>
          <w:color w:val="auto"/>
        </w:rPr>
        <w:t>．装修工程为2年；</w:t>
      </w:r>
    </w:p>
    <w:p w14:paraId="7D637610">
      <w:pPr>
        <w:spacing w:line="360" w:lineRule="auto"/>
        <w:ind w:firstLine="420"/>
        <w:rPr>
          <w:rFonts w:hint="eastAsia" w:hAnsi="宋体"/>
          <w:color w:val="auto"/>
        </w:rPr>
      </w:pPr>
      <w:r>
        <w:rPr>
          <w:color w:val="auto"/>
        </w:rPr>
        <w:t>4</w:t>
      </w:r>
      <w:r>
        <w:rPr>
          <w:rFonts w:hint="eastAsia" w:hAnsi="宋体" w:cs="宋体"/>
          <w:color w:val="auto"/>
        </w:rPr>
        <w:t>．电气管线、给排水管道、设备安装工程为</w:t>
      </w:r>
      <w:r>
        <w:rPr>
          <w:rFonts w:hint="eastAsia"/>
          <w:color w:val="auto"/>
          <w:u w:val="single"/>
        </w:rPr>
        <w:t>2</w:t>
      </w:r>
      <w:r>
        <w:rPr>
          <w:rFonts w:hint="eastAsia" w:hAnsi="宋体" w:cs="宋体"/>
          <w:color w:val="auto"/>
        </w:rPr>
        <w:t>年；</w:t>
      </w:r>
    </w:p>
    <w:p w14:paraId="6BB53BB2">
      <w:pPr>
        <w:spacing w:line="360" w:lineRule="auto"/>
        <w:ind w:firstLine="420"/>
        <w:rPr>
          <w:rFonts w:hint="eastAsia" w:hAnsi="宋体"/>
          <w:color w:val="auto"/>
        </w:rPr>
      </w:pPr>
      <w:r>
        <w:rPr>
          <w:color w:val="auto"/>
        </w:rPr>
        <w:t>5</w:t>
      </w:r>
      <w:r>
        <w:rPr>
          <w:rFonts w:hint="eastAsia" w:hAnsi="宋体" w:cs="宋体"/>
          <w:color w:val="auto"/>
        </w:rPr>
        <w:t>．供热与供冷系统为</w:t>
      </w:r>
      <w:r>
        <w:rPr>
          <w:rFonts w:hint="eastAsia"/>
          <w:color w:val="auto"/>
          <w:u w:val="single"/>
        </w:rPr>
        <w:t>2</w:t>
      </w:r>
      <w:r>
        <w:rPr>
          <w:color w:val="auto"/>
          <w:u w:val="single"/>
        </w:rPr>
        <w:t xml:space="preserve"> </w:t>
      </w:r>
      <w:r>
        <w:rPr>
          <w:rFonts w:hint="eastAsia" w:hAnsi="宋体" w:cs="宋体"/>
          <w:color w:val="auto"/>
        </w:rPr>
        <w:t>个采暖期、供冷期；</w:t>
      </w:r>
    </w:p>
    <w:p w14:paraId="22C00D7B">
      <w:pPr>
        <w:spacing w:line="360" w:lineRule="auto"/>
        <w:ind w:firstLine="420"/>
        <w:rPr>
          <w:rFonts w:hint="eastAsia" w:hAnsi="宋体"/>
          <w:color w:val="auto"/>
        </w:rPr>
      </w:pPr>
      <w:r>
        <w:rPr>
          <w:color w:val="auto"/>
        </w:rPr>
        <w:t>6</w:t>
      </w:r>
      <w:r>
        <w:rPr>
          <w:rFonts w:hint="eastAsia" w:hAnsi="宋体" w:cs="宋体"/>
          <w:color w:val="auto"/>
        </w:rPr>
        <w:t>．住宅小区内的给排水设施、道路等配套工程为</w:t>
      </w:r>
      <w:r>
        <w:rPr>
          <w:rFonts w:hint="eastAsia"/>
          <w:color w:val="auto"/>
          <w:u w:val="single"/>
        </w:rPr>
        <w:t>2</w:t>
      </w:r>
      <w:r>
        <w:rPr>
          <w:rFonts w:hint="eastAsia" w:hAnsi="宋体" w:cs="宋体"/>
          <w:color w:val="auto"/>
        </w:rPr>
        <w:t>年；</w:t>
      </w:r>
    </w:p>
    <w:p w14:paraId="3CD1FE3A">
      <w:pPr>
        <w:spacing w:line="360" w:lineRule="auto"/>
        <w:ind w:firstLine="420"/>
        <w:rPr>
          <w:rFonts w:hint="eastAsia" w:hAnsi="宋体"/>
          <w:color w:val="auto"/>
        </w:rPr>
      </w:pPr>
      <w:r>
        <w:rPr>
          <w:color w:val="auto"/>
        </w:rPr>
        <w:t>7</w:t>
      </w:r>
      <w:r>
        <w:rPr>
          <w:rFonts w:hint="eastAsia" w:hAnsi="宋体" w:cs="宋体"/>
          <w:color w:val="auto"/>
        </w:rPr>
        <w:t>．其他项目保修期限约定如下：</w:t>
      </w:r>
      <w:r>
        <w:rPr>
          <w:rFonts w:hint="eastAsia"/>
          <w:color w:val="auto"/>
          <w:u w:val="single"/>
        </w:rPr>
        <w:t>无</w:t>
      </w:r>
      <w:r>
        <w:rPr>
          <w:color w:val="auto"/>
          <w:u w:val="single"/>
        </w:rPr>
        <w:t xml:space="preserve">                                                                                                                                          </w:t>
      </w:r>
    </w:p>
    <w:p w14:paraId="5F12C90A">
      <w:pPr>
        <w:spacing w:line="360" w:lineRule="auto"/>
        <w:ind w:firstLine="420"/>
        <w:rPr>
          <w:rFonts w:hint="eastAsia" w:hAnsi="宋体"/>
          <w:color w:val="auto"/>
        </w:rPr>
      </w:pPr>
      <w:r>
        <w:rPr>
          <w:rFonts w:hint="eastAsia" w:hAnsi="宋体" w:cs="宋体"/>
          <w:color w:val="auto"/>
        </w:rPr>
        <w:t>质量保修期自工程竣工验收合格之日起计算。</w:t>
      </w:r>
    </w:p>
    <w:p w14:paraId="6EB779E5">
      <w:pPr>
        <w:spacing w:line="360" w:lineRule="auto"/>
        <w:ind w:firstLine="420"/>
        <w:rPr>
          <w:rFonts w:hint="eastAsia" w:ascii="黑体" w:hAnsi="宋体" w:eastAsia="黑体"/>
          <w:color w:val="auto"/>
        </w:rPr>
      </w:pPr>
      <w:r>
        <w:rPr>
          <w:rFonts w:hint="eastAsia" w:ascii="黑体" w:hAnsi="宋体" w:eastAsia="黑体" w:cs="黑体"/>
          <w:color w:val="auto"/>
        </w:rPr>
        <w:t>三、缺陷责任期</w:t>
      </w:r>
    </w:p>
    <w:p w14:paraId="0FCC2A4D">
      <w:pPr>
        <w:spacing w:line="360" w:lineRule="auto"/>
        <w:ind w:firstLine="420"/>
        <w:rPr>
          <w:rFonts w:hint="eastAsia" w:hAnsi="宋体"/>
          <w:color w:val="auto"/>
        </w:rPr>
      </w:pPr>
      <w:r>
        <w:rPr>
          <w:rFonts w:hint="eastAsia" w:hAnsi="宋体" w:cs="宋体"/>
          <w:color w:val="auto"/>
        </w:rPr>
        <w:t>工程缺陷责任期为</w:t>
      </w:r>
      <w:r>
        <w:rPr>
          <w:rFonts w:hint="eastAsia"/>
          <w:color w:val="auto"/>
          <w:u w:val="single"/>
        </w:rPr>
        <w:t>24</w:t>
      </w:r>
      <w:r>
        <w:rPr>
          <w:rFonts w:hint="eastAsia" w:hAnsi="宋体" w:cs="宋体"/>
          <w:color w:val="auto"/>
        </w:rPr>
        <w:t>个月（最长不超过</w:t>
      </w:r>
      <w:r>
        <w:rPr>
          <w:rFonts w:hAnsi="宋体"/>
          <w:color w:val="auto"/>
        </w:rPr>
        <w:t>24</w:t>
      </w:r>
      <w:r>
        <w:rPr>
          <w:rFonts w:hint="eastAsia" w:hAnsi="宋体" w:cs="宋体"/>
          <w:color w:val="auto"/>
        </w:rPr>
        <w:t>个月），缺陷责任期自工程竣工验收合格之日起计算。单位工程先于全部工程进行验收，单位工程缺陷责任期自单位工程验收合格之日起算。</w:t>
      </w:r>
    </w:p>
    <w:p w14:paraId="267F72DD">
      <w:pPr>
        <w:spacing w:line="360" w:lineRule="auto"/>
        <w:ind w:firstLine="420"/>
        <w:rPr>
          <w:rFonts w:hint="eastAsia" w:hAnsi="宋体"/>
          <w:color w:val="auto"/>
        </w:rPr>
      </w:pPr>
      <w:r>
        <w:rPr>
          <w:rFonts w:hint="eastAsia" w:hAnsi="宋体" w:cs="宋体"/>
          <w:color w:val="auto"/>
        </w:rPr>
        <w:t>缺陷责任期</w:t>
      </w:r>
      <w:r>
        <w:rPr>
          <w:rFonts w:hint="eastAsia" w:hAnsi="宋体" w:cs="宋体"/>
          <w:color w:val="auto"/>
          <w:u w:val="single"/>
        </w:rPr>
        <w:t>满</w:t>
      </w:r>
      <w:r>
        <w:rPr>
          <w:rFonts w:hint="eastAsia" w:ascii="仿宋_GB2312" w:hAnsi="宋体"/>
          <w:color w:val="auto"/>
        </w:rPr>
        <w:t>之日起</w:t>
      </w:r>
      <w:r>
        <w:rPr>
          <w:rFonts w:hint="eastAsia" w:ascii="仿宋_GB2312" w:hAnsi="宋体"/>
          <w:color w:val="auto"/>
          <w:u w:val="single"/>
        </w:rPr>
        <w:t xml:space="preserve"> </w:t>
      </w:r>
      <w:r>
        <w:rPr>
          <w:rFonts w:ascii="仿宋_GB2312" w:hAnsi="宋体"/>
          <w:color w:val="auto"/>
          <w:u w:val="single"/>
        </w:rPr>
        <w:t xml:space="preserve">  </w:t>
      </w:r>
      <w:r>
        <w:rPr>
          <w:rFonts w:hint="eastAsia" w:ascii="仿宋_GB2312" w:hAnsi="宋体"/>
          <w:color w:val="auto"/>
          <w:u w:val="single"/>
        </w:rPr>
        <w:t xml:space="preserve"> </w:t>
      </w:r>
      <w:r>
        <w:rPr>
          <w:rFonts w:hint="eastAsia" w:ascii="仿宋_GB2312" w:hAnsi="宋体"/>
          <w:color w:val="auto"/>
        </w:rPr>
        <w:t>天</w:t>
      </w:r>
      <w:r>
        <w:rPr>
          <w:rFonts w:hint="eastAsia" w:hAnsi="宋体" w:cs="宋体"/>
          <w:color w:val="auto"/>
          <w:u w:val="single"/>
        </w:rPr>
        <w:t>（按</w:t>
      </w:r>
      <w:r>
        <w:rPr>
          <w:rFonts w:hAnsi="宋体" w:cs="宋体"/>
          <w:color w:val="auto"/>
          <w:u w:val="single"/>
        </w:rPr>
        <w:t>合同约定期限）</w:t>
      </w:r>
      <w:r>
        <w:rPr>
          <w:rFonts w:hint="eastAsia" w:hAnsi="宋体" w:cs="宋体"/>
          <w:color w:val="auto"/>
          <w:u w:val="single"/>
        </w:rPr>
        <w:t>，</w:t>
      </w:r>
      <w:r>
        <w:rPr>
          <w:rFonts w:hint="eastAsia" w:hAnsi="宋体" w:cs="宋体"/>
          <w:color w:val="auto"/>
        </w:rPr>
        <w:t>发包人应退还剩余的质量保证金。</w:t>
      </w:r>
    </w:p>
    <w:p w14:paraId="0266462E">
      <w:pPr>
        <w:spacing w:line="360" w:lineRule="auto"/>
        <w:ind w:firstLine="420"/>
        <w:rPr>
          <w:rFonts w:hint="eastAsia" w:ascii="黑体" w:hAnsi="宋体" w:eastAsia="黑体"/>
          <w:color w:val="auto"/>
        </w:rPr>
      </w:pPr>
      <w:r>
        <w:rPr>
          <w:rFonts w:hint="eastAsia" w:ascii="黑体" w:hAnsi="宋体" w:eastAsia="黑体" w:cs="黑体"/>
          <w:color w:val="auto"/>
        </w:rPr>
        <w:t>四、质量保修责任</w:t>
      </w:r>
    </w:p>
    <w:p w14:paraId="289F078A">
      <w:pPr>
        <w:spacing w:line="360" w:lineRule="auto"/>
        <w:ind w:left="105" w:leftChars="50" w:firstLine="430" w:firstLineChars="205"/>
        <w:rPr>
          <w:rFonts w:hint="eastAsia" w:hAnsi="宋体"/>
          <w:color w:val="auto"/>
        </w:rPr>
      </w:pPr>
      <w:r>
        <w:rPr>
          <w:color w:val="auto"/>
        </w:rPr>
        <w:t>1</w:t>
      </w:r>
      <w:r>
        <w:rPr>
          <w:rFonts w:hint="eastAsia" w:hAnsi="宋体" w:cs="宋体"/>
          <w:color w:val="auto"/>
        </w:rPr>
        <w:t>．属于保修范围、内容的项目，承包人应当在接到保修通知之日起</w:t>
      </w:r>
      <w:r>
        <w:rPr>
          <w:rFonts w:hint="eastAsia"/>
          <w:color w:val="auto"/>
          <w:u w:val="single"/>
        </w:rPr>
        <w:t>2</w:t>
      </w:r>
      <w:r>
        <w:rPr>
          <w:rFonts w:hint="eastAsia" w:hAnsi="宋体" w:cs="宋体"/>
          <w:color w:val="auto"/>
        </w:rPr>
        <w:t>天内派人保修。承包人不在约定期限内派人保修的，发包人可以委托他人修理，修理费用从质量保证金内扣除。</w:t>
      </w:r>
    </w:p>
    <w:p w14:paraId="77F0EEC8">
      <w:pPr>
        <w:spacing w:line="360" w:lineRule="auto"/>
        <w:ind w:firstLine="420"/>
        <w:rPr>
          <w:rFonts w:hint="eastAsia" w:hAnsi="宋体"/>
          <w:color w:val="auto"/>
        </w:rPr>
      </w:pPr>
      <w:r>
        <w:rPr>
          <w:color w:val="auto"/>
        </w:rPr>
        <w:t>2</w:t>
      </w:r>
      <w:r>
        <w:rPr>
          <w:rFonts w:hint="eastAsia" w:hAnsi="宋体" w:cs="宋体"/>
          <w:color w:val="auto"/>
        </w:rPr>
        <w:t>．发生紧急事故需抢修的，承包人在接到事故通知后，应当立即到达事故现场抢修。</w:t>
      </w:r>
    </w:p>
    <w:p w14:paraId="71056198">
      <w:pPr>
        <w:spacing w:line="360" w:lineRule="auto"/>
        <w:ind w:firstLine="420"/>
        <w:rPr>
          <w:rFonts w:hint="eastAsia" w:hAnsi="宋体"/>
          <w:color w:val="auto"/>
        </w:rPr>
      </w:pPr>
      <w:r>
        <w:rPr>
          <w:color w:val="auto"/>
        </w:rPr>
        <w:t>3</w:t>
      </w:r>
      <w:r>
        <w:rPr>
          <w:rFonts w:hint="eastAsia" w:hAnsi="宋体" w:cs="宋体"/>
          <w:color w:val="auto"/>
        </w:rPr>
        <w:t>．对于涉及结构安全的质量问题，应当按照《建设工程质量管理条例》的规定，立即向当地相关行政主管部门和有关部门报告，采取安全防范措施，并由原设计人或者具有相应资质等级的设计人提出保修方案，承包人实施保修。</w:t>
      </w:r>
    </w:p>
    <w:p w14:paraId="767DF6A2">
      <w:pPr>
        <w:spacing w:line="360" w:lineRule="auto"/>
        <w:ind w:firstLine="420"/>
        <w:rPr>
          <w:rFonts w:hint="eastAsia" w:hAnsi="宋体"/>
          <w:color w:val="auto"/>
        </w:rPr>
      </w:pPr>
      <w:r>
        <w:rPr>
          <w:color w:val="auto"/>
        </w:rPr>
        <w:t>4</w:t>
      </w:r>
      <w:r>
        <w:rPr>
          <w:rFonts w:hint="eastAsia" w:hAnsi="宋体" w:cs="宋体"/>
          <w:color w:val="auto"/>
        </w:rPr>
        <w:t>．质量保修完成后，由发包人组织验收。</w:t>
      </w:r>
    </w:p>
    <w:p w14:paraId="596B8CC7">
      <w:pPr>
        <w:spacing w:line="360" w:lineRule="auto"/>
        <w:ind w:firstLine="420"/>
        <w:rPr>
          <w:rFonts w:hint="eastAsia" w:ascii="黑体" w:hAnsi="宋体" w:eastAsia="黑体"/>
          <w:color w:val="auto"/>
        </w:rPr>
      </w:pPr>
      <w:r>
        <w:rPr>
          <w:rFonts w:hint="eastAsia" w:ascii="黑体" w:hAnsi="宋体" w:eastAsia="黑体" w:cs="黑体"/>
          <w:color w:val="auto"/>
        </w:rPr>
        <w:t>五、保修费用</w:t>
      </w:r>
    </w:p>
    <w:p w14:paraId="0E0485BD">
      <w:pPr>
        <w:tabs>
          <w:tab w:val="left" w:pos="7380"/>
        </w:tabs>
        <w:spacing w:line="360" w:lineRule="auto"/>
        <w:ind w:firstLine="420"/>
        <w:rPr>
          <w:rFonts w:hint="eastAsia" w:hAnsi="宋体"/>
          <w:color w:val="auto"/>
        </w:rPr>
      </w:pPr>
      <w:r>
        <w:rPr>
          <w:rFonts w:hint="eastAsia" w:hAnsi="宋体" w:cs="宋体"/>
          <w:color w:val="auto"/>
        </w:rPr>
        <w:t>保修费用由造成质量缺陷的责任方承担。</w:t>
      </w:r>
    </w:p>
    <w:p w14:paraId="5E8B5629">
      <w:pPr>
        <w:spacing w:line="360" w:lineRule="auto"/>
        <w:ind w:firstLine="420" w:firstLineChars="200"/>
        <w:jc w:val="left"/>
        <w:rPr>
          <w:color w:val="auto"/>
        </w:rPr>
      </w:pPr>
      <w:r>
        <w:rPr>
          <w:rFonts w:hint="eastAsia" w:ascii="黑体" w:hAnsi="宋体" w:eastAsia="黑体" w:cs="黑体"/>
          <w:color w:val="auto"/>
        </w:rPr>
        <w:t>六、双方约定的其他工程质量保修事项：</w:t>
      </w:r>
      <w:r>
        <w:rPr>
          <w:rFonts w:hint="eastAsia"/>
          <w:color w:val="auto"/>
          <w:u w:val="single"/>
        </w:rPr>
        <w:t>签约时填写</w:t>
      </w:r>
      <w:r>
        <w:rPr>
          <w:color w:val="auto"/>
          <w:u w:val="single"/>
        </w:rPr>
        <w:t xml:space="preserve">    </w:t>
      </w:r>
      <w:r>
        <w:rPr>
          <w:rFonts w:hint="eastAsia" w:hAnsi="宋体" w:cs="宋体"/>
          <w:color w:val="auto"/>
        </w:rPr>
        <w:t>。</w:t>
      </w:r>
    </w:p>
    <w:p w14:paraId="22754D12">
      <w:pPr>
        <w:spacing w:line="360" w:lineRule="auto"/>
        <w:ind w:firstLine="399" w:firstLineChars="190"/>
        <w:rPr>
          <w:color w:val="auto"/>
        </w:rPr>
      </w:pPr>
      <w:r>
        <w:rPr>
          <w:rFonts w:hint="eastAsia" w:hAnsi="宋体" w:cs="宋体"/>
          <w:color w:val="auto"/>
        </w:rPr>
        <w:t>工程质量保修书由发包人、承包人在工程竣工验收前共同签署，作为施工合同附件，其有效期限至保修期满。</w:t>
      </w:r>
    </w:p>
    <w:p w14:paraId="091A6DC8">
      <w:pPr>
        <w:spacing w:line="360" w:lineRule="auto"/>
        <w:ind w:firstLine="420"/>
        <w:rPr>
          <w:color w:val="auto"/>
        </w:rPr>
      </w:pPr>
    </w:p>
    <w:p w14:paraId="55F234A6">
      <w:pPr>
        <w:spacing w:line="360" w:lineRule="auto"/>
        <w:rPr>
          <w:color w:val="auto"/>
        </w:rPr>
      </w:pPr>
      <w:r>
        <w:rPr>
          <w:rFonts w:hAnsi="宋体"/>
          <w:color w:val="auto"/>
        </w:rPr>
        <w:t>发包人</w:t>
      </w:r>
      <w:r>
        <w:rPr>
          <w:rFonts w:hint="eastAsia"/>
          <w:color w:val="auto"/>
        </w:rPr>
        <w:t>（</w:t>
      </w:r>
      <w:r>
        <w:rPr>
          <w:rFonts w:hAnsi="宋体"/>
          <w:color w:val="auto"/>
        </w:rPr>
        <w:t>公章</w:t>
      </w:r>
      <w:r>
        <w:rPr>
          <w:rFonts w:hint="eastAsia"/>
          <w:color w:val="auto"/>
        </w:rPr>
        <w:t>）</w:t>
      </w:r>
      <w:r>
        <w:rPr>
          <w:rFonts w:hAnsi="宋体"/>
          <w:color w:val="auto"/>
        </w:rPr>
        <w:t>：</w:t>
      </w:r>
      <w:r>
        <w:rPr>
          <w:color w:val="auto"/>
          <w:u w:val="single"/>
        </w:rPr>
        <w:t xml:space="preserve"> </w:t>
      </w:r>
      <w:r>
        <w:rPr>
          <w:rFonts w:ascii="宋体" w:hAnsi="宋体"/>
          <w:color w:val="auto"/>
          <w:u w:val="single"/>
        </w:rPr>
        <w:t></w:t>
      </w:r>
      <w:r>
        <w:rPr>
          <w:color w:val="auto"/>
          <w:u w:val="single"/>
        </w:rPr>
        <w:t xml:space="preserve"> </w:t>
      </w:r>
      <w:r>
        <w:rPr>
          <w:rFonts w:ascii="宋体" w:hAnsi="宋体"/>
          <w:color w:val="auto"/>
          <w:u w:val="single"/>
        </w:rPr>
        <w:t></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承包人</w:t>
      </w:r>
      <w:r>
        <w:rPr>
          <w:rFonts w:hint="eastAsia"/>
          <w:color w:val="auto"/>
        </w:rPr>
        <w:t>（</w:t>
      </w:r>
      <w:r>
        <w:rPr>
          <w:rFonts w:hAnsi="宋体"/>
          <w:color w:val="auto"/>
        </w:rPr>
        <w:t>公章</w:t>
      </w:r>
      <w:r>
        <w:rPr>
          <w:rFonts w:hint="eastAsia"/>
          <w:color w:val="auto"/>
        </w:rPr>
        <w:t>）</w:t>
      </w:r>
      <w:r>
        <w:rPr>
          <w:rFonts w:hAnsi="宋体"/>
          <w:color w:val="auto"/>
        </w:rPr>
        <w:t>：</w:t>
      </w:r>
      <w:r>
        <w:rPr>
          <w:rFonts w:ascii="宋体" w:hAnsi="宋体"/>
          <w:color w:val="auto"/>
          <w:u w:val="single"/>
        </w:rPr>
        <w:t></w:t>
      </w:r>
      <w:r>
        <w:rPr>
          <w:color w:val="auto"/>
          <w:u w:val="single"/>
        </w:rPr>
        <w:t xml:space="preserve">          </w:t>
      </w:r>
      <w:r>
        <w:rPr>
          <w:rFonts w:ascii="宋体" w:hAnsi="宋体"/>
          <w:color w:val="auto"/>
          <w:u w:val="single"/>
        </w:rPr>
        <w:t></w:t>
      </w:r>
    </w:p>
    <w:p w14:paraId="47DA977A">
      <w:pPr>
        <w:spacing w:line="360" w:lineRule="auto"/>
        <w:rPr>
          <w:color w:val="auto"/>
        </w:rPr>
      </w:pPr>
      <w:r>
        <w:rPr>
          <w:rFonts w:hAnsi="宋体"/>
          <w:color w:val="auto"/>
        </w:rPr>
        <w:t>地</w:t>
      </w:r>
      <w:r>
        <w:rPr>
          <w:color w:val="auto"/>
        </w:rPr>
        <w:t xml:space="preserve">  </w:t>
      </w:r>
      <w:r>
        <w:rPr>
          <w:rFonts w:hAnsi="宋体"/>
          <w:color w:val="auto"/>
        </w:rPr>
        <w:t>址：</w:t>
      </w:r>
      <w:r>
        <w:rPr>
          <w:color w:val="auto"/>
          <w:u w:val="single"/>
        </w:rPr>
        <w:t xml:space="preserve"> </w:t>
      </w:r>
      <w:r>
        <w:rPr>
          <w:rFonts w:ascii="宋体" w:hAnsi="宋体"/>
          <w:color w:val="auto"/>
          <w:u w:val="single"/>
        </w:rPr>
        <w:t></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地</w:t>
      </w:r>
      <w:r>
        <w:rPr>
          <w:color w:val="auto"/>
        </w:rPr>
        <w:t xml:space="preserve">  </w:t>
      </w:r>
      <w:r>
        <w:rPr>
          <w:rFonts w:hAnsi="宋体"/>
          <w:color w:val="auto"/>
        </w:rPr>
        <w:t>址：</w:t>
      </w:r>
      <w:r>
        <w:rPr>
          <w:rFonts w:ascii="宋体" w:hAnsi="宋体"/>
          <w:color w:val="auto"/>
          <w:u w:val="single"/>
        </w:rPr>
        <w:t></w:t>
      </w:r>
      <w:r>
        <w:rPr>
          <w:color w:val="auto"/>
          <w:u w:val="single"/>
        </w:rPr>
        <w:t xml:space="preserve"> </w:t>
      </w:r>
      <w:r>
        <w:rPr>
          <w:rFonts w:hint="eastAsia"/>
          <w:color w:val="auto"/>
          <w:u w:val="single"/>
        </w:rPr>
        <w:t xml:space="preserve">     </w:t>
      </w:r>
      <w:r>
        <w:rPr>
          <w:rFonts w:ascii="宋体" w:hAnsi="宋体"/>
          <w:color w:val="auto"/>
          <w:u w:val="single"/>
        </w:rPr>
        <w:t></w:t>
      </w:r>
    </w:p>
    <w:p w14:paraId="27F1EEA0">
      <w:pPr>
        <w:spacing w:line="360" w:lineRule="auto"/>
        <w:rPr>
          <w:color w:val="auto"/>
        </w:rPr>
      </w:pPr>
      <w:r>
        <w:rPr>
          <w:rFonts w:hAnsi="宋体"/>
          <w:color w:val="auto"/>
        </w:rPr>
        <w:t>法定代表人</w:t>
      </w:r>
      <w:r>
        <w:rPr>
          <w:rFonts w:hint="eastAsia"/>
          <w:color w:val="auto"/>
        </w:rPr>
        <w:t>（</w:t>
      </w:r>
      <w:r>
        <w:rPr>
          <w:rFonts w:hAnsi="宋体"/>
          <w:color w:val="auto"/>
        </w:rPr>
        <w:t>签字</w:t>
      </w:r>
      <w:r>
        <w:rPr>
          <w:rFonts w:hint="eastAsia"/>
          <w:color w:val="auto"/>
        </w:rPr>
        <w:t>）</w:t>
      </w:r>
      <w:r>
        <w:rPr>
          <w:rFonts w:hAnsi="宋体"/>
          <w:color w:val="auto"/>
        </w:rPr>
        <w:t>：</w:t>
      </w:r>
      <w:r>
        <w:rPr>
          <w:rFonts w:ascii="宋体" w:hAnsi="宋体"/>
          <w:color w:val="auto"/>
          <w:u w:val="single"/>
        </w:rPr>
        <w:t></w:t>
      </w:r>
      <w:r>
        <w:rPr>
          <w:color w:val="auto"/>
          <w:u w:val="single"/>
        </w:rPr>
        <w:t xml:space="preserve">      </w:t>
      </w:r>
      <w:r>
        <w:rPr>
          <w:color w:val="auto"/>
        </w:rPr>
        <w:t xml:space="preserve"> </w:t>
      </w:r>
      <w:r>
        <w:rPr>
          <w:rFonts w:hint="eastAsia"/>
          <w:color w:val="auto"/>
        </w:rPr>
        <w:t xml:space="preserve">             </w:t>
      </w:r>
      <w:r>
        <w:rPr>
          <w:rFonts w:hAnsi="宋体"/>
          <w:color w:val="auto"/>
        </w:rPr>
        <w:t>法定代表人</w:t>
      </w:r>
      <w:r>
        <w:rPr>
          <w:rFonts w:hint="eastAsia"/>
          <w:color w:val="auto"/>
        </w:rPr>
        <w:t>（</w:t>
      </w:r>
      <w:r>
        <w:rPr>
          <w:rFonts w:hAnsi="宋体"/>
          <w:color w:val="auto"/>
        </w:rPr>
        <w:t>签字</w:t>
      </w:r>
      <w:r>
        <w:rPr>
          <w:rFonts w:hint="eastAsia"/>
          <w:color w:val="auto"/>
        </w:rPr>
        <w:t>）</w:t>
      </w:r>
      <w:r>
        <w:rPr>
          <w:rFonts w:hAnsi="宋体"/>
          <w:color w:val="auto"/>
        </w:rPr>
        <w:t>：</w:t>
      </w:r>
      <w:r>
        <w:rPr>
          <w:rFonts w:ascii="宋体" w:hAnsi="宋体"/>
          <w:color w:val="auto"/>
          <w:u w:val="single"/>
        </w:rPr>
        <w:t></w:t>
      </w:r>
      <w:r>
        <w:rPr>
          <w:rFonts w:hint="eastAsia" w:ascii="宋体" w:hAnsi="宋体"/>
          <w:color w:val="auto"/>
          <w:u w:val="single"/>
        </w:rPr>
        <w:t xml:space="preserve">     </w:t>
      </w:r>
      <w:r>
        <w:rPr>
          <w:rFonts w:ascii="宋体" w:hAnsi="宋体"/>
          <w:color w:val="auto"/>
          <w:u w:val="single"/>
        </w:rPr>
        <w:t></w:t>
      </w:r>
    </w:p>
    <w:p w14:paraId="075C38A9">
      <w:pPr>
        <w:spacing w:line="360" w:lineRule="auto"/>
        <w:rPr>
          <w:color w:val="auto"/>
        </w:rPr>
      </w:pPr>
      <w:r>
        <w:rPr>
          <w:rFonts w:hAnsi="宋体"/>
          <w:color w:val="auto"/>
        </w:rPr>
        <w:t>委托代理人</w:t>
      </w:r>
      <w:r>
        <w:rPr>
          <w:rFonts w:hint="eastAsia"/>
          <w:color w:val="auto"/>
        </w:rPr>
        <w:t>（</w:t>
      </w:r>
      <w:r>
        <w:rPr>
          <w:rFonts w:hAnsi="宋体"/>
          <w:color w:val="auto"/>
        </w:rPr>
        <w:t>签字</w:t>
      </w:r>
      <w:r>
        <w:rPr>
          <w:rFonts w:hint="eastAsia"/>
          <w:color w:val="auto"/>
        </w:rPr>
        <w:t>）</w:t>
      </w:r>
      <w:r>
        <w:rPr>
          <w:rFonts w:hAnsi="宋体"/>
          <w:color w:val="auto"/>
        </w:rPr>
        <w:t>：</w:t>
      </w:r>
      <w:r>
        <w:rPr>
          <w:rFonts w:ascii="宋体" w:hAnsi="宋体"/>
          <w:color w:val="auto"/>
          <w:u w:val="single"/>
        </w:rPr>
        <w:t></w:t>
      </w:r>
      <w:r>
        <w:rPr>
          <w:color w:val="auto"/>
          <w:u w:val="single"/>
        </w:rPr>
        <w:t xml:space="preserve">      </w:t>
      </w:r>
      <w:r>
        <w:rPr>
          <w:color w:val="auto"/>
        </w:rPr>
        <w:t xml:space="preserve"> </w:t>
      </w:r>
      <w:r>
        <w:rPr>
          <w:rFonts w:hint="eastAsia"/>
          <w:color w:val="auto"/>
        </w:rPr>
        <w:t xml:space="preserve">             </w:t>
      </w:r>
      <w:r>
        <w:rPr>
          <w:rFonts w:hAnsi="宋体"/>
          <w:color w:val="auto"/>
        </w:rPr>
        <w:t>委托代理人</w:t>
      </w:r>
      <w:r>
        <w:rPr>
          <w:rFonts w:hint="eastAsia"/>
          <w:color w:val="auto"/>
        </w:rPr>
        <w:t>（</w:t>
      </w:r>
      <w:r>
        <w:rPr>
          <w:rFonts w:hAnsi="宋体"/>
          <w:color w:val="auto"/>
        </w:rPr>
        <w:t>签字</w:t>
      </w:r>
      <w:r>
        <w:rPr>
          <w:rFonts w:hint="eastAsia"/>
          <w:color w:val="auto"/>
        </w:rPr>
        <w:t>）</w:t>
      </w:r>
      <w:r>
        <w:rPr>
          <w:rFonts w:hAnsi="宋体"/>
          <w:color w:val="auto"/>
        </w:rPr>
        <w:t>：</w:t>
      </w:r>
      <w:r>
        <w:rPr>
          <w:rFonts w:ascii="宋体" w:hAnsi="宋体"/>
          <w:color w:val="auto"/>
          <w:u w:val="single"/>
        </w:rPr>
        <w:t></w:t>
      </w:r>
      <w:r>
        <w:rPr>
          <w:rFonts w:hint="eastAsia" w:ascii="宋体" w:hAnsi="宋体"/>
          <w:color w:val="auto"/>
          <w:u w:val="single"/>
        </w:rPr>
        <w:t xml:space="preserve">     </w:t>
      </w:r>
      <w:r>
        <w:rPr>
          <w:rFonts w:ascii="宋体" w:hAnsi="宋体"/>
          <w:color w:val="auto"/>
          <w:u w:val="single"/>
        </w:rPr>
        <w:t></w:t>
      </w:r>
    </w:p>
    <w:p w14:paraId="77F65846">
      <w:pPr>
        <w:spacing w:line="360" w:lineRule="auto"/>
        <w:rPr>
          <w:color w:val="auto"/>
        </w:rPr>
      </w:pPr>
      <w:r>
        <w:rPr>
          <w:rFonts w:hAnsi="宋体"/>
          <w:color w:val="auto"/>
        </w:rPr>
        <w:t>电</w:t>
      </w:r>
      <w:r>
        <w:rPr>
          <w:color w:val="auto"/>
        </w:rPr>
        <w:t xml:space="preserve">  </w:t>
      </w:r>
      <w:r>
        <w:rPr>
          <w:rFonts w:hAnsi="宋体"/>
          <w:color w:val="auto"/>
        </w:rPr>
        <w:t>话：</w:t>
      </w:r>
      <w:r>
        <w:rPr>
          <w:rFonts w:ascii="宋体" w:hAnsi="宋体"/>
          <w:color w:val="auto"/>
          <w:u w:val="single"/>
        </w:rPr>
        <w:t></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电</w:t>
      </w:r>
      <w:r>
        <w:rPr>
          <w:color w:val="auto"/>
        </w:rPr>
        <w:t xml:space="preserve">  </w:t>
      </w:r>
      <w:r>
        <w:rPr>
          <w:rFonts w:hAnsi="宋体"/>
          <w:color w:val="auto"/>
        </w:rPr>
        <w:t>话：</w:t>
      </w:r>
      <w:r>
        <w:rPr>
          <w:rFonts w:ascii="宋体" w:hAnsi="宋体"/>
          <w:color w:val="auto"/>
          <w:u w:val="single"/>
        </w:rPr>
        <w:t></w:t>
      </w:r>
      <w:r>
        <w:rPr>
          <w:rFonts w:hint="eastAsia" w:ascii="宋体" w:hAnsi="宋体"/>
          <w:color w:val="auto"/>
          <w:u w:val="single"/>
        </w:rPr>
        <w:t xml:space="preserve">      </w:t>
      </w:r>
      <w:r>
        <w:rPr>
          <w:rFonts w:ascii="宋体" w:hAnsi="宋体"/>
          <w:color w:val="auto"/>
          <w:u w:val="single"/>
        </w:rPr>
        <w:t></w:t>
      </w:r>
    </w:p>
    <w:p w14:paraId="40A56E11">
      <w:pPr>
        <w:spacing w:line="360" w:lineRule="auto"/>
        <w:rPr>
          <w:color w:val="auto"/>
        </w:rPr>
      </w:pPr>
      <w:r>
        <w:rPr>
          <w:rFonts w:hAnsi="宋体"/>
          <w:color w:val="auto"/>
        </w:rPr>
        <w:t>传</w:t>
      </w:r>
      <w:r>
        <w:rPr>
          <w:color w:val="auto"/>
        </w:rPr>
        <w:t xml:space="preserve">  </w:t>
      </w:r>
      <w:r>
        <w:rPr>
          <w:rFonts w:hAnsi="宋体"/>
          <w:color w:val="auto"/>
        </w:rPr>
        <w:t>真：</w:t>
      </w:r>
      <w:r>
        <w:rPr>
          <w:rFonts w:ascii="宋体" w:hAnsi="宋体"/>
          <w:color w:val="auto"/>
          <w:u w:val="single"/>
        </w:rPr>
        <w:t></w:t>
      </w:r>
      <w:r>
        <w:rPr>
          <w:rFonts w:hint="eastAsia" w:ascii="宋体" w:hAnsi="宋体"/>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传</w:t>
      </w:r>
      <w:r>
        <w:rPr>
          <w:color w:val="auto"/>
        </w:rPr>
        <w:t xml:space="preserve">  </w:t>
      </w:r>
      <w:r>
        <w:rPr>
          <w:rFonts w:hAnsi="宋体"/>
          <w:color w:val="auto"/>
        </w:rPr>
        <w:t>真：</w:t>
      </w:r>
      <w:r>
        <w:rPr>
          <w:rFonts w:ascii="宋体" w:hAnsi="宋体"/>
          <w:color w:val="auto"/>
          <w:u w:val="single"/>
        </w:rPr>
        <w:t></w:t>
      </w:r>
      <w:r>
        <w:rPr>
          <w:rFonts w:hint="eastAsia" w:ascii="宋体" w:hAnsi="宋体"/>
          <w:color w:val="auto"/>
          <w:u w:val="single"/>
        </w:rPr>
        <w:t xml:space="preserve">  </w:t>
      </w:r>
      <w:r>
        <w:rPr>
          <w:color w:val="auto"/>
          <w:u w:val="single"/>
        </w:rPr>
        <w:t xml:space="preserve">  </w:t>
      </w:r>
      <w:r>
        <w:rPr>
          <w:rFonts w:ascii="宋体" w:hAnsi="宋体"/>
          <w:color w:val="auto"/>
          <w:u w:val="single"/>
        </w:rPr>
        <w:t></w:t>
      </w:r>
    </w:p>
    <w:p w14:paraId="257C46BD">
      <w:pPr>
        <w:spacing w:line="360" w:lineRule="auto"/>
        <w:rPr>
          <w:color w:val="auto"/>
        </w:rPr>
      </w:pPr>
      <w:r>
        <w:rPr>
          <w:rFonts w:hAnsi="宋体"/>
          <w:color w:val="auto"/>
        </w:rPr>
        <w:t>开户银行：</w:t>
      </w:r>
      <w:r>
        <w:rPr>
          <w:rFonts w:ascii="宋体" w:hAnsi="宋体"/>
          <w:color w:val="auto"/>
          <w:u w:val="single"/>
        </w:rPr>
        <w:t></w:t>
      </w:r>
      <w:r>
        <w:rPr>
          <w:rFonts w:hint="eastAsia" w:ascii="宋体" w:hAnsi="宋体"/>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开户银行：</w:t>
      </w:r>
      <w:r>
        <w:rPr>
          <w:rFonts w:ascii="宋体" w:hAnsi="宋体"/>
          <w:color w:val="auto"/>
          <w:u w:val="single"/>
        </w:rPr>
        <w:t></w:t>
      </w:r>
      <w:r>
        <w:rPr>
          <w:rFonts w:hint="eastAsia" w:ascii="宋体" w:hAnsi="宋体"/>
          <w:color w:val="auto"/>
          <w:u w:val="single"/>
        </w:rPr>
        <w:t xml:space="preserve">  </w:t>
      </w:r>
      <w:r>
        <w:rPr>
          <w:rFonts w:ascii="宋体" w:hAnsi="宋体"/>
          <w:color w:val="auto"/>
          <w:u w:val="single"/>
        </w:rPr>
        <w:t></w:t>
      </w:r>
    </w:p>
    <w:p w14:paraId="2BB27BDB">
      <w:pPr>
        <w:tabs>
          <w:tab w:val="left" w:pos="2880"/>
          <w:tab w:val="left" w:pos="3060"/>
          <w:tab w:val="left" w:pos="4500"/>
        </w:tabs>
        <w:spacing w:line="360" w:lineRule="auto"/>
        <w:rPr>
          <w:color w:val="auto"/>
        </w:rPr>
      </w:pPr>
      <w:r>
        <w:rPr>
          <w:rFonts w:hAnsi="宋体"/>
          <w:color w:val="auto"/>
        </w:rPr>
        <w:t>账</w:t>
      </w:r>
      <w:r>
        <w:rPr>
          <w:color w:val="auto"/>
        </w:rPr>
        <w:t xml:space="preserve">  </w:t>
      </w:r>
      <w:r>
        <w:rPr>
          <w:rFonts w:hAnsi="宋体"/>
          <w:color w:val="auto"/>
        </w:rPr>
        <w:t>号：</w:t>
      </w:r>
      <w:r>
        <w:rPr>
          <w:rFonts w:ascii="宋体" w:hAnsi="宋体"/>
          <w:color w:val="auto"/>
          <w:u w:val="single"/>
        </w:rPr>
        <w:t></w:t>
      </w:r>
      <w:r>
        <w:rPr>
          <w:color w:val="auto"/>
          <w:u w:val="single"/>
        </w:rPr>
        <w:t xml:space="preserve"> </w:t>
      </w:r>
      <w:r>
        <w:rPr>
          <w:rFonts w:ascii="宋体" w:hAnsi="宋体"/>
          <w:color w:val="auto"/>
          <w:u w:val="single"/>
        </w:rPr>
        <w:t></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账</w:t>
      </w:r>
      <w:r>
        <w:rPr>
          <w:color w:val="auto"/>
        </w:rPr>
        <w:t xml:space="preserve">  </w:t>
      </w:r>
      <w:r>
        <w:rPr>
          <w:rFonts w:hAnsi="宋体"/>
          <w:color w:val="auto"/>
        </w:rPr>
        <w:t>号：</w:t>
      </w:r>
      <w:r>
        <w:rPr>
          <w:rFonts w:ascii="宋体" w:hAnsi="宋体"/>
          <w:color w:val="auto"/>
          <w:u w:val="single"/>
        </w:rPr>
        <w:t></w:t>
      </w:r>
      <w:r>
        <w:rPr>
          <w:rFonts w:hint="eastAsia" w:ascii="宋体" w:hAnsi="宋体"/>
          <w:color w:val="auto"/>
          <w:u w:val="single"/>
        </w:rPr>
        <w:t xml:space="preserve">    </w:t>
      </w:r>
      <w:r>
        <w:rPr>
          <w:rFonts w:ascii="宋体" w:hAnsi="宋体"/>
          <w:color w:val="auto"/>
          <w:u w:val="single"/>
        </w:rPr>
        <w:t></w:t>
      </w:r>
    </w:p>
    <w:p w14:paraId="79464710">
      <w:pPr>
        <w:tabs>
          <w:tab w:val="left" w:pos="7200"/>
          <w:tab w:val="left" w:pos="7380"/>
          <w:tab w:val="left" w:pos="7560"/>
        </w:tabs>
        <w:spacing w:line="360" w:lineRule="auto"/>
        <w:rPr>
          <w:color w:val="auto"/>
        </w:rPr>
      </w:pPr>
      <w:r>
        <w:rPr>
          <w:rFonts w:hAnsi="宋体"/>
          <w:color w:val="auto"/>
        </w:rPr>
        <w:t>邮政编码：</w:t>
      </w:r>
      <w:r>
        <w:rPr>
          <w:color w:val="auto"/>
          <w:u w:val="single"/>
        </w:rPr>
        <w:t xml:space="preserve"> </w:t>
      </w:r>
      <w:r>
        <w:rPr>
          <w:rFonts w:ascii="宋体" w:hAnsi="宋体"/>
          <w:color w:val="auto"/>
          <w:u w:val="single"/>
        </w:rPr>
        <w:t></w:t>
      </w:r>
      <w:r>
        <w:rPr>
          <w:rFonts w:hint="eastAsia" w:ascii="宋体" w:hAnsi="宋体"/>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邮政编码：</w:t>
      </w:r>
      <w:r>
        <w:rPr>
          <w:rFonts w:ascii="宋体" w:hAnsi="宋体"/>
          <w:color w:val="auto"/>
          <w:u w:val="single"/>
        </w:rPr>
        <w:t></w:t>
      </w:r>
      <w:r>
        <w:rPr>
          <w:rFonts w:hint="eastAsia" w:ascii="宋体" w:hAnsi="宋体"/>
          <w:color w:val="auto"/>
          <w:u w:val="single"/>
        </w:rPr>
        <w:t xml:space="preserve">   </w:t>
      </w:r>
      <w:r>
        <w:rPr>
          <w:rFonts w:ascii="宋体" w:hAnsi="宋体"/>
          <w:color w:val="auto"/>
          <w:u w:val="single"/>
        </w:rPr>
        <w:t></w:t>
      </w:r>
    </w:p>
    <w:p w14:paraId="18212E18">
      <w:pPr>
        <w:spacing w:before="120" w:beforeLines="50" w:after="120" w:afterLines="50" w:line="440" w:lineRule="exact"/>
        <w:jc w:val="center"/>
        <w:rPr>
          <w:rFonts w:hint="eastAsia" w:ascii="黑体" w:hAnsi="宋体" w:eastAsia="黑体"/>
          <w:color w:val="auto"/>
          <w:sz w:val="32"/>
          <w:szCs w:val="32"/>
        </w:rPr>
      </w:pPr>
    </w:p>
    <w:p w14:paraId="4BF21D2B">
      <w:pPr>
        <w:spacing w:before="120" w:beforeLines="50" w:after="120" w:afterLines="50" w:line="440" w:lineRule="exact"/>
        <w:jc w:val="center"/>
        <w:rPr>
          <w:rFonts w:hint="eastAsia" w:ascii="黑体" w:hAnsi="宋体" w:eastAsia="黑体"/>
          <w:color w:val="auto"/>
          <w:sz w:val="32"/>
          <w:szCs w:val="32"/>
        </w:rPr>
      </w:pPr>
    </w:p>
    <w:p w14:paraId="2255DB48">
      <w:pPr>
        <w:spacing w:before="120" w:beforeLines="50" w:after="120" w:afterLines="50" w:line="440" w:lineRule="exact"/>
        <w:jc w:val="center"/>
        <w:rPr>
          <w:rFonts w:hint="eastAsia" w:ascii="黑体" w:hAnsi="宋体" w:eastAsia="黑体"/>
          <w:color w:val="auto"/>
          <w:sz w:val="32"/>
          <w:szCs w:val="32"/>
        </w:rPr>
      </w:pPr>
    </w:p>
    <w:p w14:paraId="52CA18C5">
      <w:pPr>
        <w:spacing w:before="120" w:beforeLines="50" w:after="120" w:afterLines="50" w:line="440" w:lineRule="exact"/>
        <w:jc w:val="center"/>
        <w:rPr>
          <w:rFonts w:hint="eastAsia" w:ascii="黑体" w:hAnsi="宋体" w:eastAsia="黑体"/>
          <w:color w:val="auto"/>
          <w:sz w:val="32"/>
          <w:szCs w:val="32"/>
        </w:rPr>
      </w:pPr>
    </w:p>
    <w:p w14:paraId="2E251F93">
      <w:pPr>
        <w:spacing w:before="120" w:beforeLines="50" w:after="120" w:afterLines="50" w:line="440" w:lineRule="exact"/>
        <w:jc w:val="center"/>
        <w:rPr>
          <w:rFonts w:hint="eastAsia" w:ascii="黑体" w:hAnsi="宋体" w:eastAsia="黑体"/>
          <w:color w:val="auto"/>
          <w:sz w:val="32"/>
          <w:szCs w:val="32"/>
        </w:rPr>
      </w:pPr>
    </w:p>
    <w:p w14:paraId="6139145B">
      <w:pPr>
        <w:spacing w:before="120" w:beforeLines="50" w:after="120" w:afterLines="50" w:line="440" w:lineRule="exact"/>
        <w:jc w:val="center"/>
        <w:rPr>
          <w:rFonts w:hint="eastAsia" w:ascii="黑体" w:hAnsi="宋体" w:eastAsia="黑体"/>
          <w:color w:val="auto"/>
          <w:sz w:val="32"/>
          <w:szCs w:val="32"/>
        </w:rPr>
      </w:pPr>
    </w:p>
    <w:p w14:paraId="65CECB9C">
      <w:pPr>
        <w:pStyle w:val="2"/>
        <w:rPr>
          <w:color w:val="auto"/>
        </w:rPr>
      </w:pPr>
    </w:p>
    <w:p w14:paraId="496616BC">
      <w:pPr>
        <w:spacing w:before="120" w:beforeLines="50" w:after="120" w:afterLines="50" w:line="440" w:lineRule="exact"/>
        <w:jc w:val="center"/>
        <w:rPr>
          <w:rFonts w:hint="eastAsia" w:ascii="黑体" w:hAnsi="宋体" w:eastAsia="黑体"/>
          <w:color w:val="auto"/>
          <w:sz w:val="32"/>
          <w:szCs w:val="32"/>
        </w:rPr>
      </w:pPr>
    </w:p>
    <w:p w14:paraId="6C82F5D2">
      <w:pPr>
        <w:spacing w:before="120" w:beforeLines="50" w:after="120" w:afterLines="50" w:line="440" w:lineRule="exact"/>
        <w:jc w:val="center"/>
        <w:rPr>
          <w:rFonts w:hint="eastAsia" w:ascii="黑体" w:hAnsi="宋体" w:eastAsia="黑体"/>
          <w:color w:val="auto"/>
          <w:sz w:val="32"/>
          <w:szCs w:val="32"/>
        </w:rPr>
      </w:pPr>
    </w:p>
    <w:p w14:paraId="771D7D16">
      <w:pPr>
        <w:spacing w:line="440" w:lineRule="exact"/>
        <w:rPr>
          <w:rFonts w:eastAsia="仿宋_GB2312"/>
          <w:color w:val="auto"/>
          <w:sz w:val="30"/>
          <w:szCs w:val="30"/>
        </w:rPr>
      </w:pPr>
    </w:p>
    <w:p w14:paraId="4154A250">
      <w:pPr>
        <w:spacing w:line="440" w:lineRule="exact"/>
        <w:rPr>
          <w:ins w:id="0" w:author="用户" w:date="2025-06-04T15:31:58Z"/>
          <w:rFonts w:eastAsia="仿宋_GB2312"/>
          <w:color w:val="auto"/>
          <w:sz w:val="30"/>
          <w:szCs w:val="30"/>
        </w:rPr>
      </w:pPr>
    </w:p>
    <w:p w14:paraId="1C5934F9">
      <w:pPr>
        <w:pStyle w:val="2"/>
        <w:rPr>
          <w:ins w:id="1" w:author="用户" w:date="2025-06-04T15:31:58Z"/>
          <w:rFonts w:eastAsia="仿宋_GB2312"/>
          <w:color w:val="auto"/>
          <w:sz w:val="30"/>
          <w:szCs w:val="30"/>
        </w:rPr>
      </w:pPr>
    </w:p>
    <w:p w14:paraId="5749D418">
      <w:pPr>
        <w:pStyle w:val="2"/>
        <w:rPr>
          <w:rFonts w:eastAsia="仿宋_GB2312"/>
          <w:color w:val="auto"/>
          <w:sz w:val="30"/>
          <w:szCs w:val="30"/>
        </w:rPr>
      </w:pPr>
    </w:p>
    <w:p w14:paraId="66E3B180">
      <w:pPr>
        <w:spacing w:line="440" w:lineRule="exact"/>
        <w:rPr>
          <w:rFonts w:eastAsia="仿宋_GB2312"/>
          <w:color w:val="auto"/>
          <w:sz w:val="30"/>
          <w:szCs w:val="30"/>
        </w:rPr>
      </w:pPr>
    </w:p>
    <w:p w14:paraId="481D5E8E">
      <w:pPr>
        <w:spacing w:line="440" w:lineRule="exact"/>
        <w:rPr>
          <w:rFonts w:eastAsia="黑体"/>
          <w:color w:val="auto"/>
          <w:sz w:val="30"/>
          <w:szCs w:val="30"/>
        </w:rPr>
      </w:pPr>
      <w:r>
        <w:rPr>
          <w:rFonts w:eastAsia="仿宋_GB2312"/>
          <w:color w:val="auto"/>
          <w:sz w:val="30"/>
          <w:szCs w:val="30"/>
        </w:rPr>
        <w:t>附件</w:t>
      </w:r>
      <w:r>
        <w:rPr>
          <w:rFonts w:hint="eastAsia" w:eastAsia="仿宋_GB2312"/>
          <w:color w:val="auto"/>
          <w:sz w:val="30"/>
          <w:szCs w:val="30"/>
        </w:rPr>
        <w:t>3</w:t>
      </w:r>
      <w:r>
        <w:rPr>
          <w:rFonts w:eastAsia="仿宋_GB2312"/>
          <w:color w:val="auto"/>
          <w:sz w:val="30"/>
          <w:szCs w:val="30"/>
        </w:rPr>
        <w:t>：</w:t>
      </w:r>
    </w:p>
    <w:p w14:paraId="29C14C5F">
      <w:pPr>
        <w:spacing w:before="120" w:beforeLines="50" w:after="120" w:afterLines="50" w:line="440" w:lineRule="exact"/>
        <w:jc w:val="center"/>
        <w:rPr>
          <w:rFonts w:eastAsia="黑体"/>
          <w:color w:val="auto"/>
          <w:sz w:val="30"/>
          <w:szCs w:val="30"/>
        </w:rPr>
      </w:pPr>
      <w:r>
        <w:rPr>
          <w:rFonts w:eastAsia="黑体"/>
          <w:color w:val="auto"/>
          <w:sz w:val="30"/>
          <w:szCs w:val="30"/>
        </w:rPr>
        <w:t>主要建设工程文件目录</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48DE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79BA9BB">
            <w:pPr>
              <w:pStyle w:val="2"/>
              <w:keepNext/>
              <w:spacing w:after="0" w:line="440" w:lineRule="exact"/>
              <w:ind w:left="63" w:right="63"/>
              <w:rPr>
                <w:rFonts w:eastAsia="仿宋_GB2312"/>
                <w:color w:val="auto"/>
                <w:sz w:val="28"/>
                <w:szCs w:val="30"/>
              </w:rPr>
            </w:pPr>
            <w:r>
              <w:rPr>
                <w:rFonts w:eastAsia="仿宋_GB2312"/>
                <w:color w:val="auto"/>
                <w:sz w:val="28"/>
                <w:szCs w:val="30"/>
              </w:rPr>
              <w:t>文件名称</w:t>
            </w:r>
          </w:p>
        </w:tc>
        <w:tc>
          <w:tcPr>
            <w:tcW w:w="1276" w:type="dxa"/>
            <w:tcBorders>
              <w:top w:val="single" w:color="auto" w:sz="12" w:space="0"/>
              <w:bottom w:val="double" w:color="auto" w:sz="6" w:space="0"/>
            </w:tcBorders>
            <w:vAlign w:val="center"/>
          </w:tcPr>
          <w:p w14:paraId="29CB673E">
            <w:pPr>
              <w:pStyle w:val="2"/>
              <w:keepNext/>
              <w:spacing w:after="0" w:line="440" w:lineRule="exact"/>
              <w:ind w:left="63" w:right="63"/>
              <w:rPr>
                <w:rFonts w:eastAsia="仿宋_GB2312"/>
                <w:color w:val="auto"/>
                <w:sz w:val="28"/>
                <w:szCs w:val="30"/>
              </w:rPr>
            </w:pPr>
            <w:r>
              <w:rPr>
                <w:rFonts w:eastAsia="仿宋_GB2312"/>
                <w:color w:val="auto"/>
                <w:sz w:val="28"/>
                <w:szCs w:val="30"/>
              </w:rPr>
              <w:t>套数</w:t>
            </w:r>
          </w:p>
        </w:tc>
        <w:tc>
          <w:tcPr>
            <w:tcW w:w="1450" w:type="dxa"/>
            <w:tcBorders>
              <w:top w:val="single" w:color="auto" w:sz="12" w:space="0"/>
              <w:bottom w:val="double" w:color="auto" w:sz="6" w:space="0"/>
            </w:tcBorders>
            <w:vAlign w:val="center"/>
          </w:tcPr>
          <w:p w14:paraId="7B44762F">
            <w:pPr>
              <w:pStyle w:val="2"/>
              <w:keepNext/>
              <w:spacing w:after="0" w:line="440" w:lineRule="exact"/>
              <w:ind w:left="63" w:right="63"/>
              <w:rPr>
                <w:rFonts w:eastAsia="仿宋_GB2312"/>
                <w:color w:val="auto"/>
                <w:sz w:val="28"/>
                <w:szCs w:val="30"/>
              </w:rPr>
            </w:pPr>
            <w:r>
              <w:rPr>
                <w:rFonts w:eastAsia="仿宋_GB2312"/>
                <w:color w:val="auto"/>
                <w:sz w:val="28"/>
                <w:szCs w:val="30"/>
              </w:rPr>
              <w:t>费用</w:t>
            </w:r>
            <w:r>
              <w:rPr>
                <w:rFonts w:hint="eastAsia" w:eastAsia="仿宋_GB2312"/>
                <w:color w:val="auto"/>
                <w:sz w:val="28"/>
                <w:szCs w:val="30"/>
              </w:rPr>
              <w:t>（元）</w:t>
            </w:r>
          </w:p>
        </w:tc>
        <w:tc>
          <w:tcPr>
            <w:tcW w:w="1243" w:type="dxa"/>
            <w:tcBorders>
              <w:top w:val="single" w:color="auto" w:sz="12" w:space="0"/>
              <w:bottom w:val="double" w:color="auto" w:sz="6" w:space="0"/>
            </w:tcBorders>
            <w:vAlign w:val="center"/>
          </w:tcPr>
          <w:p w14:paraId="0C76DFEA">
            <w:pPr>
              <w:pStyle w:val="2"/>
              <w:keepNext/>
              <w:spacing w:after="0" w:line="440" w:lineRule="exact"/>
              <w:ind w:left="63" w:right="63"/>
              <w:rPr>
                <w:rFonts w:eastAsia="仿宋_GB2312"/>
                <w:color w:val="auto"/>
                <w:sz w:val="28"/>
                <w:szCs w:val="30"/>
              </w:rPr>
            </w:pPr>
            <w:r>
              <w:rPr>
                <w:rFonts w:eastAsia="仿宋_GB2312"/>
                <w:color w:val="auto"/>
                <w:sz w:val="28"/>
                <w:szCs w:val="30"/>
              </w:rPr>
              <w:t>质量</w:t>
            </w:r>
          </w:p>
        </w:tc>
        <w:tc>
          <w:tcPr>
            <w:tcW w:w="1450" w:type="dxa"/>
            <w:tcBorders>
              <w:top w:val="single" w:color="auto" w:sz="12" w:space="0"/>
              <w:bottom w:val="double" w:color="auto" w:sz="6" w:space="0"/>
            </w:tcBorders>
          </w:tcPr>
          <w:p w14:paraId="4778CAC8">
            <w:pPr>
              <w:spacing w:line="440" w:lineRule="exact"/>
              <w:jc w:val="center"/>
              <w:rPr>
                <w:rFonts w:eastAsia="仿宋_GB2312"/>
                <w:color w:val="auto"/>
                <w:sz w:val="28"/>
                <w:szCs w:val="30"/>
              </w:rPr>
            </w:pPr>
            <w:r>
              <w:rPr>
                <w:rFonts w:eastAsia="仿宋_GB2312"/>
                <w:color w:val="auto"/>
                <w:sz w:val="28"/>
                <w:szCs w:val="30"/>
              </w:rPr>
              <w:t>移交时间</w:t>
            </w:r>
          </w:p>
        </w:tc>
        <w:tc>
          <w:tcPr>
            <w:tcW w:w="1667" w:type="dxa"/>
            <w:tcBorders>
              <w:top w:val="single" w:color="auto" w:sz="12" w:space="0"/>
              <w:bottom w:val="double" w:color="auto" w:sz="6" w:space="0"/>
            </w:tcBorders>
          </w:tcPr>
          <w:p w14:paraId="00082C08">
            <w:pPr>
              <w:spacing w:line="440" w:lineRule="exact"/>
              <w:jc w:val="center"/>
              <w:rPr>
                <w:rFonts w:eastAsia="仿宋_GB2312"/>
                <w:color w:val="auto"/>
                <w:sz w:val="28"/>
                <w:szCs w:val="30"/>
              </w:rPr>
            </w:pPr>
            <w:r>
              <w:rPr>
                <w:rFonts w:eastAsia="仿宋_GB2312"/>
                <w:color w:val="auto"/>
                <w:sz w:val="28"/>
                <w:szCs w:val="30"/>
              </w:rPr>
              <w:t>责任人</w:t>
            </w:r>
          </w:p>
        </w:tc>
      </w:tr>
      <w:tr w14:paraId="38581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3B3C9F1">
            <w:pPr>
              <w:pStyle w:val="2"/>
              <w:keepNext/>
              <w:spacing w:after="0" w:line="440" w:lineRule="exact"/>
              <w:ind w:left="63" w:right="63"/>
              <w:rPr>
                <w:rFonts w:eastAsia="仿宋_GB2312"/>
                <w:color w:val="auto"/>
                <w:sz w:val="30"/>
                <w:szCs w:val="30"/>
              </w:rPr>
            </w:pPr>
          </w:p>
        </w:tc>
        <w:tc>
          <w:tcPr>
            <w:tcW w:w="1276" w:type="dxa"/>
            <w:tcBorders>
              <w:top w:val="double" w:color="auto" w:sz="6" w:space="0"/>
              <w:bottom w:val="single" w:color="auto" w:sz="6" w:space="0"/>
            </w:tcBorders>
            <w:vAlign w:val="center"/>
          </w:tcPr>
          <w:p w14:paraId="035720CF">
            <w:pPr>
              <w:pStyle w:val="2"/>
              <w:keepNext/>
              <w:spacing w:after="0" w:line="440" w:lineRule="exact"/>
              <w:ind w:left="63" w:right="63"/>
              <w:rPr>
                <w:rFonts w:eastAsia="仿宋_GB2312"/>
                <w:color w:val="auto"/>
                <w:sz w:val="30"/>
                <w:szCs w:val="30"/>
              </w:rPr>
            </w:pPr>
          </w:p>
        </w:tc>
        <w:tc>
          <w:tcPr>
            <w:tcW w:w="1450" w:type="dxa"/>
            <w:tcBorders>
              <w:top w:val="double" w:color="auto" w:sz="6" w:space="0"/>
              <w:bottom w:val="single" w:color="auto" w:sz="6" w:space="0"/>
            </w:tcBorders>
            <w:vAlign w:val="center"/>
          </w:tcPr>
          <w:p w14:paraId="40925B26">
            <w:pPr>
              <w:pStyle w:val="2"/>
              <w:keepNext/>
              <w:spacing w:after="0" w:line="440" w:lineRule="exact"/>
              <w:ind w:left="63" w:right="63"/>
              <w:rPr>
                <w:rFonts w:eastAsia="仿宋_GB2312"/>
                <w:color w:val="auto"/>
                <w:sz w:val="30"/>
                <w:szCs w:val="30"/>
              </w:rPr>
            </w:pPr>
          </w:p>
        </w:tc>
        <w:tc>
          <w:tcPr>
            <w:tcW w:w="1243" w:type="dxa"/>
            <w:tcBorders>
              <w:top w:val="double" w:color="auto" w:sz="6" w:space="0"/>
              <w:bottom w:val="single" w:color="auto" w:sz="6" w:space="0"/>
            </w:tcBorders>
            <w:vAlign w:val="center"/>
          </w:tcPr>
          <w:p w14:paraId="49BF9240">
            <w:pPr>
              <w:pStyle w:val="2"/>
              <w:keepNext/>
              <w:spacing w:after="0" w:line="440" w:lineRule="exact"/>
              <w:ind w:left="63" w:right="63"/>
              <w:rPr>
                <w:rFonts w:eastAsia="仿宋_GB2312"/>
                <w:color w:val="auto"/>
                <w:sz w:val="30"/>
                <w:szCs w:val="30"/>
              </w:rPr>
            </w:pPr>
          </w:p>
        </w:tc>
        <w:tc>
          <w:tcPr>
            <w:tcW w:w="1450" w:type="dxa"/>
            <w:tcBorders>
              <w:top w:val="double" w:color="auto" w:sz="6" w:space="0"/>
              <w:bottom w:val="single" w:color="auto" w:sz="6" w:space="0"/>
            </w:tcBorders>
            <w:vAlign w:val="center"/>
          </w:tcPr>
          <w:p w14:paraId="555A8C19">
            <w:pPr>
              <w:pStyle w:val="2"/>
              <w:keepNext/>
              <w:spacing w:after="0" w:line="440" w:lineRule="exact"/>
              <w:ind w:left="63" w:right="63"/>
              <w:rPr>
                <w:rFonts w:eastAsia="仿宋_GB2312"/>
                <w:color w:val="auto"/>
                <w:sz w:val="30"/>
                <w:szCs w:val="30"/>
              </w:rPr>
            </w:pPr>
          </w:p>
        </w:tc>
        <w:tc>
          <w:tcPr>
            <w:tcW w:w="1667" w:type="dxa"/>
            <w:tcBorders>
              <w:top w:val="double" w:color="auto" w:sz="6" w:space="0"/>
              <w:bottom w:val="single" w:color="auto" w:sz="6" w:space="0"/>
            </w:tcBorders>
            <w:vAlign w:val="center"/>
          </w:tcPr>
          <w:p w14:paraId="0DBD75AC">
            <w:pPr>
              <w:pStyle w:val="2"/>
              <w:keepNext/>
              <w:spacing w:after="0" w:line="440" w:lineRule="exact"/>
              <w:ind w:left="63" w:right="63"/>
              <w:rPr>
                <w:rFonts w:eastAsia="仿宋_GB2312"/>
                <w:color w:val="auto"/>
                <w:sz w:val="30"/>
                <w:szCs w:val="30"/>
              </w:rPr>
            </w:pPr>
          </w:p>
        </w:tc>
      </w:tr>
      <w:tr w14:paraId="1A884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25BBB914">
            <w:pPr>
              <w:pStyle w:val="2"/>
              <w:keepNext/>
              <w:spacing w:after="0" w:line="440" w:lineRule="exact"/>
              <w:ind w:left="63" w:right="63"/>
              <w:rPr>
                <w:rFonts w:eastAsia="仿宋_GB2312"/>
                <w:color w:val="auto"/>
                <w:sz w:val="30"/>
                <w:szCs w:val="30"/>
              </w:rPr>
            </w:pPr>
          </w:p>
        </w:tc>
        <w:tc>
          <w:tcPr>
            <w:tcW w:w="1276" w:type="dxa"/>
            <w:tcBorders>
              <w:top w:val="nil"/>
            </w:tcBorders>
            <w:vAlign w:val="center"/>
          </w:tcPr>
          <w:p w14:paraId="2DB8063D">
            <w:pPr>
              <w:pStyle w:val="2"/>
              <w:keepNext/>
              <w:spacing w:after="0" w:line="440" w:lineRule="exact"/>
              <w:ind w:left="63" w:right="63"/>
              <w:rPr>
                <w:rFonts w:eastAsia="仿宋_GB2312"/>
                <w:color w:val="auto"/>
                <w:sz w:val="30"/>
                <w:szCs w:val="30"/>
              </w:rPr>
            </w:pPr>
          </w:p>
        </w:tc>
        <w:tc>
          <w:tcPr>
            <w:tcW w:w="1450" w:type="dxa"/>
            <w:tcBorders>
              <w:top w:val="nil"/>
            </w:tcBorders>
            <w:vAlign w:val="center"/>
          </w:tcPr>
          <w:p w14:paraId="07D42110">
            <w:pPr>
              <w:pStyle w:val="2"/>
              <w:keepNext/>
              <w:spacing w:after="0" w:line="440" w:lineRule="exact"/>
              <w:ind w:left="63" w:right="63"/>
              <w:rPr>
                <w:rFonts w:eastAsia="仿宋_GB2312"/>
                <w:color w:val="auto"/>
                <w:sz w:val="30"/>
                <w:szCs w:val="30"/>
              </w:rPr>
            </w:pPr>
          </w:p>
        </w:tc>
        <w:tc>
          <w:tcPr>
            <w:tcW w:w="1243" w:type="dxa"/>
            <w:tcBorders>
              <w:top w:val="nil"/>
            </w:tcBorders>
            <w:vAlign w:val="center"/>
          </w:tcPr>
          <w:p w14:paraId="7005208D">
            <w:pPr>
              <w:pStyle w:val="2"/>
              <w:keepNext/>
              <w:spacing w:after="0" w:line="440" w:lineRule="exact"/>
              <w:ind w:left="63" w:right="63"/>
              <w:rPr>
                <w:rFonts w:eastAsia="仿宋_GB2312"/>
                <w:color w:val="auto"/>
                <w:sz w:val="30"/>
                <w:szCs w:val="30"/>
              </w:rPr>
            </w:pPr>
          </w:p>
        </w:tc>
        <w:tc>
          <w:tcPr>
            <w:tcW w:w="1450" w:type="dxa"/>
            <w:tcBorders>
              <w:top w:val="nil"/>
            </w:tcBorders>
            <w:vAlign w:val="center"/>
          </w:tcPr>
          <w:p w14:paraId="0FBEB4D7">
            <w:pPr>
              <w:pStyle w:val="2"/>
              <w:keepNext/>
              <w:spacing w:after="0" w:line="440" w:lineRule="exact"/>
              <w:ind w:left="63" w:right="63"/>
              <w:rPr>
                <w:rFonts w:eastAsia="仿宋_GB2312"/>
                <w:color w:val="auto"/>
                <w:sz w:val="30"/>
                <w:szCs w:val="30"/>
              </w:rPr>
            </w:pPr>
          </w:p>
        </w:tc>
        <w:tc>
          <w:tcPr>
            <w:tcW w:w="1667" w:type="dxa"/>
            <w:tcBorders>
              <w:top w:val="nil"/>
            </w:tcBorders>
            <w:vAlign w:val="center"/>
          </w:tcPr>
          <w:p w14:paraId="222C5A13">
            <w:pPr>
              <w:pStyle w:val="2"/>
              <w:keepNext/>
              <w:spacing w:after="0" w:line="440" w:lineRule="exact"/>
              <w:ind w:left="63" w:right="63"/>
              <w:rPr>
                <w:rFonts w:eastAsia="仿宋_GB2312"/>
                <w:color w:val="auto"/>
                <w:sz w:val="30"/>
                <w:szCs w:val="30"/>
              </w:rPr>
            </w:pPr>
          </w:p>
        </w:tc>
      </w:tr>
      <w:tr w14:paraId="76E1B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90CF28D">
            <w:pPr>
              <w:pStyle w:val="2"/>
              <w:keepNext/>
              <w:spacing w:after="0" w:line="440" w:lineRule="exact"/>
              <w:ind w:left="63" w:right="63"/>
              <w:rPr>
                <w:rFonts w:eastAsia="仿宋_GB2312"/>
                <w:color w:val="auto"/>
                <w:sz w:val="30"/>
                <w:szCs w:val="30"/>
              </w:rPr>
            </w:pPr>
          </w:p>
        </w:tc>
        <w:tc>
          <w:tcPr>
            <w:tcW w:w="1276" w:type="dxa"/>
            <w:vAlign w:val="center"/>
          </w:tcPr>
          <w:p w14:paraId="00C20DE7">
            <w:pPr>
              <w:pStyle w:val="2"/>
              <w:keepNext/>
              <w:spacing w:after="0" w:line="440" w:lineRule="exact"/>
              <w:ind w:left="63" w:right="63"/>
              <w:rPr>
                <w:rFonts w:eastAsia="仿宋_GB2312"/>
                <w:color w:val="auto"/>
                <w:sz w:val="30"/>
                <w:szCs w:val="30"/>
              </w:rPr>
            </w:pPr>
          </w:p>
        </w:tc>
        <w:tc>
          <w:tcPr>
            <w:tcW w:w="1450" w:type="dxa"/>
            <w:vAlign w:val="center"/>
          </w:tcPr>
          <w:p w14:paraId="2F9C0201">
            <w:pPr>
              <w:pStyle w:val="2"/>
              <w:keepNext/>
              <w:spacing w:after="0" w:line="440" w:lineRule="exact"/>
              <w:ind w:left="63" w:right="63"/>
              <w:rPr>
                <w:rFonts w:eastAsia="仿宋_GB2312"/>
                <w:color w:val="auto"/>
                <w:sz w:val="30"/>
                <w:szCs w:val="30"/>
              </w:rPr>
            </w:pPr>
          </w:p>
        </w:tc>
        <w:tc>
          <w:tcPr>
            <w:tcW w:w="1243" w:type="dxa"/>
            <w:vAlign w:val="center"/>
          </w:tcPr>
          <w:p w14:paraId="0F05A4DA">
            <w:pPr>
              <w:pStyle w:val="2"/>
              <w:keepNext/>
              <w:spacing w:after="0" w:line="440" w:lineRule="exact"/>
              <w:ind w:left="63" w:right="63"/>
              <w:rPr>
                <w:rFonts w:eastAsia="仿宋_GB2312"/>
                <w:color w:val="auto"/>
                <w:sz w:val="30"/>
                <w:szCs w:val="30"/>
              </w:rPr>
            </w:pPr>
          </w:p>
        </w:tc>
        <w:tc>
          <w:tcPr>
            <w:tcW w:w="1450" w:type="dxa"/>
            <w:vAlign w:val="center"/>
          </w:tcPr>
          <w:p w14:paraId="6691FEEB">
            <w:pPr>
              <w:pStyle w:val="2"/>
              <w:keepNext/>
              <w:spacing w:after="0" w:line="440" w:lineRule="exact"/>
              <w:ind w:left="63" w:right="63"/>
              <w:rPr>
                <w:rFonts w:eastAsia="仿宋_GB2312"/>
                <w:color w:val="auto"/>
                <w:sz w:val="30"/>
                <w:szCs w:val="30"/>
              </w:rPr>
            </w:pPr>
          </w:p>
        </w:tc>
        <w:tc>
          <w:tcPr>
            <w:tcW w:w="1667" w:type="dxa"/>
            <w:vAlign w:val="center"/>
          </w:tcPr>
          <w:p w14:paraId="09ED7D04">
            <w:pPr>
              <w:pStyle w:val="2"/>
              <w:keepNext/>
              <w:spacing w:after="0" w:line="440" w:lineRule="exact"/>
              <w:ind w:left="63" w:right="63"/>
              <w:rPr>
                <w:rFonts w:eastAsia="仿宋_GB2312"/>
                <w:color w:val="auto"/>
                <w:sz w:val="30"/>
                <w:szCs w:val="30"/>
              </w:rPr>
            </w:pPr>
          </w:p>
        </w:tc>
      </w:tr>
      <w:tr w14:paraId="2F9B7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B9D222D">
            <w:pPr>
              <w:pStyle w:val="2"/>
              <w:keepNext/>
              <w:spacing w:after="0" w:line="440" w:lineRule="exact"/>
              <w:ind w:left="63" w:right="63"/>
              <w:rPr>
                <w:rFonts w:eastAsia="仿宋_GB2312"/>
                <w:color w:val="auto"/>
                <w:sz w:val="30"/>
                <w:szCs w:val="30"/>
              </w:rPr>
            </w:pPr>
          </w:p>
        </w:tc>
        <w:tc>
          <w:tcPr>
            <w:tcW w:w="1276" w:type="dxa"/>
            <w:vAlign w:val="center"/>
          </w:tcPr>
          <w:p w14:paraId="6634F914">
            <w:pPr>
              <w:pStyle w:val="2"/>
              <w:keepNext/>
              <w:spacing w:after="0" w:line="440" w:lineRule="exact"/>
              <w:ind w:left="63" w:right="63"/>
              <w:rPr>
                <w:rFonts w:eastAsia="仿宋_GB2312"/>
                <w:color w:val="auto"/>
                <w:sz w:val="30"/>
                <w:szCs w:val="30"/>
              </w:rPr>
            </w:pPr>
          </w:p>
        </w:tc>
        <w:tc>
          <w:tcPr>
            <w:tcW w:w="1450" w:type="dxa"/>
            <w:vAlign w:val="center"/>
          </w:tcPr>
          <w:p w14:paraId="19446137">
            <w:pPr>
              <w:pStyle w:val="2"/>
              <w:keepNext/>
              <w:spacing w:after="0" w:line="440" w:lineRule="exact"/>
              <w:ind w:left="63" w:right="63"/>
              <w:rPr>
                <w:rFonts w:eastAsia="仿宋_GB2312"/>
                <w:color w:val="auto"/>
                <w:sz w:val="30"/>
                <w:szCs w:val="30"/>
              </w:rPr>
            </w:pPr>
          </w:p>
        </w:tc>
        <w:tc>
          <w:tcPr>
            <w:tcW w:w="1243" w:type="dxa"/>
            <w:vAlign w:val="center"/>
          </w:tcPr>
          <w:p w14:paraId="6F523280">
            <w:pPr>
              <w:pStyle w:val="2"/>
              <w:keepNext/>
              <w:spacing w:after="0" w:line="440" w:lineRule="exact"/>
              <w:ind w:left="63" w:right="63"/>
              <w:rPr>
                <w:rFonts w:eastAsia="仿宋_GB2312"/>
                <w:color w:val="auto"/>
                <w:sz w:val="30"/>
                <w:szCs w:val="30"/>
              </w:rPr>
            </w:pPr>
          </w:p>
        </w:tc>
        <w:tc>
          <w:tcPr>
            <w:tcW w:w="1450" w:type="dxa"/>
            <w:vAlign w:val="center"/>
          </w:tcPr>
          <w:p w14:paraId="3F684931">
            <w:pPr>
              <w:pStyle w:val="2"/>
              <w:keepNext/>
              <w:spacing w:after="0" w:line="440" w:lineRule="exact"/>
              <w:ind w:left="63" w:right="63"/>
              <w:rPr>
                <w:rFonts w:eastAsia="仿宋_GB2312"/>
                <w:color w:val="auto"/>
                <w:sz w:val="30"/>
                <w:szCs w:val="30"/>
              </w:rPr>
            </w:pPr>
          </w:p>
        </w:tc>
        <w:tc>
          <w:tcPr>
            <w:tcW w:w="1667" w:type="dxa"/>
            <w:vAlign w:val="center"/>
          </w:tcPr>
          <w:p w14:paraId="1ECCBDD6">
            <w:pPr>
              <w:pStyle w:val="2"/>
              <w:keepNext/>
              <w:spacing w:after="0" w:line="440" w:lineRule="exact"/>
              <w:ind w:left="63" w:right="63"/>
              <w:rPr>
                <w:rFonts w:eastAsia="仿宋_GB2312"/>
                <w:color w:val="auto"/>
                <w:sz w:val="30"/>
                <w:szCs w:val="30"/>
              </w:rPr>
            </w:pPr>
          </w:p>
        </w:tc>
      </w:tr>
      <w:tr w14:paraId="04BE2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A2ABD24">
            <w:pPr>
              <w:pStyle w:val="2"/>
              <w:keepNext/>
              <w:spacing w:after="0" w:line="440" w:lineRule="exact"/>
              <w:ind w:left="63" w:right="63"/>
              <w:rPr>
                <w:rFonts w:eastAsia="仿宋_GB2312"/>
                <w:color w:val="auto"/>
                <w:sz w:val="30"/>
                <w:szCs w:val="30"/>
              </w:rPr>
            </w:pPr>
          </w:p>
        </w:tc>
        <w:tc>
          <w:tcPr>
            <w:tcW w:w="1276" w:type="dxa"/>
            <w:vAlign w:val="center"/>
          </w:tcPr>
          <w:p w14:paraId="54A70045">
            <w:pPr>
              <w:pStyle w:val="2"/>
              <w:keepNext/>
              <w:spacing w:after="0" w:line="440" w:lineRule="exact"/>
              <w:ind w:left="63" w:right="63"/>
              <w:rPr>
                <w:rFonts w:eastAsia="仿宋_GB2312"/>
                <w:color w:val="auto"/>
                <w:sz w:val="30"/>
                <w:szCs w:val="30"/>
              </w:rPr>
            </w:pPr>
          </w:p>
        </w:tc>
        <w:tc>
          <w:tcPr>
            <w:tcW w:w="1450" w:type="dxa"/>
            <w:vAlign w:val="center"/>
          </w:tcPr>
          <w:p w14:paraId="25C22A04">
            <w:pPr>
              <w:pStyle w:val="2"/>
              <w:keepNext/>
              <w:spacing w:after="0" w:line="440" w:lineRule="exact"/>
              <w:ind w:left="63" w:right="63"/>
              <w:rPr>
                <w:rFonts w:eastAsia="仿宋_GB2312"/>
                <w:color w:val="auto"/>
                <w:sz w:val="30"/>
                <w:szCs w:val="30"/>
              </w:rPr>
            </w:pPr>
          </w:p>
        </w:tc>
        <w:tc>
          <w:tcPr>
            <w:tcW w:w="1243" w:type="dxa"/>
            <w:vAlign w:val="center"/>
          </w:tcPr>
          <w:p w14:paraId="24D291DA">
            <w:pPr>
              <w:pStyle w:val="2"/>
              <w:keepNext/>
              <w:spacing w:after="0" w:line="440" w:lineRule="exact"/>
              <w:ind w:left="63" w:right="63"/>
              <w:rPr>
                <w:rFonts w:eastAsia="仿宋_GB2312"/>
                <w:color w:val="auto"/>
                <w:sz w:val="30"/>
                <w:szCs w:val="30"/>
              </w:rPr>
            </w:pPr>
          </w:p>
        </w:tc>
        <w:tc>
          <w:tcPr>
            <w:tcW w:w="1450" w:type="dxa"/>
            <w:vAlign w:val="center"/>
          </w:tcPr>
          <w:p w14:paraId="3D322D17">
            <w:pPr>
              <w:pStyle w:val="2"/>
              <w:keepNext/>
              <w:spacing w:after="0" w:line="440" w:lineRule="exact"/>
              <w:ind w:left="63" w:right="63"/>
              <w:rPr>
                <w:rFonts w:eastAsia="仿宋_GB2312"/>
                <w:color w:val="auto"/>
                <w:sz w:val="30"/>
                <w:szCs w:val="30"/>
              </w:rPr>
            </w:pPr>
          </w:p>
        </w:tc>
        <w:tc>
          <w:tcPr>
            <w:tcW w:w="1667" w:type="dxa"/>
            <w:vAlign w:val="center"/>
          </w:tcPr>
          <w:p w14:paraId="48F89D7A">
            <w:pPr>
              <w:pStyle w:val="2"/>
              <w:keepNext/>
              <w:spacing w:after="0" w:line="440" w:lineRule="exact"/>
              <w:ind w:left="63" w:right="63"/>
              <w:rPr>
                <w:rFonts w:eastAsia="仿宋_GB2312"/>
                <w:color w:val="auto"/>
                <w:sz w:val="30"/>
                <w:szCs w:val="30"/>
              </w:rPr>
            </w:pPr>
          </w:p>
        </w:tc>
      </w:tr>
      <w:tr w14:paraId="5040D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EFD9066">
            <w:pPr>
              <w:pStyle w:val="2"/>
              <w:keepNext/>
              <w:spacing w:after="0" w:line="440" w:lineRule="exact"/>
              <w:ind w:left="63" w:right="63"/>
              <w:rPr>
                <w:rFonts w:eastAsia="仿宋_GB2312"/>
                <w:color w:val="auto"/>
                <w:sz w:val="30"/>
                <w:szCs w:val="30"/>
              </w:rPr>
            </w:pPr>
          </w:p>
        </w:tc>
        <w:tc>
          <w:tcPr>
            <w:tcW w:w="1276" w:type="dxa"/>
            <w:vAlign w:val="center"/>
          </w:tcPr>
          <w:p w14:paraId="309940B1">
            <w:pPr>
              <w:pStyle w:val="2"/>
              <w:keepNext/>
              <w:spacing w:after="0" w:line="440" w:lineRule="exact"/>
              <w:ind w:left="63" w:right="63"/>
              <w:rPr>
                <w:rFonts w:eastAsia="仿宋_GB2312"/>
                <w:color w:val="auto"/>
                <w:sz w:val="30"/>
                <w:szCs w:val="30"/>
              </w:rPr>
            </w:pPr>
          </w:p>
        </w:tc>
        <w:tc>
          <w:tcPr>
            <w:tcW w:w="1450" w:type="dxa"/>
            <w:vAlign w:val="center"/>
          </w:tcPr>
          <w:p w14:paraId="0253A384">
            <w:pPr>
              <w:pStyle w:val="2"/>
              <w:keepNext/>
              <w:spacing w:after="0" w:line="440" w:lineRule="exact"/>
              <w:ind w:left="63" w:right="63"/>
              <w:rPr>
                <w:rFonts w:eastAsia="仿宋_GB2312"/>
                <w:color w:val="auto"/>
                <w:sz w:val="30"/>
                <w:szCs w:val="30"/>
              </w:rPr>
            </w:pPr>
          </w:p>
        </w:tc>
        <w:tc>
          <w:tcPr>
            <w:tcW w:w="1243" w:type="dxa"/>
            <w:vAlign w:val="center"/>
          </w:tcPr>
          <w:p w14:paraId="5DB4B0EE">
            <w:pPr>
              <w:pStyle w:val="2"/>
              <w:keepNext/>
              <w:spacing w:after="0" w:line="440" w:lineRule="exact"/>
              <w:ind w:left="63" w:right="63"/>
              <w:rPr>
                <w:rFonts w:eastAsia="仿宋_GB2312"/>
                <w:color w:val="auto"/>
                <w:sz w:val="30"/>
                <w:szCs w:val="30"/>
              </w:rPr>
            </w:pPr>
          </w:p>
        </w:tc>
        <w:tc>
          <w:tcPr>
            <w:tcW w:w="1450" w:type="dxa"/>
            <w:vAlign w:val="center"/>
          </w:tcPr>
          <w:p w14:paraId="77F47A38">
            <w:pPr>
              <w:pStyle w:val="2"/>
              <w:keepNext/>
              <w:spacing w:after="0" w:line="440" w:lineRule="exact"/>
              <w:ind w:left="63" w:right="63"/>
              <w:rPr>
                <w:rFonts w:eastAsia="仿宋_GB2312"/>
                <w:color w:val="auto"/>
                <w:sz w:val="30"/>
                <w:szCs w:val="30"/>
              </w:rPr>
            </w:pPr>
          </w:p>
        </w:tc>
        <w:tc>
          <w:tcPr>
            <w:tcW w:w="1667" w:type="dxa"/>
            <w:vAlign w:val="center"/>
          </w:tcPr>
          <w:p w14:paraId="7901AC6D">
            <w:pPr>
              <w:pStyle w:val="2"/>
              <w:keepNext/>
              <w:spacing w:after="0" w:line="440" w:lineRule="exact"/>
              <w:ind w:left="63" w:right="63"/>
              <w:rPr>
                <w:rFonts w:eastAsia="仿宋_GB2312"/>
                <w:color w:val="auto"/>
                <w:sz w:val="30"/>
                <w:szCs w:val="30"/>
              </w:rPr>
            </w:pPr>
          </w:p>
        </w:tc>
      </w:tr>
      <w:tr w14:paraId="06E84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4465A1">
            <w:pPr>
              <w:pStyle w:val="2"/>
              <w:keepNext/>
              <w:spacing w:after="0" w:line="440" w:lineRule="exact"/>
              <w:ind w:left="63" w:right="63"/>
              <w:rPr>
                <w:rFonts w:eastAsia="仿宋_GB2312"/>
                <w:color w:val="auto"/>
                <w:sz w:val="30"/>
                <w:szCs w:val="30"/>
              </w:rPr>
            </w:pPr>
          </w:p>
        </w:tc>
        <w:tc>
          <w:tcPr>
            <w:tcW w:w="1276" w:type="dxa"/>
            <w:vAlign w:val="center"/>
          </w:tcPr>
          <w:p w14:paraId="51FBC0D5">
            <w:pPr>
              <w:pStyle w:val="2"/>
              <w:keepNext/>
              <w:spacing w:after="0" w:line="440" w:lineRule="exact"/>
              <w:ind w:left="63" w:right="63"/>
              <w:rPr>
                <w:rFonts w:eastAsia="仿宋_GB2312"/>
                <w:color w:val="auto"/>
                <w:sz w:val="30"/>
                <w:szCs w:val="30"/>
              </w:rPr>
            </w:pPr>
          </w:p>
        </w:tc>
        <w:tc>
          <w:tcPr>
            <w:tcW w:w="1450" w:type="dxa"/>
            <w:vAlign w:val="center"/>
          </w:tcPr>
          <w:p w14:paraId="42218212">
            <w:pPr>
              <w:pStyle w:val="2"/>
              <w:keepNext/>
              <w:spacing w:after="0" w:line="440" w:lineRule="exact"/>
              <w:ind w:left="63" w:right="63"/>
              <w:rPr>
                <w:rFonts w:eastAsia="仿宋_GB2312"/>
                <w:color w:val="auto"/>
                <w:sz w:val="30"/>
                <w:szCs w:val="30"/>
              </w:rPr>
            </w:pPr>
          </w:p>
        </w:tc>
        <w:tc>
          <w:tcPr>
            <w:tcW w:w="1243" w:type="dxa"/>
            <w:vAlign w:val="center"/>
          </w:tcPr>
          <w:p w14:paraId="1A87CC73">
            <w:pPr>
              <w:pStyle w:val="2"/>
              <w:keepNext/>
              <w:spacing w:after="0" w:line="440" w:lineRule="exact"/>
              <w:ind w:left="63" w:right="63"/>
              <w:rPr>
                <w:rFonts w:eastAsia="仿宋_GB2312"/>
                <w:color w:val="auto"/>
                <w:sz w:val="30"/>
                <w:szCs w:val="30"/>
              </w:rPr>
            </w:pPr>
          </w:p>
        </w:tc>
        <w:tc>
          <w:tcPr>
            <w:tcW w:w="1450" w:type="dxa"/>
            <w:vAlign w:val="center"/>
          </w:tcPr>
          <w:p w14:paraId="66BB1E6F">
            <w:pPr>
              <w:pStyle w:val="2"/>
              <w:keepNext/>
              <w:spacing w:after="0" w:line="440" w:lineRule="exact"/>
              <w:ind w:left="63" w:right="63"/>
              <w:rPr>
                <w:rFonts w:eastAsia="仿宋_GB2312"/>
                <w:color w:val="auto"/>
                <w:sz w:val="30"/>
                <w:szCs w:val="30"/>
              </w:rPr>
            </w:pPr>
          </w:p>
        </w:tc>
        <w:tc>
          <w:tcPr>
            <w:tcW w:w="1667" w:type="dxa"/>
            <w:vAlign w:val="center"/>
          </w:tcPr>
          <w:p w14:paraId="338B6D2E">
            <w:pPr>
              <w:pStyle w:val="2"/>
              <w:keepNext/>
              <w:spacing w:after="0" w:line="440" w:lineRule="exact"/>
              <w:ind w:left="63" w:right="63"/>
              <w:rPr>
                <w:rFonts w:eastAsia="仿宋_GB2312"/>
                <w:color w:val="auto"/>
                <w:sz w:val="30"/>
                <w:szCs w:val="30"/>
              </w:rPr>
            </w:pPr>
          </w:p>
        </w:tc>
      </w:tr>
      <w:tr w14:paraId="65E9E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7826FC8">
            <w:pPr>
              <w:pStyle w:val="2"/>
              <w:keepNext/>
              <w:spacing w:after="0" w:line="440" w:lineRule="exact"/>
              <w:ind w:left="63" w:right="63"/>
              <w:rPr>
                <w:rFonts w:eastAsia="仿宋_GB2312"/>
                <w:color w:val="auto"/>
                <w:sz w:val="30"/>
                <w:szCs w:val="30"/>
              </w:rPr>
            </w:pPr>
          </w:p>
        </w:tc>
        <w:tc>
          <w:tcPr>
            <w:tcW w:w="1276" w:type="dxa"/>
            <w:vAlign w:val="center"/>
          </w:tcPr>
          <w:p w14:paraId="0207043B">
            <w:pPr>
              <w:pStyle w:val="2"/>
              <w:keepNext/>
              <w:spacing w:after="0" w:line="440" w:lineRule="exact"/>
              <w:ind w:left="63" w:right="63"/>
              <w:rPr>
                <w:rFonts w:eastAsia="仿宋_GB2312"/>
                <w:color w:val="auto"/>
                <w:sz w:val="30"/>
                <w:szCs w:val="30"/>
              </w:rPr>
            </w:pPr>
          </w:p>
        </w:tc>
        <w:tc>
          <w:tcPr>
            <w:tcW w:w="1450" w:type="dxa"/>
            <w:vAlign w:val="center"/>
          </w:tcPr>
          <w:p w14:paraId="623A043A">
            <w:pPr>
              <w:pStyle w:val="2"/>
              <w:keepNext/>
              <w:spacing w:after="0" w:line="440" w:lineRule="exact"/>
              <w:ind w:left="63" w:right="63"/>
              <w:rPr>
                <w:rFonts w:eastAsia="仿宋_GB2312"/>
                <w:color w:val="auto"/>
                <w:sz w:val="30"/>
                <w:szCs w:val="30"/>
              </w:rPr>
            </w:pPr>
          </w:p>
        </w:tc>
        <w:tc>
          <w:tcPr>
            <w:tcW w:w="1243" w:type="dxa"/>
            <w:vAlign w:val="center"/>
          </w:tcPr>
          <w:p w14:paraId="66C11922">
            <w:pPr>
              <w:pStyle w:val="2"/>
              <w:keepNext/>
              <w:spacing w:after="0" w:line="440" w:lineRule="exact"/>
              <w:ind w:left="63" w:right="63"/>
              <w:rPr>
                <w:rFonts w:eastAsia="仿宋_GB2312"/>
                <w:color w:val="auto"/>
                <w:sz w:val="30"/>
                <w:szCs w:val="30"/>
              </w:rPr>
            </w:pPr>
          </w:p>
        </w:tc>
        <w:tc>
          <w:tcPr>
            <w:tcW w:w="1450" w:type="dxa"/>
            <w:vAlign w:val="center"/>
          </w:tcPr>
          <w:p w14:paraId="18EE2C0F">
            <w:pPr>
              <w:pStyle w:val="2"/>
              <w:keepNext/>
              <w:spacing w:after="0" w:line="440" w:lineRule="exact"/>
              <w:ind w:left="63" w:right="63"/>
              <w:rPr>
                <w:rFonts w:eastAsia="仿宋_GB2312"/>
                <w:color w:val="auto"/>
                <w:sz w:val="30"/>
                <w:szCs w:val="30"/>
              </w:rPr>
            </w:pPr>
          </w:p>
        </w:tc>
        <w:tc>
          <w:tcPr>
            <w:tcW w:w="1667" w:type="dxa"/>
            <w:vAlign w:val="center"/>
          </w:tcPr>
          <w:p w14:paraId="041CF4D9">
            <w:pPr>
              <w:pStyle w:val="2"/>
              <w:keepNext/>
              <w:spacing w:after="0" w:line="440" w:lineRule="exact"/>
              <w:ind w:left="63" w:right="63"/>
              <w:rPr>
                <w:rFonts w:eastAsia="仿宋_GB2312"/>
                <w:color w:val="auto"/>
                <w:sz w:val="30"/>
                <w:szCs w:val="30"/>
              </w:rPr>
            </w:pPr>
          </w:p>
        </w:tc>
      </w:tr>
      <w:tr w14:paraId="35E4E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87ECB51">
            <w:pPr>
              <w:rPr>
                <w:rFonts w:eastAsia="仿宋_GB2312"/>
                <w:color w:val="auto"/>
                <w:sz w:val="30"/>
                <w:szCs w:val="30"/>
              </w:rPr>
            </w:pPr>
          </w:p>
        </w:tc>
        <w:tc>
          <w:tcPr>
            <w:tcW w:w="1276" w:type="dxa"/>
          </w:tcPr>
          <w:p w14:paraId="134ACE40">
            <w:pPr>
              <w:rPr>
                <w:rFonts w:eastAsia="仿宋_GB2312"/>
                <w:color w:val="auto"/>
                <w:sz w:val="30"/>
                <w:szCs w:val="30"/>
              </w:rPr>
            </w:pPr>
          </w:p>
        </w:tc>
        <w:tc>
          <w:tcPr>
            <w:tcW w:w="1450" w:type="dxa"/>
          </w:tcPr>
          <w:p w14:paraId="37D72F56">
            <w:pPr>
              <w:rPr>
                <w:rFonts w:eastAsia="仿宋_GB2312"/>
                <w:color w:val="auto"/>
                <w:sz w:val="30"/>
                <w:szCs w:val="30"/>
              </w:rPr>
            </w:pPr>
          </w:p>
        </w:tc>
        <w:tc>
          <w:tcPr>
            <w:tcW w:w="1243" w:type="dxa"/>
          </w:tcPr>
          <w:p w14:paraId="553FD806">
            <w:pPr>
              <w:rPr>
                <w:rFonts w:eastAsia="仿宋_GB2312"/>
                <w:color w:val="auto"/>
                <w:sz w:val="30"/>
                <w:szCs w:val="30"/>
              </w:rPr>
            </w:pPr>
          </w:p>
        </w:tc>
        <w:tc>
          <w:tcPr>
            <w:tcW w:w="1450" w:type="dxa"/>
          </w:tcPr>
          <w:p w14:paraId="0D4F3998">
            <w:pPr>
              <w:rPr>
                <w:rFonts w:eastAsia="仿宋_GB2312"/>
                <w:color w:val="auto"/>
                <w:sz w:val="30"/>
                <w:szCs w:val="30"/>
              </w:rPr>
            </w:pPr>
          </w:p>
        </w:tc>
        <w:tc>
          <w:tcPr>
            <w:tcW w:w="1667" w:type="dxa"/>
          </w:tcPr>
          <w:p w14:paraId="336146C6">
            <w:pPr>
              <w:rPr>
                <w:rFonts w:eastAsia="仿宋_GB2312"/>
                <w:color w:val="auto"/>
                <w:sz w:val="30"/>
                <w:szCs w:val="30"/>
              </w:rPr>
            </w:pPr>
          </w:p>
        </w:tc>
      </w:tr>
      <w:tr w14:paraId="310E6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9DECFF5">
            <w:pPr>
              <w:pStyle w:val="2"/>
              <w:keepNext/>
              <w:spacing w:after="0" w:line="440" w:lineRule="exact"/>
              <w:ind w:left="63" w:right="63"/>
              <w:rPr>
                <w:rFonts w:eastAsia="仿宋_GB2312"/>
                <w:color w:val="auto"/>
                <w:sz w:val="30"/>
                <w:szCs w:val="30"/>
              </w:rPr>
            </w:pPr>
          </w:p>
        </w:tc>
        <w:tc>
          <w:tcPr>
            <w:tcW w:w="1276" w:type="dxa"/>
            <w:vAlign w:val="center"/>
          </w:tcPr>
          <w:p w14:paraId="63DCB887">
            <w:pPr>
              <w:pStyle w:val="2"/>
              <w:keepNext/>
              <w:spacing w:after="0" w:line="440" w:lineRule="exact"/>
              <w:ind w:left="63" w:right="63"/>
              <w:rPr>
                <w:rFonts w:eastAsia="仿宋_GB2312"/>
                <w:color w:val="auto"/>
                <w:sz w:val="30"/>
                <w:szCs w:val="30"/>
              </w:rPr>
            </w:pPr>
          </w:p>
        </w:tc>
        <w:tc>
          <w:tcPr>
            <w:tcW w:w="1450" w:type="dxa"/>
            <w:vAlign w:val="center"/>
          </w:tcPr>
          <w:p w14:paraId="259FFAAC">
            <w:pPr>
              <w:pStyle w:val="2"/>
              <w:keepNext/>
              <w:spacing w:after="0" w:line="440" w:lineRule="exact"/>
              <w:ind w:left="63" w:right="63"/>
              <w:rPr>
                <w:rFonts w:eastAsia="仿宋_GB2312"/>
                <w:color w:val="auto"/>
                <w:sz w:val="30"/>
                <w:szCs w:val="30"/>
              </w:rPr>
            </w:pPr>
          </w:p>
        </w:tc>
        <w:tc>
          <w:tcPr>
            <w:tcW w:w="1243" w:type="dxa"/>
            <w:vAlign w:val="center"/>
          </w:tcPr>
          <w:p w14:paraId="056053FB">
            <w:pPr>
              <w:pStyle w:val="2"/>
              <w:keepNext/>
              <w:spacing w:after="0" w:line="440" w:lineRule="exact"/>
              <w:ind w:left="63" w:right="63"/>
              <w:rPr>
                <w:rFonts w:eastAsia="仿宋_GB2312"/>
                <w:color w:val="auto"/>
                <w:sz w:val="30"/>
                <w:szCs w:val="30"/>
              </w:rPr>
            </w:pPr>
          </w:p>
        </w:tc>
        <w:tc>
          <w:tcPr>
            <w:tcW w:w="1450" w:type="dxa"/>
            <w:vAlign w:val="center"/>
          </w:tcPr>
          <w:p w14:paraId="5B828033">
            <w:pPr>
              <w:pStyle w:val="2"/>
              <w:keepNext/>
              <w:spacing w:after="0" w:line="440" w:lineRule="exact"/>
              <w:ind w:left="63" w:right="63"/>
              <w:rPr>
                <w:rFonts w:eastAsia="仿宋_GB2312"/>
                <w:color w:val="auto"/>
                <w:sz w:val="30"/>
                <w:szCs w:val="30"/>
              </w:rPr>
            </w:pPr>
          </w:p>
        </w:tc>
        <w:tc>
          <w:tcPr>
            <w:tcW w:w="1667" w:type="dxa"/>
            <w:vAlign w:val="center"/>
          </w:tcPr>
          <w:p w14:paraId="387D1153">
            <w:pPr>
              <w:pStyle w:val="2"/>
              <w:keepNext/>
              <w:spacing w:after="0" w:line="440" w:lineRule="exact"/>
              <w:ind w:left="63" w:right="63"/>
              <w:rPr>
                <w:rFonts w:eastAsia="仿宋_GB2312"/>
                <w:color w:val="auto"/>
                <w:sz w:val="30"/>
                <w:szCs w:val="30"/>
              </w:rPr>
            </w:pPr>
          </w:p>
        </w:tc>
      </w:tr>
      <w:tr w14:paraId="4FC32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17C5105">
            <w:pPr>
              <w:rPr>
                <w:rFonts w:eastAsia="仿宋_GB2312"/>
                <w:color w:val="auto"/>
                <w:sz w:val="30"/>
                <w:szCs w:val="30"/>
              </w:rPr>
            </w:pPr>
          </w:p>
        </w:tc>
        <w:tc>
          <w:tcPr>
            <w:tcW w:w="1276" w:type="dxa"/>
          </w:tcPr>
          <w:p w14:paraId="693CE6BC">
            <w:pPr>
              <w:rPr>
                <w:rFonts w:eastAsia="仿宋_GB2312"/>
                <w:color w:val="auto"/>
                <w:sz w:val="30"/>
                <w:szCs w:val="30"/>
              </w:rPr>
            </w:pPr>
          </w:p>
        </w:tc>
        <w:tc>
          <w:tcPr>
            <w:tcW w:w="1450" w:type="dxa"/>
          </w:tcPr>
          <w:p w14:paraId="606CA3CB">
            <w:pPr>
              <w:rPr>
                <w:rFonts w:eastAsia="仿宋_GB2312"/>
                <w:color w:val="auto"/>
                <w:sz w:val="30"/>
                <w:szCs w:val="30"/>
              </w:rPr>
            </w:pPr>
          </w:p>
        </w:tc>
        <w:tc>
          <w:tcPr>
            <w:tcW w:w="1243" w:type="dxa"/>
          </w:tcPr>
          <w:p w14:paraId="42D4995C">
            <w:pPr>
              <w:rPr>
                <w:rFonts w:eastAsia="仿宋_GB2312"/>
                <w:color w:val="auto"/>
                <w:sz w:val="30"/>
                <w:szCs w:val="30"/>
              </w:rPr>
            </w:pPr>
          </w:p>
        </w:tc>
        <w:tc>
          <w:tcPr>
            <w:tcW w:w="1450" w:type="dxa"/>
          </w:tcPr>
          <w:p w14:paraId="710C2680">
            <w:pPr>
              <w:rPr>
                <w:rFonts w:eastAsia="仿宋_GB2312"/>
                <w:color w:val="auto"/>
                <w:sz w:val="30"/>
                <w:szCs w:val="30"/>
              </w:rPr>
            </w:pPr>
          </w:p>
        </w:tc>
        <w:tc>
          <w:tcPr>
            <w:tcW w:w="1667" w:type="dxa"/>
          </w:tcPr>
          <w:p w14:paraId="7A2DF2A9">
            <w:pPr>
              <w:rPr>
                <w:rFonts w:eastAsia="仿宋_GB2312"/>
                <w:color w:val="auto"/>
                <w:sz w:val="30"/>
                <w:szCs w:val="30"/>
              </w:rPr>
            </w:pPr>
          </w:p>
        </w:tc>
      </w:tr>
      <w:tr w14:paraId="3E46B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CF44CCD">
            <w:pPr>
              <w:rPr>
                <w:rFonts w:eastAsia="仿宋_GB2312"/>
                <w:color w:val="auto"/>
                <w:sz w:val="30"/>
                <w:szCs w:val="30"/>
              </w:rPr>
            </w:pPr>
          </w:p>
        </w:tc>
        <w:tc>
          <w:tcPr>
            <w:tcW w:w="1276" w:type="dxa"/>
          </w:tcPr>
          <w:p w14:paraId="133319B6">
            <w:pPr>
              <w:rPr>
                <w:rFonts w:eastAsia="仿宋_GB2312"/>
                <w:color w:val="auto"/>
                <w:sz w:val="30"/>
                <w:szCs w:val="30"/>
              </w:rPr>
            </w:pPr>
          </w:p>
        </w:tc>
        <w:tc>
          <w:tcPr>
            <w:tcW w:w="1450" w:type="dxa"/>
          </w:tcPr>
          <w:p w14:paraId="2A6E084D">
            <w:pPr>
              <w:rPr>
                <w:rFonts w:eastAsia="仿宋_GB2312"/>
                <w:color w:val="auto"/>
                <w:sz w:val="30"/>
                <w:szCs w:val="30"/>
              </w:rPr>
            </w:pPr>
          </w:p>
        </w:tc>
        <w:tc>
          <w:tcPr>
            <w:tcW w:w="1243" w:type="dxa"/>
          </w:tcPr>
          <w:p w14:paraId="5A4139C1">
            <w:pPr>
              <w:rPr>
                <w:rFonts w:eastAsia="仿宋_GB2312"/>
                <w:color w:val="auto"/>
                <w:sz w:val="30"/>
                <w:szCs w:val="30"/>
              </w:rPr>
            </w:pPr>
          </w:p>
        </w:tc>
        <w:tc>
          <w:tcPr>
            <w:tcW w:w="1450" w:type="dxa"/>
          </w:tcPr>
          <w:p w14:paraId="13517B68">
            <w:pPr>
              <w:rPr>
                <w:rFonts w:eastAsia="仿宋_GB2312"/>
                <w:color w:val="auto"/>
                <w:sz w:val="30"/>
                <w:szCs w:val="30"/>
              </w:rPr>
            </w:pPr>
          </w:p>
        </w:tc>
        <w:tc>
          <w:tcPr>
            <w:tcW w:w="1667" w:type="dxa"/>
          </w:tcPr>
          <w:p w14:paraId="37F7F38A">
            <w:pPr>
              <w:rPr>
                <w:rFonts w:eastAsia="仿宋_GB2312"/>
                <w:color w:val="auto"/>
                <w:sz w:val="30"/>
                <w:szCs w:val="30"/>
              </w:rPr>
            </w:pPr>
          </w:p>
        </w:tc>
      </w:tr>
      <w:tr w14:paraId="2890C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9B92395">
            <w:pPr>
              <w:rPr>
                <w:rFonts w:eastAsia="仿宋_GB2312"/>
                <w:color w:val="auto"/>
                <w:sz w:val="30"/>
                <w:szCs w:val="30"/>
              </w:rPr>
            </w:pPr>
          </w:p>
        </w:tc>
        <w:tc>
          <w:tcPr>
            <w:tcW w:w="1276" w:type="dxa"/>
          </w:tcPr>
          <w:p w14:paraId="0E96E81E">
            <w:pPr>
              <w:rPr>
                <w:rFonts w:eastAsia="仿宋_GB2312"/>
                <w:color w:val="auto"/>
                <w:sz w:val="30"/>
                <w:szCs w:val="30"/>
              </w:rPr>
            </w:pPr>
          </w:p>
        </w:tc>
        <w:tc>
          <w:tcPr>
            <w:tcW w:w="1450" w:type="dxa"/>
          </w:tcPr>
          <w:p w14:paraId="4E538A55">
            <w:pPr>
              <w:rPr>
                <w:rFonts w:eastAsia="仿宋_GB2312"/>
                <w:color w:val="auto"/>
                <w:sz w:val="30"/>
                <w:szCs w:val="30"/>
              </w:rPr>
            </w:pPr>
          </w:p>
        </w:tc>
        <w:tc>
          <w:tcPr>
            <w:tcW w:w="1243" w:type="dxa"/>
          </w:tcPr>
          <w:p w14:paraId="75EECAFF">
            <w:pPr>
              <w:rPr>
                <w:rFonts w:eastAsia="仿宋_GB2312"/>
                <w:color w:val="auto"/>
                <w:sz w:val="30"/>
                <w:szCs w:val="30"/>
              </w:rPr>
            </w:pPr>
          </w:p>
        </w:tc>
        <w:tc>
          <w:tcPr>
            <w:tcW w:w="1450" w:type="dxa"/>
          </w:tcPr>
          <w:p w14:paraId="64EE9CF5">
            <w:pPr>
              <w:rPr>
                <w:rFonts w:eastAsia="仿宋_GB2312"/>
                <w:color w:val="auto"/>
                <w:sz w:val="30"/>
                <w:szCs w:val="30"/>
              </w:rPr>
            </w:pPr>
          </w:p>
        </w:tc>
        <w:tc>
          <w:tcPr>
            <w:tcW w:w="1667" w:type="dxa"/>
          </w:tcPr>
          <w:p w14:paraId="31085AD1">
            <w:pPr>
              <w:rPr>
                <w:rFonts w:eastAsia="仿宋_GB2312"/>
                <w:color w:val="auto"/>
                <w:sz w:val="30"/>
                <w:szCs w:val="30"/>
              </w:rPr>
            </w:pPr>
          </w:p>
        </w:tc>
      </w:tr>
      <w:tr w14:paraId="17CE5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5653EBB">
            <w:pPr>
              <w:rPr>
                <w:rFonts w:eastAsia="仿宋_GB2312"/>
                <w:color w:val="auto"/>
                <w:sz w:val="30"/>
                <w:szCs w:val="30"/>
              </w:rPr>
            </w:pPr>
          </w:p>
        </w:tc>
        <w:tc>
          <w:tcPr>
            <w:tcW w:w="1276" w:type="dxa"/>
          </w:tcPr>
          <w:p w14:paraId="28247CED">
            <w:pPr>
              <w:rPr>
                <w:rFonts w:eastAsia="仿宋_GB2312"/>
                <w:color w:val="auto"/>
                <w:sz w:val="30"/>
                <w:szCs w:val="30"/>
              </w:rPr>
            </w:pPr>
          </w:p>
        </w:tc>
        <w:tc>
          <w:tcPr>
            <w:tcW w:w="1450" w:type="dxa"/>
          </w:tcPr>
          <w:p w14:paraId="1AD966A4">
            <w:pPr>
              <w:rPr>
                <w:rFonts w:eastAsia="仿宋_GB2312"/>
                <w:color w:val="auto"/>
                <w:sz w:val="30"/>
                <w:szCs w:val="30"/>
              </w:rPr>
            </w:pPr>
          </w:p>
        </w:tc>
        <w:tc>
          <w:tcPr>
            <w:tcW w:w="1243" w:type="dxa"/>
          </w:tcPr>
          <w:p w14:paraId="2143738D">
            <w:pPr>
              <w:rPr>
                <w:rFonts w:eastAsia="仿宋_GB2312"/>
                <w:color w:val="auto"/>
                <w:sz w:val="30"/>
                <w:szCs w:val="30"/>
              </w:rPr>
            </w:pPr>
          </w:p>
        </w:tc>
        <w:tc>
          <w:tcPr>
            <w:tcW w:w="1450" w:type="dxa"/>
          </w:tcPr>
          <w:p w14:paraId="33B4B720">
            <w:pPr>
              <w:rPr>
                <w:rFonts w:eastAsia="仿宋_GB2312"/>
                <w:color w:val="auto"/>
                <w:sz w:val="30"/>
                <w:szCs w:val="30"/>
              </w:rPr>
            </w:pPr>
          </w:p>
        </w:tc>
        <w:tc>
          <w:tcPr>
            <w:tcW w:w="1667" w:type="dxa"/>
          </w:tcPr>
          <w:p w14:paraId="36E2045E">
            <w:pPr>
              <w:rPr>
                <w:rFonts w:eastAsia="仿宋_GB2312"/>
                <w:color w:val="auto"/>
                <w:sz w:val="30"/>
                <w:szCs w:val="30"/>
              </w:rPr>
            </w:pPr>
          </w:p>
        </w:tc>
      </w:tr>
      <w:tr w14:paraId="3FF5B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1FBC84F">
            <w:pPr>
              <w:rPr>
                <w:rFonts w:eastAsia="仿宋_GB2312"/>
                <w:color w:val="auto"/>
                <w:sz w:val="30"/>
                <w:szCs w:val="30"/>
              </w:rPr>
            </w:pPr>
          </w:p>
        </w:tc>
        <w:tc>
          <w:tcPr>
            <w:tcW w:w="1276" w:type="dxa"/>
          </w:tcPr>
          <w:p w14:paraId="134059E4">
            <w:pPr>
              <w:rPr>
                <w:rFonts w:eastAsia="仿宋_GB2312"/>
                <w:color w:val="auto"/>
                <w:sz w:val="30"/>
                <w:szCs w:val="30"/>
              </w:rPr>
            </w:pPr>
          </w:p>
        </w:tc>
        <w:tc>
          <w:tcPr>
            <w:tcW w:w="1450" w:type="dxa"/>
          </w:tcPr>
          <w:p w14:paraId="26C5357B">
            <w:pPr>
              <w:rPr>
                <w:rFonts w:eastAsia="仿宋_GB2312"/>
                <w:color w:val="auto"/>
                <w:sz w:val="30"/>
                <w:szCs w:val="30"/>
              </w:rPr>
            </w:pPr>
          </w:p>
        </w:tc>
        <w:tc>
          <w:tcPr>
            <w:tcW w:w="1243" w:type="dxa"/>
          </w:tcPr>
          <w:p w14:paraId="76A16541">
            <w:pPr>
              <w:rPr>
                <w:rFonts w:eastAsia="仿宋_GB2312"/>
                <w:color w:val="auto"/>
                <w:sz w:val="30"/>
                <w:szCs w:val="30"/>
              </w:rPr>
            </w:pPr>
          </w:p>
        </w:tc>
        <w:tc>
          <w:tcPr>
            <w:tcW w:w="1450" w:type="dxa"/>
          </w:tcPr>
          <w:p w14:paraId="28B669F2">
            <w:pPr>
              <w:rPr>
                <w:rFonts w:eastAsia="仿宋_GB2312"/>
                <w:color w:val="auto"/>
                <w:sz w:val="30"/>
                <w:szCs w:val="30"/>
              </w:rPr>
            </w:pPr>
          </w:p>
        </w:tc>
        <w:tc>
          <w:tcPr>
            <w:tcW w:w="1667" w:type="dxa"/>
          </w:tcPr>
          <w:p w14:paraId="790B4227">
            <w:pPr>
              <w:rPr>
                <w:rFonts w:eastAsia="仿宋_GB2312"/>
                <w:color w:val="auto"/>
                <w:sz w:val="30"/>
                <w:szCs w:val="30"/>
              </w:rPr>
            </w:pPr>
          </w:p>
        </w:tc>
      </w:tr>
      <w:tr w14:paraId="4760A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0C0246F">
            <w:pPr>
              <w:rPr>
                <w:rFonts w:eastAsia="仿宋_GB2312"/>
                <w:color w:val="auto"/>
                <w:sz w:val="30"/>
                <w:szCs w:val="30"/>
              </w:rPr>
            </w:pPr>
          </w:p>
        </w:tc>
        <w:tc>
          <w:tcPr>
            <w:tcW w:w="1276" w:type="dxa"/>
          </w:tcPr>
          <w:p w14:paraId="76428F7C">
            <w:pPr>
              <w:rPr>
                <w:rFonts w:eastAsia="仿宋_GB2312"/>
                <w:color w:val="auto"/>
                <w:sz w:val="30"/>
                <w:szCs w:val="30"/>
              </w:rPr>
            </w:pPr>
          </w:p>
        </w:tc>
        <w:tc>
          <w:tcPr>
            <w:tcW w:w="1450" w:type="dxa"/>
          </w:tcPr>
          <w:p w14:paraId="72878E17">
            <w:pPr>
              <w:rPr>
                <w:rFonts w:eastAsia="仿宋_GB2312"/>
                <w:color w:val="auto"/>
                <w:sz w:val="30"/>
                <w:szCs w:val="30"/>
              </w:rPr>
            </w:pPr>
          </w:p>
        </w:tc>
        <w:tc>
          <w:tcPr>
            <w:tcW w:w="1243" w:type="dxa"/>
          </w:tcPr>
          <w:p w14:paraId="556306E9">
            <w:pPr>
              <w:rPr>
                <w:rFonts w:eastAsia="仿宋_GB2312"/>
                <w:color w:val="auto"/>
                <w:sz w:val="30"/>
                <w:szCs w:val="30"/>
              </w:rPr>
            </w:pPr>
          </w:p>
        </w:tc>
        <w:tc>
          <w:tcPr>
            <w:tcW w:w="1450" w:type="dxa"/>
          </w:tcPr>
          <w:p w14:paraId="530CEA8A">
            <w:pPr>
              <w:rPr>
                <w:rFonts w:eastAsia="仿宋_GB2312"/>
                <w:color w:val="auto"/>
                <w:sz w:val="30"/>
                <w:szCs w:val="30"/>
              </w:rPr>
            </w:pPr>
          </w:p>
        </w:tc>
        <w:tc>
          <w:tcPr>
            <w:tcW w:w="1667" w:type="dxa"/>
          </w:tcPr>
          <w:p w14:paraId="318E9E6E">
            <w:pPr>
              <w:rPr>
                <w:rFonts w:eastAsia="仿宋_GB2312"/>
                <w:color w:val="auto"/>
                <w:sz w:val="30"/>
                <w:szCs w:val="30"/>
              </w:rPr>
            </w:pPr>
          </w:p>
        </w:tc>
      </w:tr>
      <w:tr w14:paraId="76BBB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179A287">
            <w:pPr>
              <w:rPr>
                <w:rFonts w:eastAsia="仿宋_GB2312"/>
                <w:color w:val="auto"/>
                <w:sz w:val="30"/>
                <w:szCs w:val="30"/>
              </w:rPr>
            </w:pPr>
          </w:p>
        </w:tc>
        <w:tc>
          <w:tcPr>
            <w:tcW w:w="1276" w:type="dxa"/>
          </w:tcPr>
          <w:p w14:paraId="125CFCD2">
            <w:pPr>
              <w:rPr>
                <w:rFonts w:eastAsia="仿宋_GB2312"/>
                <w:color w:val="auto"/>
                <w:sz w:val="30"/>
                <w:szCs w:val="30"/>
              </w:rPr>
            </w:pPr>
          </w:p>
        </w:tc>
        <w:tc>
          <w:tcPr>
            <w:tcW w:w="1450" w:type="dxa"/>
          </w:tcPr>
          <w:p w14:paraId="145BCDB9">
            <w:pPr>
              <w:rPr>
                <w:rFonts w:eastAsia="仿宋_GB2312"/>
                <w:color w:val="auto"/>
                <w:sz w:val="30"/>
                <w:szCs w:val="30"/>
              </w:rPr>
            </w:pPr>
          </w:p>
        </w:tc>
        <w:tc>
          <w:tcPr>
            <w:tcW w:w="1243" w:type="dxa"/>
          </w:tcPr>
          <w:p w14:paraId="20EFE5FC">
            <w:pPr>
              <w:rPr>
                <w:rFonts w:eastAsia="仿宋_GB2312"/>
                <w:color w:val="auto"/>
                <w:sz w:val="30"/>
                <w:szCs w:val="30"/>
              </w:rPr>
            </w:pPr>
          </w:p>
        </w:tc>
        <w:tc>
          <w:tcPr>
            <w:tcW w:w="1450" w:type="dxa"/>
          </w:tcPr>
          <w:p w14:paraId="2E56BBBB">
            <w:pPr>
              <w:rPr>
                <w:rFonts w:eastAsia="仿宋_GB2312"/>
                <w:color w:val="auto"/>
                <w:sz w:val="30"/>
                <w:szCs w:val="30"/>
              </w:rPr>
            </w:pPr>
          </w:p>
        </w:tc>
        <w:tc>
          <w:tcPr>
            <w:tcW w:w="1667" w:type="dxa"/>
          </w:tcPr>
          <w:p w14:paraId="506CBDD7">
            <w:pPr>
              <w:rPr>
                <w:rFonts w:eastAsia="仿宋_GB2312"/>
                <w:color w:val="auto"/>
                <w:sz w:val="30"/>
                <w:szCs w:val="30"/>
              </w:rPr>
            </w:pPr>
          </w:p>
        </w:tc>
      </w:tr>
      <w:tr w14:paraId="779BB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97B990C">
            <w:pPr>
              <w:rPr>
                <w:rFonts w:eastAsia="仿宋_GB2312"/>
                <w:color w:val="auto"/>
                <w:sz w:val="30"/>
                <w:szCs w:val="30"/>
              </w:rPr>
            </w:pPr>
          </w:p>
        </w:tc>
        <w:tc>
          <w:tcPr>
            <w:tcW w:w="1276" w:type="dxa"/>
          </w:tcPr>
          <w:p w14:paraId="35AB27B8">
            <w:pPr>
              <w:rPr>
                <w:rFonts w:eastAsia="仿宋_GB2312"/>
                <w:color w:val="auto"/>
                <w:sz w:val="30"/>
                <w:szCs w:val="30"/>
              </w:rPr>
            </w:pPr>
          </w:p>
        </w:tc>
        <w:tc>
          <w:tcPr>
            <w:tcW w:w="1450" w:type="dxa"/>
          </w:tcPr>
          <w:p w14:paraId="021F86D4">
            <w:pPr>
              <w:rPr>
                <w:rFonts w:eastAsia="仿宋_GB2312"/>
                <w:color w:val="auto"/>
                <w:sz w:val="30"/>
                <w:szCs w:val="30"/>
              </w:rPr>
            </w:pPr>
          </w:p>
        </w:tc>
        <w:tc>
          <w:tcPr>
            <w:tcW w:w="1243" w:type="dxa"/>
          </w:tcPr>
          <w:p w14:paraId="0E842359">
            <w:pPr>
              <w:rPr>
                <w:rFonts w:eastAsia="仿宋_GB2312"/>
                <w:color w:val="auto"/>
                <w:sz w:val="30"/>
                <w:szCs w:val="30"/>
              </w:rPr>
            </w:pPr>
          </w:p>
        </w:tc>
        <w:tc>
          <w:tcPr>
            <w:tcW w:w="1450" w:type="dxa"/>
          </w:tcPr>
          <w:p w14:paraId="7E4CC6E0">
            <w:pPr>
              <w:rPr>
                <w:rFonts w:eastAsia="仿宋_GB2312"/>
                <w:color w:val="auto"/>
                <w:sz w:val="30"/>
                <w:szCs w:val="30"/>
              </w:rPr>
            </w:pPr>
          </w:p>
        </w:tc>
        <w:tc>
          <w:tcPr>
            <w:tcW w:w="1667" w:type="dxa"/>
          </w:tcPr>
          <w:p w14:paraId="62768366">
            <w:pPr>
              <w:rPr>
                <w:rFonts w:eastAsia="仿宋_GB2312"/>
                <w:color w:val="auto"/>
                <w:sz w:val="30"/>
                <w:szCs w:val="30"/>
              </w:rPr>
            </w:pPr>
          </w:p>
        </w:tc>
      </w:tr>
      <w:tr w14:paraId="24B02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C87D43E">
            <w:pPr>
              <w:rPr>
                <w:rFonts w:eastAsia="仿宋_GB2312"/>
                <w:color w:val="auto"/>
                <w:sz w:val="30"/>
                <w:szCs w:val="30"/>
              </w:rPr>
            </w:pPr>
          </w:p>
        </w:tc>
        <w:tc>
          <w:tcPr>
            <w:tcW w:w="1276" w:type="dxa"/>
          </w:tcPr>
          <w:p w14:paraId="71E627C3">
            <w:pPr>
              <w:rPr>
                <w:rFonts w:eastAsia="仿宋_GB2312"/>
                <w:color w:val="auto"/>
                <w:sz w:val="30"/>
                <w:szCs w:val="30"/>
              </w:rPr>
            </w:pPr>
          </w:p>
        </w:tc>
        <w:tc>
          <w:tcPr>
            <w:tcW w:w="1450" w:type="dxa"/>
          </w:tcPr>
          <w:p w14:paraId="25904A7E">
            <w:pPr>
              <w:rPr>
                <w:rFonts w:eastAsia="仿宋_GB2312"/>
                <w:color w:val="auto"/>
                <w:sz w:val="30"/>
                <w:szCs w:val="30"/>
              </w:rPr>
            </w:pPr>
          </w:p>
        </w:tc>
        <w:tc>
          <w:tcPr>
            <w:tcW w:w="1243" w:type="dxa"/>
          </w:tcPr>
          <w:p w14:paraId="2B8697EB">
            <w:pPr>
              <w:rPr>
                <w:rFonts w:eastAsia="仿宋_GB2312"/>
                <w:color w:val="auto"/>
                <w:sz w:val="30"/>
                <w:szCs w:val="30"/>
              </w:rPr>
            </w:pPr>
          </w:p>
        </w:tc>
        <w:tc>
          <w:tcPr>
            <w:tcW w:w="1450" w:type="dxa"/>
          </w:tcPr>
          <w:p w14:paraId="657EEB89">
            <w:pPr>
              <w:rPr>
                <w:rFonts w:eastAsia="仿宋_GB2312"/>
                <w:color w:val="auto"/>
                <w:sz w:val="30"/>
                <w:szCs w:val="30"/>
              </w:rPr>
            </w:pPr>
          </w:p>
        </w:tc>
        <w:tc>
          <w:tcPr>
            <w:tcW w:w="1667" w:type="dxa"/>
          </w:tcPr>
          <w:p w14:paraId="511EC674">
            <w:pPr>
              <w:rPr>
                <w:rFonts w:eastAsia="仿宋_GB2312"/>
                <w:color w:val="auto"/>
                <w:sz w:val="30"/>
                <w:szCs w:val="30"/>
              </w:rPr>
            </w:pPr>
          </w:p>
        </w:tc>
      </w:tr>
    </w:tbl>
    <w:p w14:paraId="150536D5">
      <w:pPr>
        <w:spacing w:line="440" w:lineRule="exact"/>
        <w:rPr>
          <w:rFonts w:eastAsia="仿宋_GB2312"/>
          <w:color w:val="auto"/>
          <w:sz w:val="30"/>
          <w:szCs w:val="30"/>
        </w:rPr>
      </w:pPr>
    </w:p>
    <w:p w14:paraId="04154E77">
      <w:pPr>
        <w:spacing w:line="440" w:lineRule="exact"/>
        <w:rPr>
          <w:rFonts w:eastAsia="黑体"/>
          <w:color w:val="auto"/>
          <w:sz w:val="30"/>
          <w:szCs w:val="30"/>
        </w:rPr>
      </w:pPr>
      <w:r>
        <w:rPr>
          <w:rFonts w:eastAsia="仿宋_GB2312"/>
          <w:color w:val="auto"/>
          <w:sz w:val="30"/>
          <w:szCs w:val="30"/>
        </w:rPr>
        <w:br w:type="page"/>
      </w:r>
      <w:r>
        <w:rPr>
          <w:rFonts w:hint="eastAsia" w:eastAsia="仿宋_GB2312" w:cs="仿宋_GB2312"/>
          <w:color w:val="auto"/>
          <w:sz w:val="30"/>
          <w:szCs w:val="30"/>
        </w:rPr>
        <w:t>附件</w:t>
      </w:r>
      <w:r>
        <w:rPr>
          <w:rFonts w:hint="eastAsia" w:eastAsia="仿宋_GB2312"/>
          <w:color w:val="auto"/>
          <w:sz w:val="30"/>
          <w:szCs w:val="30"/>
        </w:rPr>
        <w:t>4</w:t>
      </w:r>
      <w:r>
        <w:rPr>
          <w:rFonts w:hint="eastAsia" w:eastAsia="仿宋_GB2312" w:cs="仿宋_GB2312"/>
          <w:color w:val="auto"/>
          <w:sz w:val="30"/>
          <w:szCs w:val="30"/>
        </w:rPr>
        <w:t>：</w:t>
      </w:r>
    </w:p>
    <w:p w14:paraId="406FF0D7">
      <w:pPr>
        <w:spacing w:before="120" w:beforeLines="50" w:after="120" w:afterLines="50" w:line="440" w:lineRule="exact"/>
        <w:jc w:val="center"/>
        <w:rPr>
          <w:rFonts w:eastAsia="黑体"/>
          <w:color w:val="auto"/>
          <w:sz w:val="30"/>
          <w:szCs w:val="30"/>
        </w:rPr>
      </w:pPr>
      <w:r>
        <w:rPr>
          <w:rFonts w:hint="eastAsia" w:eastAsia="黑体" w:cs="黑体"/>
          <w:color w:val="auto"/>
          <w:sz w:val="30"/>
          <w:szCs w:val="30"/>
        </w:rPr>
        <w:t>承包人用于本工程施工的机械设备表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4D8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21773822">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序号</w:t>
            </w:r>
          </w:p>
        </w:tc>
        <w:tc>
          <w:tcPr>
            <w:tcW w:w="1418" w:type="dxa"/>
            <w:vAlign w:val="center"/>
          </w:tcPr>
          <w:p w14:paraId="75B12386">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机械或设备名称</w:t>
            </w:r>
          </w:p>
        </w:tc>
        <w:tc>
          <w:tcPr>
            <w:tcW w:w="850" w:type="dxa"/>
            <w:vAlign w:val="center"/>
          </w:tcPr>
          <w:p w14:paraId="27ACCE35">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规格型号</w:t>
            </w:r>
          </w:p>
        </w:tc>
        <w:tc>
          <w:tcPr>
            <w:tcW w:w="1058" w:type="dxa"/>
            <w:vAlign w:val="center"/>
          </w:tcPr>
          <w:p w14:paraId="2B6F8AEA">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数量</w:t>
            </w:r>
          </w:p>
        </w:tc>
        <w:tc>
          <w:tcPr>
            <w:tcW w:w="880" w:type="dxa"/>
            <w:vAlign w:val="center"/>
          </w:tcPr>
          <w:p w14:paraId="71310DAB">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产地</w:t>
            </w:r>
          </w:p>
        </w:tc>
        <w:tc>
          <w:tcPr>
            <w:tcW w:w="1020" w:type="dxa"/>
            <w:vAlign w:val="center"/>
          </w:tcPr>
          <w:p w14:paraId="01E65116">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制造年份</w:t>
            </w:r>
          </w:p>
        </w:tc>
        <w:tc>
          <w:tcPr>
            <w:tcW w:w="1480" w:type="dxa"/>
            <w:vAlign w:val="center"/>
          </w:tcPr>
          <w:p w14:paraId="7BC1651F">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额定功率（</w:t>
            </w:r>
            <w:r>
              <w:rPr>
                <w:rFonts w:eastAsia="仿宋_GB2312"/>
                <w:color w:val="auto"/>
                <w:sz w:val="28"/>
                <w:szCs w:val="28"/>
              </w:rPr>
              <w:t>kW</w:t>
            </w:r>
            <w:r>
              <w:rPr>
                <w:rFonts w:hint="eastAsia" w:eastAsia="仿宋_GB2312" w:cs="仿宋_GB2312"/>
                <w:color w:val="auto"/>
                <w:sz w:val="28"/>
                <w:szCs w:val="28"/>
              </w:rPr>
              <w:t>）</w:t>
            </w:r>
          </w:p>
        </w:tc>
        <w:tc>
          <w:tcPr>
            <w:tcW w:w="1020" w:type="dxa"/>
            <w:vAlign w:val="center"/>
          </w:tcPr>
          <w:p w14:paraId="455155F1">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生产能力</w:t>
            </w:r>
          </w:p>
        </w:tc>
        <w:tc>
          <w:tcPr>
            <w:tcW w:w="921" w:type="dxa"/>
            <w:vAlign w:val="center"/>
          </w:tcPr>
          <w:p w14:paraId="5C5ADCE2">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备注</w:t>
            </w:r>
          </w:p>
        </w:tc>
      </w:tr>
      <w:tr w14:paraId="78FC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A0718D5">
            <w:pPr>
              <w:pStyle w:val="2"/>
              <w:keepNext/>
              <w:spacing w:after="0" w:line="440" w:lineRule="exact"/>
              <w:ind w:left="63" w:right="63"/>
              <w:rPr>
                <w:rFonts w:eastAsia="仿宋_GB2312"/>
                <w:color w:val="auto"/>
                <w:sz w:val="30"/>
                <w:szCs w:val="30"/>
              </w:rPr>
            </w:pPr>
          </w:p>
        </w:tc>
        <w:tc>
          <w:tcPr>
            <w:tcW w:w="1418" w:type="dxa"/>
            <w:vAlign w:val="center"/>
          </w:tcPr>
          <w:p w14:paraId="6D5061B8">
            <w:pPr>
              <w:pStyle w:val="2"/>
              <w:keepNext/>
              <w:spacing w:after="0" w:line="440" w:lineRule="exact"/>
              <w:ind w:left="63" w:right="63"/>
              <w:rPr>
                <w:rFonts w:eastAsia="仿宋_GB2312"/>
                <w:color w:val="auto"/>
                <w:sz w:val="30"/>
                <w:szCs w:val="30"/>
              </w:rPr>
            </w:pPr>
          </w:p>
        </w:tc>
        <w:tc>
          <w:tcPr>
            <w:tcW w:w="850" w:type="dxa"/>
            <w:vAlign w:val="center"/>
          </w:tcPr>
          <w:p w14:paraId="3FC1AE7B">
            <w:pPr>
              <w:pStyle w:val="2"/>
              <w:keepNext/>
              <w:spacing w:after="0" w:line="440" w:lineRule="exact"/>
              <w:ind w:left="63" w:right="63"/>
              <w:rPr>
                <w:rFonts w:eastAsia="仿宋_GB2312"/>
                <w:color w:val="auto"/>
                <w:sz w:val="30"/>
                <w:szCs w:val="30"/>
              </w:rPr>
            </w:pPr>
          </w:p>
        </w:tc>
        <w:tc>
          <w:tcPr>
            <w:tcW w:w="1058" w:type="dxa"/>
            <w:vAlign w:val="center"/>
          </w:tcPr>
          <w:p w14:paraId="044F680C">
            <w:pPr>
              <w:pStyle w:val="2"/>
              <w:keepNext/>
              <w:spacing w:after="0" w:line="440" w:lineRule="exact"/>
              <w:ind w:left="63" w:right="63"/>
              <w:rPr>
                <w:rFonts w:eastAsia="仿宋_GB2312"/>
                <w:color w:val="auto"/>
                <w:sz w:val="30"/>
                <w:szCs w:val="30"/>
              </w:rPr>
            </w:pPr>
          </w:p>
        </w:tc>
        <w:tc>
          <w:tcPr>
            <w:tcW w:w="880" w:type="dxa"/>
            <w:vAlign w:val="center"/>
          </w:tcPr>
          <w:p w14:paraId="75575325">
            <w:pPr>
              <w:pStyle w:val="2"/>
              <w:keepNext/>
              <w:spacing w:after="0" w:line="440" w:lineRule="exact"/>
              <w:ind w:left="63" w:right="63"/>
              <w:rPr>
                <w:rFonts w:eastAsia="仿宋_GB2312"/>
                <w:color w:val="auto"/>
                <w:sz w:val="30"/>
                <w:szCs w:val="30"/>
              </w:rPr>
            </w:pPr>
          </w:p>
        </w:tc>
        <w:tc>
          <w:tcPr>
            <w:tcW w:w="1020" w:type="dxa"/>
            <w:vAlign w:val="center"/>
          </w:tcPr>
          <w:p w14:paraId="321DBAE3">
            <w:pPr>
              <w:pStyle w:val="2"/>
              <w:keepNext/>
              <w:spacing w:after="0" w:line="440" w:lineRule="exact"/>
              <w:ind w:left="63" w:right="63"/>
              <w:rPr>
                <w:rFonts w:eastAsia="仿宋_GB2312"/>
                <w:color w:val="auto"/>
                <w:sz w:val="30"/>
                <w:szCs w:val="30"/>
              </w:rPr>
            </w:pPr>
          </w:p>
        </w:tc>
        <w:tc>
          <w:tcPr>
            <w:tcW w:w="1480" w:type="dxa"/>
            <w:vAlign w:val="center"/>
          </w:tcPr>
          <w:p w14:paraId="39976777">
            <w:pPr>
              <w:pStyle w:val="2"/>
              <w:keepNext/>
              <w:spacing w:after="0" w:line="440" w:lineRule="exact"/>
              <w:ind w:left="63" w:right="63"/>
              <w:rPr>
                <w:rFonts w:eastAsia="仿宋_GB2312"/>
                <w:color w:val="auto"/>
                <w:sz w:val="30"/>
                <w:szCs w:val="30"/>
              </w:rPr>
            </w:pPr>
          </w:p>
        </w:tc>
        <w:tc>
          <w:tcPr>
            <w:tcW w:w="1020" w:type="dxa"/>
            <w:vAlign w:val="center"/>
          </w:tcPr>
          <w:p w14:paraId="00690146">
            <w:pPr>
              <w:pStyle w:val="2"/>
              <w:keepNext/>
              <w:spacing w:after="0" w:line="440" w:lineRule="exact"/>
              <w:ind w:left="63" w:right="63"/>
              <w:rPr>
                <w:rFonts w:eastAsia="仿宋_GB2312"/>
                <w:color w:val="auto"/>
                <w:sz w:val="30"/>
                <w:szCs w:val="30"/>
              </w:rPr>
            </w:pPr>
          </w:p>
        </w:tc>
        <w:tc>
          <w:tcPr>
            <w:tcW w:w="921" w:type="dxa"/>
            <w:vAlign w:val="center"/>
          </w:tcPr>
          <w:p w14:paraId="57628104">
            <w:pPr>
              <w:pStyle w:val="2"/>
              <w:keepNext/>
              <w:spacing w:after="0" w:line="440" w:lineRule="exact"/>
              <w:ind w:left="63" w:right="63"/>
              <w:rPr>
                <w:rFonts w:eastAsia="仿宋_GB2312"/>
                <w:color w:val="auto"/>
                <w:sz w:val="30"/>
                <w:szCs w:val="30"/>
              </w:rPr>
            </w:pPr>
          </w:p>
        </w:tc>
      </w:tr>
      <w:tr w14:paraId="7C0B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5C3293A">
            <w:pPr>
              <w:pStyle w:val="2"/>
              <w:keepNext/>
              <w:spacing w:after="0" w:line="440" w:lineRule="exact"/>
              <w:ind w:left="63" w:right="63"/>
              <w:rPr>
                <w:rFonts w:eastAsia="仿宋_GB2312"/>
                <w:color w:val="auto"/>
                <w:sz w:val="30"/>
                <w:szCs w:val="30"/>
              </w:rPr>
            </w:pPr>
          </w:p>
        </w:tc>
        <w:tc>
          <w:tcPr>
            <w:tcW w:w="1418" w:type="dxa"/>
            <w:vAlign w:val="center"/>
          </w:tcPr>
          <w:p w14:paraId="2B114580">
            <w:pPr>
              <w:pStyle w:val="2"/>
              <w:keepNext/>
              <w:spacing w:after="0" w:line="440" w:lineRule="exact"/>
              <w:ind w:left="63" w:right="63"/>
              <w:rPr>
                <w:rFonts w:eastAsia="仿宋_GB2312"/>
                <w:color w:val="auto"/>
                <w:sz w:val="30"/>
                <w:szCs w:val="30"/>
              </w:rPr>
            </w:pPr>
          </w:p>
        </w:tc>
        <w:tc>
          <w:tcPr>
            <w:tcW w:w="850" w:type="dxa"/>
            <w:vAlign w:val="center"/>
          </w:tcPr>
          <w:p w14:paraId="50A41884">
            <w:pPr>
              <w:pStyle w:val="2"/>
              <w:keepNext/>
              <w:spacing w:after="0" w:line="440" w:lineRule="exact"/>
              <w:ind w:left="63" w:right="63"/>
              <w:rPr>
                <w:rFonts w:eastAsia="仿宋_GB2312"/>
                <w:color w:val="auto"/>
                <w:sz w:val="30"/>
                <w:szCs w:val="30"/>
              </w:rPr>
            </w:pPr>
          </w:p>
        </w:tc>
        <w:tc>
          <w:tcPr>
            <w:tcW w:w="1058" w:type="dxa"/>
            <w:vAlign w:val="center"/>
          </w:tcPr>
          <w:p w14:paraId="424D51B3">
            <w:pPr>
              <w:pStyle w:val="2"/>
              <w:keepNext/>
              <w:spacing w:after="0" w:line="440" w:lineRule="exact"/>
              <w:ind w:left="63" w:right="63"/>
              <w:rPr>
                <w:rFonts w:eastAsia="仿宋_GB2312"/>
                <w:color w:val="auto"/>
                <w:sz w:val="30"/>
                <w:szCs w:val="30"/>
              </w:rPr>
            </w:pPr>
          </w:p>
        </w:tc>
        <w:tc>
          <w:tcPr>
            <w:tcW w:w="880" w:type="dxa"/>
            <w:vAlign w:val="center"/>
          </w:tcPr>
          <w:p w14:paraId="2B442063">
            <w:pPr>
              <w:pStyle w:val="2"/>
              <w:keepNext/>
              <w:spacing w:after="0" w:line="440" w:lineRule="exact"/>
              <w:ind w:left="63" w:right="63"/>
              <w:rPr>
                <w:rFonts w:eastAsia="仿宋_GB2312"/>
                <w:color w:val="auto"/>
                <w:sz w:val="30"/>
                <w:szCs w:val="30"/>
              </w:rPr>
            </w:pPr>
          </w:p>
        </w:tc>
        <w:tc>
          <w:tcPr>
            <w:tcW w:w="1020" w:type="dxa"/>
            <w:vAlign w:val="center"/>
          </w:tcPr>
          <w:p w14:paraId="6F9B4011">
            <w:pPr>
              <w:pStyle w:val="2"/>
              <w:keepNext/>
              <w:spacing w:after="0" w:line="440" w:lineRule="exact"/>
              <w:ind w:left="63" w:right="63"/>
              <w:rPr>
                <w:rFonts w:eastAsia="仿宋_GB2312"/>
                <w:color w:val="auto"/>
                <w:sz w:val="30"/>
                <w:szCs w:val="30"/>
              </w:rPr>
            </w:pPr>
          </w:p>
        </w:tc>
        <w:tc>
          <w:tcPr>
            <w:tcW w:w="1480" w:type="dxa"/>
            <w:vAlign w:val="center"/>
          </w:tcPr>
          <w:p w14:paraId="31F5BEAB">
            <w:pPr>
              <w:pStyle w:val="2"/>
              <w:keepNext/>
              <w:spacing w:after="0" w:line="440" w:lineRule="exact"/>
              <w:ind w:left="63" w:right="63"/>
              <w:rPr>
                <w:rFonts w:eastAsia="仿宋_GB2312"/>
                <w:color w:val="auto"/>
                <w:sz w:val="30"/>
                <w:szCs w:val="30"/>
              </w:rPr>
            </w:pPr>
          </w:p>
        </w:tc>
        <w:tc>
          <w:tcPr>
            <w:tcW w:w="1020" w:type="dxa"/>
            <w:vAlign w:val="center"/>
          </w:tcPr>
          <w:p w14:paraId="3BA06E94">
            <w:pPr>
              <w:pStyle w:val="2"/>
              <w:keepNext/>
              <w:spacing w:after="0" w:line="440" w:lineRule="exact"/>
              <w:ind w:left="63" w:right="63"/>
              <w:rPr>
                <w:rFonts w:eastAsia="仿宋_GB2312"/>
                <w:color w:val="auto"/>
                <w:sz w:val="30"/>
                <w:szCs w:val="30"/>
              </w:rPr>
            </w:pPr>
          </w:p>
        </w:tc>
        <w:tc>
          <w:tcPr>
            <w:tcW w:w="921" w:type="dxa"/>
            <w:vAlign w:val="center"/>
          </w:tcPr>
          <w:p w14:paraId="14BEF00C">
            <w:pPr>
              <w:pStyle w:val="2"/>
              <w:keepNext/>
              <w:spacing w:after="0" w:line="440" w:lineRule="exact"/>
              <w:ind w:left="63" w:right="63"/>
              <w:rPr>
                <w:rFonts w:eastAsia="仿宋_GB2312"/>
                <w:color w:val="auto"/>
                <w:sz w:val="30"/>
                <w:szCs w:val="30"/>
              </w:rPr>
            </w:pPr>
          </w:p>
        </w:tc>
      </w:tr>
      <w:tr w14:paraId="2B2C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6E13C5C">
            <w:pPr>
              <w:pStyle w:val="2"/>
              <w:keepNext/>
              <w:spacing w:after="0" w:line="440" w:lineRule="exact"/>
              <w:ind w:left="63" w:right="63"/>
              <w:rPr>
                <w:rFonts w:eastAsia="仿宋_GB2312"/>
                <w:color w:val="auto"/>
                <w:sz w:val="30"/>
                <w:szCs w:val="30"/>
              </w:rPr>
            </w:pPr>
          </w:p>
        </w:tc>
        <w:tc>
          <w:tcPr>
            <w:tcW w:w="1418" w:type="dxa"/>
            <w:vAlign w:val="center"/>
          </w:tcPr>
          <w:p w14:paraId="69D592ED">
            <w:pPr>
              <w:pStyle w:val="2"/>
              <w:keepNext/>
              <w:spacing w:after="0" w:line="440" w:lineRule="exact"/>
              <w:ind w:left="63" w:right="63"/>
              <w:rPr>
                <w:rFonts w:eastAsia="仿宋_GB2312"/>
                <w:color w:val="auto"/>
                <w:sz w:val="30"/>
                <w:szCs w:val="30"/>
              </w:rPr>
            </w:pPr>
          </w:p>
        </w:tc>
        <w:tc>
          <w:tcPr>
            <w:tcW w:w="850" w:type="dxa"/>
            <w:vAlign w:val="center"/>
          </w:tcPr>
          <w:p w14:paraId="41727174">
            <w:pPr>
              <w:pStyle w:val="2"/>
              <w:keepNext/>
              <w:spacing w:after="0" w:line="440" w:lineRule="exact"/>
              <w:ind w:left="63" w:right="63"/>
              <w:rPr>
                <w:rFonts w:eastAsia="仿宋_GB2312"/>
                <w:color w:val="auto"/>
                <w:sz w:val="30"/>
                <w:szCs w:val="30"/>
              </w:rPr>
            </w:pPr>
          </w:p>
        </w:tc>
        <w:tc>
          <w:tcPr>
            <w:tcW w:w="1058" w:type="dxa"/>
            <w:vAlign w:val="center"/>
          </w:tcPr>
          <w:p w14:paraId="5E77436F">
            <w:pPr>
              <w:pStyle w:val="2"/>
              <w:keepNext/>
              <w:spacing w:after="0" w:line="440" w:lineRule="exact"/>
              <w:ind w:left="63" w:right="63"/>
              <w:rPr>
                <w:rFonts w:eastAsia="仿宋_GB2312"/>
                <w:color w:val="auto"/>
                <w:sz w:val="30"/>
                <w:szCs w:val="30"/>
              </w:rPr>
            </w:pPr>
          </w:p>
        </w:tc>
        <w:tc>
          <w:tcPr>
            <w:tcW w:w="880" w:type="dxa"/>
            <w:vAlign w:val="center"/>
          </w:tcPr>
          <w:p w14:paraId="2062E06E">
            <w:pPr>
              <w:pStyle w:val="2"/>
              <w:keepNext/>
              <w:spacing w:after="0" w:line="440" w:lineRule="exact"/>
              <w:ind w:left="63" w:right="63"/>
              <w:rPr>
                <w:rFonts w:eastAsia="仿宋_GB2312"/>
                <w:color w:val="auto"/>
                <w:sz w:val="30"/>
                <w:szCs w:val="30"/>
              </w:rPr>
            </w:pPr>
          </w:p>
        </w:tc>
        <w:tc>
          <w:tcPr>
            <w:tcW w:w="1020" w:type="dxa"/>
            <w:vAlign w:val="center"/>
          </w:tcPr>
          <w:p w14:paraId="0C488D0B">
            <w:pPr>
              <w:pStyle w:val="2"/>
              <w:keepNext/>
              <w:spacing w:after="0" w:line="440" w:lineRule="exact"/>
              <w:ind w:left="63" w:right="63"/>
              <w:rPr>
                <w:rFonts w:eastAsia="仿宋_GB2312"/>
                <w:color w:val="auto"/>
                <w:sz w:val="30"/>
                <w:szCs w:val="30"/>
              </w:rPr>
            </w:pPr>
          </w:p>
        </w:tc>
        <w:tc>
          <w:tcPr>
            <w:tcW w:w="1480" w:type="dxa"/>
            <w:vAlign w:val="center"/>
          </w:tcPr>
          <w:p w14:paraId="5657917F">
            <w:pPr>
              <w:pStyle w:val="2"/>
              <w:keepNext/>
              <w:spacing w:after="0" w:line="440" w:lineRule="exact"/>
              <w:ind w:left="63" w:right="63"/>
              <w:rPr>
                <w:rFonts w:eastAsia="仿宋_GB2312"/>
                <w:color w:val="auto"/>
                <w:sz w:val="30"/>
                <w:szCs w:val="30"/>
              </w:rPr>
            </w:pPr>
          </w:p>
        </w:tc>
        <w:tc>
          <w:tcPr>
            <w:tcW w:w="1020" w:type="dxa"/>
            <w:vAlign w:val="center"/>
          </w:tcPr>
          <w:p w14:paraId="78759F4F">
            <w:pPr>
              <w:pStyle w:val="2"/>
              <w:keepNext/>
              <w:spacing w:after="0" w:line="440" w:lineRule="exact"/>
              <w:ind w:left="63" w:right="63"/>
              <w:rPr>
                <w:rFonts w:eastAsia="仿宋_GB2312"/>
                <w:color w:val="auto"/>
                <w:sz w:val="30"/>
                <w:szCs w:val="30"/>
              </w:rPr>
            </w:pPr>
          </w:p>
        </w:tc>
        <w:tc>
          <w:tcPr>
            <w:tcW w:w="921" w:type="dxa"/>
            <w:vAlign w:val="center"/>
          </w:tcPr>
          <w:p w14:paraId="536D824C">
            <w:pPr>
              <w:pStyle w:val="2"/>
              <w:keepNext/>
              <w:spacing w:after="0" w:line="440" w:lineRule="exact"/>
              <w:ind w:left="63" w:right="63"/>
              <w:rPr>
                <w:rFonts w:eastAsia="仿宋_GB2312"/>
                <w:color w:val="auto"/>
                <w:sz w:val="30"/>
                <w:szCs w:val="30"/>
              </w:rPr>
            </w:pPr>
          </w:p>
        </w:tc>
      </w:tr>
      <w:tr w14:paraId="2268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736A2AF">
            <w:pPr>
              <w:pStyle w:val="2"/>
              <w:keepNext/>
              <w:spacing w:after="0" w:line="440" w:lineRule="exact"/>
              <w:ind w:left="63" w:right="63"/>
              <w:rPr>
                <w:rFonts w:eastAsia="仿宋_GB2312"/>
                <w:color w:val="auto"/>
                <w:sz w:val="30"/>
                <w:szCs w:val="30"/>
              </w:rPr>
            </w:pPr>
          </w:p>
        </w:tc>
        <w:tc>
          <w:tcPr>
            <w:tcW w:w="1418" w:type="dxa"/>
            <w:vAlign w:val="center"/>
          </w:tcPr>
          <w:p w14:paraId="360C053E">
            <w:pPr>
              <w:pStyle w:val="2"/>
              <w:keepNext/>
              <w:spacing w:after="0" w:line="440" w:lineRule="exact"/>
              <w:ind w:left="63" w:right="63"/>
              <w:rPr>
                <w:rFonts w:eastAsia="仿宋_GB2312"/>
                <w:color w:val="auto"/>
                <w:sz w:val="30"/>
                <w:szCs w:val="30"/>
              </w:rPr>
            </w:pPr>
          </w:p>
        </w:tc>
        <w:tc>
          <w:tcPr>
            <w:tcW w:w="850" w:type="dxa"/>
            <w:vAlign w:val="center"/>
          </w:tcPr>
          <w:p w14:paraId="0631E40F">
            <w:pPr>
              <w:pStyle w:val="2"/>
              <w:keepNext/>
              <w:spacing w:after="0" w:line="440" w:lineRule="exact"/>
              <w:ind w:left="63" w:right="63"/>
              <w:rPr>
                <w:rFonts w:eastAsia="仿宋_GB2312"/>
                <w:color w:val="auto"/>
                <w:sz w:val="30"/>
                <w:szCs w:val="30"/>
              </w:rPr>
            </w:pPr>
          </w:p>
        </w:tc>
        <w:tc>
          <w:tcPr>
            <w:tcW w:w="1058" w:type="dxa"/>
            <w:vAlign w:val="center"/>
          </w:tcPr>
          <w:p w14:paraId="4306C055">
            <w:pPr>
              <w:pStyle w:val="2"/>
              <w:keepNext/>
              <w:spacing w:after="0" w:line="440" w:lineRule="exact"/>
              <w:ind w:left="63" w:right="63"/>
              <w:rPr>
                <w:rFonts w:eastAsia="仿宋_GB2312"/>
                <w:color w:val="auto"/>
                <w:sz w:val="30"/>
                <w:szCs w:val="30"/>
              </w:rPr>
            </w:pPr>
          </w:p>
        </w:tc>
        <w:tc>
          <w:tcPr>
            <w:tcW w:w="880" w:type="dxa"/>
            <w:vAlign w:val="center"/>
          </w:tcPr>
          <w:p w14:paraId="750D4F26">
            <w:pPr>
              <w:pStyle w:val="2"/>
              <w:keepNext/>
              <w:spacing w:after="0" w:line="440" w:lineRule="exact"/>
              <w:ind w:left="63" w:right="63"/>
              <w:rPr>
                <w:rFonts w:eastAsia="仿宋_GB2312"/>
                <w:color w:val="auto"/>
                <w:sz w:val="30"/>
                <w:szCs w:val="30"/>
              </w:rPr>
            </w:pPr>
          </w:p>
        </w:tc>
        <w:tc>
          <w:tcPr>
            <w:tcW w:w="1020" w:type="dxa"/>
            <w:vAlign w:val="center"/>
          </w:tcPr>
          <w:p w14:paraId="1AA24F95">
            <w:pPr>
              <w:pStyle w:val="2"/>
              <w:keepNext/>
              <w:spacing w:after="0" w:line="440" w:lineRule="exact"/>
              <w:ind w:left="63" w:right="63"/>
              <w:rPr>
                <w:rFonts w:eastAsia="仿宋_GB2312"/>
                <w:color w:val="auto"/>
                <w:sz w:val="30"/>
                <w:szCs w:val="30"/>
              </w:rPr>
            </w:pPr>
          </w:p>
        </w:tc>
        <w:tc>
          <w:tcPr>
            <w:tcW w:w="1480" w:type="dxa"/>
            <w:vAlign w:val="center"/>
          </w:tcPr>
          <w:p w14:paraId="5FD3B475">
            <w:pPr>
              <w:pStyle w:val="2"/>
              <w:keepNext/>
              <w:spacing w:after="0" w:line="440" w:lineRule="exact"/>
              <w:ind w:left="63" w:right="63"/>
              <w:rPr>
                <w:rFonts w:eastAsia="仿宋_GB2312"/>
                <w:color w:val="auto"/>
                <w:sz w:val="30"/>
                <w:szCs w:val="30"/>
              </w:rPr>
            </w:pPr>
          </w:p>
        </w:tc>
        <w:tc>
          <w:tcPr>
            <w:tcW w:w="1020" w:type="dxa"/>
            <w:vAlign w:val="center"/>
          </w:tcPr>
          <w:p w14:paraId="57BEE896">
            <w:pPr>
              <w:pStyle w:val="2"/>
              <w:keepNext/>
              <w:spacing w:after="0" w:line="440" w:lineRule="exact"/>
              <w:ind w:left="63" w:right="63"/>
              <w:rPr>
                <w:rFonts w:eastAsia="仿宋_GB2312"/>
                <w:color w:val="auto"/>
                <w:sz w:val="30"/>
                <w:szCs w:val="30"/>
              </w:rPr>
            </w:pPr>
          </w:p>
        </w:tc>
        <w:tc>
          <w:tcPr>
            <w:tcW w:w="921" w:type="dxa"/>
            <w:vAlign w:val="center"/>
          </w:tcPr>
          <w:p w14:paraId="51ED948A">
            <w:pPr>
              <w:pStyle w:val="2"/>
              <w:keepNext/>
              <w:spacing w:after="0" w:line="440" w:lineRule="exact"/>
              <w:ind w:left="63" w:right="63"/>
              <w:rPr>
                <w:rFonts w:eastAsia="仿宋_GB2312"/>
                <w:color w:val="auto"/>
                <w:sz w:val="30"/>
                <w:szCs w:val="30"/>
              </w:rPr>
            </w:pPr>
          </w:p>
        </w:tc>
      </w:tr>
      <w:tr w14:paraId="76BE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59F07FC">
            <w:pPr>
              <w:pStyle w:val="2"/>
              <w:keepNext/>
              <w:spacing w:after="0" w:line="440" w:lineRule="exact"/>
              <w:ind w:left="63" w:right="63"/>
              <w:rPr>
                <w:rFonts w:eastAsia="仿宋_GB2312"/>
                <w:color w:val="auto"/>
                <w:sz w:val="30"/>
                <w:szCs w:val="30"/>
              </w:rPr>
            </w:pPr>
          </w:p>
        </w:tc>
        <w:tc>
          <w:tcPr>
            <w:tcW w:w="1418" w:type="dxa"/>
            <w:vAlign w:val="center"/>
          </w:tcPr>
          <w:p w14:paraId="11021C2D">
            <w:pPr>
              <w:pStyle w:val="2"/>
              <w:keepNext/>
              <w:spacing w:after="0" w:line="440" w:lineRule="exact"/>
              <w:ind w:left="63" w:right="63"/>
              <w:rPr>
                <w:rFonts w:eastAsia="仿宋_GB2312"/>
                <w:color w:val="auto"/>
                <w:sz w:val="30"/>
                <w:szCs w:val="30"/>
              </w:rPr>
            </w:pPr>
          </w:p>
        </w:tc>
        <w:tc>
          <w:tcPr>
            <w:tcW w:w="850" w:type="dxa"/>
            <w:vAlign w:val="center"/>
          </w:tcPr>
          <w:p w14:paraId="18FFA4B8">
            <w:pPr>
              <w:pStyle w:val="2"/>
              <w:keepNext/>
              <w:spacing w:after="0" w:line="440" w:lineRule="exact"/>
              <w:ind w:left="63" w:right="63"/>
              <w:rPr>
                <w:rFonts w:eastAsia="仿宋_GB2312"/>
                <w:color w:val="auto"/>
                <w:sz w:val="30"/>
                <w:szCs w:val="30"/>
              </w:rPr>
            </w:pPr>
          </w:p>
        </w:tc>
        <w:tc>
          <w:tcPr>
            <w:tcW w:w="1058" w:type="dxa"/>
            <w:vAlign w:val="center"/>
          </w:tcPr>
          <w:p w14:paraId="225EED6E">
            <w:pPr>
              <w:pStyle w:val="2"/>
              <w:keepNext/>
              <w:spacing w:after="0" w:line="440" w:lineRule="exact"/>
              <w:ind w:left="63" w:right="63"/>
              <w:rPr>
                <w:rFonts w:eastAsia="仿宋_GB2312"/>
                <w:color w:val="auto"/>
                <w:sz w:val="30"/>
                <w:szCs w:val="30"/>
              </w:rPr>
            </w:pPr>
          </w:p>
        </w:tc>
        <w:tc>
          <w:tcPr>
            <w:tcW w:w="880" w:type="dxa"/>
            <w:vAlign w:val="center"/>
          </w:tcPr>
          <w:p w14:paraId="2EC74C7C">
            <w:pPr>
              <w:pStyle w:val="2"/>
              <w:keepNext/>
              <w:spacing w:after="0" w:line="440" w:lineRule="exact"/>
              <w:ind w:left="63" w:right="63"/>
              <w:rPr>
                <w:rFonts w:eastAsia="仿宋_GB2312"/>
                <w:color w:val="auto"/>
                <w:sz w:val="30"/>
                <w:szCs w:val="30"/>
              </w:rPr>
            </w:pPr>
          </w:p>
        </w:tc>
        <w:tc>
          <w:tcPr>
            <w:tcW w:w="1020" w:type="dxa"/>
            <w:vAlign w:val="center"/>
          </w:tcPr>
          <w:p w14:paraId="2ECDFB61">
            <w:pPr>
              <w:pStyle w:val="2"/>
              <w:keepNext/>
              <w:spacing w:after="0" w:line="440" w:lineRule="exact"/>
              <w:ind w:left="63" w:right="63"/>
              <w:rPr>
                <w:rFonts w:eastAsia="仿宋_GB2312"/>
                <w:color w:val="auto"/>
                <w:sz w:val="30"/>
                <w:szCs w:val="30"/>
              </w:rPr>
            </w:pPr>
          </w:p>
        </w:tc>
        <w:tc>
          <w:tcPr>
            <w:tcW w:w="1480" w:type="dxa"/>
            <w:vAlign w:val="center"/>
          </w:tcPr>
          <w:p w14:paraId="2F3172E9">
            <w:pPr>
              <w:pStyle w:val="2"/>
              <w:keepNext/>
              <w:spacing w:after="0" w:line="440" w:lineRule="exact"/>
              <w:ind w:left="63" w:right="63"/>
              <w:rPr>
                <w:rFonts w:eastAsia="仿宋_GB2312"/>
                <w:color w:val="auto"/>
                <w:sz w:val="30"/>
                <w:szCs w:val="30"/>
              </w:rPr>
            </w:pPr>
          </w:p>
        </w:tc>
        <w:tc>
          <w:tcPr>
            <w:tcW w:w="1020" w:type="dxa"/>
            <w:vAlign w:val="center"/>
          </w:tcPr>
          <w:p w14:paraId="171210BD">
            <w:pPr>
              <w:pStyle w:val="2"/>
              <w:keepNext/>
              <w:spacing w:after="0" w:line="440" w:lineRule="exact"/>
              <w:ind w:left="63" w:right="63"/>
              <w:rPr>
                <w:rFonts w:eastAsia="仿宋_GB2312"/>
                <w:color w:val="auto"/>
                <w:sz w:val="30"/>
                <w:szCs w:val="30"/>
              </w:rPr>
            </w:pPr>
          </w:p>
        </w:tc>
        <w:tc>
          <w:tcPr>
            <w:tcW w:w="921" w:type="dxa"/>
            <w:vAlign w:val="center"/>
          </w:tcPr>
          <w:p w14:paraId="2B18F010">
            <w:pPr>
              <w:pStyle w:val="2"/>
              <w:keepNext/>
              <w:spacing w:after="0" w:line="440" w:lineRule="exact"/>
              <w:ind w:left="63" w:right="63"/>
              <w:rPr>
                <w:rFonts w:eastAsia="仿宋_GB2312"/>
                <w:color w:val="auto"/>
                <w:sz w:val="30"/>
                <w:szCs w:val="30"/>
              </w:rPr>
            </w:pPr>
          </w:p>
        </w:tc>
      </w:tr>
      <w:tr w14:paraId="67E1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0B4A387">
            <w:pPr>
              <w:pStyle w:val="2"/>
              <w:keepNext/>
              <w:spacing w:after="0" w:line="440" w:lineRule="exact"/>
              <w:ind w:left="63" w:right="63"/>
              <w:rPr>
                <w:rFonts w:eastAsia="仿宋_GB2312"/>
                <w:color w:val="auto"/>
                <w:sz w:val="30"/>
                <w:szCs w:val="30"/>
              </w:rPr>
            </w:pPr>
          </w:p>
        </w:tc>
        <w:tc>
          <w:tcPr>
            <w:tcW w:w="1418" w:type="dxa"/>
            <w:vAlign w:val="center"/>
          </w:tcPr>
          <w:p w14:paraId="2CF22884">
            <w:pPr>
              <w:pStyle w:val="2"/>
              <w:keepNext/>
              <w:spacing w:after="0" w:line="440" w:lineRule="exact"/>
              <w:ind w:left="63" w:right="63"/>
              <w:rPr>
                <w:rFonts w:eastAsia="仿宋_GB2312"/>
                <w:color w:val="auto"/>
                <w:sz w:val="30"/>
                <w:szCs w:val="30"/>
              </w:rPr>
            </w:pPr>
          </w:p>
        </w:tc>
        <w:tc>
          <w:tcPr>
            <w:tcW w:w="850" w:type="dxa"/>
            <w:vAlign w:val="center"/>
          </w:tcPr>
          <w:p w14:paraId="61092BD1">
            <w:pPr>
              <w:pStyle w:val="2"/>
              <w:keepNext/>
              <w:spacing w:after="0" w:line="440" w:lineRule="exact"/>
              <w:ind w:left="63" w:right="63"/>
              <w:rPr>
                <w:rFonts w:eastAsia="仿宋_GB2312"/>
                <w:color w:val="auto"/>
                <w:sz w:val="30"/>
                <w:szCs w:val="30"/>
              </w:rPr>
            </w:pPr>
          </w:p>
        </w:tc>
        <w:tc>
          <w:tcPr>
            <w:tcW w:w="1058" w:type="dxa"/>
            <w:vAlign w:val="center"/>
          </w:tcPr>
          <w:p w14:paraId="37E2CA6E">
            <w:pPr>
              <w:pStyle w:val="2"/>
              <w:keepNext/>
              <w:spacing w:after="0" w:line="440" w:lineRule="exact"/>
              <w:ind w:left="63" w:right="63"/>
              <w:rPr>
                <w:rFonts w:eastAsia="仿宋_GB2312"/>
                <w:color w:val="auto"/>
                <w:sz w:val="30"/>
                <w:szCs w:val="30"/>
              </w:rPr>
            </w:pPr>
          </w:p>
        </w:tc>
        <w:tc>
          <w:tcPr>
            <w:tcW w:w="880" w:type="dxa"/>
            <w:vAlign w:val="center"/>
          </w:tcPr>
          <w:p w14:paraId="127CA37F">
            <w:pPr>
              <w:pStyle w:val="2"/>
              <w:keepNext/>
              <w:spacing w:after="0" w:line="440" w:lineRule="exact"/>
              <w:ind w:left="63" w:right="63"/>
              <w:rPr>
                <w:rFonts w:eastAsia="仿宋_GB2312"/>
                <w:color w:val="auto"/>
                <w:sz w:val="30"/>
                <w:szCs w:val="30"/>
              </w:rPr>
            </w:pPr>
          </w:p>
        </w:tc>
        <w:tc>
          <w:tcPr>
            <w:tcW w:w="1020" w:type="dxa"/>
            <w:vAlign w:val="center"/>
          </w:tcPr>
          <w:p w14:paraId="52990831">
            <w:pPr>
              <w:pStyle w:val="2"/>
              <w:keepNext/>
              <w:spacing w:after="0" w:line="440" w:lineRule="exact"/>
              <w:ind w:left="63" w:right="63"/>
              <w:rPr>
                <w:rFonts w:eastAsia="仿宋_GB2312"/>
                <w:color w:val="auto"/>
                <w:sz w:val="30"/>
                <w:szCs w:val="30"/>
              </w:rPr>
            </w:pPr>
          </w:p>
        </w:tc>
        <w:tc>
          <w:tcPr>
            <w:tcW w:w="1480" w:type="dxa"/>
            <w:vAlign w:val="center"/>
          </w:tcPr>
          <w:p w14:paraId="53DC1D76">
            <w:pPr>
              <w:pStyle w:val="2"/>
              <w:keepNext/>
              <w:spacing w:after="0" w:line="440" w:lineRule="exact"/>
              <w:ind w:left="63" w:right="63"/>
              <w:rPr>
                <w:rFonts w:eastAsia="仿宋_GB2312"/>
                <w:color w:val="auto"/>
                <w:sz w:val="30"/>
                <w:szCs w:val="30"/>
              </w:rPr>
            </w:pPr>
          </w:p>
        </w:tc>
        <w:tc>
          <w:tcPr>
            <w:tcW w:w="1020" w:type="dxa"/>
            <w:vAlign w:val="center"/>
          </w:tcPr>
          <w:p w14:paraId="3E6313A8">
            <w:pPr>
              <w:pStyle w:val="2"/>
              <w:keepNext/>
              <w:spacing w:after="0" w:line="440" w:lineRule="exact"/>
              <w:ind w:left="63" w:right="63"/>
              <w:rPr>
                <w:rFonts w:eastAsia="仿宋_GB2312"/>
                <w:color w:val="auto"/>
                <w:sz w:val="30"/>
                <w:szCs w:val="30"/>
              </w:rPr>
            </w:pPr>
          </w:p>
        </w:tc>
        <w:tc>
          <w:tcPr>
            <w:tcW w:w="921" w:type="dxa"/>
            <w:vAlign w:val="center"/>
          </w:tcPr>
          <w:p w14:paraId="79F5DB0F">
            <w:pPr>
              <w:pStyle w:val="2"/>
              <w:keepNext/>
              <w:spacing w:after="0" w:line="440" w:lineRule="exact"/>
              <w:ind w:left="63" w:right="63"/>
              <w:rPr>
                <w:rFonts w:eastAsia="仿宋_GB2312"/>
                <w:color w:val="auto"/>
                <w:sz w:val="30"/>
                <w:szCs w:val="30"/>
              </w:rPr>
            </w:pPr>
          </w:p>
        </w:tc>
      </w:tr>
      <w:tr w14:paraId="577C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DE1217B">
            <w:pPr>
              <w:pStyle w:val="2"/>
              <w:keepNext/>
              <w:spacing w:after="0" w:line="440" w:lineRule="exact"/>
              <w:ind w:left="63" w:right="63"/>
              <w:rPr>
                <w:rFonts w:eastAsia="仿宋_GB2312"/>
                <w:color w:val="auto"/>
                <w:sz w:val="30"/>
                <w:szCs w:val="30"/>
              </w:rPr>
            </w:pPr>
          </w:p>
        </w:tc>
        <w:tc>
          <w:tcPr>
            <w:tcW w:w="1418" w:type="dxa"/>
            <w:vAlign w:val="center"/>
          </w:tcPr>
          <w:p w14:paraId="20CE55EF">
            <w:pPr>
              <w:pStyle w:val="2"/>
              <w:keepNext/>
              <w:spacing w:after="0" w:line="440" w:lineRule="exact"/>
              <w:ind w:left="63" w:right="63"/>
              <w:rPr>
                <w:rFonts w:eastAsia="仿宋_GB2312"/>
                <w:color w:val="auto"/>
                <w:sz w:val="30"/>
                <w:szCs w:val="30"/>
              </w:rPr>
            </w:pPr>
          </w:p>
        </w:tc>
        <w:tc>
          <w:tcPr>
            <w:tcW w:w="850" w:type="dxa"/>
            <w:vAlign w:val="center"/>
          </w:tcPr>
          <w:p w14:paraId="26C37B08">
            <w:pPr>
              <w:pStyle w:val="2"/>
              <w:keepNext/>
              <w:spacing w:after="0" w:line="440" w:lineRule="exact"/>
              <w:ind w:left="63" w:right="63"/>
              <w:rPr>
                <w:rFonts w:eastAsia="仿宋_GB2312"/>
                <w:color w:val="auto"/>
                <w:sz w:val="30"/>
                <w:szCs w:val="30"/>
              </w:rPr>
            </w:pPr>
          </w:p>
        </w:tc>
        <w:tc>
          <w:tcPr>
            <w:tcW w:w="1058" w:type="dxa"/>
            <w:vAlign w:val="center"/>
          </w:tcPr>
          <w:p w14:paraId="3453A724">
            <w:pPr>
              <w:pStyle w:val="2"/>
              <w:keepNext/>
              <w:spacing w:after="0" w:line="440" w:lineRule="exact"/>
              <w:ind w:left="63" w:right="63"/>
              <w:rPr>
                <w:rFonts w:eastAsia="仿宋_GB2312"/>
                <w:color w:val="auto"/>
                <w:sz w:val="30"/>
                <w:szCs w:val="30"/>
              </w:rPr>
            </w:pPr>
          </w:p>
        </w:tc>
        <w:tc>
          <w:tcPr>
            <w:tcW w:w="880" w:type="dxa"/>
            <w:vAlign w:val="center"/>
          </w:tcPr>
          <w:p w14:paraId="083FE3A0">
            <w:pPr>
              <w:pStyle w:val="2"/>
              <w:keepNext/>
              <w:spacing w:after="0" w:line="440" w:lineRule="exact"/>
              <w:ind w:left="63" w:right="63"/>
              <w:rPr>
                <w:rFonts w:eastAsia="仿宋_GB2312"/>
                <w:color w:val="auto"/>
                <w:sz w:val="30"/>
                <w:szCs w:val="30"/>
              </w:rPr>
            </w:pPr>
          </w:p>
        </w:tc>
        <w:tc>
          <w:tcPr>
            <w:tcW w:w="1020" w:type="dxa"/>
            <w:vAlign w:val="center"/>
          </w:tcPr>
          <w:p w14:paraId="160C38E9">
            <w:pPr>
              <w:pStyle w:val="2"/>
              <w:keepNext/>
              <w:spacing w:after="0" w:line="440" w:lineRule="exact"/>
              <w:ind w:left="63" w:right="63"/>
              <w:rPr>
                <w:rFonts w:eastAsia="仿宋_GB2312"/>
                <w:color w:val="auto"/>
                <w:sz w:val="30"/>
                <w:szCs w:val="30"/>
              </w:rPr>
            </w:pPr>
          </w:p>
        </w:tc>
        <w:tc>
          <w:tcPr>
            <w:tcW w:w="1480" w:type="dxa"/>
            <w:vAlign w:val="center"/>
          </w:tcPr>
          <w:p w14:paraId="6DEFF691">
            <w:pPr>
              <w:pStyle w:val="2"/>
              <w:keepNext/>
              <w:spacing w:after="0" w:line="440" w:lineRule="exact"/>
              <w:ind w:left="63" w:right="63"/>
              <w:rPr>
                <w:rFonts w:eastAsia="仿宋_GB2312"/>
                <w:color w:val="auto"/>
                <w:sz w:val="30"/>
                <w:szCs w:val="30"/>
              </w:rPr>
            </w:pPr>
          </w:p>
        </w:tc>
        <w:tc>
          <w:tcPr>
            <w:tcW w:w="1020" w:type="dxa"/>
            <w:vAlign w:val="center"/>
          </w:tcPr>
          <w:p w14:paraId="29D31429">
            <w:pPr>
              <w:pStyle w:val="2"/>
              <w:keepNext/>
              <w:spacing w:after="0" w:line="440" w:lineRule="exact"/>
              <w:ind w:left="63" w:right="63"/>
              <w:rPr>
                <w:rFonts w:eastAsia="仿宋_GB2312"/>
                <w:color w:val="auto"/>
                <w:sz w:val="30"/>
                <w:szCs w:val="30"/>
              </w:rPr>
            </w:pPr>
          </w:p>
        </w:tc>
        <w:tc>
          <w:tcPr>
            <w:tcW w:w="921" w:type="dxa"/>
            <w:vAlign w:val="center"/>
          </w:tcPr>
          <w:p w14:paraId="21B9298F">
            <w:pPr>
              <w:pStyle w:val="2"/>
              <w:keepNext/>
              <w:spacing w:after="0" w:line="440" w:lineRule="exact"/>
              <w:ind w:left="63" w:right="63"/>
              <w:rPr>
                <w:rFonts w:eastAsia="仿宋_GB2312"/>
                <w:color w:val="auto"/>
                <w:sz w:val="30"/>
                <w:szCs w:val="30"/>
              </w:rPr>
            </w:pPr>
          </w:p>
        </w:tc>
      </w:tr>
      <w:tr w14:paraId="76F8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067C338">
            <w:pPr>
              <w:pStyle w:val="2"/>
              <w:keepNext/>
              <w:spacing w:after="0" w:line="440" w:lineRule="exact"/>
              <w:ind w:left="63" w:right="63"/>
              <w:rPr>
                <w:rFonts w:eastAsia="仿宋_GB2312"/>
                <w:color w:val="auto"/>
                <w:sz w:val="30"/>
                <w:szCs w:val="30"/>
              </w:rPr>
            </w:pPr>
          </w:p>
        </w:tc>
        <w:tc>
          <w:tcPr>
            <w:tcW w:w="1418" w:type="dxa"/>
            <w:vAlign w:val="center"/>
          </w:tcPr>
          <w:p w14:paraId="37B92525">
            <w:pPr>
              <w:pStyle w:val="2"/>
              <w:keepNext/>
              <w:spacing w:after="0" w:line="440" w:lineRule="exact"/>
              <w:ind w:left="63" w:right="63"/>
              <w:rPr>
                <w:rFonts w:eastAsia="仿宋_GB2312"/>
                <w:color w:val="auto"/>
                <w:sz w:val="30"/>
                <w:szCs w:val="30"/>
              </w:rPr>
            </w:pPr>
          </w:p>
        </w:tc>
        <w:tc>
          <w:tcPr>
            <w:tcW w:w="850" w:type="dxa"/>
            <w:vAlign w:val="center"/>
          </w:tcPr>
          <w:p w14:paraId="54D2C233">
            <w:pPr>
              <w:pStyle w:val="2"/>
              <w:keepNext/>
              <w:spacing w:after="0" w:line="440" w:lineRule="exact"/>
              <w:ind w:left="63" w:right="63"/>
              <w:rPr>
                <w:rFonts w:eastAsia="仿宋_GB2312"/>
                <w:color w:val="auto"/>
                <w:sz w:val="30"/>
                <w:szCs w:val="30"/>
              </w:rPr>
            </w:pPr>
          </w:p>
        </w:tc>
        <w:tc>
          <w:tcPr>
            <w:tcW w:w="1058" w:type="dxa"/>
            <w:vAlign w:val="center"/>
          </w:tcPr>
          <w:p w14:paraId="3470FC7D">
            <w:pPr>
              <w:pStyle w:val="2"/>
              <w:keepNext/>
              <w:spacing w:after="0" w:line="440" w:lineRule="exact"/>
              <w:ind w:left="63" w:right="63"/>
              <w:rPr>
                <w:rFonts w:eastAsia="仿宋_GB2312"/>
                <w:color w:val="auto"/>
                <w:sz w:val="30"/>
                <w:szCs w:val="30"/>
              </w:rPr>
            </w:pPr>
          </w:p>
        </w:tc>
        <w:tc>
          <w:tcPr>
            <w:tcW w:w="880" w:type="dxa"/>
            <w:vAlign w:val="center"/>
          </w:tcPr>
          <w:p w14:paraId="6D9318B4">
            <w:pPr>
              <w:pStyle w:val="2"/>
              <w:keepNext/>
              <w:spacing w:after="0" w:line="440" w:lineRule="exact"/>
              <w:ind w:left="63" w:right="63"/>
              <w:rPr>
                <w:rFonts w:eastAsia="仿宋_GB2312"/>
                <w:color w:val="auto"/>
                <w:sz w:val="30"/>
                <w:szCs w:val="30"/>
              </w:rPr>
            </w:pPr>
          </w:p>
        </w:tc>
        <w:tc>
          <w:tcPr>
            <w:tcW w:w="1020" w:type="dxa"/>
            <w:vAlign w:val="center"/>
          </w:tcPr>
          <w:p w14:paraId="3F27B4AA">
            <w:pPr>
              <w:pStyle w:val="2"/>
              <w:keepNext/>
              <w:spacing w:after="0" w:line="440" w:lineRule="exact"/>
              <w:ind w:left="63" w:right="63"/>
              <w:rPr>
                <w:rFonts w:eastAsia="仿宋_GB2312"/>
                <w:color w:val="auto"/>
                <w:sz w:val="30"/>
                <w:szCs w:val="30"/>
              </w:rPr>
            </w:pPr>
          </w:p>
        </w:tc>
        <w:tc>
          <w:tcPr>
            <w:tcW w:w="1480" w:type="dxa"/>
            <w:vAlign w:val="center"/>
          </w:tcPr>
          <w:p w14:paraId="714AC096">
            <w:pPr>
              <w:pStyle w:val="2"/>
              <w:keepNext/>
              <w:spacing w:after="0" w:line="440" w:lineRule="exact"/>
              <w:ind w:left="63" w:right="63"/>
              <w:rPr>
                <w:rFonts w:eastAsia="仿宋_GB2312"/>
                <w:color w:val="auto"/>
                <w:sz w:val="30"/>
                <w:szCs w:val="30"/>
              </w:rPr>
            </w:pPr>
          </w:p>
        </w:tc>
        <w:tc>
          <w:tcPr>
            <w:tcW w:w="1020" w:type="dxa"/>
            <w:vAlign w:val="center"/>
          </w:tcPr>
          <w:p w14:paraId="5BCB2ABC">
            <w:pPr>
              <w:pStyle w:val="2"/>
              <w:keepNext/>
              <w:spacing w:after="0" w:line="440" w:lineRule="exact"/>
              <w:ind w:left="63" w:right="63"/>
              <w:rPr>
                <w:rFonts w:eastAsia="仿宋_GB2312"/>
                <w:color w:val="auto"/>
                <w:sz w:val="30"/>
                <w:szCs w:val="30"/>
              </w:rPr>
            </w:pPr>
          </w:p>
        </w:tc>
        <w:tc>
          <w:tcPr>
            <w:tcW w:w="921" w:type="dxa"/>
            <w:vAlign w:val="center"/>
          </w:tcPr>
          <w:p w14:paraId="1C334C09">
            <w:pPr>
              <w:pStyle w:val="2"/>
              <w:keepNext/>
              <w:spacing w:after="0" w:line="440" w:lineRule="exact"/>
              <w:ind w:left="63" w:right="63"/>
              <w:rPr>
                <w:rFonts w:eastAsia="仿宋_GB2312"/>
                <w:color w:val="auto"/>
                <w:sz w:val="30"/>
                <w:szCs w:val="30"/>
              </w:rPr>
            </w:pPr>
          </w:p>
        </w:tc>
      </w:tr>
      <w:tr w14:paraId="79B6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DC489AB">
            <w:pPr>
              <w:rPr>
                <w:rFonts w:eastAsia="仿宋_GB2312"/>
                <w:color w:val="auto"/>
                <w:sz w:val="30"/>
                <w:szCs w:val="30"/>
              </w:rPr>
            </w:pPr>
          </w:p>
        </w:tc>
        <w:tc>
          <w:tcPr>
            <w:tcW w:w="1418" w:type="dxa"/>
          </w:tcPr>
          <w:p w14:paraId="37E246E7">
            <w:pPr>
              <w:rPr>
                <w:rFonts w:eastAsia="仿宋_GB2312"/>
                <w:color w:val="auto"/>
                <w:sz w:val="30"/>
                <w:szCs w:val="30"/>
              </w:rPr>
            </w:pPr>
          </w:p>
        </w:tc>
        <w:tc>
          <w:tcPr>
            <w:tcW w:w="850" w:type="dxa"/>
          </w:tcPr>
          <w:p w14:paraId="7EC6E754">
            <w:pPr>
              <w:rPr>
                <w:rFonts w:eastAsia="仿宋_GB2312"/>
                <w:color w:val="auto"/>
                <w:sz w:val="30"/>
                <w:szCs w:val="30"/>
              </w:rPr>
            </w:pPr>
          </w:p>
        </w:tc>
        <w:tc>
          <w:tcPr>
            <w:tcW w:w="1058" w:type="dxa"/>
          </w:tcPr>
          <w:p w14:paraId="2FA5726F">
            <w:pPr>
              <w:rPr>
                <w:rFonts w:eastAsia="仿宋_GB2312"/>
                <w:color w:val="auto"/>
                <w:sz w:val="30"/>
                <w:szCs w:val="30"/>
              </w:rPr>
            </w:pPr>
          </w:p>
        </w:tc>
        <w:tc>
          <w:tcPr>
            <w:tcW w:w="880" w:type="dxa"/>
          </w:tcPr>
          <w:p w14:paraId="7923DBF8">
            <w:pPr>
              <w:rPr>
                <w:rFonts w:eastAsia="仿宋_GB2312"/>
                <w:color w:val="auto"/>
                <w:sz w:val="30"/>
                <w:szCs w:val="30"/>
              </w:rPr>
            </w:pPr>
          </w:p>
        </w:tc>
        <w:tc>
          <w:tcPr>
            <w:tcW w:w="1020" w:type="dxa"/>
          </w:tcPr>
          <w:p w14:paraId="6FBABC84">
            <w:pPr>
              <w:rPr>
                <w:rFonts w:eastAsia="仿宋_GB2312"/>
                <w:color w:val="auto"/>
                <w:sz w:val="30"/>
                <w:szCs w:val="30"/>
              </w:rPr>
            </w:pPr>
          </w:p>
        </w:tc>
        <w:tc>
          <w:tcPr>
            <w:tcW w:w="1480" w:type="dxa"/>
          </w:tcPr>
          <w:p w14:paraId="69DF04DE">
            <w:pPr>
              <w:rPr>
                <w:rFonts w:eastAsia="仿宋_GB2312"/>
                <w:color w:val="auto"/>
                <w:sz w:val="30"/>
                <w:szCs w:val="30"/>
              </w:rPr>
            </w:pPr>
          </w:p>
        </w:tc>
        <w:tc>
          <w:tcPr>
            <w:tcW w:w="1020" w:type="dxa"/>
          </w:tcPr>
          <w:p w14:paraId="2BCAAEA9">
            <w:pPr>
              <w:rPr>
                <w:rFonts w:eastAsia="仿宋_GB2312"/>
                <w:color w:val="auto"/>
                <w:sz w:val="30"/>
                <w:szCs w:val="30"/>
              </w:rPr>
            </w:pPr>
          </w:p>
        </w:tc>
        <w:tc>
          <w:tcPr>
            <w:tcW w:w="921" w:type="dxa"/>
          </w:tcPr>
          <w:p w14:paraId="199B6675">
            <w:pPr>
              <w:rPr>
                <w:rFonts w:eastAsia="仿宋_GB2312"/>
                <w:color w:val="auto"/>
                <w:sz w:val="30"/>
                <w:szCs w:val="30"/>
              </w:rPr>
            </w:pPr>
          </w:p>
        </w:tc>
      </w:tr>
      <w:tr w14:paraId="095B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4B08C48">
            <w:pPr>
              <w:pStyle w:val="2"/>
              <w:keepNext/>
              <w:spacing w:after="0" w:line="440" w:lineRule="exact"/>
              <w:ind w:left="63" w:right="63"/>
              <w:rPr>
                <w:rFonts w:eastAsia="仿宋_GB2312"/>
                <w:color w:val="auto"/>
                <w:sz w:val="30"/>
                <w:szCs w:val="30"/>
              </w:rPr>
            </w:pPr>
          </w:p>
        </w:tc>
        <w:tc>
          <w:tcPr>
            <w:tcW w:w="1418" w:type="dxa"/>
            <w:vAlign w:val="center"/>
          </w:tcPr>
          <w:p w14:paraId="6402847D">
            <w:pPr>
              <w:pStyle w:val="2"/>
              <w:keepNext/>
              <w:spacing w:after="0" w:line="440" w:lineRule="exact"/>
              <w:ind w:left="63" w:right="63"/>
              <w:rPr>
                <w:rFonts w:eastAsia="仿宋_GB2312"/>
                <w:color w:val="auto"/>
                <w:sz w:val="30"/>
                <w:szCs w:val="30"/>
              </w:rPr>
            </w:pPr>
          </w:p>
        </w:tc>
        <w:tc>
          <w:tcPr>
            <w:tcW w:w="850" w:type="dxa"/>
            <w:vAlign w:val="center"/>
          </w:tcPr>
          <w:p w14:paraId="4FA1A38C">
            <w:pPr>
              <w:pStyle w:val="2"/>
              <w:keepNext/>
              <w:spacing w:after="0" w:line="440" w:lineRule="exact"/>
              <w:ind w:left="63" w:right="63"/>
              <w:rPr>
                <w:rFonts w:eastAsia="仿宋_GB2312"/>
                <w:color w:val="auto"/>
                <w:sz w:val="30"/>
                <w:szCs w:val="30"/>
              </w:rPr>
            </w:pPr>
          </w:p>
        </w:tc>
        <w:tc>
          <w:tcPr>
            <w:tcW w:w="1058" w:type="dxa"/>
            <w:vAlign w:val="center"/>
          </w:tcPr>
          <w:p w14:paraId="070C2088">
            <w:pPr>
              <w:pStyle w:val="2"/>
              <w:keepNext/>
              <w:spacing w:after="0" w:line="440" w:lineRule="exact"/>
              <w:ind w:left="63" w:right="63"/>
              <w:rPr>
                <w:rFonts w:eastAsia="仿宋_GB2312"/>
                <w:color w:val="auto"/>
                <w:sz w:val="30"/>
                <w:szCs w:val="30"/>
              </w:rPr>
            </w:pPr>
          </w:p>
        </w:tc>
        <w:tc>
          <w:tcPr>
            <w:tcW w:w="880" w:type="dxa"/>
            <w:vAlign w:val="center"/>
          </w:tcPr>
          <w:p w14:paraId="7748BFBE">
            <w:pPr>
              <w:pStyle w:val="2"/>
              <w:keepNext/>
              <w:spacing w:after="0" w:line="440" w:lineRule="exact"/>
              <w:ind w:left="63" w:right="63"/>
              <w:rPr>
                <w:rFonts w:eastAsia="仿宋_GB2312"/>
                <w:color w:val="auto"/>
                <w:sz w:val="30"/>
                <w:szCs w:val="30"/>
              </w:rPr>
            </w:pPr>
          </w:p>
        </w:tc>
        <w:tc>
          <w:tcPr>
            <w:tcW w:w="1020" w:type="dxa"/>
            <w:vAlign w:val="center"/>
          </w:tcPr>
          <w:p w14:paraId="3CF0E106">
            <w:pPr>
              <w:pStyle w:val="2"/>
              <w:keepNext/>
              <w:spacing w:after="0" w:line="440" w:lineRule="exact"/>
              <w:ind w:left="63" w:right="63"/>
              <w:rPr>
                <w:rFonts w:eastAsia="仿宋_GB2312"/>
                <w:color w:val="auto"/>
                <w:sz w:val="30"/>
                <w:szCs w:val="30"/>
              </w:rPr>
            </w:pPr>
          </w:p>
        </w:tc>
        <w:tc>
          <w:tcPr>
            <w:tcW w:w="1480" w:type="dxa"/>
            <w:vAlign w:val="center"/>
          </w:tcPr>
          <w:p w14:paraId="7FF56689">
            <w:pPr>
              <w:pStyle w:val="2"/>
              <w:keepNext/>
              <w:spacing w:after="0" w:line="440" w:lineRule="exact"/>
              <w:ind w:left="63" w:right="63"/>
              <w:rPr>
                <w:rFonts w:eastAsia="仿宋_GB2312"/>
                <w:color w:val="auto"/>
                <w:sz w:val="30"/>
                <w:szCs w:val="30"/>
              </w:rPr>
            </w:pPr>
          </w:p>
        </w:tc>
        <w:tc>
          <w:tcPr>
            <w:tcW w:w="1020" w:type="dxa"/>
            <w:vAlign w:val="center"/>
          </w:tcPr>
          <w:p w14:paraId="046BA14A">
            <w:pPr>
              <w:pStyle w:val="2"/>
              <w:keepNext/>
              <w:spacing w:after="0" w:line="440" w:lineRule="exact"/>
              <w:ind w:left="63" w:right="63"/>
              <w:rPr>
                <w:rFonts w:eastAsia="仿宋_GB2312"/>
                <w:color w:val="auto"/>
                <w:sz w:val="30"/>
                <w:szCs w:val="30"/>
              </w:rPr>
            </w:pPr>
          </w:p>
        </w:tc>
        <w:tc>
          <w:tcPr>
            <w:tcW w:w="921" w:type="dxa"/>
            <w:vAlign w:val="center"/>
          </w:tcPr>
          <w:p w14:paraId="30174FC0">
            <w:pPr>
              <w:pStyle w:val="2"/>
              <w:keepNext/>
              <w:spacing w:after="0" w:line="440" w:lineRule="exact"/>
              <w:ind w:left="63" w:right="63"/>
              <w:rPr>
                <w:rFonts w:eastAsia="仿宋_GB2312"/>
                <w:color w:val="auto"/>
                <w:sz w:val="30"/>
                <w:szCs w:val="30"/>
              </w:rPr>
            </w:pPr>
          </w:p>
        </w:tc>
      </w:tr>
      <w:tr w14:paraId="1F9B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03CD3DE">
            <w:pPr>
              <w:rPr>
                <w:rFonts w:eastAsia="仿宋_GB2312"/>
                <w:color w:val="auto"/>
                <w:sz w:val="30"/>
                <w:szCs w:val="30"/>
              </w:rPr>
            </w:pPr>
          </w:p>
        </w:tc>
        <w:tc>
          <w:tcPr>
            <w:tcW w:w="1418" w:type="dxa"/>
          </w:tcPr>
          <w:p w14:paraId="0898971C">
            <w:pPr>
              <w:rPr>
                <w:rFonts w:eastAsia="仿宋_GB2312"/>
                <w:color w:val="auto"/>
                <w:sz w:val="30"/>
                <w:szCs w:val="30"/>
              </w:rPr>
            </w:pPr>
          </w:p>
        </w:tc>
        <w:tc>
          <w:tcPr>
            <w:tcW w:w="850" w:type="dxa"/>
          </w:tcPr>
          <w:p w14:paraId="60E9CE22">
            <w:pPr>
              <w:rPr>
                <w:rFonts w:eastAsia="仿宋_GB2312"/>
                <w:color w:val="auto"/>
                <w:sz w:val="30"/>
                <w:szCs w:val="30"/>
              </w:rPr>
            </w:pPr>
          </w:p>
        </w:tc>
        <w:tc>
          <w:tcPr>
            <w:tcW w:w="1058" w:type="dxa"/>
          </w:tcPr>
          <w:p w14:paraId="0495DAB4">
            <w:pPr>
              <w:rPr>
                <w:rFonts w:eastAsia="仿宋_GB2312"/>
                <w:color w:val="auto"/>
                <w:sz w:val="30"/>
                <w:szCs w:val="30"/>
              </w:rPr>
            </w:pPr>
          </w:p>
        </w:tc>
        <w:tc>
          <w:tcPr>
            <w:tcW w:w="880" w:type="dxa"/>
          </w:tcPr>
          <w:p w14:paraId="03F3D188">
            <w:pPr>
              <w:rPr>
                <w:rFonts w:eastAsia="仿宋_GB2312"/>
                <w:color w:val="auto"/>
                <w:sz w:val="30"/>
                <w:szCs w:val="30"/>
              </w:rPr>
            </w:pPr>
          </w:p>
        </w:tc>
        <w:tc>
          <w:tcPr>
            <w:tcW w:w="1020" w:type="dxa"/>
          </w:tcPr>
          <w:p w14:paraId="3BBA1357">
            <w:pPr>
              <w:rPr>
                <w:rFonts w:eastAsia="仿宋_GB2312"/>
                <w:color w:val="auto"/>
                <w:sz w:val="30"/>
                <w:szCs w:val="30"/>
              </w:rPr>
            </w:pPr>
          </w:p>
        </w:tc>
        <w:tc>
          <w:tcPr>
            <w:tcW w:w="1480" w:type="dxa"/>
          </w:tcPr>
          <w:p w14:paraId="6C84CEA3">
            <w:pPr>
              <w:rPr>
                <w:rFonts w:eastAsia="仿宋_GB2312"/>
                <w:color w:val="auto"/>
                <w:sz w:val="30"/>
                <w:szCs w:val="30"/>
              </w:rPr>
            </w:pPr>
          </w:p>
        </w:tc>
        <w:tc>
          <w:tcPr>
            <w:tcW w:w="1020" w:type="dxa"/>
          </w:tcPr>
          <w:p w14:paraId="3DF841D8">
            <w:pPr>
              <w:rPr>
                <w:rFonts w:eastAsia="仿宋_GB2312"/>
                <w:color w:val="auto"/>
                <w:sz w:val="30"/>
                <w:szCs w:val="30"/>
              </w:rPr>
            </w:pPr>
          </w:p>
        </w:tc>
        <w:tc>
          <w:tcPr>
            <w:tcW w:w="921" w:type="dxa"/>
          </w:tcPr>
          <w:p w14:paraId="7802D468">
            <w:pPr>
              <w:rPr>
                <w:rFonts w:eastAsia="仿宋_GB2312"/>
                <w:color w:val="auto"/>
                <w:sz w:val="30"/>
                <w:szCs w:val="30"/>
              </w:rPr>
            </w:pPr>
          </w:p>
        </w:tc>
      </w:tr>
      <w:tr w14:paraId="06EC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D2D645D">
            <w:pPr>
              <w:rPr>
                <w:rFonts w:eastAsia="仿宋_GB2312"/>
                <w:color w:val="auto"/>
                <w:sz w:val="30"/>
                <w:szCs w:val="30"/>
              </w:rPr>
            </w:pPr>
          </w:p>
        </w:tc>
        <w:tc>
          <w:tcPr>
            <w:tcW w:w="1418" w:type="dxa"/>
          </w:tcPr>
          <w:p w14:paraId="41701B74">
            <w:pPr>
              <w:rPr>
                <w:rFonts w:eastAsia="仿宋_GB2312"/>
                <w:color w:val="auto"/>
                <w:sz w:val="30"/>
                <w:szCs w:val="30"/>
              </w:rPr>
            </w:pPr>
          </w:p>
        </w:tc>
        <w:tc>
          <w:tcPr>
            <w:tcW w:w="850" w:type="dxa"/>
          </w:tcPr>
          <w:p w14:paraId="04D9F88D">
            <w:pPr>
              <w:rPr>
                <w:rFonts w:eastAsia="仿宋_GB2312"/>
                <w:color w:val="auto"/>
                <w:sz w:val="30"/>
                <w:szCs w:val="30"/>
              </w:rPr>
            </w:pPr>
          </w:p>
        </w:tc>
        <w:tc>
          <w:tcPr>
            <w:tcW w:w="1058" w:type="dxa"/>
          </w:tcPr>
          <w:p w14:paraId="3920F0AC">
            <w:pPr>
              <w:rPr>
                <w:rFonts w:eastAsia="仿宋_GB2312"/>
                <w:color w:val="auto"/>
                <w:sz w:val="30"/>
                <w:szCs w:val="30"/>
              </w:rPr>
            </w:pPr>
          </w:p>
        </w:tc>
        <w:tc>
          <w:tcPr>
            <w:tcW w:w="880" w:type="dxa"/>
          </w:tcPr>
          <w:p w14:paraId="3FBDB9D8">
            <w:pPr>
              <w:rPr>
                <w:rFonts w:eastAsia="仿宋_GB2312"/>
                <w:color w:val="auto"/>
                <w:sz w:val="30"/>
                <w:szCs w:val="30"/>
              </w:rPr>
            </w:pPr>
          </w:p>
        </w:tc>
        <w:tc>
          <w:tcPr>
            <w:tcW w:w="1020" w:type="dxa"/>
          </w:tcPr>
          <w:p w14:paraId="6C8F789F">
            <w:pPr>
              <w:rPr>
                <w:rFonts w:eastAsia="仿宋_GB2312"/>
                <w:color w:val="auto"/>
                <w:sz w:val="30"/>
                <w:szCs w:val="30"/>
              </w:rPr>
            </w:pPr>
          </w:p>
        </w:tc>
        <w:tc>
          <w:tcPr>
            <w:tcW w:w="1480" w:type="dxa"/>
          </w:tcPr>
          <w:p w14:paraId="57134DD7">
            <w:pPr>
              <w:rPr>
                <w:rFonts w:eastAsia="仿宋_GB2312"/>
                <w:color w:val="auto"/>
                <w:sz w:val="30"/>
                <w:szCs w:val="30"/>
              </w:rPr>
            </w:pPr>
          </w:p>
        </w:tc>
        <w:tc>
          <w:tcPr>
            <w:tcW w:w="1020" w:type="dxa"/>
          </w:tcPr>
          <w:p w14:paraId="1A9E2878">
            <w:pPr>
              <w:rPr>
                <w:rFonts w:eastAsia="仿宋_GB2312"/>
                <w:color w:val="auto"/>
                <w:sz w:val="30"/>
                <w:szCs w:val="30"/>
              </w:rPr>
            </w:pPr>
          </w:p>
        </w:tc>
        <w:tc>
          <w:tcPr>
            <w:tcW w:w="921" w:type="dxa"/>
          </w:tcPr>
          <w:p w14:paraId="408344A2">
            <w:pPr>
              <w:rPr>
                <w:rFonts w:eastAsia="仿宋_GB2312"/>
                <w:color w:val="auto"/>
                <w:sz w:val="30"/>
                <w:szCs w:val="30"/>
              </w:rPr>
            </w:pPr>
          </w:p>
        </w:tc>
      </w:tr>
      <w:tr w14:paraId="7B42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4B9F237">
            <w:pPr>
              <w:rPr>
                <w:rFonts w:eastAsia="仿宋_GB2312"/>
                <w:color w:val="auto"/>
                <w:sz w:val="30"/>
                <w:szCs w:val="30"/>
              </w:rPr>
            </w:pPr>
          </w:p>
        </w:tc>
        <w:tc>
          <w:tcPr>
            <w:tcW w:w="1418" w:type="dxa"/>
          </w:tcPr>
          <w:p w14:paraId="2C8E13A7">
            <w:pPr>
              <w:rPr>
                <w:rFonts w:eastAsia="仿宋_GB2312"/>
                <w:color w:val="auto"/>
                <w:sz w:val="30"/>
                <w:szCs w:val="30"/>
              </w:rPr>
            </w:pPr>
          </w:p>
        </w:tc>
        <w:tc>
          <w:tcPr>
            <w:tcW w:w="850" w:type="dxa"/>
          </w:tcPr>
          <w:p w14:paraId="6194C82E">
            <w:pPr>
              <w:rPr>
                <w:rFonts w:eastAsia="仿宋_GB2312"/>
                <w:color w:val="auto"/>
                <w:sz w:val="30"/>
                <w:szCs w:val="30"/>
              </w:rPr>
            </w:pPr>
          </w:p>
        </w:tc>
        <w:tc>
          <w:tcPr>
            <w:tcW w:w="1058" w:type="dxa"/>
          </w:tcPr>
          <w:p w14:paraId="23D076BD">
            <w:pPr>
              <w:rPr>
                <w:rFonts w:eastAsia="仿宋_GB2312"/>
                <w:color w:val="auto"/>
                <w:sz w:val="30"/>
                <w:szCs w:val="30"/>
              </w:rPr>
            </w:pPr>
          </w:p>
        </w:tc>
        <w:tc>
          <w:tcPr>
            <w:tcW w:w="880" w:type="dxa"/>
          </w:tcPr>
          <w:p w14:paraId="0F67E4F7">
            <w:pPr>
              <w:rPr>
                <w:rFonts w:eastAsia="仿宋_GB2312"/>
                <w:color w:val="auto"/>
                <w:sz w:val="30"/>
                <w:szCs w:val="30"/>
              </w:rPr>
            </w:pPr>
          </w:p>
        </w:tc>
        <w:tc>
          <w:tcPr>
            <w:tcW w:w="1020" w:type="dxa"/>
          </w:tcPr>
          <w:p w14:paraId="1FC782F7">
            <w:pPr>
              <w:rPr>
                <w:rFonts w:eastAsia="仿宋_GB2312"/>
                <w:color w:val="auto"/>
                <w:sz w:val="30"/>
                <w:szCs w:val="30"/>
              </w:rPr>
            </w:pPr>
          </w:p>
        </w:tc>
        <w:tc>
          <w:tcPr>
            <w:tcW w:w="1480" w:type="dxa"/>
          </w:tcPr>
          <w:p w14:paraId="43F81027">
            <w:pPr>
              <w:rPr>
                <w:rFonts w:eastAsia="仿宋_GB2312"/>
                <w:color w:val="auto"/>
                <w:sz w:val="30"/>
                <w:szCs w:val="30"/>
              </w:rPr>
            </w:pPr>
          </w:p>
        </w:tc>
        <w:tc>
          <w:tcPr>
            <w:tcW w:w="1020" w:type="dxa"/>
          </w:tcPr>
          <w:p w14:paraId="1E907A84">
            <w:pPr>
              <w:rPr>
                <w:rFonts w:eastAsia="仿宋_GB2312"/>
                <w:color w:val="auto"/>
                <w:sz w:val="30"/>
                <w:szCs w:val="30"/>
              </w:rPr>
            </w:pPr>
          </w:p>
        </w:tc>
        <w:tc>
          <w:tcPr>
            <w:tcW w:w="921" w:type="dxa"/>
          </w:tcPr>
          <w:p w14:paraId="27B8E555">
            <w:pPr>
              <w:rPr>
                <w:rFonts w:eastAsia="仿宋_GB2312"/>
                <w:color w:val="auto"/>
                <w:sz w:val="30"/>
                <w:szCs w:val="30"/>
              </w:rPr>
            </w:pPr>
          </w:p>
        </w:tc>
      </w:tr>
      <w:tr w14:paraId="4F33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A68015D">
            <w:pPr>
              <w:rPr>
                <w:rFonts w:eastAsia="仿宋_GB2312"/>
                <w:color w:val="auto"/>
                <w:sz w:val="30"/>
                <w:szCs w:val="30"/>
              </w:rPr>
            </w:pPr>
          </w:p>
        </w:tc>
        <w:tc>
          <w:tcPr>
            <w:tcW w:w="1418" w:type="dxa"/>
          </w:tcPr>
          <w:p w14:paraId="13091F6F">
            <w:pPr>
              <w:rPr>
                <w:rFonts w:eastAsia="仿宋_GB2312"/>
                <w:color w:val="auto"/>
                <w:sz w:val="30"/>
                <w:szCs w:val="30"/>
              </w:rPr>
            </w:pPr>
          </w:p>
        </w:tc>
        <w:tc>
          <w:tcPr>
            <w:tcW w:w="850" w:type="dxa"/>
          </w:tcPr>
          <w:p w14:paraId="6007A636">
            <w:pPr>
              <w:rPr>
                <w:rFonts w:eastAsia="仿宋_GB2312"/>
                <w:color w:val="auto"/>
                <w:sz w:val="30"/>
                <w:szCs w:val="30"/>
              </w:rPr>
            </w:pPr>
          </w:p>
        </w:tc>
        <w:tc>
          <w:tcPr>
            <w:tcW w:w="1058" w:type="dxa"/>
          </w:tcPr>
          <w:p w14:paraId="20804AFF">
            <w:pPr>
              <w:rPr>
                <w:rFonts w:eastAsia="仿宋_GB2312"/>
                <w:color w:val="auto"/>
                <w:sz w:val="30"/>
                <w:szCs w:val="30"/>
              </w:rPr>
            </w:pPr>
          </w:p>
        </w:tc>
        <w:tc>
          <w:tcPr>
            <w:tcW w:w="880" w:type="dxa"/>
          </w:tcPr>
          <w:p w14:paraId="74C9E942">
            <w:pPr>
              <w:rPr>
                <w:rFonts w:eastAsia="仿宋_GB2312"/>
                <w:color w:val="auto"/>
                <w:sz w:val="30"/>
                <w:szCs w:val="30"/>
              </w:rPr>
            </w:pPr>
          </w:p>
        </w:tc>
        <w:tc>
          <w:tcPr>
            <w:tcW w:w="1020" w:type="dxa"/>
          </w:tcPr>
          <w:p w14:paraId="010673E7">
            <w:pPr>
              <w:rPr>
                <w:rFonts w:eastAsia="仿宋_GB2312"/>
                <w:color w:val="auto"/>
                <w:sz w:val="30"/>
                <w:szCs w:val="30"/>
              </w:rPr>
            </w:pPr>
          </w:p>
        </w:tc>
        <w:tc>
          <w:tcPr>
            <w:tcW w:w="1480" w:type="dxa"/>
          </w:tcPr>
          <w:p w14:paraId="6F99202F">
            <w:pPr>
              <w:rPr>
                <w:rFonts w:eastAsia="仿宋_GB2312"/>
                <w:color w:val="auto"/>
                <w:sz w:val="30"/>
                <w:szCs w:val="30"/>
              </w:rPr>
            </w:pPr>
          </w:p>
        </w:tc>
        <w:tc>
          <w:tcPr>
            <w:tcW w:w="1020" w:type="dxa"/>
          </w:tcPr>
          <w:p w14:paraId="60749EEA">
            <w:pPr>
              <w:rPr>
                <w:rFonts w:eastAsia="仿宋_GB2312"/>
                <w:color w:val="auto"/>
                <w:sz w:val="30"/>
                <w:szCs w:val="30"/>
              </w:rPr>
            </w:pPr>
          </w:p>
        </w:tc>
        <w:tc>
          <w:tcPr>
            <w:tcW w:w="921" w:type="dxa"/>
          </w:tcPr>
          <w:p w14:paraId="75015557">
            <w:pPr>
              <w:rPr>
                <w:rFonts w:eastAsia="仿宋_GB2312"/>
                <w:color w:val="auto"/>
                <w:sz w:val="30"/>
                <w:szCs w:val="30"/>
              </w:rPr>
            </w:pPr>
          </w:p>
        </w:tc>
      </w:tr>
      <w:tr w14:paraId="2BBE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3F50DD8">
            <w:pPr>
              <w:rPr>
                <w:rFonts w:eastAsia="仿宋_GB2312"/>
                <w:color w:val="auto"/>
                <w:sz w:val="30"/>
                <w:szCs w:val="30"/>
              </w:rPr>
            </w:pPr>
          </w:p>
        </w:tc>
        <w:tc>
          <w:tcPr>
            <w:tcW w:w="1418" w:type="dxa"/>
          </w:tcPr>
          <w:p w14:paraId="3B20E3BF">
            <w:pPr>
              <w:rPr>
                <w:rFonts w:eastAsia="仿宋_GB2312"/>
                <w:color w:val="auto"/>
                <w:sz w:val="30"/>
                <w:szCs w:val="30"/>
              </w:rPr>
            </w:pPr>
          </w:p>
        </w:tc>
        <w:tc>
          <w:tcPr>
            <w:tcW w:w="850" w:type="dxa"/>
          </w:tcPr>
          <w:p w14:paraId="77CDECC7">
            <w:pPr>
              <w:rPr>
                <w:rFonts w:eastAsia="仿宋_GB2312"/>
                <w:color w:val="auto"/>
                <w:sz w:val="30"/>
                <w:szCs w:val="30"/>
              </w:rPr>
            </w:pPr>
          </w:p>
        </w:tc>
        <w:tc>
          <w:tcPr>
            <w:tcW w:w="1058" w:type="dxa"/>
          </w:tcPr>
          <w:p w14:paraId="320178B1">
            <w:pPr>
              <w:rPr>
                <w:rFonts w:eastAsia="仿宋_GB2312"/>
                <w:color w:val="auto"/>
                <w:sz w:val="30"/>
                <w:szCs w:val="30"/>
              </w:rPr>
            </w:pPr>
          </w:p>
        </w:tc>
        <w:tc>
          <w:tcPr>
            <w:tcW w:w="880" w:type="dxa"/>
          </w:tcPr>
          <w:p w14:paraId="7D7FF570">
            <w:pPr>
              <w:rPr>
                <w:rFonts w:eastAsia="仿宋_GB2312"/>
                <w:color w:val="auto"/>
                <w:sz w:val="30"/>
                <w:szCs w:val="30"/>
              </w:rPr>
            </w:pPr>
          </w:p>
        </w:tc>
        <w:tc>
          <w:tcPr>
            <w:tcW w:w="1020" w:type="dxa"/>
          </w:tcPr>
          <w:p w14:paraId="30F7D368">
            <w:pPr>
              <w:rPr>
                <w:rFonts w:eastAsia="仿宋_GB2312"/>
                <w:color w:val="auto"/>
                <w:sz w:val="30"/>
                <w:szCs w:val="30"/>
              </w:rPr>
            </w:pPr>
          </w:p>
        </w:tc>
        <w:tc>
          <w:tcPr>
            <w:tcW w:w="1480" w:type="dxa"/>
          </w:tcPr>
          <w:p w14:paraId="2E76113A">
            <w:pPr>
              <w:rPr>
                <w:rFonts w:eastAsia="仿宋_GB2312"/>
                <w:color w:val="auto"/>
                <w:sz w:val="30"/>
                <w:szCs w:val="30"/>
              </w:rPr>
            </w:pPr>
          </w:p>
        </w:tc>
        <w:tc>
          <w:tcPr>
            <w:tcW w:w="1020" w:type="dxa"/>
          </w:tcPr>
          <w:p w14:paraId="027FACC0">
            <w:pPr>
              <w:rPr>
                <w:rFonts w:eastAsia="仿宋_GB2312"/>
                <w:color w:val="auto"/>
                <w:sz w:val="30"/>
                <w:szCs w:val="30"/>
              </w:rPr>
            </w:pPr>
          </w:p>
        </w:tc>
        <w:tc>
          <w:tcPr>
            <w:tcW w:w="921" w:type="dxa"/>
          </w:tcPr>
          <w:p w14:paraId="7712EA95">
            <w:pPr>
              <w:rPr>
                <w:rFonts w:eastAsia="仿宋_GB2312"/>
                <w:color w:val="auto"/>
                <w:sz w:val="30"/>
                <w:szCs w:val="30"/>
              </w:rPr>
            </w:pPr>
          </w:p>
        </w:tc>
      </w:tr>
      <w:tr w14:paraId="290C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FFA4404">
            <w:pPr>
              <w:rPr>
                <w:rFonts w:eastAsia="仿宋_GB2312"/>
                <w:color w:val="auto"/>
                <w:sz w:val="30"/>
                <w:szCs w:val="30"/>
              </w:rPr>
            </w:pPr>
          </w:p>
        </w:tc>
        <w:tc>
          <w:tcPr>
            <w:tcW w:w="1418" w:type="dxa"/>
          </w:tcPr>
          <w:p w14:paraId="7F10311B">
            <w:pPr>
              <w:rPr>
                <w:rFonts w:eastAsia="仿宋_GB2312"/>
                <w:color w:val="auto"/>
                <w:sz w:val="30"/>
                <w:szCs w:val="30"/>
              </w:rPr>
            </w:pPr>
          </w:p>
        </w:tc>
        <w:tc>
          <w:tcPr>
            <w:tcW w:w="850" w:type="dxa"/>
          </w:tcPr>
          <w:p w14:paraId="2B38C8FA">
            <w:pPr>
              <w:rPr>
                <w:rFonts w:eastAsia="仿宋_GB2312"/>
                <w:color w:val="auto"/>
                <w:sz w:val="30"/>
                <w:szCs w:val="30"/>
              </w:rPr>
            </w:pPr>
          </w:p>
        </w:tc>
        <w:tc>
          <w:tcPr>
            <w:tcW w:w="1058" w:type="dxa"/>
          </w:tcPr>
          <w:p w14:paraId="3C82F583">
            <w:pPr>
              <w:rPr>
                <w:rFonts w:eastAsia="仿宋_GB2312"/>
                <w:color w:val="auto"/>
                <w:sz w:val="30"/>
                <w:szCs w:val="30"/>
              </w:rPr>
            </w:pPr>
          </w:p>
        </w:tc>
        <w:tc>
          <w:tcPr>
            <w:tcW w:w="880" w:type="dxa"/>
          </w:tcPr>
          <w:p w14:paraId="07118280">
            <w:pPr>
              <w:rPr>
                <w:rFonts w:eastAsia="仿宋_GB2312"/>
                <w:color w:val="auto"/>
                <w:sz w:val="30"/>
                <w:szCs w:val="30"/>
              </w:rPr>
            </w:pPr>
          </w:p>
        </w:tc>
        <w:tc>
          <w:tcPr>
            <w:tcW w:w="1020" w:type="dxa"/>
          </w:tcPr>
          <w:p w14:paraId="45C82F28">
            <w:pPr>
              <w:rPr>
                <w:rFonts w:eastAsia="仿宋_GB2312"/>
                <w:color w:val="auto"/>
                <w:sz w:val="30"/>
                <w:szCs w:val="30"/>
              </w:rPr>
            </w:pPr>
          </w:p>
        </w:tc>
        <w:tc>
          <w:tcPr>
            <w:tcW w:w="1480" w:type="dxa"/>
          </w:tcPr>
          <w:p w14:paraId="2BC5F663">
            <w:pPr>
              <w:rPr>
                <w:rFonts w:eastAsia="仿宋_GB2312"/>
                <w:color w:val="auto"/>
                <w:sz w:val="30"/>
                <w:szCs w:val="30"/>
              </w:rPr>
            </w:pPr>
          </w:p>
        </w:tc>
        <w:tc>
          <w:tcPr>
            <w:tcW w:w="1020" w:type="dxa"/>
          </w:tcPr>
          <w:p w14:paraId="6489FA2C">
            <w:pPr>
              <w:rPr>
                <w:rFonts w:eastAsia="仿宋_GB2312"/>
                <w:color w:val="auto"/>
                <w:sz w:val="30"/>
                <w:szCs w:val="30"/>
              </w:rPr>
            </w:pPr>
          </w:p>
        </w:tc>
        <w:tc>
          <w:tcPr>
            <w:tcW w:w="921" w:type="dxa"/>
          </w:tcPr>
          <w:p w14:paraId="1C4F4B65">
            <w:pPr>
              <w:rPr>
                <w:rFonts w:eastAsia="仿宋_GB2312"/>
                <w:color w:val="auto"/>
                <w:sz w:val="30"/>
                <w:szCs w:val="30"/>
              </w:rPr>
            </w:pPr>
          </w:p>
        </w:tc>
      </w:tr>
      <w:tr w14:paraId="62DB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0585B80">
            <w:pPr>
              <w:rPr>
                <w:rFonts w:eastAsia="仿宋_GB2312"/>
                <w:color w:val="auto"/>
                <w:sz w:val="30"/>
                <w:szCs w:val="30"/>
              </w:rPr>
            </w:pPr>
          </w:p>
        </w:tc>
        <w:tc>
          <w:tcPr>
            <w:tcW w:w="1418" w:type="dxa"/>
          </w:tcPr>
          <w:p w14:paraId="68BB0B33">
            <w:pPr>
              <w:rPr>
                <w:rFonts w:eastAsia="仿宋_GB2312"/>
                <w:color w:val="auto"/>
                <w:sz w:val="30"/>
                <w:szCs w:val="30"/>
              </w:rPr>
            </w:pPr>
          </w:p>
        </w:tc>
        <w:tc>
          <w:tcPr>
            <w:tcW w:w="850" w:type="dxa"/>
          </w:tcPr>
          <w:p w14:paraId="6AA98B3A">
            <w:pPr>
              <w:rPr>
                <w:rFonts w:eastAsia="仿宋_GB2312"/>
                <w:color w:val="auto"/>
                <w:sz w:val="30"/>
                <w:szCs w:val="30"/>
              </w:rPr>
            </w:pPr>
          </w:p>
        </w:tc>
        <w:tc>
          <w:tcPr>
            <w:tcW w:w="1058" w:type="dxa"/>
          </w:tcPr>
          <w:p w14:paraId="054F18E6">
            <w:pPr>
              <w:rPr>
                <w:rFonts w:eastAsia="仿宋_GB2312"/>
                <w:color w:val="auto"/>
                <w:sz w:val="30"/>
                <w:szCs w:val="30"/>
              </w:rPr>
            </w:pPr>
          </w:p>
        </w:tc>
        <w:tc>
          <w:tcPr>
            <w:tcW w:w="880" w:type="dxa"/>
          </w:tcPr>
          <w:p w14:paraId="467AE773">
            <w:pPr>
              <w:rPr>
                <w:rFonts w:eastAsia="仿宋_GB2312"/>
                <w:color w:val="auto"/>
                <w:sz w:val="30"/>
                <w:szCs w:val="30"/>
              </w:rPr>
            </w:pPr>
          </w:p>
        </w:tc>
        <w:tc>
          <w:tcPr>
            <w:tcW w:w="1020" w:type="dxa"/>
          </w:tcPr>
          <w:p w14:paraId="740E13F2">
            <w:pPr>
              <w:rPr>
                <w:rFonts w:eastAsia="仿宋_GB2312"/>
                <w:color w:val="auto"/>
                <w:sz w:val="30"/>
                <w:szCs w:val="30"/>
              </w:rPr>
            </w:pPr>
          </w:p>
        </w:tc>
        <w:tc>
          <w:tcPr>
            <w:tcW w:w="1480" w:type="dxa"/>
          </w:tcPr>
          <w:p w14:paraId="5B201DB4">
            <w:pPr>
              <w:rPr>
                <w:rFonts w:eastAsia="仿宋_GB2312"/>
                <w:color w:val="auto"/>
                <w:sz w:val="30"/>
                <w:szCs w:val="30"/>
              </w:rPr>
            </w:pPr>
          </w:p>
        </w:tc>
        <w:tc>
          <w:tcPr>
            <w:tcW w:w="1020" w:type="dxa"/>
          </w:tcPr>
          <w:p w14:paraId="7A2066B7">
            <w:pPr>
              <w:rPr>
                <w:rFonts w:eastAsia="仿宋_GB2312"/>
                <w:color w:val="auto"/>
                <w:sz w:val="30"/>
                <w:szCs w:val="30"/>
              </w:rPr>
            </w:pPr>
          </w:p>
        </w:tc>
        <w:tc>
          <w:tcPr>
            <w:tcW w:w="921" w:type="dxa"/>
          </w:tcPr>
          <w:p w14:paraId="48118300">
            <w:pPr>
              <w:rPr>
                <w:rFonts w:eastAsia="仿宋_GB2312"/>
                <w:color w:val="auto"/>
                <w:sz w:val="30"/>
                <w:szCs w:val="30"/>
              </w:rPr>
            </w:pPr>
          </w:p>
        </w:tc>
      </w:tr>
      <w:tr w14:paraId="0B3A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73FBCE2">
            <w:pPr>
              <w:rPr>
                <w:rFonts w:eastAsia="仿宋_GB2312"/>
                <w:color w:val="auto"/>
                <w:sz w:val="30"/>
                <w:szCs w:val="30"/>
              </w:rPr>
            </w:pPr>
          </w:p>
        </w:tc>
        <w:tc>
          <w:tcPr>
            <w:tcW w:w="1418" w:type="dxa"/>
          </w:tcPr>
          <w:p w14:paraId="033DF34F">
            <w:pPr>
              <w:rPr>
                <w:rFonts w:eastAsia="仿宋_GB2312"/>
                <w:color w:val="auto"/>
                <w:sz w:val="30"/>
                <w:szCs w:val="30"/>
              </w:rPr>
            </w:pPr>
          </w:p>
        </w:tc>
        <w:tc>
          <w:tcPr>
            <w:tcW w:w="850" w:type="dxa"/>
          </w:tcPr>
          <w:p w14:paraId="7AABE2EE">
            <w:pPr>
              <w:rPr>
                <w:rFonts w:eastAsia="仿宋_GB2312"/>
                <w:color w:val="auto"/>
                <w:sz w:val="30"/>
                <w:szCs w:val="30"/>
              </w:rPr>
            </w:pPr>
          </w:p>
        </w:tc>
        <w:tc>
          <w:tcPr>
            <w:tcW w:w="1058" w:type="dxa"/>
          </w:tcPr>
          <w:p w14:paraId="2F2DBE5F">
            <w:pPr>
              <w:rPr>
                <w:rFonts w:eastAsia="仿宋_GB2312"/>
                <w:color w:val="auto"/>
                <w:sz w:val="30"/>
                <w:szCs w:val="30"/>
              </w:rPr>
            </w:pPr>
          </w:p>
        </w:tc>
        <w:tc>
          <w:tcPr>
            <w:tcW w:w="880" w:type="dxa"/>
          </w:tcPr>
          <w:p w14:paraId="08ED214D">
            <w:pPr>
              <w:rPr>
                <w:rFonts w:eastAsia="仿宋_GB2312"/>
                <w:color w:val="auto"/>
                <w:sz w:val="30"/>
                <w:szCs w:val="30"/>
              </w:rPr>
            </w:pPr>
          </w:p>
        </w:tc>
        <w:tc>
          <w:tcPr>
            <w:tcW w:w="1020" w:type="dxa"/>
          </w:tcPr>
          <w:p w14:paraId="0C2331D6">
            <w:pPr>
              <w:rPr>
                <w:rFonts w:eastAsia="仿宋_GB2312"/>
                <w:color w:val="auto"/>
                <w:sz w:val="30"/>
                <w:szCs w:val="30"/>
              </w:rPr>
            </w:pPr>
          </w:p>
        </w:tc>
        <w:tc>
          <w:tcPr>
            <w:tcW w:w="1480" w:type="dxa"/>
          </w:tcPr>
          <w:p w14:paraId="3D3B8E52">
            <w:pPr>
              <w:rPr>
                <w:rFonts w:eastAsia="仿宋_GB2312"/>
                <w:color w:val="auto"/>
                <w:sz w:val="30"/>
                <w:szCs w:val="30"/>
              </w:rPr>
            </w:pPr>
          </w:p>
        </w:tc>
        <w:tc>
          <w:tcPr>
            <w:tcW w:w="1020" w:type="dxa"/>
          </w:tcPr>
          <w:p w14:paraId="30CFC6BE">
            <w:pPr>
              <w:rPr>
                <w:rFonts w:eastAsia="仿宋_GB2312"/>
                <w:color w:val="auto"/>
                <w:sz w:val="30"/>
                <w:szCs w:val="30"/>
              </w:rPr>
            </w:pPr>
          </w:p>
        </w:tc>
        <w:tc>
          <w:tcPr>
            <w:tcW w:w="921" w:type="dxa"/>
          </w:tcPr>
          <w:p w14:paraId="2E083088">
            <w:pPr>
              <w:rPr>
                <w:rFonts w:eastAsia="仿宋_GB2312"/>
                <w:color w:val="auto"/>
                <w:sz w:val="30"/>
                <w:szCs w:val="30"/>
              </w:rPr>
            </w:pPr>
          </w:p>
        </w:tc>
      </w:tr>
      <w:tr w14:paraId="526B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01F773A">
            <w:pPr>
              <w:rPr>
                <w:rFonts w:eastAsia="仿宋_GB2312"/>
                <w:color w:val="auto"/>
                <w:sz w:val="30"/>
                <w:szCs w:val="30"/>
              </w:rPr>
            </w:pPr>
          </w:p>
        </w:tc>
        <w:tc>
          <w:tcPr>
            <w:tcW w:w="1418" w:type="dxa"/>
          </w:tcPr>
          <w:p w14:paraId="322DDBB7">
            <w:pPr>
              <w:rPr>
                <w:rFonts w:eastAsia="仿宋_GB2312"/>
                <w:color w:val="auto"/>
                <w:sz w:val="30"/>
                <w:szCs w:val="30"/>
              </w:rPr>
            </w:pPr>
          </w:p>
        </w:tc>
        <w:tc>
          <w:tcPr>
            <w:tcW w:w="850" w:type="dxa"/>
          </w:tcPr>
          <w:p w14:paraId="2452C7AF">
            <w:pPr>
              <w:rPr>
                <w:rFonts w:eastAsia="仿宋_GB2312"/>
                <w:color w:val="auto"/>
                <w:sz w:val="30"/>
                <w:szCs w:val="30"/>
              </w:rPr>
            </w:pPr>
          </w:p>
        </w:tc>
        <w:tc>
          <w:tcPr>
            <w:tcW w:w="1058" w:type="dxa"/>
          </w:tcPr>
          <w:p w14:paraId="16C35400">
            <w:pPr>
              <w:rPr>
                <w:rFonts w:eastAsia="仿宋_GB2312"/>
                <w:color w:val="auto"/>
                <w:sz w:val="30"/>
                <w:szCs w:val="30"/>
              </w:rPr>
            </w:pPr>
          </w:p>
        </w:tc>
        <w:tc>
          <w:tcPr>
            <w:tcW w:w="880" w:type="dxa"/>
          </w:tcPr>
          <w:p w14:paraId="5E7A4C28">
            <w:pPr>
              <w:rPr>
                <w:rFonts w:eastAsia="仿宋_GB2312"/>
                <w:color w:val="auto"/>
                <w:sz w:val="30"/>
                <w:szCs w:val="30"/>
              </w:rPr>
            </w:pPr>
          </w:p>
        </w:tc>
        <w:tc>
          <w:tcPr>
            <w:tcW w:w="1020" w:type="dxa"/>
          </w:tcPr>
          <w:p w14:paraId="14C8714D">
            <w:pPr>
              <w:rPr>
                <w:rFonts w:eastAsia="仿宋_GB2312"/>
                <w:color w:val="auto"/>
                <w:sz w:val="30"/>
                <w:szCs w:val="30"/>
              </w:rPr>
            </w:pPr>
          </w:p>
        </w:tc>
        <w:tc>
          <w:tcPr>
            <w:tcW w:w="1480" w:type="dxa"/>
          </w:tcPr>
          <w:p w14:paraId="68AF577C">
            <w:pPr>
              <w:rPr>
                <w:rFonts w:eastAsia="仿宋_GB2312"/>
                <w:color w:val="auto"/>
                <w:sz w:val="30"/>
                <w:szCs w:val="30"/>
              </w:rPr>
            </w:pPr>
          </w:p>
        </w:tc>
        <w:tc>
          <w:tcPr>
            <w:tcW w:w="1020" w:type="dxa"/>
          </w:tcPr>
          <w:p w14:paraId="29BC18F3">
            <w:pPr>
              <w:rPr>
                <w:rFonts w:eastAsia="仿宋_GB2312"/>
                <w:color w:val="auto"/>
                <w:sz w:val="30"/>
                <w:szCs w:val="30"/>
              </w:rPr>
            </w:pPr>
          </w:p>
        </w:tc>
        <w:tc>
          <w:tcPr>
            <w:tcW w:w="921" w:type="dxa"/>
          </w:tcPr>
          <w:p w14:paraId="3015E125">
            <w:pPr>
              <w:rPr>
                <w:rFonts w:eastAsia="仿宋_GB2312"/>
                <w:color w:val="auto"/>
                <w:sz w:val="30"/>
                <w:szCs w:val="30"/>
              </w:rPr>
            </w:pPr>
          </w:p>
        </w:tc>
      </w:tr>
    </w:tbl>
    <w:p w14:paraId="6F96BDCA">
      <w:pPr>
        <w:spacing w:line="440" w:lineRule="exact"/>
        <w:rPr>
          <w:rFonts w:eastAsia="仿宋_GB2312"/>
          <w:color w:val="auto"/>
          <w:sz w:val="30"/>
          <w:szCs w:val="30"/>
        </w:rPr>
        <w:sectPr>
          <w:pgSz w:w="11905" w:h="16838"/>
          <w:pgMar w:top="1440" w:right="1519" w:bottom="1440" w:left="1519" w:header="850" w:footer="850" w:gutter="0"/>
          <w:cols w:space="720" w:num="1"/>
          <w:docGrid w:linePitch="312" w:charSpace="0"/>
        </w:sectPr>
      </w:pPr>
    </w:p>
    <w:p w14:paraId="04FBCF32">
      <w:pPr>
        <w:spacing w:line="440" w:lineRule="exact"/>
        <w:jc w:val="left"/>
        <w:rPr>
          <w:rFonts w:eastAsia="黑体"/>
          <w:color w:val="auto"/>
          <w:sz w:val="30"/>
          <w:szCs w:val="30"/>
        </w:rPr>
      </w:pPr>
      <w:r>
        <w:rPr>
          <w:rFonts w:hint="eastAsia" w:eastAsia="仿宋_GB2312" w:cs="仿宋_GB2312"/>
          <w:color w:val="auto"/>
          <w:sz w:val="30"/>
          <w:szCs w:val="30"/>
        </w:rPr>
        <w:t>附</w:t>
      </w:r>
      <w:bookmarkStart w:id="1519" w:name="_Toc296944567"/>
      <w:bookmarkStart w:id="1520" w:name="_Toc296503228"/>
      <w:bookmarkStart w:id="1521" w:name="_Toc296347227"/>
      <w:bookmarkStart w:id="1522" w:name="_Toc296891268"/>
      <w:bookmarkStart w:id="1523" w:name="_Toc296346729"/>
      <w:bookmarkStart w:id="1524" w:name="_Toc267261699"/>
      <w:bookmarkStart w:id="1525" w:name="_Toc296891056"/>
      <w:r>
        <w:rPr>
          <w:rFonts w:hint="eastAsia" w:eastAsia="仿宋_GB2312" w:cs="仿宋_GB2312"/>
          <w:color w:val="auto"/>
          <w:sz w:val="30"/>
          <w:szCs w:val="30"/>
        </w:rPr>
        <w:t>件</w:t>
      </w:r>
      <w:r>
        <w:rPr>
          <w:rFonts w:hint="eastAsia" w:eastAsia="仿宋_GB2312"/>
          <w:color w:val="auto"/>
          <w:sz w:val="30"/>
          <w:szCs w:val="30"/>
        </w:rPr>
        <w:t>5</w:t>
      </w:r>
      <w:r>
        <w:rPr>
          <w:rFonts w:hint="eastAsia" w:eastAsia="仿宋_GB2312" w:cs="仿宋_GB2312"/>
          <w:color w:val="auto"/>
          <w:sz w:val="30"/>
          <w:szCs w:val="30"/>
        </w:rPr>
        <w:t>：</w:t>
      </w:r>
    </w:p>
    <w:bookmarkEnd w:id="1519"/>
    <w:bookmarkEnd w:id="1520"/>
    <w:bookmarkEnd w:id="1521"/>
    <w:bookmarkEnd w:id="1522"/>
    <w:bookmarkEnd w:id="1523"/>
    <w:bookmarkEnd w:id="1524"/>
    <w:bookmarkEnd w:id="1525"/>
    <w:p w14:paraId="4B48585A">
      <w:pPr>
        <w:spacing w:before="120" w:beforeLines="50" w:after="120" w:afterLines="50" w:line="440" w:lineRule="exact"/>
        <w:jc w:val="center"/>
        <w:rPr>
          <w:rFonts w:eastAsia="黑体"/>
          <w:color w:val="auto"/>
          <w:sz w:val="30"/>
          <w:szCs w:val="30"/>
        </w:rPr>
      </w:pPr>
      <w:r>
        <w:rPr>
          <w:rFonts w:hint="eastAsia" w:eastAsia="黑体" w:cs="黑体"/>
          <w:color w:val="auto"/>
          <w:sz w:val="30"/>
          <w:szCs w:val="30"/>
        </w:rPr>
        <w:t>承包人主要施工管理人员表</w:t>
      </w:r>
    </w:p>
    <w:tbl>
      <w:tblPr>
        <w:tblStyle w:val="4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19"/>
        <w:gridCol w:w="1379"/>
        <w:gridCol w:w="1102"/>
        <w:gridCol w:w="1102"/>
        <w:gridCol w:w="4135"/>
      </w:tblGrid>
      <w:tr w14:paraId="7793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Align w:val="center"/>
          </w:tcPr>
          <w:p w14:paraId="31724E76">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名</w:t>
            </w:r>
            <w:r>
              <w:rPr>
                <w:rFonts w:eastAsia="仿宋_GB2312"/>
                <w:color w:val="auto"/>
                <w:sz w:val="28"/>
                <w:szCs w:val="28"/>
              </w:rPr>
              <w:t xml:space="preserve">    </w:t>
            </w:r>
            <w:r>
              <w:rPr>
                <w:rFonts w:hint="eastAsia" w:eastAsia="仿宋_GB2312" w:cs="仿宋_GB2312"/>
                <w:color w:val="auto"/>
                <w:sz w:val="28"/>
                <w:szCs w:val="28"/>
              </w:rPr>
              <w:t>称</w:t>
            </w:r>
          </w:p>
        </w:tc>
        <w:tc>
          <w:tcPr>
            <w:tcW w:w="1379" w:type="dxa"/>
            <w:vAlign w:val="center"/>
          </w:tcPr>
          <w:p w14:paraId="0938CF93">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姓名</w:t>
            </w:r>
          </w:p>
        </w:tc>
        <w:tc>
          <w:tcPr>
            <w:tcW w:w="1102" w:type="dxa"/>
            <w:vAlign w:val="center"/>
          </w:tcPr>
          <w:p w14:paraId="637FF18C">
            <w:pPr>
              <w:pStyle w:val="2"/>
              <w:keepNext/>
              <w:spacing w:after="0" w:line="440" w:lineRule="exact"/>
              <w:ind w:left="63" w:right="63"/>
              <w:rPr>
                <w:rFonts w:eastAsia="仿宋_GB2312"/>
                <w:color w:val="auto"/>
                <w:sz w:val="30"/>
                <w:szCs w:val="30"/>
              </w:rPr>
            </w:pPr>
            <w:r>
              <w:rPr>
                <w:rFonts w:hint="eastAsia" w:eastAsia="仿宋_GB2312" w:cs="仿宋_GB2312"/>
                <w:color w:val="auto"/>
                <w:sz w:val="30"/>
                <w:szCs w:val="30"/>
              </w:rPr>
              <w:t>职务</w:t>
            </w:r>
          </w:p>
        </w:tc>
        <w:tc>
          <w:tcPr>
            <w:tcW w:w="1102" w:type="dxa"/>
            <w:vAlign w:val="center"/>
          </w:tcPr>
          <w:p w14:paraId="3E627C13">
            <w:pPr>
              <w:pStyle w:val="2"/>
              <w:keepNext/>
              <w:spacing w:after="0" w:line="440" w:lineRule="exact"/>
              <w:ind w:left="63" w:right="63"/>
              <w:rPr>
                <w:rFonts w:eastAsia="仿宋_GB2312"/>
                <w:color w:val="auto"/>
                <w:sz w:val="30"/>
                <w:szCs w:val="30"/>
              </w:rPr>
            </w:pPr>
            <w:r>
              <w:rPr>
                <w:rFonts w:hint="eastAsia" w:eastAsia="仿宋_GB2312" w:cs="仿宋_GB2312"/>
                <w:color w:val="auto"/>
                <w:sz w:val="30"/>
                <w:szCs w:val="30"/>
              </w:rPr>
              <w:t>职称</w:t>
            </w:r>
          </w:p>
        </w:tc>
        <w:tc>
          <w:tcPr>
            <w:tcW w:w="4135" w:type="dxa"/>
            <w:vAlign w:val="center"/>
          </w:tcPr>
          <w:p w14:paraId="633EB42D">
            <w:pPr>
              <w:pStyle w:val="2"/>
              <w:keepNext/>
              <w:spacing w:after="0" w:line="440" w:lineRule="exact"/>
              <w:ind w:right="63"/>
              <w:rPr>
                <w:rFonts w:eastAsia="仿宋_GB2312"/>
                <w:color w:val="auto"/>
                <w:sz w:val="30"/>
                <w:szCs w:val="30"/>
              </w:rPr>
            </w:pPr>
            <w:r>
              <w:rPr>
                <w:rFonts w:hint="eastAsia" w:eastAsia="仿宋_GB2312" w:cs="仿宋_GB2312"/>
                <w:color w:val="auto"/>
                <w:sz w:val="30"/>
                <w:szCs w:val="30"/>
              </w:rPr>
              <w:t>计划进场时间</w:t>
            </w:r>
          </w:p>
        </w:tc>
      </w:tr>
      <w:tr w14:paraId="18FD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537" w:type="dxa"/>
            <w:gridSpan w:val="5"/>
            <w:vAlign w:val="center"/>
          </w:tcPr>
          <w:p w14:paraId="5DE44378">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一、总部人员</w:t>
            </w:r>
          </w:p>
        </w:tc>
      </w:tr>
      <w:tr w14:paraId="339C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Align w:val="center"/>
          </w:tcPr>
          <w:p w14:paraId="4575DAC9">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项目主管</w:t>
            </w:r>
          </w:p>
        </w:tc>
        <w:tc>
          <w:tcPr>
            <w:tcW w:w="1379" w:type="dxa"/>
            <w:vAlign w:val="center"/>
          </w:tcPr>
          <w:p w14:paraId="55573918">
            <w:pPr>
              <w:pStyle w:val="2"/>
              <w:keepNext/>
              <w:spacing w:after="0" w:line="440" w:lineRule="exact"/>
              <w:ind w:left="63" w:right="63"/>
              <w:rPr>
                <w:rFonts w:eastAsia="仿宋_GB2312"/>
                <w:color w:val="auto"/>
                <w:sz w:val="28"/>
                <w:szCs w:val="28"/>
              </w:rPr>
            </w:pPr>
          </w:p>
        </w:tc>
        <w:tc>
          <w:tcPr>
            <w:tcW w:w="1102" w:type="dxa"/>
            <w:vAlign w:val="center"/>
          </w:tcPr>
          <w:p w14:paraId="0E363306">
            <w:pPr>
              <w:pStyle w:val="2"/>
              <w:keepNext/>
              <w:spacing w:after="0" w:line="440" w:lineRule="exact"/>
              <w:ind w:left="63" w:right="63"/>
              <w:rPr>
                <w:rFonts w:eastAsia="仿宋_GB2312"/>
                <w:color w:val="auto"/>
                <w:sz w:val="30"/>
                <w:szCs w:val="30"/>
              </w:rPr>
            </w:pPr>
          </w:p>
        </w:tc>
        <w:tc>
          <w:tcPr>
            <w:tcW w:w="1102" w:type="dxa"/>
            <w:vAlign w:val="center"/>
          </w:tcPr>
          <w:p w14:paraId="505036D5">
            <w:pPr>
              <w:pStyle w:val="2"/>
              <w:keepNext/>
              <w:spacing w:after="0" w:line="440" w:lineRule="exact"/>
              <w:ind w:left="63" w:right="63"/>
              <w:rPr>
                <w:rFonts w:eastAsia="仿宋_GB2312"/>
                <w:color w:val="auto"/>
                <w:sz w:val="30"/>
                <w:szCs w:val="30"/>
              </w:rPr>
            </w:pPr>
          </w:p>
        </w:tc>
        <w:tc>
          <w:tcPr>
            <w:tcW w:w="4135" w:type="dxa"/>
            <w:vAlign w:val="center"/>
          </w:tcPr>
          <w:p w14:paraId="3054786D">
            <w:pPr>
              <w:pStyle w:val="2"/>
              <w:keepNext/>
              <w:spacing w:after="0" w:line="440" w:lineRule="exact"/>
              <w:ind w:left="63" w:right="63"/>
              <w:rPr>
                <w:rFonts w:eastAsia="仿宋_GB2312"/>
                <w:color w:val="auto"/>
                <w:sz w:val="30"/>
                <w:szCs w:val="30"/>
              </w:rPr>
            </w:pPr>
          </w:p>
        </w:tc>
      </w:tr>
      <w:tr w14:paraId="69CE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Merge w:val="restart"/>
            <w:vAlign w:val="center"/>
          </w:tcPr>
          <w:p w14:paraId="1BF5DAE7">
            <w:pPr>
              <w:pStyle w:val="2"/>
              <w:keepNext/>
              <w:spacing w:line="440" w:lineRule="exact"/>
              <w:ind w:left="63" w:right="63"/>
              <w:rPr>
                <w:rFonts w:eastAsia="仿宋_GB2312"/>
                <w:color w:val="auto"/>
                <w:sz w:val="28"/>
                <w:szCs w:val="28"/>
              </w:rPr>
            </w:pPr>
            <w:r>
              <w:rPr>
                <w:rFonts w:hint="eastAsia" w:eastAsia="仿宋_GB2312" w:cs="仿宋_GB2312"/>
                <w:color w:val="auto"/>
                <w:sz w:val="28"/>
                <w:szCs w:val="28"/>
              </w:rPr>
              <w:t>其他人员</w:t>
            </w:r>
          </w:p>
        </w:tc>
        <w:tc>
          <w:tcPr>
            <w:tcW w:w="1379" w:type="dxa"/>
            <w:vAlign w:val="center"/>
          </w:tcPr>
          <w:p w14:paraId="41DB9514">
            <w:pPr>
              <w:pStyle w:val="2"/>
              <w:keepNext/>
              <w:spacing w:after="0" w:line="440" w:lineRule="exact"/>
              <w:ind w:left="63" w:right="63"/>
              <w:rPr>
                <w:rFonts w:eastAsia="仿宋_GB2312"/>
                <w:color w:val="auto"/>
                <w:sz w:val="28"/>
                <w:szCs w:val="28"/>
              </w:rPr>
            </w:pPr>
          </w:p>
        </w:tc>
        <w:tc>
          <w:tcPr>
            <w:tcW w:w="1102" w:type="dxa"/>
            <w:vAlign w:val="center"/>
          </w:tcPr>
          <w:p w14:paraId="1FF2ECD8">
            <w:pPr>
              <w:pStyle w:val="2"/>
              <w:keepNext/>
              <w:spacing w:after="0" w:line="440" w:lineRule="exact"/>
              <w:ind w:left="63" w:right="63"/>
              <w:rPr>
                <w:rFonts w:eastAsia="仿宋_GB2312"/>
                <w:color w:val="auto"/>
                <w:sz w:val="30"/>
                <w:szCs w:val="30"/>
              </w:rPr>
            </w:pPr>
          </w:p>
        </w:tc>
        <w:tc>
          <w:tcPr>
            <w:tcW w:w="1102" w:type="dxa"/>
            <w:vAlign w:val="center"/>
          </w:tcPr>
          <w:p w14:paraId="4574E65F">
            <w:pPr>
              <w:pStyle w:val="2"/>
              <w:keepNext/>
              <w:spacing w:after="0" w:line="440" w:lineRule="exact"/>
              <w:ind w:left="63" w:right="63"/>
              <w:rPr>
                <w:rFonts w:eastAsia="仿宋_GB2312"/>
                <w:color w:val="auto"/>
                <w:sz w:val="30"/>
                <w:szCs w:val="30"/>
              </w:rPr>
            </w:pPr>
          </w:p>
        </w:tc>
        <w:tc>
          <w:tcPr>
            <w:tcW w:w="4135" w:type="dxa"/>
            <w:vAlign w:val="center"/>
          </w:tcPr>
          <w:p w14:paraId="30B6A46D">
            <w:pPr>
              <w:pStyle w:val="2"/>
              <w:keepNext/>
              <w:spacing w:after="0" w:line="440" w:lineRule="exact"/>
              <w:ind w:left="63" w:right="63"/>
              <w:rPr>
                <w:rFonts w:eastAsia="仿宋_GB2312"/>
                <w:color w:val="auto"/>
                <w:sz w:val="30"/>
                <w:szCs w:val="30"/>
              </w:rPr>
            </w:pPr>
          </w:p>
        </w:tc>
      </w:tr>
      <w:tr w14:paraId="17B3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Merge w:val="continue"/>
            <w:vAlign w:val="center"/>
          </w:tcPr>
          <w:p w14:paraId="3BFE736E">
            <w:pPr>
              <w:pStyle w:val="2"/>
              <w:keepNext/>
              <w:spacing w:after="0" w:line="440" w:lineRule="exact"/>
              <w:ind w:left="63" w:right="63"/>
              <w:rPr>
                <w:rFonts w:eastAsia="仿宋_GB2312"/>
                <w:color w:val="auto"/>
                <w:sz w:val="28"/>
                <w:szCs w:val="28"/>
              </w:rPr>
            </w:pPr>
          </w:p>
        </w:tc>
        <w:tc>
          <w:tcPr>
            <w:tcW w:w="1379" w:type="dxa"/>
            <w:vAlign w:val="center"/>
          </w:tcPr>
          <w:p w14:paraId="2B9F1190">
            <w:pPr>
              <w:pStyle w:val="2"/>
              <w:keepNext/>
              <w:spacing w:after="0" w:line="440" w:lineRule="exact"/>
              <w:ind w:left="63" w:right="63"/>
              <w:rPr>
                <w:rFonts w:eastAsia="仿宋_GB2312"/>
                <w:color w:val="auto"/>
                <w:sz w:val="28"/>
                <w:szCs w:val="28"/>
              </w:rPr>
            </w:pPr>
          </w:p>
        </w:tc>
        <w:tc>
          <w:tcPr>
            <w:tcW w:w="1102" w:type="dxa"/>
            <w:vAlign w:val="center"/>
          </w:tcPr>
          <w:p w14:paraId="1071898C">
            <w:pPr>
              <w:pStyle w:val="2"/>
              <w:keepNext/>
              <w:spacing w:after="0" w:line="440" w:lineRule="exact"/>
              <w:ind w:left="63" w:right="63"/>
              <w:rPr>
                <w:rFonts w:eastAsia="仿宋_GB2312"/>
                <w:color w:val="auto"/>
                <w:sz w:val="30"/>
                <w:szCs w:val="30"/>
              </w:rPr>
            </w:pPr>
          </w:p>
        </w:tc>
        <w:tc>
          <w:tcPr>
            <w:tcW w:w="1102" w:type="dxa"/>
            <w:vAlign w:val="center"/>
          </w:tcPr>
          <w:p w14:paraId="6EB6773B">
            <w:pPr>
              <w:pStyle w:val="2"/>
              <w:keepNext/>
              <w:spacing w:after="0" w:line="440" w:lineRule="exact"/>
              <w:ind w:left="63" w:right="63"/>
              <w:rPr>
                <w:rFonts w:eastAsia="仿宋_GB2312"/>
                <w:color w:val="auto"/>
                <w:sz w:val="30"/>
                <w:szCs w:val="30"/>
              </w:rPr>
            </w:pPr>
          </w:p>
        </w:tc>
        <w:tc>
          <w:tcPr>
            <w:tcW w:w="4135" w:type="dxa"/>
            <w:vAlign w:val="center"/>
          </w:tcPr>
          <w:p w14:paraId="6908F530">
            <w:pPr>
              <w:pStyle w:val="2"/>
              <w:keepNext/>
              <w:spacing w:after="0" w:line="440" w:lineRule="exact"/>
              <w:ind w:left="63" w:right="63"/>
              <w:rPr>
                <w:rFonts w:eastAsia="仿宋_GB2312"/>
                <w:color w:val="auto"/>
                <w:sz w:val="30"/>
                <w:szCs w:val="30"/>
              </w:rPr>
            </w:pPr>
          </w:p>
        </w:tc>
      </w:tr>
      <w:tr w14:paraId="6C08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Merge w:val="continue"/>
            <w:vAlign w:val="center"/>
          </w:tcPr>
          <w:p w14:paraId="4D40B691">
            <w:pPr>
              <w:pStyle w:val="2"/>
              <w:keepNext/>
              <w:spacing w:after="0" w:line="440" w:lineRule="exact"/>
              <w:ind w:left="63" w:right="63"/>
              <w:rPr>
                <w:rFonts w:eastAsia="仿宋_GB2312"/>
                <w:color w:val="auto"/>
                <w:sz w:val="28"/>
                <w:szCs w:val="28"/>
              </w:rPr>
            </w:pPr>
          </w:p>
        </w:tc>
        <w:tc>
          <w:tcPr>
            <w:tcW w:w="1379" w:type="dxa"/>
            <w:vAlign w:val="center"/>
          </w:tcPr>
          <w:p w14:paraId="46A8A4E1">
            <w:pPr>
              <w:pStyle w:val="2"/>
              <w:keepNext/>
              <w:spacing w:after="0" w:line="440" w:lineRule="exact"/>
              <w:ind w:left="63" w:right="63"/>
              <w:rPr>
                <w:rFonts w:eastAsia="仿宋_GB2312"/>
                <w:color w:val="auto"/>
                <w:sz w:val="28"/>
                <w:szCs w:val="28"/>
              </w:rPr>
            </w:pPr>
          </w:p>
        </w:tc>
        <w:tc>
          <w:tcPr>
            <w:tcW w:w="1102" w:type="dxa"/>
            <w:vAlign w:val="center"/>
          </w:tcPr>
          <w:p w14:paraId="4ECA1B29">
            <w:pPr>
              <w:pStyle w:val="2"/>
              <w:keepNext/>
              <w:spacing w:after="0" w:line="440" w:lineRule="exact"/>
              <w:ind w:left="63" w:right="63"/>
              <w:rPr>
                <w:rFonts w:eastAsia="仿宋_GB2312"/>
                <w:color w:val="auto"/>
                <w:sz w:val="30"/>
                <w:szCs w:val="30"/>
              </w:rPr>
            </w:pPr>
          </w:p>
        </w:tc>
        <w:tc>
          <w:tcPr>
            <w:tcW w:w="1102" w:type="dxa"/>
            <w:vAlign w:val="center"/>
          </w:tcPr>
          <w:p w14:paraId="3A80E26A">
            <w:pPr>
              <w:pStyle w:val="2"/>
              <w:keepNext/>
              <w:spacing w:after="0" w:line="440" w:lineRule="exact"/>
              <w:ind w:left="63" w:right="63"/>
              <w:rPr>
                <w:rFonts w:eastAsia="仿宋_GB2312"/>
                <w:color w:val="auto"/>
                <w:sz w:val="30"/>
                <w:szCs w:val="30"/>
              </w:rPr>
            </w:pPr>
          </w:p>
        </w:tc>
        <w:tc>
          <w:tcPr>
            <w:tcW w:w="4135" w:type="dxa"/>
            <w:vAlign w:val="center"/>
          </w:tcPr>
          <w:p w14:paraId="7D7AD345">
            <w:pPr>
              <w:pStyle w:val="2"/>
              <w:keepNext/>
              <w:spacing w:after="0" w:line="440" w:lineRule="exact"/>
              <w:ind w:left="63" w:right="63"/>
              <w:rPr>
                <w:rFonts w:eastAsia="仿宋_GB2312"/>
                <w:color w:val="auto"/>
                <w:sz w:val="30"/>
                <w:szCs w:val="30"/>
              </w:rPr>
            </w:pPr>
          </w:p>
        </w:tc>
      </w:tr>
      <w:tr w14:paraId="112D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9537" w:type="dxa"/>
            <w:gridSpan w:val="5"/>
            <w:vAlign w:val="center"/>
          </w:tcPr>
          <w:p w14:paraId="0BA69850">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二、现场人员</w:t>
            </w:r>
          </w:p>
        </w:tc>
      </w:tr>
      <w:tr w14:paraId="33E1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Align w:val="center"/>
          </w:tcPr>
          <w:p w14:paraId="2C01E7FE">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项目经理</w:t>
            </w:r>
          </w:p>
        </w:tc>
        <w:tc>
          <w:tcPr>
            <w:tcW w:w="1379" w:type="dxa"/>
            <w:vAlign w:val="center"/>
          </w:tcPr>
          <w:p w14:paraId="602DC454">
            <w:pPr>
              <w:pStyle w:val="2"/>
              <w:keepNext/>
              <w:spacing w:after="0" w:line="440" w:lineRule="exact"/>
              <w:ind w:left="63" w:right="63"/>
              <w:rPr>
                <w:rFonts w:eastAsia="仿宋_GB2312"/>
                <w:color w:val="auto"/>
                <w:sz w:val="28"/>
                <w:szCs w:val="28"/>
              </w:rPr>
            </w:pPr>
          </w:p>
        </w:tc>
        <w:tc>
          <w:tcPr>
            <w:tcW w:w="1102" w:type="dxa"/>
            <w:vAlign w:val="center"/>
          </w:tcPr>
          <w:p w14:paraId="56D1A82D">
            <w:pPr>
              <w:pStyle w:val="2"/>
              <w:keepNext/>
              <w:spacing w:after="0" w:line="440" w:lineRule="exact"/>
              <w:ind w:left="63" w:right="63"/>
              <w:rPr>
                <w:rFonts w:eastAsia="仿宋_GB2312"/>
                <w:color w:val="auto"/>
                <w:sz w:val="30"/>
                <w:szCs w:val="30"/>
              </w:rPr>
            </w:pPr>
          </w:p>
        </w:tc>
        <w:tc>
          <w:tcPr>
            <w:tcW w:w="1102" w:type="dxa"/>
            <w:vAlign w:val="center"/>
          </w:tcPr>
          <w:p w14:paraId="442DA223">
            <w:pPr>
              <w:pStyle w:val="2"/>
              <w:keepNext/>
              <w:spacing w:after="0" w:line="440" w:lineRule="exact"/>
              <w:ind w:left="63" w:right="63"/>
              <w:rPr>
                <w:rFonts w:eastAsia="仿宋_GB2312"/>
                <w:color w:val="auto"/>
                <w:sz w:val="30"/>
                <w:szCs w:val="30"/>
              </w:rPr>
            </w:pPr>
          </w:p>
        </w:tc>
        <w:tc>
          <w:tcPr>
            <w:tcW w:w="4135" w:type="dxa"/>
            <w:vAlign w:val="center"/>
          </w:tcPr>
          <w:p w14:paraId="25B1DFC0">
            <w:pPr>
              <w:pStyle w:val="2"/>
              <w:keepNext/>
              <w:spacing w:after="0" w:line="440" w:lineRule="exact"/>
              <w:ind w:left="63" w:right="63"/>
              <w:rPr>
                <w:rFonts w:eastAsia="仿宋_GB2312"/>
                <w:color w:val="auto"/>
                <w:sz w:val="30"/>
                <w:szCs w:val="30"/>
              </w:rPr>
            </w:pPr>
          </w:p>
        </w:tc>
      </w:tr>
      <w:tr w14:paraId="3997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Align w:val="center"/>
          </w:tcPr>
          <w:p w14:paraId="6D8701CF">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项目副经理（如有）</w:t>
            </w:r>
          </w:p>
        </w:tc>
        <w:tc>
          <w:tcPr>
            <w:tcW w:w="1379" w:type="dxa"/>
            <w:vAlign w:val="center"/>
          </w:tcPr>
          <w:p w14:paraId="6F5D457A">
            <w:pPr>
              <w:pStyle w:val="2"/>
              <w:keepNext/>
              <w:spacing w:after="0" w:line="440" w:lineRule="exact"/>
              <w:ind w:left="63" w:right="63"/>
              <w:rPr>
                <w:rFonts w:eastAsia="仿宋_GB2312"/>
                <w:color w:val="auto"/>
                <w:sz w:val="28"/>
                <w:szCs w:val="28"/>
              </w:rPr>
            </w:pPr>
          </w:p>
        </w:tc>
        <w:tc>
          <w:tcPr>
            <w:tcW w:w="1102" w:type="dxa"/>
            <w:vAlign w:val="center"/>
          </w:tcPr>
          <w:p w14:paraId="683F4D15">
            <w:pPr>
              <w:pStyle w:val="2"/>
              <w:keepNext/>
              <w:spacing w:after="0" w:line="440" w:lineRule="exact"/>
              <w:ind w:left="63" w:right="63"/>
              <w:rPr>
                <w:rFonts w:eastAsia="仿宋_GB2312"/>
                <w:color w:val="auto"/>
                <w:sz w:val="30"/>
                <w:szCs w:val="30"/>
              </w:rPr>
            </w:pPr>
          </w:p>
        </w:tc>
        <w:tc>
          <w:tcPr>
            <w:tcW w:w="1102" w:type="dxa"/>
            <w:vAlign w:val="center"/>
          </w:tcPr>
          <w:p w14:paraId="5F7D10E5">
            <w:pPr>
              <w:pStyle w:val="2"/>
              <w:keepNext/>
              <w:spacing w:after="0" w:line="440" w:lineRule="exact"/>
              <w:ind w:left="63" w:right="63"/>
              <w:rPr>
                <w:rFonts w:eastAsia="仿宋_GB2312"/>
                <w:color w:val="auto"/>
                <w:sz w:val="30"/>
                <w:szCs w:val="30"/>
              </w:rPr>
            </w:pPr>
          </w:p>
        </w:tc>
        <w:tc>
          <w:tcPr>
            <w:tcW w:w="4135" w:type="dxa"/>
            <w:vAlign w:val="center"/>
          </w:tcPr>
          <w:p w14:paraId="5BFDFB1B">
            <w:pPr>
              <w:pStyle w:val="2"/>
              <w:keepNext/>
              <w:spacing w:after="0" w:line="440" w:lineRule="exact"/>
              <w:ind w:left="63" w:right="63"/>
              <w:rPr>
                <w:rFonts w:eastAsia="仿宋_GB2312"/>
                <w:color w:val="auto"/>
                <w:sz w:val="30"/>
                <w:szCs w:val="30"/>
              </w:rPr>
            </w:pPr>
          </w:p>
        </w:tc>
      </w:tr>
      <w:tr w14:paraId="6099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6" w:hRule="atLeast"/>
          <w:jc w:val="center"/>
        </w:trPr>
        <w:tc>
          <w:tcPr>
            <w:tcW w:w="1819" w:type="dxa"/>
            <w:vAlign w:val="center"/>
          </w:tcPr>
          <w:p w14:paraId="73D1F80B">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技术负责人（如有）</w:t>
            </w:r>
          </w:p>
        </w:tc>
        <w:tc>
          <w:tcPr>
            <w:tcW w:w="1379" w:type="dxa"/>
            <w:vAlign w:val="center"/>
          </w:tcPr>
          <w:p w14:paraId="5925B2F5">
            <w:pPr>
              <w:pStyle w:val="2"/>
              <w:keepNext/>
              <w:spacing w:after="0" w:line="440" w:lineRule="exact"/>
              <w:ind w:left="63" w:right="63"/>
              <w:rPr>
                <w:rFonts w:eastAsia="仿宋_GB2312"/>
                <w:color w:val="auto"/>
                <w:sz w:val="28"/>
                <w:szCs w:val="28"/>
              </w:rPr>
            </w:pPr>
          </w:p>
        </w:tc>
        <w:tc>
          <w:tcPr>
            <w:tcW w:w="1102" w:type="dxa"/>
            <w:vAlign w:val="center"/>
          </w:tcPr>
          <w:p w14:paraId="164F4FAD">
            <w:pPr>
              <w:pStyle w:val="2"/>
              <w:keepNext/>
              <w:spacing w:after="0" w:line="440" w:lineRule="exact"/>
              <w:ind w:left="63" w:right="63"/>
              <w:rPr>
                <w:rFonts w:eastAsia="仿宋_GB2312"/>
                <w:color w:val="auto"/>
                <w:sz w:val="30"/>
                <w:szCs w:val="30"/>
              </w:rPr>
            </w:pPr>
          </w:p>
        </w:tc>
        <w:tc>
          <w:tcPr>
            <w:tcW w:w="1102" w:type="dxa"/>
            <w:vAlign w:val="center"/>
          </w:tcPr>
          <w:p w14:paraId="7BB05E2F">
            <w:pPr>
              <w:pStyle w:val="2"/>
              <w:keepNext/>
              <w:spacing w:after="0" w:line="440" w:lineRule="exact"/>
              <w:ind w:left="63" w:right="63"/>
              <w:rPr>
                <w:rFonts w:eastAsia="仿宋_GB2312"/>
                <w:color w:val="auto"/>
                <w:sz w:val="30"/>
                <w:szCs w:val="30"/>
              </w:rPr>
            </w:pPr>
          </w:p>
        </w:tc>
        <w:tc>
          <w:tcPr>
            <w:tcW w:w="4135" w:type="dxa"/>
            <w:vAlign w:val="center"/>
          </w:tcPr>
          <w:p w14:paraId="381A3613">
            <w:pPr>
              <w:pStyle w:val="2"/>
              <w:keepNext/>
              <w:spacing w:after="0" w:line="440" w:lineRule="exact"/>
              <w:ind w:left="63" w:right="63"/>
              <w:rPr>
                <w:rFonts w:eastAsia="仿宋_GB2312"/>
                <w:color w:val="auto"/>
                <w:sz w:val="30"/>
                <w:szCs w:val="30"/>
              </w:rPr>
            </w:pPr>
          </w:p>
        </w:tc>
      </w:tr>
      <w:tr w14:paraId="4E17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6" w:hRule="atLeast"/>
          <w:jc w:val="center"/>
        </w:trPr>
        <w:tc>
          <w:tcPr>
            <w:tcW w:w="1819" w:type="dxa"/>
            <w:vAlign w:val="center"/>
          </w:tcPr>
          <w:p w14:paraId="715D017E">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造价管理（如有）</w:t>
            </w:r>
          </w:p>
        </w:tc>
        <w:tc>
          <w:tcPr>
            <w:tcW w:w="1379" w:type="dxa"/>
            <w:vAlign w:val="center"/>
          </w:tcPr>
          <w:p w14:paraId="180F20DB">
            <w:pPr>
              <w:pStyle w:val="2"/>
              <w:keepNext/>
              <w:spacing w:after="0" w:line="440" w:lineRule="exact"/>
              <w:ind w:left="63" w:right="63"/>
              <w:rPr>
                <w:rFonts w:eastAsia="仿宋_GB2312"/>
                <w:color w:val="auto"/>
                <w:sz w:val="28"/>
                <w:szCs w:val="28"/>
              </w:rPr>
            </w:pPr>
          </w:p>
        </w:tc>
        <w:tc>
          <w:tcPr>
            <w:tcW w:w="1102" w:type="dxa"/>
            <w:vAlign w:val="center"/>
          </w:tcPr>
          <w:p w14:paraId="176C428F">
            <w:pPr>
              <w:pStyle w:val="2"/>
              <w:keepNext/>
              <w:spacing w:after="0" w:line="440" w:lineRule="exact"/>
              <w:ind w:left="63" w:right="63"/>
              <w:rPr>
                <w:rFonts w:eastAsia="仿宋_GB2312"/>
                <w:color w:val="auto"/>
                <w:sz w:val="30"/>
                <w:szCs w:val="30"/>
              </w:rPr>
            </w:pPr>
          </w:p>
        </w:tc>
        <w:tc>
          <w:tcPr>
            <w:tcW w:w="1102" w:type="dxa"/>
            <w:vAlign w:val="center"/>
          </w:tcPr>
          <w:p w14:paraId="2F4228FD">
            <w:pPr>
              <w:pStyle w:val="2"/>
              <w:keepNext/>
              <w:spacing w:after="0" w:line="440" w:lineRule="exact"/>
              <w:ind w:left="63" w:right="63"/>
              <w:rPr>
                <w:rFonts w:eastAsia="仿宋_GB2312"/>
                <w:color w:val="auto"/>
                <w:sz w:val="30"/>
                <w:szCs w:val="30"/>
              </w:rPr>
            </w:pPr>
          </w:p>
        </w:tc>
        <w:tc>
          <w:tcPr>
            <w:tcW w:w="4135" w:type="dxa"/>
            <w:vAlign w:val="center"/>
          </w:tcPr>
          <w:p w14:paraId="182B3EDD">
            <w:pPr>
              <w:pStyle w:val="2"/>
              <w:keepNext/>
              <w:spacing w:after="0" w:line="440" w:lineRule="exact"/>
              <w:ind w:left="63" w:right="63"/>
              <w:rPr>
                <w:rFonts w:eastAsia="仿宋_GB2312"/>
                <w:color w:val="auto"/>
                <w:sz w:val="30"/>
                <w:szCs w:val="30"/>
              </w:rPr>
            </w:pPr>
          </w:p>
        </w:tc>
      </w:tr>
      <w:tr w14:paraId="6355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Merge w:val="restart"/>
            <w:vAlign w:val="center"/>
          </w:tcPr>
          <w:p w14:paraId="73B0A16D">
            <w:pPr>
              <w:pStyle w:val="2"/>
              <w:keepNext/>
              <w:spacing w:line="440" w:lineRule="exact"/>
              <w:ind w:left="63" w:right="63"/>
              <w:rPr>
                <w:rFonts w:eastAsia="仿宋_GB2312"/>
                <w:color w:val="auto"/>
                <w:sz w:val="28"/>
                <w:szCs w:val="28"/>
              </w:rPr>
            </w:pPr>
            <w:r>
              <w:rPr>
                <w:rFonts w:hint="eastAsia" w:eastAsia="仿宋_GB2312" w:cs="仿宋_GB2312"/>
                <w:color w:val="auto"/>
                <w:sz w:val="28"/>
                <w:szCs w:val="28"/>
              </w:rPr>
              <w:t>质量管理（如有）</w:t>
            </w:r>
          </w:p>
        </w:tc>
        <w:tc>
          <w:tcPr>
            <w:tcW w:w="1379" w:type="dxa"/>
            <w:vAlign w:val="center"/>
          </w:tcPr>
          <w:p w14:paraId="5A2DD379">
            <w:pPr>
              <w:pStyle w:val="2"/>
              <w:keepNext/>
              <w:spacing w:after="0" w:line="440" w:lineRule="exact"/>
              <w:ind w:left="63" w:right="63"/>
              <w:rPr>
                <w:rFonts w:eastAsia="仿宋_GB2312"/>
                <w:color w:val="auto"/>
                <w:sz w:val="28"/>
                <w:szCs w:val="28"/>
              </w:rPr>
            </w:pPr>
          </w:p>
        </w:tc>
        <w:tc>
          <w:tcPr>
            <w:tcW w:w="1102" w:type="dxa"/>
            <w:vAlign w:val="center"/>
          </w:tcPr>
          <w:p w14:paraId="2B16B2FB">
            <w:pPr>
              <w:pStyle w:val="2"/>
              <w:keepNext/>
              <w:spacing w:after="0" w:line="440" w:lineRule="exact"/>
              <w:ind w:left="63" w:right="63"/>
              <w:rPr>
                <w:rFonts w:eastAsia="仿宋_GB2312"/>
                <w:color w:val="auto"/>
                <w:sz w:val="30"/>
                <w:szCs w:val="30"/>
              </w:rPr>
            </w:pPr>
          </w:p>
        </w:tc>
        <w:tc>
          <w:tcPr>
            <w:tcW w:w="1102" w:type="dxa"/>
            <w:vAlign w:val="center"/>
          </w:tcPr>
          <w:p w14:paraId="20DD21D9">
            <w:pPr>
              <w:pStyle w:val="2"/>
              <w:keepNext/>
              <w:spacing w:after="0" w:line="440" w:lineRule="exact"/>
              <w:ind w:left="63" w:right="63"/>
              <w:rPr>
                <w:rFonts w:eastAsia="仿宋_GB2312"/>
                <w:color w:val="auto"/>
                <w:sz w:val="30"/>
                <w:szCs w:val="30"/>
              </w:rPr>
            </w:pPr>
          </w:p>
        </w:tc>
        <w:tc>
          <w:tcPr>
            <w:tcW w:w="4135" w:type="dxa"/>
            <w:vAlign w:val="center"/>
          </w:tcPr>
          <w:p w14:paraId="5E68536D">
            <w:pPr>
              <w:pStyle w:val="2"/>
              <w:keepNext/>
              <w:spacing w:after="0" w:line="440" w:lineRule="exact"/>
              <w:ind w:left="63" w:right="63"/>
              <w:rPr>
                <w:rFonts w:eastAsia="仿宋_GB2312"/>
                <w:color w:val="auto"/>
                <w:sz w:val="30"/>
                <w:szCs w:val="30"/>
              </w:rPr>
            </w:pPr>
          </w:p>
        </w:tc>
      </w:tr>
      <w:tr w14:paraId="6E0D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Merge w:val="continue"/>
            <w:vAlign w:val="center"/>
          </w:tcPr>
          <w:p w14:paraId="608502F2">
            <w:pPr>
              <w:pStyle w:val="2"/>
              <w:keepNext/>
              <w:spacing w:line="440" w:lineRule="exact"/>
              <w:ind w:left="63" w:right="63"/>
              <w:rPr>
                <w:rFonts w:eastAsia="仿宋_GB2312"/>
                <w:color w:val="auto"/>
                <w:sz w:val="28"/>
                <w:szCs w:val="28"/>
              </w:rPr>
            </w:pPr>
          </w:p>
        </w:tc>
        <w:tc>
          <w:tcPr>
            <w:tcW w:w="1379" w:type="dxa"/>
            <w:vAlign w:val="center"/>
          </w:tcPr>
          <w:p w14:paraId="69CEEFA7">
            <w:pPr>
              <w:pStyle w:val="2"/>
              <w:keepNext/>
              <w:spacing w:after="0" w:line="440" w:lineRule="exact"/>
              <w:ind w:left="63" w:right="63"/>
              <w:rPr>
                <w:rFonts w:eastAsia="仿宋_GB2312"/>
                <w:color w:val="auto"/>
                <w:sz w:val="28"/>
                <w:szCs w:val="28"/>
              </w:rPr>
            </w:pPr>
          </w:p>
        </w:tc>
        <w:tc>
          <w:tcPr>
            <w:tcW w:w="1102" w:type="dxa"/>
            <w:vAlign w:val="center"/>
          </w:tcPr>
          <w:p w14:paraId="42CCCF88">
            <w:pPr>
              <w:pStyle w:val="2"/>
              <w:keepNext/>
              <w:spacing w:after="0" w:line="440" w:lineRule="exact"/>
              <w:ind w:left="63" w:right="63"/>
              <w:rPr>
                <w:rFonts w:eastAsia="仿宋_GB2312"/>
                <w:color w:val="auto"/>
                <w:sz w:val="30"/>
                <w:szCs w:val="30"/>
              </w:rPr>
            </w:pPr>
          </w:p>
        </w:tc>
        <w:tc>
          <w:tcPr>
            <w:tcW w:w="1102" w:type="dxa"/>
            <w:vAlign w:val="center"/>
          </w:tcPr>
          <w:p w14:paraId="46426388">
            <w:pPr>
              <w:pStyle w:val="2"/>
              <w:keepNext/>
              <w:spacing w:after="0" w:line="440" w:lineRule="exact"/>
              <w:ind w:left="63" w:right="63"/>
              <w:rPr>
                <w:rFonts w:eastAsia="仿宋_GB2312"/>
                <w:color w:val="auto"/>
                <w:sz w:val="30"/>
                <w:szCs w:val="30"/>
              </w:rPr>
            </w:pPr>
          </w:p>
        </w:tc>
        <w:tc>
          <w:tcPr>
            <w:tcW w:w="4135" w:type="dxa"/>
            <w:vAlign w:val="center"/>
          </w:tcPr>
          <w:p w14:paraId="7BF12B0C">
            <w:pPr>
              <w:pStyle w:val="2"/>
              <w:keepNext/>
              <w:spacing w:after="0" w:line="440" w:lineRule="exact"/>
              <w:ind w:left="63" w:right="63"/>
              <w:rPr>
                <w:rFonts w:eastAsia="仿宋_GB2312"/>
                <w:color w:val="auto"/>
                <w:sz w:val="30"/>
                <w:szCs w:val="30"/>
              </w:rPr>
            </w:pPr>
          </w:p>
        </w:tc>
      </w:tr>
      <w:tr w14:paraId="1B47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Merge w:val="continue"/>
            <w:vAlign w:val="center"/>
          </w:tcPr>
          <w:p w14:paraId="15E6CDFD">
            <w:pPr>
              <w:pStyle w:val="2"/>
              <w:keepNext/>
              <w:spacing w:after="0" w:line="440" w:lineRule="exact"/>
              <w:ind w:left="63" w:right="63"/>
              <w:rPr>
                <w:rFonts w:eastAsia="仿宋_GB2312"/>
                <w:color w:val="auto"/>
                <w:sz w:val="28"/>
                <w:szCs w:val="28"/>
              </w:rPr>
            </w:pPr>
          </w:p>
        </w:tc>
        <w:tc>
          <w:tcPr>
            <w:tcW w:w="1379" w:type="dxa"/>
            <w:vAlign w:val="center"/>
          </w:tcPr>
          <w:p w14:paraId="52791B2E">
            <w:pPr>
              <w:pStyle w:val="2"/>
              <w:keepNext/>
              <w:spacing w:after="0" w:line="440" w:lineRule="exact"/>
              <w:ind w:left="63" w:right="63"/>
              <w:rPr>
                <w:rFonts w:eastAsia="仿宋_GB2312"/>
                <w:color w:val="auto"/>
                <w:sz w:val="28"/>
                <w:szCs w:val="28"/>
              </w:rPr>
            </w:pPr>
          </w:p>
        </w:tc>
        <w:tc>
          <w:tcPr>
            <w:tcW w:w="1102" w:type="dxa"/>
            <w:vAlign w:val="center"/>
          </w:tcPr>
          <w:p w14:paraId="0B149D5D">
            <w:pPr>
              <w:pStyle w:val="2"/>
              <w:keepNext/>
              <w:spacing w:after="0" w:line="440" w:lineRule="exact"/>
              <w:ind w:left="63" w:right="63"/>
              <w:rPr>
                <w:rFonts w:eastAsia="仿宋_GB2312"/>
                <w:color w:val="auto"/>
                <w:sz w:val="30"/>
                <w:szCs w:val="30"/>
              </w:rPr>
            </w:pPr>
          </w:p>
        </w:tc>
        <w:tc>
          <w:tcPr>
            <w:tcW w:w="1102" w:type="dxa"/>
            <w:vAlign w:val="center"/>
          </w:tcPr>
          <w:p w14:paraId="30E5B09C">
            <w:pPr>
              <w:pStyle w:val="2"/>
              <w:keepNext/>
              <w:spacing w:after="0" w:line="440" w:lineRule="exact"/>
              <w:ind w:left="63" w:right="63"/>
              <w:rPr>
                <w:rFonts w:eastAsia="仿宋_GB2312"/>
                <w:color w:val="auto"/>
                <w:sz w:val="30"/>
                <w:szCs w:val="30"/>
              </w:rPr>
            </w:pPr>
          </w:p>
        </w:tc>
        <w:tc>
          <w:tcPr>
            <w:tcW w:w="4135" w:type="dxa"/>
            <w:vAlign w:val="center"/>
          </w:tcPr>
          <w:p w14:paraId="76B51082">
            <w:pPr>
              <w:pStyle w:val="2"/>
              <w:keepNext/>
              <w:spacing w:after="0" w:line="440" w:lineRule="exact"/>
              <w:ind w:left="63" w:right="63"/>
              <w:rPr>
                <w:rFonts w:eastAsia="仿宋_GB2312"/>
                <w:color w:val="auto"/>
                <w:sz w:val="30"/>
                <w:szCs w:val="30"/>
              </w:rPr>
            </w:pPr>
          </w:p>
        </w:tc>
      </w:tr>
      <w:tr w14:paraId="4591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6" w:hRule="atLeast"/>
          <w:jc w:val="center"/>
        </w:trPr>
        <w:tc>
          <w:tcPr>
            <w:tcW w:w="1819" w:type="dxa"/>
            <w:vAlign w:val="center"/>
          </w:tcPr>
          <w:p w14:paraId="17C11CBF">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材料管理（如有）</w:t>
            </w:r>
          </w:p>
        </w:tc>
        <w:tc>
          <w:tcPr>
            <w:tcW w:w="1379" w:type="dxa"/>
            <w:vAlign w:val="center"/>
          </w:tcPr>
          <w:p w14:paraId="667891AB">
            <w:pPr>
              <w:pStyle w:val="2"/>
              <w:keepNext/>
              <w:spacing w:after="0" w:line="440" w:lineRule="exact"/>
              <w:ind w:left="63" w:right="63"/>
              <w:rPr>
                <w:rFonts w:eastAsia="仿宋_GB2312"/>
                <w:color w:val="auto"/>
                <w:sz w:val="28"/>
                <w:szCs w:val="28"/>
              </w:rPr>
            </w:pPr>
          </w:p>
        </w:tc>
        <w:tc>
          <w:tcPr>
            <w:tcW w:w="1102" w:type="dxa"/>
            <w:vAlign w:val="center"/>
          </w:tcPr>
          <w:p w14:paraId="3A79357F">
            <w:pPr>
              <w:pStyle w:val="2"/>
              <w:keepNext/>
              <w:spacing w:after="0" w:line="440" w:lineRule="exact"/>
              <w:ind w:left="63" w:right="63"/>
              <w:rPr>
                <w:rFonts w:eastAsia="仿宋_GB2312"/>
                <w:color w:val="auto"/>
                <w:sz w:val="30"/>
                <w:szCs w:val="30"/>
              </w:rPr>
            </w:pPr>
          </w:p>
        </w:tc>
        <w:tc>
          <w:tcPr>
            <w:tcW w:w="1102" w:type="dxa"/>
            <w:vAlign w:val="center"/>
          </w:tcPr>
          <w:p w14:paraId="570623F3">
            <w:pPr>
              <w:pStyle w:val="2"/>
              <w:keepNext/>
              <w:spacing w:after="0" w:line="440" w:lineRule="exact"/>
              <w:ind w:left="63" w:right="63"/>
              <w:rPr>
                <w:rFonts w:eastAsia="仿宋_GB2312"/>
                <w:color w:val="auto"/>
                <w:sz w:val="30"/>
                <w:szCs w:val="30"/>
              </w:rPr>
            </w:pPr>
          </w:p>
        </w:tc>
        <w:tc>
          <w:tcPr>
            <w:tcW w:w="4135" w:type="dxa"/>
            <w:vAlign w:val="center"/>
          </w:tcPr>
          <w:p w14:paraId="219E00D0">
            <w:pPr>
              <w:pStyle w:val="2"/>
              <w:keepNext/>
              <w:spacing w:after="0" w:line="440" w:lineRule="exact"/>
              <w:ind w:left="63" w:right="63"/>
              <w:rPr>
                <w:rFonts w:eastAsia="仿宋_GB2312"/>
                <w:color w:val="auto"/>
                <w:sz w:val="30"/>
                <w:szCs w:val="30"/>
              </w:rPr>
            </w:pPr>
          </w:p>
        </w:tc>
      </w:tr>
      <w:tr w14:paraId="020B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6" w:hRule="atLeast"/>
          <w:jc w:val="center"/>
        </w:trPr>
        <w:tc>
          <w:tcPr>
            <w:tcW w:w="1819" w:type="dxa"/>
            <w:vAlign w:val="center"/>
          </w:tcPr>
          <w:p w14:paraId="0B8D4D1F">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计划管理（如有）</w:t>
            </w:r>
          </w:p>
        </w:tc>
        <w:tc>
          <w:tcPr>
            <w:tcW w:w="1379" w:type="dxa"/>
            <w:vAlign w:val="center"/>
          </w:tcPr>
          <w:p w14:paraId="46D46299">
            <w:pPr>
              <w:pStyle w:val="2"/>
              <w:keepNext/>
              <w:spacing w:after="0" w:line="440" w:lineRule="exact"/>
              <w:ind w:left="63" w:right="63"/>
              <w:rPr>
                <w:rFonts w:eastAsia="仿宋_GB2312"/>
                <w:color w:val="auto"/>
                <w:sz w:val="28"/>
                <w:szCs w:val="28"/>
              </w:rPr>
            </w:pPr>
          </w:p>
        </w:tc>
        <w:tc>
          <w:tcPr>
            <w:tcW w:w="1102" w:type="dxa"/>
            <w:vAlign w:val="center"/>
          </w:tcPr>
          <w:p w14:paraId="5CD7543B">
            <w:pPr>
              <w:pStyle w:val="2"/>
              <w:keepNext/>
              <w:spacing w:after="0" w:line="440" w:lineRule="exact"/>
              <w:ind w:left="63" w:right="63"/>
              <w:rPr>
                <w:rFonts w:eastAsia="仿宋_GB2312"/>
                <w:color w:val="auto"/>
                <w:sz w:val="30"/>
                <w:szCs w:val="30"/>
              </w:rPr>
            </w:pPr>
          </w:p>
        </w:tc>
        <w:tc>
          <w:tcPr>
            <w:tcW w:w="1102" w:type="dxa"/>
            <w:vAlign w:val="center"/>
          </w:tcPr>
          <w:p w14:paraId="4BC754AB">
            <w:pPr>
              <w:pStyle w:val="2"/>
              <w:keepNext/>
              <w:spacing w:after="0" w:line="440" w:lineRule="exact"/>
              <w:ind w:left="63" w:right="63"/>
              <w:rPr>
                <w:rFonts w:eastAsia="仿宋_GB2312"/>
                <w:color w:val="auto"/>
                <w:sz w:val="30"/>
                <w:szCs w:val="30"/>
              </w:rPr>
            </w:pPr>
          </w:p>
        </w:tc>
        <w:tc>
          <w:tcPr>
            <w:tcW w:w="4135" w:type="dxa"/>
            <w:vAlign w:val="center"/>
          </w:tcPr>
          <w:p w14:paraId="3907F9EA">
            <w:pPr>
              <w:pStyle w:val="2"/>
              <w:keepNext/>
              <w:spacing w:after="0" w:line="440" w:lineRule="exact"/>
              <w:ind w:left="63" w:right="63"/>
              <w:rPr>
                <w:rFonts w:eastAsia="仿宋_GB2312"/>
                <w:color w:val="auto"/>
                <w:sz w:val="30"/>
                <w:szCs w:val="30"/>
              </w:rPr>
            </w:pPr>
          </w:p>
        </w:tc>
      </w:tr>
      <w:tr w14:paraId="0568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Merge w:val="restart"/>
            <w:vAlign w:val="center"/>
          </w:tcPr>
          <w:p w14:paraId="09493AEE">
            <w:pPr>
              <w:pStyle w:val="2"/>
              <w:keepNext/>
              <w:spacing w:line="440" w:lineRule="exact"/>
              <w:ind w:left="63" w:right="63"/>
              <w:rPr>
                <w:rFonts w:eastAsia="仿宋_GB2312"/>
                <w:color w:val="auto"/>
                <w:sz w:val="28"/>
                <w:szCs w:val="28"/>
              </w:rPr>
            </w:pPr>
            <w:r>
              <w:rPr>
                <w:rFonts w:hint="eastAsia" w:eastAsia="仿宋_GB2312" w:cs="仿宋_GB2312"/>
                <w:color w:val="auto"/>
                <w:sz w:val="28"/>
                <w:szCs w:val="28"/>
              </w:rPr>
              <w:t>安全管理</w:t>
            </w:r>
          </w:p>
        </w:tc>
        <w:tc>
          <w:tcPr>
            <w:tcW w:w="1379" w:type="dxa"/>
            <w:vAlign w:val="center"/>
          </w:tcPr>
          <w:p w14:paraId="59667675">
            <w:pPr>
              <w:pStyle w:val="2"/>
              <w:keepNext/>
              <w:spacing w:after="0" w:line="440" w:lineRule="exact"/>
              <w:ind w:left="63" w:right="63"/>
              <w:rPr>
                <w:rFonts w:eastAsia="仿宋_GB2312"/>
                <w:color w:val="auto"/>
                <w:sz w:val="28"/>
                <w:szCs w:val="28"/>
              </w:rPr>
            </w:pPr>
          </w:p>
        </w:tc>
        <w:tc>
          <w:tcPr>
            <w:tcW w:w="1102" w:type="dxa"/>
            <w:vAlign w:val="center"/>
          </w:tcPr>
          <w:p w14:paraId="4ADB479A">
            <w:pPr>
              <w:pStyle w:val="2"/>
              <w:keepNext/>
              <w:spacing w:after="0" w:line="440" w:lineRule="exact"/>
              <w:ind w:left="63" w:right="63"/>
              <w:rPr>
                <w:rFonts w:eastAsia="仿宋_GB2312"/>
                <w:color w:val="auto"/>
                <w:sz w:val="30"/>
                <w:szCs w:val="30"/>
              </w:rPr>
            </w:pPr>
          </w:p>
        </w:tc>
        <w:tc>
          <w:tcPr>
            <w:tcW w:w="1102" w:type="dxa"/>
            <w:vAlign w:val="center"/>
          </w:tcPr>
          <w:p w14:paraId="5956B915">
            <w:pPr>
              <w:pStyle w:val="2"/>
              <w:keepNext/>
              <w:spacing w:after="0" w:line="440" w:lineRule="exact"/>
              <w:ind w:left="63" w:right="63"/>
              <w:rPr>
                <w:rFonts w:eastAsia="仿宋_GB2312"/>
                <w:color w:val="auto"/>
                <w:sz w:val="30"/>
                <w:szCs w:val="30"/>
              </w:rPr>
            </w:pPr>
          </w:p>
        </w:tc>
        <w:tc>
          <w:tcPr>
            <w:tcW w:w="4135" w:type="dxa"/>
            <w:vAlign w:val="center"/>
          </w:tcPr>
          <w:p w14:paraId="6F07482C">
            <w:pPr>
              <w:pStyle w:val="2"/>
              <w:keepNext/>
              <w:spacing w:after="0" w:line="440" w:lineRule="exact"/>
              <w:ind w:left="63" w:right="63"/>
              <w:rPr>
                <w:rFonts w:eastAsia="仿宋_GB2312"/>
                <w:color w:val="auto"/>
                <w:sz w:val="30"/>
                <w:szCs w:val="30"/>
              </w:rPr>
            </w:pPr>
          </w:p>
        </w:tc>
      </w:tr>
      <w:tr w14:paraId="083F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Merge w:val="continue"/>
            <w:vAlign w:val="center"/>
          </w:tcPr>
          <w:p w14:paraId="1C18206A">
            <w:pPr>
              <w:pStyle w:val="2"/>
              <w:keepNext/>
              <w:spacing w:line="440" w:lineRule="exact"/>
              <w:ind w:left="63" w:right="63"/>
              <w:rPr>
                <w:rFonts w:eastAsia="仿宋_GB2312"/>
                <w:color w:val="auto"/>
                <w:sz w:val="28"/>
                <w:szCs w:val="28"/>
              </w:rPr>
            </w:pPr>
          </w:p>
        </w:tc>
        <w:tc>
          <w:tcPr>
            <w:tcW w:w="1379" w:type="dxa"/>
            <w:vAlign w:val="center"/>
          </w:tcPr>
          <w:p w14:paraId="64A04724">
            <w:pPr>
              <w:pStyle w:val="2"/>
              <w:keepNext/>
              <w:spacing w:after="0" w:line="440" w:lineRule="exact"/>
              <w:ind w:left="63" w:right="63"/>
              <w:rPr>
                <w:rFonts w:eastAsia="仿宋_GB2312"/>
                <w:color w:val="auto"/>
                <w:sz w:val="28"/>
                <w:szCs w:val="28"/>
              </w:rPr>
            </w:pPr>
          </w:p>
        </w:tc>
        <w:tc>
          <w:tcPr>
            <w:tcW w:w="1102" w:type="dxa"/>
            <w:vAlign w:val="center"/>
          </w:tcPr>
          <w:p w14:paraId="73D6189A">
            <w:pPr>
              <w:pStyle w:val="2"/>
              <w:keepNext/>
              <w:spacing w:after="0" w:line="440" w:lineRule="exact"/>
              <w:ind w:left="63" w:right="63"/>
              <w:rPr>
                <w:rFonts w:eastAsia="仿宋_GB2312"/>
                <w:color w:val="auto"/>
                <w:sz w:val="30"/>
                <w:szCs w:val="30"/>
              </w:rPr>
            </w:pPr>
          </w:p>
        </w:tc>
        <w:tc>
          <w:tcPr>
            <w:tcW w:w="1102" w:type="dxa"/>
            <w:vAlign w:val="center"/>
          </w:tcPr>
          <w:p w14:paraId="777AB4B1">
            <w:pPr>
              <w:pStyle w:val="2"/>
              <w:keepNext/>
              <w:spacing w:after="0" w:line="440" w:lineRule="exact"/>
              <w:ind w:left="63" w:right="63"/>
              <w:rPr>
                <w:rFonts w:eastAsia="仿宋_GB2312"/>
                <w:color w:val="auto"/>
                <w:sz w:val="30"/>
                <w:szCs w:val="30"/>
              </w:rPr>
            </w:pPr>
          </w:p>
        </w:tc>
        <w:tc>
          <w:tcPr>
            <w:tcW w:w="4135" w:type="dxa"/>
            <w:vAlign w:val="center"/>
          </w:tcPr>
          <w:p w14:paraId="3972E81B">
            <w:pPr>
              <w:pStyle w:val="2"/>
              <w:keepNext/>
              <w:spacing w:after="0" w:line="440" w:lineRule="exact"/>
              <w:ind w:left="63" w:right="63"/>
              <w:rPr>
                <w:rFonts w:eastAsia="仿宋_GB2312"/>
                <w:color w:val="auto"/>
                <w:sz w:val="30"/>
                <w:szCs w:val="30"/>
              </w:rPr>
            </w:pPr>
          </w:p>
        </w:tc>
      </w:tr>
      <w:tr w14:paraId="0CA6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Merge w:val="continue"/>
            <w:vAlign w:val="center"/>
          </w:tcPr>
          <w:p w14:paraId="7AA48C86">
            <w:pPr>
              <w:pStyle w:val="2"/>
              <w:keepNext/>
              <w:spacing w:after="0" w:line="440" w:lineRule="exact"/>
              <w:ind w:left="63" w:right="63"/>
              <w:rPr>
                <w:rFonts w:eastAsia="仿宋_GB2312"/>
                <w:color w:val="auto"/>
                <w:sz w:val="28"/>
                <w:szCs w:val="28"/>
              </w:rPr>
            </w:pPr>
          </w:p>
        </w:tc>
        <w:tc>
          <w:tcPr>
            <w:tcW w:w="1379" w:type="dxa"/>
            <w:vAlign w:val="center"/>
          </w:tcPr>
          <w:p w14:paraId="15AFFB86">
            <w:pPr>
              <w:pStyle w:val="2"/>
              <w:keepNext/>
              <w:spacing w:after="0" w:line="440" w:lineRule="exact"/>
              <w:ind w:left="63" w:right="63"/>
              <w:rPr>
                <w:rFonts w:eastAsia="仿宋_GB2312"/>
                <w:color w:val="auto"/>
                <w:sz w:val="28"/>
                <w:szCs w:val="28"/>
              </w:rPr>
            </w:pPr>
          </w:p>
        </w:tc>
        <w:tc>
          <w:tcPr>
            <w:tcW w:w="1102" w:type="dxa"/>
            <w:vAlign w:val="center"/>
          </w:tcPr>
          <w:p w14:paraId="1B510D7D">
            <w:pPr>
              <w:pStyle w:val="2"/>
              <w:keepNext/>
              <w:spacing w:after="0" w:line="440" w:lineRule="exact"/>
              <w:ind w:left="63" w:right="63"/>
              <w:rPr>
                <w:rFonts w:eastAsia="仿宋_GB2312"/>
                <w:color w:val="auto"/>
                <w:sz w:val="30"/>
                <w:szCs w:val="30"/>
              </w:rPr>
            </w:pPr>
          </w:p>
        </w:tc>
        <w:tc>
          <w:tcPr>
            <w:tcW w:w="1102" w:type="dxa"/>
            <w:vAlign w:val="center"/>
          </w:tcPr>
          <w:p w14:paraId="0F7F24AB">
            <w:pPr>
              <w:pStyle w:val="2"/>
              <w:keepNext/>
              <w:spacing w:after="0" w:line="440" w:lineRule="exact"/>
              <w:ind w:left="63" w:right="63"/>
              <w:rPr>
                <w:rFonts w:eastAsia="仿宋_GB2312"/>
                <w:color w:val="auto"/>
                <w:sz w:val="30"/>
                <w:szCs w:val="30"/>
              </w:rPr>
            </w:pPr>
          </w:p>
        </w:tc>
        <w:tc>
          <w:tcPr>
            <w:tcW w:w="4135" w:type="dxa"/>
            <w:vAlign w:val="center"/>
          </w:tcPr>
          <w:p w14:paraId="1BAE66B3">
            <w:pPr>
              <w:pStyle w:val="2"/>
              <w:keepNext/>
              <w:spacing w:after="0" w:line="440" w:lineRule="exact"/>
              <w:ind w:left="63" w:right="63"/>
              <w:rPr>
                <w:rFonts w:eastAsia="仿宋_GB2312"/>
                <w:color w:val="auto"/>
                <w:sz w:val="30"/>
                <w:szCs w:val="30"/>
              </w:rPr>
            </w:pPr>
          </w:p>
        </w:tc>
      </w:tr>
      <w:tr w14:paraId="39FA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Merge w:val="restart"/>
            <w:vAlign w:val="center"/>
          </w:tcPr>
          <w:p w14:paraId="7119E250">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其他人员</w:t>
            </w:r>
          </w:p>
        </w:tc>
        <w:tc>
          <w:tcPr>
            <w:tcW w:w="1379" w:type="dxa"/>
            <w:vAlign w:val="center"/>
          </w:tcPr>
          <w:p w14:paraId="090C0729">
            <w:pPr>
              <w:pStyle w:val="2"/>
              <w:keepNext/>
              <w:spacing w:after="0" w:line="440" w:lineRule="exact"/>
              <w:ind w:left="63" w:right="63"/>
              <w:rPr>
                <w:rFonts w:eastAsia="仿宋_GB2312"/>
                <w:color w:val="auto"/>
                <w:sz w:val="28"/>
                <w:szCs w:val="28"/>
              </w:rPr>
            </w:pPr>
          </w:p>
        </w:tc>
        <w:tc>
          <w:tcPr>
            <w:tcW w:w="1102" w:type="dxa"/>
            <w:vAlign w:val="center"/>
          </w:tcPr>
          <w:p w14:paraId="2D7B592E">
            <w:pPr>
              <w:pStyle w:val="2"/>
              <w:keepNext/>
              <w:spacing w:after="0" w:line="440" w:lineRule="exact"/>
              <w:ind w:left="63" w:right="63"/>
              <w:rPr>
                <w:rFonts w:eastAsia="仿宋_GB2312"/>
                <w:color w:val="auto"/>
                <w:sz w:val="30"/>
                <w:szCs w:val="30"/>
              </w:rPr>
            </w:pPr>
          </w:p>
        </w:tc>
        <w:tc>
          <w:tcPr>
            <w:tcW w:w="1102" w:type="dxa"/>
            <w:vAlign w:val="center"/>
          </w:tcPr>
          <w:p w14:paraId="701916C5">
            <w:pPr>
              <w:pStyle w:val="2"/>
              <w:keepNext/>
              <w:spacing w:after="0" w:line="440" w:lineRule="exact"/>
              <w:ind w:left="63" w:right="63"/>
              <w:rPr>
                <w:rFonts w:eastAsia="仿宋_GB2312"/>
                <w:color w:val="auto"/>
                <w:sz w:val="30"/>
                <w:szCs w:val="30"/>
              </w:rPr>
            </w:pPr>
          </w:p>
        </w:tc>
        <w:tc>
          <w:tcPr>
            <w:tcW w:w="4135" w:type="dxa"/>
            <w:vAlign w:val="center"/>
          </w:tcPr>
          <w:p w14:paraId="0D8B7456">
            <w:pPr>
              <w:pStyle w:val="2"/>
              <w:keepNext/>
              <w:spacing w:after="0" w:line="440" w:lineRule="exact"/>
              <w:ind w:left="63" w:right="63"/>
              <w:rPr>
                <w:rFonts w:eastAsia="仿宋_GB2312"/>
                <w:color w:val="auto"/>
                <w:sz w:val="30"/>
                <w:szCs w:val="30"/>
              </w:rPr>
            </w:pPr>
          </w:p>
        </w:tc>
      </w:tr>
      <w:tr w14:paraId="0803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Merge w:val="continue"/>
            <w:vAlign w:val="center"/>
          </w:tcPr>
          <w:p w14:paraId="64FC1DF1">
            <w:pPr>
              <w:pStyle w:val="2"/>
              <w:keepNext/>
              <w:spacing w:after="0" w:line="440" w:lineRule="exact"/>
              <w:ind w:left="63" w:right="63"/>
              <w:rPr>
                <w:rFonts w:eastAsia="仿宋_GB2312"/>
                <w:color w:val="auto"/>
                <w:sz w:val="28"/>
                <w:szCs w:val="28"/>
              </w:rPr>
            </w:pPr>
          </w:p>
        </w:tc>
        <w:tc>
          <w:tcPr>
            <w:tcW w:w="1379" w:type="dxa"/>
            <w:vAlign w:val="center"/>
          </w:tcPr>
          <w:p w14:paraId="37159692">
            <w:pPr>
              <w:pStyle w:val="2"/>
              <w:keepNext/>
              <w:spacing w:after="0" w:line="440" w:lineRule="exact"/>
              <w:ind w:left="63" w:right="63"/>
              <w:rPr>
                <w:rFonts w:eastAsia="仿宋_GB2312"/>
                <w:color w:val="auto"/>
                <w:sz w:val="28"/>
                <w:szCs w:val="28"/>
              </w:rPr>
            </w:pPr>
          </w:p>
        </w:tc>
        <w:tc>
          <w:tcPr>
            <w:tcW w:w="1102" w:type="dxa"/>
            <w:vAlign w:val="center"/>
          </w:tcPr>
          <w:p w14:paraId="523E27B8">
            <w:pPr>
              <w:pStyle w:val="2"/>
              <w:keepNext/>
              <w:spacing w:after="0" w:line="440" w:lineRule="exact"/>
              <w:ind w:left="63" w:right="63"/>
              <w:rPr>
                <w:rFonts w:eastAsia="仿宋_GB2312"/>
                <w:color w:val="auto"/>
                <w:sz w:val="30"/>
                <w:szCs w:val="30"/>
              </w:rPr>
            </w:pPr>
          </w:p>
        </w:tc>
        <w:tc>
          <w:tcPr>
            <w:tcW w:w="1102" w:type="dxa"/>
            <w:vAlign w:val="center"/>
          </w:tcPr>
          <w:p w14:paraId="35869F07">
            <w:pPr>
              <w:pStyle w:val="2"/>
              <w:keepNext/>
              <w:spacing w:after="0" w:line="440" w:lineRule="exact"/>
              <w:ind w:left="63" w:right="63"/>
              <w:rPr>
                <w:rFonts w:eastAsia="仿宋_GB2312"/>
                <w:color w:val="auto"/>
                <w:sz w:val="30"/>
                <w:szCs w:val="30"/>
              </w:rPr>
            </w:pPr>
          </w:p>
        </w:tc>
        <w:tc>
          <w:tcPr>
            <w:tcW w:w="4135" w:type="dxa"/>
            <w:vAlign w:val="center"/>
          </w:tcPr>
          <w:p w14:paraId="088F9993">
            <w:pPr>
              <w:pStyle w:val="2"/>
              <w:keepNext/>
              <w:spacing w:after="0" w:line="440" w:lineRule="exact"/>
              <w:ind w:left="63" w:right="63"/>
              <w:rPr>
                <w:rFonts w:eastAsia="仿宋_GB2312"/>
                <w:color w:val="auto"/>
                <w:sz w:val="30"/>
                <w:szCs w:val="30"/>
              </w:rPr>
            </w:pPr>
          </w:p>
        </w:tc>
      </w:tr>
      <w:tr w14:paraId="6812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1819" w:type="dxa"/>
            <w:vMerge w:val="continue"/>
            <w:vAlign w:val="center"/>
          </w:tcPr>
          <w:p w14:paraId="04C29DE5">
            <w:pPr>
              <w:pStyle w:val="2"/>
              <w:keepNext/>
              <w:spacing w:after="0" w:line="440" w:lineRule="exact"/>
              <w:ind w:left="63" w:right="63"/>
              <w:rPr>
                <w:rFonts w:eastAsia="仿宋_GB2312"/>
                <w:color w:val="auto"/>
                <w:sz w:val="28"/>
                <w:szCs w:val="28"/>
              </w:rPr>
            </w:pPr>
          </w:p>
        </w:tc>
        <w:tc>
          <w:tcPr>
            <w:tcW w:w="1379" w:type="dxa"/>
            <w:vAlign w:val="center"/>
          </w:tcPr>
          <w:p w14:paraId="392FFFBB">
            <w:pPr>
              <w:pStyle w:val="2"/>
              <w:keepNext/>
              <w:spacing w:after="0" w:line="440" w:lineRule="exact"/>
              <w:ind w:left="63" w:right="63"/>
              <w:rPr>
                <w:rFonts w:eastAsia="仿宋_GB2312"/>
                <w:color w:val="auto"/>
                <w:sz w:val="28"/>
                <w:szCs w:val="28"/>
              </w:rPr>
            </w:pPr>
          </w:p>
        </w:tc>
        <w:tc>
          <w:tcPr>
            <w:tcW w:w="1102" w:type="dxa"/>
            <w:vAlign w:val="center"/>
          </w:tcPr>
          <w:p w14:paraId="017282DA">
            <w:pPr>
              <w:pStyle w:val="2"/>
              <w:keepNext/>
              <w:spacing w:after="0" w:line="440" w:lineRule="exact"/>
              <w:ind w:left="63" w:right="63"/>
              <w:rPr>
                <w:rFonts w:eastAsia="仿宋_GB2312"/>
                <w:color w:val="auto"/>
                <w:sz w:val="30"/>
                <w:szCs w:val="30"/>
              </w:rPr>
            </w:pPr>
          </w:p>
        </w:tc>
        <w:tc>
          <w:tcPr>
            <w:tcW w:w="1102" w:type="dxa"/>
            <w:vAlign w:val="center"/>
          </w:tcPr>
          <w:p w14:paraId="21129779">
            <w:pPr>
              <w:pStyle w:val="2"/>
              <w:keepNext/>
              <w:spacing w:after="0" w:line="440" w:lineRule="exact"/>
              <w:ind w:left="63" w:right="63"/>
              <w:rPr>
                <w:rFonts w:eastAsia="仿宋_GB2312"/>
                <w:color w:val="auto"/>
                <w:sz w:val="30"/>
                <w:szCs w:val="30"/>
              </w:rPr>
            </w:pPr>
          </w:p>
        </w:tc>
        <w:tc>
          <w:tcPr>
            <w:tcW w:w="4135" w:type="dxa"/>
            <w:vAlign w:val="center"/>
          </w:tcPr>
          <w:p w14:paraId="6149D23A">
            <w:pPr>
              <w:pStyle w:val="2"/>
              <w:keepNext/>
              <w:spacing w:after="0" w:line="440" w:lineRule="exact"/>
              <w:ind w:left="63" w:right="63"/>
              <w:rPr>
                <w:rFonts w:eastAsia="仿宋_GB2312"/>
                <w:color w:val="auto"/>
                <w:sz w:val="30"/>
                <w:szCs w:val="30"/>
              </w:rPr>
            </w:pPr>
          </w:p>
        </w:tc>
      </w:tr>
    </w:tbl>
    <w:p w14:paraId="3588CFE7">
      <w:pPr>
        <w:spacing w:line="360" w:lineRule="auto"/>
        <w:jc w:val="left"/>
        <w:rPr>
          <w:rFonts w:hint="eastAsia" w:ascii="黑体" w:hAnsi="黑体" w:eastAsia="黑体" w:cs="黑体"/>
          <w:color w:val="auto"/>
          <w:sz w:val="32"/>
          <w:szCs w:val="32"/>
        </w:rPr>
      </w:pPr>
      <w:r>
        <w:rPr>
          <w:rFonts w:eastAsia="仿宋_GB2312"/>
          <w:color w:val="auto"/>
          <w:sz w:val="30"/>
          <w:szCs w:val="30"/>
        </w:rPr>
        <w:br w:type="page"/>
      </w:r>
      <w:bookmarkStart w:id="1526" w:name="_Toc267261701"/>
      <w:r>
        <w:rPr>
          <w:rFonts w:hint="eastAsia" w:ascii="黑体" w:hAnsi="黑体" w:eastAsia="黑体" w:cs="黑体"/>
          <w:color w:val="auto"/>
          <w:sz w:val="32"/>
          <w:szCs w:val="32"/>
        </w:rPr>
        <w:t>附件6</w:t>
      </w:r>
    </w:p>
    <w:p w14:paraId="5C9C9F5E">
      <w:pPr>
        <w:spacing w:line="360" w:lineRule="auto"/>
        <w:jc w:val="left"/>
        <w:rPr>
          <w:rFonts w:hint="eastAsia" w:ascii="黑体" w:hAnsi="黑体" w:eastAsia="黑体" w:cs="黑体"/>
          <w:b/>
          <w:bCs/>
          <w:color w:val="auto"/>
          <w:sz w:val="32"/>
          <w:szCs w:val="32"/>
        </w:rPr>
      </w:pPr>
    </w:p>
    <w:p w14:paraId="7F9AB9CD">
      <w:pPr>
        <w:spacing w:line="360" w:lineRule="auto"/>
        <w:jc w:val="center"/>
        <w:rPr>
          <w:rFonts w:hint="eastAsia" w:ascii="宋体" w:hAnsi="宋体"/>
          <w:b/>
          <w:bCs/>
          <w:color w:val="auto"/>
          <w:sz w:val="32"/>
          <w:szCs w:val="32"/>
        </w:rPr>
      </w:pPr>
      <w:r>
        <w:rPr>
          <w:rFonts w:hint="eastAsia" w:ascii="宋体" w:hAnsi="宋体"/>
          <w:b/>
          <w:bCs/>
          <w:color w:val="auto"/>
          <w:sz w:val="32"/>
          <w:szCs w:val="32"/>
        </w:rPr>
        <w:t>履约保函示范文本</w:t>
      </w:r>
    </w:p>
    <w:p w14:paraId="6DD6F9D0">
      <w:pPr>
        <w:spacing w:line="360" w:lineRule="auto"/>
        <w:jc w:val="center"/>
        <w:rPr>
          <w:rFonts w:hint="eastAsia" w:ascii="宋体" w:hAnsi="宋体"/>
          <w:b/>
          <w:bCs/>
          <w:color w:val="auto"/>
          <w:sz w:val="32"/>
          <w:szCs w:val="32"/>
        </w:rPr>
      </w:pPr>
      <w:r>
        <w:rPr>
          <w:rFonts w:hint="eastAsia" w:ascii="宋体" w:hAnsi="宋体"/>
          <w:b/>
          <w:bCs/>
          <w:color w:val="auto"/>
          <w:sz w:val="32"/>
          <w:szCs w:val="32"/>
        </w:rPr>
        <w:t>（独立保函）</w:t>
      </w:r>
    </w:p>
    <w:p w14:paraId="6B3A82A4">
      <w:pPr>
        <w:wordWrap w:val="0"/>
        <w:spacing w:line="360" w:lineRule="auto"/>
        <w:jc w:val="right"/>
        <w:rPr>
          <w:rFonts w:hint="eastAsia" w:ascii="宋体" w:hAnsi="宋体"/>
          <w:color w:val="auto"/>
        </w:rPr>
      </w:pPr>
      <w:r>
        <w:rPr>
          <w:rFonts w:hint="eastAsia" w:ascii="宋体" w:hAnsi="宋体"/>
          <w:color w:val="auto"/>
        </w:rPr>
        <w:t xml:space="preserve">编号： </w:t>
      </w:r>
      <w:r>
        <w:rPr>
          <w:rFonts w:ascii="宋体" w:hAnsi="宋体"/>
          <w:color w:val="auto"/>
        </w:rPr>
        <w:t xml:space="preserve">          </w:t>
      </w:r>
    </w:p>
    <w:p w14:paraId="3EB2C4F0">
      <w:pPr>
        <w:spacing w:line="360" w:lineRule="auto"/>
        <w:rPr>
          <w:rFonts w:hint="eastAsia" w:ascii="宋体" w:hAnsi="宋体"/>
          <w:color w:val="auto"/>
          <w:sz w:val="24"/>
        </w:rPr>
      </w:pPr>
      <w:r>
        <w:rPr>
          <w:rFonts w:hint="eastAsia" w:ascii="宋体" w:hAnsi="宋体"/>
          <w:color w:val="auto"/>
          <w:sz w:val="24"/>
        </w:rPr>
        <w:t>申请人：</w:t>
      </w:r>
    </w:p>
    <w:p w14:paraId="6B3A12A9">
      <w:pPr>
        <w:spacing w:line="360" w:lineRule="auto"/>
        <w:rPr>
          <w:rFonts w:hint="eastAsia" w:ascii="宋体" w:hAnsi="宋体"/>
          <w:color w:val="auto"/>
          <w:sz w:val="24"/>
        </w:rPr>
      </w:pPr>
      <w:r>
        <w:rPr>
          <w:rFonts w:hint="eastAsia" w:ascii="宋体" w:hAnsi="宋体"/>
          <w:color w:val="auto"/>
          <w:sz w:val="24"/>
        </w:rPr>
        <w:t xml:space="preserve">  地址</w:t>
      </w:r>
      <w:r>
        <w:rPr>
          <w:rFonts w:ascii="宋体" w:hAnsi="宋体"/>
          <w:color w:val="auto"/>
          <w:sz w:val="24"/>
        </w:rPr>
        <w:t>：</w:t>
      </w:r>
    </w:p>
    <w:p w14:paraId="2DEAD7AE">
      <w:pPr>
        <w:spacing w:line="360" w:lineRule="auto"/>
        <w:rPr>
          <w:rFonts w:hint="eastAsia" w:ascii="宋体" w:hAnsi="宋体"/>
          <w:color w:val="auto"/>
          <w:sz w:val="24"/>
        </w:rPr>
      </w:pPr>
      <w:r>
        <w:rPr>
          <w:rFonts w:hint="eastAsia" w:ascii="宋体" w:hAnsi="宋体"/>
          <w:color w:val="auto"/>
          <w:sz w:val="24"/>
        </w:rPr>
        <w:t>受益人：</w:t>
      </w:r>
    </w:p>
    <w:p w14:paraId="2560F279">
      <w:pPr>
        <w:spacing w:line="360" w:lineRule="auto"/>
        <w:rPr>
          <w:rFonts w:hint="eastAsia" w:ascii="宋体" w:hAnsi="宋体"/>
          <w:color w:val="auto"/>
          <w:sz w:val="24"/>
        </w:rPr>
      </w:pPr>
      <w:r>
        <w:rPr>
          <w:rFonts w:hint="eastAsia" w:ascii="宋体" w:hAnsi="宋体"/>
          <w:color w:val="auto"/>
          <w:sz w:val="24"/>
        </w:rPr>
        <w:t xml:space="preserve">  地址：</w:t>
      </w:r>
    </w:p>
    <w:p w14:paraId="1342D1A5">
      <w:pPr>
        <w:spacing w:line="360" w:lineRule="auto"/>
        <w:rPr>
          <w:rFonts w:hint="eastAsia" w:ascii="宋体" w:hAnsi="宋体"/>
          <w:color w:val="auto"/>
          <w:sz w:val="24"/>
        </w:rPr>
      </w:pPr>
      <w:r>
        <w:rPr>
          <w:rFonts w:hint="eastAsia" w:ascii="宋体" w:hAnsi="宋体"/>
          <w:color w:val="auto"/>
          <w:sz w:val="24"/>
        </w:rPr>
        <w:t>开立人：</w:t>
      </w:r>
    </w:p>
    <w:p w14:paraId="05715793">
      <w:pPr>
        <w:spacing w:line="360" w:lineRule="auto"/>
        <w:rPr>
          <w:rFonts w:hint="eastAsia"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地址：</w:t>
      </w:r>
    </w:p>
    <w:p w14:paraId="68395175">
      <w:pPr>
        <w:spacing w:line="360" w:lineRule="auto"/>
        <w:rPr>
          <w:rFonts w:hint="eastAsia" w:ascii="宋体" w:hAnsi="宋体"/>
          <w:color w:val="auto"/>
          <w:sz w:val="24"/>
        </w:rPr>
      </w:pPr>
      <w:r>
        <w:rPr>
          <w:rFonts w:ascii="宋体" w:hAnsi="宋体"/>
          <w:color w:val="auto"/>
          <w:sz w:val="24"/>
        </w:rPr>
        <w:t xml:space="preserve"> </w:t>
      </w:r>
    </w:p>
    <w:p w14:paraId="79F6D20A">
      <w:pPr>
        <w:spacing w:line="360" w:lineRule="auto"/>
        <w:rPr>
          <w:rFonts w:hint="eastAsia" w:ascii="宋体" w:hAnsi="宋体"/>
          <w:color w:val="auto"/>
          <w:sz w:val="24"/>
        </w:rPr>
      </w:pP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受益人</w:t>
      </w:r>
      <w:r>
        <w:rPr>
          <w:rFonts w:ascii="宋体" w:hAnsi="宋体"/>
          <w:color w:val="auto"/>
          <w:sz w:val="24"/>
        </w:rPr>
        <w:t xml:space="preserve">名称）： </w:t>
      </w:r>
    </w:p>
    <w:p w14:paraId="0CE4AFFD">
      <w:pPr>
        <w:spacing w:line="360" w:lineRule="auto"/>
        <w:ind w:firstLine="480" w:firstLineChars="200"/>
        <w:rPr>
          <w:rFonts w:hint="eastAsia" w:ascii="宋体" w:hAnsi="宋体"/>
          <w:color w:val="auto"/>
          <w:sz w:val="24"/>
        </w:rPr>
      </w:pPr>
      <w:r>
        <w:rPr>
          <w:rFonts w:hint="eastAsia" w:ascii="宋体" w:hAnsi="宋体"/>
          <w:color w:val="auto"/>
          <w:sz w:val="24"/>
        </w:rPr>
        <w:t>鉴于</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受益人</w:t>
      </w:r>
      <w:r>
        <w:rPr>
          <w:rFonts w:ascii="宋体" w:hAnsi="宋体"/>
          <w:color w:val="auto"/>
          <w:sz w:val="24"/>
        </w:rPr>
        <w:t>”）</w:t>
      </w:r>
      <w:r>
        <w:rPr>
          <w:rFonts w:hint="eastAsia" w:ascii="宋体" w:hAnsi="宋体"/>
          <w:color w:val="auto"/>
          <w:sz w:val="24"/>
        </w:rPr>
        <w:t>与</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申请人</w:t>
      </w:r>
      <w:r>
        <w:rPr>
          <w:rFonts w:ascii="宋体" w:hAnsi="宋体"/>
          <w:color w:val="auto"/>
          <w:sz w:val="24"/>
        </w:rPr>
        <w:t>”）</w:t>
      </w:r>
      <w:r>
        <w:rPr>
          <w:rFonts w:hint="eastAsia" w:ascii="宋体" w:hAnsi="宋体"/>
          <w:color w:val="auto"/>
          <w:sz w:val="24"/>
        </w:rPr>
        <w:t>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工程（以下简称“本工程”）施工和有关事项协商一致共同签订</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w:t>
      </w:r>
      <w:r>
        <w:rPr>
          <w:rFonts w:hint="eastAsia" w:ascii="宋体" w:hAnsi="宋体"/>
          <w:color w:val="auto"/>
          <w:sz w:val="24"/>
        </w:rPr>
        <w:t>（以下简称“基础合同”），我方（即“开立人”）根据基础合同了解到申请人为基础合同项下之承包人，受益人为基础合同项下之发包人，基于申请人</w:t>
      </w:r>
      <w:r>
        <w:rPr>
          <w:rFonts w:ascii="宋体" w:hAnsi="宋体"/>
          <w:color w:val="auto"/>
          <w:sz w:val="24"/>
        </w:rPr>
        <w:t>的请求，我方同意就</w:t>
      </w:r>
      <w:r>
        <w:rPr>
          <w:rFonts w:hint="eastAsia" w:ascii="宋体" w:hAnsi="宋体"/>
          <w:color w:val="auto"/>
          <w:sz w:val="24"/>
        </w:rPr>
        <w:t>申请人</w:t>
      </w:r>
      <w:r>
        <w:rPr>
          <w:rFonts w:ascii="宋体" w:hAnsi="宋体"/>
          <w:color w:val="auto"/>
          <w:sz w:val="24"/>
        </w:rPr>
        <w:t>履行</w:t>
      </w:r>
      <w:r>
        <w:rPr>
          <w:rFonts w:hint="eastAsia" w:ascii="宋体" w:hAnsi="宋体"/>
          <w:color w:val="auto"/>
          <w:sz w:val="24"/>
        </w:rPr>
        <w:t>与贵方签订的基础合同</w:t>
      </w:r>
      <w:r>
        <w:rPr>
          <w:rFonts w:ascii="宋体" w:hAnsi="宋体"/>
          <w:color w:val="auto"/>
          <w:sz w:val="24"/>
        </w:rPr>
        <w:t>项下的义务</w:t>
      </w:r>
      <w:r>
        <w:rPr>
          <w:rFonts w:hint="eastAsia" w:ascii="宋体" w:hAnsi="宋体"/>
          <w:color w:val="auto"/>
          <w:sz w:val="24"/>
        </w:rPr>
        <w:t>，</w:t>
      </w:r>
      <w:r>
        <w:rPr>
          <w:rFonts w:ascii="宋体" w:hAnsi="宋体"/>
          <w:color w:val="auto"/>
          <w:sz w:val="24"/>
        </w:rPr>
        <w:t>向贵方提供不可撤销、</w:t>
      </w:r>
      <w:r>
        <w:rPr>
          <w:rFonts w:hint="eastAsia" w:ascii="宋体" w:hAnsi="宋体"/>
          <w:color w:val="auto"/>
          <w:sz w:val="24"/>
        </w:rPr>
        <w:t>不可转让的见索即付</w:t>
      </w:r>
      <w:r>
        <w:rPr>
          <w:rFonts w:ascii="宋体" w:hAnsi="宋体"/>
          <w:color w:val="auto"/>
          <w:sz w:val="24"/>
        </w:rPr>
        <w:t>独立</w:t>
      </w:r>
      <w:r>
        <w:rPr>
          <w:rFonts w:hint="eastAsia" w:ascii="宋体" w:hAnsi="宋体"/>
          <w:color w:val="auto"/>
          <w:sz w:val="24"/>
        </w:rPr>
        <w:t>保函（以下简称“本保函”）</w:t>
      </w:r>
      <w:r>
        <w:rPr>
          <w:rFonts w:ascii="宋体" w:hAnsi="宋体"/>
          <w:color w:val="auto"/>
          <w:sz w:val="24"/>
        </w:rPr>
        <w:t xml:space="preserve">。 </w:t>
      </w:r>
    </w:p>
    <w:p w14:paraId="3C40352F">
      <w:pPr>
        <w:spacing w:line="360" w:lineRule="auto"/>
        <w:ind w:firstLine="480" w:firstLineChars="200"/>
        <w:rPr>
          <w:rFonts w:hint="eastAsia" w:ascii="宋体" w:hAnsi="宋体"/>
          <w:color w:val="auto"/>
          <w:sz w:val="24"/>
        </w:rPr>
      </w:pPr>
      <w:r>
        <w:rPr>
          <w:rFonts w:hint="eastAsia" w:ascii="宋体" w:hAnsi="宋体"/>
          <w:color w:val="auto"/>
          <w:sz w:val="24"/>
        </w:rPr>
        <w:t>一、本保函担保范围：承包人未按照基础合同的约定履行义务，应当向贵方承担的违约责任和赔偿因此造成的损失、利息、律师费、诉讼费用等实现债权的费用。</w:t>
      </w:r>
    </w:p>
    <w:p w14:paraId="06450F5D">
      <w:pPr>
        <w:spacing w:line="360" w:lineRule="auto"/>
        <w:ind w:firstLine="480" w:firstLineChars="200"/>
        <w:rPr>
          <w:rFonts w:hint="eastAsia" w:ascii="宋体" w:hAnsi="宋体"/>
          <w:color w:val="auto"/>
          <w:sz w:val="24"/>
        </w:rPr>
      </w:pPr>
      <w:r>
        <w:rPr>
          <w:rFonts w:hint="eastAsia" w:ascii="宋体" w:hAnsi="宋体"/>
          <w:color w:val="auto"/>
          <w:sz w:val="24"/>
        </w:rPr>
        <w:t>二、本保函担保金额最高不超过</w:t>
      </w:r>
      <w:r>
        <w:rPr>
          <w:rFonts w:ascii="宋体" w:hAnsi="宋体"/>
          <w:color w:val="auto"/>
          <w:sz w:val="24"/>
        </w:rPr>
        <w:t>人民币（大写）</w:t>
      </w:r>
      <w:r>
        <w:rPr>
          <w:rFonts w:ascii="宋体" w:hAnsi="宋体"/>
          <w:color w:val="auto"/>
          <w:sz w:val="24"/>
          <w:u w:val="single"/>
        </w:rPr>
        <w:t xml:space="preserve">          </w:t>
      </w:r>
      <w:r>
        <w:rPr>
          <w:rFonts w:ascii="宋体" w:hAnsi="宋体"/>
          <w:color w:val="auto"/>
          <w:sz w:val="24"/>
        </w:rPr>
        <w:t>元（¥</w:t>
      </w:r>
      <w:r>
        <w:rPr>
          <w:rFonts w:ascii="宋体" w:hAnsi="宋体"/>
          <w:color w:val="auto"/>
          <w:sz w:val="24"/>
          <w:u w:val="single"/>
        </w:rPr>
        <w:t xml:space="preserve">       </w:t>
      </w:r>
      <w:r>
        <w:rPr>
          <w:rFonts w:ascii="宋体" w:hAnsi="宋体"/>
          <w:color w:val="auto"/>
          <w:sz w:val="24"/>
        </w:rPr>
        <w:t xml:space="preserve">）。 </w:t>
      </w:r>
    </w:p>
    <w:p w14:paraId="226B1A9C">
      <w:pPr>
        <w:spacing w:line="360" w:lineRule="auto"/>
        <w:ind w:firstLine="480" w:firstLineChars="200"/>
        <w:rPr>
          <w:rFonts w:hint="eastAsia" w:ascii="宋体" w:hAnsi="宋体"/>
          <w:color w:val="auto"/>
          <w:sz w:val="24"/>
        </w:rPr>
      </w:pPr>
      <w:r>
        <w:rPr>
          <w:rFonts w:hint="eastAsia" w:ascii="宋体" w:hAnsi="宋体"/>
          <w:color w:val="auto"/>
          <w:sz w:val="24"/>
        </w:rPr>
        <w:t>三、本保函</w:t>
      </w:r>
      <w:r>
        <w:rPr>
          <w:rFonts w:ascii="宋体" w:hAnsi="宋体"/>
          <w:color w:val="auto"/>
          <w:sz w:val="24"/>
        </w:rPr>
        <w:t>有效期自</w:t>
      </w:r>
      <w:r>
        <w:rPr>
          <w:rFonts w:hint="eastAsia" w:ascii="宋体" w:hAnsi="宋体"/>
          <w:color w:val="auto"/>
          <w:sz w:val="24"/>
        </w:rPr>
        <w:t>开立之日起</w:t>
      </w:r>
      <w:r>
        <w:rPr>
          <w:rFonts w:ascii="宋体" w:hAnsi="宋体"/>
          <w:color w:val="auto"/>
          <w:sz w:val="24"/>
        </w:rPr>
        <w:t>至</w:t>
      </w:r>
      <w:r>
        <w:rPr>
          <w:rFonts w:hint="eastAsia" w:ascii="宋体" w:hAnsi="宋体"/>
          <w:color w:val="auto"/>
          <w:sz w:val="24"/>
        </w:rPr>
        <w:t>基础合同约定的缺陷责任期</w:t>
      </w:r>
      <w:r>
        <w:rPr>
          <w:rFonts w:ascii="宋体" w:hAnsi="宋体"/>
          <w:color w:val="auto"/>
          <w:sz w:val="24"/>
        </w:rPr>
        <w:t>后</w:t>
      </w:r>
      <w:r>
        <w:rPr>
          <w:rFonts w:ascii="宋体" w:hAnsi="宋体"/>
          <w:color w:val="auto"/>
          <w:sz w:val="24"/>
          <w:u w:val="single"/>
        </w:rPr>
        <w:t xml:space="preserve">   </w:t>
      </w:r>
      <w:r>
        <w:rPr>
          <w:rFonts w:hint="eastAsia" w:ascii="宋体" w:hAnsi="宋体"/>
          <w:color w:val="auto"/>
          <w:sz w:val="24"/>
        </w:rPr>
        <w:t>日止，最迟不超过</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r>
        <w:rPr>
          <w:rFonts w:ascii="宋体" w:hAnsi="宋体"/>
          <w:color w:val="auto"/>
          <w:sz w:val="24"/>
        </w:rPr>
        <w:t xml:space="preserve">。 </w:t>
      </w:r>
    </w:p>
    <w:p w14:paraId="01E89284">
      <w:pPr>
        <w:spacing w:line="360" w:lineRule="auto"/>
        <w:ind w:firstLine="480"/>
        <w:rPr>
          <w:rFonts w:hint="eastAsia" w:ascii="宋体" w:hAnsi="宋体"/>
          <w:color w:val="auto"/>
          <w:sz w:val="24"/>
        </w:rPr>
      </w:pPr>
      <w:r>
        <w:rPr>
          <w:rFonts w:hint="eastAsia" w:ascii="宋体" w:hAnsi="宋体"/>
          <w:color w:val="auto"/>
          <w:sz w:val="24"/>
        </w:rPr>
        <w:t>四、我方承诺，在收到受益人发来的书面付款通知后的</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日内无条件支付，前述书面付款通知即为付款要求之单据，且应满足以下要求：</w:t>
      </w:r>
    </w:p>
    <w:p w14:paraId="52497C23">
      <w:pPr>
        <w:spacing w:line="360" w:lineRule="auto"/>
        <w:ind w:firstLine="480" w:firstLineChars="200"/>
        <w:rPr>
          <w:rFonts w:hint="eastAsia" w:ascii="宋体" w:hAnsi="宋体"/>
          <w:color w:val="auto"/>
          <w:sz w:val="24"/>
        </w:rPr>
      </w:pPr>
      <w:r>
        <w:rPr>
          <w:rFonts w:hint="eastAsia" w:ascii="宋体" w:hAnsi="宋体"/>
          <w:color w:val="auto"/>
          <w:sz w:val="24"/>
        </w:rPr>
        <w:t>（1）付款通知到达的日期在本保函的有效期内；</w:t>
      </w:r>
    </w:p>
    <w:p w14:paraId="682C2EAB">
      <w:pPr>
        <w:spacing w:line="360" w:lineRule="auto"/>
        <w:ind w:firstLine="480" w:firstLineChars="200"/>
        <w:rPr>
          <w:rFonts w:hint="eastAsia" w:ascii="宋体" w:hAnsi="宋体"/>
          <w:color w:val="auto"/>
          <w:sz w:val="24"/>
        </w:rPr>
      </w:pPr>
      <w:r>
        <w:rPr>
          <w:rFonts w:hint="eastAsia" w:ascii="宋体" w:hAnsi="宋体"/>
          <w:color w:val="auto"/>
          <w:sz w:val="24"/>
        </w:rPr>
        <w:t>（2）载明要求支付的金额；</w:t>
      </w:r>
    </w:p>
    <w:p w14:paraId="020752CE">
      <w:pPr>
        <w:spacing w:line="360" w:lineRule="auto"/>
        <w:ind w:firstLine="480" w:firstLineChars="200"/>
        <w:rPr>
          <w:rFonts w:hint="eastAsia" w:ascii="宋体" w:hAnsi="宋体"/>
          <w:color w:val="auto"/>
          <w:sz w:val="24"/>
        </w:rPr>
      </w:pPr>
      <w:r>
        <w:rPr>
          <w:rFonts w:hint="eastAsia" w:ascii="宋体" w:hAnsi="宋体"/>
          <w:color w:val="auto"/>
          <w:sz w:val="24"/>
        </w:rPr>
        <w:t>（3）载明申请人违反合同义务的条款和内容；</w:t>
      </w:r>
    </w:p>
    <w:p w14:paraId="6E0065E6">
      <w:pPr>
        <w:spacing w:line="360" w:lineRule="auto"/>
        <w:ind w:firstLine="480" w:firstLineChars="200"/>
        <w:rPr>
          <w:rFonts w:hint="eastAsia" w:ascii="宋体" w:hAnsi="宋体"/>
          <w:color w:val="auto"/>
          <w:sz w:val="24"/>
        </w:rPr>
      </w:pPr>
      <w:r>
        <w:rPr>
          <w:rFonts w:hint="eastAsia" w:ascii="宋体" w:hAnsi="宋体"/>
          <w:color w:val="auto"/>
          <w:sz w:val="24"/>
        </w:rPr>
        <w:t>（4）声明不存在合同文件约定或我国法律规定免除申请人或开立人支付责任的情形；</w:t>
      </w:r>
    </w:p>
    <w:p w14:paraId="20522A2F">
      <w:pPr>
        <w:spacing w:line="360" w:lineRule="auto"/>
        <w:ind w:firstLine="480" w:firstLineChars="200"/>
        <w:rPr>
          <w:rFonts w:hint="eastAsia" w:ascii="宋体" w:hAnsi="宋体"/>
          <w:color w:val="auto"/>
          <w:sz w:val="24"/>
        </w:rPr>
      </w:pPr>
      <w:r>
        <w:rPr>
          <w:rFonts w:hint="eastAsia" w:ascii="宋体" w:hAnsi="宋体"/>
          <w:color w:val="auto"/>
          <w:sz w:val="24"/>
        </w:rPr>
        <w:t>（5）付款通知应在本保函有效期内到达的地址是：</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w:t>
      </w:r>
    </w:p>
    <w:p w14:paraId="0B2920C6">
      <w:pPr>
        <w:spacing w:line="360" w:lineRule="auto"/>
        <w:ind w:firstLine="480" w:firstLineChars="200"/>
        <w:rPr>
          <w:rFonts w:hint="eastAsia" w:ascii="宋体" w:hAnsi="宋体"/>
          <w:color w:val="auto"/>
          <w:sz w:val="24"/>
        </w:rPr>
      </w:pPr>
      <w:r>
        <w:rPr>
          <w:rFonts w:hint="eastAsia" w:ascii="宋体" w:hAnsi="宋体"/>
          <w:color w:val="auto"/>
          <w:sz w:val="24"/>
        </w:rPr>
        <w:t>受益人发出的书面付款通知应由其为鉴明受益人法定代表人（负责人）或授权代理人签字并加盖公章。</w:t>
      </w:r>
    </w:p>
    <w:p w14:paraId="43DAFB49">
      <w:pPr>
        <w:spacing w:line="360" w:lineRule="auto"/>
        <w:ind w:firstLine="480" w:firstLineChars="200"/>
        <w:rPr>
          <w:rFonts w:hint="eastAsia" w:ascii="宋体" w:hAnsi="宋体"/>
          <w:color w:val="auto"/>
          <w:sz w:val="24"/>
        </w:rPr>
      </w:pPr>
      <w:r>
        <w:rPr>
          <w:rFonts w:hint="eastAsia" w:ascii="宋体" w:hAnsi="宋体"/>
          <w:color w:val="auto"/>
          <w:sz w:val="24"/>
        </w:rPr>
        <w:t>五、</w:t>
      </w:r>
      <w:r>
        <w:rPr>
          <w:rFonts w:ascii="宋体" w:hAnsi="宋体"/>
          <w:color w:val="auto"/>
          <w:sz w:val="24"/>
        </w:rPr>
        <w:t>本保函项下的权利不得转让，不得设定担保。贵方未经我方书面同意转 让本保函或其项下任何权利，</w:t>
      </w:r>
      <w:r>
        <w:rPr>
          <w:rFonts w:hint="eastAsia" w:ascii="宋体" w:hAnsi="宋体"/>
          <w:color w:val="auto"/>
          <w:sz w:val="24"/>
        </w:rPr>
        <w:t>对我方不发生法律效力</w:t>
      </w:r>
      <w:r>
        <w:rPr>
          <w:rFonts w:ascii="宋体" w:hAnsi="宋体"/>
          <w:color w:val="auto"/>
          <w:sz w:val="24"/>
        </w:rPr>
        <w:t xml:space="preserve">。 </w:t>
      </w:r>
    </w:p>
    <w:p w14:paraId="42E6F191">
      <w:pPr>
        <w:spacing w:line="360" w:lineRule="auto"/>
        <w:ind w:firstLine="480" w:firstLineChars="200"/>
        <w:rPr>
          <w:rFonts w:hint="eastAsia" w:ascii="宋体" w:hAnsi="宋体"/>
          <w:color w:val="auto"/>
          <w:sz w:val="24"/>
        </w:rPr>
      </w:pPr>
      <w:r>
        <w:rPr>
          <w:rFonts w:hint="eastAsia" w:ascii="宋体" w:hAnsi="宋体"/>
          <w:color w:val="auto"/>
          <w:sz w:val="24"/>
        </w:rPr>
        <w:t>六、与</w:t>
      </w:r>
      <w:r>
        <w:rPr>
          <w:rFonts w:ascii="宋体" w:hAnsi="宋体"/>
          <w:color w:val="auto"/>
          <w:sz w:val="24"/>
        </w:rPr>
        <w:t>本保函</w:t>
      </w:r>
      <w:r>
        <w:rPr>
          <w:rFonts w:hint="eastAsia" w:ascii="宋体" w:hAnsi="宋体"/>
          <w:color w:val="auto"/>
          <w:sz w:val="24"/>
        </w:rPr>
        <w:t>有关</w:t>
      </w:r>
      <w:r>
        <w:rPr>
          <w:rFonts w:ascii="宋体" w:hAnsi="宋体"/>
          <w:color w:val="auto"/>
          <w:sz w:val="24"/>
        </w:rPr>
        <w:t>的</w:t>
      </w:r>
      <w:r>
        <w:rPr>
          <w:rFonts w:hint="eastAsia" w:ascii="宋体" w:hAnsi="宋体"/>
          <w:color w:val="auto"/>
          <w:sz w:val="24"/>
        </w:rPr>
        <w:t>基础</w:t>
      </w:r>
      <w:r>
        <w:rPr>
          <w:rFonts w:ascii="宋体" w:hAnsi="宋体"/>
          <w:color w:val="auto"/>
          <w:sz w:val="24"/>
        </w:rPr>
        <w:t xml:space="preserve">合同不成立、不生效、无效、被撤销、被解除，不影响本保函的独立有效。 </w:t>
      </w:r>
    </w:p>
    <w:p w14:paraId="30CE1D8B">
      <w:pPr>
        <w:spacing w:line="360" w:lineRule="auto"/>
        <w:ind w:firstLine="480" w:firstLineChars="200"/>
        <w:rPr>
          <w:rFonts w:hint="eastAsia" w:ascii="宋体" w:hAnsi="宋体"/>
          <w:color w:val="auto"/>
          <w:sz w:val="24"/>
        </w:rPr>
      </w:pPr>
      <w:r>
        <w:rPr>
          <w:rFonts w:hint="eastAsia" w:ascii="宋体" w:hAnsi="宋体"/>
          <w:color w:val="auto"/>
          <w:sz w:val="24"/>
        </w:rPr>
        <w:t>七、</w:t>
      </w:r>
      <w:r>
        <w:rPr>
          <w:rFonts w:ascii="宋体" w:hAnsi="宋体"/>
          <w:color w:val="auto"/>
          <w:sz w:val="24"/>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rPr>
        <w:t>有效期</w:t>
      </w:r>
      <w:r>
        <w:rPr>
          <w:rFonts w:ascii="宋体" w:hAnsi="宋体"/>
          <w:color w:val="auto"/>
          <w:sz w:val="24"/>
        </w:rPr>
        <w:t xml:space="preserve">到期后自动消灭。 </w:t>
      </w:r>
    </w:p>
    <w:p w14:paraId="6E503D7A">
      <w:pPr>
        <w:spacing w:line="360" w:lineRule="auto"/>
        <w:ind w:firstLine="480" w:firstLineChars="200"/>
        <w:rPr>
          <w:rFonts w:hint="eastAsia" w:ascii="宋体" w:hAnsi="宋体"/>
          <w:color w:val="auto"/>
          <w:sz w:val="24"/>
        </w:rPr>
      </w:pPr>
      <w:r>
        <w:rPr>
          <w:rFonts w:hint="eastAsia" w:ascii="宋体" w:hAnsi="宋体"/>
          <w:color w:val="auto"/>
          <w:sz w:val="24"/>
        </w:rPr>
        <w:t>八、</w:t>
      </w:r>
      <w:r>
        <w:rPr>
          <w:rFonts w:ascii="宋体" w:hAnsi="宋体"/>
          <w:color w:val="auto"/>
          <w:sz w:val="24"/>
        </w:rPr>
        <w:t>本保函</w:t>
      </w:r>
      <w:r>
        <w:rPr>
          <w:rFonts w:hint="eastAsia" w:ascii="宋体" w:hAnsi="宋体"/>
          <w:color w:val="auto"/>
          <w:sz w:val="24"/>
        </w:rPr>
        <w:t>适用的法律为中华人民共和国法律，争议裁判管辖地为中华人民共和国</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p>
    <w:p w14:paraId="17536550">
      <w:pPr>
        <w:spacing w:line="360" w:lineRule="auto"/>
        <w:ind w:firstLine="480" w:firstLineChars="200"/>
        <w:rPr>
          <w:rFonts w:hint="eastAsia" w:ascii="宋体" w:hAnsi="宋体"/>
          <w:color w:val="auto"/>
          <w:sz w:val="24"/>
        </w:rPr>
      </w:pPr>
      <w:r>
        <w:rPr>
          <w:rFonts w:hint="eastAsia" w:ascii="宋体" w:hAnsi="宋体"/>
          <w:color w:val="auto"/>
          <w:sz w:val="24"/>
        </w:rPr>
        <w:t>九、</w:t>
      </w:r>
      <w:r>
        <w:rPr>
          <w:rFonts w:ascii="宋体" w:hAnsi="宋体"/>
          <w:color w:val="auto"/>
          <w:sz w:val="24"/>
        </w:rPr>
        <w:t>本保函自我方法定代表人</w:t>
      </w:r>
      <w:r>
        <w:rPr>
          <w:rFonts w:hint="eastAsia" w:ascii="宋体" w:hAnsi="宋体"/>
          <w:color w:val="auto"/>
          <w:sz w:val="24"/>
        </w:rPr>
        <w:t>或授权代表</w:t>
      </w:r>
      <w:r>
        <w:rPr>
          <w:rFonts w:ascii="宋体" w:hAnsi="宋体"/>
          <w:color w:val="auto"/>
          <w:sz w:val="24"/>
        </w:rPr>
        <w:t>签字</w:t>
      </w:r>
      <w:r>
        <w:rPr>
          <w:rFonts w:hint="eastAsia" w:ascii="宋体" w:hAnsi="宋体"/>
          <w:color w:val="auto"/>
          <w:sz w:val="24"/>
        </w:rPr>
        <w:t>并</w:t>
      </w:r>
      <w:r>
        <w:rPr>
          <w:rFonts w:ascii="宋体" w:hAnsi="宋体"/>
          <w:color w:val="auto"/>
          <w:sz w:val="24"/>
        </w:rPr>
        <w:t xml:space="preserve">加盖公章之日起生效。 </w:t>
      </w:r>
    </w:p>
    <w:p w14:paraId="7562686E">
      <w:pPr>
        <w:spacing w:line="360" w:lineRule="auto"/>
        <w:ind w:firstLine="480" w:firstLineChars="200"/>
        <w:rPr>
          <w:rFonts w:hint="eastAsia" w:ascii="宋体" w:hAnsi="宋体"/>
          <w:color w:val="auto"/>
          <w:sz w:val="24"/>
        </w:rPr>
      </w:pPr>
      <w:r>
        <w:rPr>
          <w:rFonts w:hint="eastAsia" w:ascii="宋体" w:hAnsi="宋体"/>
          <w:color w:val="auto"/>
          <w:sz w:val="24"/>
        </w:rPr>
        <w:t>开 立 人</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公</w:t>
      </w:r>
      <w:r>
        <w:rPr>
          <w:rFonts w:ascii="宋体" w:hAnsi="宋体"/>
          <w:color w:val="auto"/>
          <w:sz w:val="24"/>
        </w:rPr>
        <w:t xml:space="preserve">章） </w:t>
      </w:r>
    </w:p>
    <w:p w14:paraId="5B4D30E8">
      <w:pPr>
        <w:spacing w:line="360" w:lineRule="auto"/>
        <w:ind w:firstLine="480" w:firstLineChars="200"/>
        <w:rPr>
          <w:rFonts w:hint="eastAsia" w:ascii="宋体" w:hAnsi="宋体"/>
          <w:color w:val="auto"/>
          <w:sz w:val="24"/>
        </w:rPr>
      </w:pPr>
      <w:r>
        <w:rPr>
          <w:rFonts w:hint="eastAsia" w:ascii="宋体" w:hAnsi="宋体"/>
          <w:color w:val="auto"/>
          <w:sz w:val="24"/>
        </w:rPr>
        <w:t>法定代表人（或授权代表）：</w:t>
      </w:r>
      <w:r>
        <w:rPr>
          <w:rFonts w:ascii="宋体" w:hAnsi="宋体"/>
          <w:color w:val="auto"/>
          <w:sz w:val="24"/>
        </w:rPr>
        <w:t xml:space="preserve">               （签字） </w:t>
      </w:r>
    </w:p>
    <w:p w14:paraId="3B5A1251">
      <w:pPr>
        <w:spacing w:line="360" w:lineRule="auto"/>
        <w:ind w:firstLine="480" w:firstLineChars="200"/>
        <w:rPr>
          <w:rFonts w:hint="eastAsia" w:ascii="宋体" w:hAnsi="宋体"/>
          <w:color w:val="auto"/>
          <w:sz w:val="24"/>
        </w:rPr>
      </w:pPr>
      <w:r>
        <w:rPr>
          <w:rFonts w:hint="eastAsia" w:ascii="宋体" w:hAnsi="宋体"/>
          <w:color w:val="auto"/>
          <w:sz w:val="24"/>
        </w:rPr>
        <w:t>地</w:t>
      </w:r>
      <w:r>
        <w:rPr>
          <w:rFonts w:ascii="宋体" w:hAnsi="宋体"/>
          <w:color w:val="auto"/>
          <w:sz w:val="24"/>
        </w:rPr>
        <w:t xml:space="preserve">    址：                                       </w:t>
      </w:r>
    </w:p>
    <w:p w14:paraId="097D85B2">
      <w:pPr>
        <w:spacing w:line="360" w:lineRule="auto"/>
        <w:ind w:firstLine="480" w:firstLineChars="200"/>
        <w:rPr>
          <w:rFonts w:hint="eastAsia" w:ascii="宋体" w:hAnsi="宋体"/>
          <w:color w:val="auto"/>
          <w:sz w:val="24"/>
        </w:rPr>
      </w:pPr>
      <w:r>
        <w:rPr>
          <w:rFonts w:hint="eastAsia" w:ascii="宋体" w:hAnsi="宋体"/>
          <w:color w:val="auto"/>
          <w:sz w:val="24"/>
        </w:rPr>
        <w:t>邮政编码：</w:t>
      </w:r>
      <w:r>
        <w:rPr>
          <w:rFonts w:ascii="宋体" w:hAnsi="宋体"/>
          <w:color w:val="auto"/>
          <w:sz w:val="24"/>
        </w:rPr>
        <w:t xml:space="preserve">                 </w:t>
      </w:r>
    </w:p>
    <w:p w14:paraId="2F7EB018">
      <w:pPr>
        <w:spacing w:line="360" w:lineRule="auto"/>
        <w:ind w:firstLine="480" w:firstLineChars="200"/>
        <w:rPr>
          <w:rFonts w:hint="eastAsia" w:ascii="宋体" w:hAnsi="宋体"/>
          <w:color w:val="auto"/>
          <w:sz w:val="24"/>
        </w:rPr>
      </w:pPr>
      <w:r>
        <w:rPr>
          <w:rFonts w:hint="eastAsia" w:ascii="宋体" w:hAnsi="宋体"/>
          <w:color w:val="auto"/>
          <w:sz w:val="24"/>
        </w:rPr>
        <w:t>电</w:t>
      </w:r>
      <w:r>
        <w:rPr>
          <w:rFonts w:ascii="宋体" w:hAnsi="宋体"/>
          <w:color w:val="auto"/>
          <w:sz w:val="24"/>
        </w:rPr>
        <w:t xml:space="preserve">    话：                 </w:t>
      </w:r>
    </w:p>
    <w:p w14:paraId="2A364590">
      <w:pPr>
        <w:spacing w:line="360" w:lineRule="auto"/>
        <w:ind w:firstLine="480" w:firstLineChars="200"/>
        <w:rPr>
          <w:rFonts w:hint="eastAsia" w:ascii="宋体" w:hAnsi="宋体"/>
          <w:color w:val="auto"/>
          <w:sz w:val="24"/>
        </w:rPr>
      </w:pPr>
      <w:r>
        <w:rPr>
          <w:rFonts w:hint="eastAsia" w:ascii="宋体" w:hAnsi="宋体"/>
          <w:color w:val="auto"/>
          <w:sz w:val="24"/>
        </w:rPr>
        <w:t>传</w:t>
      </w:r>
      <w:r>
        <w:rPr>
          <w:rFonts w:ascii="宋体" w:hAnsi="宋体"/>
          <w:color w:val="auto"/>
          <w:sz w:val="24"/>
        </w:rPr>
        <w:t xml:space="preserve">    真：                 </w:t>
      </w:r>
    </w:p>
    <w:p w14:paraId="7F176BAB">
      <w:pPr>
        <w:spacing w:line="360" w:lineRule="auto"/>
        <w:ind w:firstLine="480" w:firstLineChars="200"/>
        <w:rPr>
          <w:color w:val="auto"/>
        </w:rPr>
      </w:pPr>
      <w:r>
        <w:rPr>
          <w:rFonts w:hint="eastAsia" w:ascii="宋体" w:hAnsi="宋体"/>
          <w:color w:val="auto"/>
          <w:sz w:val="24"/>
        </w:rPr>
        <w:t>开立时间：</w:t>
      </w:r>
      <w:r>
        <w:rPr>
          <w:rFonts w:ascii="宋体" w:hAnsi="宋体"/>
          <w:color w:val="auto"/>
          <w:sz w:val="24"/>
        </w:rPr>
        <w:t xml:space="preserve">      年      月    </w:t>
      </w:r>
    </w:p>
    <w:p w14:paraId="408A6E77">
      <w:pPr>
        <w:spacing w:line="360" w:lineRule="auto"/>
        <w:jc w:val="left"/>
        <w:rPr>
          <w:rFonts w:eastAsia="仿宋_GB2312"/>
          <w:color w:val="auto"/>
          <w:sz w:val="30"/>
          <w:szCs w:val="30"/>
        </w:rPr>
      </w:pPr>
    </w:p>
    <w:p w14:paraId="19BCA213">
      <w:pPr>
        <w:spacing w:line="360" w:lineRule="auto"/>
        <w:jc w:val="left"/>
        <w:rPr>
          <w:rFonts w:eastAsia="仿宋_GB2312" w:cs="仿宋_GB2312"/>
          <w:color w:val="auto"/>
          <w:sz w:val="30"/>
          <w:szCs w:val="30"/>
        </w:rPr>
      </w:pPr>
    </w:p>
    <w:p w14:paraId="74A27A62">
      <w:pPr>
        <w:spacing w:line="360" w:lineRule="auto"/>
        <w:jc w:val="left"/>
        <w:rPr>
          <w:rFonts w:eastAsia="仿宋_GB2312" w:cs="仿宋_GB2312"/>
          <w:color w:val="auto"/>
          <w:sz w:val="30"/>
          <w:szCs w:val="30"/>
        </w:rPr>
      </w:pPr>
    </w:p>
    <w:p w14:paraId="183DE662">
      <w:pPr>
        <w:spacing w:line="360" w:lineRule="auto"/>
        <w:jc w:val="left"/>
        <w:rPr>
          <w:rFonts w:eastAsia="仿宋_GB2312" w:cs="仿宋_GB2312"/>
          <w:color w:val="auto"/>
          <w:sz w:val="30"/>
          <w:szCs w:val="30"/>
        </w:rPr>
      </w:pPr>
    </w:p>
    <w:p w14:paraId="19BBFCEB">
      <w:pPr>
        <w:spacing w:line="360" w:lineRule="auto"/>
        <w:jc w:val="left"/>
        <w:rPr>
          <w:rFonts w:eastAsia="仿宋_GB2312" w:cs="仿宋_GB2312"/>
          <w:color w:val="auto"/>
          <w:sz w:val="30"/>
          <w:szCs w:val="30"/>
        </w:rPr>
      </w:pPr>
    </w:p>
    <w:p w14:paraId="5BE28981">
      <w:pPr>
        <w:spacing w:line="360" w:lineRule="auto"/>
        <w:jc w:val="left"/>
        <w:rPr>
          <w:rFonts w:eastAsia="仿宋_GB2312" w:cs="仿宋_GB2312"/>
          <w:color w:val="auto"/>
          <w:sz w:val="30"/>
          <w:szCs w:val="30"/>
        </w:rPr>
      </w:pPr>
    </w:p>
    <w:p w14:paraId="1CC1F44E">
      <w:pPr>
        <w:spacing w:line="360" w:lineRule="auto"/>
        <w:jc w:val="left"/>
        <w:rPr>
          <w:rFonts w:eastAsia="仿宋_GB2312" w:cs="仿宋_GB2312"/>
          <w:color w:val="auto"/>
          <w:sz w:val="30"/>
          <w:szCs w:val="30"/>
        </w:rPr>
      </w:pPr>
    </w:p>
    <w:p w14:paraId="57C61107">
      <w:pPr>
        <w:spacing w:line="360" w:lineRule="auto"/>
        <w:jc w:val="left"/>
        <w:rPr>
          <w:rFonts w:hint="eastAsia" w:ascii="宋体" w:hAnsi="宋体"/>
          <w:color w:val="auto"/>
          <w:sz w:val="32"/>
          <w:szCs w:val="32"/>
        </w:rPr>
      </w:pPr>
      <w:r>
        <w:rPr>
          <w:rFonts w:hint="eastAsia" w:eastAsia="仿宋_GB2312" w:cs="仿宋_GB2312"/>
          <w:color w:val="auto"/>
          <w:sz w:val="30"/>
          <w:szCs w:val="30"/>
        </w:rPr>
        <w:t>附</w:t>
      </w:r>
      <w:bookmarkStart w:id="1527" w:name="_Toc296503231"/>
      <w:bookmarkStart w:id="1528" w:name="_Toc296891271"/>
      <w:bookmarkStart w:id="1529" w:name="_Toc296891059"/>
      <w:bookmarkStart w:id="1530" w:name="_Toc296944570"/>
      <w:bookmarkStart w:id="1531" w:name="_Toc296346732"/>
      <w:bookmarkStart w:id="1532" w:name="_Toc296347230"/>
      <w:r>
        <w:rPr>
          <w:rFonts w:hint="eastAsia" w:eastAsia="仿宋_GB2312" w:cs="仿宋_GB2312"/>
          <w:color w:val="auto"/>
          <w:sz w:val="30"/>
          <w:szCs w:val="30"/>
        </w:rPr>
        <w:t>件</w:t>
      </w:r>
      <w:r>
        <w:rPr>
          <w:rFonts w:hint="eastAsia" w:eastAsia="仿宋_GB2312"/>
          <w:color w:val="auto"/>
          <w:sz w:val="30"/>
          <w:szCs w:val="30"/>
        </w:rPr>
        <w:t>7</w:t>
      </w:r>
      <w:r>
        <w:rPr>
          <w:rFonts w:hint="eastAsia" w:eastAsia="仿宋_GB2312" w:cs="仿宋_GB2312"/>
          <w:color w:val="auto"/>
          <w:sz w:val="30"/>
          <w:szCs w:val="30"/>
        </w:rPr>
        <w:t>：</w:t>
      </w:r>
    </w:p>
    <w:p w14:paraId="64881853">
      <w:pPr>
        <w:spacing w:line="360" w:lineRule="auto"/>
        <w:rPr>
          <w:rFonts w:hint="eastAsia" w:ascii="宋体" w:hAnsi="宋体"/>
          <w:b/>
          <w:bCs/>
          <w:color w:val="auto"/>
          <w:sz w:val="32"/>
          <w:szCs w:val="32"/>
        </w:rPr>
      </w:pPr>
    </w:p>
    <w:p w14:paraId="541A1FBD">
      <w:pPr>
        <w:spacing w:line="360" w:lineRule="auto"/>
        <w:jc w:val="center"/>
        <w:rPr>
          <w:rFonts w:hint="eastAsia" w:ascii="宋体" w:hAnsi="宋体"/>
          <w:b/>
          <w:bCs/>
          <w:color w:val="auto"/>
          <w:sz w:val="32"/>
          <w:szCs w:val="32"/>
        </w:rPr>
      </w:pPr>
      <w:r>
        <w:rPr>
          <w:rFonts w:hint="eastAsia" w:ascii="宋体" w:hAnsi="宋体"/>
          <w:b/>
          <w:bCs/>
          <w:color w:val="auto"/>
          <w:sz w:val="32"/>
          <w:szCs w:val="32"/>
        </w:rPr>
        <w:t>履约保函示范文本</w:t>
      </w:r>
    </w:p>
    <w:p w14:paraId="09406B9B">
      <w:pPr>
        <w:spacing w:line="360" w:lineRule="auto"/>
        <w:jc w:val="center"/>
        <w:rPr>
          <w:rFonts w:hint="eastAsia" w:ascii="宋体" w:hAnsi="宋体"/>
          <w:b/>
          <w:bCs/>
          <w:color w:val="auto"/>
          <w:sz w:val="32"/>
          <w:szCs w:val="32"/>
        </w:rPr>
      </w:pPr>
      <w:r>
        <w:rPr>
          <w:rFonts w:hint="eastAsia" w:ascii="宋体" w:hAnsi="宋体"/>
          <w:b/>
          <w:bCs/>
          <w:color w:val="auto"/>
          <w:sz w:val="32"/>
          <w:szCs w:val="32"/>
        </w:rPr>
        <w:t>（非独立保函）</w:t>
      </w:r>
    </w:p>
    <w:p w14:paraId="076CD9E7">
      <w:pPr>
        <w:spacing w:line="360" w:lineRule="auto"/>
        <w:jc w:val="center"/>
        <w:rPr>
          <w:rFonts w:hint="eastAsia" w:ascii="宋体" w:hAnsi="宋体"/>
          <w:b/>
          <w:bCs/>
          <w:color w:val="auto"/>
          <w:sz w:val="32"/>
          <w:szCs w:val="32"/>
        </w:rPr>
      </w:pPr>
    </w:p>
    <w:p w14:paraId="75F0160E">
      <w:pPr>
        <w:wordWrap w:val="0"/>
        <w:spacing w:line="360" w:lineRule="auto"/>
        <w:jc w:val="right"/>
        <w:rPr>
          <w:rFonts w:hint="eastAsia" w:ascii="宋体" w:hAnsi="宋体"/>
          <w:color w:val="auto"/>
        </w:rPr>
      </w:pPr>
      <w:r>
        <w:rPr>
          <w:rFonts w:hint="eastAsia" w:ascii="宋体" w:hAnsi="宋体"/>
          <w:color w:val="auto"/>
        </w:rPr>
        <w:t xml:space="preserve">编号： </w:t>
      </w:r>
      <w:r>
        <w:rPr>
          <w:rFonts w:ascii="宋体" w:hAnsi="宋体"/>
          <w:color w:val="auto"/>
        </w:rPr>
        <w:t xml:space="preserve">          </w:t>
      </w:r>
    </w:p>
    <w:p w14:paraId="168B1E8F">
      <w:pPr>
        <w:spacing w:line="360" w:lineRule="auto"/>
        <w:rPr>
          <w:rFonts w:hint="eastAsia" w:ascii="宋体" w:hAnsi="宋体"/>
          <w:color w:val="auto"/>
          <w:sz w:val="24"/>
        </w:rPr>
      </w:pPr>
      <w:r>
        <w:rPr>
          <w:rFonts w:hint="eastAsia" w:ascii="宋体" w:hAnsi="宋体"/>
          <w:color w:val="auto"/>
          <w:sz w:val="24"/>
        </w:rPr>
        <w:t>承包人：</w:t>
      </w:r>
    </w:p>
    <w:p w14:paraId="72201702">
      <w:pPr>
        <w:spacing w:line="360" w:lineRule="auto"/>
        <w:rPr>
          <w:rFonts w:hint="eastAsia" w:ascii="宋体" w:hAnsi="宋体"/>
          <w:color w:val="auto"/>
          <w:sz w:val="24"/>
        </w:rPr>
      </w:pPr>
      <w:r>
        <w:rPr>
          <w:rFonts w:hint="eastAsia" w:ascii="宋体" w:hAnsi="宋体"/>
          <w:color w:val="auto"/>
          <w:sz w:val="24"/>
        </w:rPr>
        <w:t>地址</w:t>
      </w:r>
      <w:r>
        <w:rPr>
          <w:rFonts w:ascii="宋体" w:hAnsi="宋体"/>
          <w:color w:val="auto"/>
          <w:sz w:val="24"/>
        </w:rPr>
        <w:t>：</w:t>
      </w:r>
    </w:p>
    <w:p w14:paraId="541F975E">
      <w:pPr>
        <w:spacing w:line="360" w:lineRule="auto"/>
        <w:rPr>
          <w:rFonts w:hint="eastAsia" w:ascii="宋体" w:hAnsi="宋体"/>
          <w:color w:val="auto"/>
          <w:sz w:val="24"/>
        </w:rPr>
      </w:pPr>
      <w:r>
        <w:rPr>
          <w:rFonts w:hint="eastAsia" w:ascii="宋体" w:hAnsi="宋体"/>
          <w:color w:val="auto"/>
          <w:sz w:val="24"/>
        </w:rPr>
        <w:t>担保权人/发包人：</w:t>
      </w:r>
      <w:r>
        <w:rPr>
          <w:rFonts w:ascii="宋体" w:hAnsi="宋体"/>
          <w:color w:val="auto"/>
          <w:sz w:val="24"/>
        </w:rPr>
        <w:t xml:space="preserve"> </w:t>
      </w:r>
    </w:p>
    <w:p w14:paraId="5AFEE3DD">
      <w:pPr>
        <w:spacing w:line="360" w:lineRule="auto"/>
        <w:rPr>
          <w:rFonts w:hint="eastAsia" w:ascii="宋体" w:hAnsi="宋体"/>
          <w:color w:val="auto"/>
          <w:sz w:val="24"/>
        </w:rPr>
      </w:pPr>
      <w:r>
        <w:rPr>
          <w:rFonts w:hint="eastAsia" w:ascii="宋体" w:hAnsi="宋体"/>
          <w:color w:val="auto"/>
          <w:sz w:val="24"/>
        </w:rPr>
        <w:t>地址：</w:t>
      </w:r>
    </w:p>
    <w:p w14:paraId="7F7872A4">
      <w:pPr>
        <w:spacing w:line="360" w:lineRule="auto"/>
        <w:rPr>
          <w:rFonts w:hint="eastAsia" w:ascii="宋体" w:hAnsi="宋体"/>
          <w:color w:val="auto"/>
          <w:sz w:val="24"/>
        </w:rPr>
      </w:pPr>
      <w:r>
        <w:rPr>
          <w:rFonts w:hint="eastAsia" w:ascii="宋体" w:hAnsi="宋体"/>
          <w:color w:val="auto"/>
          <w:sz w:val="24"/>
        </w:rPr>
        <w:t>保证人：</w:t>
      </w:r>
    </w:p>
    <w:p w14:paraId="4AD30A38">
      <w:pPr>
        <w:spacing w:line="360" w:lineRule="auto"/>
        <w:rPr>
          <w:rFonts w:hint="eastAsia" w:ascii="宋体" w:hAnsi="宋体"/>
          <w:color w:val="auto"/>
          <w:sz w:val="24"/>
        </w:rPr>
      </w:pPr>
      <w:r>
        <w:rPr>
          <w:rFonts w:hint="eastAsia" w:ascii="宋体" w:hAnsi="宋体"/>
          <w:color w:val="auto"/>
          <w:sz w:val="24"/>
        </w:rPr>
        <w:t>地址：</w:t>
      </w:r>
    </w:p>
    <w:p w14:paraId="1D3BDDF0">
      <w:pPr>
        <w:spacing w:line="360" w:lineRule="auto"/>
        <w:rPr>
          <w:rFonts w:hint="eastAsia" w:ascii="宋体" w:hAnsi="宋体"/>
          <w:color w:val="auto"/>
          <w:sz w:val="24"/>
        </w:rPr>
      </w:pPr>
    </w:p>
    <w:p w14:paraId="1CBE00A1">
      <w:pPr>
        <w:spacing w:line="360" w:lineRule="auto"/>
        <w:rPr>
          <w:rFonts w:hint="eastAsia" w:ascii="宋体" w:hAnsi="宋体"/>
          <w:color w:val="auto"/>
          <w:sz w:val="24"/>
        </w:rPr>
      </w:pP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发包人</w:t>
      </w:r>
      <w:r>
        <w:rPr>
          <w:rFonts w:ascii="宋体" w:hAnsi="宋体"/>
          <w:color w:val="auto"/>
          <w:sz w:val="24"/>
        </w:rPr>
        <w:t xml:space="preserve">名称）： </w:t>
      </w:r>
    </w:p>
    <w:p w14:paraId="402ADC0E">
      <w:pPr>
        <w:spacing w:line="360" w:lineRule="auto"/>
        <w:ind w:firstLine="480" w:firstLineChars="200"/>
        <w:rPr>
          <w:rFonts w:hint="eastAsia" w:ascii="宋体" w:hAnsi="宋体"/>
          <w:color w:val="auto"/>
          <w:sz w:val="24"/>
        </w:rPr>
      </w:pPr>
      <w:r>
        <w:rPr>
          <w:rFonts w:hint="eastAsia" w:ascii="宋体" w:hAnsi="宋体"/>
          <w:color w:val="auto"/>
          <w:sz w:val="24"/>
        </w:rPr>
        <w:t>鉴于</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发包人</w:t>
      </w:r>
      <w:r>
        <w:rPr>
          <w:rFonts w:ascii="宋体" w:hAnsi="宋体"/>
          <w:color w:val="auto"/>
          <w:sz w:val="24"/>
        </w:rPr>
        <w:t>”）</w:t>
      </w:r>
      <w:r>
        <w:rPr>
          <w:rFonts w:hint="eastAsia" w:ascii="宋体" w:hAnsi="宋体"/>
          <w:color w:val="auto"/>
          <w:sz w:val="24"/>
        </w:rPr>
        <w:t>与</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承包人</w:t>
      </w:r>
      <w:r>
        <w:rPr>
          <w:rFonts w:ascii="宋体" w:hAnsi="宋体"/>
          <w:color w:val="auto"/>
          <w:sz w:val="24"/>
        </w:rPr>
        <w:t>”）</w:t>
      </w:r>
      <w:r>
        <w:rPr>
          <w:rFonts w:hint="eastAsia" w:ascii="宋体" w:hAnsi="宋体"/>
          <w:color w:val="auto"/>
          <w:sz w:val="24"/>
        </w:rPr>
        <w:t>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工程（以下简称“本工程”）施工和有关事项协商一致共同签订</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w:t>
      </w:r>
      <w:r>
        <w:rPr>
          <w:rFonts w:hint="eastAsia" w:ascii="宋体" w:hAnsi="宋体"/>
          <w:color w:val="auto"/>
          <w:sz w:val="24"/>
        </w:rPr>
        <w:t>（以下简称“主合同”），我方即保证人基于承包人</w:t>
      </w:r>
      <w:r>
        <w:rPr>
          <w:rFonts w:ascii="宋体" w:hAnsi="宋体"/>
          <w:color w:val="auto"/>
          <w:sz w:val="24"/>
        </w:rPr>
        <w:t>的请求，同意就</w:t>
      </w:r>
      <w:r>
        <w:rPr>
          <w:rFonts w:hint="eastAsia" w:ascii="宋体" w:hAnsi="宋体"/>
          <w:color w:val="auto"/>
          <w:sz w:val="24"/>
        </w:rPr>
        <w:t>承包人</w:t>
      </w:r>
      <w:r>
        <w:rPr>
          <w:rFonts w:ascii="宋体" w:hAnsi="宋体"/>
          <w:color w:val="auto"/>
          <w:sz w:val="24"/>
        </w:rPr>
        <w:t>履行</w:t>
      </w:r>
      <w:r>
        <w:rPr>
          <w:rFonts w:hint="eastAsia" w:ascii="宋体" w:hAnsi="宋体"/>
          <w:color w:val="auto"/>
          <w:sz w:val="24"/>
        </w:rPr>
        <w:t>与贵方签订的主合同</w:t>
      </w:r>
      <w:r>
        <w:rPr>
          <w:rFonts w:ascii="宋体" w:hAnsi="宋体"/>
          <w:color w:val="auto"/>
          <w:sz w:val="24"/>
        </w:rPr>
        <w:t>项下的义务</w:t>
      </w:r>
      <w:r>
        <w:rPr>
          <w:rFonts w:hint="eastAsia" w:ascii="宋体" w:hAnsi="宋体"/>
          <w:color w:val="auto"/>
          <w:sz w:val="24"/>
        </w:rPr>
        <w:t>，</w:t>
      </w:r>
      <w:r>
        <w:rPr>
          <w:rFonts w:ascii="宋体" w:hAnsi="宋体"/>
          <w:color w:val="auto"/>
          <w:sz w:val="24"/>
        </w:rPr>
        <w:t>向贵方提供</w:t>
      </w:r>
      <w:r>
        <w:rPr>
          <w:rFonts w:hint="eastAsia" w:ascii="宋体" w:hAnsi="宋体"/>
          <w:color w:val="auto"/>
          <w:sz w:val="24"/>
        </w:rPr>
        <w:t>如下保证担保（以下简称“本保证担保”）</w:t>
      </w:r>
      <w:r>
        <w:rPr>
          <w:rFonts w:ascii="宋体" w:hAnsi="宋体"/>
          <w:color w:val="auto"/>
          <w:sz w:val="24"/>
        </w:rPr>
        <w:t xml:space="preserve">。 </w:t>
      </w:r>
    </w:p>
    <w:p w14:paraId="4748EE6F">
      <w:pPr>
        <w:spacing w:line="360" w:lineRule="auto"/>
        <w:rPr>
          <w:rFonts w:hint="eastAsia" w:ascii="宋体" w:hAnsi="宋体"/>
          <w:b/>
          <w:bCs/>
          <w:color w:val="auto"/>
          <w:sz w:val="24"/>
        </w:rPr>
      </w:pPr>
      <w:r>
        <w:rPr>
          <w:rFonts w:hint="eastAsia" w:ascii="宋体" w:hAnsi="宋体"/>
          <w:color w:val="auto"/>
          <w:sz w:val="24"/>
        </w:rPr>
        <w:t xml:space="preserve">    </w:t>
      </w:r>
      <w:r>
        <w:rPr>
          <w:rFonts w:hint="eastAsia" w:ascii="宋体" w:hAnsi="宋体"/>
          <w:b/>
          <w:bCs/>
          <w:color w:val="auto"/>
          <w:sz w:val="24"/>
        </w:rPr>
        <w:t>一、保证担保的范围及保证担保金额</w:t>
      </w:r>
    </w:p>
    <w:p w14:paraId="53F00100">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保证担保范围：承包人未按照主合同的约定履行义务，应当向贵方承担的违约责任和赔偿因此造成的损失、利息、律师费、诉讼费用等实现债权的费用。</w:t>
      </w:r>
    </w:p>
    <w:p w14:paraId="39632D53">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保证担保金额最高不超过</w:t>
      </w:r>
      <w:r>
        <w:rPr>
          <w:rFonts w:ascii="宋体" w:hAnsi="宋体"/>
          <w:color w:val="auto"/>
          <w:sz w:val="24"/>
        </w:rPr>
        <w:t>人民币（大写）</w:t>
      </w:r>
      <w:r>
        <w:rPr>
          <w:rFonts w:ascii="宋体" w:hAnsi="宋体"/>
          <w:color w:val="auto"/>
          <w:sz w:val="24"/>
          <w:u w:val="single"/>
        </w:rPr>
        <w:t xml:space="preserve">          </w:t>
      </w:r>
      <w:r>
        <w:rPr>
          <w:rFonts w:ascii="宋体" w:hAnsi="宋体"/>
          <w:color w:val="auto"/>
          <w:sz w:val="24"/>
        </w:rPr>
        <w:t>元（¥</w:t>
      </w:r>
      <w:r>
        <w:rPr>
          <w:rFonts w:ascii="宋体" w:hAnsi="宋体"/>
          <w:color w:val="auto"/>
          <w:sz w:val="24"/>
          <w:u w:val="single"/>
        </w:rPr>
        <w:t xml:space="preserve">       </w:t>
      </w:r>
      <w:r>
        <w:rPr>
          <w:rFonts w:ascii="宋体" w:hAnsi="宋体"/>
          <w:color w:val="auto"/>
          <w:sz w:val="24"/>
        </w:rPr>
        <w:t xml:space="preserve">）。 </w:t>
      </w:r>
    </w:p>
    <w:p w14:paraId="2CCE9834">
      <w:pPr>
        <w:spacing w:line="360" w:lineRule="auto"/>
        <w:ind w:firstLine="482" w:firstLineChars="200"/>
        <w:rPr>
          <w:rFonts w:hint="eastAsia" w:ascii="宋体" w:hAnsi="宋体"/>
          <w:b/>
          <w:bCs/>
          <w:color w:val="auto"/>
          <w:sz w:val="24"/>
        </w:rPr>
      </w:pPr>
      <w:r>
        <w:rPr>
          <w:rFonts w:hint="eastAsia" w:ascii="宋体" w:hAnsi="宋体"/>
          <w:b/>
          <w:bCs/>
          <w:color w:val="auto"/>
          <w:sz w:val="24"/>
        </w:rPr>
        <w:t>二、保证担保的方式及保证期间</w:t>
      </w:r>
      <w:r>
        <w:rPr>
          <w:rFonts w:ascii="宋体" w:hAnsi="宋体"/>
          <w:b/>
          <w:bCs/>
          <w:color w:val="auto"/>
          <w:sz w:val="24"/>
        </w:rPr>
        <w:t xml:space="preserve"> </w:t>
      </w:r>
    </w:p>
    <w:p w14:paraId="0CB1CE92">
      <w:pPr>
        <w:spacing w:line="360" w:lineRule="auto"/>
        <w:ind w:firstLine="480" w:firstLineChars="200"/>
        <w:rPr>
          <w:rFonts w:hint="eastAsia" w:ascii="宋体" w:hAnsi="宋体"/>
          <w:color w:val="auto"/>
          <w:sz w:val="24"/>
        </w:rPr>
      </w:pPr>
      <w:r>
        <w:rPr>
          <w:rFonts w:hint="eastAsia" w:ascii="宋体" w:hAnsi="宋体"/>
          <w:color w:val="auto"/>
          <w:sz w:val="24"/>
        </w:rPr>
        <w:t>1.保证担保方式：连带责任保证。</w:t>
      </w:r>
    </w:p>
    <w:p w14:paraId="1C4E7C0D">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保证期间：</w:t>
      </w:r>
      <w:r>
        <w:rPr>
          <w:rFonts w:ascii="宋体" w:hAnsi="宋体"/>
          <w:color w:val="auto"/>
          <w:sz w:val="24"/>
        </w:rPr>
        <w:t>自</w:t>
      </w:r>
      <w:r>
        <w:rPr>
          <w:rFonts w:hint="eastAsia" w:ascii="宋体" w:hAnsi="宋体"/>
          <w:color w:val="auto"/>
          <w:sz w:val="24"/>
        </w:rPr>
        <w:t>出具之日起</w:t>
      </w:r>
      <w:r>
        <w:rPr>
          <w:rFonts w:ascii="宋体" w:hAnsi="宋体"/>
          <w:color w:val="auto"/>
          <w:sz w:val="24"/>
        </w:rPr>
        <w:t>至</w:t>
      </w:r>
      <w:r>
        <w:rPr>
          <w:rFonts w:hint="eastAsia" w:ascii="宋体" w:hAnsi="宋体"/>
          <w:color w:val="auto"/>
          <w:sz w:val="24"/>
        </w:rPr>
        <w:t>主合同约定的缺陷责任期</w:t>
      </w:r>
      <w:r>
        <w:rPr>
          <w:rFonts w:ascii="宋体" w:hAnsi="宋体"/>
          <w:color w:val="auto"/>
          <w:sz w:val="24"/>
        </w:rPr>
        <w:t>后</w:t>
      </w:r>
      <w:r>
        <w:rPr>
          <w:rFonts w:ascii="宋体" w:hAnsi="宋体"/>
          <w:color w:val="auto"/>
          <w:sz w:val="24"/>
          <w:u w:val="single"/>
        </w:rPr>
        <w:t xml:space="preserve">   </w:t>
      </w:r>
      <w:r>
        <w:rPr>
          <w:rFonts w:ascii="宋体" w:hAnsi="宋体"/>
          <w:color w:val="auto"/>
          <w:sz w:val="24"/>
        </w:rPr>
        <w:t>日</w:t>
      </w:r>
      <w:r>
        <w:rPr>
          <w:rFonts w:hint="eastAsia" w:ascii="宋体" w:hAnsi="宋体"/>
          <w:color w:val="auto"/>
          <w:sz w:val="24"/>
        </w:rPr>
        <w:t>止，最迟不超过</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r>
        <w:rPr>
          <w:rFonts w:ascii="宋体" w:hAnsi="宋体"/>
          <w:color w:val="auto"/>
          <w:sz w:val="24"/>
        </w:rPr>
        <w:t xml:space="preserve">。 </w:t>
      </w:r>
    </w:p>
    <w:p w14:paraId="09F9BD5E">
      <w:pPr>
        <w:spacing w:line="360" w:lineRule="auto"/>
        <w:ind w:firstLine="482" w:firstLineChars="200"/>
        <w:rPr>
          <w:rFonts w:hint="eastAsia" w:ascii="宋体" w:hAnsi="宋体"/>
          <w:b/>
          <w:bCs/>
          <w:color w:val="auto"/>
          <w:sz w:val="24"/>
        </w:rPr>
      </w:pPr>
      <w:r>
        <w:rPr>
          <w:rFonts w:hint="eastAsia" w:ascii="宋体" w:hAnsi="宋体"/>
          <w:b/>
          <w:bCs/>
          <w:color w:val="auto"/>
          <w:sz w:val="24"/>
        </w:rPr>
        <w:t>三、承担保证担保责任的形式</w:t>
      </w:r>
    </w:p>
    <w:p w14:paraId="4CE26CEE">
      <w:pPr>
        <w:spacing w:line="360" w:lineRule="auto"/>
        <w:ind w:firstLine="480" w:firstLineChars="200"/>
        <w:rPr>
          <w:rFonts w:hint="eastAsia" w:ascii="宋体" w:hAnsi="宋体"/>
          <w:color w:val="auto"/>
          <w:sz w:val="24"/>
        </w:rPr>
      </w:pPr>
      <w:r>
        <w:rPr>
          <w:rFonts w:hint="eastAsia" w:ascii="宋体" w:hAnsi="宋体"/>
          <w:color w:val="auto"/>
          <w:sz w:val="24"/>
        </w:rPr>
        <w:t>我方按照贵方的要求以下列方式之一承担保证担保责任：</w:t>
      </w:r>
      <w:r>
        <w:rPr>
          <w:rFonts w:ascii="宋体" w:hAnsi="宋体"/>
          <w:color w:val="auto"/>
          <w:sz w:val="24"/>
        </w:rPr>
        <w:t xml:space="preserve"> </w:t>
      </w:r>
    </w:p>
    <w:p w14:paraId="2579BFA1">
      <w:pPr>
        <w:spacing w:line="360" w:lineRule="auto"/>
        <w:ind w:firstLine="480" w:firstLineChars="200"/>
        <w:rPr>
          <w:rFonts w:hint="eastAsia" w:ascii="宋体" w:hAnsi="宋体"/>
          <w:color w:val="auto"/>
          <w:sz w:val="24"/>
        </w:rPr>
      </w:pPr>
      <w:r>
        <w:rPr>
          <w:rFonts w:hint="eastAsia" w:ascii="宋体" w:hAnsi="宋体"/>
          <w:color w:val="auto"/>
          <w:sz w:val="24"/>
        </w:rPr>
        <w:t>1.向承包人资金、设备或者技术援助，使其能继续履行合同义务；</w:t>
      </w:r>
    </w:p>
    <w:p w14:paraId="4AB93CCF">
      <w:pPr>
        <w:spacing w:line="360" w:lineRule="auto"/>
        <w:ind w:firstLine="480" w:firstLineChars="200"/>
        <w:rPr>
          <w:rFonts w:hint="eastAsia" w:ascii="宋体" w:hAnsi="宋体"/>
          <w:color w:val="auto"/>
          <w:sz w:val="24"/>
        </w:rPr>
      </w:pPr>
      <w:r>
        <w:rPr>
          <w:rFonts w:hint="eastAsia" w:ascii="宋体" w:hAnsi="宋体"/>
          <w:color w:val="auto"/>
          <w:sz w:val="24"/>
        </w:rPr>
        <w:t>2.直接接管该项工程或者委托经贵方同意的其他承包商，继续履行合同义务；</w:t>
      </w:r>
    </w:p>
    <w:p w14:paraId="3F5EA951">
      <w:pPr>
        <w:spacing w:line="360" w:lineRule="auto"/>
        <w:ind w:firstLine="480" w:firstLineChars="200"/>
        <w:rPr>
          <w:rFonts w:hint="eastAsia" w:ascii="宋体" w:hAnsi="宋体"/>
          <w:color w:val="auto"/>
          <w:sz w:val="24"/>
        </w:rPr>
      </w:pPr>
      <w:r>
        <w:rPr>
          <w:rFonts w:hint="eastAsia" w:ascii="宋体" w:hAnsi="宋体"/>
          <w:color w:val="auto"/>
          <w:sz w:val="24"/>
        </w:rPr>
        <w:t>3.在保证担保金额最高限额内，按照合同约定，向贵方承担违约责任和赔偿因此造成的损失，以及利息和律师费、诉讼费用等实现债权的费用。</w:t>
      </w:r>
    </w:p>
    <w:p w14:paraId="2D925348">
      <w:pPr>
        <w:spacing w:line="360" w:lineRule="auto"/>
        <w:ind w:firstLine="482" w:firstLineChars="200"/>
        <w:rPr>
          <w:rFonts w:hint="eastAsia" w:ascii="宋体" w:hAnsi="宋体"/>
          <w:b/>
          <w:bCs/>
          <w:color w:val="auto"/>
          <w:sz w:val="24"/>
        </w:rPr>
      </w:pPr>
      <w:r>
        <w:rPr>
          <w:rFonts w:hint="eastAsia" w:ascii="宋体" w:hAnsi="宋体"/>
          <w:b/>
          <w:bCs/>
          <w:color w:val="auto"/>
          <w:sz w:val="24"/>
        </w:rPr>
        <w:t>四、代偿的安排</w:t>
      </w:r>
      <w:r>
        <w:rPr>
          <w:rFonts w:ascii="宋体" w:hAnsi="宋体"/>
          <w:b/>
          <w:bCs/>
          <w:color w:val="auto"/>
          <w:sz w:val="24"/>
        </w:rPr>
        <w:t xml:space="preserve"> </w:t>
      </w:r>
    </w:p>
    <w:p w14:paraId="6191B63D">
      <w:pPr>
        <w:spacing w:line="360" w:lineRule="auto"/>
        <w:ind w:firstLine="480" w:firstLineChars="200"/>
        <w:rPr>
          <w:rFonts w:hint="eastAsia" w:ascii="宋体" w:hAnsi="宋体"/>
          <w:color w:val="auto"/>
          <w:sz w:val="24"/>
        </w:rPr>
      </w:pPr>
      <w:r>
        <w:rPr>
          <w:rFonts w:hint="eastAsia" w:ascii="宋体" w:hAnsi="宋体"/>
          <w:color w:val="auto"/>
          <w:sz w:val="24"/>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2E092E22">
      <w:pPr>
        <w:spacing w:line="360" w:lineRule="auto"/>
        <w:ind w:firstLine="480" w:firstLineChars="200"/>
        <w:rPr>
          <w:rFonts w:hint="eastAsia" w:ascii="宋体" w:hAnsi="宋体"/>
          <w:color w:val="auto"/>
          <w:sz w:val="24"/>
        </w:rPr>
      </w:pPr>
      <w:r>
        <w:rPr>
          <w:rFonts w:hint="eastAsia" w:ascii="宋体" w:hAnsi="宋体"/>
          <w:color w:val="auto"/>
          <w:sz w:val="24"/>
        </w:rPr>
        <w:t>2.贵方以工程质量不符合主合同约定标准为由，向我方提出违约索赔的，还需同时提供符合相应条件要求的工程质量检测部门出具的质量说明材料。</w:t>
      </w:r>
    </w:p>
    <w:p w14:paraId="313B9E60">
      <w:pPr>
        <w:spacing w:line="360" w:lineRule="auto"/>
        <w:ind w:firstLine="480" w:firstLineChars="200"/>
        <w:rPr>
          <w:rFonts w:hint="eastAsia" w:ascii="宋体" w:hAnsi="宋体"/>
          <w:color w:val="auto"/>
          <w:sz w:val="24"/>
        </w:rPr>
      </w:pPr>
      <w:r>
        <w:rPr>
          <w:rFonts w:hint="eastAsia" w:ascii="宋体" w:hAnsi="宋体"/>
          <w:color w:val="auto"/>
          <w:sz w:val="24"/>
        </w:rPr>
        <w:t>3.我方收到贵方的书面索赔通知及相应证明材料后，在</w:t>
      </w:r>
      <w:r>
        <w:rPr>
          <w:rFonts w:ascii="宋体" w:hAnsi="宋体"/>
          <w:color w:val="auto"/>
          <w:sz w:val="24"/>
          <w:u w:val="single"/>
        </w:rPr>
        <w:t xml:space="preserve">   </w:t>
      </w:r>
      <w:r>
        <w:rPr>
          <w:rFonts w:hint="eastAsia" w:ascii="宋体" w:hAnsi="宋体"/>
          <w:color w:val="auto"/>
          <w:sz w:val="24"/>
        </w:rPr>
        <w:t>工作日内进行核定后按照本保函的承诺承担保证责任。</w:t>
      </w:r>
    </w:p>
    <w:p w14:paraId="5737A26A">
      <w:pPr>
        <w:spacing w:line="360" w:lineRule="auto"/>
        <w:ind w:firstLine="482" w:firstLineChars="200"/>
        <w:rPr>
          <w:rFonts w:hint="eastAsia" w:ascii="宋体" w:hAnsi="宋体"/>
          <w:b/>
          <w:bCs/>
          <w:color w:val="auto"/>
          <w:sz w:val="24"/>
        </w:rPr>
      </w:pPr>
      <w:r>
        <w:rPr>
          <w:rFonts w:hint="eastAsia" w:ascii="宋体" w:hAnsi="宋体"/>
          <w:b/>
          <w:bCs/>
          <w:color w:val="auto"/>
          <w:sz w:val="24"/>
        </w:rPr>
        <w:t>五、保证担保责任的解除</w:t>
      </w:r>
      <w:r>
        <w:rPr>
          <w:rFonts w:ascii="宋体" w:hAnsi="宋体"/>
          <w:b/>
          <w:bCs/>
          <w:color w:val="auto"/>
          <w:sz w:val="24"/>
        </w:rPr>
        <w:t xml:space="preserve"> </w:t>
      </w:r>
    </w:p>
    <w:p w14:paraId="0C5E98AC">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 xml:space="preserve">保证期间届满贵方未向我方书面主张保证责任的，自保证期间届满次日起，我方解除保证责任。 </w:t>
      </w:r>
    </w:p>
    <w:p w14:paraId="2413C1FF">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我方按照本</w:t>
      </w:r>
      <w:r>
        <w:rPr>
          <w:rFonts w:hint="eastAsia" w:ascii="宋体" w:hAnsi="宋体"/>
          <w:color w:val="auto"/>
          <w:sz w:val="24"/>
        </w:rPr>
        <w:t>保证担保</w:t>
      </w:r>
      <w:r>
        <w:rPr>
          <w:rFonts w:ascii="宋体" w:hAnsi="宋体"/>
          <w:color w:val="auto"/>
          <w:sz w:val="24"/>
        </w:rPr>
        <w:t>向贵方履行了</w:t>
      </w:r>
      <w:r>
        <w:rPr>
          <w:rFonts w:hint="eastAsia" w:ascii="宋体" w:hAnsi="宋体"/>
          <w:color w:val="auto"/>
          <w:sz w:val="24"/>
        </w:rPr>
        <w:t>保证担保责任</w:t>
      </w:r>
      <w:r>
        <w:rPr>
          <w:rFonts w:ascii="宋体" w:hAnsi="宋体"/>
          <w:color w:val="auto"/>
          <w:sz w:val="24"/>
        </w:rPr>
        <w:t>后，自我方向贵方支付</w:t>
      </w:r>
      <w:r>
        <w:rPr>
          <w:rFonts w:hint="eastAsia" w:ascii="宋体" w:hAnsi="宋体"/>
          <w:color w:val="auto"/>
          <w:sz w:val="24"/>
        </w:rPr>
        <w:t>的金额达到最高保证担保金额</w:t>
      </w:r>
      <w:r>
        <w:rPr>
          <w:rFonts w:ascii="宋体" w:hAnsi="宋体"/>
          <w:color w:val="auto"/>
          <w:sz w:val="24"/>
        </w:rPr>
        <w:t>之日起，</w:t>
      </w:r>
      <w:r>
        <w:rPr>
          <w:rFonts w:hint="eastAsia" w:ascii="宋体" w:hAnsi="宋体"/>
          <w:color w:val="auto"/>
          <w:sz w:val="24"/>
        </w:rPr>
        <w:t>保证担保责任</w:t>
      </w:r>
      <w:r>
        <w:rPr>
          <w:rFonts w:ascii="宋体" w:hAnsi="宋体"/>
          <w:color w:val="auto"/>
          <w:sz w:val="24"/>
        </w:rPr>
        <w:t xml:space="preserve">解除。 </w:t>
      </w:r>
    </w:p>
    <w:p w14:paraId="2506205E">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按照法律法规的规定应解除我方保证</w:t>
      </w:r>
      <w:r>
        <w:rPr>
          <w:rFonts w:hint="eastAsia" w:ascii="宋体" w:hAnsi="宋体"/>
          <w:color w:val="auto"/>
          <w:sz w:val="24"/>
        </w:rPr>
        <w:t>担保</w:t>
      </w:r>
      <w:r>
        <w:rPr>
          <w:rFonts w:ascii="宋体" w:hAnsi="宋体"/>
          <w:color w:val="auto"/>
          <w:sz w:val="24"/>
        </w:rPr>
        <w:t>责任的其它情形的，我方在本保证担保项下的保证</w:t>
      </w:r>
      <w:r>
        <w:rPr>
          <w:rFonts w:hint="eastAsia" w:ascii="宋体" w:hAnsi="宋体"/>
          <w:color w:val="auto"/>
          <w:sz w:val="24"/>
        </w:rPr>
        <w:t>担保</w:t>
      </w:r>
      <w:r>
        <w:rPr>
          <w:rFonts w:ascii="宋体" w:hAnsi="宋体"/>
          <w:color w:val="auto"/>
          <w:sz w:val="24"/>
        </w:rPr>
        <w:t xml:space="preserve">责任亦解除。 </w:t>
      </w:r>
    </w:p>
    <w:p w14:paraId="7714699F">
      <w:pPr>
        <w:spacing w:line="360" w:lineRule="auto"/>
        <w:ind w:firstLine="480" w:firstLineChars="200"/>
        <w:rPr>
          <w:rFonts w:hint="eastAsia" w:ascii="宋体" w:hAnsi="宋体"/>
          <w:color w:val="auto"/>
          <w:sz w:val="24"/>
        </w:rPr>
      </w:pPr>
      <w:r>
        <w:rPr>
          <w:rFonts w:hint="eastAsia" w:ascii="宋体" w:hAnsi="宋体"/>
          <w:color w:val="auto"/>
          <w:sz w:val="24"/>
        </w:rPr>
        <w:t>4.我方解除保证责任后，贵方应按上述约定，自我方保证担保责任解除之日起七</w:t>
      </w:r>
      <w:r>
        <w:rPr>
          <w:rFonts w:ascii="宋体" w:hAnsi="宋体"/>
          <w:color w:val="auto"/>
          <w:sz w:val="24"/>
        </w:rPr>
        <w:t>日内，将本保证担保原件返还我方。但是不论贵方是否按此要求将本保证担保</w:t>
      </w:r>
      <w:r>
        <w:rPr>
          <w:rFonts w:hint="eastAsia" w:ascii="宋体" w:hAnsi="宋体"/>
          <w:color w:val="auto"/>
          <w:sz w:val="24"/>
        </w:rPr>
        <w:t>原件</w:t>
      </w:r>
      <w:r>
        <w:rPr>
          <w:rFonts w:ascii="宋体" w:hAnsi="宋体"/>
          <w:color w:val="auto"/>
          <w:sz w:val="24"/>
        </w:rPr>
        <w:t>退回我方，我方在本保证担保项下的义务和责任均</w:t>
      </w:r>
      <w:r>
        <w:rPr>
          <w:rFonts w:hint="eastAsia" w:ascii="宋体" w:hAnsi="宋体"/>
          <w:color w:val="auto"/>
          <w:sz w:val="24"/>
        </w:rPr>
        <w:t>自保证担保责任解除之日</w:t>
      </w:r>
      <w:r>
        <w:rPr>
          <w:rFonts w:ascii="宋体" w:hAnsi="宋体"/>
          <w:color w:val="auto"/>
          <w:sz w:val="24"/>
        </w:rPr>
        <w:t>自动消灭。</w:t>
      </w:r>
    </w:p>
    <w:p w14:paraId="6524F0CB">
      <w:pPr>
        <w:spacing w:line="360" w:lineRule="auto"/>
        <w:ind w:firstLine="482" w:firstLineChars="200"/>
        <w:rPr>
          <w:rFonts w:hint="eastAsia" w:ascii="宋体" w:hAnsi="宋体"/>
          <w:b/>
          <w:bCs/>
          <w:color w:val="auto"/>
          <w:sz w:val="24"/>
        </w:rPr>
      </w:pPr>
      <w:r>
        <w:rPr>
          <w:rFonts w:hint="eastAsia" w:ascii="宋体" w:hAnsi="宋体"/>
          <w:b/>
          <w:bCs/>
          <w:color w:val="auto"/>
          <w:sz w:val="24"/>
        </w:rPr>
        <w:t>六、免责条款</w:t>
      </w:r>
      <w:r>
        <w:rPr>
          <w:rFonts w:ascii="宋体" w:hAnsi="宋体"/>
          <w:b/>
          <w:bCs/>
          <w:color w:val="auto"/>
          <w:sz w:val="24"/>
        </w:rPr>
        <w:t xml:space="preserve"> </w:t>
      </w:r>
    </w:p>
    <w:p w14:paraId="55369BA6">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因贵方</w:t>
      </w:r>
      <w:r>
        <w:rPr>
          <w:rFonts w:hint="eastAsia" w:ascii="宋体" w:hAnsi="宋体"/>
          <w:color w:val="auto"/>
          <w:sz w:val="24"/>
        </w:rPr>
        <w:t>原因</w:t>
      </w:r>
      <w:r>
        <w:rPr>
          <w:rFonts w:ascii="宋体" w:hAnsi="宋体"/>
          <w:color w:val="auto"/>
          <w:sz w:val="24"/>
        </w:rPr>
        <w:t>致使</w:t>
      </w:r>
      <w:r>
        <w:rPr>
          <w:rFonts w:hint="eastAsia" w:ascii="宋体" w:hAnsi="宋体"/>
          <w:color w:val="auto"/>
          <w:sz w:val="24"/>
        </w:rPr>
        <w:t>承包人未按照主合同约定履行义务的</w:t>
      </w:r>
      <w:r>
        <w:rPr>
          <w:rFonts w:ascii="宋体" w:hAnsi="宋体"/>
          <w:color w:val="auto"/>
          <w:sz w:val="24"/>
        </w:rPr>
        <w:t>，我方不承担保证</w:t>
      </w:r>
      <w:r>
        <w:rPr>
          <w:rFonts w:hint="eastAsia" w:ascii="宋体" w:hAnsi="宋体"/>
          <w:color w:val="auto"/>
          <w:sz w:val="24"/>
        </w:rPr>
        <w:t>担保</w:t>
      </w:r>
      <w:r>
        <w:rPr>
          <w:rFonts w:ascii="宋体" w:hAnsi="宋体"/>
          <w:color w:val="auto"/>
          <w:sz w:val="24"/>
        </w:rPr>
        <w:t xml:space="preserve">责任。 </w:t>
      </w:r>
    </w:p>
    <w:p w14:paraId="2AFE0B78">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依照法律规定或贵方与</w:t>
      </w:r>
      <w:r>
        <w:rPr>
          <w:rFonts w:hint="eastAsia" w:ascii="宋体" w:hAnsi="宋体"/>
          <w:color w:val="auto"/>
          <w:sz w:val="24"/>
        </w:rPr>
        <w:t>发包</w:t>
      </w:r>
      <w:r>
        <w:rPr>
          <w:rFonts w:ascii="宋体" w:hAnsi="宋体"/>
          <w:color w:val="auto"/>
          <w:sz w:val="24"/>
        </w:rPr>
        <w:t>人的另行约定，免除</w:t>
      </w:r>
      <w:r>
        <w:rPr>
          <w:rFonts w:hint="eastAsia" w:ascii="宋体" w:hAnsi="宋体"/>
          <w:color w:val="auto"/>
          <w:sz w:val="24"/>
        </w:rPr>
        <w:t>承包</w:t>
      </w:r>
      <w:r>
        <w:rPr>
          <w:rFonts w:ascii="宋体" w:hAnsi="宋体"/>
          <w:color w:val="auto"/>
          <w:sz w:val="24"/>
        </w:rPr>
        <w:t>人部分或全部义务的，我方亦免除其相应的保证</w:t>
      </w:r>
      <w:r>
        <w:rPr>
          <w:rFonts w:hint="eastAsia" w:ascii="宋体" w:hAnsi="宋体"/>
          <w:color w:val="auto"/>
          <w:sz w:val="24"/>
        </w:rPr>
        <w:t>担保</w:t>
      </w:r>
      <w:r>
        <w:rPr>
          <w:rFonts w:ascii="宋体" w:hAnsi="宋体"/>
          <w:color w:val="auto"/>
          <w:sz w:val="24"/>
        </w:rPr>
        <w:t xml:space="preserve">责任。 </w:t>
      </w:r>
    </w:p>
    <w:p w14:paraId="6F0ABE1A">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因不可抗力造成</w:t>
      </w:r>
      <w:r>
        <w:rPr>
          <w:rFonts w:hint="eastAsia" w:ascii="宋体" w:hAnsi="宋体"/>
          <w:color w:val="auto"/>
          <w:sz w:val="24"/>
        </w:rPr>
        <w:t>承包人未按照主合同约定履行义务的</w:t>
      </w:r>
      <w:r>
        <w:rPr>
          <w:rFonts w:ascii="宋体" w:hAnsi="宋体"/>
          <w:color w:val="auto"/>
          <w:sz w:val="24"/>
        </w:rPr>
        <w:t>，我方不承担保证</w:t>
      </w:r>
      <w:r>
        <w:rPr>
          <w:rFonts w:hint="eastAsia" w:ascii="宋体" w:hAnsi="宋体"/>
          <w:color w:val="auto"/>
          <w:sz w:val="24"/>
        </w:rPr>
        <w:t>担保</w:t>
      </w:r>
      <w:r>
        <w:rPr>
          <w:rFonts w:ascii="宋体" w:hAnsi="宋体"/>
          <w:color w:val="auto"/>
          <w:sz w:val="24"/>
        </w:rPr>
        <w:t>责任。</w:t>
      </w:r>
    </w:p>
    <w:p w14:paraId="0A2BDE8A">
      <w:pPr>
        <w:spacing w:line="360" w:lineRule="auto"/>
        <w:ind w:firstLine="482" w:firstLineChars="200"/>
        <w:rPr>
          <w:rFonts w:hint="eastAsia" w:ascii="宋体" w:hAnsi="宋体"/>
          <w:b/>
          <w:bCs/>
          <w:color w:val="auto"/>
          <w:sz w:val="24"/>
        </w:rPr>
      </w:pPr>
      <w:r>
        <w:rPr>
          <w:rFonts w:hint="eastAsia" w:ascii="宋体" w:hAnsi="宋体"/>
          <w:b/>
          <w:bCs/>
          <w:color w:val="auto"/>
          <w:sz w:val="24"/>
        </w:rPr>
        <w:t>七、其他</w:t>
      </w:r>
    </w:p>
    <w:p w14:paraId="5005079C">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本保证担保项下的权利不得转让，不得设定担保。贵方未经我方书面同意转让本保证担保或其项下任何权利，</w:t>
      </w:r>
      <w:r>
        <w:rPr>
          <w:rFonts w:hint="eastAsia" w:ascii="宋体" w:hAnsi="宋体"/>
          <w:color w:val="auto"/>
          <w:sz w:val="24"/>
        </w:rPr>
        <w:t>对我方不发生法律效力</w:t>
      </w:r>
      <w:r>
        <w:rPr>
          <w:rFonts w:ascii="宋体" w:hAnsi="宋体"/>
          <w:color w:val="auto"/>
          <w:sz w:val="24"/>
        </w:rPr>
        <w:t xml:space="preserve">。 </w:t>
      </w:r>
    </w:p>
    <w:p w14:paraId="6C01BD57">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.本</w:t>
      </w:r>
      <w:r>
        <w:rPr>
          <w:rFonts w:hint="eastAsia" w:ascii="宋体" w:hAnsi="宋体"/>
          <w:color w:val="auto"/>
          <w:sz w:val="24"/>
        </w:rPr>
        <w:t>保证担保适用的法律为中华人民共和国法律，争议裁判管辖地为中华人民共和国</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w:t>
      </w:r>
      <w:r>
        <w:rPr>
          <w:rFonts w:ascii="宋体" w:hAnsi="宋体"/>
          <w:color w:val="auto"/>
          <w:sz w:val="24"/>
        </w:rPr>
        <w:t xml:space="preserve"> </w:t>
      </w:r>
    </w:p>
    <w:p w14:paraId="19C9B25C">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.本</w:t>
      </w:r>
      <w:r>
        <w:rPr>
          <w:rFonts w:hint="eastAsia" w:ascii="宋体" w:hAnsi="宋体"/>
          <w:color w:val="auto"/>
          <w:sz w:val="24"/>
        </w:rPr>
        <w:t>保证担保</w:t>
      </w:r>
      <w:r>
        <w:rPr>
          <w:rFonts w:ascii="宋体" w:hAnsi="宋体"/>
          <w:color w:val="auto"/>
          <w:sz w:val="24"/>
        </w:rPr>
        <w:t>自我方法定代表</w:t>
      </w:r>
      <w:r>
        <w:rPr>
          <w:rFonts w:hint="eastAsia" w:ascii="宋体" w:hAnsi="宋体"/>
          <w:color w:val="auto"/>
          <w:sz w:val="24"/>
        </w:rPr>
        <w:t>人或授权代表</w:t>
      </w:r>
      <w:r>
        <w:rPr>
          <w:rFonts w:ascii="宋体" w:hAnsi="宋体"/>
          <w:color w:val="auto"/>
          <w:sz w:val="24"/>
        </w:rPr>
        <w:t>签字</w:t>
      </w:r>
      <w:r>
        <w:rPr>
          <w:rFonts w:hint="eastAsia" w:ascii="宋体" w:hAnsi="宋体"/>
          <w:color w:val="auto"/>
          <w:sz w:val="24"/>
        </w:rPr>
        <w:t>并</w:t>
      </w:r>
      <w:r>
        <w:rPr>
          <w:rFonts w:ascii="宋体" w:hAnsi="宋体"/>
          <w:color w:val="auto"/>
          <w:sz w:val="24"/>
        </w:rPr>
        <w:t xml:space="preserve">加盖公章之日起生效。 </w:t>
      </w:r>
    </w:p>
    <w:p w14:paraId="69CC41B8">
      <w:pPr>
        <w:spacing w:line="360" w:lineRule="auto"/>
        <w:ind w:firstLine="480" w:firstLineChars="200"/>
        <w:rPr>
          <w:rFonts w:hint="eastAsia" w:ascii="宋体" w:hAnsi="宋体"/>
          <w:color w:val="auto"/>
          <w:sz w:val="24"/>
        </w:rPr>
      </w:pPr>
    </w:p>
    <w:p w14:paraId="5C0228ED">
      <w:pPr>
        <w:spacing w:line="360" w:lineRule="auto"/>
        <w:ind w:firstLine="480" w:firstLineChars="200"/>
        <w:rPr>
          <w:rFonts w:hint="eastAsia" w:ascii="宋体" w:hAnsi="宋体"/>
          <w:color w:val="auto"/>
          <w:sz w:val="24"/>
        </w:rPr>
      </w:pPr>
      <w:r>
        <w:rPr>
          <w:rFonts w:hint="eastAsia" w:ascii="宋体" w:hAnsi="宋体"/>
          <w:color w:val="auto"/>
          <w:sz w:val="24"/>
        </w:rPr>
        <w:t>保 证 人</w:t>
      </w:r>
      <w:r>
        <w:rPr>
          <w:rFonts w:ascii="宋体" w:hAnsi="宋体"/>
          <w:color w:val="auto"/>
          <w:sz w:val="24"/>
        </w:rPr>
        <w:t xml:space="preserve">：                 </w:t>
      </w:r>
      <w:r>
        <w:rPr>
          <w:rFonts w:hint="eastAsia" w:ascii="宋体" w:hAnsi="宋体"/>
          <w:color w:val="auto"/>
          <w:sz w:val="24"/>
        </w:rPr>
        <w:t xml:space="preserve">             （公</w:t>
      </w:r>
      <w:r>
        <w:rPr>
          <w:rFonts w:ascii="宋体" w:hAnsi="宋体"/>
          <w:color w:val="auto"/>
          <w:sz w:val="24"/>
        </w:rPr>
        <w:t xml:space="preserve">章） </w:t>
      </w:r>
    </w:p>
    <w:p w14:paraId="59E8FA51">
      <w:pPr>
        <w:spacing w:line="360" w:lineRule="auto"/>
        <w:ind w:firstLine="480" w:firstLineChars="200"/>
        <w:rPr>
          <w:rFonts w:hint="eastAsia" w:ascii="宋体" w:hAnsi="宋体"/>
          <w:color w:val="auto"/>
          <w:sz w:val="24"/>
        </w:rPr>
      </w:pPr>
      <w:r>
        <w:rPr>
          <w:rFonts w:hint="eastAsia" w:ascii="宋体" w:hAnsi="宋体"/>
          <w:color w:val="auto"/>
          <w:sz w:val="24"/>
        </w:rPr>
        <w:t>法定代表人（或授权代表）：</w:t>
      </w:r>
      <w:r>
        <w:rPr>
          <w:rFonts w:ascii="宋体" w:hAnsi="宋体"/>
          <w:color w:val="auto"/>
          <w:sz w:val="24"/>
        </w:rPr>
        <w:t xml:space="preserve">               （签字） </w:t>
      </w:r>
    </w:p>
    <w:p w14:paraId="59D7D6AE">
      <w:pPr>
        <w:spacing w:line="360" w:lineRule="auto"/>
        <w:ind w:firstLine="480" w:firstLineChars="200"/>
        <w:rPr>
          <w:rFonts w:hint="eastAsia" w:ascii="宋体" w:hAnsi="宋体"/>
          <w:color w:val="auto"/>
          <w:sz w:val="24"/>
        </w:rPr>
      </w:pPr>
      <w:r>
        <w:rPr>
          <w:rFonts w:hint="eastAsia" w:ascii="宋体" w:hAnsi="宋体"/>
          <w:color w:val="auto"/>
          <w:sz w:val="24"/>
        </w:rPr>
        <w:t>地</w:t>
      </w:r>
      <w:r>
        <w:rPr>
          <w:rFonts w:ascii="宋体" w:hAnsi="宋体"/>
          <w:color w:val="auto"/>
          <w:sz w:val="24"/>
        </w:rPr>
        <w:t xml:space="preserve">    址：                                       </w:t>
      </w:r>
    </w:p>
    <w:p w14:paraId="4853C892">
      <w:pPr>
        <w:spacing w:line="360" w:lineRule="auto"/>
        <w:ind w:firstLine="480" w:firstLineChars="200"/>
        <w:rPr>
          <w:rFonts w:hint="eastAsia" w:ascii="宋体" w:hAnsi="宋体"/>
          <w:color w:val="auto"/>
          <w:sz w:val="24"/>
        </w:rPr>
      </w:pPr>
      <w:r>
        <w:rPr>
          <w:rFonts w:hint="eastAsia" w:ascii="宋体" w:hAnsi="宋体"/>
          <w:color w:val="auto"/>
          <w:sz w:val="24"/>
        </w:rPr>
        <w:t>邮政编码：</w:t>
      </w:r>
      <w:r>
        <w:rPr>
          <w:rFonts w:ascii="宋体" w:hAnsi="宋体"/>
          <w:color w:val="auto"/>
          <w:sz w:val="24"/>
        </w:rPr>
        <w:t xml:space="preserve">                 </w:t>
      </w:r>
    </w:p>
    <w:p w14:paraId="51427070">
      <w:pPr>
        <w:spacing w:line="360" w:lineRule="auto"/>
        <w:ind w:firstLine="480" w:firstLineChars="200"/>
        <w:rPr>
          <w:rFonts w:hint="eastAsia" w:ascii="宋体" w:hAnsi="宋体"/>
          <w:color w:val="auto"/>
          <w:sz w:val="24"/>
        </w:rPr>
      </w:pPr>
      <w:r>
        <w:rPr>
          <w:rFonts w:hint="eastAsia" w:ascii="宋体" w:hAnsi="宋体"/>
          <w:color w:val="auto"/>
          <w:sz w:val="24"/>
        </w:rPr>
        <w:t>电</w:t>
      </w:r>
      <w:r>
        <w:rPr>
          <w:rFonts w:ascii="宋体" w:hAnsi="宋体"/>
          <w:color w:val="auto"/>
          <w:sz w:val="24"/>
        </w:rPr>
        <w:t xml:space="preserve">    话：                 </w:t>
      </w:r>
    </w:p>
    <w:p w14:paraId="7CE06C00">
      <w:pPr>
        <w:spacing w:line="360" w:lineRule="auto"/>
        <w:ind w:firstLine="480" w:firstLineChars="200"/>
        <w:rPr>
          <w:rFonts w:hint="eastAsia" w:ascii="宋体" w:hAnsi="宋体"/>
          <w:color w:val="auto"/>
          <w:sz w:val="24"/>
        </w:rPr>
      </w:pPr>
      <w:r>
        <w:rPr>
          <w:rFonts w:hint="eastAsia" w:ascii="宋体" w:hAnsi="宋体"/>
          <w:color w:val="auto"/>
          <w:sz w:val="24"/>
        </w:rPr>
        <w:t>传</w:t>
      </w:r>
      <w:r>
        <w:rPr>
          <w:rFonts w:ascii="宋体" w:hAnsi="宋体"/>
          <w:color w:val="auto"/>
          <w:sz w:val="24"/>
        </w:rPr>
        <w:t xml:space="preserve">    真：                 </w:t>
      </w:r>
    </w:p>
    <w:p w14:paraId="489C2ABE">
      <w:pPr>
        <w:spacing w:line="360" w:lineRule="auto"/>
        <w:ind w:firstLine="480" w:firstLineChars="200"/>
        <w:rPr>
          <w:rFonts w:hint="eastAsia" w:ascii="宋体" w:hAnsi="宋体"/>
          <w:color w:val="auto"/>
          <w:sz w:val="24"/>
        </w:rPr>
      </w:pPr>
      <w:r>
        <w:rPr>
          <w:rFonts w:hint="eastAsia" w:ascii="宋体" w:hAnsi="宋体"/>
          <w:color w:val="auto"/>
          <w:sz w:val="24"/>
        </w:rPr>
        <w:t xml:space="preserve">时 </w:t>
      </w:r>
      <w:r>
        <w:rPr>
          <w:rFonts w:ascii="宋体" w:hAnsi="宋体"/>
          <w:color w:val="auto"/>
          <w:sz w:val="24"/>
        </w:rPr>
        <w:t xml:space="preserve">   </w:t>
      </w:r>
      <w:r>
        <w:rPr>
          <w:rFonts w:hint="eastAsia" w:ascii="宋体" w:hAnsi="宋体"/>
          <w:color w:val="auto"/>
          <w:sz w:val="24"/>
        </w:rPr>
        <w:t>间：</w:t>
      </w:r>
      <w:r>
        <w:rPr>
          <w:rFonts w:ascii="宋体" w:hAnsi="宋体"/>
          <w:color w:val="auto"/>
          <w:sz w:val="24"/>
        </w:rPr>
        <w:t xml:space="preserve">      年      月        日</w:t>
      </w:r>
    </w:p>
    <w:p w14:paraId="2A20A6D9">
      <w:pPr>
        <w:rPr>
          <w:color w:val="auto"/>
        </w:rPr>
      </w:pPr>
    </w:p>
    <w:p w14:paraId="41AD94EB">
      <w:pPr>
        <w:rPr>
          <w:color w:val="auto"/>
        </w:rPr>
      </w:pPr>
    </w:p>
    <w:bookmarkEnd w:id="1526"/>
    <w:bookmarkEnd w:id="1527"/>
    <w:bookmarkEnd w:id="1528"/>
    <w:bookmarkEnd w:id="1529"/>
    <w:bookmarkEnd w:id="1530"/>
    <w:bookmarkEnd w:id="1531"/>
    <w:bookmarkEnd w:id="1532"/>
    <w:p w14:paraId="3B36DD27">
      <w:pPr>
        <w:spacing w:line="360" w:lineRule="auto"/>
        <w:jc w:val="left"/>
        <w:rPr>
          <w:rFonts w:eastAsia="仿宋_GB2312" w:cs="仿宋_GB2312"/>
          <w:color w:val="auto"/>
          <w:sz w:val="30"/>
          <w:szCs w:val="30"/>
        </w:rPr>
      </w:pPr>
    </w:p>
    <w:p w14:paraId="42CEFC95">
      <w:pPr>
        <w:spacing w:line="360" w:lineRule="auto"/>
        <w:jc w:val="left"/>
        <w:rPr>
          <w:rFonts w:eastAsia="仿宋_GB2312" w:cs="仿宋_GB2312"/>
          <w:color w:val="auto"/>
          <w:sz w:val="30"/>
          <w:szCs w:val="30"/>
        </w:rPr>
      </w:pPr>
    </w:p>
    <w:p w14:paraId="19BCAAAF">
      <w:pPr>
        <w:spacing w:line="360" w:lineRule="auto"/>
        <w:jc w:val="left"/>
        <w:rPr>
          <w:rFonts w:eastAsia="仿宋_GB2312" w:cs="仿宋_GB2312"/>
          <w:color w:val="auto"/>
          <w:sz w:val="30"/>
          <w:szCs w:val="30"/>
        </w:rPr>
      </w:pPr>
    </w:p>
    <w:p w14:paraId="75ECCB25">
      <w:pPr>
        <w:spacing w:line="360" w:lineRule="auto"/>
        <w:jc w:val="left"/>
        <w:rPr>
          <w:rFonts w:eastAsia="仿宋_GB2312" w:cs="仿宋_GB2312"/>
          <w:color w:val="auto"/>
          <w:sz w:val="30"/>
          <w:szCs w:val="30"/>
        </w:rPr>
      </w:pPr>
    </w:p>
    <w:p w14:paraId="183A46E6">
      <w:pPr>
        <w:spacing w:line="360" w:lineRule="auto"/>
        <w:jc w:val="left"/>
        <w:rPr>
          <w:rFonts w:eastAsia="仿宋_GB2312" w:cs="仿宋_GB2312"/>
          <w:color w:val="auto"/>
          <w:sz w:val="30"/>
          <w:szCs w:val="30"/>
        </w:rPr>
      </w:pPr>
    </w:p>
    <w:p w14:paraId="0EBEB428">
      <w:pPr>
        <w:spacing w:line="360" w:lineRule="auto"/>
        <w:jc w:val="left"/>
        <w:rPr>
          <w:rFonts w:eastAsia="仿宋_GB2312" w:cs="仿宋_GB2312"/>
          <w:color w:val="auto"/>
          <w:sz w:val="30"/>
          <w:szCs w:val="30"/>
        </w:rPr>
      </w:pPr>
    </w:p>
    <w:p w14:paraId="45122AC3">
      <w:pPr>
        <w:spacing w:line="360" w:lineRule="auto"/>
        <w:jc w:val="left"/>
        <w:rPr>
          <w:rFonts w:eastAsia="仿宋_GB2312" w:cs="仿宋_GB2312"/>
          <w:color w:val="auto"/>
          <w:sz w:val="30"/>
          <w:szCs w:val="30"/>
        </w:rPr>
      </w:pPr>
    </w:p>
    <w:p w14:paraId="64FF5893">
      <w:pPr>
        <w:pStyle w:val="2"/>
        <w:rPr>
          <w:color w:val="auto"/>
        </w:rPr>
      </w:pPr>
    </w:p>
    <w:p w14:paraId="32F5E229">
      <w:pPr>
        <w:spacing w:line="360" w:lineRule="auto"/>
        <w:jc w:val="left"/>
        <w:rPr>
          <w:rFonts w:eastAsia="仿宋_GB2312" w:cs="仿宋_GB2312"/>
          <w:color w:val="auto"/>
          <w:sz w:val="30"/>
          <w:szCs w:val="30"/>
        </w:rPr>
      </w:pPr>
    </w:p>
    <w:p w14:paraId="1DF201CF">
      <w:pPr>
        <w:spacing w:line="360" w:lineRule="auto"/>
        <w:jc w:val="left"/>
        <w:rPr>
          <w:rFonts w:eastAsia="仿宋_GB2312" w:cs="仿宋_GB2312"/>
          <w:color w:val="auto"/>
          <w:sz w:val="30"/>
          <w:szCs w:val="30"/>
        </w:rPr>
      </w:pPr>
    </w:p>
    <w:p w14:paraId="683C1D8A">
      <w:pPr>
        <w:spacing w:line="360" w:lineRule="auto"/>
        <w:jc w:val="left"/>
        <w:rPr>
          <w:rFonts w:eastAsia="仿宋_GB2312" w:cs="仿宋_GB2312"/>
          <w:color w:val="auto"/>
          <w:sz w:val="30"/>
          <w:szCs w:val="30"/>
        </w:rPr>
      </w:pPr>
    </w:p>
    <w:p w14:paraId="654631F0">
      <w:pPr>
        <w:spacing w:line="360" w:lineRule="auto"/>
        <w:jc w:val="left"/>
        <w:rPr>
          <w:rFonts w:eastAsia="仿宋_GB2312" w:cs="仿宋_GB2312"/>
          <w:color w:val="auto"/>
          <w:sz w:val="30"/>
          <w:szCs w:val="30"/>
        </w:rPr>
      </w:pPr>
    </w:p>
    <w:p w14:paraId="50F6B93A">
      <w:pPr>
        <w:spacing w:line="360" w:lineRule="auto"/>
        <w:jc w:val="left"/>
        <w:rPr>
          <w:rFonts w:eastAsia="仿宋_GB2312" w:cs="仿宋_GB2312"/>
          <w:color w:val="auto"/>
          <w:sz w:val="30"/>
          <w:szCs w:val="30"/>
        </w:rPr>
      </w:pPr>
    </w:p>
    <w:p w14:paraId="242CB546">
      <w:pPr>
        <w:spacing w:line="360" w:lineRule="auto"/>
        <w:jc w:val="left"/>
        <w:rPr>
          <w:rFonts w:hint="eastAsia" w:ascii="黑体" w:hAnsi="黑体" w:eastAsia="黑体" w:cs="黑体"/>
          <w:color w:val="auto"/>
          <w:sz w:val="32"/>
          <w:szCs w:val="32"/>
        </w:rPr>
      </w:pPr>
      <w:r>
        <w:rPr>
          <w:rFonts w:hint="eastAsia" w:eastAsia="仿宋_GB2312" w:cs="仿宋_GB2312"/>
          <w:color w:val="auto"/>
          <w:sz w:val="30"/>
          <w:szCs w:val="30"/>
        </w:rPr>
        <w:t>附件</w:t>
      </w:r>
      <w:r>
        <w:rPr>
          <w:rFonts w:hint="eastAsia" w:eastAsia="仿宋_GB2312"/>
          <w:color w:val="auto"/>
          <w:sz w:val="30"/>
          <w:szCs w:val="30"/>
        </w:rPr>
        <w:t>8</w:t>
      </w:r>
      <w:r>
        <w:rPr>
          <w:rFonts w:hint="eastAsia" w:eastAsia="仿宋_GB2312" w:cs="仿宋_GB2312"/>
          <w:color w:val="auto"/>
          <w:sz w:val="30"/>
          <w:szCs w:val="30"/>
        </w:rPr>
        <w:t>：</w:t>
      </w:r>
    </w:p>
    <w:p w14:paraId="6232F1AE">
      <w:pPr>
        <w:spacing w:line="360" w:lineRule="auto"/>
        <w:jc w:val="left"/>
        <w:rPr>
          <w:rFonts w:hint="eastAsia" w:ascii="黑体" w:hAnsi="黑体" w:eastAsia="黑体" w:cs="黑体"/>
          <w:b/>
          <w:bCs/>
          <w:color w:val="auto"/>
          <w:sz w:val="32"/>
          <w:szCs w:val="32"/>
        </w:rPr>
      </w:pPr>
    </w:p>
    <w:p w14:paraId="576E8357">
      <w:pPr>
        <w:spacing w:line="360" w:lineRule="auto"/>
        <w:jc w:val="center"/>
        <w:rPr>
          <w:rFonts w:hint="eastAsia" w:ascii="宋体" w:hAnsi="宋体"/>
          <w:b/>
          <w:bCs/>
          <w:color w:val="auto"/>
          <w:sz w:val="32"/>
          <w:szCs w:val="32"/>
        </w:rPr>
      </w:pPr>
      <w:r>
        <w:rPr>
          <w:rFonts w:hint="eastAsia" w:ascii="宋体" w:hAnsi="宋体"/>
          <w:b/>
          <w:bCs/>
          <w:color w:val="auto"/>
          <w:sz w:val="32"/>
          <w:szCs w:val="32"/>
        </w:rPr>
        <w:t>预付款保函示范文本</w:t>
      </w:r>
    </w:p>
    <w:p w14:paraId="45B1865C">
      <w:pPr>
        <w:spacing w:line="360" w:lineRule="auto"/>
        <w:jc w:val="center"/>
        <w:rPr>
          <w:rFonts w:hint="eastAsia" w:ascii="宋体" w:hAnsi="宋体"/>
          <w:b/>
          <w:bCs/>
          <w:color w:val="auto"/>
          <w:sz w:val="32"/>
          <w:szCs w:val="32"/>
        </w:rPr>
      </w:pPr>
      <w:r>
        <w:rPr>
          <w:rFonts w:hint="eastAsia" w:ascii="宋体" w:hAnsi="宋体"/>
          <w:b/>
          <w:bCs/>
          <w:color w:val="auto"/>
          <w:sz w:val="32"/>
          <w:szCs w:val="32"/>
        </w:rPr>
        <w:t>（独立保函）</w:t>
      </w:r>
    </w:p>
    <w:p w14:paraId="467C4486">
      <w:pPr>
        <w:wordWrap w:val="0"/>
        <w:spacing w:line="360" w:lineRule="auto"/>
        <w:jc w:val="right"/>
        <w:rPr>
          <w:rFonts w:hint="eastAsia" w:ascii="宋体" w:hAnsi="宋体"/>
          <w:color w:val="auto"/>
        </w:rPr>
      </w:pPr>
      <w:r>
        <w:rPr>
          <w:rFonts w:hint="eastAsia" w:ascii="宋体" w:hAnsi="宋体"/>
          <w:color w:val="auto"/>
        </w:rPr>
        <w:t xml:space="preserve">编号： </w:t>
      </w:r>
      <w:r>
        <w:rPr>
          <w:rFonts w:ascii="宋体" w:hAnsi="宋体"/>
          <w:color w:val="auto"/>
        </w:rPr>
        <w:t xml:space="preserve">          </w:t>
      </w:r>
    </w:p>
    <w:p w14:paraId="285D9F00">
      <w:pPr>
        <w:spacing w:line="360" w:lineRule="auto"/>
        <w:rPr>
          <w:rFonts w:hint="eastAsia" w:ascii="宋体" w:hAnsi="宋体"/>
          <w:color w:val="auto"/>
          <w:sz w:val="24"/>
        </w:rPr>
      </w:pPr>
    </w:p>
    <w:p w14:paraId="2AA98011">
      <w:pPr>
        <w:spacing w:line="360" w:lineRule="auto"/>
        <w:rPr>
          <w:rFonts w:hint="eastAsia" w:ascii="宋体" w:hAnsi="宋体"/>
          <w:color w:val="auto"/>
          <w:sz w:val="24"/>
        </w:rPr>
      </w:pPr>
      <w:r>
        <w:rPr>
          <w:rFonts w:hint="eastAsia" w:ascii="宋体" w:hAnsi="宋体"/>
          <w:color w:val="auto"/>
          <w:sz w:val="24"/>
        </w:rPr>
        <w:t>申请人：</w:t>
      </w:r>
    </w:p>
    <w:p w14:paraId="43A2E770">
      <w:pPr>
        <w:spacing w:line="360" w:lineRule="auto"/>
        <w:rPr>
          <w:rFonts w:hint="eastAsia" w:ascii="宋体" w:hAnsi="宋体"/>
          <w:color w:val="auto"/>
          <w:sz w:val="24"/>
        </w:rPr>
      </w:pPr>
      <w:r>
        <w:rPr>
          <w:rFonts w:hint="eastAsia" w:ascii="宋体" w:hAnsi="宋体"/>
          <w:color w:val="auto"/>
          <w:sz w:val="24"/>
        </w:rPr>
        <w:t xml:space="preserve">  地址</w:t>
      </w:r>
      <w:r>
        <w:rPr>
          <w:rFonts w:ascii="宋体" w:hAnsi="宋体"/>
          <w:color w:val="auto"/>
          <w:sz w:val="24"/>
        </w:rPr>
        <w:t>：</w:t>
      </w:r>
    </w:p>
    <w:p w14:paraId="5B9596AB">
      <w:pPr>
        <w:spacing w:line="360" w:lineRule="auto"/>
        <w:rPr>
          <w:rFonts w:hint="eastAsia" w:ascii="宋体" w:hAnsi="宋体"/>
          <w:color w:val="auto"/>
          <w:sz w:val="24"/>
        </w:rPr>
      </w:pPr>
      <w:r>
        <w:rPr>
          <w:rFonts w:hint="eastAsia" w:ascii="宋体" w:hAnsi="宋体"/>
          <w:color w:val="auto"/>
          <w:sz w:val="24"/>
        </w:rPr>
        <w:t>受益人：</w:t>
      </w:r>
    </w:p>
    <w:p w14:paraId="14C1F5F1">
      <w:pPr>
        <w:spacing w:line="360" w:lineRule="auto"/>
        <w:rPr>
          <w:rFonts w:hint="eastAsia" w:ascii="宋体" w:hAnsi="宋体"/>
          <w:color w:val="auto"/>
          <w:sz w:val="24"/>
        </w:rPr>
      </w:pPr>
      <w:r>
        <w:rPr>
          <w:rFonts w:hint="eastAsia" w:ascii="宋体" w:hAnsi="宋体"/>
          <w:color w:val="auto"/>
          <w:sz w:val="24"/>
        </w:rPr>
        <w:t xml:space="preserve">  地址：</w:t>
      </w:r>
    </w:p>
    <w:p w14:paraId="7004CD87">
      <w:pPr>
        <w:spacing w:line="360" w:lineRule="auto"/>
        <w:rPr>
          <w:rFonts w:hint="eastAsia" w:ascii="宋体" w:hAnsi="宋体"/>
          <w:color w:val="auto"/>
          <w:sz w:val="24"/>
        </w:rPr>
      </w:pPr>
      <w:r>
        <w:rPr>
          <w:rFonts w:hint="eastAsia" w:ascii="宋体" w:hAnsi="宋体"/>
          <w:color w:val="auto"/>
          <w:sz w:val="24"/>
        </w:rPr>
        <w:t>开立人：</w:t>
      </w:r>
    </w:p>
    <w:p w14:paraId="034DAFFA">
      <w:pPr>
        <w:spacing w:line="360" w:lineRule="auto"/>
        <w:rPr>
          <w:rFonts w:hint="eastAsia"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地址：</w:t>
      </w:r>
    </w:p>
    <w:p w14:paraId="5664CE14">
      <w:pPr>
        <w:spacing w:line="360" w:lineRule="auto"/>
        <w:rPr>
          <w:rFonts w:hint="eastAsia" w:ascii="宋体" w:hAnsi="宋体"/>
          <w:color w:val="auto"/>
          <w:sz w:val="24"/>
        </w:rPr>
      </w:pPr>
      <w:r>
        <w:rPr>
          <w:rFonts w:ascii="宋体" w:hAnsi="宋体"/>
          <w:color w:val="auto"/>
          <w:sz w:val="24"/>
        </w:rPr>
        <w:t xml:space="preserve"> </w:t>
      </w:r>
    </w:p>
    <w:p w14:paraId="7442C150">
      <w:pPr>
        <w:spacing w:line="360" w:lineRule="auto"/>
        <w:rPr>
          <w:rFonts w:hint="eastAsia" w:ascii="宋体" w:hAnsi="宋体"/>
          <w:color w:val="auto"/>
          <w:sz w:val="24"/>
        </w:rPr>
      </w:pP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受益人</w:t>
      </w:r>
      <w:r>
        <w:rPr>
          <w:rFonts w:ascii="宋体" w:hAnsi="宋体"/>
          <w:color w:val="auto"/>
          <w:sz w:val="24"/>
        </w:rPr>
        <w:t xml:space="preserve">名称）： </w:t>
      </w:r>
    </w:p>
    <w:p w14:paraId="3FFF080F">
      <w:pPr>
        <w:spacing w:line="360" w:lineRule="auto"/>
        <w:ind w:firstLine="480" w:firstLineChars="200"/>
        <w:rPr>
          <w:rFonts w:hint="eastAsia" w:ascii="宋体" w:hAnsi="宋体"/>
          <w:color w:val="auto"/>
          <w:sz w:val="24"/>
        </w:rPr>
      </w:pPr>
      <w:r>
        <w:rPr>
          <w:rFonts w:hint="eastAsia" w:ascii="宋体" w:hAnsi="宋体"/>
          <w:color w:val="auto"/>
          <w:sz w:val="24"/>
        </w:rPr>
        <w:t>鉴于</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受益人</w:t>
      </w:r>
      <w:r>
        <w:rPr>
          <w:rFonts w:ascii="宋体" w:hAnsi="宋体"/>
          <w:color w:val="auto"/>
          <w:sz w:val="24"/>
        </w:rPr>
        <w:t>”）</w:t>
      </w:r>
      <w:r>
        <w:rPr>
          <w:rFonts w:hint="eastAsia" w:ascii="宋体" w:hAnsi="宋体"/>
          <w:color w:val="auto"/>
          <w:sz w:val="24"/>
        </w:rPr>
        <w:t>与</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申请人</w:t>
      </w:r>
      <w:r>
        <w:rPr>
          <w:rFonts w:ascii="宋体" w:hAnsi="宋体"/>
          <w:color w:val="auto"/>
          <w:sz w:val="24"/>
        </w:rPr>
        <w:t>”）</w:t>
      </w:r>
      <w:r>
        <w:rPr>
          <w:rFonts w:hint="eastAsia" w:ascii="宋体" w:hAnsi="宋体"/>
          <w:color w:val="auto"/>
          <w:sz w:val="24"/>
        </w:rPr>
        <w:t>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工程（以下简称“本工程”）施工和有关事项协商一致共同签订</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w:t>
      </w:r>
      <w:r>
        <w:rPr>
          <w:rFonts w:hint="eastAsia" w:ascii="宋体" w:hAnsi="宋体"/>
          <w:color w:val="auto"/>
          <w:sz w:val="24"/>
        </w:rPr>
        <w:t>（以下简称“基础合同”），我方（即“开立人”）根据主合同了解到申请人为主合同项下之承包人，受益人为主合同项下之发包人，基于申请人</w:t>
      </w:r>
      <w:r>
        <w:rPr>
          <w:rFonts w:ascii="宋体" w:hAnsi="宋体"/>
          <w:color w:val="auto"/>
          <w:sz w:val="24"/>
        </w:rPr>
        <w:t>的请求，我方同意就</w:t>
      </w:r>
      <w:r>
        <w:rPr>
          <w:rFonts w:hint="eastAsia" w:ascii="宋体" w:hAnsi="宋体"/>
          <w:color w:val="auto"/>
          <w:sz w:val="24"/>
        </w:rPr>
        <w:t>申请人按照合同约定正确和合理地为合同目的使用预付款，</w:t>
      </w:r>
      <w:r>
        <w:rPr>
          <w:rFonts w:ascii="宋体" w:hAnsi="宋体"/>
          <w:color w:val="auto"/>
          <w:sz w:val="24"/>
        </w:rPr>
        <w:t>向贵方提供不可撤销、</w:t>
      </w:r>
      <w:r>
        <w:rPr>
          <w:rFonts w:hint="eastAsia" w:ascii="宋体" w:hAnsi="宋体"/>
          <w:color w:val="auto"/>
          <w:sz w:val="24"/>
        </w:rPr>
        <w:t>不可转让的见索即付</w:t>
      </w:r>
      <w:r>
        <w:rPr>
          <w:rFonts w:ascii="宋体" w:hAnsi="宋体"/>
          <w:color w:val="auto"/>
          <w:sz w:val="24"/>
        </w:rPr>
        <w:t>独立</w:t>
      </w:r>
      <w:r>
        <w:rPr>
          <w:rFonts w:hint="eastAsia" w:ascii="宋体" w:hAnsi="宋体"/>
          <w:color w:val="auto"/>
          <w:sz w:val="24"/>
        </w:rPr>
        <w:t>保函（以下简称“本保函”）</w:t>
      </w:r>
      <w:r>
        <w:rPr>
          <w:rFonts w:ascii="宋体" w:hAnsi="宋体"/>
          <w:color w:val="auto"/>
          <w:sz w:val="24"/>
        </w:rPr>
        <w:t xml:space="preserve">。 </w:t>
      </w:r>
    </w:p>
    <w:p w14:paraId="35E4F3CD">
      <w:pPr>
        <w:spacing w:line="360" w:lineRule="auto"/>
        <w:ind w:firstLine="480" w:firstLineChars="200"/>
        <w:rPr>
          <w:rFonts w:hint="eastAsia" w:ascii="宋体" w:hAnsi="宋体"/>
          <w:color w:val="auto"/>
          <w:sz w:val="24"/>
        </w:rPr>
      </w:pPr>
      <w:r>
        <w:rPr>
          <w:rFonts w:hint="eastAsia" w:ascii="宋体" w:hAnsi="宋体"/>
          <w:color w:val="auto"/>
          <w:sz w:val="24"/>
        </w:rPr>
        <w:t>一、本保函担保范围：申请人未按照合同约定正确和合理地为合同目的使用预付款，应当向贵方承担的违约责任和赔偿因此造成的损失、利息、律师费、诉讼费用等实现债权的费用。</w:t>
      </w:r>
    </w:p>
    <w:p w14:paraId="2B69DCD6">
      <w:pPr>
        <w:spacing w:line="360" w:lineRule="auto"/>
        <w:ind w:firstLine="480" w:firstLineChars="200"/>
        <w:rPr>
          <w:rFonts w:hint="eastAsia" w:ascii="宋体" w:hAnsi="宋体"/>
          <w:color w:val="auto"/>
          <w:sz w:val="24"/>
        </w:rPr>
      </w:pPr>
      <w:r>
        <w:rPr>
          <w:rFonts w:hint="eastAsia" w:ascii="宋体" w:hAnsi="宋体"/>
          <w:color w:val="auto"/>
          <w:sz w:val="24"/>
        </w:rPr>
        <w:t>二、本保函担保金额最高不超过</w:t>
      </w:r>
      <w:r>
        <w:rPr>
          <w:rFonts w:ascii="宋体" w:hAnsi="宋体"/>
          <w:color w:val="auto"/>
          <w:sz w:val="24"/>
        </w:rPr>
        <w:t>人民币（大写）</w:t>
      </w:r>
      <w:r>
        <w:rPr>
          <w:rFonts w:ascii="宋体" w:hAnsi="宋体"/>
          <w:color w:val="auto"/>
          <w:sz w:val="24"/>
          <w:u w:val="single"/>
        </w:rPr>
        <w:t xml:space="preserve">          </w:t>
      </w:r>
      <w:r>
        <w:rPr>
          <w:rFonts w:ascii="宋体" w:hAnsi="宋体"/>
          <w:color w:val="auto"/>
          <w:sz w:val="24"/>
        </w:rPr>
        <w:t>元（¥</w:t>
      </w:r>
      <w:r>
        <w:rPr>
          <w:rFonts w:ascii="宋体" w:hAnsi="宋体"/>
          <w:color w:val="auto"/>
          <w:sz w:val="24"/>
          <w:u w:val="single"/>
        </w:rPr>
        <w:t xml:space="preserve">       </w:t>
      </w:r>
      <w:r>
        <w:rPr>
          <w:rFonts w:ascii="宋体" w:hAnsi="宋体"/>
          <w:color w:val="auto"/>
          <w:sz w:val="24"/>
        </w:rPr>
        <w:t xml:space="preserve">）。 </w:t>
      </w:r>
    </w:p>
    <w:p w14:paraId="1749BDA9">
      <w:pPr>
        <w:spacing w:line="360" w:lineRule="auto"/>
        <w:ind w:firstLine="480" w:firstLineChars="200"/>
        <w:rPr>
          <w:rFonts w:hint="eastAsia" w:ascii="宋体" w:hAnsi="宋体"/>
          <w:color w:val="auto"/>
          <w:sz w:val="24"/>
        </w:rPr>
      </w:pPr>
      <w:r>
        <w:rPr>
          <w:rFonts w:hint="eastAsia" w:ascii="宋体" w:hAnsi="宋体"/>
          <w:color w:val="auto"/>
          <w:sz w:val="24"/>
        </w:rPr>
        <w:t>三、本保函</w:t>
      </w:r>
      <w:r>
        <w:rPr>
          <w:rFonts w:ascii="宋体" w:hAnsi="宋体"/>
          <w:color w:val="auto"/>
          <w:sz w:val="24"/>
        </w:rPr>
        <w:t>有效期自</w:t>
      </w:r>
      <w:r>
        <w:rPr>
          <w:rFonts w:hint="eastAsia" w:ascii="宋体" w:hAnsi="宋体"/>
          <w:color w:val="auto"/>
          <w:sz w:val="24"/>
        </w:rPr>
        <w:t>开立之日起</w:t>
      </w:r>
      <w:r>
        <w:rPr>
          <w:rFonts w:ascii="宋体" w:hAnsi="宋体"/>
          <w:color w:val="auto"/>
          <w:sz w:val="24"/>
        </w:rPr>
        <w:t>至</w:t>
      </w:r>
      <w:r>
        <w:rPr>
          <w:rFonts w:hint="eastAsia" w:ascii="宋体" w:hAnsi="宋体"/>
          <w:color w:val="auto"/>
          <w:sz w:val="24"/>
        </w:rPr>
        <w:t>发包人全额扣回预付款后</w:t>
      </w:r>
      <w:r>
        <w:rPr>
          <w:rFonts w:ascii="宋体" w:hAnsi="宋体"/>
          <w:color w:val="auto"/>
          <w:sz w:val="24"/>
          <w:u w:val="single"/>
        </w:rPr>
        <w:t xml:space="preserve">   </w:t>
      </w:r>
      <w:r>
        <w:rPr>
          <w:rFonts w:ascii="宋体" w:hAnsi="宋体"/>
          <w:color w:val="auto"/>
          <w:sz w:val="24"/>
        </w:rPr>
        <w:t>日</w:t>
      </w:r>
      <w:r>
        <w:rPr>
          <w:rFonts w:hint="eastAsia" w:ascii="宋体" w:hAnsi="宋体"/>
          <w:color w:val="auto"/>
          <w:sz w:val="24"/>
        </w:rPr>
        <w:t>止，最迟不超过</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p>
    <w:p w14:paraId="02FDAD8D">
      <w:pPr>
        <w:spacing w:line="360" w:lineRule="auto"/>
        <w:ind w:firstLine="480" w:firstLineChars="200"/>
        <w:rPr>
          <w:rFonts w:hint="eastAsia" w:ascii="宋体" w:hAnsi="宋体"/>
          <w:color w:val="auto"/>
          <w:sz w:val="24"/>
        </w:rPr>
      </w:pPr>
      <w:r>
        <w:rPr>
          <w:rFonts w:hint="eastAsia" w:ascii="宋体" w:hAnsi="宋体"/>
          <w:color w:val="auto"/>
          <w:sz w:val="24"/>
        </w:rPr>
        <w:t>四、我方承诺，在收到受益人发来的书面付款通知后的</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日内无条件支付，前述书面付款通知即为付款要求之单据，且应满足以下要求：</w:t>
      </w:r>
    </w:p>
    <w:p w14:paraId="58F7B3B1">
      <w:pPr>
        <w:spacing w:line="360" w:lineRule="auto"/>
        <w:ind w:firstLine="480" w:firstLineChars="200"/>
        <w:rPr>
          <w:rFonts w:hint="eastAsia" w:ascii="宋体" w:hAnsi="宋体"/>
          <w:color w:val="auto"/>
          <w:sz w:val="24"/>
        </w:rPr>
      </w:pPr>
      <w:r>
        <w:rPr>
          <w:rFonts w:hint="eastAsia" w:ascii="宋体" w:hAnsi="宋体"/>
          <w:color w:val="auto"/>
          <w:sz w:val="24"/>
        </w:rPr>
        <w:t>（1）付款通知到达的日期在本保函的有效期内；</w:t>
      </w:r>
    </w:p>
    <w:p w14:paraId="31B5735B">
      <w:pPr>
        <w:spacing w:line="360" w:lineRule="auto"/>
        <w:ind w:firstLine="480" w:firstLineChars="200"/>
        <w:rPr>
          <w:rFonts w:hint="eastAsia" w:ascii="宋体" w:hAnsi="宋体"/>
          <w:color w:val="auto"/>
          <w:sz w:val="24"/>
        </w:rPr>
      </w:pPr>
      <w:r>
        <w:rPr>
          <w:rFonts w:hint="eastAsia" w:ascii="宋体" w:hAnsi="宋体"/>
          <w:color w:val="auto"/>
          <w:sz w:val="24"/>
        </w:rPr>
        <w:t>（2）载明要求支付的金额；</w:t>
      </w:r>
    </w:p>
    <w:p w14:paraId="191743AD">
      <w:pPr>
        <w:spacing w:line="360" w:lineRule="auto"/>
        <w:ind w:firstLine="480" w:firstLineChars="200"/>
        <w:rPr>
          <w:rFonts w:hint="eastAsia" w:ascii="宋体" w:hAnsi="宋体"/>
          <w:color w:val="auto"/>
          <w:sz w:val="24"/>
        </w:rPr>
      </w:pPr>
      <w:r>
        <w:rPr>
          <w:rFonts w:hint="eastAsia" w:ascii="宋体" w:hAnsi="宋体"/>
          <w:color w:val="auto"/>
          <w:sz w:val="24"/>
        </w:rPr>
        <w:t>（3）载明申请人违反合同义务的条款和内容；</w:t>
      </w:r>
    </w:p>
    <w:p w14:paraId="2C8C009E">
      <w:pPr>
        <w:spacing w:line="360" w:lineRule="auto"/>
        <w:ind w:firstLine="480" w:firstLineChars="200"/>
        <w:rPr>
          <w:rFonts w:hint="eastAsia" w:ascii="宋体" w:hAnsi="宋体"/>
          <w:color w:val="auto"/>
          <w:sz w:val="24"/>
        </w:rPr>
      </w:pPr>
      <w:r>
        <w:rPr>
          <w:rFonts w:hint="eastAsia" w:ascii="宋体" w:hAnsi="宋体"/>
          <w:color w:val="auto"/>
          <w:sz w:val="24"/>
        </w:rPr>
        <w:t>（4）声明不存在合同文件约定或我国法律规定免除申请人或开立人支付责任的情形；</w:t>
      </w:r>
    </w:p>
    <w:p w14:paraId="12006CCA">
      <w:pPr>
        <w:spacing w:line="360" w:lineRule="auto"/>
        <w:ind w:firstLine="480" w:firstLineChars="200"/>
        <w:rPr>
          <w:rFonts w:hint="eastAsia" w:ascii="宋体" w:hAnsi="宋体"/>
          <w:color w:val="auto"/>
          <w:sz w:val="24"/>
        </w:rPr>
      </w:pPr>
      <w:r>
        <w:rPr>
          <w:rFonts w:hint="eastAsia" w:ascii="宋体" w:hAnsi="宋体"/>
          <w:color w:val="auto"/>
          <w:sz w:val="24"/>
        </w:rPr>
        <w:t>（5）付款通知应在本保函有效期内到达的地址是：</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w:t>
      </w:r>
    </w:p>
    <w:p w14:paraId="355A4E7C">
      <w:pPr>
        <w:spacing w:line="360" w:lineRule="auto"/>
        <w:ind w:firstLine="480" w:firstLineChars="200"/>
        <w:rPr>
          <w:rFonts w:hint="eastAsia" w:ascii="宋体" w:hAnsi="宋体"/>
          <w:color w:val="auto"/>
          <w:sz w:val="24"/>
        </w:rPr>
      </w:pPr>
      <w:r>
        <w:rPr>
          <w:rFonts w:hint="eastAsia" w:ascii="宋体" w:hAnsi="宋体"/>
          <w:color w:val="auto"/>
          <w:sz w:val="24"/>
        </w:rPr>
        <w:t>受益人发出的书面付款通知应由其为鉴明受益人法定代表人（负责人）或授权代理人签字并加盖公章。</w:t>
      </w:r>
    </w:p>
    <w:p w14:paraId="6481C15D">
      <w:pPr>
        <w:spacing w:line="360" w:lineRule="auto"/>
        <w:ind w:firstLine="480" w:firstLineChars="200"/>
        <w:rPr>
          <w:rFonts w:hint="eastAsia" w:ascii="宋体" w:hAnsi="宋体"/>
          <w:color w:val="auto"/>
          <w:sz w:val="24"/>
        </w:rPr>
      </w:pPr>
      <w:r>
        <w:rPr>
          <w:rFonts w:hint="eastAsia" w:ascii="宋体" w:hAnsi="宋体"/>
          <w:color w:val="auto"/>
          <w:sz w:val="24"/>
        </w:rPr>
        <w:t>五、</w:t>
      </w:r>
      <w:r>
        <w:rPr>
          <w:rFonts w:ascii="宋体" w:hAnsi="宋体"/>
          <w:color w:val="auto"/>
          <w:sz w:val="24"/>
        </w:rPr>
        <w:t>本保函项下的权利不得转让，不得设定担保。贵方未经我方书面同意转 让本保函或其项下任何权利，</w:t>
      </w:r>
      <w:r>
        <w:rPr>
          <w:rFonts w:hint="eastAsia" w:ascii="宋体" w:hAnsi="宋体"/>
          <w:color w:val="auto"/>
          <w:sz w:val="24"/>
        </w:rPr>
        <w:t>对我方不发生法律效力</w:t>
      </w:r>
      <w:r>
        <w:rPr>
          <w:rFonts w:ascii="宋体" w:hAnsi="宋体"/>
          <w:color w:val="auto"/>
          <w:sz w:val="24"/>
        </w:rPr>
        <w:t xml:space="preserve">。 </w:t>
      </w:r>
    </w:p>
    <w:p w14:paraId="60E3F037">
      <w:pPr>
        <w:spacing w:line="360" w:lineRule="auto"/>
        <w:ind w:firstLine="480" w:firstLineChars="200"/>
        <w:rPr>
          <w:rFonts w:hint="eastAsia" w:ascii="宋体" w:hAnsi="宋体"/>
          <w:color w:val="auto"/>
          <w:sz w:val="24"/>
        </w:rPr>
      </w:pPr>
      <w:r>
        <w:rPr>
          <w:rFonts w:hint="eastAsia" w:ascii="宋体" w:hAnsi="宋体"/>
          <w:color w:val="auto"/>
          <w:sz w:val="24"/>
        </w:rPr>
        <w:t>六、与</w:t>
      </w:r>
      <w:r>
        <w:rPr>
          <w:rFonts w:ascii="宋体" w:hAnsi="宋体"/>
          <w:color w:val="auto"/>
          <w:sz w:val="24"/>
        </w:rPr>
        <w:t>本保函</w:t>
      </w:r>
      <w:r>
        <w:rPr>
          <w:rFonts w:hint="eastAsia" w:ascii="宋体" w:hAnsi="宋体"/>
          <w:color w:val="auto"/>
          <w:sz w:val="24"/>
        </w:rPr>
        <w:t>有关</w:t>
      </w:r>
      <w:r>
        <w:rPr>
          <w:rFonts w:ascii="宋体" w:hAnsi="宋体"/>
          <w:color w:val="auto"/>
          <w:sz w:val="24"/>
        </w:rPr>
        <w:t>的</w:t>
      </w:r>
      <w:r>
        <w:rPr>
          <w:rFonts w:hint="eastAsia" w:ascii="宋体" w:hAnsi="宋体"/>
          <w:color w:val="auto"/>
          <w:sz w:val="24"/>
        </w:rPr>
        <w:t>基础</w:t>
      </w:r>
      <w:r>
        <w:rPr>
          <w:rFonts w:ascii="宋体" w:hAnsi="宋体"/>
          <w:color w:val="auto"/>
          <w:sz w:val="24"/>
        </w:rPr>
        <w:t xml:space="preserve">合同不成立、不生效、无效、被撤销、被解除，不影响本保函的独立有效。 </w:t>
      </w:r>
    </w:p>
    <w:p w14:paraId="2383493F">
      <w:pPr>
        <w:spacing w:line="360" w:lineRule="auto"/>
        <w:ind w:firstLine="480" w:firstLineChars="200"/>
        <w:rPr>
          <w:rFonts w:hint="eastAsia" w:ascii="宋体" w:hAnsi="宋体"/>
          <w:color w:val="auto"/>
          <w:sz w:val="24"/>
        </w:rPr>
      </w:pPr>
      <w:r>
        <w:rPr>
          <w:rFonts w:hint="eastAsia" w:ascii="宋体" w:hAnsi="宋体"/>
          <w:color w:val="auto"/>
          <w:sz w:val="24"/>
        </w:rPr>
        <w:t>七、</w:t>
      </w:r>
      <w:r>
        <w:rPr>
          <w:rFonts w:ascii="宋体" w:hAnsi="宋体"/>
          <w:color w:val="auto"/>
          <w:sz w:val="24"/>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rPr>
        <w:t>有效期</w:t>
      </w:r>
      <w:r>
        <w:rPr>
          <w:rFonts w:ascii="宋体" w:hAnsi="宋体"/>
          <w:color w:val="auto"/>
          <w:sz w:val="24"/>
        </w:rPr>
        <w:t xml:space="preserve">到期后自动消灭。 </w:t>
      </w:r>
    </w:p>
    <w:p w14:paraId="7E9DB280">
      <w:pPr>
        <w:spacing w:line="360" w:lineRule="auto"/>
        <w:ind w:firstLine="480" w:firstLineChars="200"/>
        <w:rPr>
          <w:rFonts w:hint="eastAsia" w:ascii="宋体" w:hAnsi="宋体"/>
          <w:color w:val="auto"/>
          <w:sz w:val="24"/>
        </w:rPr>
      </w:pPr>
      <w:r>
        <w:rPr>
          <w:rFonts w:hint="eastAsia" w:ascii="宋体" w:hAnsi="宋体"/>
          <w:color w:val="auto"/>
          <w:sz w:val="24"/>
        </w:rPr>
        <w:t>八、</w:t>
      </w:r>
      <w:r>
        <w:rPr>
          <w:rFonts w:ascii="宋体" w:hAnsi="宋体"/>
          <w:color w:val="auto"/>
          <w:sz w:val="24"/>
        </w:rPr>
        <w:t>本保函</w:t>
      </w:r>
      <w:r>
        <w:rPr>
          <w:rFonts w:hint="eastAsia" w:ascii="宋体" w:hAnsi="宋体"/>
          <w:color w:val="auto"/>
          <w:sz w:val="24"/>
        </w:rPr>
        <w:t>适用的法律为中华人民共和国法律，争议裁判管辖地为中华人民共和国</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p>
    <w:p w14:paraId="02D5D6AF">
      <w:pPr>
        <w:spacing w:line="360" w:lineRule="auto"/>
        <w:ind w:firstLine="480" w:firstLineChars="200"/>
        <w:rPr>
          <w:rFonts w:hint="eastAsia" w:ascii="宋体" w:hAnsi="宋体"/>
          <w:color w:val="auto"/>
          <w:sz w:val="24"/>
        </w:rPr>
      </w:pPr>
      <w:r>
        <w:rPr>
          <w:rFonts w:hint="eastAsia" w:ascii="宋体" w:hAnsi="宋体"/>
          <w:color w:val="auto"/>
          <w:sz w:val="24"/>
        </w:rPr>
        <w:t>九、</w:t>
      </w:r>
      <w:r>
        <w:rPr>
          <w:rFonts w:ascii="宋体" w:hAnsi="宋体"/>
          <w:color w:val="auto"/>
          <w:sz w:val="24"/>
        </w:rPr>
        <w:t>本保函自我方法定代表人</w:t>
      </w:r>
      <w:r>
        <w:rPr>
          <w:rFonts w:hint="eastAsia" w:ascii="宋体" w:hAnsi="宋体"/>
          <w:color w:val="auto"/>
          <w:sz w:val="24"/>
        </w:rPr>
        <w:t>或授权代表</w:t>
      </w:r>
      <w:r>
        <w:rPr>
          <w:rFonts w:ascii="宋体" w:hAnsi="宋体"/>
          <w:color w:val="auto"/>
          <w:sz w:val="24"/>
        </w:rPr>
        <w:t>签字</w:t>
      </w:r>
      <w:r>
        <w:rPr>
          <w:rFonts w:hint="eastAsia" w:ascii="宋体" w:hAnsi="宋体"/>
          <w:color w:val="auto"/>
          <w:sz w:val="24"/>
        </w:rPr>
        <w:t>并</w:t>
      </w:r>
      <w:r>
        <w:rPr>
          <w:rFonts w:ascii="宋体" w:hAnsi="宋体"/>
          <w:color w:val="auto"/>
          <w:sz w:val="24"/>
        </w:rPr>
        <w:t xml:space="preserve">加盖公章之日起生效。 </w:t>
      </w:r>
    </w:p>
    <w:p w14:paraId="6099A68D">
      <w:pPr>
        <w:spacing w:line="360" w:lineRule="auto"/>
        <w:ind w:firstLine="480" w:firstLineChars="200"/>
        <w:rPr>
          <w:rFonts w:hint="eastAsia" w:ascii="宋体" w:hAnsi="宋体"/>
          <w:color w:val="auto"/>
          <w:sz w:val="24"/>
        </w:rPr>
      </w:pPr>
    </w:p>
    <w:p w14:paraId="01976B29">
      <w:pPr>
        <w:spacing w:line="360" w:lineRule="auto"/>
        <w:ind w:firstLine="480" w:firstLineChars="200"/>
        <w:rPr>
          <w:rFonts w:hint="eastAsia" w:ascii="宋体" w:hAnsi="宋体"/>
          <w:color w:val="auto"/>
          <w:sz w:val="24"/>
        </w:rPr>
      </w:pPr>
    </w:p>
    <w:p w14:paraId="28F6B8A5">
      <w:pPr>
        <w:spacing w:line="360" w:lineRule="auto"/>
        <w:ind w:firstLine="480" w:firstLineChars="200"/>
        <w:rPr>
          <w:rFonts w:hint="eastAsia" w:ascii="宋体" w:hAnsi="宋体"/>
          <w:color w:val="auto"/>
          <w:sz w:val="24"/>
        </w:rPr>
      </w:pPr>
      <w:r>
        <w:rPr>
          <w:rFonts w:hint="eastAsia" w:ascii="宋体" w:hAnsi="宋体"/>
          <w:color w:val="auto"/>
          <w:sz w:val="24"/>
        </w:rPr>
        <w:t>开 立 人</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公</w:t>
      </w:r>
      <w:r>
        <w:rPr>
          <w:rFonts w:ascii="宋体" w:hAnsi="宋体"/>
          <w:color w:val="auto"/>
          <w:sz w:val="24"/>
        </w:rPr>
        <w:t xml:space="preserve">章） </w:t>
      </w:r>
    </w:p>
    <w:p w14:paraId="1C1666FD">
      <w:pPr>
        <w:spacing w:line="360" w:lineRule="auto"/>
        <w:ind w:firstLine="480" w:firstLineChars="200"/>
        <w:rPr>
          <w:rFonts w:hint="eastAsia" w:ascii="宋体" w:hAnsi="宋体"/>
          <w:color w:val="auto"/>
          <w:sz w:val="24"/>
        </w:rPr>
      </w:pPr>
      <w:r>
        <w:rPr>
          <w:rFonts w:hint="eastAsia" w:ascii="宋体" w:hAnsi="宋体"/>
          <w:color w:val="auto"/>
          <w:sz w:val="24"/>
        </w:rPr>
        <w:t>法定代表人（或授权代表）：</w:t>
      </w:r>
      <w:r>
        <w:rPr>
          <w:rFonts w:ascii="宋体" w:hAnsi="宋体"/>
          <w:color w:val="auto"/>
          <w:sz w:val="24"/>
        </w:rPr>
        <w:t xml:space="preserve">               （签字） </w:t>
      </w:r>
    </w:p>
    <w:p w14:paraId="2279BD1C">
      <w:pPr>
        <w:spacing w:line="360" w:lineRule="auto"/>
        <w:ind w:firstLine="480" w:firstLineChars="200"/>
        <w:rPr>
          <w:rFonts w:hint="eastAsia" w:ascii="宋体" w:hAnsi="宋体"/>
          <w:color w:val="auto"/>
          <w:sz w:val="24"/>
        </w:rPr>
      </w:pPr>
      <w:r>
        <w:rPr>
          <w:rFonts w:hint="eastAsia" w:ascii="宋体" w:hAnsi="宋体"/>
          <w:color w:val="auto"/>
          <w:sz w:val="24"/>
        </w:rPr>
        <w:t>地</w:t>
      </w:r>
      <w:r>
        <w:rPr>
          <w:rFonts w:ascii="宋体" w:hAnsi="宋体"/>
          <w:color w:val="auto"/>
          <w:sz w:val="24"/>
        </w:rPr>
        <w:t xml:space="preserve">    址：                                       </w:t>
      </w:r>
    </w:p>
    <w:p w14:paraId="3358980D">
      <w:pPr>
        <w:spacing w:line="360" w:lineRule="auto"/>
        <w:ind w:firstLine="480" w:firstLineChars="200"/>
        <w:rPr>
          <w:rFonts w:hint="eastAsia" w:ascii="宋体" w:hAnsi="宋体"/>
          <w:color w:val="auto"/>
          <w:sz w:val="24"/>
        </w:rPr>
      </w:pPr>
      <w:r>
        <w:rPr>
          <w:rFonts w:hint="eastAsia" w:ascii="宋体" w:hAnsi="宋体"/>
          <w:color w:val="auto"/>
          <w:sz w:val="24"/>
        </w:rPr>
        <w:t>邮政编码：</w:t>
      </w:r>
      <w:r>
        <w:rPr>
          <w:rFonts w:ascii="宋体" w:hAnsi="宋体"/>
          <w:color w:val="auto"/>
          <w:sz w:val="24"/>
        </w:rPr>
        <w:t xml:space="preserve">                 </w:t>
      </w:r>
    </w:p>
    <w:p w14:paraId="68CE07BE">
      <w:pPr>
        <w:spacing w:line="360" w:lineRule="auto"/>
        <w:ind w:firstLine="480" w:firstLineChars="200"/>
        <w:rPr>
          <w:rFonts w:hint="eastAsia" w:ascii="宋体" w:hAnsi="宋体"/>
          <w:color w:val="auto"/>
          <w:sz w:val="24"/>
        </w:rPr>
      </w:pPr>
      <w:r>
        <w:rPr>
          <w:rFonts w:hint="eastAsia" w:ascii="宋体" w:hAnsi="宋体"/>
          <w:color w:val="auto"/>
          <w:sz w:val="24"/>
        </w:rPr>
        <w:t>电</w:t>
      </w:r>
      <w:r>
        <w:rPr>
          <w:rFonts w:ascii="宋体" w:hAnsi="宋体"/>
          <w:color w:val="auto"/>
          <w:sz w:val="24"/>
        </w:rPr>
        <w:t xml:space="preserve">    话：                 </w:t>
      </w:r>
    </w:p>
    <w:p w14:paraId="430C047D">
      <w:pPr>
        <w:spacing w:line="360" w:lineRule="auto"/>
        <w:ind w:firstLine="480" w:firstLineChars="200"/>
        <w:rPr>
          <w:rFonts w:hint="eastAsia" w:ascii="宋体" w:hAnsi="宋体"/>
          <w:color w:val="auto"/>
          <w:sz w:val="24"/>
        </w:rPr>
      </w:pPr>
      <w:r>
        <w:rPr>
          <w:rFonts w:hint="eastAsia" w:ascii="宋体" w:hAnsi="宋体"/>
          <w:color w:val="auto"/>
          <w:sz w:val="24"/>
        </w:rPr>
        <w:t>传</w:t>
      </w:r>
      <w:r>
        <w:rPr>
          <w:rFonts w:ascii="宋体" w:hAnsi="宋体"/>
          <w:color w:val="auto"/>
          <w:sz w:val="24"/>
        </w:rPr>
        <w:t xml:space="preserve">    真：                 </w:t>
      </w:r>
    </w:p>
    <w:p w14:paraId="3F150654">
      <w:pPr>
        <w:rPr>
          <w:color w:val="auto"/>
        </w:rPr>
      </w:pPr>
      <w:r>
        <w:rPr>
          <w:rFonts w:hint="eastAsia" w:ascii="宋体" w:hAnsi="宋体"/>
          <w:color w:val="auto"/>
          <w:sz w:val="24"/>
        </w:rPr>
        <w:t xml:space="preserve">    开立时间：</w:t>
      </w:r>
      <w:r>
        <w:rPr>
          <w:rFonts w:ascii="宋体" w:hAnsi="宋体"/>
          <w:color w:val="auto"/>
          <w:sz w:val="24"/>
        </w:rPr>
        <w:t xml:space="preserve">      年      月        日</w:t>
      </w:r>
    </w:p>
    <w:p w14:paraId="24A092F8">
      <w:pPr>
        <w:spacing w:line="360" w:lineRule="auto"/>
        <w:jc w:val="center"/>
        <w:rPr>
          <w:rFonts w:hint="eastAsia" w:ascii="宋体" w:hAnsi="宋体"/>
          <w:b/>
          <w:bCs/>
          <w:color w:val="auto"/>
          <w:sz w:val="32"/>
          <w:szCs w:val="32"/>
        </w:rPr>
      </w:pPr>
    </w:p>
    <w:p w14:paraId="3F32EE63">
      <w:pPr>
        <w:spacing w:line="360" w:lineRule="auto"/>
        <w:jc w:val="left"/>
        <w:rPr>
          <w:rFonts w:hint="eastAsia" w:ascii="黑体" w:hAnsi="黑体" w:eastAsia="黑体" w:cs="黑体"/>
          <w:color w:val="auto"/>
          <w:sz w:val="32"/>
          <w:szCs w:val="32"/>
        </w:rPr>
      </w:pPr>
    </w:p>
    <w:p w14:paraId="1FF031F2">
      <w:pPr>
        <w:spacing w:line="360" w:lineRule="auto"/>
        <w:jc w:val="left"/>
        <w:rPr>
          <w:rFonts w:hint="eastAsia" w:ascii="黑体" w:hAnsi="黑体" w:eastAsia="黑体" w:cs="黑体"/>
          <w:color w:val="auto"/>
          <w:sz w:val="32"/>
          <w:szCs w:val="32"/>
        </w:rPr>
      </w:pPr>
    </w:p>
    <w:p w14:paraId="5CB8CC8E">
      <w:pPr>
        <w:spacing w:line="360" w:lineRule="auto"/>
        <w:jc w:val="left"/>
        <w:rPr>
          <w:rFonts w:hint="eastAsia" w:ascii="黑体" w:hAnsi="黑体" w:eastAsia="黑体" w:cs="黑体"/>
          <w:b/>
          <w:bCs/>
          <w:color w:val="auto"/>
          <w:sz w:val="32"/>
          <w:szCs w:val="32"/>
        </w:rPr>
      </w:pPr>
      <w:r>
        <w:rPr>
          <w:rFonts w:hint="eastAsia" w:ascii="黑体" w:hAnsi="黑体" w:eastAsia="黑体" w:cs="黑体"/>
          <w:color w:val="auto"/>
          <w:sz w:val="32"/>
          <w:szCs w:val="32"/>
        </w:rPr>
        <w:t>附件9</w:t>
      </w:r>
    </w:p>
    <w:p w14:paraId="388C53E7">
      <w:pPr>
        <w:spacing w:line="360" w:lineRule="auto"/>
        <w:jc w:val="left"/>
        <w:rPr>
          <w:rFonts w:hint="eastAsia" w:ascii="黑体" w:hAnsi="黑体" w:eastAsia="黑体" w:cs="黑体"/>
          <w:b/>
          <w:bCs/>
          <w:color w:val="auto"/>
          <w:sz w:val="32"/>
          <w:szCs w:val="32"/>
        </w:rPr>
      </w:pPr>
    </w:p>
    <w:p w14:paraId="7A7BA978">
      <w:pPr>
        <w:spacing w:line="360" w:lineRule="auto"/>
        <w:jc w:val="center"/>
        <w:rPr>
          <w:rFonts w:hint="eastAsia" w:ascii="宋体" w:hAnsi="宋体"/>
          <w:b/>
          <w:bCs/>
          <w:color w:val="auto"/>
          <w:sz w:val="32"/>
          <w:szCs w:val="32"/>
        </w:rPr>
      </w:pPr>
      <w:r>
        <w:rPr>
          <w:rFonts w:hint="eastAsia" w:ascii="宋体" w:hAnsi="宋体"/>
          <w:b/>
          <w:bCs/>
          <w:color w:val="auto"/>
          <w:sz w:val="32"/>
          <w:szCs w:val="32"/>
        </w:rPr>
        <w:t>预付款保函示范文本</w:t>
      </w:r>
    </w:p>
    <w:p w14:paraId="752157A7">
      <w:pPr>
        <w:spacing w:line="360" w:lineRule="auto"/>
        <w:jc w:val="center"/>
        <w:rPr>
          <w:rFonts w:hint="eastAsia" w:ascii="宋体" w:hAnsi="宋体"/>
          <w:b/>
          <w:bCs/>
          <w:color w:val="auto"/>
          <w:sz w:val="32"/>
          <w:szCs w:val="32"/>
        </w:rPr>
      </w:pPr>
      <w:r>
        <w:rPr>
          <w:rFonts w:hint="eastAsia" w:ascii="宋体" w:hAnsi="宋体"/>
          <w:b/>
          <w:bCs/>
          <w:color w:val="auto"/>
          <w:sz w:val="32"/>
          <w:szCs w:val="32"/>
        </w:rPr>
        <w:t>（非独立保函）</w:t>
      </w:r>
    </w:p>
    <w:p w14:paraId="1B2C93A3">
      <w:pPr>
        <w:wordWrap w:val="0"/>
        <w:spacing w:line="360" w:lineRule="auto"/>
        <w:jc w:val="right"/>
        <w:rPr>
          <w:rFonts w:hint="eastAsia" w:ascii="宋体" w:hAnsi="宋体"/>
          <w:color w:val="auto"/>
        </w:rPr>
      </w:pPr>
      <w:r>
        <w:rPr>
          <w:rFonts w:hint="eastAsia" w:ascii="宋体" w:hAnsi="宋体"/>
          <w:color w:val="auto"/>
        </w:rPr>
        <w:t xml:space="preserve">编号： </w:t>
      </w:r>
      <w:r>
        <w:rPr>
          <w:rFonts w:ascii="宋体" w:hAnsi="宋体"/>
          <w:color w:val="auto"/>
        </w:rPr>
        <w:t xml:space="preserve">          </w:t>
      </w:r>
    </w:p>
    <w:p w14:paraId="18289255">
      <w:pPr>
        <w:spacing w:line="360" w:lineRule="auto"/>
        <w:rPr>
          <w:rFonts w:hint="eastAsia" w:ascii="宋体" w:hAnsi="宋体"/>
          <w:color w:val="auto"/>
          <w:sz w:val="24"/>
        </w:rPr>
      </w:pPr>
    </w:p>
    <w:p w14:paraId="6782909B">
      <w:pPr>
        <w:spacing w:line="360" w:lineRule="auto"/>
        <w:rPr>
          <w:rFonts w:hint="eastAsia" w:ascii="宋体" w:hAnsi="宋体"/>
          <w:color w:val="auto"/>
          <w:sz w:val="24"/>
        </w:rPr>
      </w:pPr>
      <w:r>
        <w:rPr>
          <w:rFonts w:hint="eastAsia" w:ascii="宋体" w:hAnsi="宋体"/>
          <w:color w:val="auto"/>
          <w:sz w:val="24"/>
        </w:rPr>
        <w:t>担保权人/发包人：</w:t>
      </w:r>
    </w:p>
    <w:p w14:paraId="16F28053">
      <w:pPr>
        <w:spacing w:line="360" w:lineRule="auto"/>
        <w:rPr>
          <w:rFonts w:hint="eastAsia" w:ascii="宋体" w:hAnsi="宋体"/>
          <w:color w:val="auto"/>
          <w:sz w:val="24"/>
        </w:rPr>
      </w:pPr>
      <w:r>
        <w:rPr>
          <w:rFonts w:hint="eastAsia" w:ascii="宋体" w:hAnsi="宋体"/>
          <w:color w:val="auto"/>
          <w:sz w:val="24"/>
        </w:rPr>
        <w:t>地址</w:t>
      </w:r>
      <w:r>
        <w:rPr>
          <w:rFonts w:ascii="宋体" w:hAnsi="宋体"/>
          <w:color w:val="auto"/>
          <w:sz w:val="24"/>
        </w:rPr>
        <w:t>：</w:t>
      </w:r>
    </w:p>
    <w:p w14:paraId="7031A6D9">
      <w:pPr>
        <w:spacing w:line="360" w:lineRule="auto"/>
        <w:rPr>
          <w:rFonts w:hint="eastAsia" w:ascii="宋体" w:hAnsi="宋体"/>
          <w:color w:val="auto"/>
          <w:sz w:val="24"/>
        </w:rPr>
      </w:pPr>
      <w:r>
        <w:rPr>
          <w:rFonts w:hint="eastAsia" w:ascii="宋体" w:hAnsi="宋体"/>
          <w:color w:val="auto"/>
          <w:sz w:val="24"/>
        </w:rPr>
        <w:t>承包人：</w:t>
      </w:r>
      <w:r>
        <w:rPr>
          <w:rFonts w:ascii="宋体" w:hAnsi="宋体"/>
          <w:color w:val="auto"/>
          <w:sz w:val="24"/>
        </w:rPr>
        <w:t xml:space="preserve"> </w:t>
      </w:r>
    </w:p>
    <w:p w14:paraId="3BDAC39A">
      <w:pPr>
        <w:spacing w:line="360" w:lineRule="auto"/>
        <w:rPr>
          <w:rFonts w:hint="eastAsia" w:ascii="宋体" w:hAnsi="宋体"/>
          <w:color w:val="auto"/>
          <w:sz w:val="24"/>
        </w:rPr>
      </w:pPr>
      <w:r>
        <w:rPr>
          <w:rFonts w:hint="eastAsia" w:ascii="宋体" w:hAnsi="宋体"/>
          <w:color w:val="auto"/>
          <w:sz w:val="24"/>
        </w:rPr>
        <w:t>地址：</w:t>
      </w:r>
    </w:p>
    <w:p w14:paraId="528EACA8">
      <w:pPr>
        <w:spacing w:line="360" w:lineRule="auto"/>
        <w:rPr>
          <w:rFonts w:hint="eastAsia" w:ascii="宋体" w:hAnsi="宋体"/>
          <w:color w:val="auto"/>
          <w:sz w:val="24"/>
        </w:rPr>
      </w:pPr>
      <w:r>
        <w:rPr>
          <w:rFonts w:hint="eastAsia" w:ascii="宋体" w:hAnsi="宋体"/>
          <w:color w:val="auto"/>
          <w:sz w:val="24"/>
        </w:rPr>
        <w:t>保证人：</w:t>
      </w:r>
    </w:p>
    <w:p w14:paraId="46828E56">
      <w:pPr>
        <w:spacing w:line="360" w:lineRule="auto"/>
        <w:rPr>
          <w:rFonts w:hint="eastAsia" w:ascii="宋体" w:hAnsi="宋体"/>
          <w:color w:val="auto"/>
          <w:sz w:val="24"/>
        </w:rPr>
      </w:pPr>
      <w:r>
        <w:rPr>
          <w:rFonts w:hint="eastAsia" w:ascii="宋体" w:hAnsi="宋体"/>
          <w:color w:val="auto"/>
          <w:sz w:val="24"/>
        </w:rPr>
        <w:t>地址：</w:t>
      </w:r>
    </w:p>
    <w:p w14:paraId="199B42E6">
      <w:pPr>
        <w:spacing w:line="360" w:lineRule="auto"/>
        <w:rPr>
          <w:rFonts w:hint="eastAsia" w:ascii="宋体" w:hAnsi="宋体"/>
          <w:color w:val="auto"/>
          <w:sz w:val="24"/>
        </w:rPr>
      </w:pPr>
    </w:p>
    <w:p w14:paraId="74623A3B">
      <w:pPr>
        <w:spacing w:line="360" w:lineRule="auto"/>
        <w:rPr>
          <w:rFonts w:hint="eastAsia" w:ascii="宋体" w:hAnsi="宋体"/>
          <w:color w:val="auto"/>
          <w:sz w:val="24"/>
        </w:rPr>
      </w:pP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发包人</w:t>
      </w:r>
      <w:r>
        <w:rPr>
          <w:rFonts w:ascii="宋体" w:hAnsi="宋体"/>
          <w:color w:val="auto"/>
          <w:sz w:val="24"/>
        </w:rPr>
        <w:t xml:space="preserve">名称）： </w:t>
      </w:r>
    </w:p>
    <w:p w14:paraId="7760F0FA">
      <w:pPr>
        <w:spacing w:line="360" w:lineRule="auto"/>
        <w:ind w:firstLine="480" w:firstLineChars="200"/>
        <w:rPr>
          <w:rFonts w:hint="eastAsia" w:ascii="宋体" w:hAnsi="宋体"/>
          <w:color w:val="auto"/>
          <w:sz w:val="24"/>
        </w:rPr>
      </w:pPr>
      <w:r>
        <w:rPr>
          <w:rFonts w:hint="eastAsia" w:ascii="宋体" w:hAnsi="宋体"/>
          <w:color w:val="auto"/>
          <w:sz w:val="24"/>
        </w:rPr>
        <w:t>鉴于</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发包人</w:t>
      </w:r>
      <w:r>
        <w:rPr>
          <w:rFonts w:ascii="宋体" w:hAnsi="宋体"/>
          <w:color w:val="auto"/>
          <w:sz w:val="24"/>
        </w:rPr>
        <w:t>”）</w:t>
      </w:r>
      <w:r>
        <w:rPr>
          <w:rFonts w:hint="eastAsia" w:ascii="宋体" w:hAnsi="宋体"/>
          <w:color w:val="auto"/>
          <w:sz w:val="24"/>
        </w:rPr>
        <w:t>与</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承包人</w:t>
      </w:r>
      <w:r>
        <w:rPr>
          <w:rFonts w:ascii="宋体" w:hAnsi="宋体"/>
          <w:color w:val="auto"/>
          <w:sz w:val="24"/>
        </w:rPr>
        <w:t>”）</w:t>
      </w:r>
      <w:r>
        <w:rPr>
          <w:rFonts w:hint="eastAsia" w:ascii="宋体" w:hAnsi="宋体"/>
          <w:color w:val="auto"/>
          <w:sz w:val="24"/>
        </w:rPr>
        <w:t>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工程（以下简称“本工程”）施工和有关事项协商一致共同签订</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w:t>
      </w:r>
      <w:r>
        <w:rPr>
          <w:rFonts w:hint="eastAsia" w:ascii="宋体" w:hAnsi="宋体"/>
          <w:color w:val="auto"/>
          <w:sz w:val="24"/>
        </w:rPr>
        <w:t>（以下简称“主合同”），我方即保证人基于承包人</w:t>
      </w:r>
      <w:r>
        <w:rPr>
          <w:rFonts w:ascii="宋体" w:hAnsi="宋体"/>
          <w:color w:val="auto"/>
          <w:sz w:val="24"/>
        </w:rPr>
        <w:t>的请求，同意就</w:t>
      </w:r>
      <w:r>
        <w:rPr>
          <w:rFonts w:hint="eastAsia" w:ascii="宋体" w:hAnsi="宋体"/>
          <w:color w:val="auto"/>
          <w:sz w:val="24"/>
        </w:rPr>
        <w:t>承包人按照合同约定正确和合理地为合同目的使用预付款，不将预付款挪作他用，</w:t>
      </w:r>
      <w:r>
        <w:rPr>
          <w:rFonts w:ascii="宋体" w:hAnsi="宋体"/>
          <w:color w:val="auto"/>
          <w:sz w:val="24"/>
        </w:rPr>
        <w:t>向贵方提供</w:t>
      </w:r>
      <w:r>
        <w:rPr>
          <w:rFonts w:hint="eastAsia" w:ascii="宋体" w:hAnsi="宋体"/>
          <w:color w:val="auto"/>
          <w:sz w:val="24"/>
        </w:rPr>
        <w:t>如下保证担保（以下简称“本保证担保”）</w:t>
      </w:r>
      <w:r>
        <w:rPr>
          <w:rFonts w:ascii="宋体" w:hAnsi="宋体"/>
          <w:color w:val="auto"/>
          <w:sz w:val="24"/>
        </w:rPr>
        <w:t xml:space="preserve">。 </w:t>
      </w:r>
    </w:p>
    <w:p w14:paraId="5D099749">
      <w:pPr>
        <w:spacing w:line="360" w:lineRule="auto"/>
        <w:ind w:firstLine="482" w:firstLineChars="200"/>
        <w:rPr>
          <w:rFonts w:hint="eastAsia" w:ascii="宋体" w:hAnsi="宋体"/>
          <w:b/>
          <w:bCs/>
          <w:color w:val="auto"/>
          <w:sz w:val="24"/>
        </w:rPr>
      </w:pPr>
      <w:r>
        <w:rPr>
          <w:rFonts w:hint="eastAsia" w:ascii="宋体" w:hAnsi="宋体"/>
          <w:b/>
          <w:bCs/>
          <w:color w:val="auto"/>
          <w:sz w:val="24"/>
        </w:rPr>
        <w:t>一、保证担保的范围及保证担保金额</w:t>
      </w:r>
    </w:p>
    <w:p w14:paraId="53FDBE16">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保证担保范围：申请人未按照合同约定正确和合理地为合同目的使用预付款，应当向贵方承担的违约责任和赔偿因此造成的损失、利息、律师费、诉讼费用等实现债权的费用。</w:t>
      </w:r>
    </w:p>
    <w:p w14:paraId="4872216A">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保证担保金额最高不超过</w:t>
      </w:r>
      <w:r>
        <w:rPr>
          <w:rFonts w:ascii="宋体" w:hAnsi="宋体"/>
          <w:color w:val="auto"/>
          <w:sz w:val="24"/>
        </w:rPr>
        <w:t>人民币（大写）</w:t>
      </w:r>
      <w:r>
        <w:rPr>
          <w:rFonts w:ascii="宋体" w:hAnsi="宋体"/>
          <w:color w:val="auto"/>
          <w:sz w:val="24"/>
          <w:u w:val="single"/>
        </w:rPr>
        <w:t xml:space="preserve">          </w:t>
      </w:r>
      <w:r>
        <w:rPr>
          <w:rFonts w:ascii="宋体" w:hAnsi="宋体"/>
          <w:color w:val="auto"/>
          <w:sz w:val="24"/>
        </w:rPr>
        <w:t>元（¥</w:t>
      </w:r>
      <w:r>
        <w:rPr>
          <w:rFonts w:ascii="宋体" w:hAnsi="宋体"/>
          <w:color w:val="auto"/>
          <w:sz w:val="24"/>
          <w:u w:val="single"/>
        </w:rPr>
        <w:t xml:space="preserve">       </w:t>
      </w:r>
      <w:r>
        <w:rPr>
          <w:rFonts w:ascii="宋体" w:hAnsi="宋体"/>
          <w:color w:val="auto"/>
          <w:sz w:val="24"/>
        </w:rPr>
        <w:t xml:space="preserve">）。 </w:t>
      </w:r>
    </w:p>
    <w:p w14:paraId="5D78CE07">
      <w:pPr>
        <w:spacing w:line="360" w:lineRule="auto"/>
        <w:ind w:firstLine="482" w:firstLineChars="200"/>
        <w:rPr>
          <w:rFonts w:hint="eastAsia" w:ascii="宋体" w:hAnsi="宋体"/>
          <w:b/>
          <w:bCs/>
          <w:color w:val="auto"/>
          <w:sz w:val="24"/>
        </w:rPr>
      </w:pPr>
      <w:r>
        <w:rPr>
          <w:rFonts w:hint="eastAsia" w:ascii="宋体" w:hAnsi="宋体"/>
          <w:b/>
          <w:bCs/>
          <w:color w:val="auto"/>
          <w:sz w:val="24"/>
        </w:rPr>
        <w:t>二、保证担保的方式及保证期间</w:t>
      </w:r>
      <w:r>
        <w:rPr>
          <w:rFonts w:ascii="宋体" w:hAnsi="宋体"/>
          <w:b/>
          <w:bCs/>
          <w:color w:val="auto"/>
          <w:sz w:val="24"/>
        </w:rPr>
        <w:t xml:space="preserve"> </w:t>
      </w:r>
    </w:p>
    <w:p w14:paraId="7E84B94E">
      <w:pPr>
        <w:spacing w:line="360" w:lineRule="auto"/>
        <w:ind w:firstLine="480" w:firstLineChars="200"/>
        <w:rPr>
          <w:rFonts w:hint="eastAsia" w:ascii="宋体" w:hAnsi="宋体"/>
          <w:color w:val="auto"/>
          <w:sz w:val="24"/>
        </w:rPr>
      </w:pPr>
      <w:r>
        <w:rPr>
          <w:rFonts w:hint="eastAsia" w:ascii="宋体" w:hAnsi="宋体"/>
          <w:color w:val="auto"/>
          <w:sz w:val="24"/>
        </w:rPr>
        <w:t>1.保证担保方式：连带责任保证。</w:t>
      </w:r>
    </w:p>
    <w:p w14:paraId="44C5F293">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保证期间：</w:t>
      </w:r>
      <w:r>
        <w:rPr>
          <w:rFonts w:ascii="宋体" w:hAnsi="宋体"/>
          <w:color w:val="auto"/>
          <w:sz w:val="24"/>
        </w:rPr>
        <w:t>自</w:t>
      </w:r>
      <w:r>
        <w:rPr>
          <w:rFonts w:hint="eastAsia" w:ascii="宋体" w:hAnsi="宋体"/>
          <w:color w:val="auto"/>
          <w:sz w:val="24"/>
        </w:rPr>
        <w:t>出具之日起</w:t>
      </w:r>
      <w:r>
        <w:rPr>
          <w:rFonts w:ascii="宋体" w:hAnsi="宋体"/>
          <w:color w:val="auto"/>
          <w:sz w:val="24"/>
        </w:rPr>
        <w:t>至</w:t>
      </w:r>
      <w:r>
        <w:rPr>
          <w:rFonts w:hint="eastAsia" w:ascii="宋体" w:hAnsi="宋体"/>
          <w:color w:val="auto"/>
          <w:sz w:val="24"/>
        </w:rPr>
        <w:t>发包人全额扣回预付款后</w:t>
      </w:r>
      <w:r>
        <w:rPr>
          <w:rFonts w:ascii="宋体" w:hAnsi="宋体"/>
          <w:color w:val="auto"/>
          <w:sz w:val="24"/>
          <w:u w:val="single"/>
        </w:rPr>
        <w:t xml:space="preserve">   </w:t>
      </w:r>
      <w:r>
        <w:rPr>
          <w:rFonts w:ascii="宋体" w:hAnsi="宋体"/>
          <w:color w:val="auto"/>
          <w:sz w:val="24"/>
        </w:rPr>
        <w:t>日</w:t>
      </w:r>
      <w:r>
        <w:rPr>
          <w:rFonts w:hint="eastAsia" w:ascii="宋体" w:hAnsi="宋体"/>
          <w:color w:val="auto"/>
          <w:sz w:val="24"/>
        </w:rPr>
        <w:t>止，最迟不超过</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r>
        <w:rPr>
          <w:rFonts w:ascii="宋体" w:hAnsi="宋体"/>
          <w:color w:val="auto"/>
          <w:sz w:val="24"/>
        </w:rPr>
        <w:t xml:space="preserve">。 </w:t>
      </w:r>
    </w:p>
    <w:p w14:paraId="78F7DA60">
      <w:pPr>
        <w:spacing w:line="360" w:lineRule="auto"/>
        <w:ind w:firstLine="482" w:firstLineChars="200"/>
        <w:rPr>
          <w:rFonts w:hint="eastAsia" w:ascii="宋体" w:hAnsi="宋体"/>
          <w:b/>
          <w:bCs/>
          <w:color w:val="auto"/>
          <w:sz w:val="24"/>
        </w:rPr>
      </w:pPr>
      <w:r>
        <w:rPr>
          <w:rFonts w:hint="eastAsia" w:ascii="宋体" w:hAnsi="宋体"/>
          <w:b/>
          <w:bCs/>
          <w:color w:val="auto"/>
          <w:sz w:val="24"/>
        </w:rPr>
        <w:t>三、承担保证担保责任的形式</w:t>
      </w:r>
    </w:p>
    <w:p w14:paraId="57818112">
      <w:pPr>
        <w:spacing w:line="360" w:lineRule="auto"/>
        <w:ind w:firstLine="480" w:firstLineChars="200"/>
        <w:rPr>
          <w:rFonts w:hint="eastAsia" w:ascii="宋体" w:hAnsi="宋体"/>
          <w:color w:val="auto"/>
          <w:sz w:val="24"/>
        </w:rPr>
      </w:pPr>
      <w:r>
        <w:rPr>
          <w:rFonts w:hint="eastAsia" w:ascii="宋体" w:hAnsi="宋体"/>
          <w:color w:val="auto"/>
          <w:sz w:val="24"/>
        </w:rPr>
        <w:t>发生应承担保证责任情形的，我方在保证金额内向贵方支付，并赔偿因此给贵方造成的损失，以及利息和律师费、诉讼费用等实现债权的费用。</w:t>
      </w:r>
    </w:p>
    <w:p w14:paraId="1E417478">
      <w:pPr>
        <w:spacing w:line="360" w:lineRule="auto"/>
        <w:ind w:firstLine="482" w:firstLineChars="200"/>
        <w:rPr>
          <w:rFonts w:hint="eastAsia" w:ascii="宋体" w:hAnsi="宋体"/>
          <w:b/>
          <w:bCs/>
          <w:color w:val="auto"/>
          <w:sz w:val="24"/>
        </w:rPr>
      </w:pPr>
      <w:r>
        <w:rPr>
          <w:rFonts w:hint="eastAsia" w:ascii="宋体" w:hAnsi="宋体"/>
          <w:b/>
          <w:bCs/>
          <w:color w:val="auto"/>
          <w:sz w:val="24"/>
        </w:rPr>
        <w:t>四、代偿的安排</w:t>
      </w:r>
      <w:r>
        <w:rPr>
          <w:rFonts w:ascii="宋体" w:hAnsi="宋体"/>
          <w:b/>
          <w:bCs/>
          <w:color w:val="auto"/>
          <w:sz w:val="24"/>
        </w:rPr>
        <w:t xml:space="preserve"> </w:t>
      </w:r>
    </w:p>
    <w:p w14:paraId="501DECC5">
      <w:pPr>
        <w:spacing w:line="360" w:lineRule="auto"/>
        <w:ind w:firstLine="480" w:firstLineChars="200"/>
        <w:rPr>
          <w:rFonts w:hint="eastAsia" w:ascii="宋体" w:hAnsi="宋体"/>
          <w:color w:val="auto"/>
          <w:sz w:val="24"/>
        </w:rPr>
      </w:pPr>
      <w:r>
        <w:rPr>
          <w:rFonts w:hint="eastAsia" w:ascii="宋体" w:hAnsi="宋体"/>
          <w:color w:val="auto"/>
          <w:sz w:val="24"/>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27111EDB">
      <w:pPr>
        <w:spacing w:line="360" w:lineRule="auto"/>
        <w:ind w:firstLine="480" w:firstLineChars="200"/>
        <w:rPr>
          <w:rFonts w:hint="eastAsia" w:ascii="宋体" w:hAnsi="宋体"/>
          <w:color w:val="auto"/>
          <w:sz w:val="24"/>
        </w:rPr>
      </w:pPr>
      <w:r>
        <w:rPr>
          <w:rFonts w:hint="eastAsia" w:ascii="宋体" w:hAnsi="宋体"/>
          <w:color w:val="auto"/>
          <w:sz w:val="24"/>
        </w:rPr>
        <w:t>2.我方收到贵方的书面索赔通知及相应证明材料后，在</w:t>
      </w:r>
      <w:r>
        <w:rPr>
          <w:rFonts w:ascii="宋体" w:hAnsi="宋体"/>
          <w:color w:val="auto"/>
          <w:sz w:val="24"/>
          <w:u w:val="single"/>
        </w:rPr>
        <w:t xml:space="preserve">    </w:t>
      </w:r>
      <w:r>
        <w:rPr>
          <w:rFonts w:hint="eastAsia" w:ascii="宋体" w:hAnsi="宋体"/>
          <w:color w:val="auto"/>
          <w:sz w:val="24"/>
        </w:rPr>
        <w:t>工作日内进行核定后按照本保函的承诺承担保证责任。</w:t>
      </w:r>
    </w:p>
    <w:p w14:paraId="56D97081">
      <w:pPr>
        <w:spacing w:line="360" w:lineRule="auto"/>
        <w:ind w:firstLine="482" w:firstLineChars="200"/>
        <w:rPr>
          <w:rFonts w:hint="eastAsia" w:ascii="宋体" w:hAnsi="宋体"/>
          <w:b/>
          <w:bCs/>
          <w:color w:val="auto"/>
          <w:sz w:val="24"/>
        </w:rPr>
      </w:pPr>
      <w:r>
        <w:rPr>
          <w:rFonts w:hint="eastAsia" w:ascii="宋体" w:hAnsi="宋体"/>
          <w:b/>
          <w:bCs/>
          <w:color w:val="auto"/>
          <w:sz w:val="24"/>
        </w:rPr>
        <w:t>五、保证担保责任的解除</w:t>
      </w:r>
      <w:r>
        <w:rPr>
          <w:rFonts w:ascii="宋体" w:hAnsi="宋体"/>
          <w:b/>
          <w:bCs/>
          <w:color w:val="auto"/>
          <w:sz w:val="24"/>
        </w:rPr>
        <w:t xml:space="preserve"> </w:t>
      </w:r>
    </w:p>
    <w:p w14:paraId="6EBDE080">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 xml:space="preserve">保证期间届满贵方未向我方书面主张保证责任的，自保证期间届满次日起，我方解除保证责任。 </w:t>
      </w:r>
    </w:p>
    <w:p w14:paraId="055A6DF6">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我方按照本</w:t>
      </w:r>
      <w:r>
        <w:rPr>
          <w:rFonts w:hint="eastAsia" w:ascii="宋体" w:hAnsi="宋体"/>
          <w:color w:val="auto"/>
          <w:sz w:val="24"/>
        </w:rPr>
        <w:t>保证担保</w:t>
      </w:r>
      <w:r>
        <w:rPr>
          <w:rFonts w:ascii="宋体" w:hAnsi="宋体"/>
          <w:color w:val="auto"/>
          <w:sz w:val="24"/>
        </w:rPr>
        <w:t>向贵方履行了</w:t>
      </w:r>
      <w:r>
        <w:rPr>
          <w:rFonts w:hint="eastAsia" w:ascii="宋体" w:hAnsi="宋体"/>
          <w:color w:val="auto"/>
          <w:sz w:val="24"/>
        </w:rPr>
        <w:t>保证担保责任</w:t>
      </w:r>
      <w:r>
        <w:rPr>
          <w:rFonts w:ascii="宋体" w:hAnsi="宋体"/>
          <w:color w:val="auto"/>
          <w:sz w:val="24"/>
        </w:rPr>
        <w:t>后，自我方向贵方支付</w:t>
      </w:r>
      <w:r>
        <w:rPr>
          <w:rFonts w:hint="eastAsia" w:ascii="宋体" w:hAnsi="宋体"/>
          <w:color w:val="auto"/>
          <w:sz w:val="24"/>
        </w:rPr>
        <w:t>的金额达到最高保证担保金额</w:t>
      </w:r>
      <w:r>
        <w:rPr>
          <w:rFonts w:ascii="宋体" w:hAnsi="宋体"/>
          <w:color w:val="auto"/>
          <w:sz w:val="24"/>
        </w:rPr>
        <w:t>之日起，</w:t>
      </w:r>
      <w:r>
        <w:rPr>
          <w:rFonts w:hint="eastAsia" w:ascii="宋体" w:hAnsi="宋体"/>
          <w:color w:val="auto"/>
          <w:sz w:val="24"/>
        </w:rPr>
        <w:t>保证担保责任</w:t>
      </w:r>
      <w:r>
        <w:rPr>
          <w:rFonts w:ascii="宋体" w:hAnsi="宋体"/>
          <w:color w:val="auto"/>
          <w:sz w:val="24"/>
        </w:rPr>
        <w:t xml:space="preserve">解除。 </w:t>
      </w:r>
    </w:p>
    <w:p w14:paraId="793939B9">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按照法律法规的规定应解除我方保证</w:t>
      </w:r>
      <w:r>
        <w:rPr>
          <w:rFonts w:hint="eastAsia" w:ascii="宋体" w:hAnsi="宋体"/>
          <w:color w:val="auto"/>
          <w:sz w:val="24"/>
        </w:rPr>
        <w:t>担保</w:t>
      </w:r>
      <w:r>
        <w:rPr>
          <w:rFonts w:ascii="宋体" w:hAnsi="宋体"/>
          <w:color w:val="auto"/>
          <w:sz w:val="24"/>
        </w:rPr>
        <w:t>责任的其它情形的，我方在本保证担保项下的保证</w:t>
      </w:r>
      <w:r>
        <w:rPr>
          <w:rFonts w:hint="eastAsia" w:ascii="宋体" w:hAnsi="宋体"/>
          <w:color w:val="auto"/>
          <w:sz w:val="24"/>
        </w:rPr>
        <w:t>担保</w:t>
      </w:r>
      <w:r>
        <w:rPr>
          <w:rFonts w:ascii="宋体" w:hAnsi="宋体"/>
          <w:color w:val="auto"/>
          <w:sz w:val="24"/>
        </w:rPr>
        <w:t xml:space="preserve">责任亦解除。 </w:t>
      </w:r>
    </w:p>
    <w:p w14:paraId="236879BA">
      <w:pPr>
        <w:spacing w:line="360" w:lineRule="auto"/>
        <w:ind w:firstLine="480" w:firstLineChars="200"/>
        <w:rPr>
          <w:rFonts w:hint="eastAsia" w:ascii="宋体" w:hAnsi="宋体"/>
          <w:color w:val="auto"/>
          <w:sz w:val="24"/>
        </w:rPr>
      </w:pPr>
      <w:r>
        <w:rPr>
          <w:rFonts w:hint="eastAsia" w:ascii="宋体" w:hAnsi="宋体"/>
          <w:color w:val="auto"/>
          <w:sz w:val="24"/>
        </w:rPr>
        <w:t>4.我方解除保证责任后，贵方应按上述约定，自我方保证担保责任解除之日起七</w:t>
      </w:r>
      <w:r>
        <w:rPr>
          <w:rFonts w:ascii="宋体" w:hAnsi="宋体"/>
          <w:color w:val="auto"/>
          <w:sz w:val="24"/>
        </w:rPr>
        <w:t>日内，将本保证担保原件返还我方。但是不论贵方是否按此要求将本保证担保</w:t>
      </w:r>
      <w:r>
        <w:rPr>
          <w:rFonts w:hint="eastAsia" w:ascii="宋体" w:hAnsi="宋体"/>
          <w:color w:val="auto"/>
          <w:sz w:val="24"/>
        </w:rPr>
        <w:t>原件</w:t>
      </w:r>
      <w:r>
        <w:rPr>
          <w:rFonts w:ascii="宋体" w:hAnsi="宋体"/>
          <w:color w:val="auto"/>
          <w:sz w:val="24"/>
        </w:rPr>
        <w:t>退回我方，我方在本保证担保项下的义务和责任均</w:t>
      </w:r>
      <w:r>
        <w:rPr>
          <w:rFonts w:hint="eastAsia" w:ascii="宋体" w:hAnsi="宋体"/>
          <w:color w:val="auto"/>
          <w:sz w:val="24"/>
        </w:rPr>
        <w:t>自保证担保责任解除之日</w:t>
      </w:r>
      <w:r>
        <w:rPr>
          <w:rFonts w:ascii="宋体" w:hAnsi="宋体"/>
          <w:color w:val="auto"/>
          <w:sz w:val="24"/>
        </w:rPr>
        <w:t>自动消灭。</w:t>
      </w:r>
    </w:p>
    <w:p w14:paraId="7A12906F">
      <w:pPr>
        <w:spacing w:line="360" w:lineRule="auto"/>
        <w:ind w:firstLine="482" w:firstLineChars="200"/>
        <w:rPr>
          <w:rFonts w:hint="eastAsia" w:ascii="宋体" w:hAnsi="宋体"/>
          <w:b/>
          <w:bCs/>
          <w:color w:val="auto"/>
          <w:sz w:val="24"/>
        </w:rPr>
      </w:pPr>
      <w:r>
        <w:rPr>
          <w:rFonts w:hint="eastAsia" w:ascii="宋体" w:hAnsi="宋体"/>
          <w:b/>
          <w:bCs/>
          <w:color w:val="auto"/>
          <w:sz w:val="24"/>
        </w:rPr>
        <w:t>六、免责条款</w:t>
      </w:r>
      <w:r>
        <w:rPr>
          <w:rFonts w:ascii="宋体" w:hAnsi="宋体"/>
          <w:b/>
          <w:bCs/>
          <w:color w:val="auto"/>
          <w:sz w:val="24"/>
        </w:rPr>
        <w:t xml:space="preserve"> </w:t>
      </w:r>
    </w:p>
    <w:p w14:paraId="353BF78C">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因贵方</w:t>
      </w:r>
      <w:r>
        <w:rPr>
          <w:rFonts w:hint="eastAsia" w:ascii="宋体" w:hAnsi="宋体"/>
          <w:color w:val="auto"/>
          <w:sz w:val="24"/>
        </w:rPr>
        <w:t>原因</w:t>
      </w:r>
      <w:r>
        <w:rPr>
          <w:rFonts w:ascii="宋体" w:hAnsi="宋体"/>
          <w:color w:val="auto"/>
          <w:sz w:val="24"/>
        </w:rPr>
        <w:t>致使</w:t>
      </w:r>
      <w:r>
        <w:rPr>
          <w:rFonts w:hint="eastAsia" w:ascii="宋体" w:hAnsi="宋体"/>
          <w:color w:val="auto"/>
          <w:sz w:val="24"/>
        </w:rPr>
        <w:t>发生应承担保证责任情形的</w:t>
      </w:r>
      <w:r>
        <w:rPr>
          <w:rFonts w:ascii="宋体" w:hAnsi="宋体"/>
          <w:color w:val="auto"/>
          <w:sz w:val="24"/>
        </w:rPr>
        <w:t>，我方不承担保证</w:t>
      </w:r>
      <w:r>
        <w:rPr>
          <w:rFonts w:hint="eastAsia" w:ascii="宋体" w:hAnsi="宋体"/>
          <w:color w:val="auto"/>
          <w:sz w:val="24"/>
        </w:rPr>
        <w:t>担保</w:t>
      </w:r>
      <w:r>
        <w:rPr>
          <w:rFonts w:ascii="宋体" w:hAnsi="宋体"/>
          <w:color w:val="auto"/>
          <w:sz w:val="24"/>
        </w:rPr>
        <w:t xml:space="preserve">责任。 </w:t>
      </w:r>
    </w:p>
    <w:p w14:paraId="58948E33">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依照法律规定或贵方与</w:t>
      </w:r>
      <w:r>
        <w:rPr>
          <w:rFonts w:hint="eastAsia" w:ascii="宋体" w:hAnsi="宋体"/>
          <w:color w:val="auto"/>
          <w:sz w:val="24"/>
        </w:rPr>
        <w:t>承包</w:t>
      </w:r>
      <w:r>
        <w:rPr>
          <w:rFonts w:ascii="宋体" w:hAnsi="宋体"/>
          <w:color w:val="auto"/>
          <w:sz w:val="24"/>
        </w:rPr>
        <w:t>人的另行约定，免除</w:t>
      </w:r>
      <w:r>
        <w:rPr>
          <w:rFonts w:hint="eastAsia" w:ascii="宋体" w:hAnsi="宋体"/>
          <w:color w:val="auto"/>
          <w:sz w:val="24"/>
        </w:rPr>
        <w:t>承包</w:t>
      </w:r>
      <w:r>
        <w:rPr>
          <w:rFonts w:ascii="宋体" w:hAnsi="宋体"/>
          <w:color w:val="auto"/>
          <w:sz w:val="24"/>
        </w:rPr>
        <w:t>人部分或全部义务的，我方亦免除其相应的保证</w:t>
      </w:r>
      <w:r>
        <w:rPr>
          <w:rFonts w:hint="eastAsia" w:ascii="宋体" w:hAnsi="宋体"/>
          <w:color w:val="auto"/>
          <w:sz w:val="24"/>
        </w:rPr>
        <w:t>担保</w:t>
      </w:r>
      <w:r>
        <w:rPr>
          <w:rFonts w:ascii="宋体" w:hAnsi="宋体"/>
          <w:color w:val="auto"/>
          <w:sz w:val="24"/>
        </w:rPr>
        <w:t xml:space="preserve">责任。 </w:t>
      </w:r>
    </w:p>
    <w:p w14:paraId="56201A49">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因不可抗力造成</w:t>
      </w:r>
      <w:r>
        <w:rPr>
          <w:rFonts w:hint="eastAsia" w:ascii="宋体" w:hAnsi="宋体"/>
          <w:color w:val="auto"/>
          <w:sz w:val="24"/>
        </w:rPr>
        <w:t>发生应承担保证责任情形的</w:t>
      </w:r>
      <w:r>
        <w:rPr>
          <w:rFonts w:ascii="宋体" w:hAnsi="宋体"/>
          <w:color w:val="auto"/>
          <w:sz w:val="24"/>
        </w:rPr>
        <w:t>，我方不承担保证</w:t>
      </w:r>
      <w:r>
        <w:rPr>
          <w:rFonts w:hint="eastAsia" w:ascii="宋体" w:hAnsi="宋体"/>
          <w:color w:val="auto"/>
          <w:sz w:val="24"/>
        </w:rPr>
        <w:t>担保</w:t>
      </w:r>
      <w:r>
        <w:rPr>
          <w:rFonts w:ascii="宋体" w:hAnsi="宋体"/>
          <w:color w:val="auto"/>
          <w:sz w:val="24"/>
        </w:rPr>
        <w:t>责任。</w:t>
      </w:r>
    </w:p>
    <w:p w14:paraId="289D419B">
      <w:pPr>
        <w:spacing w:line="360" w:lineRule="auto"/>
        <w:ind w:firstLine="482" w:firstLineChars="200"/>
        <w:rPr>
          <w:rFonts w:hint="eastAsia" w:ascii="宋体" w:hAnsi="宋体"/>
          <w:b/>
          <w:bCs/>
          <w:color w:val="auto"/>
          <w:sz w:val="24"/>
        </w:rPr>
      </w:pPr>
      <w:r>
        <w:rPr>
          <w:rFonts w:hint="eastAsia" w:ascii="宋体" w:hAnsi="宋体"/>
          <w:b/>
          <w:bCs/>
          <w:color w:val="auto"/>
          <w:sz w:val="24"/>
        </w:rPr>
        <w:t>七、其他</w:t>
      </w:r>
    </w:p>
    <w:p w14:paraId="33EA9E0B">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本保证担保项下的权利不得转让，不得设定担保。贵方未经我方书面同意转让本保证担保或其项下任何权利，</w:t>
      </w:r>
      <w:r>
        <w:rPr>
          <w:rFonts w:hint="eastAsia" w:ascii="宋体" w:hAnsi="宋体"/>
          <w:color w:val="auto"/>
          <w:sz w:val="24"/>
        </w:rPr>
        <w:t>对我方不发生法律效力</w:t>
      </w:r>
      <w:r>
        <w:rPr>
          <w:rFonts w:ascii="宋体" w:hAnsi="宋体"/>
          <w:color w:val="auto"/>
          <w:sz w:val="24"/>
        </w:rPr>
        <w:t xml:space="preserve">。 </w:t>
      </w:r>
    </w:p>
    <w:p w14:paraId="4ABDD174">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.本</w:t>
      </w:r>
      <w:r>
        <w:rPr>
          <w:rFonts w:hint="eastAsia" w:ascii="宋体" w:hAnsi="宋体"/>
          <w:color w:val="auto"/>
          <w:sz w:val="24"/>
        </w:rPr>
        <w:t>保证担保适用的法律为中华人民共和国法律，争议裁判管辖地为中华人民共和国</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w:t>
      </w:r>
      <w:r>
        <w:rPr>
          <w:rFonts w:ascii="宋体" w:hAnsi="宋体"/>
          <w:color w:val="auto"/>
          <w:sz w:val="24"/>
        </w:rPr>
        <w:t xml:space="preserve"> </w:t>
      </w:r>
    </w:p>
    <w:p w14:paraId="6F193797">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.本</w:t>
      </w:r>
      <w:r>
        <w:rPr>
          <w:rFonts w:hint="eastAsia" w:ascii="宋体" w:hAnsi="宋体"/>
          <w:color w:val="auto"/>
          <w:sz w:val="24"/>
        </w:rPr>
        <w:t>保证担保</w:t>
      </w:r>
      <w:r>
        <w:rPr>
          <w:rFonts w:ascii="宋体" w:hAnsi="宋体"/>
          <w:color w:val="auto"/>
          <w:sz w:val="24"/>
        </w:rPr>
        <w:t>自我方法定代表</w:t>
      </w:r>
      <w:r>
        <w:rPr>
          <w:rFonts w:hint="eastAsia" w:ascii="宋体" w:hAnsi="宋体"/>
          <w:color w:val="auto"/>
          <w:sz w:val="24"/>
        </w:rPr>
        <w:t>人或授权代表</w:t>
      </w:r>
      <w:r>
        <w:rPr>
          <w:rFonts w:ascii="宋体" w:hAnsi="宋体"/>
          <w:color w:val="auto"/>
          <w:sz w:val="24"/>
        </w:rPr>
        <w:t>签字</w:t>
      </w:r>
      <w:r>
        <w:rPr>
          <w:rFonts w:hint="eastAsia" w:ascii="宋体" w:hAnsi="宋体"/>
          <w:color w:val="auto"/>
          <w:sz w:val="24"/>
        </w:rPr>
        <w:t>并</w:t>
      </w:r>
      <w:r>
        <w:rPr>
          <w:rFonts w:ascii="宋体" w:hAnsi="宋体"/>
          <w:color w:val="auto"/>
          <w:sz w:val="24"/>
        </w:rPr>
        <w:t xml:space="preserve">加盖公章之日起生效。 </w:t>
      </w:r>
    </w:p>
    <w:p w14:paraId="35767DA3">
      <w:pPr>
        <w:spacing w:line="360" w:lineRule="auto"/>
        <w:ind w:firstLine="480" w:firstLineChars="200"/>
        <w:rPr>
          <w:rFonts w:hint="eastAsia" w:ascii="宋体" w:hAnsi="宋体"/>
          <w:color w:val="auto"/>
          <w:sz w:val="24"/>
        </w:rPr>
      </w:pPr>
    </w:p>
    <w:p w14:paraId="1DBEB1B4">
      <w:pPr>
        <w:spacing w:line="360" w:lineRule="auto"/>
        <w:ind w:firstLine="480" w:firstLineChars="200"/>
        <w:rPr>
          <w:rFonts w:hint="eastAsia" w:ascii="宋体" w:hAnsi="宋体"/>
          <w:color w:val="auto"/>
          <w:sz w:val="24"/>
        </w:rPr>
      </w:pPr>
      <w:r>
        <w:rPr>
          <w:rFonts w:hint="eastAsia" w:ascii="宋体" w:hAnsi="宋体"/>
          <w:color w:val="auto"/>
          <w:sz w:val="24"/>
        </w:rPr>
        <w:t>保 证 人</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（公</w:t>
      </w:r>
      <w:r>
        <w:rPr>
          <w:rFonts w:ascii="宋体" w:hAnsi="宋体"/>
          <w:color w:val="auto"/>
          <w:sz w:val="24"/>
        </w:rPr>
        <w:t xml:space="preserve">章） </w:t>
      </w:r>
    </w:p>
    <w:p w14:paraId="37B417EA">
      <w:pPr>
        <w:spacing w:line="360" w:lineRule="auto"/>
        <w:ind w:firstLine="480" w:firstLineChars="200"/>
        <w:rPr>
          <w:rFonts w:hint="eastAsia" w:ascii="宋体" w:hAnsi="宋体"/>
          <w:color w:val="auto"/>
          <w:sz w:val="24"/>
        </w:rPr>
      </w:pPr>
      <w:r>
        <w:rPr>
          <w:rFonts w:hint="eastAsia" w:ascii="宋体" w:hAnsi="宋体"/>
          <w:color w:val="auto"/>
          <w:sz w:val="24"/>
        </w:rPr>
        <w:t>法定代表人（或授权代表）：</w:t>
      </w:r>
      <w:r>
        <w:rPr>
          <w:rFonts w:ascii="宋体" w:hAnsi="宋体"/>
          <w:color w:val="auto"/>
          <w:sz w:val="24"/>
        </w:rPr>
        <w:t xml:space="preserve">               （签字） </w:t>
      </w:r>
    </w:p>
    <w:p w14:paraId="13063777">
      <w:pPr>
        <w:spacing w:line="360" w:lineRule="auto"/>
        <w:ind w:firstLine="480" w:firstLineChars="200"/>
        <w:rPr>
          <w:rFonts w:hint="eastAsia" w:ascii="宋体" w:hAnsi="宋体"/>
          <w:color w:val="auto"/>
          <w:sz w:val="24"/>
        </w:rPr>
      </w:pPr>
      <w:r>
        <w:rPr>
          <w:rFonts w:hint="eastAsia" w:ascii="宋体" w:hAnsi="宋体"/>
          <w:color w:val="auto"/>
          <w:sz w:val="24"/>
        </w:rPr>
        <w:t>地</w:t>
      </w:r>
      <w:r>
        <w:rPr>
          <w:rFonts w:ascii="宋体" w:hAnsi="宋体"/>
          <w:color w:val="auto"/>
          <w:sz w:val="24"/>
        </w:rPr>
        <w:t xml:space="preserve">    址：                                       </w:t>
      </w:r>
    </w:p>
    <w:p w14:paraId="708A8055">
      <w:pPr>
        <w:spacing w:line="360" w:lineRule="auto"/>
        <w:ind w:firstLine="480" w:firstLineChars="200"/>
        <w:rPr>
          <w:rFonts w:hint="eastAsia" w:ascii="宋体" w:hAnsi="宋体"/>
          <w:color w:val="auto"/>
          <w:sz w:val="24"/>
        </w:rPr>
      </w:pPr>
      <w:r>
        <w:rPr>
          <w:rFonts w:hint="eastAsia" w:ascii="宋体" w:hAnsi="宋体"/>
          <w:color w:val="auto"/>
          <w:sz w:val="24"/>
        </w:rPr>
        <w:t>邮政编码：</w:t>
      </w:r>
      <w:r>
        <w:rPr>
          <w:rFonts w:ascii="宋体" w:hAnsi="宋体"/>
          <w:color w:val="auto"/>
          <w:sz w:val="24"/>
        </w:rPr>
        <w:t xml:space="preserve">                 </w:t>
      </w:r>
    </w:p>
    <w:p w14:paraId="0C6A2E40">
      <w:pPr>
        <w:spacing w:line="360" w:lineRule="auto"/>
        <w:ind w:firstLine="480" w:firstLineChars="200"/>
        <w:rPr>
          <w:rFonts w:hint="eastAsia" w:ascii="宋体" w:hAnsi="宋体"/>
          <w:color w:val="auto"/>
          <w:sz w:val="24"/>
        </w:rPr>
      </w:pPr>
      <w:r>
        <w:rPr>
          <w:rFonts w:hint="eastAsia" w:ascii="宋体" w:hAnsi="宋体"/>
          <w:color w:val="auto"/>
          <w:sz w:val="24"/>
        </w:rPr>
        <w:t>电</w:t>
      </w:r>
      <w:r>
        <w:rPr>
          <w:rFonts w:ascii="宋体" w:hAnsi="宋体"/>
          <w:color w:val="auto"/>
          <w:sz w:val="24"/>
        </w:rPr>
        <w:t xml:space="preserve">    话：                 </w:t>
      </w:r>
    </w:p>
    <w:p w14:paraId="607CF9FB">
      <w:pPr>
        <w:spacing w:line="360" w:lineRule="auto"/>
        <w:ind w:firstLine="480" w:firstLineChars="200"/>
        <w:rPr>
          <w:rFonts w:hint="eastAsia" w:ascii="宋体" w:hAnsi="宋体"/>
          <w:color w:val="auto"/>
          <w:sz w:val="24"/>
        </w:rPr>
      </w:pPr>
      <w:r>
        <w:rPr>
          <w:rFonts w:hint="eastAsia" w:ascii="宋体" w:hAnsi="宋体"/>
          <w:color w:val="auto"/>
          <w:sz w:val="24"/>
        </w:rPr>
        <w:t>传</w:t>
      </w:r>
      <w:r>
        <w:rPr>
          <w:rFonts w:ascii="宋体" w:hAnsi="宋体"/>
          <w:color w:val="auto"/>
          <w:sz w:val="24"/>
        </w:rPr>
        <w:t xml:space="preserve">    真：                 </w:t>
      </w:r>
    </w:p>
    <w:p w14:paraId="358EFCE2">
      <w:pPr>
        <w:spacing w:line="360" w:lineRule="auto"/>
        <w:ind w:firstLine="480" w:firstLineChars="200"/>
        <w:rPr>
          <w:rFonts w:hint="eastAsia" w:ascii="宋体" w:hAnsi="宋体"/>
          <w:color w:val="auto"/>
          <w:sz w:val="24"/>
        </w:rPr>
      </w:pPr>
      <w:r>
        <w:rPr>
          <w:rFonts w:hint="eastAsia" w:ascii="宋体" w:hAnsi="宋体"/>
          <w:color w:val="auto"/>
          <w:sz w:val="24"/>
        </w:rPr>
        <w:t xml:space="preserve">时 </w:t>
      </w:r>
      <w:r>
        <w:rPr>
          <w:rFonts w:ascii="宋体" w:hAnsi="宋体"/>
          <w:color w:val="auto"/>
          <w:sz w:val="24"/>
        </w:rPr>
        <w:t xml:space="preserve">   </w:t>
      </w:r>
      <w:r>
        <w:rPr>
          <w:rFonts w:hint="eastAsia" w:ascii="宋体" w:hAnsi="宋体"/>
          <w:color w:val="auto"/>
          <w:sz w:val="24"/>
        </w:rPr>
        <w:t>间：</w:t>
      </w:r>
      <w:r>
        <w:rPr>
          <w:rFonts w:ascii="宋体" w:hAnsi="宋体"/>
          <w:color w:val="auto"/>
          <w:sz w:val="24"/>
        </w:rPr>
        <w:t xml:space="preserve">      年      月        日</w:t>
      </w:r>
    </w:p>
    <w:p w14:paraId="498836C1">
      <w:pPr>
        <w:rPr>
          <w:color w:val="auto"/>
        </w:rPr>
      </w:pPr>
    </w:p>
    <w:p w14:paraId="09A95CFD">
      <w:pPr>
        <w:spacing w:line="360" w:lineRule="auto"/>
        <w:jc w:val="center"/>
        <w:rPr>
          <w:rFonts w:hint="eastAsia" w:ascii="宋体" w:hAnsi="宋体"/>
          <w:b/>
          <w:bCs/>
          <w:color w:val="auto"/>
          <w:sz w:val="32"/>
          <w:szCs w:val="32"/>
        </w:rPr>
      </w:pPr>
    </w:p>
    <w:p w14:paraId="41610557">
      <w:pPr>
        <w:spacing w:line="440" w:lineRule="exact"/>
        <w:rPr>
          <w:rFonts w:eastAsia="仿宋_GB2312" w:cs="仿宋_GB2312"/>
          <w:color w:val="auto"/>
          <w:sz w:val="30"/>
          <w:szCs w:val="30"/>
        </w:rPr>
      </w:pPr>
    </w:p>
    <w:p w14:paraId="4216B39F">
      <w:pPr>
        <w:spacing w:line="440" w:lineRule="exact"/>
        <w:rPr>
          <w:rFonts w:eastAsia="仿宋_GB2312" w:cs="仿宋_GB2312"/>
          <w:color w:val="auto"/>
          <w:sz w:val="30"/>
          <w:szCs w:val="30"/>
        </w:rPr>
      </w:pPr>
    </w:p>
    <w:p w14:paraId="7BF5AC81">
      <w:pPr>
        <w:spacing w:line="440" w:lineRule="exact"/>
        <w:rPr>
          <w:rFonts w:eastAsia="仿宋_GB2312" w:cs="仿宋_GB2312"/>
          <w:color w:val="auto"/>
          <w:sz w:val="30"/>
          <w:szCs w:val="30"/>
        </w:rPr>
      </w:pPr>
    </w:p>
    <w:p w14:paraId="1AE7D796">
      <w:pPr>
        <w:spacing w:line="440" w:lineRule="exact"/>
        <w:rPr>
          <w:rFonts w:eastAsia="仿宋_GB2312" w:cs="仿宋_GB2312"/>
          <w:color w:val="auto"/>
          <w:sz w:val="30"/>
          <w:szCs w:val="30"/>
        </w:rPr>
      </w:pPr>
    </w:p>
    <w:p w14:paraId="4B465FBF">
      <w:pPr>
        <w:spacing w:line="440" w:lineRule="exact"/>
        <w:rPr>
          <w:rFonts w:eastAsia="仿宋_GB2312" w:cs="仿宋_GB2312"/>
          <w:color w:val="auto"/>
          <w:sz w:val="30"/>
          <w:szCs w:val="30"/>
        </w:rPr>
      </w:pPr>
    </w:p>
    <w:p w14:paraId="65D3FC73">
      <w:pPr>
        <w:spacing w:line="440" w:lineRule="exact"/>
        <w:rPr>
          <w:rFonts w:eastAsia="仿宋_GB2312" w:cs="仿宋_GB2312"/>
          <w:color w:val="auto"/>
          <w:sz w:val="30"/>
          <w:szCs w:val="30"/>
        </w:rPr>
      </w:pPr>
    </w:p>
    <w:p w14:paraId="1088AE5B">
      <w:pPr>
        <w:spacing w:line="440" w:lineRule="exact"/>
        <w:rPr>
          <w:rFonts w:eastAsia="仿宋_GB2312" w:cs="仿宋_GB2312"/>
          <w:color w:val="auto"/>
          <w:sz w:val="30"/>
          <w:szCs w:val="30"/>
        </w:rPr>
      </w:pPr>
    </w:p>
    <w:p w14:paraId="6695A615">
      <w:pPr>
        <w:spacing w:line="440" w:lineRule="exact"/>
        <w:rPr>
          <w:rFonts w:eastAsia="仿宋_GB2312" w:cs="仿宋_GB2312"/>
          <w:color w:val="auto"/>
          <w:sz w:val="30"/>
          <w:szCs w:val="30"/>
        </w:rPr>
      </w:pPr>
    </w:p>
    <w:p w14:paraId="16116958">
      <w:pPr>
        <w:spacing w:line="440" w:lineRule="exact"/>
        <w:rPr>
          <w:rFonts w:eastAsia="仿宋_GB2312" w:cs="仿宋_GB2312"/>
          <w:color w:val="auto"/>
          <w:sz w:val="30"/>
          <w:szCs w:val="30"/>
        </w:rPr>
      </w:pPr>
    </w:p>
    <w:p w14:paraId="35031628">
      <w:pPr>
        <w:spacing w:line="440" w:lineRule="exact"/>
        <w:rPr>
          <w:rFonts w:eastAsia="仿宋_GB2312" w:cs="仿宋_GB2312"/>
          <w:color w:val="auto"/>
          <w:sz w:val="30"/>
          <w:szCs w:val="30"/>
        </w:rPr>
      </w:pPr>
    </w:p>
    <w:p w14:paraId="5275D76B">
      <w:pPr>
        <w:spacing w:line="440" w:lineRule="exact"/>
        <w:rPr>
          <w:rFonts w:eastAsia="仿宋_GB2312" w:cs="仿宋_GB2312"/>
          <w:color w:val="auto"/>
          <w:sz w:val="30"/>
          <w:szCs w:val="30"/>
        </w:rPr>
      </w:pPr>
    </w:p>
    <w:p w14:paraId="0DD60A60">
      <w:pPr>
        <w:spacing w:line="440" w:lineRule="exact"/>
        <w:rPr>
          <w:rFonts w:eastAsia="仿宋_GB2312" w:cs="仿宋_GB2312"/>
          <w:color w:val="auto"/>
          <w:sz w:val="30"/>
          <w:szCs w:val="30"/>
        </w:rPr>
      </w:pPr>
    </w:p>
    <w:p w14:paraId="6758CAEE">
      <w:pPr>
        <w:spacing w:line="440" w:lineRule="exact"/>
        <w:rPr>
          <w:rFonts w:eastAsia="仿宋_GB2312" w:cs="仿宋_GB2312"/>
          <w:color w:val="auto"/>
          <w:sz w:val="30"/>
          <w:szCs w:val="30"/>
        </w:rPr>
      </w:pPr>
    </w:p>
    <w:p w14:paraId="546E064B">
      <w:pPr>
        <w:spacing w:line="440" w:lineRule="exact"/>
        <w:rPr>
          <w:rFonts w:eastAsia="仿宋_GB2312" w:cs="仿宋_GB2312"/>
          <w:color w:val="auto"/>
          <w:sz w:val="30"/>
          <w:szCs w:val="30"/>
        </w:rPr>
      </w:pPr>
    </w:p>
    <w:p w14:paraId="1BF4526D">
      <w:pPr>
        <w:spacing w:line="440" w:lineRule="exact"/>
        <w:rPr>
          <w:rFonts w:eastAsia="仿宋_GB2312" w:cs="仿宋_GB2312"/>
          <w:color w:val="auto"/>
          <w:sz w:val="30"/>
          <w:szCs w:val="30"/>
        </w:rPr>
      </w:pPr>
    </w:p>
    <w:p w14:paraId="070AD7A6">
      <w:pPr>
        <w:spacing w:line="440" w:lineRule="exact"/>
        <w:rPr>
          <w:rFonts w:eastAsia="仿宋_GB2312" w:cs="仿宋_GB2312"/>
          <w:color w:val="auto"/>
          <w:sz w:val="30"/>
          <w:szCs w:val="30"/>
        </w:rPr>
      </w:pPr>
    </w:p>
    <w:p w14:paraId="45FFA9AF">
      <w:pPr>
        <w:spacing w:line="440" w:lineRule="exact"/>
        <w:rPr>
          <w:rFonts w:eastAsia="仿宋_GB2312" w:cs="仿宋_GB2312"/>
          <w:color w:val="auto"/>
          <w:sz w:val="30"/>
          <w:szCs w:val="30"/>
        </w:rPr>
      </w:pPr>
    </w:p>
    <w:p w14:paraId="7C1D891E">
      <w:pPr>
        <w:spacing w:line="440" w:lineRule="exact"/>
        <w:rPr>
          <w:rFonts w:eastAsia="仿宋_GB2312" w:cs="仿宋_GB2312"/>
          <w:color w:val="auto"/>
          <w:sz w:val="30"/>
          <w:szCs w:val="30"/>
        </w:rPr>
      </w:pPr>
    </w:p>
    <w:p w14:paraId="14224F58">
      <w:pPr>
        <w:spacing w:line="440" w:lineRule="exact"/>
        <w:rPr>
          <w:rFonts w:eastAsia="仿宋_GB2312" w:cs="仿宋_GB2312"/>
          <w:color w:val="auto"/>
          <w:sz w:val="30"/>
          <w:szCs w:val="30"/>
        </w:rPr>
      </w:pPr>
    </w:p>
    <w:p w14:paraId="034A97CC">
      <w:pPr>
        <w:spacing w:line="440" w:lineRule="exact"/>
        <w:rPr>
          <w:rFonts w:eastAsia="仿宋_GB2312" w:cs="仿宋_GB2312"/>
          <w:color w:val="auto"/>
          <w:sz w:val="30"/>
          <w:szCs w:val="30"/>
        </w:rPr>
      </w:pPr>
    </w:p>
    <w:p w14:paraId="5FAE22C2">
      <w:pPr>
        <w:spacing w:line="440" w:lineRule="exact"/>
        <w:rPr>
          <w:rFonts w:eastAsia="仿宋_GB2312" w:cs="仿宋_GB2312"/>
          <w:color w:val="auto"/>
          <w:sz w:val="30"/>
          <w:szCs w:val="30"/>
        </w:rPr>
      </w:pPr>
    </w:p>
    <w:p w14:paraId="3678486B">
      <w:pPr>
        <w:spacing w:line="440" w:lineRule="exact"/>
        <w:rPr>
          <w:rFonts w:eastAsia="仿宋_GB2312" w:cs="仿宋_GB2312"/>
          <w:color w:val="auto"/>
          <w:sz w:val="30"/>
          <w:szCs w:val="30"/>
        </w:rPr>
      </w:pPr>
    </w:p>
    <w:p w14:paraId="3F7EF67B">
      <w:pPr>
        <w:spacing w:line="440" w:lineRule="exact"/>
        <w:rPr>
          <w:rFonts w:eastAsia="黑体"/>
          <w:color w:val="auto"/>
          <w:sz w:val="30"/>
          <w:szCs w:val="30"/>
        </w:rPr>
      </w:pPr>
      <w:r>
        <w:rPr>
          <w:rFonts w:hint="eastAsia" w:eastAsia="仿宋_GB2312" w:cs="仿宋_GB2312"/>
          <w:color w:val="auto"/>
          <w:sz w:val="30"/>
          <w:szCs w:val="30"/>
        </w:rPr>
        <w:t>附件</w:t>
      </w:r>
      <w:r>
        <w:rPr>
          <w:rFonts w:hint="eastAsia" w:eastAsia="仿宋_GB2312"/>
          <w:color w:val="auto"/>
          <w:sz w:val="30"/>
          <w:szCs w:val="30"/>
        </w:rPr>
        <w:t>9</w:t>
      </w:r>
      <w:r>
        <w:rPr>
          <w:rFonts w:hint="eastAsia" w:eastAsia="仿宋_GB2312" w:cs="仿宋_GB2312"/>
          <w:color w:val="auto"/>
          <w:sz w:val="30"/>
          <w:szCs w:val="30"/>
        </w:rPr>
        <w:t>：</w:t>
      </w:r>
    </w:p>
    <w:p w14:paraId="04C29CB6">
      <w:pPr>
        <w:spacing w:line="360" w:lineRule="auto"/>
        <w:jc w:val="left"/>
        <w:rPr>
          <w:rFonts w:hint="eastAsia" w:ascii="黑体" w:hAnsi="黑体" w:eastAsia="黑体" w:cs="黑体"/>
          <w:b/>
          <w:bCs/>
          <w:color w:val="auto"/>
          <w:sz w:val="32"/>
          <w:szCs w:val="32"/>
        </w:rPr>
      </w:pPr>
    </w:p>
    <w:p w14:paraId="3902A54B">
      <w:pPr>
        <w:spacing w:line="360" w:lineRule="auto"/>
        <w:jc w:val="center"/>
        <w:rPr>
          <w:rFonts w:hint="eastAsia" w:ascii="宋体" w:hAnsi="宋体"/>
          <w:b/>
          <w:bCs/>
          <w:color w:val="auto"/>
          <w:sz w:val="32"/>
          <w:szCs w:val="32"/>
        </w:rPr>
      </w:pPr>
      <w:r>
        <w:rPr>
          <w:rFonts w:hint="eastAsia" w:ascii="宋体" w:hAnsi="宋体"/>
          <w:b/>
          <w:bCs/>
          <w:color w:val="auto"/>
          <w:sz w:val="32"/>
          <w:szCs w:val="32"/>
        </w:rPr>
        <w:t>支付保函示范文本</w:t>
      </w:r>
    </w:p>
    <w:p w14:paraId="358C0A69">
      <w:pPr>
        <w:spacing w:line="360" w:lineRule="auto"/>
        <w:jc w:val="center"/>
        <w:rPr>
          <w:rFonts w:hint="eastAsia" w:ascii="宋体" w:hAnsi="宋体"/>
          <w:b/>
          <w:bCs/>
          <w:color w:val="auto"/>
          <w:sz w:val="32"/>
          <w:szCs w:val="32"/>
        </w:rPr>
      </w:pPr>
      <w:r>
        <w:rPr>
          <w:rFonts w:hint="eastAsia" w:ascii="宋体" w:hAnsi="宋体"/>
          <w:b/>
          <w:bCs/>
          <w:color w:val="auto"/>
          <w:sz w:val="32"/>
          <w:szCs w:val="32"/>
        </w:rPr>
        <w:t>（独立保函）</w:t>
      </w:r>
    </w:p>
    <w:p w14:paraId="587821A7">
      <w:pPr>
        <w:wordWrap w:val="0"/>
        <w:spacing w:line="360" w:lineRule="auto"/>
        <w:jc w:val="right"/>
        <w:rPr>
          <w:rFonts w:hint="eastAsia" w:ascii="宋体" w:hAnsi="宋体"/>
          <w:color w:val="auto"/>
        </w:rPr>
      </w:pPr>
      <w:r>
        <w:rPr>
          <w:rFonts w:hint="eastAsia" w:ascii="宋体" w:hAnsi="宋体"/>
          <w:color w:val="auto"/>
        </w:rPr>
        <w:t xml:space="preserve">编号： </w:t>
      </w:r>
      <w:r>
        <w:rPr>
          <w:rFonts w:ascii="宋体" w:hAnsi="宋体"/>
          <w:color w:val="auto"/>
        </w:rPr>
        <w:t xml:space="preserve">          </w:t>
      </w:r>
    </w:p>
    <w:p w14:paraId="13AFF6C3">
      <w:pPr>
        <w:spacing w:line="360" w:lineRule="auto"/>
        <w:rPr>
          <w:rFonts w:hint="eastAsia" w:ascii="宋体" w:hAnsi="宋体"/>
          <w:color w:val="auto"/>
          <w:sz w:val="24"/>
        </w:rPr>
      </w:pPr>
      <w:r>
        <w:rPr>
          <w:rFonts w:hint="eastAsia" w:ascii="宋体" w:hAnsi="宋体"/>
          <w:color w:val="auto"/>
          <w:sz w:val="24"/>
        </w:rPr>
        <w:t>申请人：</w:t>
      </w:r>
    </w:p>
    <w:p w14:paraId="609A4A50">
      <w:pPr>
        <w:spacing w:line="360" w:lineRule="auto"/>
        <w:rPr>
          <w:rFonts w:hint="eastAsia" w:ascii="宋体" w:hAnsi="宋体"/>
          <w:color w:val="auto"/>
          <w:sz w:val="24"/>
        </w:rPr>
      </w:pPr>
      <w:r>
        <w:rPr>
          <w:rFonts w:hint="eastAsia" w:ascii="宋体" w:hAnsi="宋体"/>
          <w:color w:val="auto"/>
          <w:sz w:val="24"/>
        </w:rPr>
        <w:t xml:space="preserve">  地址</w:t>
      </w:r>
      <w:r>
        <w:rPr>
          <w:rFonts w:ascii="宋体" w:hAnsi="宋体"/>
          <w:color w:val="auto"/>
          <w:sz w:val="24"/>
        </w:rPr>
        <w:t>：</w:t>
      </w:r>
    </w:p>
    <w:p w14:paraId="1A21D71A">
      <w:pPr>
        <w:spacing w:line="360" w:lineRule="auto"/>
        <w:rPr>
          <w:rFonts w:hint="eastAsia" w:ascii="宋体" w:hAnsi="宋体"/>
          <w:color w:val="auto"/>
          <w:sz w:val="24"/>
        </w:rPr>
      </w:pPr>
      <w:r>
        <w:rPr>
          <w:rFonts w:hint="eastAsia" w:ascii="宋体" w:hAnsi="宋体"/>
          <w:color w:val="auto"/>
          <w:sz w:val="24"/>
        </w:rPr>
        <w:t>受益人：</w:t>
      </w:r>
    </w:p>
    <w:p w14:paraId="1F45B379">
      <w:pPr>
        <w:spacing w:line="360" w:lineRule="auto"/>
        <w:rPr>
          <w:rFonts w:hint="eastAsia" w:ascii="宋体" w:hAnsi="宋体"/>
          <w:color w:val="auto"/>
          <w:sz w:val="24"/>
        </w:rPr>
      </w:pPr>
      <w:r>
        <w:rPr>
          <w:rFonts w:hint="eastAsia" w:ascii="宋体" w:hAnsi="宋体"/>
          <w:color w:val="auto"/>
          <w:sz w:val="24"/>
        </w:rPr>
        <w:t xml:space="preserve">  地址：</w:t>
      </w:r>
    </w:p>
    <w:p w14:paraId="5002F72E">
      <w:pPr>
        <w:spacing w:line="360" w:lineRule="auto"/>
        <w:rPr>
          <w:rFonts w:hint="eastAsia" w:ascii="宋体" w:hAnsi="宋体"/>
          <w:color w:val="auto"/>
          <w:sz w:val="24"/>
        </w:rPr>
      </w:pPr>
      <w:r>
        <w:rPr>
          <w:rFonts w:hint="eastAsia" w:ascii="宋体" w:hAnsi="宋体"/>
          <w:color w:val="auto"/>
          <w:sz w:val="24"/>
        </w:rPr>
        <w:t>开立人：</w:t>
      </w:r>
    </w:p>
    <w:p w14:paraId="1CD191D4">
      <w:pPr>
        <w:spacing w:line="360" w:lineRule="auto"/>
        <w:rPr>
          <w:rFonts w:hint="eastAsia"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地址：</w:t>
      </w:r>
    </w:p>
    <w:p w14:paraId="2ED43DFF">
      <w:pPr>
        <w:spacing w:line="360" w:lineRule="auto"/>
        <w:rPr>
          <w:rFonts w:hint="eastAsia" w:ascii="宋体" w:hAnsi="宋体"/>
          <w:color w:val="auto"/>
          <w:sz w:val="24"/>
        </w:rPr>
      </w:pPr>
      <w:r>
        <w:rPr>
          <w:rFonts w:ascii="宋体" w:hAnsi="宋体"/>
          <w:color w:val="auto"/>
          <w:sz w:val="24"/>
        </w:rPr>
        <w:t xml:space="preserve"> </w:t>
      </w:r>
    </w:p>
    <w:p w14:paraId="1F5B1A28">
      <w:pPr>
        <w:spacing w:line="360" w:lineRule="auto"/>
        <w:rPr>
          <w:rFonts w:hint="eastAsia" w:ascii="宋体" w:hAnsi="宋体"/>
          <w:color w:val="auto"/>
          <w:sz w:val="24"/>
        </w:rPr>
      </w:pPr>
      <w:bookmarkStart w:id="1533" w:name="_Hlk40355074"/>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受益人</w:t>
      </w:r>
      <w:r>
        <w:rPr>
          <w:rFonts w:ascii="宋体" w:hAnsi="宋体"/>
          <w:color w:val="auto"/>
          <w:sz w:val="24"/>
        </w:rPr>
        <w:t xml:space="preserve">名称）： </w:t>
      </w:r>
    </w:p>
    <w:bookmarkEnd w:id="1533"/>
    <w:p w14:paraId="0507450E">
      <w:pPr>
        <w:spacing w:line="360" w:lineRule="auto"/>
        <w:ind w:firstLine="480" w:firstLineChars="200"/>
        <w:rPr>
          <w:rFonts w:hint="eastAsia" w:ascii="宋体" w:hAnsi="宋体"/>
          <w:color w:val="auto"/>
          <w:sz w:val="24"/>
        </w:rPr>
      </w:pPr>
      <w:r>
        <w:rPr>
          <w:rFonts w:hint="eastAsia" w:ascii="宋体" w:hAnsi="宋体"/>
          <w:color w:val="auto"/>
          <w:sz w:val="24"/>
        </w:rPr>
        <w:t>鉴于</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受益人</w:t>
      </w:r>
      <w:r>
        <w:rPr>
          <w:rFonts w:ascii="宋体" w:hAnsi="宋体"/>
          <w:color w:val="auto"/>
          <w:sz w:val="24"/>
        </w:rPr>
        <w:t>”）</w:t>
      </w:r>
      <w:r>
        <w:rPr>
          <w:rFonts w:hint="eastAsia" w:ascii="宋体" w:hAnsi="宋体"/>
          <w:color w:val="auto"/>
          <w:sz w:val="24"/>
        </w:rPr>
        <w:t>与</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申请人</w:t>
      </w:r>
      <w:r>
        <w:rPr>
          <w:rFonts w:ascii="宋体" w:hAnsi="宋体"/>
          <w:color w:val="auto"/>
          <w:sz w:val="24"/>
        </w:rPr>
        <w:t>”）</w:t>
      </w:r>
      <w:r>
        <w:rPr>
          <w:rFonts w:hint="eastAsia" w:ascii="宋体" w:hAnsi="宋体"/>
          <w:color w:val="auto"/>
          <w:sz w:val="24"/>
        </w:rPr>
        <w:t>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工程（以下简称“本工程”）施工和有关事项协商一致共同签订</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w:t>
      </w:r>
      <w:r>
        <w:rPr>
          <w:rFonts w:hint="eastAsia" w:ascii="宋体" w:hAnsi="宋体"/>
          <w:color w:val="auto"/>
          <w:sz w:val="24"/>
        </w:rPr>
        <w:t>（以下简称“基础合同”），我方（即“开立人”）根据基础合同了解到申请人为基础合同项下之发包人，受益人为基础合同项下之承包人，基于申请人</w:t>
      </w:r>
      <w:r>
        <w:rPr>
          <w:rFonts w:ascii="宋体" w:hAnsi="宋体"/>
          <w:color w:val="auto"/>
          <w:sz w:val="24"/>
        </w:rPr>
        <w:t>的请求，我方同意就</w:t>
      </w:r>
      <w:r>
        <w:rPr>
          <w:rFonts w:hint="eastAsia" w:ascii="宋体" w:hAnsi="宋体"/>
          <w:color w:val="auto"/>
          <w:sz w:val="24"/>
        </w:rPr>
        <w:t>申请人</w:t>
      </w:r>
      <w:r>
        <w:rPr>
          <w:rFonts w:ascii="宋体" w:hAnsi="宋体"/>
          <w:color w:val="auto"/>
          <w:sz w:val="24"/>
        </w:rPr>
        <w:t>履行</w:t>
      </w:r>
      <w:r>
        <w:rPr>
          <w:rFonts w:hint="eastAsia" w:ascii="宋体" w:hAnsi="宋体"/>
          <w:color w:val="auto"/>
          <w:sz w:val="24"/>
        </w:rPr>
        <w:t>与贵方签订的基础合同</w:t>
      </w:r>
      <w:r>
        <w:rPr>
          <w:rFonts w:ascii="宋体" w:hAnsi="宋体"/>
          <w:color w:val="auto"/>
          <w:sz w:val="24"/>
        </w:rPr>
        <w:t>项下的</w:t>
      </w:r>
      <w:r>
        <w:rPr>
          <w:rFonts w:hint="eastAsia" w:ascii="宋体" w:hAnsi="宋体"/>
          <w:color w:val="auto"/>
          <w:sz w:val="24"/>
        </w:rPr>
        <w:t>工程款（指基础合同约定的除工程质量保修金以外的工程款）付款</w:t>
      </w:r>
      <w:r>
        <w:rPr>
          <w:rFonts w:ascii="宋体" w:hAnsi="宋体"/>
          <w:color w:val="auto"/>
          <w:sz w:val="24"/>
        </w:rPr>
        <w:t>义务</w:t>
      </w:r>
      <w:r>
        <w:rPr>
          <w:rFonts w:hint="eastAsia" w:ascii="宋体" w:hAnsi="宋体"/>
          <w:color w:val="auto"/>
          <w:sz w:val="24"/>
        </w:rPr>
        <w:t>，</w:t>
      </w:r>
      <w:r>
        <w:rPr>
          <w:rFonts w:ascii="宋体" w:hAnsi="宋体"/>
          <w:color w:val="auto"/>
          <w:sz w:val="24"/>
        </w:rPr>
        <w:t>向贵方提供不可撤销、</w:t>
      </w:r>
      <w:r>
        <w:rPr>
          <w:rFonts w:hint="eastAsia" w:ascii="宋体" w:hAnsi="宋体"/>
          <w:color w:val="auto"/>
          <w:sz w:val="24"/>
        </w:rPr>
        <w:t>不可转让的见索即付</w:t>
      </w:r>
      <w:r>
        <w:rPr>
          <w:rFonts w:ascii="宋体" w:hAnsi="宋体"/>
          <w:color w:val="auto"/>
          <w:sz w:val="24"/>
        </w:rPr>
        <w:t>独立</w:t>
      </w:r>
      <w:r>
        <w:rPr>
          <w:rFonts w:hint="eastAsia" w:ascii="宋体" w:hAnsi="宋体"/>
          <w:color w:val="auto"/>
          <w:sz w:val="24"/>
        </w:rPr>
        <w:t>保函（以下简称“本保函”）</w:t>
      </w:r>
      <w:r>
        <w:rPr>
          <w:rFonts w:ascii="宋体" w:hAnsi="宋体"/>
          <w:color w:val="auto"/>
          <w:sz w:val="24"/>
        </w:rPr>
        <w:t xml:space="preserve">。 </w:t>
      </w:r>
    </w:p>
    <w:p w14:paraId="02F0D95F">
      <w:pPr>
        <w:spacing w:line="360" w:lineRule="auto"/>
        <w:ind w:firstLine="480" w:firstLineChars="200"/>
        <w:rPr>
          <w:rFonts w:hint="eastAsia" w:ascii="宋体" w:hAnsi="宋体"/>
          <w:color w:val="auto"/>
          <w:sz w:val="24"/>
        </w:rPr>
      </w:pPr>
      <w:r>
        <w:rPr>
          <w:rFonts w:hint="eastAsia" w:ascii="宋体" w:hAnsi="宋体"/>
          <w:color w:val="auto"/>
          <w:sz w:val="24"/>
        </w:rPr>
        <w:t>一、本保函担保范围：申请人未履行基础合同约定的工程款支付义务，应当向贵方承担的违约责任和赔偿因此造成的损失、利息、律师费、诉讼费用等实现债权的费用。</w:t>
      </w:r>
    </w:p>
    <w:p w14:paraId="6CCFB639">
      <w:pPr>
        <w:spacing w:line="360" w:lineRule="auto"/>
        <w:ind w:firstLine="480" w:firstLineChars="200"/>
        <w:rPr>
          <w:rFonts w:hint="eastAsia" w:ascii="宋体" w:hAnsi="宋体"/>
          <w:color w:val="auto"/>
          <w:sz w:val="24"/>
        </w:rPr>
      </w:pPr>
      <w:r>
        <w:rPr>
          <w:rFonts w:hint="eastAsia" w:ascii="宋体" w:hAnsi="宋体"/>
          <w:color w:val="auto"/>
          <w:sz w:val="24"/>
        </w:rPr>
        <w:t>二、本保函担保金额最高不超过</w:t>
      </w:r>
      <w:r>
        <w:rPr>
          <w:rFonts w:ascii="宋体" w:hAnsi="宋体"/>
          <w:color w:val="auto"/>
          <w:sz w:val="24"/>
        </w:rPr>
        <w:t>人民币（大写）</w:t>
      </w:r>
      <w:r>
        <w:rPr>
          <w:rFonts w:ascii="宋体" w:hAnsi="宋体"/>
          <w:color w:val="auto"/>
          <w:sz w:val="24"/>
          <w:u w:val="single"/>
        </w:rPr>
        <w:t xml:space="preserve">          </w:t>
      </w:r>
      <w:r>
        <w:rPr>
          <w:rFonts w:ascii="宋体" w:hAnsi="宋体"/>
          <w:color w:val="auto"/>
          <w:sz w:val="24"/>
        </w:rPr>
        <w:t>元（¥</w:t>
      </w:r>
      <w:r>
        <w:rPr>
          <w:rFonts w:ascii="宋体" w:hAnsi="宋体"/>
          <w:color w:val="auto"/>
          <w:sz w:val="24"/>
          <w:u w:val="single"/>
        </w:rPr>
        <w:t xml:space="preserve">       </w:t>
      </w:r>
      <w:r>
        <w:rPr>
          <w:rFonts w:ascii="宋体" w:hAnsi="宋体"/>
          <w:color w:val="auto"/>
          <w:sz w:val="24"/>
        </w:rPr>
        <w:t xml:space="preserve">）。 </w:t>
      </w:r>
    </w:p>
    <w:p w14:paraId="778EA90F">
      <w:pPr>
        <w:spacing w:line="360" w:lineRule="auto"/>
        <w:ind w:firstLine="480" w:firstLineChars="200"/>
        <w:rPr>
          <w:rFonts w:hint="eastAsia" w:ascii="宋体" w:hAnsi="宋体"/>
          <w:color w:val="auto"/>
          <w:sz w:val="24"/>
        </w:rPr>
      </w:pPr>
      <w:r>
        <w:rPr>
          <w:rFonts w:hint="eastAsia" w:ascii="宋体" w:hAnsi="宋体"/>
          <w:color w:val="auto"/>
          <w:sz w:val="24"/>
        </w:rPr>
        <w:t>三、本保函</w:t>
      </w:r>
      <w:r>
        <w:rPr>
          <w:rFonts w:ascii="宋体" w:hAnsi="宋体"/>
          <w:color w:val="auto"/>
          <w:sz w:val="24"/>
        </w:rPr>
        <w:t>有效期自</w:t>
      </w:r>
      <w:r>
        <w:rPr>
          <w:rFonts w:hint="eastAsia" w:ascii="宋体" w:hAnsi="宋体"/>
          <w:color w:val="auto"/>
          <w:sz w:val="24"/>
        </w:rPr>
        <w:t>开立之日起</w:t>
      </w:r>
      <w:r>
        <w:rPr>
          <w:rFonts w:ascii="宋体" w:hAnsi="宋体"/>
          <w:color w:val="auto"/>
          <w:sz w:val="24"/>
        </w:rPr>
        <w:t>至</w:t>
      </w:r>
      <w:r>
        <w:rPr>
          <w:rFonts w:hint="eastAsia" w:ascii="宋体" w:hAnsi="宋体"/>
          <w:color w:val="auto"/>
          <w:sz w:val="24"/>
        </w:rPr>
        <w:t>基础合同约定的除工程质量保修金以外的全部工程结算款项支付之日后</w:t>
      </w:r>
      <w:r>
        <w:rPr>
          <w:rFonts w:ascii="宋体" w:hAnsi="宋体"/>
          <w:color w:val="auto"/>
          <w:sz w:val="24"/>
          <w:u w:val="single"/>
        </w:rPr>
        <w:t xml:space="preserve">   </w:t>
      </w:r>
      <w:r>
        <w:rPr>
          <w:rFonts w:ascii="宋体" w:hAnsi="宋体"/>
          <w:color w:val="auto"/>
          <w:sz w:val="24"/>
        </w:rPr>
        <w:t>日</w:t>
      </w:r>
      <w:r>
        <w:rPr>
          <w:rFonts w:hint="eastAsia" w:ascii="宋体" w:hAnsi="宋体"/>
          <w:color w:val="auto"/>
          <w:sz w:val="24"/>
        </w:rPr>
        <w:t>止，最迟不超过</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r>
        <w:rPr>
          <w:rFonts w:ascii="宋体" w:hAnsi="宋体"/>
          <w:color w:val="auto"/>
          <w:sz w:val="24"/>
        </w:rPr>
        <w:t xml:space="preserve">。 </w:t>
      </w:r>
    </w:p>
    <w:p w14:paraId="36F89B10">
      <w:pPr>
        <w:spacing w:line="360" w:lineRule="auto"/>
        <w:ind w:firstLine="480"/>
        <w:rPr>
          <w:rFonts w:hint="eastAsia" w:ascii="宋体" w:hAnsi="宋体"/>
          <w:color w:val="auto"/>
          <w:sz w:val="24"/>
        </w:rPr>
      </w:pPr>
      <w:r>
        <w:rPr>
          <w:rFonts w:hint="eastAsia" w:ascii="宋体" w:hAnsi="宋体"/>
          <w:color w:val="auto"/>
          <w:sz w:val="24"/>
        </w:rPr>
        <w:t>四、我方承诺，在收到受益人发来的书面付款通知后的</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日内无条件支付，前述书面付款通知即为付款要求之单据，且应满足以下要求：</w:t>
      </w:r>
    </w:p>
    <w:p w14:paraId="7A617CF7">
      <w:pPr>
        <w:spacing w:line="360" w:lineRule="auto"/>
        <w:ind w:firstLine="480" w:firstLineChars="200"/>
        <w:rPr>
          <w:rFonts w:hint="eastAsia" w:ascii="宋体" w:hAnsi="宋体"/>
          <w:color w:val="auto"/>
          <w:sz w:val="24"/>
        </w:rPr>
      </w:pPr>
      <w:r>
        <w:rPr>
          <w:rFonts w:hint="eastAsia" w:ascii="宋体" w:hAnsi="宋体"/>
          <w:color w:val="auto"/>
          <w:sz w:val="24"/>
        </w:rPr>
        <w:t>（1）付款通知到达的日期在本保函的有效期内；</w:t>
      </w:r>
    </w:p>
    <w:p w14:paraId="09040CDD">
      <w:pPr>
        <w:spacing w:line="360" w:lineRule="auto"/>
        <w:ind w:firstLine="480" w:firstLineChars="200"/>
        <w:rPr>
          <w:rFonts w:hint="eastAsia" w:ascii="宋体" w:hAnsi="宋体"/>
          <w:color w:val="auto"/>
          <w:sz w:val="24"/>
        </w:rPr>
      </w:pPr>
      <w:r>
        <w:rPr>
          <w:rFonts w:hint="eastAsia" w:ascii="宋体" w:hAnsi="宋体"/>
          <w:color w:val="auto"/>
          <w:sz w:val="24"/>
        </w:rPr>
        <w:t>（2）载明要求支付的金额；</w:t>
      </w:r>
    </w:p>
    <w:p w14:paraId="7B6E3AF2">
      <w:pPr>
        <w:spacing w:line="360" w:lineRule="auto"/>
        <w:ind w:firstLine="480" w:firstLineChars="200"/>
        <w:rPr>
          <w:rFonts w:hint="eastAsia" w:ascii="宋体" w:hAnsi="宋体"/>
          <w:color w:val="auto"/>
          <w:sz w:val="24"/>
        </w:rPr>
      </w:pPr>
      <w:r>
        <w:rPr>
          <w:rFonts w:hint="eastAsia" w:ascii="宋体" w:hAnsi="宋体"/>
          <w:color w:val="auto"/>
          <w:sz w:val="24"/>
        </w:rPr>
        <w:t>（3）载明申请人违反合同义务的条款和内容；</w:t>
      </w:r>
    </w:p>
    <w:p w14:paraId="4ED84CC0">
      <w:pPr>
        <w:spacing w:line="360" w:lineRule="auto"/>
        <w:ind w:firstLine="480" w:firstLineChars="200"/>
        <w:rPr>
          <w:rFonts w:hint="eastAsia" w:ascii="宋体" w:hAnsi="宋体"/>
          <w:color w:val="auto"/>
          <w:sz w:val="24"/>
        </w:rPr>
      </w:pPr>
      <w:r>
        <w:rPr>
          <w:rFonts w:hint="eastAsia" w:ascii="宋体" w:hAnsi="宋体"/>
          <w:color w:val="auto"/>
          <w:sz w:val="24"/>
        </w:rPr>
        <w:t>（4）声明不存在合同文件约定或我国法律规定免除申请人或开立人支付责任的情形；</w:t>
      </w:r>
    </w:p>
    <w:p w14:paraId="5B053EE2">
      <w:pPr>
        <w:spacing w:line="360" w:lineRule="auto"/>
        <w:ind w:firstLine="480" w:firstLineChars="200"/>
        <w:rPr>
          <w:rFonts w:hint="eastAsia" w:ascii="宋体" w:hAnsi="宋体"/>
          <w:color w:val="auto"/>
          <w:sz w:val="24"/>
        </w:rPr>
      </w:pPr>
      <w:r>
        <w:rPr>
          <w:rFonts w:hint="eastAsia" w:ascii="宋体" w:hAnsi="宋体"/>
          <w:color w:val="auto"/>
          <w:sz w:val="24"/>
        </w:rPr>
        <w:t>（5）付款通知应在本保函有效期内到达的地址是：</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w:t>
      </w:r>
    </w:p>
    <w:p w14:paraId="734A5BD6">
      <w:pPr>
        <w:spacing w:line="360" w:lineRule="auto"/>
        <w:ind w:firstLine="480" w:firstLineChars="200"/>
        <w:rPr>
          <w:rFonts w:hint="eastAsia" w:ascii="宋体" w:hAnsi="宋体"/>
          <w:color w:val="auto"/>
          <w:sz w:val="24"/>
        </w:rPr>
      </w:pPr>
      <w:r>
        <w:rPr>
          <w:rFonts w:hint="eastAsia" w:ascii="宋体" w:hAnsi="宋体"/>
          <w:color w:val="auto"/>
          <w:sz w:val="24"/>
        </w:rPr>
        <w:t>受益人发出的书面付款通知应由其为鉴明受益人法定代表人（负责人）或授权代理人签字并加盖公章。</w:t>
      </w:r>
    </w:p>
    <w:p w14:paraId="06B204A0">
      <w:pPr>
        <w:spacing w:line="360" w:lineRule="auto"/>
        <w:ind w:firstLine="480" w:firstLineChars="200"/>
        <w:rPr>
          <w:rFonts w:hint="eastAsia" w:ascii="宋体" w:hAnsi="宋体"/>
          <w:color w:val="auto"/>
          <w:sz w:val="24"/>
        </w:rPr>
      </w:pPr>
      <w:r>
        <w:rPr>
          <w:rFonts w:hint="eastAsia" w:ascii="宋体" w:hAnsi="宋体"/>
          <w:color w:val="auto"/>
          <w:sz w:val="24"/>
        </w:rPr>
        <w:t>五、</w:t>
      </w:r>
      <w:r>
        <w:rPr>
          <w:rFonts w:ascii="宋体" w:hAnsi="宋体"/>
          <w:color w:val="auto"/>
          <w:sz w:val="24"/>
        </w:rPr>
        <w:t>本保函项下的权利不得转让，不得设定担保。贵方未经我方书面同意转 让本保函或其项下任何权利，</w:t>
      </w:r>
      <w:r>
        <w:rPr>
          <w:rFonts w:hint="eastAsia" w:ascii="宋体" w:hAnsi="宋体"/>
          <w:color w:val="auto"/>
          <w:sz w:val="24"/>
        </w:rPr>
        <w:t>对我方不发生法律效力</w:t>
      </w:r>
      <w:r>
        <w:rPr>
          <w:rFonts w:ascii="宋体" w:hAnsi="宋体"/>
          <w:color w:val="auto"/>
          <w:sz w:val="24"/>
        </w:rPr>
        <w:t xml:space="preserve">。 </w:t>
      </w:r>
    </w:p>
    <w:p w14:paraId="7668268B">
      <w:pPr>
        <w:spacing w:line="360" w:lineRule="auto"/>
        <w:ind w:firstLine="480" w:firstLineChars="200"/>
        <w:rPr>
          <w:rFonts w:hint="eastAsia" w:ascii="宋体" w:hAnsi="宋体"/>
          <w:color w:val="auto"/>
          <w:sz w:val="24"/>
        </w:rPr>
      </w:pPr>
      <w:r>
        <w:rPr>
          <w:rFonts w:hint="eastAsia" w:ascii="宋体" w:hAnsi="宋体"/>
          <w:color w:val="auto"/>
          <w:sz w:val="24"/>
        </w:rPr>
        <w:t>六、与</w:t>
      </w:r>
      <w:r>
        <w:rPr>
          <w:rFonts w:ascii="宋体" w:hAnsi="宋体"/>
          <w:color w:val="auto"/>
          <w:sz w:val="24"/>
        </w:rPr>
        <w:t>本保函</w:t>
      </w:r>
      <w:r>
        <w:rPr>
          <w:rFonts w:hint="eastAsia" w:ascii="宋体" w:hAnsi="宋体"/>
          <w:color w:val="auto"/>
          <w:sz w:val="24"/>
        </w:rPr>
        <w:t>有关</w:t>
      </w:r>
      <w:r>
        <w:rPr>
          <w:rFonts w:ascii="宋体" w:hAnsi="宋体"/>
          <w:color w:val="auto"/>
          <w:sz w:val="24"/>
        </w:rPr>
        <w:t>的基础</w:t>
      </w:r>
      <w:r>
        <w:rPr>
          <w:rFonts w:hint="eastAsia" w:ascii="宋体" w:hAnsi="宋体"/>
          <w:color w:val="auto"/>
          <w:sz w:val="24"/>
        </w:rPr>
        <w:t>合同</w:t>
      </w:r>
      <w:r>
        <w:rPr>
          <w:rFonts w:ascii="宋体" w:hAnsi="宋体"/>
          <w:color w:val="auto"/>
          <w:sz w:val="24"/>
        </w:rPr>
        <w:t xml:space="preserve">不成立、不生效、无效、被撤销、被解除，不影响本保函的独立有效。 </w:t>
      </w:r>
    </w:p>
    <w:p w14:paraId="149B9A16">
      <w:pPr>
        <w:spacing w:line="360" w:lineRule="auto"/>
        <w:ind w:firstLine="480" w:firstLineChars="200"/>
        <w:rPr>
          <w:rFonts w:hint="eastAsia" w:ascii="宋体" w:hAnsi="宋体"/>
          <w:color w:val="auto"/>
          <w:sz w:val="24"/>
        </w:rPr>
      </w:pPr>
      <w:r>
        <w:rPr>
          <w:rFonts w:hint="eastAsia" w:ascii="宋体" w:hAnsi="宋体"/>
          <w:color w:val="auto"/>
          <w:sz w:val="24"/>
        </w:rPr>
        <w:t>七、</w:t>
      </w:r>
      <w:r>
        <w:rPr>
          <w:rFonts w:ascii="宋体" w:hAnsi="宋体"/>
          <w:color w:val="auto"/>
          <w:sz w:val="24"/>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rPr>
        <w:t>有效期</w:t>
      </w:r>
      <w:r>
        <w:rPr>
          <w:rFonts w:ascii="宋体" w:hAnsi="宋体"/>
          <w:color w:val="auto"/>
          <w:sz w:val="24"/>
        </w:rPr>
        <w:t xml:space="preserve">到期后自动消灭。 </w:t>
      </w:r>
    </w:p>
    <w:p w14:paraId="3072ED93">
      <w:pPr>
        <w:spacing w:line="360" w:lineRule="auto"/>
        <w:ind w:firstLine="480" w:firstLineChars="200"/>
        <w:rPr>
          <w:rFonts w:hint="eastAsia" w:ascii="宋体" w:hAnsi="宋体"/>
          <w:color w:val="auto"/>
          <w:sz w:val="24"/>
        </w:rPr>
      </w:pPr>
      <w:r>
        <w:rPr>
          <w:rFonts w:hint="eastAsia" w:ascii="宋体" w:hAnsi="宋体"/>
          <w:color w:val="auto"/>
          <w:sz w:val="24"/>
        </w:rPr>
        <w:t>八、</w:t>
      </w:r>
      <w:r>
        <w:rPr>
          <w:rFonts w:ascii="宋体" w:hAnsi="宋体"/>
          <w:color w:val="auto"/>
          <w:sz w:val="24"/>
        </w:rPr>
        <w:t>本保函</w:t>
      </w:r>
      <w:r>
        <w:rPr>
          <w:rFonts w:hint="eastAsia" w:ascii="宋体" w:hAnsi="宋体"/>
          <w:color w:val="auto"/>
          <w:sz w:val="24"/>
        </w:rPr>
        <w:t>适用的法律为中华人民共和国法律，争议裁判管辖地为中华人民共和国</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p>
    <w:p w14:paraId="4410E0FE">
      <w:pPr>
        <w:spacing w:line="360" w:lineRule="auto"/>
        <w:ind w:firstLine="480" w:firstLineChars="200"/>
        <w:rPr>
          <w:rFonts w:hint="eastAsia" w:ascii="宋体" w:hAnsi="宋体"/>
          <w:color w:val="auto"/>
          <w:sz w:val="24"/>
        </w:rPr>
      </w:pPr>
      <w:r>
        <w:rPr>
          <w:rFonts w:hint="eastAsia" w:ascii="宋体" w:hAnsi="宋体"/>
          <w:color w:val="auto"/>
          <w:sz w:val="24"/>
        </w:rPr>
        <w:t>九、</w:t>
      </w:r>
      <w:r>
        <w:rPr>
          <w:rFonts w:ascii="宋体" w:hAnsi="宋体"/>
          <w:color w:val="auto"/>
          <w:sz w:val="24"/>
        </w:rPr>
        <w:t>本保函自我方法定代表人</w:t>
      </w:r>
      <w:bookmarkStart w:id="1534" w:name="_Hlk58487855"/>
      <w:r>
        <w:rPr>
          <w:rFonts w:hint="eastAsia" w:ascii="宋体" w:hAnsi="宋体"/>
          <w:color w:val="auto"/>
          <w:sz w:val="24"/>
        </w:rPr>
        <w:t>或授权代表</w:t>
      </w:r>
      <w:bookmarkEnd w:id="1534"/>
      <w:r>
        <w:rPr>
          <w:rFonts w:ascii="宋体" w:hAnsi="宋体"/>
          <w:color w:val="auto"/>
          <w:sz w:val="24"/>
        </w:rPr>
        <w:t>签字</w:t>
      </w:r>
      <w:r>
        <w:rPr>
          <w:rFonts w:hint="eastAsia" w:ascii="宋体" w:hAnsi="宋体"/>
          <w:color w:val="auto"/>
          <w:sz w:val="24"/>
        </w:rPr>
        <w:t>并</w:t>
      </w:r>
      <w:r>
        <w:rPr>
          <w:rFonts w:ascii="宋体" w:hAnsi="宋体"/>
          <w:color w:val="auto"/>
          <w:sz w:val="24"/>
        </w:rPr>
        <w:t xml:space="preserve">加盖公章之日起生效。 </w:t>
      </w:r>
    </w:p>
    <w:p w14:paraId="569439C7">
      <w:pPr>
        <w:spacing w:line="360" w:lineRule="auto"/>
        <w:ind w:firstLine="480" w:firstLineChars="200"/>
        <w:rPr>
          <w:rFonts w:hint="eastAsia" w:ascii="宋体" w:hAnsi="宋体"/>
          <w:color w:val="auto"/>
          <w:sz w:val="24"/>
        </w:rPr>
      </w:pPr>
    </w:p>
    <w:p w14:paraId="0F796867">
      <w:pPr>
        <w:spacing w:line="360" w:lineRule="auto"/>
        <w:ind w:firstLine="480" w:firstLineChars="200"/>
        <w:rPr>
          <w:rFonts w:hint="eastAsia" w:ascii="宋体" w:hAnsi="宋体"/>
          <w:color w:val="auto"/>
          <w:sz w:val="24"/>
        </w:rPr>
      </w:pPr>
    </w:p>
    <w:p w14:paraId="3FA6FA7B">
      <w:pPr>
        <w:spacing w:line="360" w:lineRule="auto"/>
        <w:ind w:firstLine="480" w:firstLineChars="200"/>
        <w:rPr>
          <w:rFonts w:hint="eastAsia" w:ascii="宋体" w:hAnsi="宋体"/>
          <w:color w:val="auto"/>
          <w:sz w:val="24"/>
        </w:rPr>
      </w:pPr>
      <w:r>
        <w:rPr>
          <w:rFonts w:hint="eastAsia" w:ascii="宋体" w:hAnsi="宋体"/>
          <w:color w:val="auto"/>
          <w:sz w:val="24"/>
        </w:rPr>
        <w:t>开 立 人</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公</w:t>
      </w:r>
      <w:r>
        <w:rPr>
          <w:rFonts w:ascii="宋体" w:hAnsi="宋体"/>
          <w:color w:val="auto"/>
          <w:sz w:val="24"/>
        </w:rPr>
        <w:t xml:space="preserve">章） </w:t>
      </w:r>
    </w:p>
    <w:p w14:paraId="03E409F8">
      <w:pPr>
        <w:spacing w:line="360" w:lineRule="auto"/>
        <w:ind w:firstLine="480" w:firstLineChars="200"/>
        <w:rPr>
          <w:rFonts w:hint="eastAsia" w:ascii="宋体" w:hAnsi="宋体"/>
          <w:color w:val="auto"/>
          <w:sz w:val="24"/>
        </w:rPr>
      </w:pPr>
      <w:r>
        <w:rPr>
          <w:rFonts w:hint="eastAsia" w:ascii="宋体" w:hAnsi="宋体"/>
          <w:color w:val="auto"/>
          <w:sz w:val="24"/>
        </w:rPr>
        <w:t>法定代表人（或授权代表）：</w:t>
      </w:r>
      <w:r>
        <w:rPr>
          <w:rFonts w:ascii="宋体" w:hAnsi="宋体"/>
          <w:color w:val="auto"/>
          <w:sz w:val="24"/>
        </w:rPr>
        <w:t xml:space="preserve">               （签字） </w:t>
      </w:r>
    </w:p>
    <w:p w14:paraId="5E5F14EE">
      <w:pPr>
        <w:spacing w:line="360" w:lineRule="auto"/>
        <w:ind w:firstLine="480" w:firstLineChars="200"/>
        <w:rPr>
          <w:rFonts w:hint="eastAsia" w:ascii="宋体" w:hAnsi="宋体"/>
          <w:color w:val="auto"/>
          <w:sz w:val="24"/>
        </w:rPr>
      </w:pPr>
      <w:r>
        <w:rPr>
          <w:rFonts w:hint="eastAsia" w:ascii="宋体" w:hAnsi="宋体"/>
          <w:color w:val="auto"/>
          <w:sz w:val="24"/>
        </w:rPr>
        <w:t>地</w:t>
      </w:r>
      <w:r>
        <w:rPr>
          <w:rFonts w:ascii="宋体" w:hAnsi="宋体"/>
          <w:color w:val="auto"/>
          <w:sz w:val="24"/>
        </w:rPr>
        <w:t xml:space="preserve">    址：                                       </w:t>
      </w:r>
    </w:p>
    <w:p w14:paraId="00B2E441">
      <w:pPr>
        <w:spacing w:line="360" w:lineRule="auto"/>
        <w:ind w:firstLine="480" w:firstLineChars="200"/>
        <w:rPr>
          <w:rFonts w:hint="eastAsia" w:ascii="宋体" w:hAnsi="宋体"/>
          <w:color w:val="auto"/>
          <w:sz w:val="24"/>
        </w:rPr>
      </w:pPr>
      <w:r>
        <w:rPr>
          <w:rFonts w:hint="eastAsia" w:ascii="宋体" w:hAnsi="宋体"/>
          <w:color w:val="auto"/>
          <w:sz w:val="24"/>
        </w:rPr>
        <w:t>邮政编码：</w:t>
      </w:r>
      <w:r>
        <w:rPr>
          <w:rFonts w:ascii="宋体" w:hAnsi="宋体"/>
          <w:color w:val="auto"/>
          <w:sz w:val="24"/>
        </w:rPr>
        <w:t xml:space="preserve">                 </w:t>
      </w:r>
    </w:p>
    <w:p w14:paraId="69EB3367">
      <w:pPr>
        <w:spacing w:line="360" w:lineRule="auto"/>
        <w:ind w:firstLine="480" w:firstLineChars="200"/>
        <w:rPr>
          <w:rFonts w:hint="eastAsia" w:ascii="宋体" w:hAnsi="宋体"/>
          <w:color w:val="auto"/>
          <w:sz w:val="24"/>
        </w:rPr>
      </w:pPr>
      <w:r>
        <w:rPr>
          <w:rFonts w:hint="eastAsia" w:ascii="宋体" w:hAnsi="宋体"/>
          <w:color w:val="auto"/>
          <w:sz w:val="24"/>
        </w:rPr>
        <w:t>电</w:t>
      </w:r>
      <w:r>
        <w:rPr>
          <w:rFonts w:ascii="宋体" w:hAnsi="宋体"/>
          <w:color w:val="auto"/>
          <w:sz w:val="24"/>
        </w:rPr>
        <w:t xml:space="preserve">    话：                 </w:t>
      </w:r>
    </w:p>
    <w:p w14:paraId="7F1FF38C">
      <w:pPr>
        <w:spacing w:line="360" w:lineRule="auto"/>
        <w:ind w:firstLine="480" w:firstLineChars="200"/>
        <w:rPr>
          <w:rFonts w:hint="eastAsia" w:ascii="宋体" w:hAnsi="宋体"/>
          <w:color w:val="auto"/>
          <w:sz w:val="24"/>
        </w:rPr>
      </w:pPr>
      <w:r>
        <w:rPr>
          <w:rFonts w:hint="eastAsia" w:ascii="宋体" w:hAnsi="宋体"/>
          <w:color w:val="auto"/>
          <w:sz w:val="24"/>
        </w:rPr>
        <w:t>传</w:t>
      </w:r>
      <w:r>
        <w:rPr>
          <w:rFonts w:ascii="宋体" w:hAnsi="宋体"/>
          <w:color w:val="auto"/>
          <w:sz w:val="24"/>
        </w:rPr>
        <w:t xml:space="preserve">    真：                 </w:t>
      </w:r>
    </w:p>
    <w:p w14:paraId="07CF3434">
      <w:pPr>
        <w:spacing w:line="360" w:lineRule="auto"/>
        <w:ind w:firstLine="480" w:firstLineChars="200"/>
        <w:rPr>
          <w:rFonts w:hint="eastAsia" w:ascii="宋体" w:hAnsi="宋体"/>
          <w:color w:val="auto"/>
          <w:sz w:val="24"/>
        </w:rPr>
      </w:pPr>
      <w:r>
        <w:rPr>
          <w:rFonts w:hint="eastAsia" w:ascii="宋体" w:hAnsi="宋体"/>
          <w:color w:val="auto"/>
          <w:sz w:val="24"/>
        </w:rPr>
        <w:t>开立时间：</w:t>
      </w:r>
      <w:r>
        <w:rPr>
          <w:rFonts w:ascii="宋体" w:hAnsi="宋体"/>
          <w:color w:val="auto"/>
          <w:sz w:val="24"/>
        </w:rPr>
        <w:t xml:space="preserve">      年      月        日</w:t>
      </w:r>
    </w:p>
    <w:p w14:paraId="33126990">
      <w:pPr>
        <w:spacing w:line="360" w:lineRule="auto"/>
        <w:ind w:firstLine="480" w:firstLineChars="200"/>
        <w:rPr>
          <w:rFonts w:hint="eastAsia" w:ascii="宋体" w:hAnsi="宋体"/>
          <w:color w:val="auto"/>
          <w:sz w:val="24"/>
        </w:rPr>
      </w:pPr>
    </w:p>
    <w:p w14:paraId="64687567">
      <w:pPr>
        <w:spacing w:line="360" w:lineRule="auto"/>
        <w:jc w:val="left"/>
        <w:rPr>
          <w:rFonts w:hint="eastAsia" w:ascii="黑体" w:hAnsi="黑体" w:eastAsia="黑体" w:cs="黑体"/>
          <w:b/>
          <w:bCs/>
          <w:color w:val="auto"/>
          <w:sz w:val="32"/>
          <w:szCs w:val="32"/>
        </w:rPr>
      </w:pPr>
    </w:p>
    <w:p w14:paraId="166CE42F">
      <w:pPr>
        <w:spacing w:line="360" w:lineRule="auto"/>
        <w:jc w:val="center"/>
        <w:rPr>
          <w:rFonts w:hint="eastAsia" w:ascii="宋体" w:hAnsi="宋体"/>
          <w:b/>
          <w:bCs/>
          <w:color w:val="auto"/>
          <w:sz w:val="32"/>
          <w:szCs w:val="32"/>
        </w:rPr>
      </w:pPr>
    </w:p>
    <w:p w14:paraId="6A7AAAE6">
      <w:pPr>
        <w:spacing w:line="360" w:lineRule="auto"/>
        <w:jc w:val="center"/>
        <w:rPr>
          <w:rFonts w:hint="eastAsia" w:ascii="宋体" w:hAnsi="宋体"/>
          <w:b/>
          <w:bCs/>
          <w:color w:val="auto"/>
          <w:sz w:val="32"/>
          <w:szCs w:val="32"/>
        </w:rPr>
      </w:pPr>
      <w:r>
        <w:rPr>
          <w:rFonts w:hint="eastAsia" w:ascii="宋体" w:hAnsi="宋体"/>
          <w:b/>
          <w:bCs/>
          <w:color w:val="auto"/>
          <w:sz w:val="32"/>
          <w:szCs w:val="32"/>
        </w:rPr>
        <w:t>支付保函示范文本</w:t>
      </w:r>
    </w:p>
    <w:p w14:paraId="7EFB32DC">
      <w:pPr>
        <w:spacing w:line="360" w:lineRule="auto"/>
        <w:jc w:val="center"/>
        <w:rPr>
          <w:rFonts w:hint="eastAsia" w:ascii="宋体" w:hAnsi="宋体"/>
          <w:b/>
          <w:bCs/>
          <w:color w:val="auto"/>
          <w:sz w:val="32"/>
          <w:szCs w:val="32"/>
        </w:rPr>
      </w:pPr>
      <w:r>
        <w:rPr>
          <w:rFonts w:hint="eastAsia" w:ascii="宋体" w:hAnsi="宋体"/>
          <w:b/>
          <w:bCs/>
          <w:color w:val="auto"/>
          <w:sz w:val="32"/>
          <w:szCs w:val="32"/>
        </w:rPr>
        <w:t>（非独立保函）</w:t>
      </w:r>
    </w:p>
    <w:p w14:paraId="05DB250D">
      <w:pPr>
        <w:wordWrap w:val="0"/>
        <w:spacing w:line="360" w:lineRule="auto"/>
        <w:jc w:val="right"/>
        <w:rPr>
          <w:rFonts w:hint="eastAsia" w:ascii="宋体" w:hAnsi="宋体"/>
          <w:color w:val="auto"/>
        </w:rPr>
      </w:pPr>
      <w:r>
        <w:rPr>
          <w:rFonts w:hint="eastAsia" w:ascii="宋体" w:hAnsi="宋体"/>
          <w:color w:val="auto"/>
        </w:rPr>
        <w:t xml:space="preserve">编号： </w:t>
      </w:r>
      <w:r>
        <w:rPr>
          <w:rFonts w:ascii="宋体" w:hAnsi="宋体"/>
          <w:color w:val="auto"/>
        </w:rPr>
        <w:t xml:space="preserve">     </w:t>
      </w:r>
    </w:p>
    <w:p w14:paraId="43291267">
      <w:pPr>
        <w:wordWrap w:val="0"/>
        <w:spacing w:line="360" w:lineRule="auto"/>
        <w:jc w:val="right"/>
        <w:rPr>
          <w:rFonts w:hint="eastAsia" w:ascii="宋体" w:hAnsi="宋体"/>
          <w:color w:val="auto"/>
        </w:rPr>
      </w:pPr>
      <w:r>
        <w:rPr>
          <w:rFonts w:ascii="宋体" w:hAnsi="宋体"/>
          <w:color w:val="auto"/>
        </w:rPr>
        <w:t xml:space="preserve">     </w:t>
      </w:r>
    </w:p>
    <w:p w14:paraId="19B3D97B">
      <w:pPr>
        <w:spacing w:line="360" w:lineRule="auto"/>
        <w:rPr>
          <w:rFonts w:hint="eastAsia" w:ascii="宋体" w:hAnsi="宋体"/>
          <w:color w:val="auto"/>
          <w:sz w:val="24"/>
        </w:rPr>
      </w:pPr>
      <w:r>
        <w:rPr>
          <w:rFonts w:hint="eastAsia" w:ascii="宋体" w:hAnsi="宋体"/>
          <w:color w:val="auto"/>
          <w:sz w:val="24"/>
        </w:rPr>
        <w:t>发包人：</w:t>
      </w:r>
    </w:p>
    <w:p w14:paraId="23AAF1EB">
      <w:pPr>
        <w:spacing w:line="360" w:lineRule="auto"/>
        <w:rPr>
          <w:rFonts w:hint="eastAsia" w:ascii="宋体" w:hAnsi="宋体"/>
          <w:color w:val="auto"/>
          <w:sz w:val="24"/>
        </w:rPr>
      </w:pPr>
      <w:r>
        <w:rPr>
          <w:rFonts w:hint="eastAsia" w:ascii="宋体" w:hAnsi="宋体"/>
          <w:color w:val="auto"/>
          <w:sz w:val="24"/>
        </w:rPr>
        <w:t>地址</w:t>
      </w:r>
      <w:r>
        <w:rPr>
          <w:rFonts w:ascii="宋体" w:hAnsi="宋体"/>
          <w:color w:val="auto"/>
          <w:sz w:val="24"/>
        </w:rPr>
        <w:t>：</w:t>
      </w:r>
    </w:p>
    <w:p w14:paraId="700F7A9E">
      <w:pPr>
        <w:spacing w:line="360" w:lineRule="auto"/>
        <w:rPr>
          <w:rFonts w:hint="eastAsia" w:ascii="宋体" w:hAnsi="宋体"/>
          <w:color w:val="auto"/>
          <w:sz w:val="24"/>
        </w:rPr>
      </w:pPr>
      <w:r>
        <w:rPr>
          <w:rFonts w:hint="eastAsia" w:ascii="宋体" w:hAnsi="宋体"/>
          <w:color w:val="auto"/>
          <w:sz w:val="24"/>
        </w:rPr>
        <w:t>担保权人/承包人：</w:t>
      </w:r>
      <w:r>
        <w:rPr>
          <w:rFonts w:ascii="宋体" w:hAnsi="宋体"/>
          <w:color w:val="auto"/>
          <w:sz w:val="24"/>
        </w:rPr>
        <w:t xml:space="preserve"> </w:t>
      </w:r>
    </w:p>
    <w:p w14:paraId="1CDFECB9">
      <w:pPr>
        <w:spacing w:line="360" w:lineRule="auto"/>
        <w:rPr>
          <w:rFonts w:hint="eastAsia" w:ascii="宋体" w:hAnsi="宋体"/>
          <w:color w:val="auto"/>
          <w:sz w:val="24"/>
        </w:rPr>
      </w:pPr>
      <w:r>
        <w:rPr>
          <w:rFonts w:hint="eastAsia" w:ascii="宋体" w:hAnsi="宋体"/>
          <w:color w:val="auto"/>
          <w:sz w:val="24"/>
        </w:rPr>
        <w:t>地址：</w:t>
      </w:r>
    </w:p>
    <w:p w14:paraId="55892948">
      <w:pPr>
        <w:spacing w:line="360" w:lineRule="auto"/>
        <w:rPr>
          <w:rFonts w:hint="eastAsia" w:ascii="宋体" w:hAnsi="宋体"/>
          <w:color w:val="auto"/>
          <w:sz w:val="24"/>
        </w:rPr>
      </w:pPr>
      <w:r>
        <w:rPr>
          <w:rFonts w:hint="eastAsia" w:ascii="宋体" w:hAnsi="宋体"/>
          <w:color w:val="auto"/>
          <w:sz w:val="24"/>
        </w:rPr>
        <w:t>保证人：</w:t>
      </w:r>
    </w:p>
    <w:p w14:paraId="0A019237">
      <w:pPr>
        <w:spacing w:line="360" w:lineRule="auto"/>
        <w:rPr>
          <w:rFonts w:hint="eastAsia" w:ascii="宋体" w:hAnsi="宋体"/>
          <w:color w:val="auto"/>
          <w:sz w:val="24"/>
        </w:rPr>
      </w:pPr>
      <w:r>
        <w:rPr>
          <w:rFonts w:hint="eastAsia" w:ascii="宋体" w:hAnsi="宋体"/>
          <w:color w:val="auto"/>
          <w:sz w:val="24"/>
        </w:rPr>
        <w:t>地址：</w:t>
      </w:r>
    </w:p>
    <w:p w14:paraId="79530066">
      <w:pPr>
        <w:spacing w:line="360" w:lineRule="auto"/>
        <w:rPr>
          <w:rFonts w:hint="eastAsia" w:ascii="宋体" w:hAnsi="宋体"/>
          <w:color w:val="auto"/>
          <w:sz w:val="24"/>
        </w:rPr>
      </w:pPr>
    </w:p>
    <w:p w14:paraId="004340A5">
      <w:pPr>
        <w:spacing w:line="360" w:lineRule="auto"/>
        <w:rPr>
          <w:rFonts w:hint="eastAsia" w:ascii="宋体" w:hAnsi="宋体"/>
          <w:color w:val="auto"/>
          <w:sz w:val="24"/>
        </w:rPr>
      </w:pP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承包人</w:t>
      </w:r>
      <w:r>
        <w:rPr>
          <w:rFonts w:ascii="宋体" w:hAnsi="宋体"/>
          <w:color w:val="auto"/>
          <w:sz w:val="24"/>
        </w:rPr>
        <w:t xml:space="preserve">名称）： </w:t>
      </w:r>
    </w:p>
    <w:p w14:paraId="2F13A986">
      <w:pPr>
        <w:spacing w:line="360" w:lineRule="auto"/>
        <w:ind w:firstLine="480" w:firstLineChars="200"/>
        <w:rPr>
          <w:rFonts w:hint="eastAsia" w:ascii="宋体" w:hAnsi="宋体"/>
          <w:color w:val="auto"/>
          <w:sz w:val="24"/>
        </w:rPr>
      </w:pPr>
      <w:r>
        <w:rPr>
          <w:rFonts w:hint="eastAsia" w:ascii="宋体" w:hAnsi="宋体"/>
          <w:color w:val="auto"/>
          <w:sz w:val="24"/>
        </w:rPr>
        <w:t>鉴于</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发包人</w:t>
      </w:r>
      <w:r>
        <w:rPr>
          <w:rFonts w:ascii="宋体" w:hAnsi="宋体"/>
          <w:color w:val="auto"/>
          <w:sz w:val="24"/>
        </w:rPr>
        <w:t>”）</w:t>
      </w:r>
      <w:r>
        <w:rPr>
          <w:rFonts w:hint="eastAsia" w:ascii="宋体" w:hAnsi="宋体"/>
          <w:color w:val="auto"/>
          <w:sz w:val="24"/>
        </w:rPr>
        <w:t>与</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承包人</w:t>
      </w:r>
      <w:r>
        <w:rPr>
          <w:rFonts w:ascii="宋体" w:hAnsi="宋体"/>
          <w:color w:val="auto"/>
          <w:sz w:val="24"/>
        </w:rPr>
        <w:t>”）</w:t>
      </w:r>
      <w:r>
        <w:rPr>
          <w:rFonts w:hint="eastAsia" w:ascii="宋体" w:hAnsi="宋体"/>
          <w:color w:val="auto"/>
          <w:sz w:val="24"/>
        </w:rPr>
        <w:t>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工程（以下简称“本工程”）施工和有关事项协商一致共同签订</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w:t>
      </w:r>
      <w:r>
        <w:rPr>
          <w:rFonts w:hint="eastAsia" w:ascii="宋体" w:hAnsi="宋体"/>
          <w:color w:val="auto"/>
          <w:sz w:val="24"/>
        </w:rPr>
        <w:t>（以下简称“主合同”），我方即保证人基于发包人</w:t>
      </w:r>
      <w:r>
        <w:rPr>
          <w:rFonts w:ascii="宋体" w:hAnsi="宋体"/>
          <w:color w:val="auto"/>
          <w:sz w:val="24"/>
        </w:rPr>
        <w:t>的请求，同意就</w:t>
      </w:r>
      <w:r>
        <w:rPr>
          <w:rFonts w:hint="eastAsia" w:ascii="宋体" w:hAnsi="宋体"/>
          <w:color w:val="auto"/>
          <w:sz w:val="24"/>
        </w:rPr>
        <w:t>发包人</w:t>
      </w:r>
      <w:r>
        <w:rPr>
          <w:rFonts w:ascii="宋体" w:hAnsi="宋体"/>
          <w:color w:val="auto"/>
          <w:sz w:val="24"/>
        </w:rPr>
        <w:t>履行</w:t>
      </w:r>
      <w:r>
        <w:rPr>
          <w:rFonts w:hint="eastAsia" w:ascii="宋体" w:hAnsi="宋体"/>
          <w:color w:val="auto"/>
          <w:sz w:val="24"/>
        </w:rPr>
        <w:t>与贵方签订的主合同</w:t>
      </w:r>
      <w:r>
        <w:rPr>
          <w:rFonts w:ascii="宋体" w:hAnsi="宋体"/>
          <w:color w:val="auto"/>
          <w:sz w:val="24"/>
        </w:rPr>
        <w:t>项下的</w:t>
      </w:r>
      <w:r>
        <w:rPr>
          <w:rFonts w:hint="eastAsia" w:ascii="宋体" w:hAnsi="宋体"/>
          <w:color w:val="auto"/>
          <w:sz w:val="24"/>
        </w:rPr>
        <w:t>工程款（指主合同约定的除工程质量保修金以外的全部工程结算款项）付款</w:t>
      </w:r>
      <w:r>
        <w:rPr>
          <w:rFonts w:ascii="宋体" w:hAnsi="宋体"/>
          <w:color w:val="auto"/>
          <w:sz w:val="24"/>
        </w:rPr>
        <w:t>义务</w:t>
      </w:r>
      <w:r>
        <w:rPr>
          <w:rFonts w:hint="eastAsia" w:ascii="宋体" w:hAnsi="宋体"/>
          <w:color w:val="auto"/>
          <w:sz w:val="24"/>
        </w:rPr>
        <w:t>，</w:t>
      </w:r>
      <w:r>
        <w:rPr>
          <w:rFonts w:ascii="宋体" w:hAnsi="宋体"/>
          <w:color w:val="auto"/>
          <w:sz w:val="24"/>
        </w:rPr>
        <w:t>向贵方提供</w:t>
      </w:r>
      <w:r>
        <w:rPr>
          <w:rFonts w:hint="eastAsia" w:ascii="宋体" w:hAnsi="宋体"/>
          <w:color w:val="auto"/>
          <w:sz w:val="24"/>
        </w:rPr>
        <w:t>如下保证担保（以下简称“本保证担保”）</w:t>
      </w:r>
      <w:r>
        <w:rPr>
          <w:rFonts w:ascii="宋体" w:hAnsi="宋体"/>
          <w:color w:val="auto"/>
          <w:sz w:val="24"/>
        </w:rPr>
        <w:t xml:space="preserve">。 </w:t>
      </w:r>
    </w:p>
    <w:p w14:paraId="205B3A46">
      <w:pPr>
        <w:spacing w:line="360" w:lineRule="auto"/>
        <w:ind w:firstLine="482" w:firstLineChars="200"/>
        <w:rPr>
          <w:rFonts w:hint="eastAsia" w:ascii="宋体" w:hAnsi="宋体"/>
          <w:b/>
          <w:bCs/>
          <w:color w:val="auto"/>
          <w:sz w:val="24"/>
        </w:rPr>
      </w:pPr>
      <w:r>
        <w:rPr>
          <w:rFonts w:hint="eastAsia" w:ascii="宋体" w:hAnsi="宋体"/>
          <w:b/>
          <w:bCs/>
          <w:color w:val="auto"/>
          <w:sz w:val="24"/>
        </w:rPr>
        <w:t>一、保证担保的范围及保证担保金额</w:t>
      </w:r>
    </w:p>
    <w:p w14:paraId="66D740F5">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保证担保范围：申请人未履行主合同约定的工程款支付义务，应当向贵方承担的违约责任和赔偿因此造成的损失、利息、律师费、诉讼费用等实现债权的费用。</w:t>
      </w:r>
    </w:p>
    <w:p w14:paraId="6AE3D350">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保证担保金额最高不超过</w:t>
      </w:r>
      <w:r>
        <w:rPr>
          <w:rFonts w:ascii="宋体" w:hAnsi="宋体"/>
          <w:color w:val="auto"/>
          <w:sz w:val="24"/>
        </w:rPr>
        <w:t>人民币（大写）</w:t>
      </w:r>
      <w:r>
        <w:rPr>
          <w:rFonts w:ascii="宋体" w:hAnsi="宋体"/>
          <w:color w:val="auto"/>
          <w:sz w:val="24"/>
          <w:u w:val="single"/>
        </w:rPr>
        <w:t xml:space="preserve">          </w:t>
      </w:r>
      <w:r>
        <w:rPr>
          <w:rFonts w:ascii="宋体" w:hAnsi="宋体"/>
          <w:color w:val="auto"/>
          <w:sz w:val="24"/>
        </w:rPr>
        <w:t>元（¥</w:t>
      </w:r>
      <w:r>
        <w:rPr>
          <w:rFonts w:ascii="宋体" w:hAnsi="宋体"/>
          <w:color w:val="auto"/>
          <w:sz w:val="24"/>
          <w:u w:val="single"/>
        </w:rPr>
        <w:t xml:space="preserve">       </w:t>
      </w:r>
      <w:r>
        <w:rPr>
          <w:rFonts w:ascii="宋体" w:hAnsi="宋体"/>
          <w:color w:val="auto"/>
          <w:sz w:val="24"/>
        </w:rPr>
        <w:t xml:space="preserve">）。 </w:t>
      </w:r>
    </w:p>
    <w:p w14:paraId="412E9BE0">
      <w:pPr>
        <w:spacing w:line="360" w:lineRule="auto"/>
        <w:ind w:firstLine="482" w:firstLineChars="200"/>
        <w:rPr>
          <w:rFonts w:hint="eastAsia" w:ascii="宋体" w:hAnsi="宋体"/>
          <w:b/>
          <w:bCs/>
          <w:color w:val="auto"/>
          <w:sz w:val="24"/>
        </w:rPr>
      </w:pPr>
      <w:r>
        <w:rPr>
          <w:rFonts w:hint="eastAsia" w:ascii="宋体" w:hAnsi="宋体"/>
          <w:b/>
          <w:bCs/>
          <w:color w:val="auto"/>
          <w:sz w:val="24"/>
        </w:rPr>
        <w:t>二、保证担保的方式及保证期间</w:t>
      </w:r>
      <w:r>
        <w:rPr>
          <w:rFonts w:ascii="宋体" w:hAnsi="宋体"/>
          <w:b/>
          <w:bCs/>
          <w:color w:val="auto"/>
          <w:sz w:val="24"/>
        </w:rPr>
        <w:t xml:space="preserve"> </w:t>
      </w:r>
    </w:p>
    <w:p w14:paraId="341EA4EF">
      <w:pPr>
        <w:spacing w:line="360" w:lineRule="auto"/>
        <w:ind w:firstLine="480" w:firstLineChars="200"/>
        <w:rPr>
          <w:rFonts w:hint="eastAsia" w:ascii="宋体" w:hAnsi="宋体"/>
          <w:color w:val="auto"/>
          <w:sz w:val="24"/>
        </w:rPr>
      </w:pPr>
      <w:r>
        <w:rPr>
          <w:rFonts w:hint="eastAsia" w:ascii="宋体" w:hAnsi="宋体"/>
          <w:color w:val="auto"/>
          <w:sz w:val="24"/>
        </w:rPr>
        <w:t>1.保证担保方式：连带责任保证。</w:t>
      </w:r>
    </w:p>
    <w:p w14:paraId="16AA4662">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保证期间：</w:t>
      </w:r>
      <w:r>
        <w:rPr>
          <w:rFonts w:ascii="宋体" w:hAnsi="宋体"/>
          <w:color w:val="auto"/>
          <w:sz w:val="24"/>
        </w:rPr>
        <w:t>自</w:t>
      </w:r>
      <w:r>
        <w:rPr>
          <w:rFonts w:hint="eastAsia" w:ascii="宋体" w:hAnsi="宋体"/>
          <w:color w:val="auto"/>
          <w:sz w:val="24"/>
        </w:rPr>
        <w:t>出具之日起</w:t>
      </w:r>
      <w:r>
        <w:rPr>
          <w:rFonts w:ascii="宋体" w:hAnsi="宋体"/>
          <w:color w:val="auto"/>
          <w:sz w:val="24"/>
        </w:rPr>
        <w:t>至</w:t>
      </w:r>
      <w:r>
        <w:rPr>
          <w:rFonts w:hint="eastAsia" w:ascii="宋体" w:hAnsi="宋体"/>
          <w:color w:val="auto"/>
          <w:sz w:val="24"/>
        </w:rPr>
        <w:t>主合同约定的除工程质量保修金以外的工程款支付之日后</w:t>
      </w:r>
      <w:r>
        <w:rPr>
          <w:rFonts w:ascii="宋体" w:hAnsi="宋体"/>
          <w:color w:val="auto"/>
          <w:sz w:val="24"/>
          <w:u w:val="single"/>
        </w:rPr>
        <w:t xml:space="preserve">   </w:t>
      </w:r>
      <w:r>
        <w:rPr>
          <w:rFonts w:ascii="宋体" w:hAnsi="宋体"/>
          <w:color w:val="auto"/>
          <w:sz w:val="24"/>
        </w:rPr>
        <w:t>日</w:t>
      </w:r>
      <w:r>
        <w:rPr>
          <w:rFonts w:hint="eastAsia" w:ascii="宋体" w:hAnsi="宋体"/>
          <w:color w:val="auto"/>
          <w:sz w:val="24"/>
        </w:rPr>
        <w:t>止，最迟不超过</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r>
        <w:rPr>
          <w:rFonts w:ascii="宋体" w:hAnsi="宋体"/>
          <w:color w:val="auto"/>
          <w:sz w:val="24"/>
        </w:rPr>
        <w:t xml:space="preserve">。 </w:t>
      </w:r>
    </w:p>
    <w:p w14:paraId="1D5AE41D">
      <w:pPr>
        <w:spacing w:line="360" w:lineRule="auto"/>
        <w:ind w:firstLine="482" w:firstLineChars="200"/>
        <w:rPr>
          <w:rFonts w:hint="eastAsia" w:ascii="宋体" w:hAnsi="宋体"/>
          <w:b/>
          <w:bCs/>
          <w:color w:val="auto"/>
          <w:sz w:val="24"/>
        </w:rPr>
      </w:pPr>
      <w:r>
        <w:rPr>
          <w:rFonts w:hint="eastAsia" w:ascii="宋体" w:hAnsi="宋体"/>
          <w:b/>
          <w:bCs/>
          <w:color w:val="auto"/>
          <w:sz w:val="24"/>
        </w:rPr>
        <w:t>三、承担保证担保责任的形式</w:t>
      </w:r>
    </w:p>
    <w:p w14:paraId="42EDDD17">
      <w:pPr>
        <w:spacing w:line="360" w:lineRule="auto"/>
        <w:ind w:firstLine="480" w:firstLineChars="200"/>
        <w:rPr>
          <w:rFonts w:hint="eastAsia" w:ascii="宋体" w:hAnsi="宋体"/>
          <w:color w:val="auto"/>
          <w:sz w:val="24"/>
        </w:rPr>
      </w:pPr>
      <w:r>
        <w:rPr>
          <w:rFonts w:hint="eastAsia" w:ascii="宋体" w:hAnsi="宋体"/>
          <w:color w:val="auto"/>
          <w:sz w:val="24"/>
        </w:rPr>
        <w:t>发包人未按合同约定向贵方支付主合同项下工程款的，由我方在保证金额内代为支付，并赔偿因此给贵方造成的损失，以及利息和律师费、诉讼费用等实现债权的费用。</w:t>
      </w:r>
    </w:p>
    <w:p w14:paraId="3A4789CE">
      <w:pPr>
        <w:spacing w:line="360" w:lineRule="auto"/>
        <w:ind w:firstLine="482" w:firstLineChars="200"/>
        <w:rPr>
          <w:rFonts w:hint="eastAsia" w:ascii="宋体" w:hAnsi="宋体"/>
          <w:b/>
          <w:bCs/>
          <w:color w:val="auto"/>
          <w:sz w:val="24"/>
        </w:rPr>
      </w:pPr>
      <w:r>
        <w:rPr>
          <w:rFonts w:hint="eastAsia" w:ascii="宋体" w:hAnsi="宋体"/>
          <w:b/>
          <w:bCs/>
          <w:color w:val="auto"/>
          <w:sz w:val="24"/>
        </w:rPr>
        <w:t>四、代偿的安排</w:t>
      </w:r>
      <w:r>
        <w:rPr>
          <w:rFonts w:ascii="宋体" w:hAnsi="宋体"/>
          <w:b/>
          <w:bCs/>
          <w:color w:val="auto"/>
          <w:sz w:val="24"/>
        </w:rPr>
        <w:t xml:space="preserve"> </w:t>
      </w:r>
    </w:p>
    <w:p w14:paraId="657E847E">
      <w:pPr>
        <w:spacing w:line="360" w:lineRule="auto"/>
        <w:ind w:firstLine="480" w:firstLineChars="200"/>
        <w:rPr>
          <w:rFonts w:hint="eastAsia" w:ascii="宋体" w:hAnsi="宋体"/>
          <w:color w:val="auto"/>
          <w:sz w:val="24"/>
        </w:rPr>
      </w:pPr>
      <w:r>
        <w:rPr>
          <w:rFonts w:hint="eastAsia" w:ascii="宋体" w:hAnsi="宋体"/>
          <w:color w:val="auto"/>
          <w:sz w:val="24"/>
        </w:rPr>
        <w:t>1.贵方要求我方承担保证责任的，应向我方发出书面索赔通知及发包人未支付主合同约定工程款的证明材料。索赔通知应写明要求索赔的金额，支付款项应到达的账号。</w:t>
      </w:r>
    </w:p>
    <w:p w14:paraId="41ADBBC0">
      <w:pPr>
        <w:spacing w:line="360" w:lineRule="auto"/>
        <w:ind w:firstLine="480" w:firstLineChars="200"/>
        <w:rPr>
          <w:rFonts w:hint="eastAsia" w:ascii="宋体" w:hAnsi="宋体"/>
          <w:color w:val="auto"/>
          <w:sz w:val="24"/>
        </w:rPr>
      </w:pPr>
      <w:r>
        <w:rPr>
          <w:rFonts w:hint="eastAsia" w:ascii="宋体" w:hAnsi="宋体"/>
          <w:color w:val="auto"/>
          <w:sz w:val="24"/>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410896C2">
      <w:pPr>
        <w:spacing w:line="360" w:lineRule="auto"/>
        <w:ind w:firstLine="480" w:firstLineChars="200"/>
        <w:rPr>
          <w:rFonts w:hint="eastAsia" w:ascii="宋体" w:hAnsi="宋体"/>
          <w:color w:val="auto"/>
          <w:sz w:val="24"/>
        </w:rPr>
      </w:pPr>
      <w:r>
        <w:rPr>
          <w:rFonts w:hint="eastAsia" w:ascii="宋体" w:hAnsi="宋体"/>
          <w:color w:val="auto"/>
          <w:sz w:val="24"/>
        </w:rPr>
        <w:t>3.我方收到贵方的书面索赔通知及相应证明材料后，在</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工作日内进行核定后按照本保函的承诺承担保证责任。</w:t>
      </w:r>
    </w:p>
    <w:p w14:paraId="018C5A6F">
      <w:pPr>
        <w:spacing w:line="360" w:lineRule="auto"/>
        <w:ind w:firstLine="482" w:firstLineChars="200"/>
        <w:rPr>
          <w:rFonts w:hint="eastAsia" w:ascii="宋体" w:hAnsi="宋体"/>
          <w:b/>
          <w:bCs/>
          <w:color w:val="auto"/>
          <w:sz w:val="24"/>
        </w:rPr>
      </w:pPr>
      <w:r>
        <w:rPr>
          <w:rFonts w:hint="eastAsia" w:ascii="宋体" w:hAnsi="宋体"/>
          <w:b/>
          <w:bCs/>
          <w:color w:val="auto"/>
          <w:sz w:val="24"/>
        </w:rPr>
        <w:t>五、保证担保责任的解除</w:t>
      </w:r>
      <w:r>
        <w:rPr>
          <w:rFonts w:ascii="宋体" w:hAnsi="宋体"/>
          <w:b/>
          <w:bCs/>
          <w:color w:val="auto"/>
          <w:sz w:val="24"/>
        </w:rPr>
        <w:t xml:space="preserve"> </w:t>
      </w:r>
    </w:p>
    <w:p w14:paraId="00761285">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 xml:space="preserve">保证期间届满贵方未向我方书面主张保证责任的，自保证期间届满次日起，我方解除保证责任。 </w:t>
      </w:r>
    </w:p>
    <w:p w14:paraId="4CB122A7">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我方按照本</w:t>
      </w:r>
      <w:r>
        <w:rPr>
          <w:rFonts w:hint="eastAsia" w:ascii="宋体" w:hAnsi="宋体"/>
          <w:color w:val="auto"/>
          <w:sz w:val="24"/>
        </w:rPr>
        <w:t>保证担保</w:t>
      </w:r>
      <w:r>
        <w:rPr>
          <w:rFonts w:ascii="宋体" w:hAnsi="宋体"/>
          <w:color w:val="auto"/>
          <w:sz w:val="24"/>
        </w:rPr>
        <w:t>向贵方履行了</w:t>
      </w:r>
      <w:r>
        <w:rPr>
          <w:rFonts w:hint="eastAsia" w:ascii="宋体" w:hAnsi="宋体"/>
          <w:color w:val="auto"/>
          <w:sz w:val="24"/>
        </w:rPr>
        <w:t>保证担保责任</w:t>
      </w:r>
      <w:r>
        <w:rPr>
          <w:rFonts w:ascii="宋体" w:hAnsi="宋体"/>
          <w:color w:val="auto"/>
          <w:sz w:val="24"/>
        </w:rPr>
        <w:t>后，自我方向贵方支付</w:t>
      </w:r>
      <w:r>
        <w:rPr>
          <w:rFonts w:hint="eastAsia" w:ascii="宋体" w:hAnsi="宋体"/>
          <w:color w:val="auto"/>
          <w:sz w:val="24"/>
        </w:rPr>
        <w:t>的金额达到最高保证担保金额</w:t>
      </w:r>
      <w:r>
        <w:rPr>
          <w:rFonts w:ascii="宋体" w:hAnsi="宋体"/>
          <w:color w:val="auto"/>
          <w:sz w:val="24"/>
        </w:rPr>
        <w:t>之日起，</w:t>
      </w:r>
      <w:r>
        <w:rPr>
          <w:rFonts w:hint="eastAsia" w:ascii="宋体" w:hAnsi="宋体"/>
          <w:color w:val="auto"/>
          <w:sz w:val="24"/>
        </w:rPr>
        <w:t>保证担保责任</w:t>
      </w:r>
      <w:r>
        <w:rPr>
          <w:rFonts w:ascii="宋体" w:hAnsi="宋体"/>
          <w:color w:val="auto"/>
          <w:sz w:val="24"/>
        </w:rPr>
        <w:t xml:space="preserve">解除。 </w:t>
      </w:r>
    </w:p>
    <w:p w14:paraId="428B37B2">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按照法律法规的规定应解除我方保证</w:t>
      </w:r>
      <w:r>
        <w:rPr>
          <w:rFonts w:hint="eastAsia" w:ascii="宋体" w:hAnsi="宋体"/>
          <w:color w:val="auto"/>
          <w:sz w:val="24"/>
        </w:rPr>
        <w:t>担保</w:t>
      </w:r>
      <w:r>
        <w:rPr>
          <w:rFonts w:ascii="宋体" w:hAnsi="宋体"/>
          <w:color w:val="auto"/>
          <w:sz w:val="24"/>
        </w:rPr>
        <w:t>责任的其它情形的，我方在本保证担保项下的保证</w:t>
      </w:r>
      <w:r>
        <w:rPr>
          <w:rFonts w:hint="eastAsia" w:ascii="宋体" w:hAnsi="宋体"/>
          <w:color w:val="auto"/>
          <w:sz w:val="24"/>
        </w:rPr>
        <w:t>担保</w:t>
      </w:r>
      <w:r>
        <w:rPr>
          <w:rFonts w:ascii="宋体" w:hAnsi="宋体"/>
          <w:color w:val="auto"/>
          <w:sz w:val="24"/>
        </w:rPr>
        <w:t xml:space="preserve">责任亦解除。 </w:t>
      </w:r>
    </w:p>
    <w:p w14:paraId="71E47CC8">
      <w:pPr>
        <w:spacing w:line="360" w:lineRule="auto"/>
        <w:ind w:firstLine="480" w:firstLineChars="200"/>
        <w:rPr>
          <w:rFonts w:hint="eastAsia" w:ascii="宋体" w:hAnsi="宋体"/>
          <w:color w:val="auto"/>
          <w:sz w:val="24"/>
        </w:rPr>
      </w:pPr>
      <w:r>
        <w:rPr>
          <w:rFonts w:hint="eastAsia" w:ascii="宋体" w:hAnsi="宋体"/>
          <w:color w:val="auto"/>
          <w:sz w:val="24"/>
        </w:rPr>
        <w:t>4.我方解除保证责任后，贵方应按上述约定，自我方保证担保责任解除之日起七</w:t>
      </w:r>
      <w:r>
        <w:rPr>
          <w:rFonts w:ascii="宋体" w:hAnsi="宋体"/>
          <w:color w:val="auto"/>
          <w:sz w:val="24"/>
        </w:rPr>
        <w:t>日内，将本保证担保原件返还我方。但是不论贵方是否按此要求将本保证担保</w:t>
      </w:r>
      <w:r>
        <w:rPr>
          <w:rFonts w:hint="eastAsia" w:ascii="宋体" w:hAnsi="宋体"/>
          <w:color w:val="auto"/>
          <w:sz w:val="24"/>
        </w:rPr>
        <w:t>原件</w:t>
      </w:r>
      <w:r>
        <w:rPr>
          <w:rFonts w:ascii="宋体" w:hAnsi="宋体"/>
          <w:color w:val="auto"/>
          <w:sz w:val="24"/>
        </w:rPr>
        <w:t>退回我方，我方在本保证担保项下的义务和责任均</w:t>
      </w:r>
      <w:r>
        <w:rPr>
          <w:rFonts w:hint="eastAsia" w:ascii="宋体" w:hAnsi="宋体"/>
          <w:color w:val="auto"/>
          <w:sz w:val="24"/>
        </w:rPr>
        <w:t>自保证担保责任解除之日</w:t>
      </w:r>
      <w:r>
        <w:rPr>
          <w:rFonts w:ascii="宋体" w:hAnsi="宋体"/>
          <w:color w:val="auto"/>
          <w:sz w:val="24"/>
        </w:rPr>
        <w:t>自动消灭。</w:t>
      </w:r>
    </w:p>
    <w:p w14:paraId="6593EBAE">
      <w:pPr>
        <w:spacing w:line="360" w:lineRule="auto"/>
        <w:ind w:firstLine="482" w:firstLineChars="200"/>
        <w:rPr>
          <w:rFonts w:hint="eastAsia" w:ascii="宋体" w:hAnsi="宋体"/>
          <w:b/>
          <w:bCs/>
          <w:color w:val="auto"/>
          <w:sz w:val="24"/>
        </w:rPr>
      </w:pPr>
      <w:r>
        <w:rPr>
          <w:rFonts w:hint="eastAsia" w:ascii="宋体" w:hAnsi="宋体"/>
          <w:b/>
          <w:bCs/>
          <w:color w:val="auto"/>
          <w:sz w:val="24"/>
        </w:rPr>
        <w:t>六、免责条款</w:t>
      </w:r>
      <w:r>
        <w:rPr>
          <w:rFonts w:ascii="宋体" w:hAnsi="宋体"/>
          <w:b/>
          <w:bCs/>
          <w:color w:val="auto"/>
          <w:sz w:val="24"/>
        </w:rPr>
        <w:t xml:space="preserve"> </w:t>
      </w:r>
    </w:p>
    <w:p w14:paraId="76C5691E">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因贵方</w:t>
      </w:r>
      <w:r>
        <w:rPr>
          <w:rFonts w:hint="eastAsia" w:ascii="宋体" w:hAnsi="宋体"/>
          <w:color w:val="auto"/>
          <w:sz w:val="24"/>
        </w:rPr>
        <w:t>原因</w:t>
      </w:r>
      <w:r>
        <w:rPr>
          <w:rFonts w:ascii="宋体" w:hAnsi="宋体"/>
          <w:color w:val="auto"/>
          <w:sz w:val="24"/>
        </w:rPr>
        <w:t>致使</w:t>
      </w:r>
      <w:r>
        <w:rPr>
          <w:rFonts w:hint="eastAsia" w:ascii="宋体" w:hAnsi="宋体"/>
          <w:color w:val="auto"/>
          <w:sz w:val="24"/>
        </w:rPr>
        <w:t>发包人未履行主合同项下工程款付款义务的</w:t>
      </w:r>
      <w:r>
        <w:rPr>
          <w:rFonts w:ascii="宋体" w:hAnsi="宋体"/>
          <w:color w:val="auto"/>
          <w:sz w:val="24"/>
        </w:rPr>
        <w:t>，我方不承担保证</w:t>
      </w:r>
      <w:r>
        <w:rPr>
          <w:rFonts w:hint="eastAsia" w:ascii="宋体" w:hAnsi="宋体"/>
          <w:color w:val="auto"/>
          <w:sz w:val="24"/>
        </w:rPr>
        <w:t>担保</w:t>
      </w:r>
      <w:r>
        <w:rPr>
          <w:rFonts w:ascii="宋体" w:hAnsi="宋体"/>
          <w:color w:val="auto"/>
          <w:sz w:val="24"/>
        </w:rPr>
        <w:t xml:space="preserve">责任。 </w:t>
      </w:r>
    </w:p>
    <w:p w14:paraId="0E5EAE38">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依照法律规定或贵方与</w:t>
      </w:r>
      <w:r>
        <w:rPr>
          <w:rFonts w:hint="eastAsia" w:ascii="宋体" w:hAnsi="宋体"/>
          <w:color w:val="auto"/>
          <w:sz w:val="24"/>
        </w:rPr>
        <w:t>发包</w:t>
      </w:r>
      <w:r>
        <w:rPr>
          <w:rFonts w:ascii="宋体" w:hAnsi="宋体"/>
          <w:color w:val="auto"/>
          <w:sz w:val="24"/>
        </w:rPr>
        <w:t>人的另行约定，免除</w:t>
      </w:r>
      <w:r>
        <w:rPr>
          <w:rFonts w:hint="eastAsia" w:ascii="宋体" w:hAnsi="宋体"/>
          <w:color w:val="auto"/>
          <w:sz w:val="24"/>
        </w:rPr>
        <w:t>发包</w:t>
      </w:r>
      <w:r>
        <w:rPr>
          <w:rFonts w:ascii="宋体" w:hAnsi="宋体"/>
          <w:color w:val="auto"/>
          <w:sz w:val="24"/>
        </w:rPr>
        <w:t>人部分或全部义务的，我方亦免除其相应的保证</w:t>
      </w:r>
      <w:r>
        <w:rPr>
          <w:rFonts w:hint="eastAsia" w:ascii="宋体" w:hAnsi="宋体"/>
          <w:color w:val="auto"/>
          <w:sz w:val="24"/>
        </w:rPr>
        <w:t>担保</w:t>
      </w:r>
      <w:r>
        <w:rPr>
          <w:rFonts w:ascii="宋体" w:hAnsi="宋体"/>
          <w:color w:val="auto"/>
          <w:sz w:val="24"/>
        </w:rPr>
        <w:t xml:space="preserve">责任。 </w:t>
      </w:r>
    </w:p>
    <w:p w14:paraId="614E59CE">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因不可抗力造成</w:t>
      </w:r>
      <w:r>
        <w:rPr>
          <w:rFonts w:hint="eastAsia" w:ascii="宋体" w:hAnsi="宋体"/>
          <w:color w:val="auto"/>
          <w:sz w:val="24"/>
        </w:rPr>
        <w:t>发包</w:t>
      </w:r>
      <w:r>
        <w:rPr>
          <w:rFonts w:ascii="宋体" w:hAnsi="宋体"/>
          <w:color w:val="auto"/>
          <w:sz w:val="24"/>
        </w:rPr>
        <w:t>人</w:t>
      </w:r>
      <w:r>
        <w:rPr>
          <w:rFonts w:hint="eastAsia" w:ascii="宋体" w:hAnsi="宋体"/>
          <w:color w:val="auto"/>
          <w:sz w:val="24"/>
        </w:rPr>
        <w:t>未履行主合同项下工程款付款义务的</w:t>
      </w:r>
      <w:r>
        <w:rPr>
          <w:rFonts w:ascii="宋体" w:hAnsi="宋体"/>
          <w:color w:val="auto"/>
          <w:sz w:val="24"/>
        </w:rPr>
        <w:t>，我方不承担保证</w:t>
      </w:r>
      <w:r>
        <w:rPr>
          <w:rFonts w:hint="eastAsia" w:ascii="宋体" w:hAnsi="宋体"/>
          <w:color w:val="auto"/>
          <w:sz w:val="24"/>
        </w:rPr>
        <w:t>担保</w:t>
      </w:r>
      <w:r>
        <w:rPr>
          <w:rFonts w:ascii="宋体" w:hAnsi="宋体"/>
          <w:color w:val="auto"/>
          <w:sz w:val="24"/>
        </w:rPr>
        <w:t>责任。</w:t>
      </w:r>
    </w:p>
    <w:p w14:paraId="15D82E46">
      <w:pPr>
        <w:spacing w:line="360" w:lineRule="auto"/>
        <w:ind w:firstLine="482" w:firstLineChars="200"/>
        <w:rPr>
          <w:rFonts w:hint="eastAsia" w:ascii="宋体" w:hAnsi="宋体"/>
          <w:b/>
          <w:bCs/>
          <w:color w:val="auto"/>
          <w:sz w:val="24"/>
        </w:rPr>
      </w:pPr>
      <w:r>
        <w:rPr>
          <w:rFonts w:hint="eastAsia" w:ascii="宋体" w:hAnsi="宋体"/>
          <w:b/>
          <w:bCs/>
          <w:color w:val="auto"/>
          <w:sz w:val="24"/>
        </w:rPr>
        <w:t>七、其他</w:t>
      </w:r>
    </w:p>
    <w:p w14:paraId="2173DF44">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ascii="宋体" w:hAnsi="宋体"/>
          <w:color w:val="auto"/>
          <w:sz w:val="24"/>
        </w:rPr>
        <w:t>本保证担保项下的权利不得转让，不得设定担保。贵方未经我方书面同意转让本保证担保或其项下任何权利，</w:t>
      </w:r>
      <w:r>
        <w:rPr>
          <w:rFonts w:hint="eastAsia" w:ascii="宋体" w:hAnsi="宋体"/>
          <w:color w:val="auto"/>
          <w:sz w:val="24"/>
        </w:rPr>
        <w:t>对我方不发生法律效力</w:t>
      </w:r>
      <w:r>
        <w:rPr>
          <w:rFonts w:ascii="宋体" w:hAnsi="宋体"/>
          <w:color w:val="auto"/>
          <w:sz w:val="24"/>
        </w:rPr>
        <w:t xml:space="preserve">。 </w:t>
      </w:r>
    </w:p>
    <w:p w14:paraId="7548F124">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.本</w:t>
      </w:r>
      <w:r>
        <w:rPr>
          <w:rFonts w:hint="eastAsia" w:ascii="宋体" w:hAnsi="宋体"/>
          <w:color w:val="auto"/>
          <w:sz w:val="24"/>
        </w:rPr>
        <w:t>保证担保适用的法律为中华人民共和国法律，争议裁判管辖地为中华人民共和国</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w:t>
      </w:r>
      <w:r>
        <w:rPr>
          <w:rFonts w:ascii="宋体" w:hAnsi="宋体"/>
          <w:color w:val="auto"/>
          <w:sz w:val="24"/>
        </w:rPr>
        <w:t xml:space="preserve"> </w:t>
      </w:r>
    </w:p>
    <w:p w14:paraId="0A57F030">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.本</w:t>
      </w:r>
      <w:r>
        <w:rPr>
          <w:rFonts w:hint="eastAsia" w:ascii="宋体" w:hAnsi="宋体"/>
          <w:color w:val="auto"/>
          <w:sz w:val="24"/>
        </w:rPr>
        <w:t>保证担保</w:t>
      </w:r>
      <w:r>
        <w:rPr>
          <w:rFonts w:ascii="宋体" w:hAnsi="宋体"/>
          <w:color w:val="auto"/>
          <w:sz w:val="24"/>
        </w:rPr>
        <w:t>自我方法定代表</w:t>
      </w:r>
      <w:r>
        <w:rPr>
          <w:rFonts w:hint="eastAsia" w:ascii="宋体" w:hAnsi="宋体"/>
          <w:color w:val="auto"/>
          <w:sz w:val="24"/>
        </w:rPr>
        <w:t>人或授权代表</w:t>
      </w:r>
      <w:r>
        <w:rPr>
          <w:rFonts w:ascii="宋体" w:hAnsi="宋体"/>
          <w:color w:val="auto"/>
          <w:sz w:val="24"/>
        </w:rPr>
        <w:t>签字</w:t>
      </w:r>
      <w:r>
        <w:rPr>
          <w:rFonts w:hint="eastAsia" w:ascii="宋体" w:hAnsi="宋体"/>
          <w:color w:val="auto"/>
          <w:sz w:val="24"/>
        </w:rPr>
        <w:t>并</w:t>
      </w:r>
      <w:r>
        <w:rPr>
          <w:rFonts w:ascii="宋体" w:hAnsi="宋体"/>
          <w:color w:val="auto"/>
          <w:sz w:val="24"/>
        </w:rPr>
        <w:t xml:space="preserve">加盖公章之日起生效。 </w:t>
      </w:r>
    </w:p>
    <w:p w14:paraId="6AA60986">
      <w:pPr>
        <w:spacing w:line="360" w:lineRule="auto"/>
        <w:ind w:firstLine="480" w:firstLineChars="200"/>
        <w:rPr>
          <w:rFonts w:hint="eastAsia" w:ascii="宋体" w:hAnsi="宋体"/>
          <w:color w:val="auto"/>
          <w:sz w:val="24"/>
        </w:rPr>
      </w:pPr>
    </w:p>
    <w:p w14:paraId="7EC83A55">
      <w:pPr>
        <w:spacing w:line="360" w:lineRule="auto"/>
        <w:ind w:firstLine="480" w:firstLineChars="200"/>
        <w:rPr>
          <w:rFonts w:hint="eastAsia" w:ascii="宋体" w:hAnsi="宋体"/>
          <w:color w:val="auto"/>
          <w:sz w:val="24"/>
        </w:rPr>
      </w:pPr>
      <w:r>
        <w:rPr>
          <w:rFonts w:hint="eastAsia" w:ascii="宋体" w:hAnsi="宋体"/>
          <w:color w:val="auto"/>
          <w:sz w:val="24"/>
        </w:rPr>
        <w:t>保 证 人</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（公</w:t>
      </w:r>
      <w:r>
        <w:rPr>
          <w:rFonts w:ascii="宋体" w:hAnsi="宋体"/>
          <w:color w:val="auto"/>
          <w:sz w:val="24"/>
        </w:rPr>
        <w:t xml:space="preserve">章） </w:t>
      </w:r>
    </w:p>
    <w:p w14:paraId="6272DB38">
      <w:pPr>
        <w:spacing w:line="360" w:lineRule="auto"/>
        <w:ind w:firstLine="480" w:firstLineChars="200"/>
        <w:rPr>
          <w:rFonts w:hint="eastAsia" w:ascii="宋体" w:hAnsi="宋体"/>
          <w:color w:val="auto"/>
          <w:sz w:val="24"/>
        </w:rPr>
      </w:pPr>
      <w:r>
        <w:rPr>
          <w:rFonts w:hint="eastAsia" w:ascii="宋体" w:hAnsi="宋体"/>
          <w:color w:val="auto"/>
          <w:sz w:val="24"/>
        </w:rPr>
        <w:t>法定代表人（或授权代表）：</w:t>
      </w:r>
      <w:r>
        <w:rPr>
          <w:rFonts w:ascii="宋体" w:hAnsi="宋体"/>
          <w:color w:val="auto"/>
          <w:sz w:val="24"/>
        </w:rPr>
        <w:t xml:space="preserve">               （签字） </w:t>
      </w:r>
    </w:p>
    <w:p w14:paraId="6B50D56C">
      <w:pPr>
        <w:spacing w:line="360" w:lineRule="auto"/>
        <w:ind w:firstLine="480" w:firstLineChars="200"/>
        <w:rPr>
          <w:rFonts w:hint="eastAsia" w:ascii="宋体" w:hAnsi="宋体"/>
          <w:color w:val="auto"/>
          <w:sz w:val="24"/>
        </w:rPr>
      </w:pPr>
      <w:r>
        <w:rPr>
          <w:rFonts w:hint="eastAsia" w:ascii="宋体" w:hAnsi="宋体"/>
          <w:color w:val="auto"/>
          <w:sz w:val="24"/>
        </w:rPr>
        <w:t>地</w:t>
      </w:r>
      <w:r>
        <w:rPr>
          <w:rFonts w:ascii="宋体" w:hAnsi="宋体"/>
          <w:color w:val="auto"/>
          <w:sz w:val="24"/>
        </w:rPr>
        <w:t xml:space="preserve">    址：                                       </w:t>
      </w:r>
    </w:p>
    <w:p w14:paraId="17188786">
      <w:pPr>
        <w:spacing w:line="360" w:lineRule="auto"/>
        <w:ind w:firstLine="480" w:firstLineChars="200"/>
        <w:rPr>
          <w:rFonts w:hint="eastAsia" w:ascii="宋体" w:hAnsi="宋体"/>
          <w:color w:val="auto"/>
          <w:sz w:val="24"/>
        </w:rPr>
      </w:pPr>
      <w:r>
        <w:rPr>
          <w:rFonts w:hint="eastAsia" w:ascii="宋体" w:hAnsi="宋体"/>
          <w:color w:val="auto"/>
          <w:sz w:val="24"/>
        </w:rPr>
        <w:t>邮政编码：</w:t>
      </w:r>
      <w:r>
        <w:rPr>
          <w:rFonts w:ascii="宋体" w:hAnsi="宋体"/>
          <w:color w:val="auto"/>
          <w:sz w:val="24"/>
        </w:rPr>
        <w:t xml:space="preserve">                 </w:t>
      </w:r>
    </w:p>
    <w:p w14:paraId="2313D9C0">
      <w:pPr>
        <w:spacing w:line="360" w:lineRule="auto"/>
        <w:ind w:firstLine="480" w:firstLineChars="200"/>
        <w:rPr>
          <w:rFonts w:hint="eastAsia" w:ascii="宋体" w:hAnsi="宋体"/>
          <w:color w:val="auto"/>
          <w:sz w:val="24"/>
        </w:rPr>
      </w:pPr>
      <w:r>
        <w:rPr>
          <w:rFonts w:hint="eastAsia" w:ascii="宋体" w:hAnsi="宋体"/>
          <w:color w:val="auto"/>
          <w:sz w:val="24"/>
        </w:rPr>
        <w:t>电</w:t>
      </w:r>
      <w:r>
        <w:rPr>
          <w:rFonts w:ascii="宋体" w:hAnsi="宋体"/>
          <w:color w:val="auto"/>
          <w:sz w:val="24"/>
        </w:rPr>
        <w:t xml:space="preserve">    话：                 </w:t>
      </w:r>
    </w:p>
    <w:p w14:paraId="4B956BD2">
      <w:pPr>
        <w:spacing w:line="360" w:lineRule="auto"/>
        <w:ind w:firstLine="480" w:firstLineChars="200"/>
        <w:rPr>
          <w:rFonts w:hint="eastAsia" w:ascii="宋体" w:hAnsi="宋体"/>
          <w:color w:val="auto"/>
          <w:sz w:val="24"/>
        </w:rPr>
      </w:pPr>
      <w:r>
        <w:rPr>
          <w:rFonts w:hint="eastAsia" w:ascii="宋体" w:hAnsi="宋体"/>
          <w:color w:val="auto"/>
          <w:sz w:val="24"/>
        </w:rPr>
        <w:t>传</w:t>
      </w:r>
      <w:r>
        <w:rPr>
          <w:rFonts w:ascii="宋体" w:hAnsi="宋体"/>
          <w:color w:val="auto"/>
          <w:sz w:val="24"/>
        </w:rPr>
        <w:t xml:space="preserve">    真：                 </w:t>
      </w:r>
    </w:p>
    <w:p w14:paraId="3E5645A9">
      <w:pPr>
        <w:spacing w:line="360" w:lineRule="auto"/>
        <w:ind w:firstLine="480" w:firstLineChars="200"/>
        <w:rPr>
          <w:rFonts w:hint="eastAsia" w:ascii="宋体" w:hAnsi="宋体"/>
          <w:color w:val="auto"/>
          <w:sz w:val="24"/>
        </w:rPr>
      </w:pPr>
      <w:r>
        <w:rPr>
          <w:rFonts w:hint="eastAsia" w:ascii="宋体" w:hAnsi="宋体"/>
          <w:color w:val="auto"/>
          <w:sz w:val="24"/>
        </w:rPr>
        <w:t xml:space="preserve">时 </w:t>
      </w:r>
      <w:r>
        <w:rPr>
          <w:rFonts w:ascii="宋体" w:hAnsi="宋体"/>
          <w:color w:val="auto"/>
          <w:sz w:val="24"/>
        </w:rPr>
        <w:t xml:space="preserve">   </w:t>
      </w:r>
      <w:r>
        <w:rPr>
          <w:rFonts w:hint="eastAsia" w:ascii="宋体" w:hAnsi="宋体"/>
          <w:color w:val="auto"/>
          <w:sz w:val="24"/>
        </w:rPr>
        <w:t>间：</w:t>
      </w:r>
      <w:r>
        <w:rPr>
          <w:rFonts w:ascii="宋体" w:hAnsi="宋体"/>
          <w:color w:val="auto"/>
          <w:sz w:val="24"/>
        </w:rPr>
        <w:t xml:space="preserve">      年      月        日</w:t>
      </w:r>
    </w:p>
    <w:p w14:paraId="0EBB2D3A">
      <w:pPr>
        <w:rPr>
          <w:color w:val="auto"/>
        </w:rPr>
      </w:pPr>
    </w:p>
    <w:p w14:paraId="3DC2D2D3">
      <w:pPr>
        <w:spacing w:line="360" w:lineRule="auto"/>
        <w:ind w:firstLine="480" w:firstLineChars="200"/>
        <w:rPr>
          <w:rFonts w:hint="eastAsia" w:ascii="宋体" w:hAnsi="宋体"/>
          <w:color w:val="auto"/>
          <w:sz w:val="24"/>
        </w:rPr>
      </w:pPr>
    </w:p>
    <w:p w14:paraId="761ED0CD">
      <w:pPr>
        <w:spacing w:line="360" w:lineRule="auto"/>
        <w:ind w:firstLine="420" w:firstLineChars="200"/>
        <w:rPr>
          <w:color w:val="auto"/>
        </w:rPr>
      </w:pPr>
    </w:p>
    <w:p w14:paraId="173D34BF">
      <w:pPr>
        <w:jc w:val="left"/>
        <w:rPr>
          <w:rFonts w:eastAsia="仿宋_GB2312"/>
          <w:color w:val="auto"/>
          <w:sz w:val="30"/>
          <w:szCs w:val="30"/>
        </w:rPr>
      </w:pPr>
      <w:r>
        <w:rPr>
          <w:rFonts w:eastAsia="仿宋_GB2312"/>
          <w:color w:val="auto"/>
          <w:sz w:val="30"/>
          <w:szCs w:val="30"/>
        </w:rPr>
        <w:t xml:space="preserve"> </w:t>
      </w:r>
    </w:p>
    <w:p w14:paraId="221D48FF">
      <w:pPr>
        <w:jc w:val="left"/>
        <w:rPr>
          <w:rFonts w:eastAsia="仿宋_GB2312"/>
          <w:color w:val="auto"/>
          <w:sz w:val="30"/>
          <w:szCs w:val="30"/>
        </w:rPr>
      </w:pPr>
    </w:p>
    <w:p w14:paraId="58862EA9">
      <w:pPr>
        <w:jc w:val="left"/>
        <w:rPr>
          <w:rFonts w:eastAsia="仿宋_GB2312"/>
          <w:color w:val="auto"/>
          <w:sz w:val="30"/>
          <w:szCs w:val="30"/>
        </w:rPr>
      </w:pPr>
    </w:p>
    <w:p w14:paraId="2EB8E2EF">
      <w:pPr>
        <w:jc w:val="left"/>
        <w:rPr>
          <w:rFonts w:eastAsia="仿宋_GB2312"/>
          <w:color w:val="auto"/>
          <w:sz w:val="30"/>
          <w:szCs w:val="30"/>
        </w:rPr>
      </w:pPr>
    </w:p>
    <w:p w14:paraId="05E6C6FD">
      <w:pPr>
        <w:jc w:val="left"/>
        <w:rPr>
          <w:rFonts w:eastAsia="仿宋_GB2312"/>
          <w:color w:val="auto"/>
          <w:sz w:val="30"/>
          <w:szCs w:val="30"/>
        </w:rPr>
      </w:pPr>
    </w:p>
    <w:p w14:paraId="016C9B6D">
      <w:pPr>
        <w:jc w:val="left"/>
        <w:rPr>
          <w:rFonts w:eastAsia="仿宋_GB2312"/>
          <w:color w:val="auto"/>
          <w:sz w:val="30"/>
          <w:szCs w:val="30"/>
        </w:rPr>
      </w:pPr>
    </w:p>
    <w:p w14:paraId="3E934AF6">
      <w:pPr>
        <w:jc w:val="left"/>
        <w:rPr>
          <w:rFonts w:eastAsia="仿宋_GB2312"/>
          <w:color w:val="auto"/>
          <w:sz w:val="30"/>
          <w:szCs w:val="30"/>
        </w:rPr>
      </w:pPr>
    </w:p>
    <w:p w14:paraId="33AF9935">
      <w:pPr>
        <w:jc w:val="left"/>
        <w:rPr>
          <w:rFonts w:eastAsia="仿宋_GB2312"/>
          <w:color w:val="auto"/>
          <w:sz w:val="30"/>
          <w:szCs w:val="30"/>
        </w:rPr>
      </w:pPr>
    </w:p>
    <w:p w14:paraId="72956363">
      <w:pPr>
        <w:jc w:val="left"/>
        <w:rPr>
          <w:rFonts w:eastAsia="仿宋_GB2312"/>
          <w:color w:val="auto"/>
          <w:sz w:val="30"/>
          <w:szCs w:val="30"/>
        </w:rPr>
      </w:pPr>
    </w:p>
    <w:p w14:paraId="6812C4B3">
      <w:pPr>
        <w:jc w:val="left"/>
        <w:rPr>
          <w:rFonts w:eastAsia="仿宋_GB2312"/>
          <w:color w:val="auto"/>
          <w:sz w:val="30"/>
          <w:szCs w:val="30"/>
        </w:rPr>
      </w:pPr>
    </w:p>
    <w:p w14:paraId="3310EB0F">
      <w:pPr>
        <w:jc w:val="left"/>
        <w:rPr>
          <w:rFonts w:hint="eastAsia" w:hAnsi="宋体" w:cs="宋体"/>
          <w:color w:val="auto"/>
          <w:sz w:val="30"/>
          <w:szCs w:val="30"/>
        </w:rPr>
      </w:pPr>
    </w:p>
    <w:p w14:paraId="2B1664BC">
      <w:pPr>
        <w:jc w:val="left"/>
        <w:rPr>
          <w:rFonts w:hint="eastAsia" w:hAnsi="宋体" w:cs="宋体"/>
          <w:color w:val="auto"/>
          <w:sz w:val="30"/>
          <w:szCs w:val="30"/>
        </w:rPr>
      </w:pPr>
    </w:p>
    <w:p w14:paraId="15234250">
      <w:pPr>
        <w:jc w:val="left"/>
        <w:rPr>
          <w:rFonts w:hint="eastAsia" w:hAnsi="宋体" w:cs="宋体"/>
          <w:color w:val="auto"/>
          <w:sz w:val="30"/>
          <w:szCs w:val="30"/>
        </w:rPr>
      </w:pPr>
    </w:p>
    <w:p w14:paraId="04B3AB84">
      <w:pPr>
        <w:jc w:val="left"/>
        <w:rPr>
          <w:rFonts w:hint="eastAsia" w:hAnsi="宋体" w:cs="宋体"/>
          <w:color w:val="auto"/>
          <w:sz w:val="30"/>
          <w:szCs w:val="30"/>
        </w:rPr>
      </w:pPr>
    </w:p>
    <w:p w14:paraId="7BC7A01F">
      <w:pPr>
        <w:jc w:val="left"/>
        <w:rPr>
          <w:rFonts w:hint="eastAsia" w:hAnsi="宋体" w:cs="宋体"/>
          <w:color w:val="auto"/>
          <w:sz w:val="30"/>
          <w:szCs w:val="30"/>
        </w:rPr>
      </w:pPr>
    </w:p>
    <w:p w14:paraId="3456B5CE">
      <w:pPr>
        <w:jc w:val="left"/>
        <w:rPr>
          <w:rFonts w:hint="eastAsia" w:hAnsi="宋体" w:cs="宋体"/>
          <w:color w:val="auto"/>
          <w:sz w:val="30"/>
          <w:szCs w:val="30"/>
        </w:rPr>
      </w:pPr>
    </w:p>
    <w:p w14:paraId="7D897314">
      <w:pPr>
        <w:jc w:val="left"/>
        <w:rPr>
          <w:rFonts w:hint="eastAsia" w:hAnsi="宋体" w:cs="宋体"/>
          <w:color w:val="auto"/>
          <w:sz w:val="30"/>
          <w:szCs w:val="30"/>
        </w:rPr>
      </w:pPr>
    </w:p>
    <w:p w14:paraId="1D10BEE7">
      <w:pPr>
        <w:jc w:val="left"/>
        <w:rPr>
          <w:rFonts w:hint="eastAsia" w:hAnsi="宋体" w:cs="宋体"/>
          <w:color w:val="auto"/>
          <w:sz w:val="30"/>
          <w:szCs w:val="30"/>
        </w:rPr>
      </w:pPr>
    </w:p>
    <w:p w14:paraId="2678687B">
      <w:pPr>
        <w:jc w:val="left"/>
        <w:rPr>
          <w:rFonts w:hint="eastAsia" w:hAnsi="宋体" w:cs="宋体"/>
          <w:color w:val="auto"/>
          <w:sz w:val="30"/>
          <w:szCs w:val="30"/>
        </w:rPr>
      </w:pPr>
    </w:p>
    <w:p w14:paraId="744CF1E0">
      <w:pPr>
        <w:jc w:val="left"/>
        <w:rPr>
          <w:rFonts w:hint="eastAsia" w:hAnsi="宋体" w:cs="宋体"/>
          <w:color w:val="auto"/>
          <w:sz w:val="30"/>
          <w:szCs w:val="30"/>
        </w:rPr>
      </w:pPr>
    </w:p>
    <w:p w14:paraId="46E80B3F">
      <w:pPr>
        <w:jc w:val="left"/>
        <w:rPr>
          <w:rFonts w:hint="eastAsia" w:hAnsi="宋体" w:cs="宋体"/>
          <w:color w:val="auto"/>
          <w:sz w:val="30"/>
          <w:szCs w:val="30"/>
        </w:rPr>
      </w:pPr>
    </w:p>
    <w:p w14:paraId="4F0446E1">
      <w:pPr>
        <w:jc w:val="left"/>
        <w:rPr>
          <w:rFonts w:hint="eastAsia" w:hAnsi="宋体" w:cs="宋体"/>
          <w:color w:val="auto"/>
          <w:sz w:val="30"/>
          <w:szCs w:val="30"/>
        </w:rPr>
      </w:pPr>
    </w:p>
    <w:p w14:paraId="721FFB27">
      <w:pPr>
        <w:jc w:val="left"/>
        <w:rPr>
          <w:rFonts w:hint="eastAsia" w:hAnsi="宋体" w:cs="宋体"/>
          <w:color w:val="auto"/>
          <w:sz w:val="30"/>
          <w:szCs w:val="30"/>
        </w:rPr>
      </w:pPr>
      <w:r>
        <w:rPr>
          <w:rFonts w:hint="eastAsia" w:hAnsi="宋体" w:cs="宋体"/>
          <w:color w:val="auto"/>
          <w:sz w:val="30"/>
          <w:szCs w:val="30"/>
        </w:rPr>
        <w:t>附件10：</w:t>
      </w:r>
    </w:p>
    <w:p w14:paraId="4FF30A11">
      <w:pPr>
        <w:jc w:val="center"/>
        <w:rPr>
          <w:b/>
          <w:color w:val="auto"/>
          <w:sz w:val="36"/>
          <w:szCs w:val="36"/>
        </w:rPr>
      </w:pPr>
      <w:r>
        <w:rPr>
          <w:rFonts w:hint="eastAsia"/>
          <w:b/>
          <w:color w:val="auto"/>
          <w:sz w:val="36"/>
          <w:szCs w:val="36"/>
        </w:rPr>
        <w:t>预付款支付申请（核准）表</w:t>
      </w:r>
    </w:p>
    <w:p w14:paraId="39D6149A">
      <w:pPr>
        <w:rPr>
          <w:color w:val="auto"/>
          <w:sz w:val="24"/>
        </w:rPr>
      </w:pPr>
      <w:r>
        <w:rPr>
          <w:rFonts w:hint="eastAsia"/>
          <w:color w:val="auto"/>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8"/>
        <w:gridCol w:w="4645"/>
      </w:tblGrid>
      <w:tr w14:paraId="2D63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072" w:type="dxa"/>
            <w:gridSpan w:val="2"/>
          </w:tcPr>
          <w:p w14:paraId="64E13D65">
            <w:pPr>
              <w:spacing w:line="480" w:lineRule="exact"/>
              <w:ind w:left="525" w:leftChars="149" w:hanging="212" w:hangingChars="101"/>
              <w:rPr>
                <w:color w:val="auto"/>
                <w:u w:val="single"/>
              </w:rPr>
            </w:pPr>
            <w:r>
              <w:rPr>
                <w:rFonts w:hint="eastAsia"/>
                <w:color w:val="auto"/>
              </w:rPr>
              <w:t>致：</w:t>
            </w:r>
            <w:r>
              <w:rPr>
                <w:rFonts w:hint="eastAsia"/>
                <w:color w:val="auto"/>
                <w:u w:val="single"/>
              </w:rPr>
              <w:t xml:space="preserve">                                   （发包人全称）</w:t>
            </w:r>
          </w:p>
          <w:p w14:paraId="2FFD49A6">
            <w:pPr>
              <w:spacing w:line="400" w:lineRule="exact"/>
              <w:ind w:left="-4" w:leftChars="-2" w:firstLine="315" w:firstLineChars="150"/>
              <w:rPr>
                <w:color w:val="auto"/>
              </w:rPr>
            </w:pPr>
            <w:r>
              <w:rPr>
                <w:rFonts w:hint="eastAsia"/>
                <w:color w:val="auto"/>
              </w:rPr>
              <w:t>我方根据施工合同的约定，现申请支付工程预付款额为（大写）</w:t>
            </w:r>
            <w:r>
              <w:rPr>
                <w:rFonts w:hint="eastAsia"/>
                <w:color w:val="auto"/>
                <w:u w:val="single"/>
              </w:rPr>
              <w:t xml:space="preserve">            </w:t>
            </w:r>
            <w:r>
              <w:rPr>
                <w:rFonts w:hint="eastAsia"/>
                <w:color w:val="auto"/>
              </w:rPr>
              <w:t>元，（小写）</w:t>
            </w:r>
          </w:p>
          <w:p w14:paraId="22FF25BF">
            <w:pPr>
              <w:spacing w:line="400" w:lineRule="exact"/>
              <w:rPr>
                <w:color w:val="auto"/>
              </w:rPr>
            </w:pPr>
            <w:r>
              <w:rPr>
                <w:rFonts w:hint="eastAsia"/>
                <w:color w:val="auto"/>
                <w:u w:val="single"/>
              </w:rPr>
              <w:t xml:space="preserve">         </w:t>
            </w:r>
            <w:r>
              <w:rPr>
                <w:rFonts w:hint="eastAsia"/>
                <w:color w:val="auto"/>
              </w:rPr>
              <w:t>元，请予核准。</w:t>
            </w:r>
          </w:p>
          <w:tbl>
            <w:tblPr>
              <w:tblStyle w:val="48"/>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47CC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157CBF5">
                  <w:pPr>
                    <w:spacing w:line="280" w:lineRule="exact"/>
                    <w:jc w:val="center"/>
                    <w:rPr>
                      <w:color w:val="auto"/>
                    </w:rPr>
                  </w:pPr>
                  <w:r>
                    <w:rPr>
                      <w:rFonts w:hint="eastAsia"/>
                      <w:color w:val="auto"/>
                    </w:rPr>
                    <w:t>序号</w:t>
                  </w:r>
                </w:p>
              </w:tc>
              <w:tc>
                <w:tcPr>
                  <w:tcW w:w="3340" w:type="dxa"/>
                  <w:vAlign w:val="center"/>
                </w:tcPr>
                <w:p w14:paraId="103838FE">
                  <w:pPr>
                    <w:spacing w:line="280" w:lineRule="exact"/>
                    <w:jc w:val="center"/>
                    <w:rPr>
                      <w:color w:val="auto"/>
                    </w:rPr>
                  </w:pPr>
                  <w:r>
                    <w:rPr>
                      <w:rFonts w:hint="eastAsia"/>
                      <w:color w:val="auto"/>
                    </w:rPr>
                    <w:t>名      称</w:t>
                  </w:r>
                </w:p>
              </w:tc>
              <w:tc>
                <w:tcPr>
                  <w:tcW w:w="1764" w:type="dxa"/>
                  <w:vAlign w:val="center"/>
                </w:tcPr>
                <w:p w14:paraId="57EF2A95">
                  <w:pPr>
                    <w:spacing w:line="280" w:lineRule="exact"/>
                    <w:jc w:val="center"/>
                    <w:rPr>
                      <w:color w:val="auto"/>
                    </w:rPr>
                  </w:pPr>
                  <w:r>
                    <w:rPr>
                      <w:rFonts w:hint="eastAsia"/>
                      <w:color w:val="auto"/>
                    </w:rPr>
                    <w:t>申请金额（元）</w:t>
                  </w:r>
                </w:p>
              </w:tc>
              <w:tc>
                <w:tcPr>
                  <w:tcW w:w="2240" w:type="dxa"/>
                  <w:vAlign w:val="center"/>
                </w:tcPr>
                <w:p w14:paraId="0D418CD2">
                  <w:pPr>
                    <w:spacing w:line="280" w:lineRule="exact"/>
                    <w:jc w:val="center"/>
                    <w:rPr>
                      <w:color w:val="auto"/>
                    </w:rPr>
                  </w:pPr>
                  <w:r>
                    <w:rPr>
                      <w:rFonts w:hint="eastAsia"/>
                      <w:color w:val="auto"/>
                    </w:rPr>
                    <w:t>复核金额（元）</w:t>
                  </w:r>
                </w:p>
              </w:tc>
              <w:tc>
                <w:tcPr>
                  <w:tcW w:w="1080" w:type="dxa"/>
                  <w:vAlign w:val="center"/>
                </w:tcPr>
                <w:p w14:paraId="26C3FCFA">
                  <w:pPr>
                    <w:spacing w:line="280" w:lineRule="exact"/>
                    <w:jc w:val="center"/>
                    <w:rPr>
                      <w:color w:val="auto"/>
                    </w:rPr>
                  </w:pPr>
                  <w:r>
                    <w:rPr>
                      <w:rFonts w:hint="eastAsia"/>
                      <w:color w:val="auto"/>
                    </w:rPr>
                    <w:t>备注</w:t>
                  </w:r>
                </w:p>
              </w:tc>
            </w:tr>
            <w:tr w14:paraId="01DF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71AC983">
                  <w:pPr>
                    <w:spacing w:line="280" w:lineRule="exact"/>
                    <w:jc w:val="center"/>
                    <w:rPr>
                      <w:color w:val="auto"/>
                    </w:rPr>
                  </w:pPr>
                  <w:r>
                    <w:rPr>
                      <w:rFonts w:hint="eastAsia"/>
                      <w:color w:val="auto"/>
                    </w:rPr>
                    <w:t>1</w:t>
                  </w:r>
                </w:p>
              </w:tc>
              <w:tc>
                <w:tcPr>
                  <w:tcW w:w="3340" w:type="dxa"/>
                </w:tcPr>
                <w:p w14:paraId="79B1653A">
                  <w:pPr>
                    <w:spacing w:line="280" w:lineRule="exact"/>
                    <w:rPr>
                      <w:color w:val="auto"/>
                    </w:rPr>
                  </w:pPr>
                  <w:r>
                    <w:rPr>
                      <w:rFonts w:hint="eastAsia"/>
                      <w:color w:val="auto"/>
                    </w:rPr>
                    <w:t>已签约合同价款金额</w:t>
                  </w:r>
                </w:p>
              </w:tc>
              <w:tc>
                <w:tcPr>
                  <w:tcW w:w="1764" w:type="dxa"/>
                </w:tcPr>
                <w:p w14:paraId="25855C94">
                  <w:pPr>
                    <w:spacing w:line="280" w:lineRule="exact"/>
                    <w:rPr>
                      <w:color w:val="auto"/>
                    </w:rPr>
                  </w:pPr>
                </w:p>
              </w:tc>
              <w:tc>
                <w:tcPr>
                  <w:tcW w:w="2240" w:type="dxa"/>
                </w:tcPr>
                <w:p w14:paraId="083D7302">
                  <w:pPr>
                    <w:spacing w:line="280" w:lineRule="exact"/>
                    <w:rPr>
                      <w:color w:val="auto"/>
                    </w:rPr>
                  </w:pPr>
                </w:p>
              </w:tc>
              <w:tc>
                <w:tcPr>
                  <w:tcW w:w="1080" w:type="dxa"/>
                </w:tcPr>
                <w:p w14:paraId="3871D404">
                  <w:pPr>
                    <w:spacing w:line="280" w:lineRule="exact"/>
                    <w:rPr>
                      <w:color w:val="auto"/>
                    </w:rPr>
                  </w:pPr>
                </w:p>
              </w:tc>
            </w:tr>
            <w:tr w14:paraId="1DBB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4101401">
                  <w:pPr>
                    <w:spacing w:line="280" w:lineRule="exact"/>
                    <w:jc w:val="center"/>
                    <w:rPr>
                      <w:color w:val="auto"/>
                    </w:rPr>
                  </w:pPr>
                  <w:r>
                    <w:rPr>
                      <w:rFonts w:hint="eastAsia"/>
                      <w:color w:val="auto"/>
                    </w:rPr>
                    <w:t>2</w:t>
                  </w:r>
                </w:p>
              </w:tc>
              <w:tc>
                <w:tcPr>
                  <w:tcW w:w="3340" w:type="dxa"/>
                </w:tcPr>
                <w:p w14:paraId="27DC524B">
                  <w:pPr>
                    <w:spacing w:line="280" w:lineRule="exact"/>
                    <w:rPr>
                      <w:color w:val="auto"/>
                    </w:rPr>
                  </w:pPr>
                  <w:r>
                    <w:rPr>
                      <w:rFonts w:hint="eastAsia"/>
                      <w:color w:val="auto"/>
                    </w:rPr>
                    <w:t>其中：安全文明施工费</w:t>
                  </w:r>
                </w:p>
              </w:tc>
              <w:tc>
                <w:tcPr>
                  <w:tcW w:w="1764" w:type="dxa"/>
                </w:tcPr>
                <w:p w14:paraId="4A4DCF40">
                  <w:pPr>
                    <w:spacing w:line="280" w:lineRule="exact"/>
                    <w:rPr>
                      <w:color w:val="auto"/>
                    </w:rPr>
                  </w:pPr>
                </w:p>
              </w:tc>
              <w:tc>
                <w:tcPr>
                  <w:tcW w:w="2240" w:type="dxa"/>
                </w:tcPr>
                <w:p w14:paraId="2614B972">
                  <w:pPr>
                    <w:spacing w:line="280" w:lineRule="exact"/>
                    <w:rPr>
                      <w:color w:val="auto"/>
                    </w:rPr>
                  </w:pPr>
                </w:p>
              </w:tc>
              <w:tc>
                <w:tcPr>
                  <w:tcW w:w="1080" w:type="dxa"/>
                </w:tcPr>
                <w:p w14:paraId="041B132C">
                  <w:pPr>
                    <w:spacing w:line="280" w:lineRule="exact"/>
                    <w:rPr>
                      <w:color w:val="auto"/>
                    </w:rPr>
                  </w:pPr>
                </w:p>
              </w:tc>
            </w:tr>
            <w:tr w14:paraId="3FE4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3B0B1D7">
                  <w:pPr>
                    <w:spacing w:line="280" w:lineRule="exact"/>
                    <w:jc w:val="center"/>
                    <w:rPr>
                      <w:color w:val="auto"/>
                    </w:rPr>
                  </w:pPr>
                  <w:r>
                    <w:rPr>
                      <w:rFonts w:hint="eastAsia"/>
                      <w:color w:val="auto"/>
                    </w:rPr>
                    <w:t>3</w:t>
                  </w:r>
                </w:p>
              </w:tc>
              <w:tc>
                <w:tcPr>
                  <w:tcW w:w="3340" w:type="dxa"/>
                </w:tcPr>
                <w:p w14:paraId="1CA34AA4">
                  <w:pPr>
                    <w:spacing w:line="280" w:lineRule="exact"/>
                    <w:rPr>
                      <w:color w:val="auto"/>
                    </w:rPr>
                  </w:pPr>
                  <w:r>
                    <w:rPr>
                      <w:rFonts w:hint="eastAsia"/>
                      <w:color w:val="auto"/>
                    </w:rPr>
                    <w:t>应支付的预付款</w:t>
                  </w:r>
                </w:p>
              </w:tc>
              <w:tc>
                <w:tcPr>
                  <w:tcW w:w="1764" w:type="dxa"/>
                </w:tcPr>
                <w:p w14:paraId="3F733EA2">
                  <w:pPr>
                    <w:spacing w:line="280" w:lineRule="exact"/>
                    <w:rPr>
                      <w:color w:val="auto"/>
                    </w:rPr>
                  </w:pPr>
                </w:p>
              </w:tc>
              <w:tc>
                <w:tcPr>
                  <w:tcW w:w="2240" w:type="dxa"/>
                </w:tcPr>
                <w:p w14:paraId="4336AA83">
                  <w:pPr>
                    <w:spacing w:line="280" w:lineRule="exact"/>
                    <w:rPr>
                      <w:color w:val="auto"/>
                    </w:rPr>
                  </w:pPr>
                </w:p>
              </w:tc>
              <w:tc>
                <w:tcPr>
                  <w:tcW w:w="1080" w:type="dxa"/>
                </w:tcPr>
                <w:p w14:paraId="23383F61">
                  <w:pPr>
                    <w:spacing w:line="280" w:lineRule="exact"/>
                    <w:rPr>
                      <w:color w:val="auto"/>
                    </w:rPr>
                  </w:pPr>
                </w:p>
              </w:tc>
            </w:tr>
            <w:tr w14:paraId="0D19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08FBF66">
                  <w:pPr>
                    <w:spacing w:line="280" w:lineRule="exact"/>
                    <w:jc w:val="center"/>
                    <w:rPr>
                      <w:color w:val="auto"/>
                    </w:rPr>
                  </w:pPr>
                  <w:r>
                    <w:rPr>
                      <w:rFonts w:hint="eastAsia"/>
                      <w:color w:val="auto"/>
                    </w:rPr>
                    <w:t>4</w:t>
                  </w:r>
                </w:p>
              </w:tc>
              <w:tc>
                <w:tcPr>
                  <w:tcW w:w="3340" w:type="dxa"/>
                </w:tcPr>
                <w:p w14:paraId="15AE8406">
                  <w:pPr>
                    <w:spacing w:line="280" w:lineRule="exact"/>
                    <w:rPr>
                      <w:color w:val="auto"/>
                    </w:rPr>
                  </w:pPr>
                  <w:r>
                    <w:rPr>
                      <w:rFonts w:hint="eastAsia"/>
                      <w:color w:val="auto"/>
                    </w:rPr>
                    <w:t>应支付的安全文明施工费预付款</w:t>
                  </w:r>
                </w:p>
              </w:tc>
              <w:tc>
                <w:tcPr>
                  <w:tcW w:w="1764" w:type="dxa"/>
                </w:tcPr>
                <w:p w14:paraId="630B9718">
                  <w:pPr>
                    <w:spacing w:line="280" w:lineRule="exact"/>
                    <w:rPr>
                      <w:color w:val="auto"/>
                    </w:rPr>
                  </w:pPr>
                </w:p>
              </w:tc>
              <w:tc>
                <w:tcPr>
                  <w:tcW w:w="2240" w:type="dxa"/>
                </w:tcPr>
                <w:p w14:paraId="4EB06768">
                  <w:pPr>
                    <w:spacing w:line="280" w:lineRule="exact"/>
                    <w:rPr>
                      <w:color w:val="auto"/>
                    </w:rPr>
                  </w:pPr>
                </w:p>
              </w:tc>
              <w:tc>
                <w:tcPr>
                  <w:tcW w:w="1080" w:type="dxa"/>
                </w:tcPr>
                <w:p w14:paraId="607BEC01">
                  <w:pPr>
                    <w:spacing w:line="280" w:lineRule="exact"/>
                    <w:rPr>
                      <w:color w:val="auto"/>
                    </w:rPr>
                  </w:pPr>
                </w:p>
              </w:tc>
            </w:tr>
            <w:tr w14:paraId="4944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EEB8D59">
                  <w:pPr>
                    <w:spacing w:line="280" w:lineRule="exact"/>
                    <w:jc w:val="center"/>
                    <w:rPr>
                      <w:color w:val="auto"/>
                    </w:rPr>
                  </w:pPr>
                  <w:r>
                    <w:rPr>
                      <w:rFonts w:hint="eastAsia"/>
                      <w:color w:val="auto"/>
                    </w:rPr>
                    <w:t>5</w:t>
                  </w:r>
                </w:p>
              </w:tc>
              <w:tc>
                <w:tcPr>
                  <w:tcW w:w="3340" w:type="dxa"/>
                </w:tcPr>
                <w:p w14:paraId="1D9A67C0">
                  <w:pPr>
                    <w:spacing w:line="280" w:lineRule="exact"/>
                    <w:rPr>
                      <w:color w:val="auto"/>
                    </w:rPr>
                  </w:pPr>
                  <w:r>
                    <w:rPr>
                      <w:rFonts w:hint="eastAsia"/>
                      <w:color w:val="auto"/>
                    </w:rPr>
                    <w:t>合计应支付的预付款</w:t>
                  </w:r>
                </w:p>
              </w:tc>
              <w:tc>
                <w:tcPr>
                  <w:tcW w:w="1764" w:type="dxa"/>
                </w:tcPr>
                <w:p w14:paraId="478AF11D">
                  <w:pPr>
                    <w:spacing w:line="280" w:lineRule="exact"/>
                    <w:rPr>
                      <w:color w:val="auto"/>
                    </w:rPr>
                  </w:pPr>
                </w:p>
              </w:tc>
              <w:tc>
                <w:tcPr>
                  <w:tcW w:w="2240" w:type="dxa"/>
                </w:tcPr>
                <w:p w14:paraId="3850C080">
                  <w:pPr>
                    <w:spacing w:line="280" w:lineRule="exact"/>
                    <w:rPr>
                      <w:color w:val="auto"/>
                    </w:rPr>
                  </w:pPr>
                </w:p>
              </w:tc>
              <w:tc>
                <w:tcPr>
                  <w:tcW w:w="1080" w:type="dxa"/>
                </w:tcPr>
                <w:p w14:paraId="0CF5B59C">
                  <w:pPr>
                    <w:spacing w:line="280" w:lineRule="exact"/>
                    <w:rPr>
                      <w:color w:val="auto"/>
                    </w:rPr>
                  </w:pPr>
                </w:p>
              </w:tc>
            </w:tr>
            <w:tr w14:paraId="16BB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2DCAB84">
                  <w:pPr>
                    <w:spacing w:line="280" w:lineRule="exact"/>
                    <w:jc w:val="center"/>
                    <w:rPr>
                      <w:color w:val="auto"/>
                    </w:rPr>
                  </w:pPr>
                </w:p>
              </w:tc>
              <w:tc>
                <w:tcPr>
                  <w:tcW w:w="3340" w:type="dxa"/>
                </w:tcPr>
                <w:p w14:paraId="16ACCA9C">
                  <w:pPr>
                    <w:spacing w:line="280" w:lineRule="exact"/>
                    <w:rPr>
                      <w:color w:val="auto"/>
                    </w:rPr>
                  </w:pPr>
                </w:p>
              </w:tc>
              <w:tc>
                <w:tcPr>
                  <w:tcW w:w="1764" w:type="dxa"/>
                </w:tcPr>
                <w:p w14:paraId="7DE58C9F">
                  <w:pPr>
                    <w:spacing w:line="280" w:lineRule="exact"/>
                    <w:rPr>
                      <w:color w:val="auto"/>
                    </w:rPr>
                  </w:pPr>
                </w:p>
              </w:tc>
              <w:tc>
                <w:tcPr>
                  <w:tcW w:w="2240" w:type="dxa"/>
                </w:tcPr>
                <w:p w14:paraId="6A50BAAD">
                  <w:pPr>
                    <w:spacing w:line="280" w:lineRule="exact"/>
                    <w:rPr>
                      <w:color w:val="auto"/>
                    </w:rPr>
                  </w:pPr>
                </w:p>
              </w:tc>
              <w:tc>
                <w:tcPr>
                  <w:tcW w:w="1080" w:type="dxa"/>
                </w:tcPr>
                <w:p w14:paraId="3616760F">
                  <w:pPr>
                    <w:spacing w:line="280" w:lineRule="exact"/>
                    <w:rPr>
                      <w:color w:val="auto"/>
                    </w:rPr>
                  </w:pPr>
                </w:p>
              </w:tc>
            </w:tr>
          </w:tbl>
          <w:p w14:paraId="43FC4434">
            <w:pPr>
              <w:wordWrap w:val="0"/>
              <w:spacing w:line="400" w:lineRule="exact"/>
              <w:ind w:right="420"/>
              <w:rPr>
                <w:color w:val="auto"/>
              </w:rPr>
            </w:pPr>
          </w:p>
          <w:p w14:paraId="3FD14686">
            <w:pPr>
              <w:wordWrap w:val="0"/>
              <w:spacing w:line="400" w:lineRule="exact"/>
              <w:ind w:right="420"/>
              <w:rPr>
                <w:color w:val="auto"/>
              </w:rPr>
            </w:pPr>
            <w:r>
              <w:rPr>
                <w:rFonts w:hint="eastAsia"/>
                <w:color w:val="auto"/>
              </w:rPr>
              <w:t xml:space="preserve">                                            承包人（章）             </w:t>
            </w:r>
          </w:p>
          <w:p w14:paraId="5A8B4F08">
            <w:pPr>
              <w:spacing w:line="400" w:lineRule="exact"/>
              <w:ind w:right="420" w:firstLine="435"/>
              <w:rPr>
                <w:color w:val="auto"/>
              </w:rPr>
            </w:pPr>
            <w:r>
              <w:rPr>
                <w:rFonts w:hint="eastAsia"/>
                <w:color w:val="auto"/>
              </w:rPr>
              <w:t>造价人员</w:t>
            </w:r>
            <w:r>
              <w:rPr>
                <w:rFonts w:hint="eastAsia"/>
                <w:color w:val="auto"/>
                <w:u w:val="single"/>
              </w:rPr>
              <w:t xml:space="preserve">               </w:t>
            </w:r>
            <w:r>
              <w:rPr>
                <w:rFonts w:hint="eastAsia"/>
                <w:color w:val="auto"/>
              </w:rPr>
              <w:t>承包人代表</w:t>
            </w:r>
            <w:r>
              <w:rPr>
                <w:rFonts w:hint="eastAsia"/>
                <w:color w:val="auto"/>
                <w:u w:val="single"/>
              </w:rPr>
              <w:t xml:space="preserve">               </w:t>
            </w:r>
            <w:r>
              <w:rPr>
                <w:rFonts w:hint="eastAsia"/>
                <w:color w:val="auto"/>
              </w:rPr>
              <w:t>日      期</w:t>
            </w:r>
            <w:r>
              <w:rPr>
                <w:rFonts w:hint="eastAsia"/>
                <w:color w:val="auto"/>
                <w:u w:val="single"/>
              </w:rPr>
              <w:t xml:space="preserve">               </w:t>
            </w:r>
          </w:p>
        </w:tc>
      </w:tr>
      <w:tr w14:paraId="5ECB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6746EDFA">
            <w:pPr>
              <w:spacing w:line="360" w:lineRule="exact"/>
              <w:rPr>
                <w:color w:val="auto"/>
              </w:rPr>
            </w:pPr>
            <w:r>
              <w:rPr>
                <w:rFonts w:hint="eastAsia"/>
                <w:color w:val="auto"/>
              </w:rPr>
              <w:t>复核意见：</w:t>
            </w:r>
          </w:p>
          <w:p w14:paraId="27248DB4">
            <w:pPr>
              <w:spacing w:line="360" w:lineRule="exact"/>
              <w:ind w:firstLine="312"/>
              <w:rPr>
                <w:color w:val="auto"/>
              </w:rPr>
            </w:pPr>
            <w:r>
              <w:rPr>
                <w:rFonts w:hint="eastAsia"/>
                <w:color w:val="auto"/>
              </w:rPr>
              <w:t>□与合同约定不相符，修改意见见附件。</w:t>
            </w:r>
          </w:p>
          <w:p w14:paraId="405CEBDC">
            <w:pPr>
              <w:spacing w:line="360" w:lineRule="exact"/>
              <w:ind w:firstLine="312"/>
              <w:rPr>
                <w:color w:val="auto"/>
              </w:rPr>
            </w:pPr>
            <w:r>
              <w:rPr>
                <w:rFonts w:hint="eastAsia"/>
                <w:color w:val="auto"/>
              </w:rPr>
              <w:t>□与合同约定相符，具体金额由造价工程师复核。</w:t>
            </w:r>
          </w:p>
          <w:p w14:paraId="47D13CF9">
            <w:pPr>
              <w:spacing w:line="360" w:lineRule="exact"/>
              <w:ind w:firstLine="435"/>
              <w:jc w:val="right"/>
              <w:rPr>
                <w:color w:val="auto"/>
              </w:rPr>
            </w:pPr>
          </w:p>
          <w:p w14:paraId="411D056F">
            <w:pPr>
              <w:spacing w:line="360" w:lineRule="exact"/>
              <w:ind w:firstLine="435"/>
              <w:jc w:val="center"/>
              <w:rPr>
                <w:color w:val="auto"/>
                <w:u w:val="single"/>
              </w:rPr>
            </w:pPr>
            <w:r>
              <w:rPr>
                <w:color w:val="auto"/>
              </w:rPr>
              <w:t xml:space="preserve">    </w:t>
            </w:r>
            <w:r>
              <w:rPr>
                <w:rFonts w:hint="eastAsia"/>
                <w:color w:val="auto"/>
              </w:rPr>
              <w:t xml:space="preserve">     监理工程师</w:t>
            </w:r>
            <w:r>
              <w:rPr>
                <w:rFonts w:hint="eastAsia"/>
                <w:color w:val="auto"/>
                <w:u w:val="single"/>
              </w:rPr>
              <w:t xml:space="preserve">           </w:t>
            </w:r>
          </w:p>
          <w:p w14:paraId="11663929">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c>
          <w:tcPr>
            <w:tcW w:w="4552" w:type="dxa"/>
          </w:tcPr>
          <w:p w14:paraId="19AB9876">
            <w:pPr>
              <w:spacing w:line="360" w:lineRule="exact"/>
              <w:rPr>
                <w:color w:val="auto"/>
              </w:rPr>
            </w:pPr>
            <w:r>
              <w:rPr>
                <w:rFonts w:hint="eastAsia"/>
                <w:color w:val="auto"/>
              </w:rPr>
              <w:t>复核意见：</w:t>
            </w:r>
          </w:p>
          <w:p w14:paraId="6704B40B">
            <w:pPr>
              <w:spacing w:line="360" w:lineRule="exact"/>
              <w:ind w:firstLine="435"/>
              <w:rPr>
                <w:color w:val="auto"/>
              </w:rPr>
            </w:pPr>
            <w:r>
              <w:rPr>
                <w:rFonts w:hint="eastAsia"/>
                <w:color w:val="auto"/>
              </w:rPr>
              <w:t>你方提出的支付申请经复核，应支付预付款金额为（大写）</w:t>
            </w:r>
            <w:r>
              <w:rPr>
                <w:rFonts w:hint="eastAsia"/>
                <w:color w:val="auto"/>
                <w:u w:val="single"/>
              </w:rPr>
              <w:t xml:space="preserve">                </w:t>
            </w:r>
            <w:r>
              <w:rPr>
                <w:rFonts w:hint="eastAsia"/>
                <w:color w:val="auto"/>
              </w:rPr>
              <w:t>元，（小写）</w:t>
            </w:r>
          </w:p>
          <w:p w14:paraId="3A7BE748">
            <w:pPr>
              <w:spacing w:line="360" w:lineRule="exact"/>
              <w:rPr>
                <w:color w:val="auto"/>
              </w:rPr>
            </w:pPr>
            <w:r>
              <w:rPr>
                <w:rFonts w:hint="eastAsia"/>
                <w:color w:val="auto"/>
                <w:u w:val="single"/>
              </w:rPr>
              <w:t xml:space="preserve">          </w:t>
            </w:r>
            <w:r>
              <w:rPr>
                <w:rFonts w:hint="eastAsia"/>
                <w:color w:val="auto"/>
              </w:rPr>
              <w:t xml:space="preserve"> 元。</w:t>
            </w:r>
          </w:p>
          <w:p w14:paraId="3E649477">
            <w:pPr>
              <w:spacing w:line="360" w:lineRule="exact"/>
              <w:rPr>
                <w:color w:val="auto"/>
                <w:u w:val="single"/>
              </w:rPr>
            </w:pPr>
          </w:p>
          <w:p w14:paraId="33A074DE">
            <w:pPr>
              <w:spacing w:line="360" w:lineRule="exact"/>
              <w:ind w:firstLine="435"/>
              <w:jc w:val="center"/>
              <w:rPr>
                <w:color w:val="auto"/>
                <w:u w:val="single"/>
              </w:rPr>
            </w:pPr>
            <w:r>
              <w:rPr>
                <w:color w:val="auto"/>
              </w:rPr>
              <w:t xml:space="preserve">    </w:t>
            </w:r>
            <w:r>
              <w:rPr>
                <w:rFonts w:hint="eastAsia"/>
                <w:color w:val="auto"/>
              </w:rPr>
              <w:t xml:space="preserve">    造价工程师</w:t>
            </w:r>
            <w:r>
              <w:rPr>
                <w:rFonts w:hint="eastAsia"/>
                <w:color w:val="auto"/>
                <w:u w:val="single"/>
              </w:rPr>
              <w:t xml:space="preserve">           </w:t>
            </w:r>
          </w:p>
          <w:p w14:paraId="2DB0481C">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r>
      <w:tr w14:paraId="45AA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31330FD2">
            <w:pPr>
              <w:spacing w:line="400" w:lineRule="exact"/>
              <w:rPr>
                <w:color w:val="auto"/>
              </w:rPr>
            </w:pPr>
            <w:r>
              <w:rPr>
                <w:rFonts w:hint="eastAsia"/>
                <w:color w:val="auto"/>
              </w:rPr>
              <w:t>审核意见：</w:t>
            </w:r>
          </w:p>
          <w:p w14:paraId="0EF2AF41">
            <w:pPr>
              <w:spacing w:line="400" w:lineRule="exact"/>
              <w:ind w:firstLine="435"/>
              <w:rPr>
                <w:color w:val="auto"/>
              </w:rPr>
            </w:pPr>
            <w:r>
              <w:rPr>
                <w:rFonts w:hint="eastAsia"/>
                <w:color w:val="auto"/>
              </w:rPr>
              <w:t>□不同意。</w:t>
            </w:r>
          </w:p>
          <w:p w14:paraId="0F39FA6D">
            <w:pPr>
              <w:spacing w:line="400" w:lineRule="exact"/>
              <w:ind w:firstLine="420" w:firstLineChars="200"/>
              <w:rPr>
                <w:color w:val="auto"/>
              </w:rPr>
            </w:pPr>
            <w:r>
              <w:rPr>
                <w:rFonts w:hint="eastAsia"/>
                <w:color w:val="auto"/>
              </w:rPr>
              <w:t>□同意，支付时间为本表签发后的15天内。</w:t>
            </w:r>
          </w:p>
          <w:p w14:paraId="3E48E8B6">
            <w:pPr>
              <w:wordWrap w:val="0"/>
              <w:spacing w:line="400" w:lineRule="exact"/>
              <w:ind w:firstLine="420" w:firstLineChars="200"/>
              <w:jc w:val="right"/>
              <w:rPr>
                <w:color w:val="auto"/>
              </w:rPr>
            </w:pPr>
            <w:r>
              <w:rPr>
                <w:rFonts w:hint="eastAsia"/>
                <w:color w:val="auto"/>
              </w:rPr>
              <w:t xml:space="preserve">发包人（章）           </w:t>
            </w:r>
          </w:p>
          <w:p w14:paraId="0E14620A">
            <w:pPr>
              <w:wordWrap w:val="0"/>
              <w:spacing w:line="400" w:lineRule="exact"/>
              <w:ind w:firstLine="420" w:firstLineChars="200"/>
              <w:jc w:val="right"/>
              <w:rPr>
                <w:color w:val="auto"/>
                <w:u w:val="single"/>
              </w:rPr>
            </w:pPr>
            <w:r>
              <w:rPr>
                <w:rFonts w:hint="eastAsia"/>
                <w:color w:val="auto"/>
              </w:rPr>
              <w:t>发包人代表</w:t>
            </w:r>
            <w:r>
              <w:rPr>
                <w:rFonts w:hint="eastAsia"/>
                <w:color w:val="auto"/>
                <w:u w:val="single"/>
              </w:rPr>
              <w:t xml:space="preserve">             </w:t>
            </w:r>
          </w:p>
          <w:p w14:paraId="3F01DDE5">
            <w:pPr>
              <w:wordWrap w:val="0"/>
              <w:spacing w:line="400" w:lineRule="exact"/>
              <w:ind w:firstLine="420" w:firstLineChars="200"/>
              <w:jc w:val="right"/>
              <w:rPr>
                <w:color w:val="auto"/>
                <w:u w:val="single"/>
              </w:rPr>
            </w:pPr>
            <w:r>
              <w:rPr>
                <w:rFonts w:hint="eastAsia"/>
                <w:color w:val="auto"/>
              </w:rPr>
              <w:t>日      期</w:t>
            </w:r>
            <w:r>
              <w:rPr>
                <w:rFonts w:hint="eastAsia"/>
                <w:color w:val="auto"/>
                <w:u w:val="single"/>
              </w:rPr>
              <w:t xml:space="preserve">             </w:t>
            </w:r>
          </w:p>
        </w:tc>
      </w:tr>
    </w:tbl>
    <w:p w14:paraId="342CEB5E">
      <w:pPr>
        <w:spacing w:before="120" w:beforeLines="50"/>
        <w:ind w:firstLine="360" w:firstLineChars="200"/>
        <w:rPr>
          <w:color w:val="auto"/>
          <w:sz w:val="18"/>
          <w:szCs w:val="18"/>
        </w:rPr>
      </w:pPr>
      <w:r>
        <w:rPr>
          <w:rFonts w:hint="eastAsia"/>
          <w:color w:val="auto"/>
          <w:sz w:val="18"/>
          <w:szCs w:val="18"/>
        </w:rPr>
        <w:t xml:space="preserve">注：1.在选择栏中的“□”内作标识“√”。 </w:t>
      </w:r>
    </w:p>
    <w:p w14:paraId="3A4E4A91">
      <w:pPr>
        <w:spacing w:before="120" w:beforeLines="50"/>
        <w:ind w:left="720" w:hanging="720" w:hangingChars="400"/>
        <w:rPr>
          <w:rFonts w:eastAsia="仿宋_GB2312"/>
          <w:color w:val="auto"/>
          <w:sz w:val="30"/>
          <w:szCs w:val="30"/>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688F7936">
      <w:pPr>
        <w:spacing w:before="120" w:beforeLines="50"/>
        <w:ind w:left="1200" w:hanging="1200" w:hangingChars="400"/>
        <w:rPr>
          <w:rFonts w:eastAsia="仿宋_GB2312"/>
          <w:color w:val="auto"/>
          <w:sz w:val="30"/>
          <w:szCs w:val="30"/>
        </w:rPr>
      </w:pPr>
    </w:p>
    <w:p w14:paraId="6329F2F8">
      <w:pPr>
        <w:spacing w:before="120" w:beforeLines="50"/>
        <w:ind w:left="1200" w:hanging="1200" w:hangingChars="400"/>
        <w:rPr>
          <w:rFonts w:eastAsia="仿宋_GB2312"/>
          <w:color w:val="auto"/>
          <w:sz w:val="30"/>
          <w:szCs w:val="30"/>
        </w:rPr>
      </w:pPr>
      <w:r>
        <w:rPr>
          <w:rFonts w:hint="eastAsia" w:eastAsia="仿宋_GB2312"/>
          <w:color w:val="auto"/>
          <w:sz w:val="30"/>
          <w:szCs w:val="30"/>
        </w:rPr>
        <w:t>附件11：</w:t>
      </w:r>
    </w:p>
    <w:p w14:paraId="5B5AF294">
      <w:pPr>
        <w:jc w:val="center"/>
        <w:rPr>
          <w:b/>
          <w:color w:val="auto"/>
          <w:sz w:val="36"/>
          <w:szCs w:val="36"/>
        </w:rPr>
      </w:pPr>
      <w:r>
        <w:rPr>
          <w:rFonts w:hint="eastAsia"/>
          <w:b/>
          <w:color w:val="auto"/>
          <w:sz w:val="36"/>
          <w:szCs w:val="36"/>
        </w:rPr>
        <w:t>进度款支付申请（核准）表</w:t>
      </w:r>
    </w:p>
    <w:p w14:paraId="4B18F37A">
      <w:pPr>
        <w:rPr>
          <w:color w:val="auto"/>
          <w:sz w:val="24"/>
        </w:rPr>
      </w:pPr>
      <w:r>
        <w:rPr>
          <w:rFonts w:hint="eastAsia"/>
          <w:color w:val="auto"/>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03BB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174175C0">
            <w:pPr>
              <w:spacing w:line="480" w:lineRule="exact"/>
              <w:ind w:left="525" w:leftChars="149" w:hanging="212" w:hangingChars="101"/>
              <w:rPr>
                <w:color w:val="auto"/>
                <w:u w:val="single"/>
              </w:rPr>
            </w:pPr>
            <w:r>
              <w:rPr>
                <w:rFonts w:hint="eastAsia"/>
                <w:color w:val="auto"/>
              </w:rPr>
              <w:t>致：</w:t>
            </w:r>
            <w:r>
              <w:rPr>
                <w:rFonts w:hint="eastAsia"/>
                <w:color w:val="auto"/>
                <w:u w:val="single"/>
              </w:rPr>
              <w:t xml:space="preserve">                                   （发包人全称）</w:t>
            </w:r>
          </w:p>
          <w:p w14:paraId="454F05D7">
            <w:pPr>
              <w:spacing w:line="400" w:lineRule="exact"/>
              <w:ind w:left="-4" w:leftChars="-2" w:firstLine="315" w:firstLineChars="150"/>
              <w:rPr>
                <w:color w:val="auto"/>
              </w:rPr>
            </w:pPr>
            <w:r>
              <w:rPr>
                <w:rFonts w:hint="eastAsia"/>
                <w:color w:val="auto"/>
              </w:rPr>
              <w:t>我方于</w:t>
            </w:r>
            <w:r>
              <w:rPr>
                <w:rFonts w:hint="eastAsia"/>
                <w:color w:val="auto"/>
                <w:u w:val="single"/>
              </w:rPr>
              <w:t xml:space="preserve">         </w:t>
            </w:r>
            <w:r>
              <w:rPr>
                <w:rFonts w:hint="eastAsia"/>
                <w:color w:val="auto"/>
              </w:rPr>
              <w:t>至</w:t>
            </w:r>
            <w:r>
              <w:rPr>
                <w:rFonts w:hint="eastAsia"/>
                <w:color w:val="auto"/>
                <w:u w:val="single"/>
              </w:rPr>
              <w:t xml:space="preserve">          </w:t>
            </w:r>
            <w:r>
              <w:rPr>
                <w:rFonts w:hint="eastAsia"/>
                <w:color w:val="auto"/>
              </w:rPr>
              <w:t>期间已完成了</w:t>
            </w:r>
            <w:r>
              <w:rPr>
                <w:rFonts w:hint="eastAsia"/>
                <w:color w:val="auto"/>
                <w:u w:val="single"/>
              </w:rPr>
              <w:t xml:space="preserve">               </w:t>
            </w:r>
            <w:r>
              <w:rPr>
                <w:rFonts w:hint="eastAsia"/>
                <w:color w:val="auto"/>
              </w:rPr>
              <w:t>工作，根据施工合同的约定，现申请支付本期的合同款额为（大写）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4220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39FE0B3">
                  <w:pPr>
                    <w:spacing w:line="280" w:lineRule="exact"/>
                    <w:jc w:val="center"/>
                    <w:rPr>
                      <w:color w:val="auto"/>
                    </w:rPr>
                  </w:pPr>
                  <w:r>
                    <w:rPr>
                      <w:rFonts w:hint="eastAsia"/>
                      <w:color w:val="auto"/>
                    </w:rPr>
                    <w:t>序号</w:t>
                  </w:r>
                </w:p>
              </w:tc>
              <w:tc>
                <w:tcPr>
                  <w:tcW w:w="3340" w:type="dxa"/>
                  <w:vAlign w:val="center"/>
                </w:tcPr>
                <w:p w14:paraId="277BF378">
                  <w:pPr>
                    <w:spacing w:line="280" w:lineRule="exact"/>
                    <w:jc w:val="center"/>
                    <w:rPr>
                      <w:color w:val="auto"/>
                    </w:rPr>
                  </w:pPr>
                  <w:r>
                    <w:rPr>
                      <w:rFonts w:hint="eastAsia"/>
                      <w:color w:val="auto"/>
                    </w:rPr>
                    <w:t>名      称</w:t>
                  </w:r>
                </w:p>
              </w:tc>
              <w:tc>
                <w:tcPr>
                  <w:tcW w:w="1340" w:type="dxa"/>
                  <w:vAlign w:val="center"/>
                </w:tcPr>
                <w:p w14:paraId="5937FE29">
                  <w:pPr>
                    <w:spacing w:line="280" w:lineRule="exact"/>
                    <w:jc w:val="center"/>
                    <w:rPr>
                      <w:color w:val="auto"/>
                    </w:rPr>
                  </w:pPr>
                  <w:r>
                    <w:rPr>
                      <w:rFonts w:hint="eastAsia"/>
                      <w:color w:val="auto"/>
                    </w:rPr>
                    <w:t>实际金额（元）</w:t>
                  </w:r>
                </w:p>
              </w:tc>
              <w:tc>
                <w:tcPr>
                  <w:tcW w:w="1440" w:type="dxa"/>
                  <w:vAlign w:val="center"/>
                </w:tcPr>
                <w:p w14:paraId="541E543E">
                  <w:pPr>
                    <w:spacing w:line="280" w:lineRule="exact"/>
                    <w:jc w:val="center"/>
                    <w:rPr>
                      <w:color w:val="auto"/>
                    </w:rPr>
                  </w:pPr>
                  <w:r>
                    <w:rPr>
                      <w:rFonts w:hint="eastAsia"/>
                      <w:color w:val="auto"/>
                    </w:rPr>
                    <w:t>申请金额（元）</w:t>
                  </w:r>
                </w:p>
              </w:tc>
              <w:tc>
                <w:tcPr>
                  <w:tcW w:w="1260" w:type="dxa"/>
                  <w:vAlign w:val="center"/>
                </w:tcPr>
                <w:p w14:paraId="2A92B733">
                  <w:pPr>
                    <w:spacing w:line="280" w:lineRule="exact"/>
                    <w:jc w:val="center"/>
                    <w:rPr>
                      <w:color w:val="auto"/>
                    </w:rPr>
                  </w:pPr>
                  <w:r>
                    <w:rPr>
                      <w:rFonts w:hint="eastAsia"/>
                      <w:color w:val="auto"/>
                    </w:rPr>
                    <w:t>复核金额（元）</w:t>
                  </w:r>
                </w:p>
              </w:tc>
              <w:tc>
                <w:tcPr>
                  <w:tcW w:w="931" w:type="dxa"/>
                  <w:vAlign w:val="center"/>
                </w:tcPr>
                <w:p w14:paraId="598AEFD9">
                  <w:pPr>
                    <w:spacing w:line="280" w:lineRule="exact"/>
                    <w:jc w:val="center"/>
                    <w:rPr>
                      <w:color w:val="auto"/>
                    </w:rPr>
                  </w:pPr>
                  <w:r>
                    <w:rPr>
                      <w:rFonts w:hint="eastAsia"/>
                      <w:color w:val="auto"/>
                    </w:rPr>
                    <w:t>备注</w:t>
                  </w:r>
                </w:p>
              </w:tc>
            </w:tr>
            <w:tr w14:paraId="085E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403590">
                  <w:pPr>
                    <w:spacing w:line="280" w:lineRule="exact"/>
                    <w:jc w:val="center"/>
                    <w:rPr>
                      <w:color w:val="auto"/>
                    </w:rPr>
                  </w:pPr>
                  <w:r>
                    <w:rPr>
                      <w:rFonts w:hint="eastAsia"/>
                      <w:color w:val="auto"/>
                    </w:rPr>
                    <w:t>1</w:t>
                  </w:r>
                </w:p>
              </w:tc>
              <w:tc>
                <w:tcPr>
                  <w:tcW w:w="3340" w:type="dxa"/>
                </w:tcPr>
                <w:p w14:paraId="7653C0AF">
                  <w:pPr>
                    <w:spacing w:line="280" w:lineRule="exact"/>
                    <w:rPr>
                      <w:color w:val="auto"/>
                    </w:rPr>
                  </w:pPr>
                  <w:r>
                    <w:rPr>
                      <w:rFonts w:hint="eastAsia"/>
                      <w:color w:val="auto"/>
                    </w:rPr>
                    <w:t>累计已完成的工程价款</w:t>
                  </w:r>
                </w:p>
              </w:tc>
              <w:tc>
                <w:tcPr>
                  <w:tcW w:w="1340" w:type="dxa"/>
                </w:tcPr>
                <w:p w14:paraId="0613DEA8">
                  <w:pPr>
                    <w:spacing w:line="280" w:lineRule="exact"/>
                    <w:rPr>
                      <w:color w:val="auto"/>
                    </w:rPr>
                  </w:pPr>
                </w:p>
              </w:tc>
              <w:tc>
                <w:tcPr>
                  <w:tcW w:w="1440" w:type="dxa"/>
                </w:tcPr>
                <w:p w14:paraId="435187DB">
                  <w:pPr>
                    <w:spacing w:line="280" w:lineRule="exact"/>
                    <w:rPr>
                      <w:color w:val="auto"/>
                    </w:rPr>
                  </w:pPr>
                </w:p>
              </w:tc>
              <w:tc>
                <w:tcPr>
                  <w:tcW w:w="1260" w:type="dxa"/>
                </w:tcPr>
                <w:p w14:paraId="29D5B892">
                  <w:pPr>
                    <w:spacing w:line="280" w:lineRule="exact"/>
                    <w:rPr>
                      <w:color w:val="auto"/>
                    </w:rPr>
                  </w:pPr>
                </w:p>
              </w:tc>
              <w:tc>
                <w:tcPr>
                  <w:tcW w:w="931" w:type="dxa"/>
                </w:tcPr>
                <w:p w14:paraId="071694FB">
                  <w:pPr>
                    <w:spacing w:line="280" w:lineRule="exact"/>
                    <w:rPr>
                      <w:color w:val="auto"/>
                    </w:rPr>
                  </w:pPr>
                </w:p>
              </w:tc>
            </w:tr>
            <w:tr w14:paraId="688D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B90917A">
                  <w:pPr>
                    <w:spacing w:line="280" w:lineRule="exact"/>
                    <w:jc w:val="center"/>
                    <w:rPr>
                      <w:color w:val="auto"/>
                    </w:rPr>
                  </w:pPr>
                </w:p>
              </w:tc>
              <w:tc>
                <w:tcPr>
                  <w:tcW w:w="3340" w:type="dxa"/>
                </w:tcPr>
                <w:p w14:paraId="1429A7AD">
                  <w:pPr>
                    <w:spacing w:line="280" w:lineRule="exact"/>
                    <w:rPr>
                      <w:color w:val="auto"/>
                    </w:rPr>
                  </w:pPr>
                  <w:r>
                    <w:rPr>
                      <w:rFonts w:hint="eastAsia"/>
                      <w:color w:val="auto"/>
                    </w:rPr>
                    <w:t>其中：人工费</w:t>
                  </w:r>
                </w:p>
              </w:tc>
              <w:tc>
                <w:tcPr>
                  <w:tcW w:w="1340" w:type="dxa"/>
                </w:tcPr>
                <w:p w14:paraId="1D124DB9">
                  <w:pPr>
                    <w:spacing w:line="280" w:lineRule="exact"/>
                    <w:rPr>
                      <w:color w:val="auto"/>
                    </w:rPr>
                  </w:pPr>
                </w:p>
              </w:tc>
              <w:tc>
                <w:tcPr>
                  <w:tcW w:w="1440" w:type="dxa"/>
                </w:tcPr>
                <w:p w14:paraId="623C7CAF">
                  <w:pPr>
                    <w:spacing w:line="280" w:lineRule="exact"/>
                    <w:rPr>
                      <w:color w:val="auto"/>
                    </w:rPr>
                  </w:pPr>
                </w:p>
              </w:tc>
              <w:tc>
                <w:tcPr>
                  <w:tcW w:w="1260" w:type="dxa"/>
                </w:tcPr>
                <w:p w14:paraId="4588348B">
                  <w:pPr>
                    <w:spacing w:line="280" w:lineRule="exact"/>
                    <w:rPr>
                      <w:color w:val="auto"/>
                    </w:rPr>
                  </w:pPr>
                </w:p>
              </w:tc>
              <w:tc>
                <w:tcPr>
                  <w:tcW w:w="931" w:type="dxa"/>
                </w:tcPr>
                <w:p w14:paraId="155492B6">
                  <w:pPr>
                    <w:spacing w:line="280" w:lineRule="exact"/>
                    <w:rPr>
                      <w:color w:val="auto"/>
                    </w:rPr>
                  </w:pPr>
                </w:p>
              </w:tc>
            </w:tr>
            <w:tr w14:paraId="776F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8CF01DB">
                  <w:pPr>
                    <w:spacing w:line="280" w:lineRule="exact"/>
                    <w:jc w:val="center"/>
                    <w:rPr>
                      <w:color w:val="auto"/>
                    </w:rPr>
                  </w:pPr>
                  <w:r>
                    <w:rPr>
                      <w:rFonts w:hint="eastAsia"/>
                      <w:color w:val="auto"/>
                    </w:rPr>
                    <w:t>2</w:t>
                  </w:r>
                </w:p>
              </w:tc>
              <w:tc>
                <w:tcPr>
                  <w:tcW w:w="3340" w:type="dxa"/>
                </w:tcPr>
                <w:p w14:paraId="0886D84C">
                  <w:pPr>
                    <w:spacing w:line="280" w:lineRule="exact"/>
                    <w:rPr>
                      <w:color w:val="auto"/>
                    </w:rPr>
                  </w:pPr>
                  <w:r>
                    <w:rPr>
                      <w:rFonts w:hint="eastAsia"/>
                      <w:color w:val="auto"/>
                    </w:rPr>
                    <w:t>累计已实际支付的工程价款</w:t>
                  </w:r>
                </w:p>
              </w:tc>
              <w:tc>
                <w:tcPr>
                  <w:tcW w:w="1340" w:type="dxa"/>
                </w:tcPr>
                <w:p w14:paraId="382495C1">
                  <w:pPr>
                    <w:spacing w:line="280" w:lineRule="exact"/>
                    <w:rPr>
                      <w:color w:val="auto"/>
                    </w:rPr>
                  </w:pPr>
                </w:p>
              </w:tc>
              <w:tc>
                <w:tcPr>
                  <w:tcW w:w="1440" w:type="dxa"/>
                </w:tcPr>
                <w:p w14:paraId="6E91E527">
                  <w:pPr>
                    <w:spacing w:line="280" w:lineRule="exact"/>
                    <w:rPr>
                      <w:color w:val="auto"/>
                    </w:rPr>
                  </w:pPr>
                </w:p>
              </w:tc>
              <w:tc>
                <w:tcPr>
                  <w:tcW w:w="1260" w:type="dxa"/>
                </w:tcPr>
                <w:p w14:paraId="6E10F36A">
                  <w:pPr>
                    <w:spacing w:line="280" w:lineRule="exact"/>
                    <w:rPr>
                      <w:color w:val="auto"/>
                    </w:rPr>
                  </w:pPr>
                </w:p>
              </w:tc>
              <w:tc>
                <w:tcPr>
                  <w:tcW w:w="931" w:type="dxa"/>
                </w:tcPr>
                <w:p w14:paraId="1B57193A">
                  <w:pPr>
                    <w:spacing w:line="280" w:lineRule="exact"/>
                    <w:rPr>
                      <w:color w:val="auto"/>
                    </w:rPr>
                  </w:pPr>
                </w:p>
              </w:tc>
            </w:tr>
            <w:tr w14:paraId="1639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0F598AB3">
                  <w:pPr>
                    <w:spacing w:line="280" w:lineRule="exact"/>
                    <w:jc w:val="center"/>
                    <w:rPr>
                      <w:color w:val="auto"/>
                    </w:rPr>
                  </w:pPr>
                </w:p>
              </w:tc>
              <w:tc>
                <w:tcPr>
                  <w:tcW w:w="3340" w:type="dxa"/>
                </w:tcPr>
                <w:p w14:paraId="792AB995">
                  <w:pPr>
                    <w:spacing w:line="280" w:lineRule="exact"/>
                    <w:rPr>
                      <w:color w:val="auto"/>
                    </w:rPr>
                  </w:pPr>
                  <w:r>
                    <w:rPr>
                      <w:rFonts w:hint="eastAsia"/>
                      <w:color w:val="auto"/>
                    </w:rPr>
                    <w:t>其中：人工费</w:t>
                  </w:r>
                </w:p>
              </w:tc>
              <w:tc>
                <w:tcPr>
                  <w:tcW w:w="1340" w:type="dxa"/>
                </w:tcPr>
                <w:p w14:paraId="771E910C">
                  <w:pPr>
                    <w:spacing w:line="280" w:lineRule="exact"/>
                    <w:rPr>
                      <w:color w:val="auto"/>
                    </w:rPr>
                  </w:pPr>
                </w:p>
              </w:tc>
              <w:tc>
                <w:tcPr>
                  <w:tcW w:w="1440" w:type="dxa"/>
                </w:tcPr>
                <w:p w14:paraId="6AAF6661">
                  <w:pPr>
                    <w:spacing w:line="280" w:lineRule="exact"/>
                    <w:rPr>
                      <w:color w:val="auto"/>
                    </w:rPr>
                  </w:pPr>
                </w:p>
              </w:tc>
              <w:tc>
                <w:tcPr>
                  <w:tcW w:w="1260" w:type="dxa"/>
                </w:tcPr>
                <w:p w14:paraId="65F77C2A">
                  <w:pPr>
                    <w:spacing w:line="280" w:lineRule="exact"/>
                    <w:rPr>
                      <w:color w:val="auto"/>
                    </w:rPr>
                  </w:pPr>
                </w:p>
              </w:tc>
              <w:tc>
                <w:tcPr>
                  <w:tcW w:w="931" w:type="dxa"/>
                </w:tcPr>
                <w:p w14:paraId="62634ACC">
                  <w:pPr>
                    <w:spacing w:line="280" w:lineRule="exact"/>
                    <w:rPr>
                      <w:color w:val="auto"/>
                    </w:rPr>
                  </w:pPr>
                </w:p>
              </w:tc>
            </w:tr>
            <w:tr w14:paraId="3D02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F46F00">
                  <w:pPr>
                    <w:spacing w:line="280" w:lineRule="exact"/>
                    <w:jc w:val="center"/>
                    <w:rPr>
                      <w:color w:val="auto"/>
                    </w:rPr>
                  </w:pPr>
                  <w:r>
                    <w:rPr>
                      <w:rFonts w:hint="eastAsia"/>
                      <w:color w:val="auto"/>
                    </w:rPr>
                    <w:t>3</w:t>
                  </w:r>
                </w:p>
              </w:tc>
              <w:tc>
                <w:tcPr>
                  <w:tcW w:w="3340" w:type="dxa"/>
                </w:tcPr>
                <w:p w14:paraId="4F532EA3">
                  <w:pPr>
                    <w:spacing w:line="280" w:lineRule="exact"/>
                    <w:rPr>
                      <w:color w:val="auto"/>
                    </w:rPr>
                  </w:pPr>
                  <w:r>
                    <w:rPr>
                      <w:rFonts w:hint="eastAsia"/>
                      <w:color w:val="auto"/>
                    </w:rPr>
                    <w:t>本周期已完成的工程价款</w:t>
                  </w:r>
                </w:p>
              </w:tc>
              <w:tc>
                <w:tcPr>
                  <w:tcW w:w="1340" w:type="dxa"/>
                </w:tcPr>
                <w:p w14:paraId="453102AC">
                  <w:pPr>
                    <w:spacing w:line="280" w:lineRule="exact"/>
                    <w:rPr>
                      <w:color w:val="auto"/>
                    </w:rPr>
                  </w:pPr>
                </w:p>
              </w:tc>
              <w:tc>
                <w:tcPr>
                  <w:tcW w:w="1440" w:type="dxa"/>
                </w:tcPr>
                <w:p w14:paraId="04406A10">
                  <w:pPr>
                    <w:spacing w:line="280" w:lineRule="exact"/>
                    <w:rPr>
                      <w:color w:val="auto"/>
                    </w:rPr>
                  </w:pPr>
                </w:p>
              </w:tc>
              <w:tc>
                <w:tcPr>
                  <w:tcW w:w="1260" w:type="dxa"/>
                </w:tcPr>
                <w:p w14:paraId="363198AB">
                  <w:pPr>
                    <w:spacing w:line="280" w:lineRule="exact"/>
                    <w:rPr>
                      <w:color w:val="auto"/>
                    </w:rPr>
                  </w:pPr>
                </w:p>
              </w:tc>
              <w:tc>
                <w:tcPr>
                  <w:tcW w:w="931" w:type="dxa"/>
                </w:tcPr>
                <w:p w14:paraId="27BA9C15">
                  <w:pPr>
                    <w:spacing w:line="280" w:lineRule="exact"/>
                    <w:rPr>
                      <w:color w:val="auto"/>
                    </w:rPr>
                  </w:pPr>
                </w:p>
              </w:tc>
            </w:tr>
            <w:tr w14:paraId="4F2C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29061CF3">
                  <w:pPr>
                    <w:spacing w:line="280" w:lineRule="exact"/>
                    <w:jc w:val="center"/>
                    <w:rPr>
                      <w:color w:val="auto"/>
                    </w:rPr>
                  </w:pPr>
                </w:p>
              </w:tc>
              <w:tc>
                <w:tcPr>
                  <w:tcW w:w="3340" w:type="dxa"/>
                </w:tcPr>
                <w:p w14:paraId="6A916A32">
                  <w:pPr>
                    <w:spacing w:line="280" w:lineRule="exact"/>
                    <w:rPr>
                      <w:color w:val="auto"/>
                    </w:rPr>
                  </w:pPr>
                  <w:r>
                    <w:rPr>
                      <w:rFonts w:hint="eastAsia"/>
                      <w:color w:val="auto"/>
                    </w:rPr>
                    <w:t>其中：人工费</w:t>
                  </w:r>
                </w:p>
              </w:tc>
              <w:tc>
                <w:tcPr>
                  <w:tcW w:w="1340" w:type="dxa"/>
                </w:tcPr>
                <w:p w14:paraId="67A3EAC9">
                  <w:pPr>
                    <w:spacing w:line="280" w:lineRule="exact"/>
                    <w:rPr>
                      <w:color w:val="auto"/>
                    </w:rPr>
                  </w:pPr>
                </w:p>
              </w:tc>
              <w:tc>
                <w:tcPr>
                  <w:tcW w:w="1440" w:type="dxa"/>
                </w:tcPr>
                <w:p w14:paraId="16730D12">
                  <w:pPr>
                    <w:spacing w:line="280" w:lineRule="exact"/>
                    <w:rPr>
                      <w:color w:val="auto"/>
                    </w:rPr>
                  </w:pPr>
                </w:p>
              </w:tc>
              <w:tc>
                <w:tcPr>
                  <w:tcW w:w="1260" w:type="dxa"/>
                </w:tcPr>
                <w:p w14:paraId="56C91C2B">
                  <w:pPr>
                    <w:spacing w:line="280" w:lineRule="exact"/>
                    <w:rPr>
                      <w:color w:val="auto"/>
                    </w:rPr>
                  </w:pPr>
                </w:p>
              </w:tc>
              <w:tc>
                <w:tcPr>
                  <w:tcW w:w="931" w:type="dxa"/>
                </w:tcPr>
                <w:p w14:paraId="7C4A7309">
                  <w:pPr>
                    <w:spacing w:line="280" w:lineRule="exact"/>
                    <w:rPr>
                      <w:color w:val="auto"/>
                    </w:rPr>
                  </w:pPr>
                </w:p>
              </w:tc>
            </w:tr>
            <w:tr w14:paraId="2A9E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B4E0F0C">
                  <w:pPr>
                    <w:spacing w:line="280" w:lineRule="exact"/>
                    <w:jc w:val="center"/>
                    <w:rPr>
                      <w:color w:val="auto"/>
                    </w:rPr>
                  </w:pPr>
                  <w:r>
                    <w:rPr>
                      <w:rFonts w:hint="eastAsia"/>
                      <w:color w:val="auto"/>
                    </w:rPr>
                    <w:t>4</w:t>
                  </w:r>
                </w:p>
              </w:tc>
              <w:tc>
                <w:tcPr>
                  <w:tcW w:w="3340" w:type="dxa"/>
                </w:tcPr>
                <w:p w14:paraId="2CA424D0">
                  <w:pPr>
                    <w:spacing w:line="280" w:lineRule="exact"/>
                    <w:rPr>
                      <w:color w:val="auto"/>
                    </w:rPr>
                  </w:pPr>
                  <w:r>
                    <w:rPr>
                      <w:rFonts w:hint="eastAsia"/>
                      <w:color w:val="auto"/>
                    </w:rPr>
                    <w:t>本周期应扣减的金额</w:t>
                  </w:r>
                </w:p>
              </w:tc>
              <w:tc>
                <w:tcPr>
                  <w:tcW w:w="1340" w:type="dxa"/>
                </w:tcPr>
                <w:p w14:paraId="3025174E">
                  <w:pPr>
                    <w:spacing w:line="280" w:lineRule="exact"/>
                    <w:rPr>
                      <w:color w:val="auto"/>
                    </w:rPr>
                  </w:pPr>
                </w:p>
              </w:tc>
              <w:tc>
                <w:tcPr>
                  <w:tcW w:w="1440" w:type="dxa"/>
                </w:tcPr>
                <w:p w14:paraId="19FBD9B7">
                  <w:pPr>
                    <w:spacing w:line="280" w:lineRule="exact"/>
                    <w:rPr>
                      <w:color w:val="auto"/>
                    </w:rPr>
                  </w:pPr>
                </w:p>
              </w:tc>
              <w:tc>
                <w:tcPr>
                  <w:tcW w:w="1260" w:type="dxa"/>
                </w:tcPr>
                <w:p w14:paraId="6DDBF4CE">
                  <w:pPr>
                    <w:spacing w:line="280" w:lineRule="exact"/>
                    <w:rPr>
                      <w:color w:val="auto"/>
                    </w:rPr>
                  </w:pPr>
                </w:p>
              </w:tc>
              <w:tc>
                <w:tcPr>
                  <w:tcW w:w="931" w:type="dxa"/>
                </w:tcPr>
                <w:p w14:paraId="2A4B6CF0">
                  <w:pPr>
                    <w:spacing w:line="280" w:lineRule="exact"/>
                    <w:rPr>
                      <w:color w:val="auto"/>
                    </w:rPr>
                  </w:pPr>
                </w:p>
              </w:tc>
            </w:tr>
            <w:tr w14:paraId="6F85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2E2ECBFB">
                  <w:pPr>
                    <w:spacing w:line="280" w:lineRule="exact"/>
                    <w:jc w:val="center"/>
                    <w:rPr>
                      <w:color w:val="auto"/>
                    </w:rPr>
                  </w:pPr>
                  <w:r>
                    <w:rPr>
                      <w:rFonts w:hint="eastAsia"/>
                      <w:color w:val="auto"/>
                    </w:rPr>
                    <w:t>4.1</w:t>
                  </w:r>
                </w:p>
              </w:tc>
              <w:tc>
                <w:tcPr>
                  <w:tcW w:w="3340" w:type="dxa"/>
                </w:tcPr>
                <w:p w14:paraId="54542EFA">
                  <w:pPr>
                    <w:spacing w:line="280" w:lineRule="exact"/>
                    <w:rPr>
                      <w:color w:val="auto"/>
                    </w:rPr>
                  </w:pPr>
                  <w:r>
                    <w:rPr>
                      <w:rFonts w:hint="eastAsia"/>
                      <w:color w:val="auto"/>
                    </w:rPr>
                    <w:t>本周期实际应抵扣的预付款</w:t>
                  </w:r>
                </w:p>
              </w:tc>
              <w:tc>
                <w:tcPr>
                  <w:tcW w:w="1340" w:type="dxa"/>
                </w:tcPr>
                <w:p w14:paraId="3C9B2202">
                  <w:pPr>
                    <w:spacing w:line="280" w:lineRule="exact"/>
                    <w:rPr>
                      <w:color w:val="auto"/>
                    </w:rPr>
                  </w:pPr>
                </w:p>
              </w:tc>
              <w:tc>
                <w:tcPr>
                  <w:tcW w:w="1440" w:type="dxa"/>
                </w:tcPr>
                <w:p w14:paraId="267483DD">
                  <w:pPr>
                    <w:spacing w:line="280" w:lineRule="exact"/>
                    <w:rPr>
                      <w:color w:val="auto"/>
                    </w:rPr>
                  </w:pPr>
                </w:p>
              </w:tc>
              <w:tc>
                <w:tcPr>
                  <w:tcW w:w="1260" w:type="dxa"/>
                </w:tcPr>
                <w:p w14:paraId="5EF386A8">
                  <w:pPr>
                    <w:spacing w:line="280" w:lineRule="exact"/>
                    <w:rPr>
                      <w:color w:val="auto"/>
                    </w:rPr>
                  </w:pPr>
                </w:p>
              </w:tc>
              <w:tc>
                <w:tcPr>
                  <w:tcW w:w="931" w:type="dxa"/>
                </w:tcPr>
                <w:p w14:paraId="3F81BEE9">
                  <w:pPr>
                    <w:spacing w:line="280" w:lineRule="exact"/>
                    <w:rPr>
                      <w:color w:val="auto"/>
                    </w:rPr>
                  </w:pPr>
                </w:p>
              </w:tc>
            </w:tr>
            <w:tr w14:paraId="4168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B70A04F">
                  <w:pPr>
                    <w:spacing w:line="280" w:lineRule="exact"/>
                    <w:jc w:val="center"/>
                    <w:rPr>
                      <w:color w:val="auto"/>
                    </w:rPr>
                  </w:pPr>
                  <w:r>
                    <w:rPr>
                      <w:rFonts w:hint="eastAsia"/>
                      <w:color w:val="auto"/>
                    </w:rPr>
                    <w:t>4.2</w:t>
                  </w:r>
                </w:p>
              </w:tc>
              <w:tc>
                <w:tcPr>
                  <w:tcW w:w="3340" w:type="dxa"/>
                </w:tcPr>
                <w:p w14:paraId="2AC2F734">
                  <w:pPr>
                    <w:spacing w:line="280" w:lineRule="exact"/>
                    <w:rPr>
                      <w:color w:val="auto"/>
                    </w:rPr>
                  </w:pPr>
                  <w:r>
                    <w:rPr>
                      <w:rFonts w:hint="eastAsia"/>
                      <w:color w:val="auto"/>
                    </w:rPr>
                    <w:t>本周期应扣减的金额</w:t>
                  </w:r>
                </w:p>
              </w:tc>
              <w:tc>
                <w:tcPr>
                  <w:tcW w:w="1340" w:type="dxa"/>
                </w:tcPr>
                <w:p w14:paraId="14924D27">
                  <w:pPr>
                    <w:spacing w:line="280" w:lineRule="exact"/>
                    <w:rPr>
                      <w:color w:val="auto"/>
                    </w:rPr>
                  </w:pPr>
                </w:p>
              </w:tc>
              <w:tc>
                <w:tcPr>
                  <w:tcW w:w="1440" w:type="dxa"/>
                </w:tcPr>
                <w:p w14:paraId="4BA67AAE">
                  <w:pPr>
                    <w:spacing w:line="280" w:lineRule="exact"/>
                    <w:rPr>
                      <w:color w:val="auto"/>
                    </w:rPr>
                  </w:pPr>
                </w:p>
              </w:tc>
              <w:tc>
                <w:tcPr>
                  <w:tcW w:w="1260" w:type="dxa"/>
                </w:tcPr>
                <w:p w14:paraId="4CBD30D0">
                  <w:pPr>
                    <w:spacing w:line="280" w:lineRule="exact"/>
                    <w:rPr>
                      <w:color w:val="auto"/>
                    </w:rPr>
                  </w:pPr>
                </w:p>
              </w:tc>
              <w:tc>
                <w:tcPr>
                  <w:tcW w:w="931" w:type="dxa"/>
                </w:tcPr>
                <w:p w14:paraId="11067FF8">
                  <w:pPr>
                    <w:spacing w:line="280" w:lineRule="exact"/>
                    <w:rPr>
                      <w:color w:val="auto"/>
                    </w:rPr>
                  </w:pPr>
                </w:p>
              </w:tc>
            </w:tr>
            <w:tr w14:paraId="4B23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351854">
                  <w:pPr>
                    <w:spacing w:line="280" w:lineRule="exact"/>
                    <w:jc w:val="center"/>
                    <w:rPr>
                      <w:color w:val="auto"/>
                    </w:rPr>
                  </w:pPr>
                  <w:r>
                    <w:rPr>
                      <w:rFonts w:hint="eastAsia"/>
                      <w:color w:val="auto"/>
                    </w:rPr>
                    <w:t>5</w:t>
                  </w:r>
                </w:p>
              </w:tc>
              <w:tc>
                <w:tcPr>
                  <w:tcW w:w="3340" w:type="dxa"/>
                </w:tcPr>
                <w:p w14:paraId="1FF32B34">
                  <w:pPr>
                    <w:spacing w:line="280" w:lineRule="exact"/>
                    <w:rPr>
                      <w:color w:val="auto"/>
                    </w:rPr>
                  </w:pPr>
                  <w:r>
                    <w:rPr>
                      <w:rFonts w:hint="eastAsia"/>
                      <w:color w:val="auto"/>
                    </w:rPr>
                    <w:t>本周期应支付的合同价款</w:t>
                  </w:r>
                </w:p>
              </w:tc>
              <w:tc>
                <w:tcPr>
                  <w:tcW w:w="1340" w:type="dxa"/>
                </w:tcPr>
                <w:p w14:paraId="4ECD37D1">
                  <w:pPr>
                    <w:spacing w:line="280" w:lineRule="exact"/>
                    <w:rPr>
                      <w:color w:val="auto"/>
                    </w:rPr>
                  </w:pPr>
                </w:p>
              </w:tc>
              <w:tc>
                <w:tcPr>
                  <w:tcW w:w="1440" w:type="dxa"/>
                </w:tcPr>
                <w:p w14:paraId="31E3232B">
                  <w:pPr>
                    <w:spacing w:line="280" w:lineRule="exact"/>
                    <w:rPr>
                      <w:color w:val="auto"/>
                    </w:rPr>
                  </w:pPr>
                </w:p>
              </w:tc>
              <w:tc>
                <w:tcPr>
                  <w:tcW w:w="1260" w:type="dxa"/>
                </w:tcPr>
                <w:p w14:paraId="71C90514">
                  <w:pPr>
                    <w:spacing w:line="280" w:lineRule="exact"/>
                    <w:rPr>
                      <w:color w:val="auto"/>
                    </w:rPr>
                  </w:pPr>
                </w:p>
              </w:tc>
              <w:tc>
                <w:tcPr>
                  <w:tcW w:w="931" w:type="dxa"/>
                </w:tcPr>
                <w:p w14:paraId="47D4D603">
                  <w:pPr>
                    <w:spacing w:line="280" w:lineRule="exact"/>
                    <w:rPr>
                      <w:color w:val="auto"/>
                    </w:rPr>
                  </w:pPr>
                </w:p>
              </w:tc>
            </w:tr>
            <w:tr w14:paraId="0269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BBA4EE0">
                  <w:pPr>
                    <w:spacing w:line="280" w:lineRule="exact"/>
                    <w:jc w:val="center"/>
                    <w:rPr>
                      <w:color w:val="auto"/>
                    </w:rPr>
                  </w:pPr>
                </w:p>
              </w:tc>
              <w:tc>
                <w:tcPr>
                  <w:tcW w:w="3340" w:type="dxa"/>
                </w:tcPr>
                <w:p w14:paraId="5570A6D7">
                  <w:pPr>
                    <w:spacing w:line="280" w:lineRule="exact"/>
                    <w:rPr>
                      <w:color w:val="auto"/>
                    </w:rPr>
                  </w:pPr>
                  <w:r>
                    <w:rPr>
                      <w:rFonts w:hint="eastAsia"/>
                      <w:color w:val="auto"/>
                    </w:rPr>
                    <w:t>其中：人工费</w:t>
                  </w:r>
                </w:p>
              </w:tc>
              <w:tc>
                <w:tcPr>
                  <w:tcW w:w="1340" w:type="dxa"/>
                </w:tcPr>
                <w:p w14:paraId="5DBD5A2C">
                  <w:pPr>
                    <w:spacing w:line="280" w:lineRule="exact"/>
                    <w:rPr>
                      <w:color w:val="auto"/>
                    </w:rPr>
                  </w:pPr>
                </w:p>
              </w:tc>
              <w:tc>
                <w:tcPr>
                  <w:tcW w:w="1440" w:type="dxa"/>
                </w:tcPr>
                <w:p w14:paraId="4439428B">
                  <w:pPr>
                    <w:spacing w:line="280" w:lineRule="exact"/>
                    <w:rPr>
                      <w:color w:val="auto"/>
                    </w:rPr>
                  </w:pPr>
                </w:p>
              </w:tc>
              <w:tc>
                <w:tcPr>
                  <w:tcW w:w="1260" w:type="dxa"/>
                </w:tcPr>
                <w:p w14:paraId="63BAB24C">
                  <w:pPr>
                    <w:spacing w:line="280" w:lineRule="exact"/>
                    <w:rPr>
                      <w:color w:val="auto"/>
                    </w:rPr>
                  </w:pPr>
                </w:p>
              </w:tc>
              <w:tc>
                <w:tcPr>
                  <w:tcW w:w="931" w:type="dxa"/>
                </w:tcPr>
                <w:p w14:paraId="0C570BB8">
                  <w:pPr>
                    <w:spacing w:line="280" w:lineRule="exact"/>
                    <w:rPr>
                      <w:color w:val="auto"/>
                    </w:rPr>
                  </w:pPr>
                </w:p>
              </w:tc>
            </w:tr>
          </w:tbl>
          <w:p w14:paraId="19DD6040">
            <w:pPr>
              <w:wordWrap w:val="0"/>
              <w:spacing w:line="400" w:lineRule="exact"/>
              <w:ind w:right="420"/>
              <w:rPr>
                <w:color w:val="auto"/>
              </w:rPr>
            </w:pPr>
            <w:r>
              <w:rPr>
                <w:rFonts w:hint="eastAsia"/>
                <w:color w:val="auto"/>
              </w:rPr>
              <w:t>附：上述3、4详见附件清单。</w:t>
            </w:r>
          </w:p>
          <w:p w14:paraId="5CC23AFC">
            <w:pPr>
              <w:wordWrap w:val="0"/>
              <w:spacing w:line="400" w:lineRule="exact"/>
              <w:ind w:right="420"/>
              <w:rPr>
                <w:color w:val="auto"/>
              </w:rPr>
            </w:pPr>
            <w:r>
              <w:rPr>
                <w:rFonts w:hint="eastAsia"/>
                <w:color w:val="auto"/>
              </w:rPr>
              <w:t xml:space="preserve">                                            承包人（章）             </w:t>
            </w:r>
          </w:p>
          <w:p w14:paraId="225DCE2F">
            <w:pPr>
              <w:spacing w:line="400" w:lineRule="exact"/>
              <w:ind w:right="420" w:firstLine="435"/>
              <w:rPr>
                <w:color w:val="auto"/>
              </w:rPr>
            </w:pPr>
            <w:r>
              <w:rPr>
                <w:rFonts w:hint="eastAsia"/>
                <w:color w:val="auto"/>
              </w:rPr>
              <w:t>造价人员</w:t>
            </w:r>
            <w:r>
              <w:rPr>
                <w:rFonts w:hint="eastAsia"/>
                <w:color w:val="auto"/>
                <w:u w:val="single"/>
              </w:rPr>
              <w:t xml:space="preserve">               </w:t>
            </w:r>
            <w:r>
              <w:rPr>
                <w:rFonts w:hint="eastAsia"/>
                <w:color w:val="auto"/>
              </w:rPr>
              <w:t>承包人代表</w:t>
            </w:r>
            <w:r>
              <w:rPr>
                <w:rFonts w:hint="eastAsia"/>
                <w:color w:val="auto"/>
                <w:u w:val="single"/>
              </w:rPr>
              <w:t xml:space="preserve">               </w:t>
            </w:r>
            <w:r>
              <w:rPr>
                <w:rFonts w:hint="eastAsia"/>
                <w:color w:val="auto"/>
              </w:rPr>
              <w:t>日      期</w:t>
            </w:r>
            <w:r>
              <w:rPr>
                <w:rFonts w:hint="eastAsia"/>
                <w:color w:val="auto"/>
                <w:u w:val="single"/>
              </w:rPr>
              <w:t xml:space="preserve">               </w:t>
            </w:r>
          </w:p>
        </w:tc>
      </w:tr>
      <w:tr w14:paraId="432D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50C859AB">
            <w:pPr>
              <w:spacing w:line="360" w:lineRule="exact"/>
              <w:rPr>
                <w:color w:val="auto"/>
              </w:rPr>
            </w:pPr>
            <w:r>
              <w:rPr>
                <w:rFonts w:hint="eastAsia"/>
                <w:color w:val="auto"/>
              </w:rPr>
              <w:t>复核意见：</w:t>
            </w:r>
          </w:p>
          <w:p w14:paraId="3124C3DF">
            <w:pPr>
              <w:spacing w:line="360" w:lineRule="exact"/>
              <w:ind w:firstLine="312"/>
              <w:rPr>
                <w:color w:val="auto"/>
              </w:rPr>
            </w:pPr>
            <w:r>
              <w:rPr>
                <w:rFonts w:hint="eastAsia"/>
                <w:color w:val="auto"/>
              </w:rPr>
              <w:t>□与实际施工情况不相符，修改意见见附件。</w:t>
            </w:r>
          </w:p>
          <w:p w14:paraId="6A7B182D">
            <w:pPr>
              <w:spacing w:line="360" w:lineRule="exact"/>
              <w:ind w:firstLine="312"/>
              <w:rPr>
                <w:color w:val="auto"/>
              </w:rPr>
            </w:pPr>
            <w:r>
              <w:rPr>
                <w:rFonts w:hint="eastAsia"/>
                <w:color w:val="auto"/>
              </w:rPr>
              <w:t>□与实际施工情况相符，具体金额由造价工程师复核。</w:t>
            </w:r>
          </w:p>
          <w:p w14:paraId="0F5B7235">
            <w:pPr>
              <w:spacing w:line="360" w:lineRule="exact"/>
              <w:ind w:firstLine="435"/>
              <w:jc w:val="right"/>
              <w:rPr>
                <w:color w:val="auto"/>
              </w:rPr>
            </w:pPr>
          </w:p>
          <w:p w14:paraId="42391865">
            <w:pPr>
              <w:spacing w:line="360" w:lineRule="exact"/>
              <w:ind w:firstLine="435"/>
              <w:jc w:val="center"/>
              <w:rPr>
                <w:color w:val="auto"/>
                <w:u w:val="single"/>
              </w:rPr>
            </w:pPr>
            <w:r>
              <w:rPr>
                <w:color w:val="auto"/>
              </w:rPr>
              <w:t xml:space="preserve">    </w:t>
            </w:r>
            <w:r>
              <w:rPr>
                <w:rFonts w:hint="eastAsia"/>
                <w:color w:val="auto"/>
              </w:rPr>
              <w:t xml:space="preserve">     监理工程师</w:t>
            </w:r>
            <w:r>
              <w:rPr>
                <w:rFonts w:hint="eastAsia"/>
                <w:color w:val="auto"/>
                <w:u w:val="single"/>
              </w:rPr>
              <w:t xml:space="preserve">           </w:t>
            </w:r>
          </w:p>
          <w:p w14:paraId="2369BCED">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c>
          <w:tcPr>
            <w:tcW w:w="4552" w:type="dxa"/>
          </w:tcPr>
          <w:p w14:paraId="2A818898">
            <w:pPr>
              <w:spacing w:line="360" w:lineRule="exact"/>
              <w:rPr>
                <w:color w:val="auto"/>
              </w:rPr>
            </w:pPr>
            <w:r>
              <w:rPr>
                <w:rFonts w:hint="eastAsia"/>
                <w:color w:val="auto"/>
              </w:rPr>
              <w:t>复核意见：</w:t>
            </w:r>
          </w:p>
          <w:p w14:paraId="46620769">
            <w:pPr>
              <w:spacing w:line="360" w:lineRule="exact"/>
              <w:ind w:firstLine="435"/>
              <w:rPr>
                <w:color w:val="auto"/>
              </w:rPr>
            </w:pPr>
            <w:r>
              <w:rPr>
                <w:rFonts w:hint="eastAsia"/>
                <w:color w:val="auto"/>
              </w:rPr>
              <w:t>你方提出的支付申请经复核，本周期已完成工程价款为（大写）</w:t>
            </w:r>
            <w:r>
              <w:rPr>
                <w:rFonts w:hint="eastAsia"/>
                <w:color w:val="auto"/>
                <w:u w:val="single"/>
              </w:rPr>
              <w:t xml:space="preserve">                </w:t>
            </w:r>
            <w:r>
              <w:rPr>
                <w:rFonts w:hint="eastAsia"/>
                <w:color w:val="auto"/>
              </w:rPr>
              <w:t>元，（小写）</w:t>
            </w:r>
          </w:p>
          <w:p w14:paraId="39C318F8">
            <w:pPr>
              <w:spacing w:line="360" w:lineRule="exact"/>
              <w:rPr>
                <w:color w:val="auto"/>
              </w:rPr>
            </w:pPr>
            <w:r>
              <w:rPr>
                <w:rFonts w:hint="eastAsia"/>
                <w:color w:val="auto"/>
                <w:u w:val="single"/>
              </w:rPr>
              <w:t xml:space="preserve">          </w:t>
            </w:r>
            <w:r>
              <w:rPr>
                <w:rFonts w:hint="eastAsia"/>
                <w:color w:val="auto"/>
              </w:rPr>
              <w:t xml:space="preserve"> 元，本期间应支付金额为（大写）</w:t>
            </w:r>
          </w:p>
          <w:p w14:paraId="0CA1A30F">
            <w:pPr>
              <w:spacing w:line="360" w:lineRule="exact"/>
              <w:rPr>
                <w:color w:val="auto"/>
                <w:u w:val="single"/>
              </w:rPr>
            </w:pP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w:t>
            </w:r>
          </w:p>
          <w:p w14:paraId="2FF93C6F">
            <w:pPr>
              <w:spacing w:line="360" w:lineRule="exact"/>
              <w:ind w:firstLine="435"/>
              <w:jc w:val="center"/>
              <w:rPr>
                <w:color w:val="auto"/>
                <w:u w:val="single"/>
              </w:rPr>
            </w:pPr>
            <w:r>
              <w:rPr>
                <w:color w:val="auto"/>
              </w:rPr>
              <w:t xml:space="preserve">    </w:t>
            </w:r>
            <w:r>
              <w:rPr>
                <w:rFonts w:hint="eastAsia"/>
                <w:color w:val="auto"/>
              </w:rPr>
              <w:t xml:space="preserve">    造价工程师</w:t>
            </w:r>
            <w:r>
              <w:rPr>
                <w:rFonts w:hint="eastAsia"/>
                <w:color w:val="auto"/>
                <w:u w:val="single"/>
              </w:rPr>
              <w:t xml:space="preserve">           </w:t>
            </w:r>
          </w:p>
          <w:p w14:paraId="07903AD4">
            <w:pPr>
              <w:spacing w:line="360" w:lineRule="exact"/>
              <w:ind w:firstLine="435"/>
              <w:jc w:val="center"/>
              <w:rPr>
                <w:color w:val="auto"/>
                <w:u w:val="single"/>
              </w:rPr>
            </w:pPr>
            <w:r>
              <w:rPr>
                <w:color w:val="auto"/>
              </w:rPr>
              <w:t xml:space="preserve">    </w:t>
            </w:r>
            <w:r>
              <w:rPr>
                <w:rFonts w:hint="eastAsia"/>
                <w:color w:val="auto"/>
              </w:rPr>
              <w:t>日      期</w:t>
            </w:r>
            <w:r>
              <w:rPr>
                <w:rFonts w:hint="eastAsia"/>
                <w:color w:val="auto"/>
                <w:u w:val="single"/>
              </w:rPr>
              <w:t xml:space="preserve">           </w:t>
            </w:r>
          </w:p>
        </w:tc>
      </w:tr>
      <w:tr w14:paraId="28AD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47C49750">
            <w:pPr>
              <w:spacing w:line="400" w:lineRule="exact"/>
              <w:rPr>
                <w:color w:val="auto"/>
              </w:rPr>
            </w:pPr>
            <w:r>
              <w:rPr>
                <w:rFonts w:hint="eastAsia"/>
                <w:color w:val="auto"/>
              </w:rPr>
              <w:t>审核意见：</w:t>
            </w:r>
          </w:p>
          <w:p w14:paraId="5BEDB054">
            <w:pPr>
              <w:spacing w:line="400" w:lineRule="exact"/>
              <w:ind w:firstLine="435"/>
              <w:rPr>
                <w:color w:val="auto"/>
              </w:rPr>
            </w:pPr>
            <w:r>
              <w:rPr>
                <w:rFonts w:hint="eastAsia"/>
                <w:color w:val="auto"/>
              </w:rPr>
              <w:t>□不同意。</w:t>
            </w:r>
          </w:p>
          <w:p w14:paraId="48925F4E">
            <w:pPr>
              <w:spacing w:line="400" w:lineRule="exact"/>
              <w:ind w:firstLine="420" w:firstLineChars="200"/>
              <w:rPr>
                <w:color w:val="auto"/>
              </w:rPr>
            </w:pPr>
            <w:r>
              <w:rPr>
                <w:rFonts w:hint="eastAsia"/>
                <w:color w:val="auto"/>
              </w:rPr>
              <w:t>□同意，支付时间为本表签发后的15天内。</w:t>
            </w:r>
          </w:p>
          <w:p w14:paraId="325F168B">
            <w:pPr>
              <w:wordWrap w:val="0"/>
              <w:spacing w:line="400" w:lineRule="exact"/>
              <w:ind w:firstLine="420" w:firstLineChars="200"/>
              <w:jc w:val="right"/>
              <w:rPr>
                <w:color w:val="auto"/>
              </w:rPr>
            </w:pPr>
            <w:r>
              <w:rPr>
                <w:rFonts w:hint="eastAsia"/>
                <w:color w:val="auto"/>
              </w:rPr>
              <w:t xml:space="preserve">发包人（章）           </w:t>
            </w:r>
          </w:p>
          <w:p w14:paraId="04F098DC">
            <w:pPr>
              <w:wordWrap w:val="0"/>
              <w:spacing w:line="400" w:lineRule="exact"/>
              <w:ind w:firstLine="420" w:firstLineChars="200"/>
              <w:jc w:val="right"/>
              <w:rPr>
                <w:color w:val="auto"/>
                <w:u w:val="single"/>
              </w:rPr>
            </w:pPr>
            <w:r>
              <w:rPr>
                <w:rFonts w:hint="eastAsia"/>
                <w:color w:val="auto"/>
              </w:rPr>
              <w:t>发包人代表</w:t>
            </w:r>
            <w:r>
              <w:rPr>
                <w:rFonts w:hint="eastAsia"/>
                <w:color w:val="auto"/>
                <w:u w:val="single"/>
              </w:rPr>
              <w:t xml:space="preserve">             </w:t>
            </w:r>
          </w:p>
          <w:p w14:paraId="1D24D28B">
            <w:pPr>
              <w:wordWrap w:val="0"/>
              <w:spacing w:line="400" w:lineRule="exact"/>
              <w:ind w:firstLine="420" w:firstLineChars="200"/>
              <w:jc w:val="right"/>
              <w:rPr>
                <w:color w:val="auto"/>
                <w:u w:val="single"/>
              </w:rPr>
            </w:pPr>
            <w:r>
              <w:rPr>
                <w:rFonts w:hint="eastAsia"/>
                <w:color w:val="auto"/>
              </w:rPr>
              <w:t>日      期</w:t>
            </w:r>
            <w:r>
              <w:rPr>
                <w:rFonts w:hint="eastAsia"/>
                <w:color w:val="auto"/>
                <w:u w:val="single"/>
              </w:rPr>
              <w:t xml:space="preserve">             </w:t>
            </w:r>
          </w:p>
        </w:tc>
      </w:tr>
    </w:tbl>
    <w:p w14:paraId="2EE45490">
      <w:pPr>
        <w:spacing w:before="120" w:beforeLines="50"/>
        <w:ind w:firstLine="360" w:firstLineChars="200"/>
        <w:rPr>
          <w:color w:val="auto"/>
          <w:sz w:val="18"/>
          <w:szCs w:val="18"/>
        </w:rPr>
      </w:pPr>
      <w:r>
        <w:rPr>
          <w:rFonts w:hint="eastAsia"/>
          <w:color w:val="auto"/>
          <w:sz w:val="18"/>
          <w:szCs w:val="18"/>
        </w:rPr>
        <w:t xml:space="preserve">注：1.在选择栏中的“□”内作标识“√”。 </w:t>
      </w:r>
    </w:p>
    <w:p w14:paraId="088CDEF9">
      <w:pPr>
        <w:spacing w:before="120"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1F52B4F3">
      <w:pPr>
        <w:jc w:val="left"/>
        <w:rPr>
          <w:color w:val="auto"/>
          <w:sz w:val="30"/>
          <w:szCs w:val="30"/>
        </w:rPr>
      </w:pPr>
    </w:p>
    <w:p w14:paraId="42F4947C">
      <w:pPr>
        <w:jc w:val="left"/>
        <w:rPr>
          <w:color w:val="auto"/>
          <w:sz w:val="30"/>
          <w:szCs w:val="30"/>
        </w:rPr>
      </w:pPr>
      <w:r>
        <w:rPr>
          <w:rFonts w:hint="eastAsia"/>
          <w:color w:val="auto"/>
          <w:sz w:val="30"/>
          <w:szCs w:val="30"/>
        </w:rPr>
        <w:t>附件12</w:t>
      </w:r>
    </w:p>
    <w:p w14:paraId="3BF13A74">
      <w:pPr>
        <w:jc w:val="center"/>
        <w:rPr>
          <w:b/>
          <w:color w:val="auto"/>
          <w:sz w:val="36"/>
          <w:szCs w:val="36"/>
        </w:rPr>
      </w:pPr>
      <w:r>
        <w:rPr>
          <w:rFonts w:hint="eastAsia"/>
          <w:b/>
          <w:color w:val="auto"/>
          <w:sz w:val="36"/>
          <w:szCs w:val="36"/>
        </w:rPr>
        <w:t>竣工结算款支付申请（核准）表</w:t>
      </w:r>
    </w:p>
    <w:p w14:paraId="305C5313">
      <w:pPr>
        <w:rPr>
          <w:color w:val="auto"/>
          <w:sz w:val="24"/>
        </w:rPr>
      </w:pPr>
      <w:r>
        <w:rPr>
          <w:rFonts w:hint="eastAsia"/>
          <w:color w:val="auto"/>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765B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60EBDF0F">
            <w:pPr>
              <w:spacing w:line="480" w:lineRule="exact"/>
              <w:ind w:left="525" w:leftChars="149" w:hanging="212" w:hangingChars="101"/>
              <w:rPr>
                <w:color w:val="auto"/>
                <w:u w:val="single"/>
              </w:rPr>
            </w:pPr>
            <w:r>
              <w:rPr>
                <w:rFonts w:hint="eastAsia"/>
                <w:color w:val="auto"/>
              </w:rPr>
              <w:t>致：</w:t>
            </w:r>
            <w:r>
              <w:rPr>
                <w:rFonts w:hint="eastAsia"/>
                <w:color w:val="auto"/>
                <w:u w:val="single"/>
              </w:rPr>
              <w:t xml:space="preserve">                                   （发包人全称）</w:t>
            </w:r>
          </w:p>
          <w:p w14:paraId="53D93683">
            <w:pPr>
              <w:spacing w:line="400" w:lineRule="exact"/>
              <w:ind w:left="-4" w:leftChars="-2" w:firstLine="315" w:firstLineChars="150"/>
              <w:rPr>
                <w:color w:val="auto"/>
              </w:rPr>
            </w:pPr>
            <w:r>
              <w:rPr>
                <w:rFonts w:hint="eastAsia"/>
                <w:color w:val="auto"/>
              </w:rPr>
              <w:t>我方于</w:t>
            </w:r>
            <w:r>
              <w:rPr>
                <w:rFonts w:hint="eastAsia"/>
                <w:color w:val="auto"/>
                <w:u w:val="single"/>
              </w:rPr>
              <w:t xml:space="preserve">                   </w:t>
            </w:r>
            <w:r>
              <w:rPr>
                <w:rFonts w:hint="eastAsia"/>
                <w:color w:val="auto"/>
              </w:rPr>
              <w:t>期间已完成了合同约定的工作，根据施工合同的约定，现申请支付竣工结算的工程款额为（大写）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33D3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4F0D274A">
                  <w:pPr>
                    <w:spacing w:line="280" w:lineRule="exact"/>
                    <w:jc w:val="center"/>
                    <w:rPr>
                      <w:color w:val="auto"/>
                    </w:rPr>
                  </w:pPr>
                  <w:r>
                    <w:rPr>
                      <w:rFonts w:hint="eastAsia"/>
                      <w:color w:val="auto"/>
                    </w:rPr>
                    <w:t>序号</w:t>
                  </w:r>
                </w:p>
              </w:tc>
              <w:tc>
                <w:tcPr>
                  <w:tcW w:w="3420" w:type="dxa"/>
                  <w:vAlign w:val="center"/>
                </w:tcPr>
                <w:p w14:paraId="46A92AB5">
                  <w:pPr>
                    <w:spacing w:line="280" w:lineRule="exact"/>
                    <w:jc w:val="center"/>
                    <w:rPr>
                      <w:color w:val="auto"/>
                    </w:rPr>
                  </w:pPr>
                  <w:r>
                    <w:rPr>
                      <w:rFonts w:hint="eastAsia"/>
                      <w:color w:val="auto"/>
                    </w:rPr>
                    <w:t>名      称</w:t>
                  </w:r>
                </w:p>
              </w:tc>
              <w:tc>
                <w:tcPr>
                  <w:tcW w:w="1620" w:type="dxa"/>
                  <w:vAlign w:val="center"/>
                </w:tcPr>
                <w:p w14:paraId="62D84003">
                  <w:pPr>
                    <w:spacing w:line="280" w:lineRule="exact"/>
                    <w:jc w:val="center"/>
                    <w:rPr>
                      <w:color w:val="auto"/>
                    </w:rPr>
                  </w:pPr>
                  <w:r>
                    <w:rPr>
                      <w:rFonts w:hint="eastAsia"/>
                      <w:color w:val="auto"/>
                    </w:rPr>
                    <w:t>申请金额（元）</w:t>
                  </w:r>
                </w:p>
              </w:tc>
              <w:tc>
                <w:tcPr>
                  <w:tcW w:w="1620" w:type="dxa"/>
                  <w:vAlign w:val="center"/>
                </w:tcPr>
                <w:p w14:paraId="1D1CA043">
                  <w:pPr>
                    <w:spacing w:line="280" w:lineRule="exact"/>
                    <w:jc w:val="center"/>
                    <w:rPr>
                      <w:color w:val="auto"/>
                    </w:rPr>
                  </w:pPr>
                  <w:r>
                    <w:rPr>
                      <w:rFonts w:hint="eastAsia"/>
                      <w:color w:val="auto"/>
                    </w:rPr>
                    <w:t>复核金额（元）</w:t>
                  </w:r>
                </w:p>
              </w:tc>
              <w:tc>
                <w:tcPr>
                  <w:tcW w:w="1651" w:type="dxa"/>
                  <w:vAlign w:val="center"/>
                </w:tcPr>
                <w:p w14:paraId="6E3CF6C4">
                  <w:pPr>
                    <w:spacing w:line="280" w:lineRule="exact"/>
                    <w:jc w:val="center"/>
                    <w:rPr>
                      <w:color w:val="auto"/>
                    </w:rPr>
                  </w:pPr>
                  <w:r>
                    <w:rPr>
                      <w:rFonts w:hint="eastAsia"/>
                      <w:color w:val="auto"/>
                    </w:rPr>
                    <w:t>备注</w:t>
                  </w:r>
                </w:p>
              </w:tc>
            </w:tr>
            <w:tr w14:paraId="68F2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8E8C0A3">
                  <w:pPr>
                    <w:spacing w:line="280" w:lineRule="exact"/>
                    <w:jc w:val="center"/>
                    <w:rPr>
                      <w:color w:val="auto"/>
                    </w:rPr>
                  </w:pPr>
                  <w:r>
                    <w:rPr>
                      <w:rFonts w:hint="eastAsia"/>
                      <w:color w:val="auto"/>
                    </w:rPr>
                    <w:t>1</w:t>
                  </w:r>
                </w:p>
              </w:tc>
              <w:tc>
                <w:tcPr>
                  <w:tcW w:w="3420" w:type="dxa"/>
                </w:tcPr>
                <w:p w14:paraId="74330C12">
                  <w:pPr>
                    <w:spacing w:line="280" w:lineRule="exact"/>
                    <w:rPr>
                      <w:color w:val="auto"/>
                    </w:rPr>
                  </w:pPr>
                  <w:r>
                    <w:rPr>
                      <w:rFonts w:hint="eastAsia"/>
                      <w:color w:val="auto"/>
                    </w:rPr>
                    <w:t>竣工结算合同价款总额</w:t>
                  </w:r>
                </w:p>
              </w:tc>
              <w:tc>
                <w:tcPr>
                  <w:tcW w:w="1620" w:type="dxa"/>
                </w:tcPr>
                <w:p w14:paraId="65630D17">
                  <w:pPr>
                    <w:spacing w:line="280" w:lineRule="exact"/>
                    <w:rPr>
                      <w:color w:val="auto"/>
                    </w:rPr>
                  </w:pPr>
                </w:p>
              </w:tc>
              <w:tc>
                <w:tcPr>
                  <w:tcW w:w="1620" w:type="dxa"/>
                </w:tcPr>
                <w:p w14:paraId="23FA239E">
                  <w:pPr>
                    <w:spacing w:line="280" w:lineRule="exact"/>
                    <w:rPr>
                      <w:color w:val="auto"/>
                    </w:rPr>
                  </w:pPr>
                </w:p>
              </w:tc>
              <w:tc>
                <w:tcPr>
                  <w:tcW w:w="1651" w:type="dxa"/>
                </w:tcPr>
                <w:p w14:paraId="4E352C54">
                  <w:pPr>
                    <w:spacing w:line="280" w:lineRule="exact"/>
                    <w:rPr>
                      <w:color w:val="auto"/>
                    </w:rPr>
                  </w:pPr>
                </w:p>
              </w:tc>
            </w:tr>
            <w:tr w14:paraId="0260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95B97E7">
                  <w:pPr>
                    <w:spacing w:line="280" w:lineRule="exact"/>
                    <w:jc w:val="center"/>
                    <w:rPr>
                      <w:color w:val="auto"/>
                    </w:rPr>
                  </w:pPr>
                  <w:r>
                    <w:rPr>
                      <w:rFonts w:hint="eastAsia"/>
                      <w:color w:val="auto"/>
                    </w:rPr>
                    <w:t>2</w:t>
                  </w:r>
                </w:p>
              </w:tc>
              <w:tc>
                <w:tcPr>
                  <w:tcW w:w="3420" w:type="dxa"/>
                </w:tcPr>
                <w:p w14:paraId="09DF3A56">
                  <w:pPr>
                    <w:spacing w:line="280" w:lineRule="exact"/>
                    <w:rPr>
                      <w:color w:val="auto"/>
                    </w:rPr>
                  </w:pPr>
                  <w:r>
                    <w:rPr>
                      <w:rFonts w:hint="eastAsia"/>
                      <w:color w:val="auto"/>
                    </w:rPr>
                    <w:t>累计已实际支付的合同价款</w:t>
                  </w:r>
                </w:p>
              </w:tc>
              <w:tc>
                <w:tcPr>
                  <w:tcW w:w="1620" w:type="dxa"/>
                </w:tcPr>
                <w:p w14:paraId="53CD984F">
                  <w:pPr>
                    <w:spacing w:line="280" w:lineRule="exact"/>
                    <w:rPr>
                      <w:color w:val="auto"/>
                    </w:rPr>
                  </w:pPr>
                </w:p>
              </w:tc>
              <w:tc>
                <w:tcPr>
                  <w:tcW w:w="1620" w:type="dxa"/>
                </w:tcPr>
                <w:p w14:paraId="1158E8D7">
                  <w:pPr>
                    <w:spacing w:line="280" w:lineRule="exact"/>
                    <w:rPr>
                      <w:color w:val="auto"/>
                    </w:rPr>
                  </w:pPr>
                </w:p>
              </w:tc>
              <w:tc>
                <w:tcPr>
                  <w:tcW w:w="1651" w:type="dxa"/>
                </w:tcPr>
                <w:p w14:paraId="1AE9474A">
                  <w:pPr>
                    <w:spacing w:line="280" w:lineRule="exact"/>
                    <w:rPr>
                      <w:color w:val="auto"/>
                    </w:rPr>
                  </w:pPr>
                </w:p>
              </w:tc>
            </w:tr>
            <w:tr w14:paraId="2D64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184D71B">
                  <w:pPr>
                    <w:spacing w:line="280" w:lineRule="exact"/>
                    <w:jc w:val="center"/>
                    <w:rPr>
                      <w:color w:val="auto"/>
                    </w:rPr>
                  </w:pPr>
                  <w:r>
                    <w:rPr>
                      <w:rFonts w:hint="eastAsia"/>
                      <w:color w:val="auto"/>
                    </w:rPr>
                    <w:t>3</w:t>
                  </w:r>
                </w:p>
              </w:tc>
              <w:tc>
                <w:tcPr>
                  <w:tcW w:w="3420" w:type="dxa"/>
                </w:tcPr>
                <w:p w14:paraId="703D0AD6">
                  <w:pPr>
                    <w:spacing w:line="280" w:lineRule="exact"/>
                    <w:rPr>
                      <w:color w:val="auto"/>
                    </w:rPr>
                  </w:pPr>
                  <w:r>
                    <w:rPr>
                      <w:rFonts w:hint="eastAsia"/>
                      <w:color w:val="auto"/>
                    </w:rPr>
                    <w:t>应预留的质量保证金</w:t>
                  </w:r>
                </w:p>
              </w:tc>
              <w:tc>
                <w:tcPr>
                  <w:tcW w:w="1620" w:type="dxa"/>
                </w:tcPr>
                <w:p w14:paraId="70D5B763">
                  <w:pPr>
                    <w:spacing w:line="280" w:lineRule="exact"/>
                    <w:rPr>
                      <w:color w:val="auto"/>
                    </w:rPr>
                  </w:pPr>
                </w:p>
              </w:tc>
              <w:tc>
                <w:tcPr>
                  <w:tcW w:w="1620" w:type="dxa"/>
                </w:tcPr>
                <w:p w14:paraId="51E956B6">
                  <w:pPr>
                    <w:spacing w:line="280" w:lineRule="exact"/>
                    <w:rPr>
                      <w:color w:val="auto"/>
                    </w:rPr>
                  </w:pPr>
                </w:p>
              </w:tc>
              <w:tc>
                <w:tcPr>
                  <w:tcW w:w="1651" w:type="dxa"/>
                </w:tcPr>
                <w:p w14:paraId="7FB066CB">
                  <w:pPr>
                    <w:spacing w:line="280" w:lineRule="exact"/>
                    <w:rPr>
                      <w:color w:val="auto"/>
                    </w:rPr>
                  </w:pPr>
                </w:p>
              </w:tc>
            </w:tr>
            <w:tr w14:paraId="1120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3EC0257">
                  <w:pPr>
                    <w:spacing w:line="280" w:lineRule="exact"/>
                    <w:jc w:val="center"/>
                    <w:rPr>
                      <w:color w:val="auto"/>
                    </w:rPr>
                  </w:pPr>
                  <w:r>
                    <w:rPr>
                      <w:rFonts w:hint="eastAsia"/>
                      <w:color w:val="auto"/>
                    </w:rPr>
                    <w:t>4</w:t>
                  </w:r>
                </w:p>
              </w:tc>
              <w:tc>
                <w:tcPr>
                  <w:tcW w:w="3420" w:type="dxa"/>
                </w:tcPr>
                <w:p w14:paraId="10227151">
                  <w:pPr>
                    <w:spacing w:line="280" w:lineRule="exact"/>
                    <w:rPr>
                      <w:color w:val="auto"/>
                    </w:rPr>
                  </w:pPr>
                  <w:r>
                    <w:rPr>
                      <w:rFonts w:hint="eastAsia"/>
                      <w:color w:val="auto"/>
                    </w:rPr>
                    <w:t>应支付的竣工结算款金额</w:t>
                  </w:r>
                </w:p>
              </w:tc>
              <w:tc>
                <w:tcPr>
                  <w:tcW w:w="1620" w:type="dxa"/>
                </w:tcPr>
                <w:p w14:paraId="1461DC43">
                  <w:pPr>
                    <w:spacing w:line="280" w:lineRule="exact"/>
                    <w:rPr>
                      <w:color w:val="auto"/>
                    </w:rPr>
                  </w:pPr>
                </w:p>
              </w:tc>
              <w:tc>
                <w:tcPr>
                  <w:tcW w:w="1620" w:type="dxa"/>
                </w:tcPr>
                <w:p w14:paraId="094BB3C9">
                  <w:pPr>
                    <w:spacing w:line="280" w:lineRule="exact"/>
                    <w:rPr>
                      <w:color w:val="auto"/>
                    </w:rPr>
                  </w:pPr>
                </w:p>
              </w:tc>
              <w:tc>
                <w:tcPr>
                  <w:tcW w:w="1651" w:type="dxa"/>
                </w:tcPr>
                <w:p w14:paraId="383CD766">
                  <w:pPr>
                    <w:spacing w:line="280" w:lineRule="exact"/>
                    <w:rPr>
                      <w:color w:val="auto"/>
                    </w:rPr>
                  </w:pPr>
                </w:p>
              </w:tc>
            </w:tr>
            <w:tr w14:paraId="1ED5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B3B7FA7">
                  <w:pPr>
                    <w:spacing w:line="280" w:lineRule="exact"/>
                    <w:jc w:val="center"/>
                    <w:rPr>
                      <w:color w:val="auto"/>
                    </w:rPr>
                  </w:pPr>
                </w:p>
              </w:tc>
              <w:tc>
                <w:tcPr>
                  <w:tcW w:w="3420" w:type="dxa"/>
                </w:tcPr>
                <w:p w14:paraId="549CED67">
                  <w:pPr>
                    <w:spacing w:line="280" w:lineRule="exact"/>
                    <w:rPr>
                      <w:color w:val="auto"/>
                    </w:rPr>
                  </w:pPr>
                </w:p>
              </w:tc>
              <w:tc>
                <w:tcPr>
                  <w:tcW w:w="1620" w:type="dxa"/>
                </w:tcPr>
                <w:p w14:paraId="234C6A0D">
                  <w:pPr>
                    <w:spacing w:line="280" w:lineRule="exact"/>
                    <w:rPr>
                      <w:color w:val="auto"/>
                    </w:rPr>
                  </w:pPr>
                </w:p>
              </w:tc>
              <w:tc>
                <w:tcPr>
                  <w:tcW w:w="1620" w:type="dxa"/>
                </w:tcPr>
                <w:p w14:paraId="458D4233">
                  <w:pPr>
                    <w:spacing w:line="280" w:lineRule="exact"/>
                    <w:rPr>
                      <w:color w:val="auto"/>
                    </w:rPr>
                  </w:pPr>
                </w:p>
              </w:tc>
              <w:tc>
                <w:tcPr>
                  <w:tcW w:w="1651" w:type="dxa"/>
                </w:tcPr>
                <w:p w14:paraId="57317152">
                  <w:pPr>
                    <w:spacing w:line="280" w:lineRule="exact"/>
                    <w:rPr>
                      <w:color w:val="auto"/>
                    </w:rPr>
                  </w:pPr>
                </w:p>
              </w:tc>
            </w:tr>
            <w:tr w14:paraId="78FB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7D092F4">
                  <w:pPr>
                    <w:spacing w:line="280" w:lineRule="exact"/>
                    <w:jc w:val="center"/>
                    <w:rPr>
                      <w:color w:val="auto"/>
                    </w:rPr>
                  </w:pPr>
                </w:p>
              </w:tc>
              <w:tc>
                <w:tcPr>
                  <w:tcW w:w="3420" w:type="dxa"/>
                </w:tcPr>
                <w:p w14:paraId="17A29261">
                  <w:pPr>
                    <w:spacing w:line="280" w:lineRule="exact"/>
                    <w:rPr>
                      <w:color w:val="auto"/>
                    </w:rPr>
                  </w:pPr>
                </w:p>
              </w:tc>
              <w:tc>
                <w:tcPr>
                  <w:tcW w:w="1620" w:type="dxa"/>
                </w:tcPr>
                <w:p w14:paraId="52D650E7">
                  <w:pPr>
                    <w:spacing w:line="280" w:lineRule="exact"/>
                    <w:rPr>
                      <w:color w:val="auto"/>
                    </w:rPr>
                  </w:pPr>
                </w:p>
              </w:tc>
              <w:tc>
                <w:tcPr>
                  <w:tcW w:w="1620" w:type="dxa"/>
                </w:tcPr>
                <w:p w14:paraId="02EA9A91">
                  <w:pPr>
                    <w:spacing w:line="280" w:lineRule="exact"/>
                    <w:rPr>
                      <w:color w:val="auto"/>
                    </w:rPr>
                  </w:pPr>
                </w:p>
              </w:tc>
              <w:tc>
                <w:tcPr>
                  <w:tcW w:w="1651" w:type="dxa"/>
                </w:tcPr>
                <w:p w14:paraId="7D386EAF">
                  <w:pPr>
                    <w:spacing w:line="280" w:lineRule="exact"/>
                    <w:rPr>
                      <w:color w:val="auto"/>
                    </w:rPr>
                  </w:pPr>
                </w:p>
              </w:tc>
            </w:tr>
            <w:tr w14:paraId="37D6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78A2C5C">
                  <w:pPr>
                    <w:spacing w:line="280" w:lineRule="exact"/>
                    <w:jc w:val="center"/>
                    <w:rPr>
                      <w:color w:val="auto"/>
                    </w:rPr>
                  </w:pPr>
                </w:p>
              </w:tc>
              <w:tc>
                <w:tcPr>
                  <w:tcW w:w="3420" w:type="dxa"/>
                </w:tcPr>
                <w:p w14:paraId="6AD4B3F0">
                  <w:pPr>
                    <w:spacing w:line="280" w:lineRule="exact"/>
                    <w:rPr>
                      <w:color w:val="auto"/>
                    </w:rPr>
                  </w:pPr>
                </w:p>
              </w:tc>
              <w:tc>
                <w:tcPr>
                  <w:tcW w:w="1620" w:type="dxa"/>
                </w:tcPr>
                <w:p w14:paraId="7D07FB50">
                  <w:pPr>
                    <w:spacing w:line="280" w:lineRule="exact"/>
                    <w:rPr>
                      <w:color w:val="auto"/>
                    </w:rPr>
                  </w:pPr>
                </w:p>
              </w:tc>
              <w:tc>
                <w:tcPr>
                  <w:tcW w:w="1620" w:type="dxa"/>
                </w:tcPr>
                <w:p w14:paraId="36413974">
                  <w:pPr>
                    <w:spacing w:line="280" w:lineRule="exact"/>
                    <w:rPr>
                      <w:color w:val="auto"/>
                    </w:rPr>
                  </w:pPr>
                </w:p>
              </w:tc>
              <w:tc>
                <w:tcPr>
                  <w:tcW w:w="1651" w:type="dxa"/>
                </w:tcPr>
                <w:p w14:paraId="7F45E7AF">
                  <w:pPr>
                    <w:spacing w:line="280" w:lineRule="exact"/>
                    <w:rPr>
                      <w:color w:val="auto"/>
                    </w:rPr>
                  </w:pPr>
                </w:p>
              </w:tc>
            </w:tr>
            <w:tr w14:paraId="45BF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ED1C6A8">
                  <w:pPr>
                    <w:spacing w:line="280" w:lineRule="exact"/>
                    <w:jc w:val="center"/>
                    <w:rPr>
                      <w:color w:val="auto"/>
                    </w:rPr>
                  </w:pPr>
                </w:p>
              </w:tc>
              <w:tc>
                <w:tcPr>
                  <w:tcW w:w="3420" w:type="dxa"/>
                </w:tcPr>
                <w:p w14:paraId="40BEEF1A">
                  <w:pPr>
                    <w:spacing w:line="280" w:lineRule="exact"/>
                    <w:rPr>
                      <w:color w:val="auto"/>
                    </w:rPr>
                  </w:pPr>
                </w:p>
              </w:tc>
              <w:tc>
                <w:tcPr>
                  <w:tcW w:w="1620" w:type="dxa"/>
                </w:tcPr>
                <w:p w14:paraId="77E78AA3">
                  <w:pPr>
                    <w:spacing w:line="280" w:lineRule="exact"/>
                    <w:rPr>
                      <w:color w:val="auto"/>
                    </w:rPr>
                  </w:pPr>
                </w:p>
              </w:tc>
              <w:tc>
                <w:tcPr>
                  <w:tcW w:w="1620" w:type="dxa"/>
                </w:tcPr>
                <w:p w14:paraId="08BE9963">
                  <w:pPr>
                    <w:spacing w:line="280" w:lineRule="exact"/>
                    <w:rPr>
                      <w:color w:val="auto"/>
                    </w:rPr>
                  </w:pPr>
                </w:p>
              </w:tc>
              <w:tc>
                <w:tcPr>
                  <w:tcW w:w="1651" w:type="dxa"/>
                </w:tcPr>
                <w:p w14:paraId="130F1C58">
                  <w:pPr>
                    <w:spacing w:line="280" w:lineRule="exact"/>
                    <w:rPr>
                      <w:color w:val="auto"/>
                    </w:rPr>
                  </w:pPr>
                </w:p>
              </w:tc>
            </w:tr>
            <w:tr w14:paraId="305B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1C84BA8">
                  <w:pPr>
                    <w:spacing w:line="280" w:lineRule="exact"/>
                    <w:jc w:val="center"/>
                    <w:rPr>
                      <w:color w:val="auto"/>
                    </w:rPr>
                  </w:pPr>
                </w:p>
              </w:tc>
              <w:tc>
                <w:tcPr>
                  <w:tcW w:w="3420" w:type="dxa"/>
                </w:tcPr>
                <w:p w14:paraId="0C0B5622">
                  <w:pPr>
                    <w:spacing w:line="280" w:lineRule="exact"/>
                    <w:rPr>
                      <w:color w:val="auto"/>
                    </w:rPr>
                  </w:pPr>
                </w:p>
              </w:tc>
              <w:tc>
                <w:tcPr>
                  <w:tcW w:w="1620" w:type="dxa"/>
                </w:tcPr>
                <w:p w14:paraId="29F4119F">
                  <w:pPr>
                    <w:spacing w:line="280" w:lineRule="exact"/>
                    <w:rPr>
                      <w:color w:val="auto"/>
                    </w:rPr>
                  </w:pPr>
                </w:p>
              </w:tc>
              <w:tc>
                <w:tcPr>
                  <w:tcW w:w="1620" w:type="dxa"/>
                </w:tcPr>
                <w:p w14:paraId="1354CE3E">
                  <w:pPr>
                    <w:spacing w:line="280" w:lineRule="exact"/>
                    <w:rPr>
                      <w:color w:val="auto"/>
                    </w:rPr>
                  </w:pPr>
                </w:p>
              </w:tc>
              <w:tc>
                <w:tcPr>
                  <w:tcW w:w="1651" w:type="dxa"/>
                </w:tcPr>
                <w:p w14:paraId="3778CCF5">
                  <w:pPr>
                    <w:spacing w:line="280" w:lineRule="exact"/>
                    <w:rPr>
                      <w:color w:val="auto"/>
                    </w:rPr>
                  </w:pPr>
                </w:p>
              </w:tc>
            </w:tr>
          </w:tbl>
          <w:p w14:paraId="465C1F27">
            <w:pPr>
              <w:spacing w:line="400" w:lineRule="exact"/>
              <w:ind w:right="420" w:firstLine="435"/>
              <w:jc w:val="center"/>
              <w:rPr>
                <w:color w:val="auto"/>
              </w:rPr>
            </w:pPr>
          </w:p>
          <w:p w14:paraId="5723EC8A">
            <w:pPr>
              <w:spacing w:line="400" w:lineRule="exact"/>
              <w:ind w:right="420" w:firstLine="435"/>
              <w:jc w:val="center"/>
              <w:rPr>
                <w:color w:val="auto"/>
              </w:rPr>
            </w:pPr>
            <w:r>
              <w:rPr>
                <w:rFonts w:hint="eastAsia"/>
                <w:color w:val="auto"/>
              </w:rPr>
              <w:t xml:space="preserve">                                            承包人（章）             </w:t>
            </w:r>
          </w:p>
          <w:p w14:paraId="18364E04">
            <w:pPr>
              <w:spacing w:line="400" w:lineRule="exact"/>
              <w:ind w:right="420" w:firstLine="435"/>
              <w:rPr>
                <w:color w:val="auto"/>
              </w:rPr>
            </w:pPr>
            <w:r>
              <w:rPr>
                <w:rFonts w:hint="eastAsia"/>
                <w:color w:val="auto"/>
              </w:rPr>
              <w:t>造价人员</w:t>
            </w:r>
            <w:r>
              <w:rPr>
                <w:rFonts w:hint="eastAsia"/>
                <w:color w:val="auto"/>
                <w:u w:val="single"/>
              </w:rPr>
              <w:t xml:space="preserve">               </w:t>
            </w:r>
            <w:r>
              <w:rPr>
                <w:rFonts w:hint="eastAsia"/>
                <w:color w:val="auto"/>
              </w:rPr>
              <w:t>承包人代表</w:t>
            </w:r>
            <w:r>
              <w:rPr>
                <w:rFonts w:hint="eastAsia"/>
                <w:color w:val="auto"/>
                <w:u w:val="single"/>
              </w:rPr>
              <w:t xml:space="preserve">               </w:t>
            </w:r>
            <w:r>
              <w:rPr>
                <w:rFonts w:hint="eastAsia"/>
                <w:color w:val="auto"/>
              </w:rPr>
              <w:t>日      期</w:t>
            </w:r>
            <w:r>
              <w:rPr>
                <w:rFonts w:hint="eastAsia"/>
                <w:color w:val="auto"/>
                <w:u w:val="single"/>
              </w:rPr>
              <w:t xml:space="preserve">               </w:t>
            </w:r>
          </w:p>
        </w:tc>
      </w:tr>
      <w:tr w14:paraId="3C7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35412DBA">
            <w:pPr>
              <w:spacing w:line="360" w:lineRule="exact"/>
              <w:rPr>
                <w:color w:val="auto"/>
              </w:rPr>
            </w:pPr>
            <w:r>
              <w:rPr>
                <w:rFonts w:hint="eastAsia"/>
                <w:color w:val="auto"/>
              </w:rPr>
              <w:t>复核意见：</w:t>
            </w:r>
          </w:p>
          <w:p w14:paraId="208412B6">
            <w:pPr>
              <w:spacing w:line="360" w:lineRule="exact"/>
              <w:ind w:firstLine="312"/>
              <w:rPr>
                <w:color w:val="auto"/>
              </w:rPr>
            </w:pPr>
            <w:r>
              <w:rPr>
                <w:rFonts w:hint="eastAsia"/>
                <w:color w:val="auto"/>
              </w:rPr>
              <w:t>□与实际施工情况不相符，修改意见见附件。</w:t>
            </w:r>
          </w:p>
          <w:p w14:paraId="05CE974E">
            <w:pPr>
              <w:spacing w:line="360" w:lineRule="exact"/>
              <w:ind w:firstLine="312"/>
              <w:rPr>
                <w:color w:val="auto"/>
              </w:rPr>
            </w:pPr>
            <w:r>
              <w:rPr>
                <w:rFonts w:hint="eastAsia"/>
                <w:color w:val="auto"/>
              </w:rPr>
              <w:t>□与实际施工情况相符，具体金额由造价工程师复核。</w:t>
            </w:r>
          </w:p>
          <w:p w14:paraId="618F2DE0">
            <w:pPr>
              <w:spacing w:line="360" w:lineRule="exact"/>
              <w:ind w:firstLine="435"/>
              <w:jc w:val="right"/>
              <w:rPr>
                <w:color w:val="auto"/>
              </w:rPr>
            </w:pPr>
          </w:p>
          <w:p w14:paraId="4CDFE076">
            <w:pPr>
              <w:spacing w:line="360" w:lineRule="exact"/>
              <w:ind w:firstLine="435"/>
              <w:jc w:val="right"/>
              <w:rPr>
                <w:color w:val="auto"/>
              </w:rPr>
            </w:pPr>
          </w:p>
          <w:p w14:paraId="43B2F2E6">
            <w:pPr>
              <w:spacing w:line="360" w:lineRule="exact"/>
              <w:ind w:firstLine="435"/>
              <w:jc w:val="center"/>
              <w:rPr>
                <w:color w:val="auto"/>
              </w:rPr>
            </w:pPr>
            <w:r>
              <w:rPr>
                <w:color w:val="auto"/>
              </w:rPr>
              <w:t xml:space="preserve">    </w:t>
            </w:r>
            <w:r>
              <w:rPr>
                <w:rFonts w:hint="eastAsia"/>
                <w:color w:val="auto"/>
              </w:rPr>
              <w:t xml:space="preserve">     </w:t>
            </w:r>
          </w:p>
          <w:p w14:paraId="431D27D6">
            <w:pPr>
              <w:spacing w:line="360" w:lineRule="exact"/>
              <w:ind w:firstLine="435"/>
              <w:jc w:val="center"/>
              <w:rPr>
                <w:color w:val="auto"/>
                <w:u w:val="single"/>
              </w:rPr>
            </w:pPr>
            <w:r>
              <w:rPr>
                <w:rFonts w:hint="eastAsia"/>
                <w:color w:val="auto"/>
              </w:rPr>
              <w:t xml:space="preserve">      监理工程师</w:t>
            </w:r>
            <w:r>
              <w:rPr>
                <w:rFonts w:hint="eastAsia"/>
                <w:color w:val="auto"/>
                <w:u w:val="single"/>
              </w:rPr>
              <w:t xml:space="preserve">           </w:t>
            </w:r>
          </w:p>
          <w:p w14:paraId="508E251E">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c>
          <w:tcPr>
            <w:tcW w:w="4620" w:type="dxa"/>
          </w:tcPr>
          <w:p w14:paraId="7832CAB5">
            <w:pPr>
              <w:spacing w:line="360" w:lineRule="exact"/>
              <w:rPr>
                <w:color w:val="auto"/>
              </w:rPr>
            </w:pPr>
            <w:r>
              <w:rPr>
                <w:rFonts w:hint="eastAsia"/>
                <w:color w:val="auto"/>
              </w:rPr>
              <w:t>复核意见：</w:t>
            </w:r>
          </w:p>
          <w:p w14:paraId="4F9787A6">
            <w:pPr>
              <w:spacing w:line="360" w:lineRule="exact"/>
              <w:ind w:firstLine="435"/>
              <w:rPr>
                <w:color w:val="auto"/>
                <w:u w:val="single"/>
              </w:rPr>
            </w:pPr>
            <w:r>
              <w:rPr>
                <w:rFonts w:hint="eastAsia"/>
                <w:color w:val="auto"/>
              </w:rPr>
              <w:t>你方提出的竣工结算支付申请经复核，竣工结算款总额为（大写）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 xml:space="preserve"> 元，扣除前期支付以及质量保证金后应支付金额为（大写）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w:t>
            </w:r>
          </w:p>
          <w:p w14:paraId="033BDBED">
            <w:pPr>
              <w:spacing w:line="360" w:lineRule="exact"/>
              <w:ind w:firstLine="435"/>
              <w:jc w:val="center"/>
              <w:rPr>
                <w:color w:val="auto"/>
              </w:rPr>
            </w:pPr>
            <w:r>
              <w:rPr>
                <w:color w:val="auto"/>
              </w:rPr>
              <w:t xml:space="preserve">    </w:t>
            </w:r>
          </w:p>
          <w:p w14:paraId="2A70C6CD">
            <w:pPr>
              <w:spacing w:line="360" w:lineRule="exact"/>
              <w:ind w:firstLine="435"/>
              <w:jc w:val="center"/>
              <w:rPr>
                <w:color w:val="auto"/>
                <w:u w:val="single"/>
              </w:rPr>
            </w:pPr>
            <w:r>
              <w:rPr>
                <w:rFonts w:hint="eastAsia"/>
                <w:color w:val="auto"/>
              </w:rPr>
              <w:t xml:space="preserve">    造价工程师</w:t>
            </w:r>
            <w:r>
              <w:rPr>
                <w:rFonts w:hint="eastAsia"/>
                <w:color w:val="auto"/>
                <w:u w:val="single"/>
              </w:rPr>
              <w:t xml:space="preserve">           </w:t>
            </w:r>
          </w:p>
          <w:p w14:paraId="438766B0">
            <w:pPr>
              <w:spacing w:line="360" w:lineRule="exact"/>
              <w:ind w:firstLine="435"/>
              <w:jc w:val="center"/>
              <w:rPr>
                <w:color w:val="auto"/>
                <w:u w:val="single"/>
              </w:rPr>
            </w:pPr>
            <w:r>
              <w:rPr>
                <w:color w:val="auto"/>
              </w:rPr>
              <w:t xml:space="preserve">    </w:t>
            </w:r>
            <w:r>
              <w:rPr>
                <w:rFonts w:hint="eastAsia"/>
                <w:color w:val="auto"/>
              </w:rPr>
              <w:t>日      期</w:t>
            </w:r>
            <w:r>
              <w:rPr>
                <w:rFonts w:hint="eastAsia"/>
                <w:color w:val="auto"/>
                <w:u w:val="single"/>
              </w:rPr>
              <w:t xml:space="preserve">           </w:t>
            </w:r>
          </w:p>
        </w:tc>
      </w:tr>
      <w:tr w14:paraId="7E07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62045D60">
            <w:pPr>
              <w:spacing w:line="400" w:lineRule="exact"/>
              <w:rPr>
                <w:color w:val="auto"/>
              </w:rPr>
            </w:pPr>
            <w:r>
              <w:rPr>
                <w:rFonts w:hint="eastAsia"/>
                <w:color w:val="auto"/>
              </w:rPr>
              <w:t>审核意见：</w:t>
            </w:r>
          </w:p>
          <w:p w14:paraId="5C7F1440">
            <w:pPr>
              <w:spacing w:line="400" w:lineRule="exact"/>
              <w:ind w:firstLine="435"/>
              <w:rPr>
                <w:color w:val="auto"/>
              </w:rPr>
            </w:pPr>
            <w:r>
              <w:rPr>
                <w:rFonts w:hint="eastAsia"/>
                <w:color w:val="auto"/>
              </w:rPr>
              <w:t>□不同意。</w:t>
            </w:r>
          </w:p>
          <w:p w14:paraId="1238B611">
            <w:pPr>
              <w:spacing w:line="400" w:lineRule="exact"/>
              <w:ind w:firstLine="420" w:firstLineChars="200"/>
              <w:rPr>
                <w:color w:val="auto"/>
              </w:rPr>
            </w:pPr>
            <w:r>
              <w:rPr>
                <w:rFonts w:hint="eastAsia"/>
                <w:color w:val="auto"/>
              </w:rPr>
              <w:t>□同意，支付时间为本表签发后的15天内。</w:t>
            </w:r>
          </w:p>
          <w:p w14:paraId="24AD6359">
            <w:pPr>
              <w:wordWrap w:val="0"/>
              <w:spacing w:line="400" w:lineRule="exact"/>
              <w:ind w:firstLine="420" w:firstLineChars="200"/>
              <w:jc w:val="right"/>
              <w:rPr>
                <w:color w:val="auto"/>
              </w:rPr>
            </w:pPr>
            <w:r>
              <w:rPr>
                <w:rFonts w:hint="eastAsia"/>
                <w:color w:val="auto"/>
              </w:rPr>
              <w:t xml:space="preserve">发包人（章）           </w:t>
            </w:r>
          </w:p>
          <w:p w14:paraId="2AC91783">
            <w:pPr>
              <w:wordWrap w:val="0"/>
              <w:spacing w:line="400" w:lineRule="exact"/>
              <w:ind w:firstLine="420" w:firstLineChars="200"/>
              <w:jc w:val="right"/>
              <w:rPr>
                <w:color w:val="auto"/>
                <w:u w:val="single"/>
              </w:rPr>
            </w:pPr>
            <w:r>
              <w:rPr>
                <w:rFonts w:hint="eastAsia"/>
                <w:color w:val="auto"/>
              </w:rPr>
              <w:t>发包人代表</w:t>
            </w:r>
            <w:r>
              <w:rPr>
                <w:rFonts w:hint="eastAsia"/>
                <w:color w:val="auto"/>
                <w:u w:val="single"/>
              </w:rPr>
              <w:t xml:space="preserve">             </w:t>
            </w:r>
          </w:p>
          <w:p w14:paraId="7F97CFAF">
            <w:pPr>
              <w:wordWrap w:val="0"/>
              <w:spacing w:line="400" w:lineRule="exact"/>
              <w:ind w:firstLine="420" w:firstLineChars="200"/>
              <w:jc w:val="right"/>
              <w:rPr>
                <w:color w:val="auto"/>
                <w:u w:val="single"/>
              </w:rPr>
            </w:pPr>
            <w:r>
              <w:rPr>
                <w:rFonts w:hint="eastAsia"/>
                <w:color w:val="auto"/>
              </w:rPr>
              <w:t>日      期</w:t>
            </w:r>
            <w:r>
              <w:rPr>
                <w:rFonts w:hint="eastAsia"/>
                <w:color w:val="auto"/>
                <w:u w:val="single"/>
              </w:rPr>
              <w:t xml:space="preserve">             </w:t>
            </w:r>
          </w:p>
        </w:tc>
      </w:tr>
    </w:tbl>
    <w:p w14:paraId="7AABE514">
      <w:pPr>
        <w:spacing w:before="120" w:beforeLines="50"/>
        <w:ind w:firstLine="360" w:firstLineChars="200"/>
        <w:rPr>
          <w:color w:val="auto"/>
          <w:sz w:val="18"/>
          <w:szCs w:val="18"/>
        </w:rPr>
      </w:pPr>
      <w:r>
        <w:rPr>
          <w:rFonts w:hint="eastAsia"/>
          <w:color w:val="auto"/>
          <w:sz w:val="18"/>
          <w:szCs w:val="18"/>
        </w:rPr>
        <w:t xml:space="preserve">注：1.在选择栏中的“□”内作标识“√”。 </w:t>
      </w:r>
    </w:p>
    <w:p w14:paraId="2F802993">
      <w:pPr>
        <w:spacing w:before="120"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62C7C93D">
      <w:pPr>
        <w:jc w:val="left"/>
        <w:rPr>
          <w:rFonts w:hint="eastAsia" w:hAnsi="宋体" w:cs="宋体"/>
          <w:color w:val="auto"/>
          <w:sz w:val="30"/>
          <w:szCs w:val="30"/>
        </w:rPr>
      </w:pPr>
    </w:p>
    <w:p w14:paraId="25800506">
      <w:pPr>
        <w:jc w:val="left"/>
        <w:rPr>
          <w:b/>
          <w:color w:val="auto"/>
          <w:sz w:val="30"/>
          <w:szCs w:val="30"/>
        </w:rPr>
      </w:pPr>
      <w:r>
        <w:rPr>
          <w:rFonts w:hint="eastAsia" w:hAnsi="宋体" w:cs="宋体"/>
          <w:color w:val="auto"/>
          <w:sz w:val="30"/>
          <w:szCs w:val="30"/>
        </w:rPr>
        <w:t>附件13：</w:t>
      </w:r>
    </w:p>
    <w:p w14:paraId="3B4D852E">
      <w:pPr>
        <w:jc w:val="center"/>
        <w:rPr>
          <w:b/>
          <w:color w:val="auto"/>
          <w:sz w:val="36"/>
          <w:szCs w:val="36"/>
        </w:rPr>
      </w:pPr>
      <w:r>
        <w:rPr>
          <w:rFonts w:hint="eastAsia"/>
          <w:b/>
          <w:color w:val="auto"/>
          <w:sz w:val="36"/>
          <w:szCs w:val="36"/>
        </w:rPr>
        <w:t>最终结算款支付申请（核准）表</w:t>
      </w:r>
    </w:p>
    <w:p w14:paraId="27FB12EC">
      <w:pPr>
        <w:rPr>
          <w:color w:val="auto"/>
          <w:sz w:val="24"/>
        </w:rPr>
      </w:pPr>
      <w:r>
        <w:rPr>
          <w:rFonts w:hint="eastAsia"/>
          <w:color w:val="auto"/>
          <w:sz w:val="24"/>
        </w:rPr>
        <w:t>工程名称：                                             编号：</w:t>
      </w:r>
    </w:p>
    <w:tbl>
      <w:tblPr>
        <w:tblStyle w:val="48"/>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4428"/>
      </w:tblGrid>
      <w:tr w14:paraId="2B90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jc w:val="center"/>
        </w:trPr>
        <w:tc>
          <w:tcPr>
            <w:tcW w:w="8860" w:type="dxa"/>
            <w:gridSpan w:val="2"/>
          </w:tcPr>
          <w:p w14:paraId="6611C013">
            <w:pPr>
              <w:spacing w:line="480" w:lineRule="exact"/>
              <w:ind w:left="525" w:leftChars="149" w:hanging="212" w:hangingChars="101"/>
              <w:rPr>
                <w:color w:val="auto"/>
                <w:u w:val="single"/>
              </w:rPr>
            </w:pPr>
            <w:r>
              <w:rPr>
                <w:rFonts w:hint="eastAsia"/>
                <w:color w:val="auto"/>
              </w:rPr>
              <w:t>致：</w:t>
            </w:r>
            <w:r>
              <w:rPr>
                <w:rFonts w:hint="eastAsia"/>
                <w:color w:val="auto"/>
                <w:u w:val="single"/>
              </w:rPr>
              <w:t xml:space="preserve">                                   （发包人全称）</w:t>
            </w:r>
          </w:p>
          <w:p w14:paraId="520278A9">
            <w:pPr>
              <w:spacing w:line="400" w:lineRule="exact"/>
              <w:ind w:left="-4" w:leftChars="-2" w:firstLine="315" w:firstLineChars="150"/>
              <w:rPr>
                <w:color w:val="auto"/>
              </w:rPr>
            </w:pPr>
            <w:r>
              <w:rPr>
                <w:rFonts w:hint="eastAsia"/>
                <w:color w:val="auto"/>
              </w:rPr>
              <w:t>我方于</w:t>
            </w:r>
            <w:r>
              <w:rPr>
                <w:rFonts w:hint="eastAsia"/>
                <w:color w:val="auto"/>
                <w:u w:val="single"/>
              </w:rPr>
              <w:t xml:space="preserve">         </w:t>
            </w:r>
            <w:r>
              <w:rPr>
                <w:rFonts w:hint="eastAsia"/>
                <w:color w:val="auto"/>
              </w:rPr>
              <w:t>至</w:t>
            </w:r>
            <w:r>
              <w:rPr>
                <w:rFonts w:hint="eastAsia"/>
                <w:color w:val="auto"/>
                <w:u w:val="single"/>
              </w:rPr>
              <w:t xml:space="preserve">          </w:t>
            </w:r>
            <w:r>
              <w:rPr>
                <w:rFonts w:hint="eastAsia"/>
                <w:color w:val="auto"/>
              </w:rPr>
              <w:t>期间已完成了缺陷修复工作，根据施工合同的约定，现申请支付最终结清合同款额为（大写）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3316"/>
              <w:gridCol w:w="1591"/>
              <w:gridCol w:w="1591"/>
              <w:gridCol w:w="1605"/>
            </w:tblGrid>
            <w:tr w14:paraId="2B67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43DBCA7B">
                  <w:pPr>
                    <w:spacing w:line="280" w:lineRule="exact"/>
                    <w:jc w:val="center"/>
                    <w:rPr>
                      <w:color w:val="auto"/>
                    </w:rPr>
                  </w:pPr>
                  <w:r>
                    <w:rPr>
                      <w:rFonts w:hint="eastAsia"/>
                      <w:color w:val="auto"/>
                    </w:rPr>
                    <w:t>序号</w:t>
                  </w:r>
                </w:p>
              </w:tc>
              <w:tc>
                <w:tcPr>
                  <w:tcW w:w="3420" w:type="dxa"/>
                  <w:vAlign w:val="center"/>
                </w:tcPr>
                <w:p w14:paraId="61F3976A">
                  <w:pPr>
                    <w:spacing w:line="280" w:lineRule="exact"/>
                    <w:jc w:val="center"/>
                    <w:rPr>
                      <w:color w:val="auto"/>
                    </w:rPr>
                  </w:pPr>
                  <w:r>
                    <w:rPr>
                      <w:rFonts w:hint="eastAsia"/>
                      <w:color w:val="auto"/>
                    </w:rPr>
                    <w:t>名      称</w:t>
                  </w:r>
                </w:p>
              </w:tc>
              <w:tc>
                <w:tcPr>
                  <w:tcW w:w="1620" w:type="dxa"/>
                  <w:vAlign w:val="center"/>
                </w:tcPr>
                <w:p w14:paraId="5904A954">
                  <w:pPr>
                    <w:spacing w:line="280" w:lineRule="exact"/>
                    <w:jc w:val="center"/>
                    <w:rPr>
                      <w:color w:val="auto"/>
                    </w:rPr>
                  </w:pPr>
                  <w:r>
                    <w:rPr>
                      <w:rFonts w:hint="eastAsia"/>
                      <w:color w:val="auto"/>
                    </w:rPr>
                    <w:t>申请金额（元）</w:t>
                  </w:r>
                </w:p>
              </w:tc>
              <w:tc>
                <w:tcPr>
                  <w:tcW w:w="1620" w:type="dxa"/>
                  <w:vAlign w:val="center"/>
                </w:tcPr>
                <w:p w14:paraId="22E0E3F8">
                  <w:pPr>
                    <w:spacing w:line="280" w:lineRule="exact"/>
                    <w:jc w:val="center"/>
                    <w:rPr>
                      <w:color w:val="auto"/>
                    </w:rPr>
                  </w:pPr>
                  <w:r>
                    <w:rPr>
                      <w:rFonts w:hint="eastAsia"/>
                      <w:color w:val="auto"/>
                    </w:rPr>
                    <w:t>复核金额（元）</w:t>
                  </w:r>
                </w:p>
              </w:tc>
              <w:tc>
                <w:tcPr>
                  <w:tcW w:w="1651" w:type="dxa"/>
                  <w:vAlign w:val="center"/>
                </w:tcPr>
                <w:p w14:paraId="28965C83">
                  <w:pPr>
                    <w:spacing w:line="280" w:lineRule="exact"/>
                    <w:jc w:val="center"/>
                    <w:rPr>
                      <w:color w:val="auto"/>
                    </w:rPr>
                  </w:pPr>
                  <w:r>
                    <w:rPr>
                      <w:rFonts w:hint="eastAsia"/>
                      <w:color w:val="auto"/>
                    </w:rPr>
                    <w:t>备注</w:t>
                  </w:r>
                </w:p>
              </w:tc>
            </w:tr>
            <w:tr w14:paraId="4022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C6295EB">
                  <w:pPr>
                    <w:spacing w:line="280" w:lineRule="exact"/>
                    <w:jc w:val="center"/>
                    <w:rPr>
                      <w:color w:val="auto"/>
                    </w:rPr>
                  </w:pPr>
                  <w:r>
                    <w:rPr>
                      <w:rFonts w:hint="eastAsia"/>
                      <w:color w:val="auto"/>
                    </w:rPr>
                    <w:t>1</w:t>
                  </w:r>
                </w:p>
              </w:tc>
              <w:tc>
                <w:tcPr>
                  <w:tcW w:w="3420" w:type="dxa"/>
                </w:tcPr>
                <w:p w14:paraId="7D1E27F1">
                  <w:pPr>
                    <w:spacing w:line="280" w:lineRule="exact"/>
                    <w:rPr>
                      <w:color w:val="auto"/>
                    </w:rPr>
                  </w:pPr>
                  <w:r>
                    <w:rPr>
                      <w:rFonts w:hint="eastAsia"/>
                      <w:color w:val="auto"/>
                    </w:rPr>
                    <w:t>已预留的质量保证金</w:t>
                  </w:r>
                </w:p>
              </w:tc>
              <w:tc>
                <w:tcPr>
                  <w:tcW w:w="1620" w:type="dxa"/>
                </w:tcPr>
                <w:p w14:paraId="08EF4503">
                  <w:pPr>
                    <w:spacing w:line="280" w:lineRule="exact"/>
                    <w:rPr>
                      <w:color w:val="auto"/>
                    </w:rPr>
                  </w:pPr>
                </w:p>
              </w:tc>
              <w:tc>
                <w:tcPr>
                  <w:tcW w:w="1620" w:type="dxa"/>
                </w:tcPr>
                <w:p w14:paraId="5E372C53">
                  <w:pPr>
                    <w:spacing w:line="280" w:lineRule="exact"/>
                    <w:rPr>
                      <w:color w:val="auto"/>
                    </w:rPr>
                  </w:pPr>
                </w:p>
              </w:tc>
              <w:tc>
                <w:tcPr>
                  <w:tcW w:w="1651" w:type="dxa"/>
                </w:tcPr>
                <w:p w14:paraId="05AC5AC0">
                  <w:pPr>
                    <w:spacing w:line="280" w:lineRule="exact"/>
                    <w:rPr>
                      <w:color w:val="auto"/>
                    </w:rPr>
                  </w:pPr>
                </w:p>
              </w:tc>
            </w:tr>
            <w:tr w14:paraId="62ED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A769B04">
                  <w:pPr>
                    <w:spacing w:line="280" w:lineRule="exact"/>
                    <w:jc w:val="center"/>
                    <w:rPr>
                      <w:color w:val="auto"/>
                    </w:rPr>
                  </w:pPr>
                  <w:r>
                    <w:rPr>
                      <w:rFonts w:hint="eastAsia"/>
                      <w:color w:val="auto"/>
                    </w:rPr>
                    <w:t>2</w:t>
                  </w:r>
                </w:p>
              </w:tc>
              <w:tc>
                <w:tcPr>
                  <w:tcW w:w="3420" w:type="dxa"/>
                </w:tcPr>
                <w:p w14:paraId="3325D1BA">
                  <w:pPr>
                    <w:spacing w:line="280" w:lineRule="exact"/>
                    <w:rPr>
                      <w:color w:val="auto"/>
                    </w:rPr>
                  </w:pPr>
                  <w:r>
                    <w:rPr>
                      <w:rFonts w:hint="eastAsia"/>
                      <w:color w:val="auto"/>
                    </w:rPr>
                    <w:t>应增加因发包人原因造成缺陷的修复金额</w:t>
                  </w:r>
                </w:p>
              </w:tc>
              <w:tc>
                <w:tcPr>
                  <w:tcW w:w="1620" w:type="dxa"/>
                </w:tcPr>
                <w:p w14:paraId="4CEBAE5A">
                  <w:pPr>
                    <w:spacing w:line="280" w:lineRule="exact"/>
                    <w:rPr>
                      <w:color w:val="auto"/>
                    </w:rPr>
                  </w:pPr>
                </w:p>
              </w:tc>
              <w:tc>
                <w:tcPr>
                  <w:tcW w:w="1620" w:type="dxa"/>
                </w:tcPr>
                <w:p w14:paraId="088C8E1D">
                  <w:pPr>
                    <w:spacing w:line="280" w:lineRule="exact"/>
                    <w:rPr>
                      <w:color w:val="auto"/>
                    </w:rPr>
                  </w:pPr>
                </w:p>
              </w:tc>
              <w:tc>
                <w:tcPr>
                  <w:tcW w:w="1651" w:type="dxa"/>
                </w:tcPr>
                <w:p w14:paraId="133492BB">
                  <w:pPr>
                    <w:spacing w:line="280" w:lineRule="exact"/>
                    <w:rPr>
                      <w:color w:val="auto"/>
                    </w:rPr>
                  </w:pPr>
                </w:p>
              </w:tc>
            </w:tr>
            <w:tr w14:paraId="5742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4E49688">
                  <w:pPr>
                    <w:spacing w:line="280" w:lineRule="exact"/>
                    <w:jc w:val="center"/>
                    <w:rPr>
                      <w:color w:val="auto"/>
                    </w:rPr>
                  </w:pPr>
                  <w:r>
                    <w:rPr>
                      <w:rFonts w:hint="eastAsia"/>
                      <w:color w:val="auto"/>
                    </w:rPr>
                    <w:t>3</w:t>
                  </w:r>
                </w:p>
              </w:tc>
              <w:tc>
                <w:tcPr>
                  <w:tcW w:w="3420" w:type="dxa"/>
                </w:tcPr>
                <w:p w14:paraId="606FD44B">
                  <w:pPr>
                    <w:spacing w:line="280" w:lineRule="exact"/>
                    <w:rPr>
                      <w:color w:val="auto"/>
                    </w:rPr>
                  </w:pPr>
                  <w:r>
                    <w:rPr>
                      <w:rFonts w:hint="eastAsia"/>
                      <w:color w:val="auto"/>
                    </w:rPr>
                    <w:t>应扣减承包人不修复缺陷、发包人组织修复的金额</w:t>
                  </w:r>
                </w:p>
              </w:tc>
              <w:tc>
                <w:tcPr>
                  <w:tcW w:w="1620" w:type="dxa"/>
                </w:tcPr>
                <w:p w14:paraId="3D3028DF">
                  <w:pPr>
                    <w:spacing w:line="280" w:lineRule="exact"/>
                    <w:rPr>
                      <w:color w:val="auto"/>
                    </w:rPr>
                  </w:pPr>
                </w:p>
              </w:tc>
              <w:tc>
                <w:tcPr>
                  <w:tcW w:w="1620" w:type="dxa"/>
                </w:tcPr>
                <w:p w14:paraId="7B9CD4DD">
                  <w:pPr>
                    <w:spacing w:line="280" w:lineRule="exact"/>
                    <w:rPr>
                      <w:color w:val="auto"/>
                    </w:rPr>
                  </w:pPr>
                </w:p>
              </w:tc>
              <w:tc>
                <w:tcPr>
                  <w:tcW w:w="1651" w:type="dxa"/>
                </w:tcPr>
                <w:p w14:paraId="4A9F2B07">
                  <w:pPr>
                    <w:spacing w:line="280" w:lineRule="exact"/>
                    <w:rPr>
                      <w:color w:val="auto"/>
                    </w:rPr>
                  </w:pPr>
                </w:p>
              </w:tc>
            </w:tr>
            <w:tr w14:paraId="4032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0DDF16D">
                  <w:pPr>
                    <w:spacing w:line="280" w:lineRule="exact"/>
                    <w:jc w:val="center"/>
                    <w:rPr>
                      <w:color w:val="auto"/>
                    </w:rPr>
                  </w:pPr>
                  <w:r>
                    <w:rPr>
                      <w:rFonts w:hint="eastAsia"/>
                      <w:color w:val="auto"/>
                    </w:rPr>
                    <w:t>4</w:t>
                  </w:r>
                </w:p>
              </w:tc>
              <w:tc>
                <w:tcPr>
                  <w:tcW w:w="3420" w:type="dxa"/>
                </w:tcPr>
                <w:p w14:paraId="4D83B10C">
                  <w:pPr>
                    <w:spacing w:line="280" w:lineRule="exact"/>
                    <w:rPr>
                      <w:color w:val="auto"/>
                    </w:rPr>
                  </w:pPr>
                  <w:r>
                    <w:rPr>
                      <w:rFonts w:hint="eastAsia"/>
                      <w:color w:val="auto"/>
                    </w:rPr>
                    <w:t>最终应支付的合同价款</w:t>
                  </w:r>
                </w:p>
              </w:tc>
              <w:tc>
                <w:tcPr>
                  <w:tcW w:w="1620" w:type="dxa"/>
                </w:tcPr>
                <w:p w14:paraId="502BFA04">
                  <w:pPr>
                    <w:spacing w:line="280" w:lineRule="exact"/>
                    <w:rPr>
                      <w:color w:val="auto"/>
                    </w:rPr>
                  </w:pPr>
                </w:p>
              </w:tc>
              <w:tc>
                <w:tcPr>
                  <w:tcW w:w="1620" w:type="dxa"/>
                </w:tcPr>
                <w:p w14:paraId="4223516E">
                  <w:pPr>
                    <w:spacing w:line="280" w:lineRule="exact"/>
                    <w:rPr>
                      <w:color w:val="auto"/>
                    </w:rPr>
                  </w:pPr>
                </w:p>
              </w:tc>
              <w:tc>
                <w:tcPr>
                  <w:tcW w:w="1651" w:type="dxa"/>
                </w:tcPr>
                <w:p w14:paraId="5FF7CAF7">
                  <w:pPr>
                    <w:spacing w:line="280" w:lineRule="exact"/>
                    <w:rPr>
                      <w:color w:val="auto"/>
                    </w:rPr>
                  </w:pPr>
                </w:p>
              </w:tc>
            </w:tr>
            <w:tr w14:paraId="5F8F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61BEEE9">
                  <w:pPr>
                    <w:spacing w:line="280" w:lineRule="exact"/>
                    <w:jc w:val="center"/>
                    <w:rPr>
                      <w:color w:val="auto"/>
                    </w:rPr>
                  </w:pPr>
                </w:p>
              </w:tc>
              <w:tc>
                <w:tcPr>
                  <w:tcW w:w="3420" w:type="dxa"/>
                </w:tcPr>
                <w:p w14:paraId="58A957B4">
                  <w:pPr>
                    <w:spacing w:line="280" w:lineRule="exact"/>
                    <w:rPr>
                      <w:color w:val="auto"/>
                    </w:rPr>
                  </w:pPr>
                </w:p>
              </w:tc>
              <w:tc>
                <w:tcPr>
                  <w:tcW w:w="1620" w:type="dxa"/>
                </w:tcPr>
                <w:p w14:paraId="73968647">
                  <w:pPr>
                    <w:spacing w:line="280" w:lineRule="exact"/>
                    <w:rPr>
                      <w:color w:val="auto"/>
                    </w:rPr>
                  </w:pPr>
                </w:p>
              </w:tc>
              <w:tc>
                <w:tcPr>
                  <w:tcW w:w="1620" w:type="dxa"/>
                </w:tcPr>
                <w:p w14:paraId="70AA5597">
                  <w:pPr>
                    <w:spacing w:line="280" w:lineRule="exact"/>
                    <w:rPr>
                      <w:color w:val="auto"/>
                    </w:rPr>
                  </w:pPr>
                </w:p>
              </w:tc>
              <w:tc>
                <w:tcPr>
                  <w:tcW w:w="1651" w:type="dxa"/>
                </w:tcPr>
                <w:p w14:paraId="51A26F2D">
                  <w:pPr>
                    <w:spacing w:line="280" w:lineRule="exact"/>
                    <w:rPr>
                      <w:color w:val="auto"/>
                    </w:rPr>
                  </w:pPr>
                </w:p>
              </w:tc>
            </w:tr>
            <w:tr w14:paraId="388E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556113">
                  <w:pPr>
                    <w:spacing w:line="280" w:lineRule="exact"/>
                    <w:jc w:val="center"/>
                    <w:rPr>
                      <w:color w:val="auto"/>
                    </w:rPr>
                  </w:pPr>
                </w:p>
              </w:tc>
              <w:tc>
                <w:tcPr>
                  <w:tcW w:w="3420" w:type="dxa"/>
                </w:tcPr>
                <w:p w14:paraId="7979F4AF">
                  <w:pPr>
                    <w:spacing w:line="280" w:lineRule="exact"/>
                    <w:rPr>
                      <w:color w:val="auto"/>
                    </w:rPr>
                  </w:pPr>
                </w:p>
              </w:tc>
              <w:tc>
                <w:tcPr>
                  <w:tcW w:w="1620" w:type="dxa"/>
                </w:tcPr>
                <w:p w14:paraId="56ACD529">
                  <w:pPr>
                    <w:spacing w:line="280" w:lineRule="exact"/>
                    <w:rPr>
                      <w:color w:val="auto"/>
                    </w:rPr>
                  </w:pPr>
                </w:p>
              </w:tc>
              <w:tc>
                <w:tcPr>
                  <w:tcW w:w="1620" w:type="dxa"/>
                </w:tcPr>
                <w:p w14:paraId="3F7A5BD6">
                  <w:pPr>
                    <w:spacing w:line="280" w:lineRule="exact"/>
                    <w:rPr>
                      <w:color w:val="auto"/>
                    </w:rPr>
                  </w:pPr>
                </w:p>
              </w:tc>
              <w:tc>
                <w:tcPr>
                  <w:tcW w:w="1651" w:type="dxa"/>
                </w:tcPr>
                <w:p w14:paraId="542207B1">
                  <w:pPr>
                    <w:spacing w:line="280" w:lineRule="exact"/>
                    <w:rPr>
                      <w:color w:val="auto"/>
                    </w:rPr>
                  </w:pPr>
                </w:p>
              </w:tc>
            </w:tr>
            <w:tr w14:paraId="3444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ACFAFBB">
                  <w:pPr>
                    <w:spacing w:line="280" w:lineRule="exact"/>
                    <w:jc w:val="center"/>
                    <w:rPr>
                      <w:color w:val="auto"/>
                    </w:rPr>
                  </w:pPr>
                </w:p>
              </w:tc>
              <w:tc>
                <w:tcPr>
                  <w:tcW w:w="3420" w:type="dxa"/>
                </w:tcPr>
                <w:p w14:paraId="4C955BFE">
                  <w:pPr>
                    <w:spacing w:line="280" w:lineRule="exact"/>
                    <w:rPr>
                      <w:color w:val="auto"/>
                    </w:rPr>
                  </w:pPr>
                </w:p>
              </w:tc>
              <w:tc>
                <w:tcPr>
                  <w:tcW w:w="1620" w:type="dxa"/>
                </w:tcPr>
                <w:p w14:paraId="18F70EEB">
                  <w:pPr>
                    <w:spacing w:line="280" w:lineRule="exact"/>
                    <w:rPr>
                      <w:color w:val="auto"/>
                    </w:rPr>
                  </w:pPr>
                </w:p>
              </w:tc>
              <w:tc>
                <w:tcPr>
                  <w:tcW w:w="1620" w:type="dxa"/>
                </w:tcPr>
                <w:p w14:paraId="59041992">
                  <w:pPr>
                    <w:spacing w:line="280" w:lineRule="exact"/>
                    <w:rPr>
                      <w:color w:val="auto"/>
                    </w:rPr>
                  </w:pPr>
                </w:p>
              </w:tc>
              <w:tc>
                <w:tcPr>
                  <w:tcW w:w="1651" w:type="dxa"/>
                </w:tcPr>
                <w:p w14:paraId="0D55EBD4">
                  <w:pPr>
                    <w:spacing w:line="280" w:lineRule="exact"/>
                    <w:rPr>
                      <w:color w:val="auto"/>
                    </w:rPr>
                  </w:pPr>
                </w:p>
              </w:tc>
            </w:tr>
            <w:tr w14:paraId="447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3252AC0">
                  <w:pPr>
                    <w:spacing w:line="280" w:lineRule="exact"/>
                    <w:jc w:val="center"/>
                    <w:rPr>
                      <w:color w:val="auto"/>
                    </w:rPr>
                  </w:pPr>
                </w:p>
              </w:tc>
              <w:tc>
                <w:tcPr>
                  <w:tcW w:w="3420" w:type="dxa"/>
                </w:tcPr>
                <w:p w14:paraId="53E5EEA0">
                  <w:pPr>
                    <w:spacing w:line="280" w:lineRule="exact"/>
                    <w:rPr>
                      <w:color w:val="auto"/>
                    </w:rPr>
                  </w:pPr>
                </w:p>
              </w:tc>
              <w:tc>
                <w:tcPr>
                  <w:tcW w:w="1620" w:type="dxa"/>
                </w:tcPr>
                <w:p w14:paraId="37005907">
                  <w:pPr>
                    <w:spacing w:line="280" w:lineRule="exact"/>
                    <w:rPr>
                      <w:color w:val="auto"/>
                    </w:rPr>
                  </w:pPr>
                </w:p>
              </w:tc>
              <w:tc>
                <w:tcPr>
                  <w:tcW w:w="1620" w:type="dxa"/>
                </w:tcPr>
                <w:p w14:paraId="23642069">
                  <w:pPr>
                    <w:spacing w:line="280" w:lineRule="exact"/>
                    <w:rPr>
                      <w:color w:val="auto"/>
                    </w:rPr>
                  </w:pPr>
                </w:p>
              </w:tc>
              <w:tc>
                <w:tcPr>
                  <w:tcW w:w="1651" w:type="dxa"/>
                </w:tcPr>
                <w:p w14:paraId="533C1ED4">
                  <w:pPr>
                    <w:spacing w:line="280" w:lineRule="exact"/>
                    <w:rPr>
                      <w:color w:val="auto"/>
                    </w:rPr>
                  </w:pPr>
                </w:p>
              </w:tc>
            </w:tr>
          </w:tbl>
          <w:p w14:paraId="3BFC2B85">
            <w:pPr>
              <w:spacing w:line="400" w:lineRule="exact"/>
              <w:ind w:right="420" w:firstLine="435"/>
              <w:jc w:val="center"/>
              <w:rPr>
                <w:color w:val="auto"/>
              </w:rPr>
            </w:pPr>
            <w:r>
              <w:rPr>
                <w:rFonts w:hint="eastAsia"/>
                <w:color w:val="auto"/>
              </w:rPr>
              <w:t xml:space="preserve">                                            承包人（章）             </w:t>
            </w:r>
          </w:p>
          <w:p w14:paraId="541E5ADE">
            <w:pPr>
              <w:spacing w:line="400" w:lineRule="exact"/>
              <w:ind w:right="420" w:firstLine="435"/>
              <w:rPr>
                <w:color w:val="auto"/>
              </w:rPr>
            </w:pPr>
            <w:r>
              <w:rPr>
                <w:rFonts w:hint="eastAsia"/>
                <w:color w:val="auto"/>
              </w:rPr>
              <w:t>造价人员</w:t>
            </w:r>
            <w:r>
              <w:rPr>
                <w:rFonts w:hint="eastAsia"/>
                <w:color w:val="auto"/>
                <w:u w:val="single"/>
              </w:rPr>
              <w:t xml:space="preserve">               </w:t>
            </w:r>
            <w:r>
              <w:rPr>
                <w:rFonts w:hint="eastAsia"/>
                <w:color w:val="auto"/>
              </w:rPr>
              <w:t>承包人代表</w:t>
            </w:r>
            <w:r>
              <w:rPr>
                <w:rFonts w:hint="eastAsia"/>
                <w:color w:val="auto"/>
                <w:u w:val="single"/>
              </w:rPr>
              <w:t xml:space="preserve">               </w:t>
            </w:r>
            <w:r>
              <w:rPr>
                <w:rFonts w:hint="eastAsia"/>
                <w:color w:val="auto"/>
              </w:rPr>
              <w:t>日      期</w:t>
            </w:r>
            <w:r>
              <w:rPr>
                <w:rFonts w:hint="eastAsia"/>
                <w:color w:val="auto"/>
                <w:u w:val="single"/>
              </w:rPr>
              <w:t xml:space="preserve">               </w:t>
            </w:r>
          </w:p>
        </w:tc>
      </w:tr>
      <w:tr w14:paraId="2BAB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4432" w:type="dxa"/>
          </w:tcPr>
          <w:p w14:paraId="6D983D35">
            <w:pPr>
              <w:spacing w:line="360" w:lineRule="exact"/>
              <w:rPr>
                <w:color w:val="auto"/>
              </w:rPr>
            </w:pPr>
            <w:r>
              <w:rPr>
                <w:rFonts w:hint="eastAsia"/>
                <w:color w:val="auto"/>
              </w:rPr>
              <w:t>复核意见：</w:t>
            </w:r>
          </w:p>
          <w:p w14:paraId="04711E22">
            <w:pPr>
              <w:spacing w:line="360" w:lineRule="exact"/>
              <w:ind w:firstLine="312"/>
              <w:rPr>
                <w:color w:val="auto"/>
              </w:rPr>
            </w:pPr>
            <w:r>
              <w:rPr>
                <w:rFonts w:hint="eastAsia"/>
                <w:color w:val="auto"/>
              </w:rPr>
              <w:t>□与实际施工情况不相符，修改意见见附件。</w:t>
            </w:r>
          </w:p>
          <w:p w14:paraId="029DA5D8">
            <w:pPr>
              <w:spacing w:line="360" w:lineRule="exact"/>
              <w:ind w:firstLine="312"/>
              <w:rPr>
                <w:color w:val="auto"/>
              </w:rPr>
            </w:pPr>
            <w:r>
              <w:rPr>
                <w:rFonts w:hint="eastAsia"/>
                <w:color w:val="auto"/>
              </w:rPr>
              <w:t>□与实际施工情况相符，具体金额由造价工程师复核。</w:t>
            </w:r>
          </w:p>
          <w:p w14:paraId="74EFF860">
            <w:pPr>
              <w:spacing w:line="360" w:lineRule="exact"/>
              <w:ind w:firstLine="435"/>
              <w:jc w:val="right"/>
              <w:rPr>
                <w:color w:val="auto"/>
              </w:rPr>
            </w:pPr>
          </w:p>
          <w:p w14:paraId="351881D3">
            <w:pPr>
              <w:spacing w:line="360" w:lineRule="exact"/>
              <w:ind w:firstLine="435"/>
              <w:jc w:val="right"/>
              <w:rPr>
                <w:color w:val="auto"/>
              </w:rPr>
            </w:pPr>
          </w:p>
          <w:p w14:paraId="08394B4E">
            <w:pPr>
              <w:spacing w:line="360" w:lineRule="exact"/>
              <w:ind w:firstLine="435"/>
              <w:jc w:val="center"/>
              <w:rPr>
                <w:color w:val="auto"/>
              </w:rPr>
            </w:pPr>
            <w:r>
              <w:rPr>
                <w:color w:val="auto"/>
              </w:rPr>
              <w:t xml:space="preserve">    </w:t>
            </w:r>
            <w:r>
              <w:rPr>
                <w:rFonts w:hint="eastAsia"/>
                <w:color w:val="auto"/>
              </w:rPr>
              <w:t xml:space="preserve">     </w:t>
            </w:r>
          </w:p>
          <w:p w14:paraId="190AA609">
            <w:pPr>
              <w:spacing w:line="360" w:lineRule="exact"/>
              <w:ind w:firstLine="435"/>
              <w:jc w:val="center"/>
              <w:rPr>
                <w:color w:val="auto"/>
                <w:u w:val="single"/>
              </w:rPr>
            </w:pPr>
            <w:r>
              <w:rPr>
                <w:rFonts w:hint="eastAsia"/>
                <w:color w:val="auto"/>
              </w:rPr>
              <w:t xml:space="preserve">        监理工程师</w:t>
            </w:r>
            <w:r>
              <w:rPr>
                <w:rFonts w:hint="eastAsia"/>
                <w:color w:val="auto"/>
                <w:u w:val="single"/>
              </w:rPr>
              <w:t xml:space="preserve">           </w:t>
            </w:r>
          </w:p>
          <w:p w14:paraId="489071AC">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c>
          <w:tcPr>
            <w:tcW w:w="4428" w:type="dxa"/>
          </w:tcPr>
          <w:p w14:paraId="6865BB7C">
            <w:pPr>
              <w:spacing w:line="360" w:lineRule="exact"/>
              <w:rPr>
                <w:color w:val="auto"/>
              </w:rPr>
            </w:pPr>
            <w:r>
              <w:rPr>
                <w:rFonts w:hint="eastAsia"/>
                <w:color w:val="auto"/>
              </w:rPr>
              <w:t>复核意见：</w:t>
            </w:r>
          </w:p>
          <w:p w14:paraId="21D66262">
            <w:pPr>
              <w:spacing w:line="360" w:lineRule="exact"/>
              <w:ind w:firstLine="435"/>
              <w:rPr>
                <w:color w:val="auto"/>
                <w:u w:val="single"/>
              </w:rPr>
            </w:pPr>
            <w:r>
              <w:rPr>
                <w:rFonts w:hint="eastAsia"/>
                <w:color w:val="auto"/>
              </w:rPr>
              <w:t>你方提出的支付申请经复核，最终应支付金额为（大写）</w:t>
            </w:r>
            <w:r>
              <w:rPr>
                <w:rFonts w:hint="eastAsia"/>
                <w:color w:val="auto"/>
                <w:u w:val="single"/>
              </w:rPr>
              <w:t xml:space="preserve">          </w:t>
            </w:r>
            <w:r>
              <w:rPr>
                <w:rFonts w:hint="eastAsia"/>
                <w:color w:val="auto"/>
              </w:rPr>
              <w:t xml:space="preserve">元，（小写）  </w:t>
            </w:r>
            <w:r>
              <w:rPr>
                <w:rFonts w:hint="eastAsia"/>
                <w:color w:val="auto"/>
                <w:u w:val="single"/>
              </w:rPr>
              <w:t xml:space="preserve">       </w:t>
            </w:r>
            <w:r>
              <w:rPr>
                <w:rFonts w:hint="eastAsia"/>
                <w:color w:val="auto"/>
              </w:rPr>
              <w:t>元。</w:t>
            </w:r>
          </w:p>
          <w:p w14:paraId="38891761">
            <w:pPr>
              <w:spacing w:line="360" w:lineRule="exact"/>
              <w:ind w:firstLine="435"/>
              <w:jc w:val="center"/>
              <w:rPr>
                <w:color w:val="auto"/>
              </w:rPr>
            </w:pPr>
            <w:r>
              <w:rPr>
                <w:color w:val="auto"/>
              </w:rPr>
              <w:t xml:space="preserve">    </w:t>
            </w:r>
          </w:p>
          <w:p w14:paraId="7E52AC8A">
            <w:pPr>
              <w:spacing w:line="360" w:lineRule="exact"/>
              <w:ind w:firstLine="435"/>
              <w:jc w:val="center"/>
              <w:rPr>
                <w:color w:val="auto"/>
              </w:rPr>
            </w:pPr>
          </w:p>
          <w:p w14:paraId="44B23533">
            <w:pPr>
              <w:spacing w:line="360" w:lineRule="exact"/>
              <w:ind w:firstLine="435"/>
              <w:jc w:val="center"/>
              <w:rPr>
                <w:color w:val="auto"/>
              </w:rPr>
            </w:pPr>
          </w:p>
          <w:p w14:paraId="03AFC42A">
            <w:pPr>
              <w:spacing w:line="360" w:lineRule="exact"/>
              <w:ind w:firstLine="435"/>
              <w:jc w:val="center"/>
              <w:rPr>
                <w:color w:val="auto"/>
              </w:rPr>
            </w:pPr>
          </w:p>
          <w:p w14:paraId="0905428C">
            <w:pPr>
              <w:spacing w:line="360" w:lineRule="exact"/>
              <w:ind w:firstLine="435"/>
              <w:jc w:val="center"/>
              <w:rPr>
                <w:color w:val="auto"/>
                <w:u w:val="single"/>
              </w:rPr>
            </w:pPr>
            <w:r>
              <w:rPr>
                <w:rFonts w:hint="eastAsia"/>
                <w:color w:val="auto"/>
              </w:rPr>
              <w:t xml:space="preserve">    造价工程师</w:t>
            </w:r>
            <w:r>
              <w:rPr>
                <w:rFonts w:hint="eastAsia"/>
                <w:color w:val="auto"/>
                <w:u w:val="single"/>
              </w:rPr>
              <w:t xml:space="preserve">           </w:t>
            </w:r>
          </w:p>
          <w:p w14:paraId="29D6ACAF">
            <w:pPr>
              <w:spacing w:line="360" w:lineRule="exact"/>
              <w:ind w:firstLine="435"/>
              <w:jc w:val="center"/>
              <w:rPr>
                <w:color w:val="auto"/>
                <w:u w:val="single"/>
              </w:rPr>
            </w:pPr>
            <w:r>
              <w:rPr>
                <w:color w:val="auto"/>
              </w:rPr>
              <w:t xml:space="preserve">    </w:t>
            </w:r>
            <w:r>
              <w:rPr>
                <w:rFonts w:hint="eastAsia"/>
                <w:color w:val="auto"/>
              </w:rPr>
              <w:t>日      期</w:t>
            </w:r>
            <w:r>
              <w:rPr>
                <w:rFonts w:hint="eastAsia"/>
                <w:color w:val="auto"/>
                <w:u w:val="single"/>
              </w:rPr>
              <w:t xml:space="preserve">           </w:t>
            </w:r>
          </w:p>
        </w:tc>
      </w:tr>
      <w:tr w14:paraId="3AD3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8860" w:type="dxa"/>
            <w:gridSpan w:val="2"/>
          </w:tcPr>
          <w:p w14:paraId="6BC4340E">
            <w:pPr>
              <w:spacing w:line="400" w:lineRule="exact"/>
              <w:rPr>
                <w:color w:val="auto"/>
              </w:rPr>
            </w:pPr>
            <w:r>
              <w:rPr>
                <w:rFonts w:hint="eastAsia"/>
                <w:color w:val="auto"/>
              </w:rPr>
              <w:t>审核意见：</w:t>
            </w:r>
          </w:p>
          <w:p w14:paraId="610DE10A">
            <w:pPr>
              <w:spacing w:line="400" w:lineRule="exact"/>
              <w:ind w:firstLine="435"/>
              <w:rPr>
                <w:color w:val="auto"/>
              </w:rPr>
            </w:pPr>
            <w:r>
              <w:rPr>
                <w:rFonts w:hint="eastAsia"/>
                <w:color w:val="auto"/>
              </w:rPr>
              <w:t>□不同意。</w:t>
            </w:r>
          </w:p>
          <w:p w14:paraId="6C7F2275">
            <w:pPr>
              <w:spacing w:line="400" w:lineRule="exact"/>
              <w:ind w:firstLine="420" w:firstLineChars="200"/>
              <w:rPr>
                <w:color w:val="auto"/>
              </w:rPr>
            </w:pPr>
            <w:r>
              <w:rPr>
                <w:rFonts w:hint="eastAsia"/>
                <w:color w:val="auto"/>
              </w:rPr>
              <w:t>□同意，支付时间为本表签发后的15天内。</w:t>
            </w:r>
          </w:p>
          <w:p w14:paraId="6459DCEF">
            <w:pPr>
              <w:wordWrap w:val="0"/>
              <w:spacing w:line="400" w:lineRule="exact"/>
              <w:ind w:firstLine="420" w:firstLineChars="200"/>
              <w:jc w:val="right"/>
              <w:rPr>
                <w:color w:val="auto"/>
              </w:rPr>
            </w:pPr>
            <w:r>
              <w:rPr>
                <w:rFonts w:hint="eastAsia"/>
                <w:color w:val="auto"/>
              </w:rPr>
              <w:t xml:space="preserve">发包人（章）           </w:t>
            </w:r>
          </w:p>
          <w:p w14:paraId="667DB588">
            <w:pPr>
              <w:wordWrap w:val="0"/>
              <w:spacing w:line="400" w:lineRule="exact"/>
              <w:ind w:firstLine="420" w:firstLineChars="200"/>
              <w:jc w:val="right"/>
              <w:rPr>
                <w:color w:val="auto"/>
                <w:u w:val="single"/>
              </w:rPr>
            </w:pPr>
            <w:r>
              <w:rPr>
                <w:rFonts w:hint="eastAsia"/>
                <w:color w:val="auto"/>
              </w:rPr>
              <w:t>发包人代表</w:t>
            </w:r>
            <w:r>
              <w:rPr>
                <w:rFonts w:hint="eastAsia"/>
                <w:color w:val="auto"/>
                <w:u w:val="single"/>
              </w:rPr>
              <w:t xml:space="preserve">             </w:t>
            </w:r>
          </w:p>
          <w:p w14:paraId="7FAA1425">
            <w:pPr>
              <w:wordWrap w:val="0"/>
              <w:spacing w:line="400" w:lineRule="exact"/>
              <w:ind w:firstLine="420" w:firstLineChars="200"/>
              <w:jc w:val="right"/>
              <w:rPr>
                <w:color w:val="auto"/>
                <w:u w:val="single"/>
              </w:rPr>
            </w:pPr>
            <w:r>
              <w:rPr>
                <w:rFonts w:hint="eastAsia"/>
                <w:color w:val="auto"/>
              </w:rPr>
              <w:t>日      期</w:t>
            </w:r>
            <w:r>
              <w:rPr>
                <w:rFonts w:hint="eastAsia"/>
                <w:color w:val="auto"/>
                <w:u w:val="single"/>
              </w:rPr>
              <w:t xml:space="preserve">             </w:t>
            </w:r>
          </w:p>
        </w:tc>
      </w:tr>
    </w:tbl>
    <w:p w14:paraId="69451088">
      <w:pPr>
        <w:spacing w:line="320" w:lineRule="exact"/>
        <w:ind w:firstLine="360" w:firstLineChars="200"/>
        <w:rPr>
          <w:color w:val="auto"/>
          <w:sz w:val="18"/>
          <w:szCs w:val="18"/>
        </w:rPr>
      </w:pPr>
      <w:r>
        <w:rPr>
          <w:rFonts w:hint="eastAsia"/>
          <w:color w:val="auto"/>
          <w:sz w:val="18"/>
          <w:szCs w:val="18"/>
        </w:rPr>
        <w:t>注：1.在选择栏中的“□”内作标识“√”。 如监理人已退场，监理工程师栏可空缺。</w:t>
      </w:r>
    </w:p>
    <w:p w14:paraId="19983163">
      <w:pPr>
        <w:spacing w:line="320" w:lineRule="exact"/>
        <w:ind w:left="720" w:hanging="720" w:hangingChars="400"/>
        <w:rPr>
          <w:color w:val="auto"/>
          <w:u w:val="single"/>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bookmarkEnd w:id="1518"/>
    <w:p w14:paraId="7EAB5FBA">
      <w:pPr>
        <w:jc w:val="left"/>
        <w:rPr>
          <w:rFonts w:hint="eastAsia" w:hAnsi="宋体" w:cs="宋体"/>
          <w:color w:val="auto"/>
          <w:sz w:val="30"/>
          <w:szCs w:val="30"/>
        </w:rPr>
      </w:pPr>
      <w:r>
        <w:rPr>
          <w:rFonts w:hint="eastAsia" w:hAnsi="宋体" w:cs="宋体"/>
          <w:color w:val="auto"/>
          <w:sz w:val="30"/>
          <w:szCs w:val="30"/>
        </w:rPr>
        <w:t>附件14：成交通知书</w:t>
      </w:r>
    </w:p>
    <w:p w14:paraId="0F846EB1">
      <w:pPr>
        <w:jc w:val="left"/>
        <w:rPr>
          <w:rFonts w:hint="eastAsia" w:hAnsi="宋体" w:cs="宋体"/>
          <w:color w:val="auto"/>
          <w:sz w:val="30"/>
          <w:szCs w:val="30"/>
        </w:rPr>
      </w:pPr>
    </w:p>
    <w:p w14:paraId="66972330">
      <w:pPr>
        <w:jc w:val="left"/>
        <w:rPr>
          <w:rFonts w:hint="eastAsia" w:hAnsi="宋体" w:cs="宋体"/>
          <w:color w:val="auto"/>
          <w:sz w:val="30"/>
          <w:szCs w:val="30"/>
        </w:rPr>
      </w:pPr>
    </w:p>
    <w:p w14:paraId="4F2DCCB1">
      <w:pPr>
        <w:jc w:val="left"/>
        <w:rPr>
          <w:rFonts w:hint="eastAsia" w:hAnsi="宋体" w:cs="宋体"/>
          <w:color w:val="auto"/>
          <w:sz w:val="30"/>
          <w:szCs w:val="30"/>
        </w:rPr>
      </w:pPr>
      <w:r>
        <w:rPr>
          <w:rFonts w:hint="eastAsia" w:hAnsi="宋体" w:cs="宋体"/>
          <w:color w:val="auto"/>
          <w:sz w:val="30"/>
          <w:szCs w:val="30"/>
        </w:rPr>
        <w:t>附件15：承包人的竞标函</w:t>
      </w:r>
    </w:p>
    <w:p w14:paraId="2B127D7D">
      <w:pPr>
        <w:jc w:val="left"/>
        <w:rPr>
          <w:rFonts w:hint="eastAsia" w:hAnsi="宋体" w:cs="宋体"/>
          <w:color w:val="auto"/>
          <w:sz w:val="30"/>
          <w:szCs w:val="30"/>
        </w:rPr>
      </w:pPr>
    </w:p>
    <w:p w14:paraId="7F65006B">
      <w:pPr>
        <w:jc w:val="left"/>
        <w:rPr>
          <w:rFonts w:hint="eastAsia" w:hAnsi="宋体" w:cs="宋体"/>
          <w:color w:val="auto"/>
          <w:sz w:val="30"/>
          <w:szCs w:val="30"/>
        </w:rPr>
      </w:pPr>
    </w:p>
    <w:p w14:paraId="60CE0B2B">
      <w:pPr>
        <w:jc w:val="left"/>
        <w:rPr>
          <w:rFonts w:hint="eastAsia" w:hAnsi="宋体" w:cs="宋体"/>
          <w:color w:val="auto"/>
          <w:sz w:val="30"/>
          <w:szCs w:val="30"/>
        </w:rPr>
      </w:pPr>
      <w:r>
        <w:rPr>
          <w:rFonts w:hint="eastAsia" w:hAnsi="宋体" w:cs="宋体"/>
          <w:color w:val="auto"/>
          <w:sz w:val="30"/>
          <w:szCs w:val="30"/>
        </w:rPr>
        <w:t>附件16：承包人的谈判报价及最后报价</w:t>
      </w:r>
    </w:p>
    <w:p w14:paraId="5B8F6C07">
      <w:pPr>
        <w:jc w:val="left"/>
        <w:rPr>
          <w:rFonts w:hint="eastAsia" w:hAnsi="宋体" w:cs="宋体"/>
          <w:color w:val="auto"/>
          <w:sz w:val="30"/>
          <w:szCs w:val="30"/>
        </w:rPr>
      </w:pPr>
    </w:p>
    <w:p w14:paraId="2830289A">
      <w:pPr>
        <w:jc w:val="left"/>
        <w:rPr>
          <w:rFonts w:hint="eastAsia" w:hAnsi="宋体" w:cs="宋体"/>
          <w:color w:val="auto"/>
          <w:sz w:val="30"/>
          <w:szCs w:val="30"/>
        </w:rPr>
      </w:pPr>
    </w:p>
    <w:p w14:paraId="5A92708A">
      <w:pPr>
        <w:jc w:val="left"/>
        <w:rPr>
          <w:rFonts w:hint="eastAsia" w:hAnsi="宋体" w:cs="宋体"/>
          <w:color w:val="auto"/>
          <w:sz w:val="30"/>
          <w:szCs w:val="30"/>
        </w:rPr>
      </w:pPr>
      <w:r>
        <w:rPr>
          <w:rFonts w:hint="eastAsia" w:hAnsi="宋体" w:cs="宋体"/>
          <w:color w:val="auto"/>
          <w:sz w:val="30"/>
          <w:szCs w:val="30"/>
        </w:rPr>
        <w:t>附件17：承包人的营业执照等主体证明文件</w:t>
      </w:r>
    </w:p>
    <w:p w14:paraId="3EF43ABF">
      <w:pPr>
        <w:jc w:val="left"/>
        <w:rPr>
          <w:rFonts w:hint="eastAsia" w:hAnsi="宋体" w:cs="宋体"/>
          <w:color w:val="auto"/>
          <w:sz w:val="30"/>
          <w:szCs w:val="30"/>
        </w:rPr>
      </w:pPr>
    </w:p>
    <w:p w14:paraId="3A7E7858">
      <w:pPr>
        <w:jc w:val="left"/>
        <w:rPr>
          <w:rFonts w:hint="eastAsia" w:hAnsi="宋体" w:cs="宋体"/>
          <w:color w:val="auto"/>
          <w:sz w:val="30"/>
          <w:szCs w:val="30"/>
        </w:rPr>
      </w:pPr>
    </w:p>
    <w:p w14:paraId="20DBA256">
      <w:pPr>
        <w:jc w:val="left"/>
        <w:rPr>
          <w:rFonts w:hint="eastAsia" w:hAnsi="宋体" w:cs="宋体"/>
          <w:color w:val="auto"/>
          <w:sz w:val="30"/>
          <w:szCs w:val="30"/>
        </w:rPr>
      </w:pPr>
      <w:r>
        <w:rPr>
          <w:rFonts w:hint="eastAsia" w:hAnsi="宋体" w:cs="宋体"/>
          <w:color w:val="auto"/>
          <w:sz w:val="30"/>
          <w:szCs w:val="30"/>
        </w:rPr>
        <w:t>附件18：承包人有效资质证书复印件</w:t>
      </w:r>
    </w:p>
    <w:p w14:paraId="24EF72F8">
      <w:pPr>
        <w:jc w:val="left"/>
        <w:rPr>
          <w:rFonts w:hint="eastAsia" w:hAnsi="宋体" w:cs="宋体"/>
          <w:color w:val="auto"/>
          <w:sz w:val="30"/>
          <w:szCs w:val="30"/>
        </w:rPr>
      </w:pPr>
    </w:p>
    <w:p w14:paraId="111A50A4">
      <w:pPr>
        <w:jc w:val="left"/>
        <w:rPr>
          <w:rFonts w:hint="eastAsia" w:hAnsi="宋体" w:cs="宋体"/>
          <w:color w:val="auto"/>
          <w:sz w:val="30"/>
          <w:szCs w:val="30"/>
        </w:rPr>
      </w:pPr>
    </w:p>
    <w:p w14:paraId="39944E10">
      <w:pPr>
        <w:jc w:val="left"/>
        <w:rPr>
          <w:rFonts w:hint="eastAsia" w:hAnsi="宋体" w:cs="宋体"/>
          <w:color w:val="auto"/>
          <w:sz w:val="30"/>
          <w:szCs w:val="30"/>
        </w:rPr>
      </w:pPr>
      <w:r>
        <w:rPr>
          <w:rFonts w:hint="eastAsia" w:hAnsi="宋体" w:cs="宋体"/>
          <w:color w:val="auto"/>
          <w:sz w:val="30"/>
          <w:szCs w:val="30"/>
        </w:rPr>
        <w:t>附件19：承包人的有效安全生产许可证</w:t>
      </w:r>
    </w:p>
    <w:p w14:paraId="09839548">
      <w:pPr>
        <w:jc w:val="left"/>
        <w:rPr>
          <w:rFonts w:hint="eastAsia" w:hAnsi="宋体" w:cs="宋体"/>
          <w:color w:val="auto"/>
          <w:sz w:val="30"/>
          <w:szCs w:val="30"/>
        </w:rPr>
      </w:pPr>
    </w:p>
    <w:p w14:paraId="180299FD">
      <w:pPr>
        <w:jc w:val="left"/>
        <w:rPr>
          <w:rFonts w:hint="eastAsia" w:hAnsi="宋体" w:cs="宋体"/>
          <w:color w:val="auto"/>
          <w:sz w:val="30"/>
          <w:szCs w:val="30"/>
        </w:rPr>
      </w:pPr>
    </w:p>
    <w:p w14:paraId="36DA468B">
      <w:pPr>
        <w:jc w:val="left"/>
        <w:rPr>
          <w:rFonts w:hint="eastAsia" w:hAnsi="宋体" w:cs="宋体"/>
          <w:color w:val="auto"/>
          <w:sz w:val="30"/>
          <w:szCs w:val="30"/>
        </w:rPr>
      </w:pPr>
      <w:r>
        <w:rPr>
          <w:rFonts w:hint="eastAsia" w:hAnsi="宋体" w:cs="宋体"/>
          <w:color w:val="auto"/>
          <w:sz w:val="30"/>
          <w:szCs w:val="30"/>
        </w:rPr>
        <w:t>附件20：承包人法人身份证复印件</w:t>
      </w:r>
    </w:p>
    <w:p w14:paraId="6ED10ED8">
      <w:pPr>
        <w:jc w:val="left"/>
        <w:rPr>
          <w:rFonts w:hint="eastAsia" w:hAnsi="宋体" w:cs="宋体"/>
          <w:color w:val="auto"/>
          <w:sz w:val="30"/>
          <w:szCs w:val="30"/>
        </w:rPr>
      </w:pPr>
    </w:p>
    <w:p w14:paraId="65337831">
      <w:pPr>
        <w:jc w:val="left"/>
        <w:rPr>
          <w:rFonts w:hint="eastAsia" w:hAnsi="宋体" w:cs="宋体"/>
          <w:color w:val="auto"/>
          <w:sz w:val="30"/>
          <w:szCs w:val="30"/>
        </w:rPr>
      </w:pPr>
    </w:p>
    <w:p w14:paraId="0296D63B">
      <w:pPr>
        <w:pStyle w:val="2"/>
        <w:rPr>
          <w:color w:val="auto"/>
        </w:rPr>
      </w:pPr>
      <w:r>
        <w:rPr>
          <w:rFonts w:hint="eastAsia" w:hAnsi="宋体" w:cs="宋体"/>
          <w:color w:val="auto"/>
          <w:sz w:val="30"/>
          <w:szCs w:val="30"/>
        </w:rPr>
        <w:t>附件21：承包人项目经理有效的资格证书复印件</w:t>
      </w:r>
    </w:p>
    <w:p w14:paraId="6FA55485">
      <w:pPr>
        <w:spacing w:before="120" w:beforeLines="50"/>
        <w:ind w:left="840" w:hanging="840" w:hangingChars="400"/>
        <w:rPr>
          <w:color w:val="auto"/>
          <w:u w:val="single"/>
        </w:rPr>
      </w:pPr>
    </w:p>
    <w:sectPr>
      <w:headerReference r:id="rId12" w:type="first"/>
      <w:footerReference r:id="rId14" w:type="first"/>
      <w:headerReference r:id="rId10" w:type="default"/>
      <w:footerReference r:id="rId13" w:type="default"/>
      <w:headerReference r:id="rId11" w:type="even"/>
      <w:pgSz w:w="11905" w:h="16838"/>
      <w:pgMar w:top="1440" w:right="1519" w:bottom="1440" w:left="1519" w:header="850"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F3D870D-1127-455B-9B15-5C2F7B207B42}"/>
  </w:font>
  <w:font w:name="Arial">
    <w:panose1 w:val="020B0604020202020204"/>
    <w:charset w:val="01"/>
    <w:family w:val="swiss"/>
    <w:pitch w:val="default"/>
    <w:sig w:usb0="E0002AFF" w:usb1="C0007843" w:usb2="00000009" w:usb3="00000000" w:csb0="400001FF" w:csb1="FFFF0000"/>
    <w:embedRegular r:id="rId2" w:fontKey="{6AFFEBEC-E727-4D90-BD7C-D790BF606235}"/>
  </w:font>
  <w:font w:name="黑体">
    <w:panose1 w:val="02010609060101010101"/>
    <w:charset w:val="86"/>
    <w:family w:val="auto"/>
    <w:pitch w:val="default"/>
    <w:sig w:usb0="800002BF" w:usb1="38CF7CFA" w:usb2="00000016" w:usb3="00000000" w:csb0="00040001" w:csb1="00000000"/>
    <w:embedRegular r:id="rId3" w:fontKey="{799ECCAF-8465-4793-A9ED-C77880A874FA}"/>
  </w:font>
  <w:font w:name="Courier New">
    <w:panose1 w:val="02070309020205020404"/>
    <w:charset w:val="01"/>
    <w:family w:val="modern"/>
    <w:pitch w:val="default"/>
    <w:sig w:usb0="E0002AFF" w:usb1="C0007843" w:usb2="00000009" w:usb3="00000000" w:csb0="400001FF" w:csb1="FFFF0000"/>
    <w:embedRegular r:id="rId4" w:fontKey="{51E43CC8-6E0D-4A74-BB07-FC1DEA71D9A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5" w:fontKey="{E468BB17-A775-465E-A862-D62F4BFF95DF}"/>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6" w:fontKey="{A58099A8-10B3-4009-8589-DCF3A9FA4B03}"/>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embedRegular r:id="rId7" w:fontKey="{19268382-692A-4570-8D66-B0C03BC25869}"/>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8" w:fontKey="{CACD0390-422D-49B5-8129-D5BF59DE65DB}"/>
  </w:font>
  <w:font w:name="华文新魏">
    <w:panose1 w:val="02010800040101010101"/>
    <w:charset w:val="86"/>
    <w:family w:val="auto"/>
    <w:pitch w:val="default"/>
    <w:sig w:usb0="00000001" w:usb1="080F0000" w:usb2="00000000" w:usb3="00000000" w:csb0="00040000" w:csb1="00000000"/>
    <w:embedRegular r:id="rId9" w:fontKey="{FA4F33DF-5808-446D-893F-019123DFAA46}"/>
  </w:font>
  <w:font w:name="方正粗黑宋简体">
    <w:panose1 w:val="02000000000000000000"/>
    <w:charset w:val="86"/>
    <w:family w:val="auto"/>
    <w:pitch w:val="default"/>
    <w:sig w:usb0="A00002BF" w:usb1="184F6CFA" w:usb2="00000012" w:usb3="00000000" w:csb0="00040001" w:csb1="00000000"/>
    <w:embedRegular r:id="rId10" w:fontKey="{A413F034-AE85-4FF0-B7F4-D2AA19D88E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F398">
    <w:pPr>
      <w:pStyle w:val="32"/>
      <w:tabs>
        <w:tab w:val="center" w:pos="443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8419316">
                          <w:pPr>
                            <w:pStyle w:val="3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5123"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1p1xTQAQAAmQMAAA4AAABkcnMvZTJvRG9jLnhtbK1TzY7TMBC+I/EO&#10;lu80TbtlV1HTFahahIQAaeEBXMduLPlPHrdJXwDegBMX7jxXn2PHTtKF5bIHLs5kPPnm+76ZrG97&#10;o8lRBFDO1rSczSkRlrtG2X1Nv365e3VDCURmG6adFTU9CaC3m5cv1p2vxMK1TjciEASxUHW+pm2M&#10;vioK4K0wDGbOC4uX0gXDIr6GfdEE1iG60cViPn9ddC40PjguADC7HS7piBieA+ikVFxsHT8YYeOA&#10;GoRmESVBqzzQTWYrpeDxk5QgItE1RaUxn9gE4106i82aVfvAfKv4SIE9h8ITTYYpi00vUFsWGTkE&#10;9Q+UUTw4cDLOuDPFICQ7girK+RNv7lvmRdaCVoO/mA7/D5Z/PH4ORDU1XVJimcGBn398P//8ff71&#10;jazKxTI51HmosPDeY2ns37oe92bKAyaT8F4Gk54oieA9+nu6+Cv6SDgmV9fXNytKON6Uy/LqapVA&#10;isdvfYD4TjhDUlDTgNPLprLjB4hD6VSSWll3p7TOE9T2rwRipkyRiA8EUxT7XT+q2bnmhGI6HHxN&#10;Le45Jfq9RV/TjkxBmILdFBx8UPsWqZWZF/g3h4gkMrfUYYAdG+PEsrpxu9JK/Pmeqx7/qM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A1p1xTQAQAAmQMAAA4AAAAAAAAAAQAgAAAAHwEAAGRy&#10;cy9lMm9Eb2MueG1sUEsFBgAAAAAGAAYAWQEAAGEFAAAAAA==&#10;">
              <v:fill on="f" focussize="0,0"/>
              <v:stroke on="f"/>
              <v:imagedata o:title=""/>
              <o:lock v:ext="edit" aspectratio="f"/>
              <v:textbox inset="0mm,0mm,0mm,0mm" style="mso-fit-shape-to-text:t;">
                <w:txbxContent>
                  <w:p w14:paraId="38419316">
                    <w:pPr>
                      <w:pStyle w:val="32"/>
                    </w:pPr>
                    <w:r>
                      <w:fldChar w:fldCharType="begin"/>
                    </w:r>
                    <w:r>
                      <w:instrText xml:space="preserve"> PAGE  \* MERGEFORMAT </w:instrText>
                    </w:r>
                    <w:r>
                      <w:fldChar w:fldCharType="separate"/>
                    </w:r>
                    <w:r>
                      <w:t>2</w:t>
                    </w:r>
                    <w:r>
                      <w:fldChar w:fldCharType="end"/>
                    </w:r>
                  </w:p>
                </w:txbxContent>
              </v:textbox>
            </v:shape>
          </w:pict>
        </mc:Fallback>
      </mc:AlternateContent>
    </w:r>
  </w:p>
  <w:p w14:paraId="7AACED99">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EB7BC">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A0D40">
    <w:pPr>
      <w:pStyle w:val="32"/>
      <w:tabs>
        <w:tab w:val="center" w:pos="4439"/>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05CB5DAA"/>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6336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EBHkd7QAQAAmgMAAA4AAABkcnMvZTJvRG9jLnhtbK1TS27bMBDdF+gd&#10;CO5rSY5dNILlIIWRokDRFkh6AJqiLAL8gUNb8gXaG3TVTfc9l8+RISU5TbLJIhtpOBy9ee/NaHXV&#10;a0UOwoO0pqLFLKdEGG5raXYV/XF38+4DJRCYqZmyRlT0KIBerd++WXWuFHPbWlULTxDEQNm5irYh&#10;uDLLgLdCM5hZJwxeNtZrFvDod1ntWYfoWmXzPH+fddbXzlsuADC7GS7piOhfAmibRnKxsXyvhQkD&#10;qheKBZQErXRA14lt0wgevjUNiEBURVFpSE9sgvE2PrP1ipU7z1wr+UiBvYTCE02aSYNNz1AbFhjZ&#10;e/kMSkvuLdgmzLjV2SAkOYIqivyJN7ctcyJpQavBnU2H14PlXw/fPZF1RReUGKZx4Kffv05//p3+&#10;/iTLYr6IDnUOSiy8dVga+o+2x72Z8oDJKLxvvI5vlETwHv09nv0VfSA8flQsLi+WlHC8KpYXOcaI&#10;nj187DyET8JqEoOKehxfcpUdvkAYSqeS2MvYG6lUGqEyjxKIGTNZZD4wjFHot/0oZ2vrI6rpcPIV&#10;NbjolKjPBo2NSzIFfgq2U7B3Xu5apFYkXuCu9wFJJG6xwwA7NsaRJXXjesWd+P+cqh5+qf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QVPmtAAAAADAQAADwAAAAAAAAABACAAAAAiAAAAZHJzL2Rv&#10;d25yZXYueG1sUEsBAhQAFAAAAAgAh07iQEBHkd7QAQAAmgMAAA4AAAAAAAAAAQAgAAAAHwEAAGRy&#10;cy9lMm9Eb2MueG1sUEsFBgAAAAAGAAYAWQEAAGEFAAAAAA==&#10;">
              <v:fill on="f" focussize="0,0"/>
              <v:stroke on="f"/>
              <v:imagedata o:title=""/>
              <o:lock v:ext="edit" aspectratio="f"/>
              <v:textbox inset="0mm,0mm,0mm,0mm" style="mso-fit-shape-to-text:t;">
                <w:txbxContent>
                  <w:p w14:paraId="05CB5DAA"/>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6D24">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F8D424">
                          <w:pPr>
                            <w:pStyle w:val="32"/>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14:paraId="17F8D424">
                    <w:pPr>
                      <w:pStyle w:val="3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1F7A">
    <w:pPr>
      <w:pStyle w:val="3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76E2B0A3">
                          <w:pPr>
                            <w:pStyle w:val="32"/>
                            <w:jc w:val="center"/>
                          </w:pPr>
                          <w:r>
                            <w:fldChar w:fldCharType="begin"/>
                          </w:r>
                          <w:r>
                            <w:instrText xml:space="preserve"> PAGE  \* MERGEFORMAT </w:instrText>
                          </w:r>
                          <w:r>
                            <w:fldChar w:fldCharType="separate"/>
                          </w:r>
                          <w:r>
                            <w:t>167</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cYsL19EBAACaAwAADgAAAGRycy9lMm9Eb2MueG1srVNLbtswEN0XyB0I&#10;7mNKTtwGguWghZGgQNEWSHsAmqIsAvyBQ1vyBdobdNVN9z2Xz5EhJTttusmiG2o4HL5573G0vB2M&#10;JnsZQDlb03JWUCKtcI2y25p+/XJ3eUMJRG4brp2VNT1IoLeri1fL3ldy7jqnGxkIglioel/TLkZf&#10;MQaik4bDzHlp8bB1wfCI27BlTeA9ohvN5kXxmvUuND44IQEwux4P6YQYXgLo2lYJuXZiZ6SNI2qQ&#10;mkeUBJ3yQFeZbdtKET+1LchIdE1RacwrNsF4k1a2WvJqG7jvlJgo8JdQeKbJcGWx6RlqzSMnu6D+&#10;gTJKBAeujTPhDBuFZEdQRVk88+ah415mLWg1+LPp8P9gxcf950BUg5NAieUGH/z44/vx5+/jr29k&#10;Uc7L5FDvocLCB4+lcXjnhlQ95QGTSfjQBpO+KIngOfp7OPsrh0hEuvRmXtwsKBF4VF6V19eLhMKe&#10;LvsA8V46Q1JQ04DPl13l+w8Qx9JTSepl3Z3SGvO80vavBGKmDEvMR4YpisNmmGhvXHNANT2+fE0t&#10;Djol+r1FY9OQnIJwCjanYOeD2nZIrcy8wL/dRSSRuaUOI+zUGJ8sq5vGK83En/tc9fRLrR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JXQ5c8AAAADAQAADwAAAAAAAAABACAAAAAiAAAAZHJzL2Rv&#10;d25yZXYueG1sUEsBAhQAFAAAAAgAh07iQHGLC9fRAQAAmgMAAA4AAAAAAAAAAQAgAAAAHgEAAGRy&#10;cy9lMm9Eb2MueG1sUEsFBgAAAAAGAAYAWQEAAGEFAAAAAA==&#10;">
              <v:fill on="f" focussize="0,0"/>
              <v:stroke on="f"/>
              <v:imagedata o:title=""/>
              <o:lock v:ext="edit" aspectratio="f"/>
              <v:textbox inset="0mm,0mm,0mm,0mm" style="mso-fit-shape-to-text:t;">
                <w:txbxContent>
                  <w:p w14:paraId="76E2B0A3">
                    <w:pPr>
                      <w:pStyle w:val="32"/>
                      <w:jc w:val="center"/>
                    </w:pPr>
                    <w:r>
                      <w:fldChar w:fldCharType="begin"/>
                    </w:r>
                    <w:r>
                      <w:instrText xml:space="preserve"> PAGE  \* MERGEFORMAT </w:instrText>
                    </w:r>
                    <w:r>
                      <w:fldChar w:fldCharType="separate"/>
                    </w:r>
                    <w:r>
                      <w:t>167</w:t>
                    </w:r>
                    <w:r>
                      <w:fldChar w:fldCharType="end"/>
                    </w:r>
                  </w:p>
                </w:txbxContent>
              </v:textbox>
            </v:shape>
          </w:pict>
        </mc:Fallback>
      </mc:AlternateContent>
    </w:r>
  </w:p>
  <w:p w14:paraId="0ECF6311">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1D5D8">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529D4B77">
                          <w:pPr>
                            <w:pStyle w:val="32"/>
                          </w:pPr>
                          <w:r>
                            <w:fldChar w:fldCharType="begin"/>
                          </w:r>
                          <w:r>
                            <w:instrText xml:space="preserve"> PAGE  \* MERGEFORMAT </w:instrText>
                          </w:r>
                          <w:r>
                            <w:fldChar w:fldCharType="separate"/>
                          </w:r>
                          <w:r>
                            <w:t>157</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0.35pt;width:13.55pt;mso-position-horizontal:center;mso-position-horizontal-relative:margin;mso-wrap-style:none;z-index:251661312;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0QZEdABAACaAwAADgAAAGRycy9lMm9Eb2MueG1srVNLbtswEN0XyB0I&#10;7mN9EreBYDloYSQoULQF0h6ApiiLAH/g0JZ8gfYGXXXTfc/lc2RISU6bbrLoRhoOR2/eezNa3Q5a&#10;kYPwIK2pabHIKRGG20aaXU2/frm7vKEEAjMNU9aImh4F0Nv1xatV7ypR2s6qRniCIAaq3tW0C8FV&#10;WQa8E5rBwjph8LK1XrOAR7/LGs96RNcqK/P8ddZb3zhvuQDA7Ga8pBOifwmgbVvJxcbyvRYmjKhe&#10;KBZQEnTSAV0ntm0rePjUtiACUTVFpSE9sQnG2/jM1itW7TxzneQTBfYSCs80aSYNNj1DbVhgZO/l&#10;P1Bacm/BtmHBrc5GIckRVFHkz7x56JgTSQtaDe5sOvw/WP7x8NkT2dS0pMQwjQM//fh++vn79Osb&#10;WRZlGR3qHVRY+OCwNAzv7IB7M+cBk1H40Hod3yiJ4D36ezz7K4ZAePzoTZnfLCnheFVcFdfXy4iS&#10;PX3sPIR7YTWJQU09ji+5yg4fIIylc0nsZeydVCqNUJm/EogZM1lkPjKMURi2wyRna5sjqulx8jU1&#10;uOiUqPcGjY1LMgd+DrZzsHde7jqkViRe4N7uA5JI3GKHEXZqjCNL6qb1ijvx5zlVPf1S6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UldDlzwAAAAMBAAAPAAAAAAAAAAEAIAAAACIAAABkcnMvZG93&#10;bnJldi54bWxQSwECFAAUAAAACACHTuJAX0QZEdABAACaAwAADgAAAAAAAAABACAAAAAeAQAAZHJz&#10;L2Uyb0RvYy54bWxQSwUGAAAAAAYABgBZAQAAYAUAAAAA&#10;">
              <v:fill on="f" focussize="0,0"/>
              <v:stroke on="f"/>
              <v:imagedata o:title=""/>
              <o:lock v:ext="edit" aspectratio="f"/>
              <v:textbox inset="0mm,0mm,0mm,0mm" style="mso-fit-shape-to-text:t;">
                <w:txbxContent>
                  <w:p w14:paraId="529D4B77">
                    <w:pPr>
                      <w:pStyle w:val="32"/>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A4F1">
    <w:pPr>
      <w:pStyle w:val="33"/>
      <w:pBdr>
        <w:bottom w:val="none" w:color="auto" w:sz="0" w:space="0"/>
      </w:pBdr>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274310" cy="4674235"/>
          <wp:effectExtent l="0" t="0" r="2540" b="12065"/>
          <wp:wrapNone/>
          <wp:docPr id="5" name="WordPictureWatermark39949" descr="16836988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9949" descr="1683698815701"/>
                  <pic:cNvPicPr>
                    <a:picLocks noChangeAspect="1"/>
                  </pic:cNvPicPr>
                </pic:nvPicPr>
                <pic:blipFill>
                  <a:blip r:embed="rId1">
                    <a:lum bright="69998" contrast="-70001"/>
                  </a:blip>
                  <a:stretch>
                    <a:fillRect/>
                  </a:stretch>
                </pic:blipFill>
                <pic:spPr>
                  <a:xfrm>
                    <a:off x="0" y="0"/>
                    <a:ext cx="5274310" cy="46742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9D54A">
    <w:pPr>
      <w:pStyle w:val="33"/>
    </w:pPr>
    <w:r>
      <w:pict>
        <v:shape id="WordPictureWatermark20238650" o:spid="_x0000_s3081" o:spt="75" type="#_x0000_t75" style="position:absolute;left:0pt;height:392.2pt;width:443.8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云龙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6F90">
    <w:pPr>
      <w:pStyle w:val="33"/>
      <w:pBdr>
        <w:bottom w:val="none" w:color="auto" w:sz="0" w:space="1"/>
      </w:pBdr>
    </w:pPr>
    <w:r>
      <w:rPr>
        <w:sz w:val="18"/>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74310" cy="4674235"/>
          <wp:effectExtent l="0" t="0" r="2540" b="12065"/>
          <wp:wrapNone/>
          <wp:docPr id="6" name="WordPictureWatermark39949" descr="16836988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9949" descr="1683698815701"/>
                  <pic:cNvPicPr>
                    <a:picLocks noChangeAspect="1"/>
                  </pic:cNvPicPr>
                </pic:nvPicPr>
                <pic:blipFill>
                  <a:blip r:embed="rId1">
                    <a:lum bright="69998" contrast="-70001"/>
                  </a:blip>
                  <a:stretch>
                    <a:fillRect/>
                  </a:stretch>
                </pic:blipFill>
                <pic:spPr>
                  <a:xfrm>
                    <a:off x="0" y="0"/>
                    <a:ext cx="5274310" cy="467423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47072">
    <w: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5274310" cy="4674235"/>
          <wp:effectExtent l="0" t="0" r="2540" b="12065"/>
          <wp:wrapNone/>
          <wp:docPr id="8" name="WordPictureWatermark39949" descr="168369881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9949" descr="1683698815701"/>
                  <pic:cNvPicPr>
                    <a:picLocks noChangeAspect="1"/>
                  </pic:cNvPicPr>
                </pic:nvPicPr>
                <pic:blipFill>
                  <a:blip r:embed="rId1">
                    <a:lum bright="69998" contrast="-70001"/>
                  </a:blip>
                  <a:stretch>
                    <a:fillRect/>
                  </a:stretch>
                </pic:blipFill>
                <pic:spPr>
                  <a:xfrm>
                    <a:off x="0" y="0"/>
                    <a:ext cx="5274310" cy="467423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6CAE7">
    <w:pPr>
      <w:pStyle w:val="33"/>
    </w:pPr>
    <w:r>
      <w:pict>
        <v:shape id="WordPictureWatermark20238653" o:spid="_x0000_s3084" o:spt="75" type="#_x0000_t75" style="position:absolute;left:0pt;height:392.2pt;width:443.8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云龙水印"/>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DAA20">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用户">
    <w15:presenceInfo w15:providerId="WPS Office" w15:userId="1882813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NGMxOWE1NmJmNjE2NWUxMWZiOTdlYWFjMjI2YjI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FDF"/>
    <w:rsid w:val="0000644A"/>
    <w:rsid w:val="00006D8A"/>
    <w:rsid w:val="00007081"/>
    <w:rsid w:val="000070B3"/>
    <w:rsid w:val="000076B8"/>
    <w:rsid w:val="000109DC"/>
    <w:rsid w:val="00010D39"/>
    <w:rsid w:val="0001172C"/>
    <w:rsid w:val="00011BC9"/>
    <w:rsid w:val="000125EC"/>
    <w:rsid w:val="00012854"/>
    <w:rsid w:val="00012D72"/>
    <w:rsid w:val="00012EA6"/>
    <w:rsid w:val="00013359"/>
    <w:rsid w:val="000139CF"/>
    <w:rsid w:val="00013AA4"/>
    <w:rsid w:val="00013DFE"/>
    <w:rsid w:val="000141EA"/>
    <w:rsid w:val="00015111"/>
    <w:rsid w:val="00015C14"/>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855"/>
    <w:rsid w:val="00026886"/>
    <w:rsid w:val="0002754F"/>
    <w:rsid w:val="0002785D"/>
    <w:rsid w:val="000307BE"/>
    <w:rsid w:val="00032633"/>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B80"/>
    <w:rsid w:val="00042EE8"/>
    <w:rsid w:val="000439AA"/>
    <w:rsid w:val="0004440C"/>
    <w:rsid w:val="00046B5E"/>
    <w:rsid w:val="000470CB"/>
    <w:rsid w:val="000506DE"/>
    <w:rsid w:val="000509D9"/>
    <w:rsid w:val="00051006"/>
    <w:rsid w:val="00051165"/>
    <w:rsid w:val="000512AF"/>
    <w:rsid w:val="00051ACB"/>
    <w:rsid w:val="000533E7"/>
    <w:rsid w:val="00053B29"/>
    <w:rsid w:val="00054B4B"/>
    <w:rsid w:val="000550E8"/>
    <w:rsid w:val="00055519"/>
    <w:rsid w:val="00055D41"/>
    <w:rsid w:val="000563DF"/>
    <w:rsid w:val="00056EF6"/>
    <w:rsid w:val="000575CF"/>
    <w:rsid w:val="00057CD6"/>
    <w:rsid w:val="00060D7F"/>
    <w:rsid w:val="00060DCE"/>
    <w:rsid w:val="000610E3"/>
    <w:rsid w:val="000614F3"/>
    <w:rsid w:val="00061A1B"/>
    <w:rsid w:val="000623B4"/>
    <w:rsid w:val="00062405"/>
    <w:rsid w:val="00062EC2"/>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8E2"/>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AF"/>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144E"/>
    <w:rsid w:val="000C1679"/>
    <w:rsid w:val="000C190E"/>
    <w:rsid w:val="000C1953"/>
    <w:rsid w:val="000C1BFE"/>
    <w:rsid w:val="000C1EE3"/>
    <w:rsid w:val="000C370B"/>
    <w:rsid w:val="000C3AE7"/>
    <w:rsid w:val="000C3CC9"/>
    <w:rsid w:val="000C3DBC"/>
    <w:rsid w:val="000C4565"/>
    <w:rsid w:val="000C5823"/>
    <w:rsid w:val="000C59C6"/>
    <w:rsid w:val="000C6D7F"/>
    <w:rsid w:val="000C6DE4"/>
    <w:rsid w:val="000C7200"/>
    <w:rsid w:val="000C7202"/>
    <w:rsid w:val="000C7432"/>
    <w:rsid w:val="000C7926"/>
    <w:rsid w:val="000D0A89"/>
    <w:rsid w:val="000D10F1"/>
    <w:rsid w:val="000D1389"/>
    <w:rsid w:val="000D1798"/>
    <w:rsid w:val="000D2626"/>
    <w:rsid w:val="000D264F"/>
    <w:rsid w:val="000D2CD3"/>
    <w:rsid w:val="000D3525"/>
    <w:rsid w:val="000D4016"/>
    <w:rsid w:val="000D411D"/>
    <w:rsid w:val="000D4589"/>
    <w:rsid w:val="000D4809"/>
    <w:rsid w:val="000D4FB6"/>
    <w:rsid w:val="000D5C29"/>
    <w:rsid w:val="000D6F6B"/>
    <w:rsid w:val="000D73DD"/>
    <w:rsid w:val="000E02E8"/>
    <w:rsid w:val="000E1C38"/>
    <w:rsid w:val="000E1C51"/>
    <w:rsid w:val="000E1D3E"/>
    <w:rsid w:val="000E1DC5"/>
    <w:rsid w:val="000E259C"/>
    <w:rsid w:val="000E28AB"/>
    <w:rsid w:val="000E2E3E"/>
    <w:rsid w:val="000E3583"/>
    <w:rsid w:val="000E3AF0"/>
    <w:rsid w:val="000E43EC"/>
    <w:rsid w:val="000E4DC7"/>
    <w:rsid w:val="000E4E04"/>
    <w:rsid w:val="000E592E"/>
    <w:rsid w:val="000E693B"/>
    <w:rsid w:val="000E6D5C"/>
    <w:rsid w:val="000E6EC9"/>
    <w:rsid w:val="000E70B4"/>
    <w:rsid w:val="000E7B62"/>
    <w:rsid w:val="000E7EDC"/>
    <w:rsid w:val="000F085D"/>
    <w:rsid w:val="000F0E1E"/>
    <w:rsid w:val="000F1129"/>
    <w:rsid w:val="000F1A1B"/>
    <w:rsid w:val="000F2A95"/>
    <w:rsid w:val="000F2BB7"/>
    <w:rsid w:val="000F3281"/>
    <w:rsid w:val="000F32FD"/>
    <w:rsid w:val="000F3733"/>
    <w:rsid w:val="000F415D"/>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0C6"/>
    <w:rsid w:val="001263B8"/>
    <w:rsid w:val="00130217"/>
    <w:rsid w:val="00130641"/>
    <w:rsid w:val="00130783"/>
    <w:rsid w:val="00130A47"/>
    <w:rsid w:val="00130FB0"/>
    <w:rsid w:val="00132B47"/>
    <w:rsid w:val="00132DDA"/>
    <w:rsid w:val="0013346C"/>
    <w:rsid w:val="001337F8"/>
    <w:rsid w:val="001341B2"/>
    <w:rsid w:val="001343DA"/>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C9C"/>
    <w:rsid w:val="0014277F"/>
    <w:rsid w:val="00142AD2"/>
    <w:rsid w:val="001434BE"/>
    <w:rsid w:val="00143AAD"/>
    <w:rsid w:val="00144050"/>
    <w:rsid w:val="00144369"/>
    <w:rsid w:val="00144398"/>
    <w:rsid w:val="0014479F"/>
    <w:rsid w:val="001452B4"/>
    <w:rsid w:val="00145320"/>
    <w:rsid w:val="00145B3E"/>
    <w:rsid w:val="00146673"/>
    <w:rsid w:val="001476D3"/>
    <w:rsid w:val="001509CF"/>
    <w:rsid w:val="00150D1D"/>
    <w:rsid w:val="001525AA"/>
    <w:rsid w:val="00152A87"/>
    <w:rsid w:val="00152AC1"/>
    <w:rsid w:val="001533AA"/>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E8D"/>
    <w:rsid w:val="00161F0E"/>
    <w:rsid w:val="00162597"/>
    <w:rsid w:val="001629AF"/>
    <w:rsid w:val="001629FD"/>
    <w:rsid w:val="00163F8F"/>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813"/>
    <w:rsid w:val="00181EAD"/>
    <w:rsid w:val="00182862"/>
    <w:rsid w:val="00183669"/>
    <w:rsid w:val="00184F57"/>
    <w:rsid w:val="00185091"/>
    <w:rsid w:val="00185544"/>
    <w:rsid w:val="00185617"/>
    <w:rsid w:val="00186FE1"/>
    <w:rsid w:val="00187A14"/>
    <w:rsid w:val="00190D50"/>
    <w:rsid w:val="00191177"/>
    <w:rsid w:val="0019171E"/>
    <w:rsid w:val="0019224D"/>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187"/>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36B"/>
    <w:rsid w:val="001B57C9"/>
    <w:rsid w:val="001B59FF"/>
    <w:rsid w:val="001B5D13"/>
    <w:rsid w:val="001B6512"/>
    <w:rsid w:val="001B65D7"/>
    <w:rsid w:val="001B6752"/>
    <w:rsid w:val="001B6768"/>
    <w:rsid w:val="001B6F1F"/>
    <w:rsid w:val="001B7ECC"/>
    <w:rsid w:val="001C025B"/>
    <w:rsid w:val="001C059D"/>
    <w:rsid w:val="001C115F"/>
    <w:rsid w:val="001C1DED"/>
    <w:rsid w:val="001C1EAB"/>
    <w:rsid w:val="001C2375"/>
    <w:rsid w:val="001C25A7"/>
    <w:rsid w:val="001C2775"/>
    <w:rsid w:val="001C2A1D"/>
    <w:rsid w:val="001C318C"/>
    <w:rsid w:val="001C35C4"/>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573"/>
    <w:rsid w:val="001D267C"/>
    <w:rsid w:val="001D2F77"/>
    <w:rsid w:val="001D335E"/>
    <w:rsid w:val="001D343C"/>
    <w:rsid w:val="001D56E2"/>
    <w:rsid w:val="001D58A1"/>
    <w:rsid w:val="001D58C2"/>
    <w:rsid w:val="001D5A8A"/>
    <w:rsid w:val="001D5B64"/>
    <w:rsid w:val="001D61CA"/>
    <w:rsid w:val="001D654A"/>
    <w:rsid w:val="001D68BA"/>
    <w:rsid w:val="001D6E87"/>
    <w:rsid w:val="001D735E"/>
    <w:rsid w:val="001D73C8"/>
    <w:rsid w:val="001D7BC6"/>
    <w:rsid w:val="001E1212"/>
    <w:rsid w:val="001E129E"/>
    <w:rsid w:val="001E175C"/>
    <w:rsid w:val="001E1B0E"/>
    <w:rsid w:val="001E308A"/>
    <w:rsid w:val="001E38EC"/>
    <w:rsid w:val="001E3B63"/>
    <w:rsid w:val="001E57B2"/>
    <w:rsid w:val="001E5A94"/>
    <w:rsid w:val="001E5CBB"/>
    <w:rsid w:val="001E5CDC"/>
    <w:rsid w:val="001E6CE9"/>
    <w:rsid w:val="001F0506"/>
    <w:rsid w:val="001F1036"/>
    <w:rsid w:val="001F13FD"/>
    <w:rsid w:val="001F2474"/>
    <w:rsid w:val="001F2A2E"/>
    <w:rsid w:val="001F3180"/>
    <w:rsid w:val="001F3356"/>
    <w:rsid w:val="001F3A99"/>
    <w:rsid w:val="001F3C63"/>
    <w:rsid w:val="001F4141"/>
    <w:rsid w:val="001F4460"/>
    <w:rsid w:val="001F4833"/>
    <w:rsid w:val="001F6C96"/>
    <w:rsid w:val="001F711A"/>
    <w:rsid w:val="001F75B0"/>
    <w:rsid w:val="001F7CBE"/>
    <w:rsid w:val="0020057C"/>
    <w:rsid w:val="0020083C"/>
    <w:rsid w:val="00200CE5"/>
    <w:rsid w:val="00200F7C"/>
    <w:rsid w:val="002014DB"/>
    <w:rsid w:val="0020150B"/>
    <w:rsid w:val="00201E12"/>
    <w:rsid w:val="00202295"/>
    <w:rsid w:val="00202327"/>
    <w:rsid w:val="002033B5"/>
    <w:rsid w:val="0020382C"/>
    <w:rsid w:val="002042E9"/>
    <w:rsid w:val="0020437A"/>
    <w:rsid w:val="0020454C"/>
    <w:rsid w:val="00204740"/>
    <w:rsid w:val="00205129"/>
    <w:rsid w:val="0020521F"/>
    <w:rsid w:val="0020532C"/>
    <w:rsid w:val="00206AE8"/>
    <w:rsid w:val="00206CBD"/>
    <w:rsid w:val="002114C7"/>
    <w:rsid w:val="00211A7B"/>
    <w:rsid w:val="00212AD8"/>
    <w:rsid w:val="0021302C"/>
    <w:rsid w:val="002139F1"/>
    <w:rsid w:val="00213B1C"/>
    <w:rsid w:val="00213F1E"/>
    <w:rsid w:val="00214202"/>
    <w:rsid w:val="002148E3"/>
    <w:rsid w:val="00214C1A"/>
    <w:rsid w:val="0021552D"/>
    <w:rsid w:val="002156AE"/>
    <w:rsid w:val="0021577B"/>
    <w:rsid w:val="00215DC7"/>
    <w:rsid w:val="00215E99"/>
    <w:rsid w:val="0021639E"/>
    <w:rsid w:val="00217B07"/>
    <w:rsid w:val="00217C26"/>
    <w:rsid w:val="00217C4B"/>
    <w:rsid w:val="00220043"/>
    <w:rsid w:val="0022054D"/>
    <w:rsid w:val="0022107B"/>
    <w:rsid w:val="002223EB"/>
    <w:rsid w:val="00223611"/>
    <w:rsid w:val="00223DDB"/>
    <w:rsid w:val="00223FA4"/>
    <w:rsid w:val="00223FB0"/>
    <w:rsid w:val="0022405A"/>
    <w:rsid w:val="00224067"/>
    <w:rsid w:val="0022421C"/>
    <w:rsid w:val="0022454F"/>
    <w:rsid w:val="00224C4A"/>
    <w:rsid w:val="00224E83"/>
    <w:rsid w:val="00225233"/>
    <w:rsid w:val="002252DA"/>
    <w:rsid w:val="00225664"/>
    <w:rsid w:val="00225F84"/>
    <w:rsid w:val="0022663D"/>
    <w:rsid w:val="00226995"/>
    <w:rsid w:val="0022755B"/>
    <w:rsid w:val="00227C56"/>
    <w:rsid w:val="00227F2D"/>
    <w:rsid w:val="00227F52"/>
    <w:rsid w:val="00231851"/>
    <w:rsid w:val="002319FB"/>
    <w:rsid w:val="00231B89"/>
    <w:rsid w:val="00231F11"/>
    <w:rsid w:val="00231F5E"/>
    <w:rsid w:val="00233395"/>
    <w:rsid w:val="00233D76"/>
    <w:rsid w:val="002346B4"/>
    <w:rsid w:val="00234AA8"/>
    <w:rsid w:val="00234F6E"/>
    <w:rsid w:val="002351FA"/>
    <w:rsid w:val="002355BE"/>
    <w:rsid w:val="002358EA"/>
    <w:rsid w:val="0023609B"/>
    <w:rsid w:val="00236578"/>
    <w:rsid w:val="00236A10"/>
    <w:rsid w:val="00236DE9"/>
    <w:rsid w:val="00237342"/>
    <w:rsid w:val="00237D5A"/>
    <w:rsid w:val="002407BA"/>
    <w:rsid w:val="00240922"/>
    <w:rsid w:val="00240D75"/>
    <w:rsid w:val="00240F92"/>
    <w:rsid w:val="00241288"/>
    <w:rsid w:val="002412BD"/>
    <w:rsid w:val="002412E4"/>
    <w:rsid w:val="002415AE"/>
    <w:rsid w:val="00241B38"/>
    <w:rsid w:val="00241BC7"/>
    <w:rsid w:val="00241D3C"/>
    <w:rsid w:val="00242109"/>
    <w:rsid w:val="00242B6B"/>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27D8"/>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924"/>
    <w:rsid w:val="00262B14"/>
    <w:rsid w:val="0026494E"/>
    <w:rsid w:val="00265A12"/>
    <w:rsid w:val="00266165"/>
    <w:rsid w:val="00266F2C"/>
    <w:rsid w:val="00267DAF"/>
    <w:rsid w:val="00270122"/>
    <w:rsid w:val="00270B87"/>
    <w:rsid w:val="0027125E"/>
    <w:rsid w:val="00271767"/>
    <w:rsid w:val="00272263"/>
    <w:rsid w:val="00272293"/>
    <w:rsid w:val="002723C8"/>
    <w:rsid w:val="00272C7D"/>
    <w:rsid w:val="00273633"/>
    <w:rsid w:val="00273C2A"/>
    <w:rsid w:val="00273CBE"/>
    <w:rsid w:val="002746B1"/>
    <w:rsid w:val="00274BAD"/>
    <w:rsid w:val="0027614E"/>
    <w:rsid w:val="002763A3"/>
    <w:rsid w:val="00276EB8"/>
    <w:rsid w:val="00277F6B"/>
    <w:rsid w:val="002807B0"/>
    <w:rsid w:val="00281B9B"/>
    <w:rsid w:val="0028282C"/>
    <w:rsid w:val="00282D56"/>
    <w:rsid w:val="00282EC5"/>
    <w:rsid w:val="002835B0"/>
    <w:rsid w:val="00283C74"/>
    <w:rsid w:val="0028407E"/>
    <w:rsid w:val="0028410F"/>
    <w:rsid w:val="00284572"/>
    <w:rsid w:val="002850AA"/>
    <w:rsid w:val="00285221"/>
    <w:rsid w:val="00286FB5"/>
    <w:rsid w:val="00287763"/>
    <w:rsid w:val="00290606"/>
    <w:rsid w:val="002908D0"/>
    <w:rsid w:val="002909B2"/>
    <w:rsid w:val="00291D6D"/>
    <w:rsid w:val="00291FF1"/>
    <w:rsid w:val="00292AA2"/>
    <w:rsid w:val="00293361"/>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C16"/>
    <w:rsid w:val="002B1E01"/>
    <w:rsid w:val="002B2456"/>
    <w:rsid w:val="002B2AC5"/>
    <w:rsid w:val="002B3173"/>
    <w:rsid w:val="002B3528"/>
    <w:rsid w:val="002B3539"/>
    <w:rsid w:val="002B427F"/>
    <w:rsid w:val="002B4395"/>
    <w:rsid w:val="002B4532"/>
    <w:rsid w:val="002B4C9E"/>
    <w:rsid w:val="002B4DD9"/>
    <w:rsid w:val="002B5042"/>
    <w:rsid w:val="002B51AB"/>
    <w:rsid w:val="002B57C3"/>
    <w:rsid w:val="002B5832"/>
    <w:rsid w:val="002B612E"/>
    <w:rsid w:val="002B69CC"/>
    <w:rsid w:val="002B6D71"/>
    <w:rsid w:val="002B7DC4"/>
    <w:rsid w:val="002C03AE"/>
    <w:rsid w:val="002C0C1C"/>
    <w:rsid w:val="002C10A7"/>
    <w:rsid w:val="002C1190"/>
    <w:rsid w:val="002C1767"/>
    <w:rsid w:val="002C2CC9"/>
    <w:rsid w:val="002C3539"/>
    <w:rsid w:val="002C41BF"/>
    <w:rsid w:val="002C5023"/>
    <w:rsid w:val="002C53C5"/>
    <w:rsid w:val="002C5424"/>
    <w:rsid w:val="002C54C2"/>
    <w:rsid w:val="002C5D34"/>
    <w:rsid w:val="002C60BB"/>
    <w:rsid w:val="002C661A"/>
    <w:rsid w:val="002D06EE"/>
    <w:rsid w:val="002D073E"/>
    <w:rsid w:val="002D0A40"/>
    <w:rsid w:val="002D0D6F"/>
    <w:rsid w:val="002D1E81"/>
    <w:rsid w:val="002D25FC"/>
    <w:rsid w:val="002D3866"/>
    <w:rsid w:val="002D4AC6"/>
    <w:rsid w:val="002D59BF"/>
    <w:rsid w:val="002D5BF5"/>
    <w:rsid w:val="002D5EE8"/>
    <w:rsid w:val="002D63F6"/>
    <w:rsid w:val="002D6CB2"/>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10DC"/>
    <w:rsid w:val="002F16DD"/>
    <w:rsid w:val="002F199D"/>
    <w:rsid w:val="002F213C"/>
    <w:rsid w:val="002F2453"/>
    <w:rsid w:val="002F2607"/>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10BA"/>
    <w:rsid w:val="00302EFC"/>
    <w:rsid w:val="00303243"/>
    <w:rsid w:val="00303BCC"/>
    <w:rsid w:val="00303F2B"/>
    <w:rsid w:val="00303F8D"/>
    <w:rsid w:val="0030572D"/>
    <w:rsid w:val="0030586A"/>
    <w:rsid w:val="00305A5E"/>
    <w:rsid w:val="00305DA2"/>
    <w:rsid w:val="0030622D"/>
    <w:rsid w:val="00306811"/>
    <w:rsid w:val="00306F32"/>
    <w:rsid w:val="003074C5"/>
    <w:rsid w:val="00307A3C"/>
    <w:rsid w:val="00307FA4"/>
    <w:rsid w:val="00310290"/>
    <w:rsid w:val="003103B1"/>
    <w:rsid w:val="00310CC1"/>
    <w:rsid w:val="00310F0A"/>
    <w:rsid w:val="003118A8"/>
    <w:rsid w:val="0031192A"/>
    <w:rsid w:val="00312504"/>
    <w:rsid w:val="00312B89"/>
    <w:rsid w:val="00313026"/>
    <w:rsid w:val="00313913"/>
    <w:rsid w:val="00313DAA"/>
    <w:rsid w:val="0031421F"/>
    <w:rsid w:val="0031466A"/>
    <w:rsid w:val="00314B31"/>
    <w:rsid w:val="003151F4"/>
    <w:rsid w:val="00315569"/>
    <w:rsid w:val="00315A65"/>
    <w:rsid w:val="003165CA"/>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649E"/>
    <w:rsid w:val="0032795B"/>
    <w:rsid w:val="003303CD"/>
    <w:rsid w:val="003307BE"/>
    <w:rsid w:val="003314D9"/>
    <w:rsid w:val="00331653"/>
    <w:rsid w:val="00331A48"/>
    <w:rsid w:val="00331BCC"/>
    <w:rsid w:val="00332575"/>
    <w:rsid w:val="003330C9"/>
    <w:rsid w:val="0033364C"/>
    <w:rsid w:val="00334415"/>
    <w:rsid w:val="00335EA1"/>
    <w:rsid w:val="0033691E"/>
    <w:rsid w:val="00336A6A"/>
    <w:rsid w:val="00336B8B"/>
    <w:rsid w:val="00336CCB"/>
    <w:rsid w:val="003411D1"/>
    <w:rsid w:val="003416BA"/>
    <w:rsid w:val="00342148"/>
    <w:rsid w:val="00342658"/>
    <w:rsid w:val="003427BE"/>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70BB"/>
    <w:rsid w:val="00357128"/>
    <w:rsid w:val="0035755E"/>
    <w:rsid w:val="00357A80"/>
    <w:rsid w:val="00360116"/>
    <w:rsid w:val="00361441"/>
    <w:rsid w:val="00361B8B"/>
    <w:rsid w:val="003629D6"/>
    <w:rsid w:val="00363F39"/>
    <w:rsid w:val="003640FC"/>
    <w:rsid w:val="0036445C"/>
    <w:rsid w:val="00364627"/>
    <w:rsid w:val="00364AB0"/>
    <w:rsid w:val="00364D71"/>
    <w:rsid w:val="00366096"/>
    <w:rsid w:val="003667B0"/>
    <w:rsid w:val="003667DD"/>
    <w:rsid w:val="00366B48"/>
    <w:rsid w:val="00366D71"/>
    <w:rsid w:val="003674FB"/>
    <w:rsid w:val="00367764"/>
    <w:rsid w:val="00367AF2"/>
    <w:rsid w:val="00370316"/>
    <w:rsid w:val="00370DC7"/>
    <w:rsid w:val="003713D7"/>
    <w:rsid w:val="003714AC"/>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97"/>
    <w:rsid w:val="00380BBE"/>
    <w:rsid w:val="00380EA3"/>
    <w:rsid w:val="00381243"/>
    <w:rsid w:val="00381B1B"/>
    <w:rsid w:val="00381D70"/>
    <w:rsid w:val="0038235E"/>
    <w:rsid w:val="0038260A"/>
    <w:rsid w:val="00382618"/>
    <w:rsid w:val="003829D0"/>
    <w:rsid w:val="0038326A"/>
    <w:rsid w:val="00383F6B"/>
    <w:rsid w:val="0038444F"/>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A5"/>
    <w:rsid w:val="003A13E2"/>
    <w:rsid w:val="003A1431"/>
    <w:rsid w:val="003A1A94"/>
    <w:rsid w:val="003A1FF5"/>
    <w:rsid w:val="003A204E"/>
    <w:rsid w:val="003A2B19"/>
    <w:rsid w:val="003A2D25"/>
    <w:rsid w:val="003A2DB1"/>
    <w:rsid w:val="003A5101"/>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584"/>
    <w:rsid w:val="003B3A90"/>
    <w:rsid w:val="003B3D01"/>
    <w:rsid w:val="003B534F"/>
    <w:rsid w:val="003B7A79"/>
    <w:rsid w:val="003C0FE1"/>
    <w:rsid w:val="003C151A"/>
    <w:rsid w:val="003C1D27"/>
    <w:rsid w:val="003C33A0"/>
    <w:rsid w:val="003C350C"/>
    <w:rsid w:val="003C3627"/>
    <w:rsid w:val="003C3733"/>
    <w:rsid w:val="003C3903"/>
    <w:rsid w:val="003C3BA0"/>
    <w:rsid w:val="003C4580"/>
    <w:rsid w:val="003C51C0"/>
    <w:rsid w:val="003C578F"/>
    <w:rsid w:val="003C5940"/>
    <w:rsid w:val="003C5C5E"/>
    <w:rsid w:val="003C65D3"/>
    <w:rsid w:val="003C6692"/>
    <w:rsid w:val="003C6746"/>
    <w:rsid w:val="003C7555"/>
    <w:rsid w:val="003C7898"/>
    <w:rsid w:val="003C7BB6"/>
    <w:rsid w:val="003D0FF5"/>
    <w:rsid w:val="003D11A3"/>
    <w:rsid w:val="003D1537"/>
    <w:rsid w:val="003D183C"/>
    <w:rsid w:val="003D2D1B"/>
    <w:rsid w:val="003D3558"/>
    <w:rsid w:val="003D36C0"/>
    <w:rsid w:val="003D40E5"/>
    <w:rsid w:val="003D48C7"/>
    <w:rsid w:val="003D4C27"/>
    <w:rsid w:val="003D7109"/>
    <w:rsid w:val="003D7CE8"/>
    <w:rsid w:val="003E0514"/>
    <w:rsid w:val="003E06D7"/>
    <w:rsid w:val="003E0BAA"/>
    <w:rsid w:val="003E1032"/>
    <w:rsid w:val="003E1904"/>
    <w:rsid w:val="003E285E"/>
    <w:rsid w:val="003E2BD8"/>
    <w:rsid w:val="003E3124"/>
    <w:rsid w:val="003E3300"/>
    <w:rsid w:val="003E3BC7"/>
    <w:rsid w:val="003E43D3"/>
    <w:rsid w:val="003E48E1"/>
    <w:rsid w:val="003E50F4"/>
    <w:rsid w:val="003E596B"/>
    <w:rsid w:val="003E59BB"/>
    <w:rsid w:val="003E6225"/>
    <w:rsid w:val="003E65AC"/>
    <w:rsid w:val="003E66AE"/>
    <w:rsid w:val="003E6CFE"/>
    <w:rsid w:val="003E72B9"/>
    <w:rsid w:val="003E7612"/>
    <w:rsid w:val="003E7ED4"/>
    <w:rsid w:val="003F0187"/>
    <w:rsid w:val="003F0CAA"/>
    <w:rsid w:val="003F0E52"/>
    <w:rsid w:val="003F0EE9"/>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17E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6F10"/>
    <w:rsid w:val="0040763D"/>
    <w:rsid w:val="00410156"/>
    <w:rsid w:val="0041038E"/>
    <w:rsid w:val="00410D17"/>
    <w:rsid w:val="0041183A"/>
    <w:rsid w:val="00412656"/>
    <w:rsid w:val="00412AA9"/>
    <w:rsid w:val="00413442"/>
    <w:rsid w:val="00413821"/>
    <w:rsid w:val="00413BA5"/>
    <w:rsid w:val="004141A3"/>
    <w:rsid w:val="00414909"/>
    <w:rsid w:val="00415304"/>
    <w:rsid w:val="0041582F"/>
    <w:rsid w:val="00415AC9"/>
    <w:rsid w:val="00415CF3"/>
    <w:rsid w:val="00416112"/>
    <w:rsid w:val="004167AD"/>
    <w:rsid w:val="0041716A"/>
    <w:rsid w:val="00417A18"/>
    <w:rsid w:val="00417AE0"/>
    <w:rsid w:val="00417BAA"/>
    <w:rsid w:val="0042042B"/>
    <w:rsid w:val="00420B45"/>
    <w:rsid w:val="00420D7A"/>
    <w:rsid w:val="00421257"/>
    <w:rsid w:val="00421315"/>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F0F"/>
    <w:rsid w:val="00442965"/>
    <w:rsid w:val="004432B6"/>
    <w:rsid w:val="00444157"/>
    <w:rsid w:val="0044417C"/>
    <w:rsid w:val="00444DB3"/>
    <w:rsid w:val="00445617"/>
    <w:rsid w:val="00445A2F"/>
    <w:rsid w:val="0044680A"/>
    <w:rsid w:val="0044684E"/>
    <w:rsid w:val="0044697A"/>
    <w:rsid w:val="00446F22"/>
    <w:rsid w:val="0045019F"/>
    <w:rsid w:val="004503A4"/>
    <w:rsid w:val="00450555"/>
    <w:rsid w:val="004506FA"/>
    <w:rsid w:val="00450DC6"/>
    <w:rsid w:val="00450FE5"/>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FC2"/>
    <w:rsid w:val="004632B9"/>
    <w:rsid w:val="00464AB7"/>
    <w:rsid w:val="00465DE5"/>
    <w:rsid w:val="00466103"/>
    <w:rsid w:val="00467A83"/>
    <w:rsid w:val="00467EF8"/>
    <w:rsid w:val="00470006"/>
    <w:rsid w:val="00470611"/>
    <w:rsid w:val="00470848"/>
    <w:rsid w:val="00471AC3"/>
    <w:rsid w:val="00472429"/>
    <w:rsid w:val="004725E5"/>
    <w:rsid w:val="00472751"/>
    <w:rsid w:val="00473128"/>
    <w:rsid w:val="004748A5"/>
    <w:rsid w:val="00475078"/>
    <w:rsid w:val="00475767"/>
    <w:rsid w:val="004779A0"/>
    <w:rsid w:val="00477F17"/>
    <w:rsid w:val="00480363"/>
    <w:rsid w:val="004808E3"/>
    <w:rsid w:val="00481016"/>
    <w:rsid w:val="004819E1"/>
    <w:rsid w:val="0048204C"/>
    <w:rsid w:val="004821BB"/>
    <w:rsid w:val="0048237A"/>
    <w:rsid w:val="004826FE"/>
    <w:rsid w:val="004827D5"/>
    <w:rsid w:val="00482AF2"/>
    <w:rsid w:val="004830C9"/>
    <w:rsid w:val="00483347"/>
    <w:rsid w:val="00483A21"/>
    <w:rsid w:val="00483E2E"/>
    <w:rsid w:val="00484B69"/>
    <w:rsid w:val="00485406"/>
    <w:rsid w:val="0048590F"/>
    <w:rsid w:val="004864D4"/>
    <w:rsid w:val="00486D60"/>
    <w:rsid w:val="00486DBC"/>
    <w:rsid w:val="00491FA1"/>
    <w:rsid w:val="00492A25"/>
    <w:rsid w:val="004938A3"/>
    <w:rsid w:val="004950A6"/>
    <w:rsid w:val="0049558B"/>
    <w:rsid w:val="00496026"/>
    <w:rsid w:val="00496350"/>
    <w:rsid w:val="0049765E"/>
    <w:rsid w:val="00497843"/>
    <w:rsid w:val="0049797C"/>
    <w:rsid w:val="004A1405"/>
    <w:rsid w:val="004A1465"/>
    <w:rsid w:val="004A15BD"/>
    <w:rsid w:val="004A1E28"/>
    <w:rsid w:val="004A1FC6"/>
    <w:rsid w:val="004A2E5F"/>
    <w:rsid w:val="004A38C2"/>
    <w:rsid w:val="004A3968"/>
    <w:rsid w:val="004A3C03"/>
    <w:rsid w:val="004A3DB7"/>
    <w:rsid w:val="004A463B"/>
    <w:rsid w:val="004A5088"/>
    <w:rsid w:val="004A50E5"/>
    <w:rsid w:val="004A5255"/>
    <w:rsid w:val="004A61CA"/>
    <w:rsid w:val="004A6693"/>
    <w:rsid w:val="004A6B28"/>
    <w:rsid w:val="004A6CB0"/>
    <w:rsid w:val="004A70FF"/>
    <w:rsid w:val="004A7EDE"/>
    <w:rsid w:val="004B0D93"/>
    <w:rsid w:val="004B19C8"/>
    <w:rsid w:val="004B1FA4"/>
    <w:rsid w:val="004B29AC"/>
    <w:rsid w:val="004B2BF9"/>
    <w:rsid w:val="004B35DF"/>
    <w:rsid w:val="004B3627"/>
    <w:rsid w:val="004B3837"/>
    <w:rsid w:val="004B4922"/>
    <w:rsid w:val="004B57DF"/>
    <w:rsid w:val="004B5976"/>
    <w:rsid w:val="004B66FD"/>
    <w:rsid w:val="004B6E54"/>
    <w:rsid w:val="004B722E"/>
    <w:rsid w:val="004B72E8"/>
    <w:rsid w:val="004B771A"/>
    <w:rsid w:val="004C01A5"/>
    <w:rsid w:val="004C0412"/>
    <w:rsid w:val="004C0882"/>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306"/>
    <w:rsid w:val="004E0572"/>
    <w:rsid w:val="004E1641"/>
    <w:rsid w:val="004E1818"/>
    <w:rsid w:val="004E1990"/>
    <w:rsid w:val="004E1F92"/>
    <w:rsid w:val="004E209C"/>
    <w:rsid w:val="004E2186"/>
    <w:rsid w:val="004E25A8"/>
    <w:rsid w:val="004E2B53"/>
    <w:rsid w:val="004E31A2"/>
    <w:rsid w:val="004E3930"/>
    <w:rsid w:val="004E3A23"/>
    <w:rsid w:val="004E3ED9"/>
    <w:rsid w:val="004E4961"/>
    <w:rsid w:val="004E4E6A"/>
    <w:rsid w:val="004E53AB"/>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500258"/>
    <w:rsid w:val="005006F9"/>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53"/>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50"/>
    <w:rsid w:val="005448EC"/>
    <w:rsid w:val="00544C0A"/>
    <w:rsid w:val="00544F39"/>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F78"/>
    <w:rsid w:val="00555102"/>
    <w:rsid w:val="00555DA1"/>
    <w:rsid w:val="00556288"/>
    <w:rsid w:val="005562FB"/>
    <w:rsid w:val="00556731"/>
    <w:rsid w:val="00556BF7"/>
    <w:rsid w:val="00556E53"/>
    <w:rsid w:val="00557868"/>
    <w:rsid w:val="00557F60"/>
    <w:rsid w:val="00560D81"/>
    <w:rsid w:val="00561730"/>
    <w:rsid w:val="00561B97"/>
    <w:rsid w:val="00562149"/>
    <w:rsid w:val="0056248C"/>
    <w:rsid w:val="005640EB"/>
    <w:rsid w:val="00565559"/>
    <w:rsid w:val="005666A4"/>
    <w:rsid w:val="00567B5D"/>
    <w:rsid w:val="00567D10"/>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1F6"/>
    <w:rsid w:val="00590B77"/>
    <w:rsid w:val="00590D9A"/>
    <w:rsid w:val="005913A3"/>
    <w:rsid w:val="00591A5A"/>
    <w:rsid w:val="00592C40"/>
    <w:rsid w:val="00593B28"/>
    <w:rsid w:val="005940D4"/>
    <w:rsid w:val="00594A7B"/>
    <w:rsid w:val="0059569A"/>
    <w:rsid w:val="0059580E"/>
    <w:rsid w:val="00595D90"/>
    <w:rsid w:val="00596A6F"/>
    <w:rsid w:val="00596D11"/>
    <w:rsid w:val="00596FCE"/>
    <w:rsid w:val="00597E7E"/>
    <w:rsid w:val="005A0300"/>
    <w:rsid w:val="005A0D7B"/>
    <w:rsid w:val="005A1151"/>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0AB5"/>
    <w:rsid w:val="005B21B0"/>
    <w:rsid w:val="005B2B11"/>
    <w:rsid w:val="005B32A4"/>
    <w:rsid w:val="005B3371"/>
    <w:rsid w:val="005B338D"/>
    <w:rsid w:val="005B33A1"/>
    <w:rsid w:val="005B3852"/>
    <w:rsid w:val="005B3BAF"/>
    <w:rsid w:val="005B43D5"/>
    <w:rsid w:val="005B4470"/>
    <w:rsid w:val="005B4DA3"/>
    <w:rsid w:val="005B5BEE"/>
    <w:rsid w:val="005B645C"/>
    <w:rsid w:val="005B6AA9"/>
    <w:rsid w:val="005B77D2"/>
    <w:rsid w:val="005B7BDA"/>
    <w:rsid w:val="005B7EF2"/>
    <w:rsid w:val="005C0195"/>
    <w:rsid w:val="005C019B"/>
    <w:rsid w:val="005C08D0"/>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210"/>
    <w:rsid w:val="005C6438"/>
    <w:rsid w:val="005C68D3"/>
    <w:rsid w:val="005C6B8B"/>
    <w:rsid w:val="005C727F"/>
    <w:rsid w:val="005D02E3"/>
    <w:rsid w:val="005D1F34"/>
    <w:rsid w:val="005D2388"/>
    <w:rsid w:val="005D2C1F"/>
    <w:rsid w:val="005D34B2"/>
    <w:rsid w:val="005D3B54"/>
    <w:rsid w:val="005D3E28"/>
    <w:rsid w:val="005D40CD"/>
    <w:rsid w:val="005D6B59"/>
    <w:rsid w:val="005D71C3"/>
    <w:rsid w:val="005D74D2"/>
    <w:rsid w:val="005D784B"/>
    <w:rsid w:val="005D7B90"/>
    <w:rsid w:val="005E00AF"/>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10F"/>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8A"/>
    <w:rsid w:val="00626AF1"/>
    <w:rsid w:val="00626FCA"/>
    <w:rsid w:val="006270AF"/>
    <w:rsid w:val="00632F83"/>
    <w:rsid w:val="00634367"/>
    <w:rsid w:val="006364D7"/>
    <w:rsid w:val="00636554"/>
    <w:rsid w:val="006367E9"/>
    <w:rsid w:val="00636CE3"/>
    <w:rsid w:val="00640082"/>
    <w:rsid w:val="00640291"/>
    <w:rsid w:val="00640EFE"/>
    <w:rsid w:val="006416F5"/>
    <w:rsid w:val="00641D6D"/>
    <w:rsid w:val="00641FAC"/>
    <w:rsid w:val="00643664"/>
    <w:rsid w:val="00643CAA"/>
    <w:rsid w:val="00644F16"/>
    <w:rsid w:val="006455EB"/>
    <w:rsid w:val="006456C2"/>
    <w:rsid w:val="00645A65"/>
    <w:rsid w:val="00646238"/>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7F3"/>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B19"/>
    <w:rsid w:val="006D0C1D"/>
    <w:rsid w:val="006D1BB1"/>
    <w:rsid w:val="006D2606"/>
    <w:rsid w:val="006D28F3"/>
    <w:rsid w:val="006D2E9D"/>
    <w:rsid w:val="006D3B48"/>
    <w:rsid w:val="006D4305"/>
    <w:rsid w:val="006D4970"/>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201"/>
    <w:rsid w:val="006E12B2"/>
    <w:rsid w:val="006E1481"/>
    <w:rsid w:val="006E2668"/>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F018A"/>
    <w:rsid w:val="006F0760"/>
    <w:rsid w:val="006F0D30"/>
    <w:rsid w:val="006F11E2"/>
    <w:rsid w:val="006F1A50"/>
    <w:rsid w:val="006F1A67"/>
    <w:rsid w:val="006F2574"/>
    <w:rsid w:val="006F3231"/>
    <w:rsid w:val="006F3DE3"/>
    <w:rsid w:val="006F4787"/>
    <w:rsid w:val="006F57E6"/>
    <w:rsid w:val="006F61D8"/>
    <w:rsid w:val="006F62B7"/>
    <w:rsid w:val="006F63E7"/>
    <w:rsid w:val="006F7016"/>
    <w:rsid w:val="006F70BC"/>
    <w:rsid w:val="006F726C"/>
    <w:rsid w:val="006F7A22"/>
    <w:rsid w:val="006F7E7C"/>
    <w:rsid w:val="0070174E"/>
    <w:rsid w:val="007018DB"/>
    <w:rsid w:val="00701DE6"/>
    <w:rsid w:val="0070214F"/>
    <w:rsid w:val="00702740"/>
    <w:rsid w:val="007028E3"/>
    <w:rsid w:val="00703407"/>
    <w:rsid w:val="0070381B"/>
    <w:rsid w:val="00706759"/>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E54"/>
    <w:rsid w:val="00717280"/>
    <w:rsid w:val="0072033C"/>
    <w:rsid w:val="00720B1B"/>
    <w:rsid w:val="00721062"/>
    <w:rsid w:val="00721D3D"/>
    <w:rsid w:val="00721E5D"/>
    <w:rsid w:val="007229D4"/>
    <w:rsid w:val="00722AE0"/>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7"/>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44"/>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1520"/>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022"/>
    <w:rsid w:val="00787412"/>
    <w:rsid w:val="00787BB6"/>
    <w:rsid w:val="00787DFF"/>
    <w:rsid w:val="00787F93"/>
    <w:rsid w:val="00791E6D"/>
    <w:rsid w:val="00791EB5"/>
    <w:rsid w:val="00792377"/>
    <w:rsid w:val="0079343F"/>
    <w:rsid w:val="00793696"/>
    <w:rsid w:val="00793F13"/>
    <w:rsid w:val="007955DA"/>
    <w:rsid w:val="00796F65"/>
    <w:rsid w:val="007A11C2"/>
    <w:rsid w:val="007A1781"/>
    <w:rsid w:val="007A18BB"/>
    <w:rsid w:val="007A2489"/>
    <w:rsid w:val="007A27DD"/>
    <w:rsid w:val="007A41BF"/>
    <w:rsid w:val="007A490A"/>
    <w:rsid w:val="007A53B6"/>
    <w:rsid w:val="007A7289"/>
    <w:rsid w:val="007A7B95"/>
    <w:rsid w:val="007B0297"/>
    <w:rsid w:val="007B02FA"/>
    <w:rsid w:val="007B0F53"/>
    <w:rsid w:val="007B110A"/>
    <w:rsid w:val="007B1A4D"/>
    <w:rsid w:val="007B2027"/>
    <w:rsid w:val="007B21AE"/>
    <w:rsid w:val="007B2570"/>
    <w:rsid w:val="007B3113"/>
    <w:rsid w:val="007B3304"/>
    <w:rsid w:val="007B3BF0"/>
    <w:rsid w:val="007B42A6"/>
    <w:rsid w:val="007B6927"/>
    <w:rsid w:val="007B6B18"/>
    <w:rsid w:val="007B7490"/>
    <w:rsid w:val="007B7C13"/>
    <w:rsid w:val="007B7C61"/>
    <w:rsid w:val="007C00B9"/>
    <w:rsid w:val="007C0525"/>
    <w:rsid w:val="007C06DB"/>
    <w:rsid w:val="007C13F7"/>
    <w:rsid w:val="007C1D77"/>
    <w:rsid w:val="007C218D"/>
    <w:rsid w:val="007C254F"/>
    <w:rsid w:val="007C2590"/>
    <w:rsid w:val="007C2D28"/>
    <w:rsid w:val="007C3E22"/>
    <w:rsid w:val="007C5022"/>
    <w:rsid w:val="007C58C1"/>
    <w:rsid w:val="007C5B39"/>
    <w:rsid w:val="007C5CAB"/>
    <w:rsid w:val="007C6218"/>
    <w:rsid w:val="007C6484"/>
    <w:rsid w:val="007C67C6"/>
    <w:rsid w:val="007C78BE"/>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A3"/>
    <w:rsid w:val="007E2EE9"/>
    <w:rsid w:val="007E32DA"/>
    <w:rsid w:val="007E3B60"/>
    <w:rsid w:val="007E4998"/>
    <w:rsid w:val="007E4A9C"/>
    <w:rsid w:val="007E4D78"/>
    <w:rsid w:val="007E5248"/>
    <w:rsid w:val="007E5C4F"/>
    <w:rsid w:val="007E6914"/>
    <w:rsid w:val="007E74D6"/>
    <w:rsid w:val="007E7F78"/>
    <w:rsid w:val="007F0179"/>
    <w:rsid w:val="007F0FF8"/>
    <w:rsid w:val="007F148A"/>
    <w:rsid w:val="007F2640"/>
    <w:rsid w:val="007F2C13"/>
    <w:rsid w:val="007F2CEC"/>
    <w:rsid w:val="007F2ED1"/>
    <w:rsid w:val="007F326F"/>
    <w:rsid w:val="007F3435"/>
    <w:rsid w:val="007F505D"/>
    <w:rsid w:val="007F531B"/>
    <w:rsid w:val="007F54CF"/>
    <w:rsid w:val="007F55DE"/>
    <w:rsid w:val="007F5BAC"/>
    <w:rsid w:val="007F6153"/>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5F62"/>
    <w:rsid w:val="00806C33"/>
    <w:rsid w:val="008075DB"/>
    <w:rsid w:val="0081010F"/>
    <w:rsid w:val="00810BB6"/>
    <w:rsid w:val="00810E8E"/>
    <w:rsid w:val="00812C44"/>
    <w:rsid w:val="008135E1"/>
    <w:rsid w:val="00813779"/>
    <w:rsid w:val="00813792"/>
    <w:rsid w:val="00813AA2"/>
    <w:rsid w:val="00813E26"/>
    <w:rsid w:val="00814321"/>
    <w:rsid w:val="0081481D"/>
    <w:rsid w:val="00814BE8"/>
    <w:rsid w:val="00814D94"/>
    <w:rsid w:val="00814F6E"/>
    <w:rsid w:val="00815ABB"/>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556"/>
    <w:rsid w:val="00826AB9"/>
    <w:rsid w:val="00826E0E"/>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075"/>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3DD"/>
    <w:rsid w:val="0086174F"/>
    <w:rsid w:val="00861D63"/>
    <w:rsid w:val="008623B9"/>
    <w:rsid w:val="0086358C"/>
    <w:rsid w:val="00863A8E"/>
    <w:rsid w:val="0086407F"/>
    <w:rsid w:val="008644DD"/>
    <w:rsid w:val="008645E3"/>
    <w:rsid w:val="0086486A"/>
    <w:rsid w:val="00864E79"/>
    <w:rsid w:val="00864EC0"/>
    <w:rsid w:val="0086572B"/>
    <w:rsid w:val="008662E5"/>
    <w:rsid w:val="008665BC"/>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86A"/>
    <w:rsid w:val="00874911"/>
    <w:rsid w:val="00874B79"/>
    <w:rsid w:val="008754E4"/>
    <w:rsid w:val="00876EAE"/>
    <w:rsid w:val="00876F6B"/>
    <w:rsid w:val="0087722B"/>
    <w:rsid w:val="00877305"/>
    <w:rsid w:val="00877983"/>
    <w:rsid w:val="00880106"/>
    <w:rsid w:val="00880F95"/>
    <w:rsid w:val="00881EE2"/>
    <w:rsid w:val="00882910"/>
    <w:rsid w:val="00882B44"/>
    <w:rsid w:val="00883809"/>
    <w:rsid w:val="008838AD"/>
    <w:rsid w:val="00885381"/>
    <w:rsid w:val="0088572B"/>
    <w:rsid w:val="008859B4"/>
    <w:rsid w:val="00885BC9"/>
    <w:rsid w:val="008864B3"/>
    <w:rsid w:val="008865E5"/>
    <w:rsid w:val="0088682F"/>
    <w:rsid w:val="008871B0"/>
    <w:rsid w:val="008905A6"/>
    <w:rsid w:val="00890B57"/>
    <w:rsid w:val="008916BA"/>
    <w:rsid w:val="0089217C"/>
    <w:rsid w:val="00892476"/>
    <w:rsid w:val="00892790"/>
    <w:rsid w:val="00893671"/>
    <w:rsid w:val="008942A6"/>
    <w:rsid w:val="0089445B"/>
    <w:rsid w:val="00894979"/>
    <w:rsid w:val="00895838"/>
    <w:rsid w:val="00895A1E"/>
    <w:rsid w:val="00895A72"/>
    <w:rsid w:val="00895CDF"/>
    <w:rsid w:val="00895EE3"/>
    <w:rsid w:val="00896046"/>
    <w:rsid w:val="00896679"/>
    <w:rsid w:val="00896D8C"/>
    <w:rsid w:val="00897184"/>
    <w:rsid w:val="00897579"/>
    <w:rsid w:val="00897636"/>
    <w:rsid w:val="008A0717"/>
    <w:rsid w:val="008A0FAC"/>
    <w:rsid w:val="008A0FC9"/>
    <w:rsid w:val="008A14C8"/>
    <w:rsid w:val="008A1956"/>
    <w:rsid w:val="008A1A7C"/>
    <w:rsid w:val="008A2990"/>
    <w:rsid w:val="008A2CE2"/>
    <w:rsid w:val="008A40D3"/>
    <w:rsid w:val="008A413F"/>
    <w:rsid w:val="008A451F"/>
    <w:rsid w:val="008A469C"/>
    <w:rsid w:val="008A50FB"/>
    <w:rsid w:val="008A51D1"/>
    <w:rsid w:val="008A5C90"/>
    <w:rsid w:val="008A5DCE"/>
    <w:rsid w:val="008A75D3"/>
    <w:rsid w:val="008A7DEA"/>
    <w:rsid w:val="008A7F09"/>
    <w:rsid w:val="008B05DD"/>
    <w:rsid w:val="008B07B8"/>
    <w:rsid w:val="008B17E8"/>
    <w:rsid w:val="008B2A6F"/>
    <w:rsid w:val="008B2C45"/>
    <w:rsid w:val="008B2E7C"/>
    <w:rsid w:val="008B399A"/>
    <w:rsid w:val="008B402F"/>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11A"/>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1CC"/>
    <w:rsid w:val="008D695E"/>
    <w:rsid w:val="008D6DD5"/>
    <w:rsid w:val="008D6E59"/>
    <w:rsid w:val="008D7155"/>
    <w:rsid w:val="008D76E0"/>
    <w:rsid w:val="008D7D0F"/>
    <w:rsid w:val="008E079C"/>
    <w:rsid w:val="008E0B29"/>
    <w:rsid w:val="008E141A"/>
    <w:rsid w:val="008E1A44"/>
    <w:rsid w:val="008E2859"/>
    <w:rsid w:val="008E28E6"/>
    <w:rsid w:val="008E2C57"/>
    <w:rsid w:val="008E3232"/>
    <w:rsid w:val="008E3674"/>
    <w:rsid w:val="008E3A08"/>
    <w:rsid w:val="008E3B6C"/>
    <w:rsid w:val="008E3DE7"/>
    <w:rsid w:val="008E5227"/>
    <w:rsid w:val="008E562C"/>
    <w:rsid w:val="008E5F43"/>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B69"/>
    <w:rsid w:val="008F6519"/>
    <w:rsid w:val="008F6F4C"/>
    <w:rsid w:val="008F7012"/>
    <w:rsid w:val="008F7ADA"/>
    <w:rsid w:val="008F7B17"/>
    <w:rsid w:val="00900042"/>
    <w:rsid w:val="0090034B"/>
    <w:rsid w:val="00900565"/>
    <w:rsid w:val="0090077E"/>
    <w:rsid w:val="0090087C"/>
    <w:rsid w:val="00900D2F"/>
    <w:rsid w:val="00901121"/>
    <w:rsid w:val="00901B50"/>
    <w:rsid w:val="00902623"/>
    <w:rsid w:val="00902A67"/>
    <w:rsid w:val="00902C5E"/>
    <w:rsid w:val="00904BE4"/>
    <w:rsid w:val="0090504A"/>
    <w:rsid w:val="009051F5"/>
    <w:rsid w:val="00905221"/>
    <w:rsid w:val="0090530B"/>
    <w:rsid w:val="00905664"/>
    <w:rsid w:val="00905A7C"/>
    <w:rsid w:val="00905D7E"/>
    <w:rsid w:val="00906C66"/>
    <w:rsid w:val="00906DD3"/>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6BC5"/>
    <w:rsid w:val="0091726A"/>
    <w:rsid w:val="00917C01"/>
    <w:rsid w:val="00920184"/>
    <w:rsid w:val="00920421"/>
    <w:rsid w:val="00920E84"/>
    <w:rsid w:val="00920EA4"/>
    <w:rsid w:val="00921792"/>
    <w:rsid w:val="00921BEA"/>
    <w:rsid w:val="009227BE"/>
    <w:rsid w:val="009238FD"/>
    <w:rsid w:val="00923998"/>
    <w:rsid w:val="00923DB4"/>
    <w:rsid w:val="0092420B"/>
    <w:rsid w:val="0092430E"/>
    <w:rsid w:val="00924451"/>
    <w:rsid w:val="00925889"/>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B16"/>
    <w:rsid w:val="00936CF7"/>
    <w:rsid w:val="00937783"/>
    <w:rsid w:val="00937EAD"/>
    <w:rsid w:val="00937F28"/>
    <w:rsid w:val="00940FE1"/>
    <w:rsid w:val="0094117A"/>
    <w:rsid w:val="00941474"/>
    <w:rsid w:val="00942306"/>
    <w:rsid w:val="009424B8"/>
    <w:rsid w:val="0094286B"/>
    <w:rsid w:val="009432E2"/>
    <w:rsid w:val="00943B7C"/>
    <w:rsid w:val="00944668"/>
    <w:rsid w:val="00944DC6"/>
    <w:rsid w:val="00945829"/>
    <w:rsid w:val="009458B0"/>
    <w:rsid w:val="00945B52"/>
    <w:rsid w:val="00945B7A"/>
    <w:rsid w:val="00945F05"/>
    <w:rsid w:val="00945FE0"/>
    <w:rsid w:val="00946057"/>
    <w:rsid w:val="00946348"/>
    <w:rsid w:val="00946B10"/>
    <w:rsid w:val="00947224"/>
    <w:rsid w:val="0094742B"/>
    <w:rsid w:val="009475B1"/>
    <w:rsid w:val="00947797"/>
    <w:rsid w:val="009478A2"/>
    <w:rsid w:val="00947942"/>
    <w:rsid w:val="00950181"/>
    <w:rsid w:val="00950865"/>
    <w:rsid w:val="009533BD"/>
    <w:rsid w:val="009536FB"/>
    <w:rsid w:val="00953808"/>
    <w:rsid w:val="009539A6"/>
    <w:rsid w:val="00954032"/>
    <w:rsid w:val="00954537"/>
    <w:rsid w:val="0095472D"/>
    <w:rsid w:val="0095483A"/>
    <w:rsid w:val="00954F0F"/>
    <w:rsid w:val="00954FA2"/>
    <w:rsid w:val="00955342"/>
    <w:rsid w:val="00955D57"/>
    <w:rsid w:val="00955FBB"/>
    <w:rsid w:val="0095694B"/>
    <w:rsid w:val="00956BD5"/>
    <w:rsid w:val="00956D84"/>
    <w:rsid w:val="009577B5"/>
    <w:rsid w:val="00957D66"/>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3772"/>
    <w:rsid w:val="00974BBB"/>
    <w:rsid w:val="0097560A"/>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8D4"/>
    <w:rsid w:val="009859E4"/>
    <w:rsid w:val="00985D7F"/>
    <w:rsid w:val="009861EB"/>
    <w:rsid w:val="00987812"/>
    <w:rsid w:val="00990225"/>
    <w:rsid w:val="00991307"/>
    <w:rsid w:val="00991FAA"/>
    <w:rsid w:val="00992A13"/>
    <w:rsid w:val="00993DB1"/>
    <w:rsid w:val="00994AAD"/>
    <w:rsid w:val="00995150"/>
    <w:rsid w:val="009956BA"/>
    <w:rsid w:val="00995B89"/>
    <w:rsid w:val="00995D67"/>
    <w:rsid w:val="00997613"/>
    <w:rsid w:val="009A013B"/>
    <w:rsid w:val="009A02F4"/>
    <w:rsid w:val="009A06BF"/>
    <w:rsid w:val="009A0D17"/>
    <w:rsid w:val="009A2494"/>
    <w:rsid w:val="009A32B1"/>
    <w:rsid w:val="009A33A3"/>
    <w:rsid w:val="009A36F2"/>
    <w:rsid w:val="009A40C3"/>
    <w:rsid w:val="009A40D5"/>
    <w:rsid w:val="009A47F7"/>
    <w:rsid w:val="009A5268"/>
    <w:rsid w:val="009A57D0"/>
    <w:rsid w:val="009A6559"/>
    <w:rsid w:val="009A68FC"/>
    <w:rsid w:val="009A6CE4"/>
    <w:rsid w:val="009A7514"/>
    <w:rsid w:val="009A7665"/>
    <w:rsid w:val="009A787D"/>
    <w:rsid w:val="009A7E7A"/>
    <w:rsid w:val="009B0925"/>
    <w:rsid w:val="009B1584"/>
    <w:rsid w:val="009B18F0"/>
    <w:rsid w:val="009B1F4C"/>
    <w:rsid w:val="009B2203"/>
    <w:rsid w:val="009B2471"/>
    <w:rsid w:val="009B314F"/>
    <w:rsid w:val="009B32B3"/>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2B2"/>
    <w:rsid w:val="009C7547"/>
    <w:rsid w:val="009D05EC"/>
    <w:rsid w:val="009D18D4"/>
    <w:rsid w:val="009D1FCF"/>
    <w:rsid w:val="009D2F60"/>
    <w:rsid w:val="009D3A2E"/>
    <w:rsid w:val="009D4C2E"/>
    <w:rsid w:val="009D5ADE"/>
    <w:rsid w:val="009D5BAC"/>
    <w:rsid w:val="009D5C56"/>
    <w:rsid w:val="009D6265"/>
    <w:rsid w:val="009D64BD"/>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1F2"/>
    <w:rsid w:val="009F2DDD"/>
    <w:rsid w:val="009F3447"/>
    <w:rsid w:val="009F446D"/>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50BB"/>
    <w:rsid w:val="00A05128"/>
    <w:rsid w:val="00A0521B"/>
    <w:rsid w:val="00A054E0"/>
    <w:rsid w:val="00A05D91"/>
    <w:rsid w:val="00A0740B"/>
    <w:rsid w:val="00A07ED3"/>
    <w:rsid w:val="00A10069"/>
    <w:rsid w:val="00A10162"/>
    <w:rsid w:val="00A10CA8"/>
    <w:rsid w:val="00A10D5A"/>
    <w:rsid w:val="00A11042"/>
    <w:rsid w:val="00A12579"/>
    <w:rsid w:val="00A12CDC"/>
    <w:rsid w:val="00A12E1D"/>
    <w:rsid w:val="00A133D8"/>
    <w:rsid w:val="00A13553"/>
    <w:rsid w:val="00A13F58"/>
    <w:rsid w:val="00A14154"/>
    <w:rsid w:val="00A14382"/>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7D"/>
    <w:rsid w:val="00A33372"/>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A50"/>
    <w:rsid w:val="00A42B8F"/>
    <w:rsid w:val="00A42D8E"/>
    <w:rsid w:val="00A43254"/>
    <w:rsid w:val="00A43896"/>
    <w:rsid w:val="00A43951"/>
    <w:rsid w:val="00A43A26"/>
    <w:rsid w:val="00A447A0"/>
    <w:rsid w:val="00A4505E"/>
    <w:rsid w:val="00A455EA"/>
    <w:rsid w:val="00A459F5"/>
    <w:rsid w:val="00A45FC0"/>
    <w:rsid w:val="00A4655A"/>
    <w:rsid w:val="00A468C7"/>
    <w:rsid w:val="00A46B74"/>
    <w:rsid w:val="00A47BF7"/>
    <w:rsid w:val="00A47ECC"/>
    <w:rsid w:val="00A50171"/>
    <w:rsid w:val="00A50418"/>
    <w:rsid w:val="00A504FA"/>
    <w:rsid w:val="00A5102E"/>
    <w:rsid w:val="00A5132E"/>
    <w:rsid w:val="00A51375"/>
    <w:rsid w:val="00A51533"/>
    <w:rsid w:val="00A516D4"/>
    <w:rsid w:val="00A51A07"/>
    <w:rsid w:val="00A531D4"/>
    <w:rsid w:val="00A53622"/>
    <w:rsid w:val="00A53736"/>
    <w:rsid w:val="00A54572"/>
    <w:rsid w:val="00A559D8"/>
    <w:rsid w:val="00A575B8"/>
    <w:rsid w:val="00A6020A"/>
    <w:rsid w:val="00A60CE7"/>
    <w:rsid w:val="00A60CF8"/>
    <w:rsid w:val="00A61854"/>
    <w:rsid w:val="00A619BB"/>
    <w:rsid w:val="00A61C60"/>
    <w:rsid w:val="00A61ECB"/>
    <w:rsid w:val="00A63FE9"/>
    <w:rsid w:val="00A6410C"/>
    <w:rsid w:val="00A647B1"/>
    <w:rsid w:val="00A64DEF"/>
    <w:rsid w:val="00A65311"/>
    <w:rsid w:val="00A654D2"/>
    <w:rsid w:val="00A665DF"/>
    <w:rsid w:val="00A673F1"/>
    <w:rsid w:val="00A674DB"/>
    <w:rsid w:val="00A67625"/>
    <w:rsid w:val="00A67C6E"/>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28"/>
    <w:rsid w:val="00A80A5D"/>
    <w:rsid w:val="00A81ECA"/>
    <w:rsid w:val="00A82764"/>
    <w:rsid w:val="00A8311C"/>
    <w:rsid w:val="00A835D0"/>
    <w:rsid w:val="00A83821"/>
    <w:rsid w:val="00A83C98"/>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30B"/>
    <w:rsid w:val="00A94D4B"/>
    <w:rsid w:val="00A956AC"/>
    <w:rsid w:val="00A95A90"/>
    <w:rsid w:val="00A974CC"/>
    <w:rsid w:val="00A97EE7"/>
    <w:rsid w:val="00A97FC3"/>
    <w:rsid w:val="00AA01E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99F"/>
    <w:rsid w:val="00AB1C40"/>
    <w:rsid w:val="00AB2000"/>
    <w:rsid w:val="00AB21CC"/>
    <w:rsid w:val="00AB2C06"/>
    <w:rsid w:val="00AB38CB"/>
    <w:rsid w:val="00AB3BEC"/>
    <w:rsid w:val="00AB4080"/>
    <w:rsid w:val="00AB44E4"/>
    <w:rsid w:val="00AB4AEB"/>
    <w:rsid w:val="00AB4E5F"/>
    <w:rsid w:val="00AB5352"/>
    <w:rsid w:val="00AB56AE"/>
    <w:rsid w:val="00AB5EB1"/>
    <w:rsid w:val="00AB62D5"/>
    <w:rsid w:val="00AB65B5"/>
    <w:rsid w:val="00AB6DCD"/>
    <w:rsid w:val="00AB6EE0"/>
    <w:rsid w:val="00AB7D43"/>
    <w:rsid w:val="00AC0AAF"/>
    <w:rsid w:val="00AC17A2"/>
    <w:rsid w:val="00AC3096"/>
    <w:rsid w:val="00AC33F3"/>
    <w:rsid w:val="00AC40B7"/>
    <w:rsid w:val="00AC531F"/>
    <w:rsid w:val="00AC5B36"/>
    <w:rsid w:val="00AC62BC"/>
    <w:rsid w:val="00AC6377"/>
    <w:rsid w:val="00AC651A"/>
    <w:rsid w:val="00AC66A4"/>
    <w:rsid w:val="00AC6CB1"/>
    <w:rsid w:val="00AC75E9"/>
    <w:rsid w:val="00AC7D6D"/>
    <w:rsid w:val="00AC7D76"/>
    <w:rsid w:val="00AD0091"/>
    <w:rsid w:val="00AD04C1"/>
    <w:rsid w:val="00AD1119"/>
    <w:rsid w:val="00AD1315"/>
    <w:rsid w:val="00AD23EF"/>
    <w:rsid w:val="00AD2662"/>
    <w:rsid w:val="00AD307B"/>
    <w:rsid w:val="00AD36D2"/>
    <w:rsid w:val="00AD3992"/>
    <w:rsid w:val="00AD4014"/>
    <w:rsid w:val="00AD41B3"/>
    <w:rsid w:val="00AD5721"/>
    <w:rsid w:val="00AD69F0"/>
    <w:rsid w:val="00AD7127"/>
    <w:rsid w:val="00AD72E3"/>
    <w:rsid w:val="00AD730C"/>
    <w:rsid w:val="00AE0F90"/>
    <w:rsid w:val="00AE123A"/>
    <w:rsid w:val="00AE1539"/>
    <w:rsid w:val="00AE28A7"/>
    <w:rsid w:val="00AE2A98"/>
    <w:rsid w:val="00AE2CF2"/>
    <w:rsid w:val="00AE2F19"/>
    <w:rsid w:val="00AE3012"/>
    <w:rsid w:val="00AE3297"/>
    <w:rsid w:val="00AE33A6"/>
    <w:rsid w:val="00AE3513"/>
    <w:rsid w:val="00AE3729"/>
    <w:rsid w:val="00AE3C81"/>
    <w:rsid w:val="00AE4A3E"/>
    <w:rsid w:val="00AE4CCE"/>
    <w:rsid w:val="00AE5C6A"/>
    <w:rsid w:val="00AE7058"/>
    <w:rsid w:val="00AE7280"/>
    <w:rsid w:val="00AE7B5F"/>
    <w:rsid w:val="00AF01FA"/>
    <w:rsid w:val="00AF033A"/>
    <w:rsid w:val="00AF118E"/>
    <w:rsid w:val="00AF132D"/>
    <w:rsid w:val="00AF1658"/>
    <w:rsid w:val="00AF1699"/>
    <w:rsid w:val="00AF18D1"/>
    <w:rsid w:val="00AF1BA4"/>
    <w:rsid w:val="00AF1FD3"/>
    <w:rsid w:val="00AF2910"/>
    <w:rsid w:val="00AF34B8"/>
    <w:rsid w:val="00AF3896"/>
    <w:rsid w:val="00AF39C9"/>
    <w:rsid w:val="00AF3DB7"/>
    <w:rsid w:val="00AF3F97"/>
    <w:rsid w:val="00AF3FC2"/>
    <w:rsid w:val="00AF4687"/>
    <w:rsid w:val="00AF4DEC"/>
    <w:rsid w:val="00AF6541"/>
    <w:rsid w:val="00AF68D3"/>
    <w:rsid w:val="00AF6B57"/>
    <w:rsid w:val="00B003FF"/>
    <w:rsid w:val="00B0098A"/>
    <w:rsid w:val="00B00A5F"/>
    <w:rsid w:val="00B029B8"/>
    <w:rsid w:val="00B02F60"/>
    <w:rsid w:val="00B02F94"/>
    <w:rsid w:val="00B032B8"/>
    <w:rsid w:val="00B03765"/>
    <w:rsid w:val="00B0396A"/>
    <w:rsid w:val="00B046D9"/>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4F5"/>
    <w:rsid w:val="00B42264"/>
    <w:rsid w:val="00B434B2"/>
    <w:rsid w:val="00B43B9E"/>
    <w:rsid w:val="00B43D45"/>
    <w:rsid w:val="00B448B3"/>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95D"/>
    <w:rsid w:val="00B80A3D"/>
    <w:rsid w:val="00B80B04"/>
    <w:rsid w:val="00B821E4"/>
    <w:rsid w:val="00B823E0"/>
    <w:rsid w:val="00B8260D"/>
    <w:rsid w:val="00B8286F"/>
    <w:rsid w:val="00B82B78"/>
    <w:rsid w:val="00B82FD9"/>
    <w:rsid w:val="00B845B4"/>
    <w:rsid w:val="00B84662"/>
    <w:rsid w:val="00B84C74"/>
    <w:rsid w:val="00B84CE9"/>
    <w:rsid w:val="00B84F6E"/>
    <w:rsid w:val="00B8502D"/>
    <w:rsid w:val="00B85191"/>
    <w:rsid w:val="00B85412"/>
    <w:rsid w:val="00B858A1"/>
    <w:rsid w:val="00B85FEC"/>
    <w:rsid w:val="00B864A3"/>
    <w:rsid w:val="00B86C2A"/>
    <w:rsid w:val="00B87575"/>
    <w:rsid w:val="00B902A5"/>
    <w:rsid w:val="00B90420"/>
    <w:rsid w:val="00B90848"/>
    <w:rsid w:val="00B91146"/>
    <w:rsid w:val="00B913E4"/>
    <w:rsid w:val="00B91DB9"/>
    <w:rsid w:val="00B91FF3"/>
    <w:rsid w:val="00B925F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1D87"/>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5FB"/>
    <w:rsid w:val="00BC3ACD"/>
    <w:rsid w:val="00BC3B20"/>
    <w:rsid w:val="00BC3EE4"/>
    <w:rsid w:val="00BC577D"/>
    <w:rsid w:val="00BC588C"/>
    <w:rsid w:val="00BC6E73"/>
    <w:rsid w:val="00BC74D3"/>
    <w:rsid w:val="00BC7806"/>
    <w:rsid w:val="00BD0014"/>
    <w:rsid w:val="00BD01D8"/>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0926"/>
    <w:rsid w:val="00BF14CC"/>
    <w:rsid w:val="00BF1821"/>
    <w:rsid w:val="00BF22E9"/>
    <w:rsid w:val="00BF4342"/>
    <w:rsid w:val="00BF4704"/>
    <w:rsid w:val="00BF4FFC"/>
    <w:rsid w:val="00BF5050"/>
    <w:rsid w:val="00BF50D1"/>
    <w:rsid w:val="00BF5422"/>
    <w:rsid w:val="00BF59B1"/>
    <w:rsid w:val="00BF5C4D"/>
    <w:rsid w:val="00BF6625"/>
    <w:rsid w:val="00BF6A78"/>
    <w:rsid w:val="00BF7695"/>
    <w:rsid w:val="00BF775D"/>
    <w:rsid w:val="00BF79B4"/>
    <w:rsid w:val="00BF7C61"/>
    <w:rsid w:val="00BF7CA4"/>
    <w:rsid w:val="00C00366"/>
    <w:rsid w:val="00C01427"/>
    <w:rsid w:val="00C014C7"/>
    <w:rsid w:val="00C031CF"/>
    <w:rsid w:val="00C047AB"/>
    <w:rsid w:val="00C058AF"/>
    <w:rsid w:val="00C075B6"/>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82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567"/>
    <w:rsid w:val="00C33A39"/>
    <w:rsid w:val="00C33F55"/>
    <w:rsid w:val="00C34619"/>
    <w:rsid w:val="00C348D9"/>
    <w:rsid w:val="00C359E7"/>
    <w:rsid w:val="00C35D01"/>
    <w:rsid w:val="00C360B3"/>
    <w:rsid w:val="00C36451"/>
    <w:rsid w:val="00C365EA"/>
    <w:rsid w:val="00C367F0"/>
    <w:rsid w:val="00C37027"/>
    <w:rsid w:val="00C373BF"/>
    <w:rsid w:val="00C37B15"/>
    <w:rsid w:val="00C37B19"/>
    <w:rsid w:val="00C41349"/>
    <w:rsid w:val="00C413CB"/>
    <w:rsid w:val="00C41558"/>
    <w:rsid w:val="00C42752"/>
    <w:rsid w:val="00C42973"/>
    <w:rsid w:val="00C43426"/>
    <w:rsid w:val="00C44541"/>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3FF6"/>
    <w:rsid w:val="00C64127"/>
    <w:rsid w:val="00C6540A"/>
    <w:rsid w:val="00C668A1"/>
    <w:rsid w:val="00C67223"/>
    <w:rsid w:val="00C707B8"/>
    <w:rsid w:val="00C712AC"/>
    <w:rsid w:val="00C7158C"/>
    <w:rsid w:val="00C71C15"/>
    <w:rsid w:val="00C71F3D"/>
    <w:rsid w:val="00C72F53"/>
    <w:rsid w:val="00C734E7"/>
    <w:rsid w:val="00C74035"/>
    <w:rsid w:val="00C748EA"/>
    <w:rsid w:val="00C76FB0"/>
    <w:rsid w:val="00C77818"/>
    <w:rsid w:val="00C8063F"/>
    <w:rsid w:val="00C81282"/>
    <w:rsid w:val="00C8155F"/>
    <w:rsid w:val="00C8198D"/>
    <w:rsid w:val="00C82167"/>
    <w:rsid w:val="00C827B4"/>
    <w:rsid w:val="00C83214"/>
    <w:rsid w:val="00C8329F"/>
    <w:rsid w:val="00C84E65"/>
    <w:rsid w:val="00C84F8A"/>
    <w:rsid w:val="00C85BA4"/>
    <w:rsid w:val="00C8618F"/>
    <w:rsid w:val="00C8625D"/>
    <w:rsid w:val="00C865AD"/>
    <w:rsid w:val="00C8661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6D7C"/>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4F7"/>
    <w:rsid w:val="00CC0A3D"/>
    <w:rsid w:val="00CC2FF0"/>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396"/>
    <w:rsid w:val="00CD356A"/>
    <w:rsid w:val="00CD37AE"/>
    <w:rsid w:val="00CD38F5"/>
    <w:rsid w:val="00CD3BF2"/>
    <w:rsid w:val="00CD437E"/>
    <w:rsid w:val="00CD4AAF"/>
    <w:rsid w:val="00CD5DAD"/>
    <w:rsid w:val="00CD5FFB"/>
    <w:rsid w:val="00CD72C5"/>
    <w:rsid w:val="00CD79A7"/>
    <w:rsid w:val="00CD7FAD"/>
    <w:rsid w:val="00CE0331"/>
    <w:rsid w:val="00CE0789"/>
    <w:rsid w:val="00CE0E8D"/>
    <w:rsid w:val="00CE1A03"/>
    <w:rsid w:val="00CE1B5D"/>
    <w:rsid w:val="00CE2346"/>
    <w:rsid w:val="00CE25B2"/>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227"/>
    <w:rsid w:val="00CE781A"/>
    <w:rsid w:val="00CE7B08"/>
    <w:rsid w:val="00CE7B7A"/>
    <w:rsid w:val="00CE7D52"/>
    <w:rsid w:val="00CF0A0F"/>
    <w:rsid w:val="00CF0AAA"/>
    <w:rsid w:val="00CF0AB7"/>
    <w:rsid w:val="00CF1D74"/>
    <w:rsid w:val="00CF2BE2"/>
    <w:rsid w:val="00CF348C"/>
    <w:rsid w:val="00CF371A"/>
    <w:rsid w:val="00CF37C2"/>
    <w:rsid w:val="00CF3DE4"/>
    <w:rsid w:val="00CF3DEB"/>
    <w:rsid w:val="00CF55F9"/>
    <w:rsid w:val="00CF578D"/>
    <w:rsid w:val="00CF7074"/>
    <w:rsid w:val="00CF7495"/>
    <w:rsid w:val="00CF76D6"/>
    <w:rsid w:val="00D01CF9"/>
    <w:rsid w:val="00D021E8"/>
    <w:rsid w:val="00D0334D"/>
    <w:rsid w:val="00D0374D"/>
    <w:rsid w:val="00D05FEC"/>
    <w:rsid w:val="00D06312"/>
    <w:rsid w:val="00D06D7B"/>
    <w:rsid w:val="00D06DA5"/>
    <w:rsid w:val="00D07191"/>
    <w:rsid w:val="00D07319"/>
    <w:rsid w:val="00D07F1D"/>
    <w:rsid w:val="00D10558"/>
    <w:rsid w:val="00D10EE8"/>
    <w:rsid w:val="00D11140"/>
    <w:rsid w:val="00D11739"/>
    <w:rsid w:val="00D119A6"/>
    <w:rsid w:val="00D11C35"/>
    <w:rsid w:val="00D11D4D"/>
    <w:rsid w:val="00D11DB1"/>
    <w:rsid w:val="00D126DC"/>
    <w:rsid w:val="00D12A1F"/>
    <w:rsid w:val="00D12B03"/>
    <w:rsid w:val="00D1368C"/>
    <w:rsid w:val="00D13E70"/>
    <w:rsid w:val="00D13EE7"/>
    <w:rsid w:val="00D147BE"/>
    <w:rsid w:val="00D148A0"/>
    <w:rsid w:val="00D15ECD"/>
    <w:rsid w:val="00D15FCD"/>
    <w:rsid w:val="00D16C58"/>
    <w:rsid w:val="00D17019"/>
    <w:rsid w:val="00D1705A"/>
    <w:rsid w:val="00D17ABA"/>
    <w:rsid w:val="00D17FC8"/>
    <w:rsid w:val="00D2015B"/>
    <w:rsid w:val="00D207E7"/>
    <w:rsid w:val="00D20B44"/>
    <w:rsid w:val="00D21168"/>
    <w:rsid w:val="00D21C3A"/>
    <w:rsid w:val="00D2224A"/>
    <w:rsid w:val="00D2385D"/>
    <w:rsid w:val="00D23FF4"/>
    <w:rsid w:val="00D2438C"/>
    <w:rsid w:val="00D24A85"/>
    <w:rsid w:val="00D2585A"/>
    <w:rsid w:val="00D25920"/>
    <w:rsid w:val="00D259B0"/>
    <w:rsid w:val="00D259C2"/>
    <w:rsid w:val="00D26C3F"/>
    <w:rsid w:val="00D27185"/>
    <w:rsid w:val="00D3028A"/>
    <w:rsid w:val="00D30E98"/>
    <w:rsid w:val="00D3125C"/>
    <w:rsid w:val="00D33488"/>
    <w:rsid w:val="00D33AB3"/>
    <w:rsid w:val="00D33F24"/>
    <w:rsid w:val="00D34160"/>
    <w:rsid w:val="00D34520"/>
    <w:rsid w:val="00D346B8"/>
    <w:rsid w:val="00D34DCA"/>
    <w:rsid w:val="00D35AC8"/>
    <w:rsid w:val="00D36F87"/>
    <w:rsid w:val="00D37DF9"/>
    <w:rsid w:val="00D37E4E"/>
    <w:rsid w:val="00D4147C"/>
    <w:rsid w:val="00D417D8"/>
    <w:rsid w:val="00D41F78"/>
    <w:rsid w:val="00D42ABC"/>
    <w:rsid w:val="00D42E6C"/>
    <w:rsid w:val="00D4351C"/>
    <w:rsid w:val="00D43B80"/>
    <w:rsid w:val="00D44988"/>
    <w:rsid w:val="00D45B4C"/>
    <w:rsid w:val="00D45BA4"/>
    <w:rsid w:val="00D471AF"/>
    <w:rsid w:val="00D471E2"/>
    <w:rsid w:val="00D4724F"/>
    <w:rsid w:val="00D47761"/>
    <w:rsid w:val="00D50252"/>
    <w:rsid w:val="00D50519"/>
    <w:rsid w:val="00D50702"/>
    <w:rsid w:val="00D50779"/>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76B"/>
    <w:rsid w:val="00D608C0"/>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EDA"/>
    <w:rsid w:val="00D75FDA"/>
    <w:rsid w:val="00D774ED"/>
    <w:rsid w:val="00D776AD"/>
    <w:rsid w:val="00D777C3"/>
    <w:rsid w:val="00D7797C"/>
    <w:rsid w:val="00D77C44"/>
    <w:rsid w:val="00D77EDB"/>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6D47"/>
    <w:rsid w:val="00D8710C"/>
    <w:rsid w:val="00D873C6"/>
    <w:rsid w:val="00D87819"/>
    <w:rsid w:val="00D878A3"/>
    <w:rsid w:val="00D87E49"/>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1A3A"/>
    <w:rsid w:val="00DA1FC3"/>
    <w:rsid w:val="00DA2351"/>
    <w:rsid w:val="00DA249E"/>
    <w:rsid w:val="00DA2D3D"/>
    <w:rsid w:val="00DA35D9"/>
    <w:rsid w:val="00DA3855"/>
    <w:rsid w:val="00DA39BA"/>
    <w:rsid w:val="00DA4C30"/>
    <w:rsid w:val="00DA538E"/>
    <w:rsid w:val="00DA576E"/>
    <w:rsid w:val="00DA5FB3"/>
    <w:rsid w:val="00DA6980"/>
    <w:rsid w:val="00DA6A44"/>
    <w:rsid w:val="00DA7A3C"/>
    <w:rsid w:val="00DB145E"/>
    <w:rsid w:val="00DB1A94"/>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785"/>
    <w:rsid w:val="00DC4B02"/>
    <w:rsid w:val="00DC514A"/>
    <w:rsid w:val="00DC67B1"/>
    <w:rsid w:val="00DC68EA"/>
    <w:rsid w:val="00DC7FBC"/>
    <w:rsid w:val="00DD0019"/>
    <w:rsid w:val="00DD132B"/>
    <w:rsid w:val="00DD1571"/>
    <w:rsid w:val="00DD1725"/>
    <w:rsid w:val="00DD2159"/>
    <w:rsid w:val="00DD218B"/>
    <w:rsid w:val="00DD28BA"/>
    <w:rsid w:val="00DD2A18"/>
    <w:rsid w:val="00DD3044"/>
    <w:rsid w:val="00DD3985"/>
    <w:rsid w:val="00DD5B79"/>
    <w:rsid w:val="00DD5D07"/>
    <w:rsid w:val="00DD61E8"/>
    <w:rsid w:val="00DD62C0"/>
    <w:rsid w:val="00DD63F8"/>
    <w:rsid w:val="00DD64DE"/>
    <w:rsid w:val="00DD66DE"/>
    <w:rsid w:val="00DD7197"/>
    <w:rsid w:val="00DD7859"/>
    <w:rsid w:val="00DD7B41"/>
    <w:rsid w:val="00DD7FBB"/>
    <w:rsid w:val="00DE0784"/>
    <w:rsid w:val="00DE0A1D"/>
    <w:rsid w:val="00DE15B2"/>
    <w:rsid w:val="00DE1A9A"/>
    <w:rsid w:val="00DE3D2C"/>
    <w:rsid w:val="00DE57D0"/>
    <w:rsid w:val="00DE5E82"/>
    <w:rsid w:val="00DE5EC5"/>
    <w:rsid w:val="00DE5FA6"/>
    <w:rsid w:val="00DE65CE"/>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6B6"/>
    <w:rsid w:val="00DF4296"/>
    <w:rsid w:val="00DF5267"/>
    <w:rsid w:val="00DF53F0"/>
    <w:rsid w:val="00DF5700"/>
    <w:rsid w:val="00DF5707"/>
    <w:rsid w:val="00DF5F38"/>
    <w:rsid w:val="00DF604C"/>
    <w:rsid w:val="00DF6608"/>
    <w:rsid w:val="00DF6CCC"/>
    <w:rsid w:val="00DF6D0C"/>
    <w:rsid w:val="00DF6F64"/>
    <w:rsid w:val="00DF721E"/>
    <w:rsid w:val="00DF72F3"/>
    <w:rsid w:val="00DF7549"/>
    <w:rsid w:val="00DF78D0"/>
    <w:rsid w:val="00DF7B8A"/>
    <w:rsid w:val="00DF7C87"/>
    <w:rsid w:val="00E009B0"/>
    <w:rsid w:val="00E00A12"/>
    <w:rsid w:val="00E00B39"/>
    <w:rsid w:val="00E00C49"/>
    <w:rsid w:val="00E01C9C"/>
    <w:rsid w:val="00E01FF4"/>
    <w:rsid w:val="00E0219D"/>
    <w:rsid w:val="00E032D9"/>
    <w:rsid w:val="00E04482"/>
    <w:rsid w:val="00E04C0F"/>
    <w:rsid w:val="00E05510"/>
    <w:rsid w:val="00E0570B"/>
    <w:rsid w:val="00E05B1D"/>
    <w:rsid w:val="00E0685D"/>
    <w:rsid w:val="00E069C5"/>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19CE"/>
    <w:rsid w:val="00E21D93"/>
    <w:rsid w:val="00E22A86"/>
    <w:rsid w:val="00E22D2A"/>
    <w:rsid w:val="00E24071"/>
    <w:rsid w:val="00E24142"/>
    <w:rsid w:val="00E24DCA"/>
    <w:rsid w:val="00E24EBC"/>
    <w:rsid w:val="00E2522C"/>
    <w:rsid w:val="00E2552F"/>
    <w:rsid w:val="00E2599B"/>
    <w:rsid w:val="00E26DE3"/>
    <w:rsid w:val="00E2710C"/>
    <w:rsid w:val="00E272BD"/>
    <w:rsid w:val="00E27428"/>
    <w:rsid w:val="00E305B4"/>
    <w:rsid w:val="00E31AFA"/>
    <w:rsid w:val="00E31CB7"/>
    <w:rsid w:val="00E324EE"/>
    <w:rsid w:val="00E3367B"/>
    <w:rsid w:val="00E34DB1"/>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1E0"/>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5D4"/>
    <w:rsid w:val="00E818FD"/>
    <w:rsid w:val="00E819BA"/>
    <w:rsid w:val="00E8291B"/>
    <w:rsid w:val="00E82E70"/>
    <w:rsid w:val="00E82F92"/>
    <w:rsid w:val="00E8301C"/>
    <w:rsid w:val="00E8395F"/>
    <w:rsid w:val="00E83ECB"/>
    <w:rsid w:val="00E8410F"/>
    <w:rsid w:val="00E849D7"/>
    <w:rsid w:val="00E85E41"/>
    <w:rsid w:val="00E85EA1"/>
    <w:rsid w:val="00E86703"/>
    <w:rsid w:val="00E86C01"/>
    <w:rsid w:val="00E900DA"/>
    <w:rsid w:val="00E90DDE"/>
    <w:rsid w:val="00E91044"/>
    <w:rsid w:val="00E910D3"/>
    <w:rsid w:val="00E91CBA"/>
    <w:rsid w:val="00E92097"/>
    <w:rsid w:val="00E92154"/>
    <w:rsid w:val="00E923CF"/>
    <w:rsid w:val="00E92B8F"/>
    <w:rsid w:val="00E93685"/>
    <w:rsid w:val="00E93B65"/>
    <w:rsid w:val="00E93C8C"/>
    <w:rsid w:val="00E95111"/>
    <w:rsid w:val="00E95FDF"/>
    <w:rsid w:val="00E960AD"/>
    <w:rsid w:val="00E9677F"/>
    <w:rsid w:val="00E96898"/>
    <w:rsid w:val="00E97043"/>
    <w:rsid w:val="00EA0185"/>
    <w:rsid w:val="00EA14C8"/>
    <w:rsid w:val="00EA1F20"/>
    <w:rsid w:val="00EA2110"/>
    <w:rsid w:val="00EA24AF"/>
    <w:rsid w:val="00EA283A"/>
    <w:rsid w:val="00EA2C90"/>
    <w:rsid w:val="00EA2E07"/>
    <w:rsid w:val="00EA383B"/>
    <w:rsid w:val="00EA44ED"/>
    <w:rsid w:val="00EA48F3"/>
    <w:rsid w:val="00EA4D46"/>
    <w:rsid w:val="00EA60BF"/>
    <w:rsid w:val="00EA7365"/>
    <w:rsid w:val="00EA763F"/>
    <w:rsid w:val="00EA77E9"/>
    <w:rsid w:val="00EB05D0"/>
    <w:rsid w:val="00EB1151"/>
    <w:rsid w:val="00EB14C4"/>
    <w:rsid w:val="00EB1D49"/>
    <w:rsid w:val="00EB23D9"/>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D99"/>
    <w:rsid w:val="00EC5F1C"/>
    <w:rsid w:val="00EC6359"/>
    <w:rsid w:val="00EC7AEB"/>
    <w:rsid w:val="00ED0365"/>
    <w:rsid w:val="00ED0512"/>
    <w:rsid w:val="00ED0865"/>
    <w:rsid w:val="00ED0C1C"/>
    <w:rsid w:val="00ED1C60"/>
    <w:rsid w:val="00ED2EB9"/>
    <w:rsid w:val="00ED3722"/>
    <w:rsid w:val="00ED3A31"/>
    <w:rsid w:val="00ED4469"/>
    <w:rsid w:val="00ED5424"/>
    <w:rsid w:val="00ED5F23"/>
    <w:rsid w:val="00ED6DC0"/>
    <w:rsid w:val="00ED7A7A"/>
    <w:rsid w:val="00EE0327"/>
    <w:rsid w:val="00EE038C"/>
    <w:rsid w:val="00EE105A"/>
    <w:rsid w:val="00EE1D00"/>
    <w:rsid w:val="00EE259E"/>
    <w:rsid w:val="00EE25C8"/>
    <w:rsid w:val="00EE28C5"/>
    <w:rsid w:val="00EE2F09"/>
    <w:rsid w:val="00EE47C5"/>
    <w:rsid w:val="00EE490C"/>
    <w:rsid w:val="00EE4E57"/>
    <w:rsid w:val="00EE5738"/>
    <w:rsid w:val="00EE58BD"/>
    <w:rsid w:val="00EE5DDB"/>
    <w:rsid w:val="00EE5E59"/>
    <w:rsid w:val="00EE73D0"/>
    <w:rsid w:val="00EE7CB0"/>
    <w:rsid w:val="00EE7CD1"/>
    <w:rsid w:val="00EF08A8"/>
    <w:rsid w:val="00EF167B"/>
    <w:rsid w:val="00EF1B4A"/>
    <w:rsid w:val="00EF1C90"/>
    <w:rsid w:val="00EF2496"/>
    <w:rsid w:val="00EF41A8"/>
    <w:rsid w:val="00EF44FB"/>
    <w:rsid w:val="00EF5122"/>
    <w:rsid w:val="00EF5554"/>
    <w:rsid w:val="00EF5AD8"/>
    <w:rsid w:val="00EF6B90"/>
    <w:rsid w:val="00EF70C9"/>
    <w:rsid w:val="00EF741E"/>
    <w:rsid w:val="00EF7807"/>
    <w:rsid w:val="00EF79F7"/>
    <w:rsid w:val="00F006C0"/>
    <w:rsid w:val="00F0125F"/>
    <w:rsid w:val="00F015C3"/>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580"/>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92B"/>
    <w:rsid w:val="00F30B83"/>
    <w:rsid w:val="00F30BDB"/>
    <w:rsid w:val="00F30CF8"/>
    <w:rsid w:val="00F31402"/>
    <w:rsid w:val="00F31EDF"/>
    <w:rsid w:val="00F31F89"/>
    <w:rsid w:val="00F32507"/>
    <w:rsid w:val="00F32CDE"/>
    <w:rsid w:val="00F32D4C"/>
    <w:rsid w:val="00F3327E"/>
    <w:rsid w:val="00F338C3"/>
    <w:rsid w:val="00F34B14"/>
    <w:rsid w:val="00F34CF1"/>
    <w:rsid w:val="00F34E35"/>
    <w:rsid w:val="00F34F58"/>
    <w:rsid w:val="00F3572F"/>
    <w:rsid w:val="00F35DA7"/>
    <w:rsid w:val="00F36A6A"/>
    <w:rsid w:val="00F40101"/>
    <w:rsid w:val="00F404F7"/>
    <w:rsid w:val="00F40CCA"/>
    <w:rsid w:val="00F41E02"/>
    <w:rsid w:val="00F426DF"/>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0"/>
    <w:rsid w:val="00F53B81"/>
    <w:rsid w:val="00F53C15"/>
    <w:rsid w:val="00F540FE"/>
    <w:rsid w:val="00F5459A"/>
    <w:rsid w:val="00F556FF"/>
    <w:rsid w:val="00F559D0"/>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3B38"/>
    <w:rsid w:val="00F64047"/>
    <w:rsid w:val="00F64BF0"/>
    <w:rsid w:val="00F65171"/>
    <w:rsid w:val="00F6533A"/>
    <w:rsid w:val="00F6560D"/>
    <w:rsid w:val="00F669BD"/>
    <w:rsid w:val="00F67844"/>
    <w:rsid w:val="00F67B09"/>
    <w:rsid w:val="00F705F6"/>
    <w:rsid w:val="00F70795"/>
    <w:rsid w:val="00F70799"/>
    <w:rsid w:val="00F70A8B"/>
    <w:rsid w:val="00F70B22"/>
    <w:rsid w:val="00F70B8D"/>
    <w:rsid w:val="00F71875"/>
    <w:rsid w:val="00F71936"/>
    <w:rsid w:val="00F71F81"/>
    <w:rsid w:val="00F724FB"/>
    <w:rsid w:val="00F726B8"/>
    <w:rsid w:val="00F72A26"/>
    <w:rsid w:val="00F733C3"/>
    <w:rsid w:val="00F73D5B"/>
    <w:rsid w:val="00F73E15"/>
    <w:rsid w:val="00F746A1"/>
    <w:rsid w:val="00F74820"/>
    <w:rsid w:val="00F7506D"/>
    <w:rsid w:val="00F755DD"/>
    <w:rsid w:val="00F756DD"/>
    <w:rsid w:val="00F77F4E"/>
    <w:rsid w:val="00F80047"/>
    <w:rsid w:val="00F800C7"/>
    <w:rsid w:val="00F80361"/>
    <w:rsid w:val="00F80AE2"/>
    <w:rsid w:val="00F8104D"/>
    <w:rsid w:val="00F8153F"/>
    <w:rsid w:val="00F81587"/>
    <w:rsid w:val="00F81B2A"/>
    <w:rsid w:val="00F81C12"/>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7F3"/>
    <w:rsid w:val="00F97A7F"/>
    <w:rsid w:val="00F97CD0"/>
    <w:rsid w:val="00F97D7A"/>
    <w:rsid w:val="00FA0889"/>
    <w:rsid w:val="00FA16E7"/>
    <w:rsid w:val="00FA1F66"/>
    <w:rsid w:val="00FA2DA3"/>
    <w:rsid w:val="00FA31C7"/>
    <w:rsid w:val="00FA4247"/>
    <w:rsid w:val="00FA472D"/>
    <w:rsid w:val="00FA5A92"/>
    <w:rsid w:val="00FA681F"/>
    <w:rsid w:val="00FB0261"/>
    <w:rsid w:val="00FB0CBF"/>
    <w:rsid w:val="00FB18F6"/>
    <w:rsid w:val="00FB2A52"/>
    <w:rsid w:val="00FB358B"/>
    <w:rsid w:val="00FB3961"/>
    <w:rsid w:val="00FB39E0"/>
    <w:rsid w:val="00FB3F92"/>
    <w:rsid w:val="00FB514A"/>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63"/>
    <w:rsid w:val="00FC4B88"/>
    <w:rsid w:val="00FC4BB8"/>
    <w:rsid w:val="00FC5148"/>
    <w:rsid w:val="00FC6524"/>
    <w:rsid w:val="00FC6B58"/>
    <w:rsid w:val="00FC711D"/>
    <w:rsid w:val="00FC75AC"/>
    <w:rsid w:val="00FC7984"/>
    <w:rsid w:val="00FD01BF"/>
    <w:rsid w:val="00FD0525"/>
    <w:rsid w:val="00FD0AB7"/>
    <w:rsid w:val="00FD292C"/>
    <w:rsid w:val="00FD297D"/>
    <w:rsid w:val="00FD2D13"/>
    <w:rsid w:val="00FD374D"/>
    <w:rsid w:val="00FD4D2A"/>
    <w:rsid w:val="00FD6071"/>
    <w:rsid w:val="00FD633B"/>
    <w:rsid w:val="00FD66ED"/>
    <w:rsid w:val="00FD6ABA"/>
    <w:rsid w:val="00FE0794"/>
    <w:rsid w:val="00FE1041"/>
    <w:rsid w:val="00FE1614"/>
    <w:rsid w:val="00FE24CB"/>
    <w:rsid w:val="00FE323F"/>
    <w:rsid w:val="00FE3473"/>
    <w:rsid w:val="00FE4049"/>
    <w:rsid w:val="00FE4794"/>
    <w:rsid w:val="00FE480F"/>
    <w:rsid w:val="00FE4998"/>
    <w:rsid w:val="00FE5382"/>
    <w:rsid w:val="00FE57DE"/>
    <w:rsid w:val="00FE719F"/>
    <w:rsid w:val="00FE7A68"/>
    <w:rsid w:val="00FE7F0A"/>
    <w:rsid w:val="00FF0231"/>
    <w:rsid w:val="00FF056D"/>
    <w:rsid w:val="00FF1C9B"/>
    <w:rsid w:val="00FF1D49"/>
    <w:rsid w:val="00FF203B"/>
    <w:rsid w:val="00FF2562"/>
    <w:rsid w:val="00FF3A41"/>
    <w:rsid w:val="00FF3E5B"/>
    <w:rsid w:val="00FF5183"/>
    <w:rsid w:val="00FF57E4"/>
    <w:rsid w:val="00FF5E26"/>
    <w:rsid w:val="00FF5ECD"/>
    <w:rsid w:val="00FF78E5"/>
    <w:rsid w:val="012C5FAF"/>
    <w:rsid w:val="01AF3D99"/>
    <w:rsid w:val="023C6B98"/>
    <w:rsid w:val="02511F9D"/>
    <w:rsid w:val="03196F07"/>
    <w:rsid w:val="03A314B8"/>
    <w:rsid w:val="03D82B98"/>
    <w:rsid w:val="03F83E8B"/>
    <w:rsid w:val="051D4DF6"/>
    <w:rsid w:val="05B746C1"/>
    <w:rsid w:val="05C56868"/>
    <w:rsid w:val="064A74A1"/>
    <w:rsid w:val="06DE522B"/>
    <w:rsid w:val="07A539BD"/>
    <w:rsid w:val="07B72767"/>
    <w:rsid w:val="07F36ECC"/>
    <w:rsid w:val="08077E72"/>
    <w:rsid w:val="08210B42"/>
    <w:rsid w:val="08366CCC"/>
    <w:rsid w:val="083779AA"/>
    <w:rsid w:val="08882DD0"/>
    <w:rsid w:val="09CC2AAC"/>
    <w:rsid w:val="0A652D3E"/>
    <w:rsid w:val="0AD01414"/>
    <w:rsid w:val="0B0D3D27"/>
    <w:rsid w:val="0B1A1875"/>
    <w:rsid w:val="0B326F2A"/>
    <w:rsid w:val="0BAB4DCA"/>
    <w:rsid w:val="0C1E2888"/>
    <w:rsid w:val="0C92213C"/>
    <w:rsid w:val="0CC2027E"/>
    <w:rsid w:val="0D84032B"/>
    <w:rsid w:val="0E5D552D"/>
    <w:rsid w:val="0F2A74C4"/>
    <w:rsid w:val="0F543258"/>
    <w:rsid w:val="10A27F31"/>
    <w:rsid w:val="10BF78A7"/>
    <w:rsid w:val="10CB68EA"/>
    <w:rsid w:val="11025F54"/>
    <w:rsid w:val="1124358D"/>
    <w:rsid w:val="11927058"/>
    <w:rsid w:val="11DF30C9"/>
    <w:rsid w:val="11E521C2"/>
    <w:rsid w:val="11EC7C2A"/>
    <w:rsid w:val="120E171E"/>
    <w:rsid w:val="124F1891"/>
    <w:rsid w:val="132A4818"/>
    <w:rsid w:val="136400DA"/>
    <w:rsid w:val="13AF4F03"/>
    <w:rsid w:val="14226E0F"/>
    <w:rsid w:val="14736E66"/>
    <w:rsid w:val="14772ABA"/>
    <w:rsid w:val="147F458F"/>
    <w:rsid w:val="1534169A"/>
    <w:rsid w:val="158D298E"/>
    <w:rsid w:val="15C03E03"/>
    <w:rsid w:val="162A25EB"/>
    <w:rsid w:val="16735895"/>
    <w:rsid w:val="169C5A2D"/>
    <w:rsid w:val="16FD2A55"/>
    <w:rsid w:val="17067C1A"/>
    <w:rsid w:val="171D6D41"/>
    <w:rsid w:val="17237D85"/>
    <w:rsid w:val="173619DD"/>
    <w:rsid w:val="17366761"/>
    <w:rsid w:val="177C01F0"/>
    <w:rsid w:val="179E3EFA"/>
    <w:rsid w:val="17CE6630"/>
    <w:rsid w:val="183A374F"/>
    <w:rsid w:val="18DF395D"/>
    <w:rsid w:val="195B5909"/>
    <w:rsid w:val="19AF3CC9"/>
    <w:rsid w:val="19EC54DE"/>
    <w:rsid w:val="1A8609DE"/>
    <w:rsid w:val="1AFF0AFE"/>
    <w:rsid w:val="1B4F19F8"/>
    <w:rsid w:val="1C00372E"/>
    <w:rsid w:val="1CFD4D4B"/>
    <w:rsid w:val="1E344D84"/>
    <w:rsid w:val="1E8B59DD"/>
    <w:rsid w:val="1ECC44FA"/>
    <w:rsid w:val="1F063325"/>
    <w:rsid w:val="1FA17E7A"/>
    <w:rsid w:val="1FA85823"/>
    <w:rsid w:val="1FBC5DF5"/>
    <w:rsid w:val="1FF90588"/>
    <w:rsid w:val="20C3623F"/>
    <w:rsid w:val="21472A39"/>
    <w:rsid w:val="2175439B"/>
    <w:rsid w:val="21781212"/>
    <w:rsid w:val="21B83F86"/>
    <w:rsid w:val="220F60C2"/>
    <w:rsid w:val="221178A8"/>
    <w:rsid w:val="221213CF"/>
    <w:rsid w:val="221B2F87"/>
    <w:rsid w:val="22327A92"/>
    <w:rsid w:val="22EF5136"/>
    <w:rsid w:val="231D53A2"/>
    <w:rsid w:val="236D5383"/>
    <w:rsid w:val="23B7504C"/>
    <w:rsid w:val="23F24AF0"/>
    <w:rsid w:val="24571307"/>
    <w:rsid w:val="24EE1B49"/>
    <w:rsid w:val="25110A2A"/>
    <w:rsid w:val="256C0944"/>
    <w:rsid w:val="26446DE3"/>
    <w:rsid w:val="26633DF5"/>
    <w:rsid w:val="26877DFE"/>
    <w:rsid w:val="269669E7"/>
    <w:rsid w:val="26A270C1"/>
    <w:rsid w:val="26D7699F"/>
    <w:rsid w:val="29D75F7F"/>
    <w:rsid w:val="2A6578AF"/>
    <w:rsid w:val="2AAB60C9"/>
    <w:rsid w:val="2AE3161D"/>
    <w:rsid w:val="2B774624"/>
    <w:rsid w:val="2B8B16FB"/>
    <w:rsid w:val="2C7A72BE"/>
    <w:rsid w:val="2C9A7D75"/>
    <w:rsid w:val="2CC17412"/>
    <w:rsid w:val="2D1F4F9A"/>
    <w:rsid w:val="2D3734B1"/>
    <w:rsid w:val="2D7C1E99"/>
    <w:rsid w:val="2DE15A8F"/>
    <w:rsid w:val="2E9976CE"/>
    <w:rsid w:val="2EF01DEE"/>
    <w:rsid w:val="2F067A90"/>
    <w:rsid w:val="2F401D3C"/>
    <w:rsid w:val="2F5B24E1"/>
    <w:rsid w:val="2F713AA3"/>
    <w:rsid w:val="2FA95C88"/>
    <w:rsid w:val="2FF3270A"/>
    <w:rsid w:val="2FFD448D"/>
    <w:rsid w:val="3041370F"/>
    <w:rsid w:val="30B87FED"/>
    <w:rsid w:val="310E4C4E"/>
    <w:rsid w:val="312B50A3"/>
    <w:rsid w:val="317C1D74"/>
    <w:rsid w:val="31894FD2"/>
    <w:rsid w:val="31A22F1A"/>
    <w:rsid w:val="31FC246E"/>
    <w:rsid w:val="321E627C"/>
    <w:rsid w:val="32453A27"/>
    <w:rsid w:val="3263064A"/>
    <w:rsid w:val="32A43132"/>
    <w:rsid w:val="32AC0C06"/>
    <w:rsid w:val="33344EF5"/>
    <w:rsid w:val="333B4564"/>
    <w:rsid w:val="33A62C05"/>
    <w:rsid w:val="3537750C"/>
    <w:rsid w:val="3537798C"/>
    <w:rsid w:val="356E5FA0"/>
    <w:rsid w:val="35C13FC9"/>
    <w:rsid w:val="36372B05"/>
    <w:rsid w:val="363870C8"/>
    <w:rsid w:val="364257B6"/>
    <w:rsid w:val="374675C3"/>
    <w:rsid w:val="37EA5922"/>
    <w:rsid w:val="38276B93"/>
    <w:rsid w:val="382E58B8"/>
    <w:rsid w:val="38A67446"/>
    <w:rsid w:val="38AC3431"/>
    <w:rsid w:val="392F2E16"/>
    <w:rsid w:val="39616936"/>
    <w:rsid w:val="39AA5389"/>
    <w:rsid w:val="39E00529"/>
    <w:rsid w:val="3A0B64A7"/>
    <w:rsid w:val="3A574DDA"/>
    <w:rsid w:val="3AD3075A"/>
    <w:rsid w:val="3AF74C02"/>
    <w:rsid w:val="3B005CDB"/>
    <w:rsid w:val="3C0059A5"/>
    <w:rsid w:val="3C134E78"/>
    <w:rsid w:val="3DF6345D"/>
    <w:rsid w:val="3E263CAA"/>
    <w:rsid w:val="3E2B5515"/>
    <w:rsid w:val="3E4D4F28"/>
    <w:rsid w:val="3ED92EC4"/>
    <w:rsid w:val="3EE13701"/>
    <w:rsid w:val="3F1A4BB3"/>
    <w:rsid w:val="40192BA6"/>
    <w:rsid w:val="41766EA9"/>
    <w:rsid w:val="42550A18"/>
    <w:rsid w:val="429D496A"/>
    <w:rsid w:val="42C92291"/>
    <w:rsid w:val="42DE0CD7"/>
    <w:rsid w:val="42F473A1"/>
    <w:rsid w:val="435026E1"/>
    <w:rsid w:val="437217EA"/>
    <w:rsid w:val="43AB7156"/>
    <w:rsid w:val="44005A95"/>
    <w:rsid w:val="441E62C0"/>
    <w:rsid w:val="44B12A00"/>
    <w:rsid w:val="45325D14"/>
    <w:rsid w:val="45811C7C"/>
    <w:rsid w:val="45906116"/>
    <w:rsid w:val="45931B8C"/>
    <w:rsid w:val="45EF2552"/>
    <w:rsid w:val="461F19B0"/>
    <w:rsid w:val="46304F0D"/>
    <w:rsid w:val="464E1FF0"/>
    <w:rsid w:val="468B3EFB"/>
    <w:rsid w:val="470A6193"/>
    <w:rsid w:val="47385210"/>
    <w:rsid w:val="475510F8"/>
    <w:rsid w:val="47705F96"/>
    <w:rsid w:val="47DC4F5C"/>
    <w:rsid w:val="47E97B0A"/>
    <w:rsid w:val="480E7DFB"/>
    <w:rsid w:val="48B40671"/>
    <w:rsid w:val="48ED0A67"/>
    <w:rsid w:val="497B57A5"/>
    <w:rsid w:val="499B5738"/>
    <w:rsid w:val="499F244D"/>
    <w:rsid w:val="4A1762AC"/>
    <w:rsid w:val="4A5451F5"/>
    <w:rsid w:val="4A562B8A"/>
    <w:rsid w:val="4A790F65"/>
    <w:rsid w:val="4A973F3F"/>
    <w:rsid w:val="4AEC1718"/>
    <w:rsid w:val="4AF96BC7"/>
    <w:rsid w:val="4B862A85"/>
    <w:rsid w:val="4C26756B"/>
    <w:rsid w:val="4CEF36E2"/>
    <w:rsid w:val="4CEF4DC5"/>
    <w:rsid w:val="4CF17B79"/>
    <w:rsid w:val="4D9D04D1"/>
    <w:rsid w:val="4E257655"/>
    <w:rsid w:val="4E37780E"/>
    <w:rsid w:val="4E3F5375"/>
    <w:rsid w:val="4E5E08A8"/>
    <w:rsid w:val="4EB96BF0"/>
    <w:rsid w:val="4EDF67F3"/>
    <w:rsid w:val="4F372380"/>
    <w:rsid w:val="4F372FFB"/>
    <w:rsid w:val="4FBB7FCB"/>
    <w:rsid w:val="5025116D"/>
    <w:rsid w:val="50AF0962"/>
    <w:rsid w:val="52366FF4"/>
    <w:rsid w:val="52395ECD"/>
    <w:rsid w:val="524E1FDD"/>
    <w:rsid w:val="526967B0"/>
    <w:rsid w:val="52C10D75"/>
    <w:rsid w:val="53120639"/>
    <w:rsid w:val="53180D8E"/>
    <w:rsid w:val="53206AC2"/>
    <w:rsid w:val="53C27FF8"/>
    <w:rsid w:val="546649A9"/>
    <w:rsid w:val="54806794"/>
    <w:rsid w:val="549E1A80"/>
    <w:rsid w:val="54C658F4"/>
    <w:rsid w:val="550C4BD7"/>
    <w:rsid w:val="554C1D56"/>
    <w:rsid w:val="55572986"/>
    <w:rsid w:val="55713CC5"/>
    <w:rsid w:val="565340FA"/>
    <w:rsid w:val="56AD5F59"/>
    <w:rsid w:val="56C60774"/>
    <w:rsid w:val="570F30D6"/>
    <w:rsid w:val="575743D3"/>
    <w:rsid w:val="57B12A52"/>
    <w:rsid w:val="57F73ACE"/>
    <w:rsid w:val="581F559B"/>
    <w:rsid w:val="59717D34"/>
    <w:rsid w:val="5A2F2CC8"/>
    <w:rsid w:val="5A896D0D"/>
    <w:rsid w:val="5AAD1236"/>
    <w:rsid w:val="5AAD452A"/>
    <w:rsid w:val="5C10702D"/>
    <w:rsid w:val="5C152601"/>
    <w:rsid w:val="5C2C0289"/>
    <w:rsid w:val="5C591F03"/>
    <w:rsid w:val="5C700ABB"/>
    <w:rsid w:val="5C7A36E7"/>
    <w:rsid w:val="5C8A1B2F"/>
    <w:rsid w:val="5CEA3971"/>
    <w:rsid w:val="5F561B72"/>
    <w:rsid w:val="5FC636C6"/>
    <w:rsid w:val="606007BB"/>
    <w:rsid w:val="60AC7F66"/>
    <w:rsid w:val="60ED7BB7"/>
    <w:rsid w:val="61093031"/>
    <w:rsid w:val="6133763A"/>
    <w:rsid w:val="61BF10D9"/>
    <w:rsid w:val="6252656D"/>
    <w:rsid w:val="62AC22DC"/>
    <w:rsid w:val="63A22BFD"/>
    <w:rsid w:val="641C0CF8"/>
    <w:rsid w:val="643D5B55"/>
    <w:rsid w:val="64E45EF7"/>
    <w:rsid w:val="65D8322D"/>
    <w:rsid w:val="6615622F"/>
    <w:rsid w:val="66803B32"/>
    <w:rsid w:val="6691014E"/>
    <w:rsid w:val="66B20530"/>
    <w:rsid w:val="66B73205"/>
    <w:rsid w:val="66C87CCE"/>
    <w:rsid w:val="66E04A8F"/>
    <w:rsid w:val="677435B2"/>
    <w:rsid w:val="679F04A6"/>
    <w:rsid w:val="67EF75F1"/>
    <w:rsid w:val="684F4F11"/>
    <w:rsid w:val="6870620A"/>
    <w:rsid w:val="69124F16"/>
    <w:rsid w:val="69CD5C14"/>
    <w:rsid w:val="69CF0D33"/>
    <w:rsid w:val="6A8D2838"/>
    <w:rsid w:val="6B054AC4"/>
    <w:rsid w:val="6B2F5404"/>
    <w:rsid w:val="6B9946B3"/>
    <w:rsid w:val="6BA31A0F"/>
    <w:rsid w:val="6BE518DA"/>
    <w:rsid w:val="6C276F3A"/>
    <w:rsid w:val="6C7007C7"/>
    <w:rsid w:val="6C7F2654"/>
    <w:rsid w:val="6C7F5173"/>
    <w:rsid w:val="6CB319F4"/>
    <w:rsid w:val="6CCD793D"/>
    <w:rsid w:val="6D0E3A5D"/>
    <w:rsid w:val="6D3B0FD5"/>
    <w:rsid w:val="6D4D4500"/>
    <w:rsid w:val="6D6535F8"/>
    <w:rsid w:val="6DE76850"/>
    <w:rsid w:val="6E2D5464"/>
    <w:rsid w:val="6F5953DE"/>
    <w:rsid w:val="6F9B1741"/>
    <w:rsid w:val="6FB20BD4"/>
    <w:rsid w:val="6FBA59BE"/>
    <w:rsid w:val="6FD43281"/>
    <w:rsid w:val="70296B3E"/>
    <w:rsid w:val="70611204"/>
    <w:rsid w:val="714626AA"/>
    <w:rsid w:val="7165620F"/>
    <w:rsid w:val="717039F8"/>
    <w:rsid w:val="71804EA4"/>
    <w:rsid w:val="71A3596C"/>
    <w:rsid w:val="72042A33"/>
    <w:rsid w:val="72273572"/>
    <w:rsid w:val="74D13AD5"/>
    <w:rsid w:val="74FA2C30"/>
    <w:rsid w:val="750741FE"/>
    <w:rsid w:val="7548701C"/>
    <w:rsid w:val="754D5C4B"/>
    <w:rsid w:val="76C240A7"/>
    <w:rsid w:val="76DA416A"/>
    <w:rsid w:val="775246B7"/>
    <w:rsid w:val="77CB36FE"/>
    <w:rsid w:val="781E69D1"/>
    <w:rsid w:val="787A3ED4"/>
    <w:rsid w:val="7901747F"/>
    <w:rsid w:val="79242641"/>
    <w:rsid w:val="7A1F7224"/>
    <w:rsid w:val="7A263B6B"/>
    <w:rsid w:val="7A391ED7"/>
    <w:rsid w:val="7A732487"/>
    <w:rsid w:val="7AF46346"/>
    <w:rsid w:val="7B0F5EBF"/>
    <w:rsid w:val="7B130FB9"/>
    <w:rsid w:val="7BD11077"/>
    <w:rsid w:val="7BD71E38"/>
    <w:rsid w:val="7BF64EDE"/>
    <w:rsid w:val="7C400C1E"/>
    <w:rsid w:val="7C547659"/>
    <w:rsid w:val="7CF46C4C"/>
    <w:rsid w:val="7D4D0DF3"/>
    <w:rsid w:val="7DD11708"/>
    <w:rsid w:val="7DEA6766"/>
    <w:rsid w:val="7DEE4A4F"/>
    <w:rsid w:val="7E2A1DA8"/>
    <w:rsid w:val="7E933D3D"/>
    <w:rsid w:val="7EAE6230"/>
    <w:rsid w:val="7EBD579E"/>
    <w:rsid w:val="7EC167BD"/>
    <w:rsid w:val="7F080FDB"/>
    <w:rsid w:val="7F272D9E"/>
    <w:rsid w:val="7FA93818"/>
    <w:rsid w:val="7FB16B71"/>
    <w:rsid w:val="7FB8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99"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3"/>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329"/>
    <w:qFormat/>
    <w:uiPriority w:val="0"/>
    <w:pPr>
      <w:keepNext/>
      <w:keepLines/>
      <w:spacing w:before="260" w:after="260" w:line="416" w:lineRule="auto"/>
      <w:outlineLvl w:val="2"/>
    </w:pPr>
    <w:rPr>
      <w:b/>
      <w:bCs/>
      <w:sz w:val="32"/>
      <w:szCs w:val="32"/>
    </w:rPr>
  </w:style>
  <w:style w:type="paragraph" w:styleId="6">
    <w:name w:val="heading 4"/>
    <w:basedOn w:val="1"/>
    <w:next w:val="1"/>
    <w:link w:val="161"/>
    <w:qFormat/>
    <w:uiPriority w:val="0"/>
    <w:pPr>
      <w:keepNext/>
      <w:keepLines/>
      <w:spacing w:line="360" w:lineRule="auto"/>
      <w:outlineLvl w:val="3"/>
    </w:pPr>
    <w:rPr>
      <w:rFonts w:ascii="Arial" w:hAnsi="Arial"/>
      <w:b/>
      <w:bCs/>
      <w:sz w:val="28"/>
      <w:szCs w:val="28"/>
    </w:rPr>
  </w:style>
  <w:style w:type="paragraph" w:styleId="7">
    <w:name w:val="heading 5"/>
    <w:basedOn w:val="1"/>
    <w:next w:val="8"/>
    <w:link w:val="149"/>
    <w:qFormat/>
    <w:uiPriority w:val="99"/>
    <w:pPr>
      <w:keepNext/>
      <w:keepLines/>
      <w:spacing w:before="280" w:after="290" w:line="376" w:lineRule="auto"/>
      <w:outlineLvl w:val="4"/>
    </w:pPr>
    <w:rPr>
      <w:b/>
      <w:bCs/>
      <w:sz w:val="28"/>
      <w:szCs w:val="28"/>
    </w:rPr>
  </w:style>
  <w:style w:type="paragraph" w:styleId="9">
    <w:name w:val="heading 6"/>
    <w:basedOn w:val="1"/>
    <w:next w:val="1"/>
    <w:link w:val="189"/>
    <w:qFormat/>
    <w:uiPriority w:val="0"/>
    <w:pPr>
      <w:keepNext/>
      <w:keepLines/>
      <w:spacing w:before="240" w:after="64" w:line="317" w:lineRule="auto"/>
      <w:outlineLvl w:val="5"/>
    </w:pPr>
    <w:rPr>
      <w:rFonts w:ascii="Cambria" w:hAnsi="Cambria"/>
      <w:b/>
      <w:bCs/>
      <w:kern w:val="0"/>
      <w:sz w:val="24"/>
    </w:rPr>
  </w:style>
  <w:style w:type="paragraph" w:styleId="10">
    <w:name w:val="heading 7"/>
    <w:basedOn w:val="1"/>
    <w:next w:val="1"/>
    <w:link w:val="129"/>
    <w:qFormat/>
    <w:uiPriority w:val="0"/>
    <w:pPr>
      <w:keepNext/>
      <w:keepLines/>
      <w:spacing w:before="240" w:after="64" w:line="317" w:lineRule="auto"/>
      <w:outlineLvl w:val="6"/>
    </w:pPr>
    <w:rPr>
      <w:b/>
      <w:bCs/>
      <w:kern w:val="0"/>
      <w:sz w:val="24"/>
    </w:rPr>
  </w:style>
  <w:style w:type="paragraph" w:styleId="11">
    <w:name w:val="heading 8"/>
    <w:basedOn w:val="1"/>
    <w:next w:val="1"/>
    <w:link w:val="181"/>
    <w:qFormat/>
    <w:uiPriority w:val="9"/>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194"/>
    <w:qFormat/>
    <w:uiPriority w:val="0"/>
    <w:pPr>
      <w:keepNext/>
      <w:keepLines/>
      <w:spacing w:before="240" w:after="64" w:line="317" w:lineRule="auto"/>
      <w:outlineLvl w:val="8"/>
    </w:pPr>
    <w:rPr>
      <w:rFonts w:ascii="Cambria" w:hAnsi="Cambria"/>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3"/>
    <w:unhideWhenUsed/>
    <w:qFormat/>
    <w:uiPriority w:val="0"/>
    <w:pPr>
      <w:spacing w:after="120"/>
    </w:pPr>
  </w:style>
  <w:style w:type="paragraph" w:styleId="8">
    <w:name w:val="Normal Indent"/>
    <w:basedOn w:val="1"/>
    <w:link w:val="88"/>
    <w:qFormat/>
    <w:uiPriority w:val="0"/>
    <w:pPr>
      <w:ind w:firstLine="420"/>
    </w:pPr>
    <w:rPr>
      <w:szCs w:val="20"/>
    </w:rPr>
  </w:style>
  <w:style w:type="paragraph" w:styleId="13">
    <w:name w:val="toc 7"/>
    <w:basedOn w:val="1"/>
    <w:next w:val="1"/>
    <w:qFormat/>
    <w:uiPriority w:val="0"/>
    <w:pPr>
      <w:ind w:left="2520" w:leftChars="1200"/>
    </w:pPr>
    <w:rPr>
      <w:rFonts w:ascii="Calibri" w:hAnsi="Calibri" w:cs="Calibri"/>
      <w:szCs w:val="21"/>
    </w:rPr>
  </w:style>
  <w:style w:type="paragraph" w:styleId="14">
    <w:name w:val="index 8"/>
    <w:basedOn w:val="1"/>
    <w:next w:val="1"/>
    <w:qFormat/>
    <w:uiPriority w:val="0"/>
    <w:pPr>
      <w:spacing w:line="400" w:lineRule="exact"/>
      <w:ind w:left="2940" w:firstLine="1044" w:firstLineChars="200"/>
      <w:jc w:val="left"/>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217"/>
    <w:qFormat/>
    <w:uiPriority w:val="0"/>
    <w:pPr>
      <w:shd w:val="clear" w:color="auto" w:fill="000080"/>
    </w:pPr>
    <w:rPr>
      <w:sz w:val="24"/>
      <w:shd w:val="clear" w:color="auto" w:fill="000080"/>
    </w:rPr>
  </w:style>
  <w:style w:type="paragraph" w:styleId="18">
    <w:name w:val="annotation text"/>
    <w:basedOn w:val="1"/>
    <w:link w:val="69"/>
    <w:qFormat/>
    <w:uiPriority w:val="99"/>
    <w:pPr>
      <w:jc w:val="left"/>
    </w:pPr>
  </w:style>
  <w:style w:type="paragraph" w:styleId="19">
    <w:name w:val="Body Text 3"/>
    <w:basedOn w:val="1"/>
    <w:link w:val="172"/>
    <w:unhideWhenUsed/>
    <w:qFormat/>
    <w:uiPriority w:val="0"/>
    <w:pPr>
      <w:spacing w:after="120"/>
    </w:pPr>
    <w:rPr>
      <w:sz w:val="16"/>
      <w:szCs w:val="16"/>
    </w:rPr>
  </w:style>
  <w:style w:type="paragraph" w:styleId="20">
    <w:name w:val="Body Text Indent"/>
    <w:basedOn w:val="1"/>
    <w:next w:val="21"/>
    <w:link w:val="195"/>
    <w:qFormat/>
    <w:uiPriority w:val="0"/>
    <w:pPr>
      <w:ind w:firstLine="830" w:firstLineChars="352"/>
    </w:pPr>
    <w:rPr>
      <w:rFonts w:ascii="仿宋_GB2312" w:eastAsia="仿宋_GB2312"/>
      <w:kern w:val="0"/>
      <w:sz w:val="32"/>
      <w:szCs w:val="20"/>
    </w:rPr>
  </w:style>
  <w:style w:type="paragraph" w:styleId="21">
    <w:name w:val="envelope return"/>
    <w:basedOn w:val="1"/>
    <w:qFormat/>
    <w:uiPriority w:val="0"/>
    <w:pPr>
      <w:snapToGrid w:val="0"/>
    </w:pPr>
    <w:rPr>
      <w:rFonts w:ascii="Arial" w:hAnsi="Arial" w:cs="Arial"/>
    </w:rPr>
  </w:style>
  <w:style w:type="paragraph" w:styleId="22">
    <w:name w:val="List 2"/>
    <w:basedOn w:val="1"/>
    <w:unhideWhenUsed/>
    <w:qFormat/>
    <w:uiPriority w:val="99"/>
    <w:pPr>
      <w:ind w:left="100" w:leftChars="200" w:hanging="200" w:hangingChars="200"/>
      <w:contextualSpacing/>
    </w:pPr>
  </w:style>
  <w:style w:type="paragraph" w:styleId="23">
    <w:name w:val="Block Text"/>
    <w:basedOn w:val="1"/>
    <w:unhideWhenUsed/>
    <w:qFormat/>
    <w:uiPriority w:val="99"/>
    <w:pPr>
      <w:adjustRightInd w:val="0"/>
      <w:spacing w:line="400" w:lineRule="exact"/>
      <w:ind w:left="420" w:right="33" w:firstLine="1044" w:firstLineChars="200"/>
      <w:jc w:val="left"/>
    </w:pPr>
    <w:rPr>
      <w:kern w:val="0"/>
      <w:sz w:val="24"/>
      <w:szCs w:val="20"/>
    </w:rPr>
  </w:style>
  <w:style w:type="paragraph" w:styleId="24">
    <w:name w:val="index 4"/>
    <w:basedOn w:val="1"/>
    <w:next w:val="1"/>
    <w:semiHidden/>
    <w:qFormat/>
    <w:uiPriority w:val="99"/>
    <w:pPr>
      <w:ind w:left="600" w:leftChars="600"/>
    </w:pPr>
    <w:rPr>
      <w:szCs w:val="21"/>
    </w:rPr>
  </w:style>
  <w:style w:type="paragraph" w:styleId="25">
    <w:name w:val="toc 5"/>
    <w:basedOn w:val="1"/>
    <w:next w:val="1"/>
    <w:qFormat/>
    <w:uiPriority w:val="0"/>
    <w:pPr>
      <w:ind w:left="1680" w:leftChars="800"/>
    </w:pPr>
    <w:rPr>
      <w:rFonts w:ascii="Calibri" w:hAnsi="Calibri" w:cs="Calibri"/>
      <w:szCs w:val="21"/>
    </w:rPr>
  </w:style>
  <w:style w:type="paragraph" w:styleId="26">
    <w:name w:val="toc 3"/>
    <w:basedOn w:val="1"/>
    <w:next w:val="1"/>
    <w:qFormat/>
    <w:uiPriority w:val="0"/>
    <w:pPr>
      <w:ind w:left="840" w:leftChars="400"/>
    </w:pPr>
    <w:rPr>
      <w:szCs w:val="21"/>
    </w:rPr>
  </w:style>
  <w:style w:type="paragraph" w:styleId="27">
    <w:name w:val="Plain Text"/>
    <w:basedOn w:val="1"/>
    <w:next w:val="1"/>
    <w:link w:val="107"/>
    <w:qFormat/>
    <w:uiPriority w:val="0"/>
    <w:rPr>
      <w:rFonts w:ascii="宋体" w:hAnsi="Courier New"/>
      <w:kern w:val="0"/>
      <w:sz w:val="20"/>
      <w:szCs w:val="21"/>
    </w:rPr>
  </w:style>
  <w:style w:type="paragraph" w:styleId="28">
    <w:name w:val="toc 8"/>
    <w:basedOn w:val="1"/>
    <w:next w:val="1"/>
    <w:qFormat/>
    <w:uiPriority w:val="0"/>
    <w:pPr>
      <w:ind w:left="2940" w:leftChars="1400"/>
    </w:pPr>
    <w:rPr>
      <w:rFonts w:ascii="Calibri" w:hAnsi="Calibri" w:cs="Calibri"/>
      <w:szCs w:val="21"/>
    </w:rPr>
  </w:style>
  <w:style w:type="paragraph" w:styleId="29">
    <w:name w:val="Date"/>
    <w:basedOn w:val="1"/>
    <w:next w:val="1"/>
    <w:link w:val="208"/>
    <w:unhideWhenUsed/>
    <w:qFormat/>
    <w:uiPriority w:val="0"/>
    <w:pPr>
      <w:ind w:left="100" w:leftChars="2500"/>
    </w:pPr>
  </w:style>
  <w:style w:type="paragraph" w:styleId="30">
    <w:name w:val="Body Text Indent 2"/>
    <w:basedOn w:val="1"/>
    <w:link w:val="78"/>
    <w:qFormat/>
    <w:uiPriority w:val="0"/>
    <w:pPr>
      <w:spacing w:after="120" w:line="480" w:lineRule="auto"/>
      <w:ind w:left="420" w:leftChars="200"/>
    </w:pPr>
    <w:rPr>
      <w:sz w:val="24"/>
    </w:rPr>
  </w:style>
  <w:style w:type="paragraph" w:styleId="31">
    <w:name w:val="Balloon Text"/>
    <w:basedOn w:val="1"/>
    <w:link w:val="215"/>
    <w:qFormat/>
    <w:uiPriority w:val="0"/>
    <w:rPr>
      <w:sz w:val="18"/>
      <w:szCs w:val="18"/>
    </w:rPr>
  </w:style>
  <w:style w:type="paragraph" w:styleId="32">
    <w:name w:val="footer"/>
    <w:basedOn w:val="1"/>
    <w:link w:val="105"/>
    <w:unhideWhenUsed/>
    <w:qFormat/>
    <w:uiPriority w:val="99"/>
    <w:pPr>
      <w:tabs>
        <w:tab w:val="center" w:pos="4153"/>
        <w:tab w:val="right" w:pos="8306"/>
      </w:tabs>
      <w:snapToGrid w:val="0"/>
      <w:jc w:val="left"/>
    </w:pPr>
    <w:rPr>
      <w:kern w:val="0"/>
      <w:sz w:val="18"/>
      <w:szCs w:val="18"/>
    </w:rPr>
  </w:style>
  <w:style w:type="paragraph" w:styleId="33">
    <w:name w:val="header"/>
    <w:basedOn w:val="1"/>
    <w:link w:val="16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0"/>
  </w:style>
  <w:style w:type="paragraph" w:styleId="35">
    <w:name w:val="toc 4"/>
    <w:basedOn w:val="1"/>
    <w:next w:val="1"/>
    <w:qFormat/>
    <w:uiPriority w:val="0"/>
    <w:pPr>
      <w:ind w:left="1260" w:leftChars="600"/>
    </w:pPr>
    <w:rPr>
      <w:rFonts w:ascii="Calibri" w:hAnsi="Calibri" w:cs="Calibri"/>
      <w:szCs w:val="21"/>
    </w:rPr>
  </w:style>
  <w:style w:type="paragraph" w:styleId="36">
    <w:name w:val="Subtitle"/>
    <w:basedOn w:val="1"/>
    <w:next w:val="1"/>
    <w:link w:val="138"/>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82"/>
    <w:qFormat/>
    <w:uiPriority w:val="0"/>
    <w:pPr>
      <w:adjustRightInd w:val="0"/>
      <w:spacing w:line="312" w:lineRule="atLeast"/>
      <w:jc w:val="left"/>
      <w:textAlignment w:val="baseline"/>
    </w:pPr>
    <w:rPr>
      <w:kern w:val="0"/>
      <w:sz w:val="18"/>
      <w:szCs w:val="18"/>
    </w:rPr>
  </w:style>
  <w:style w:type="paragraph" w:styleId="38">
    <w:name w:val="toc 6"/>
    <w:basedOn w:val="1"/>
    <w:next w:val="1"/>
    <w:qFormat/>
    <w:uiPriority w:val="0"/>
    <w:pPr>
      <w:ind w:left="2100" w:leftChars="1000"/>
    </w:pPr>
    <w:rPr>
      <w:rFonts w:ascii="Calibri" w:hAnsi="Calibri" w:cs="Calibri"/>
      <w:szCs w:val="21"/>
    </w:rPr>
  </w:style>
  <w:style w:type="paragraph" w:styleId="39">
    <w:name w:val="Body Text Indent 3"/>
    <w:basedOn w:val="1"/>
    <w:link w:val="146"/>
    <w:unhideWhenUsed/>
    <w:qFormat/>
    <w:uiPriority w:val="0"/>
    <w:pPr>
      <w:adjustRightInd w:val="0"/>
      <w:spacing w:line="360" w:lineRule="auto"/>
      <w:ind w:firstLine="527"/>
    </w:pPr>
    <w:rPr>
      <w:kern w:val="0"/>
      <w:sz w:val="28"/>
      <w:szCs w:val="20"/>
    </w:rPr>
  </w:style>
  <w:style w:type="paragraph" w:styleId="40">
    <w:name w:val="toc 2"/>
    <w:basedOn w:val="1"/>
    <w:next w:val="1"/>
    <w:unhideWhenUsed/>
    <w:qFormat/>
    <w:uiPriority w:val="0"/>
    <w:pPr>
      <w:tabs>
        <w:tab w:val="right" w:leader="dot" w:pos="8296"/>
      </w:tabs>
      <w:ind w:left="420" w:leftChars="200"/>
    </w:pPr>
  </w:style>
  <w:style w:type="paragraph" w:styleId="41">
    <w:name w:val="toc 9"/>
    <w:basedOn w:val="1"/>
    <w:next w:val="1"/>
    <w:qFormat/>
    <w:uiPriority w:val="0"/>
    <w:pPr>
      <w:ind w:left="3360" w:leftChars="1600"/>
    </w:pPr>
    <w:rPr>
      <w:rFonts w:ascii="Calibri" w:hAnsi="Calibri" w:cs="Calibri"/>
      <w:szCs w:val="21"/>
    </w:rPr>
  </w:style>
  <w:style w:type="paragraph" w:styleId="42">
    <w:name w:val="HTML Preformatted"/>
    <w:basedOn w:val="1"/>
    <w:link w:val="17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3">
    <w:name w:val="Normal (Web)"/>
    <w:basedOn w:val="1"/>
    <w:unhideWhenUsed/>
    <w:qFormat/>
    <w:uiPriority w:val="0"/>
    <w:rPr>
      <w:rFonts w:ascii="Calibri" w:hAnsi="Calibri"/>
      <w:kern w:val="0"/>
      <w:sz w:val="24"/>
    </w:rPr>
  </w:style>
  <w:style w:type="paragraph" w:styleId="44">
    <w:name w:val="index 1"/>
    <w:basedOn w:val="1"/>
    <w:next w:val="1"/>
    <w:unhideWhenUsed/>
    <w:qFormat/>
    <w:uiPriority w:val="0"/>
    <w:pPr>
      <w:adjustRightInd w:val="0"/>
      <w:spacing w:line="312" w:lineRule="atLeast"/>
    </w:pPr>
    <w:rPr>
      <w:kern w:val="0"/>
      <w:szCs w:val="20"/>
    </w:rPr>
  </w:style>
  <w:style w:type="paragraph" w:styleId="45">
    <w:name w:val="Title"/>
    <w:basedOn w:val="1"/>
    <w:next w:val="1"/>
    <w:link w:val="202"/>
    <w:qFormat/>
    <w:uiPriority w:val="0"/>
    <w:pPr>
      <w:spacing w:before="240" w:after="60"/>
      <w:jc w:val="center"/>
      <w:outlineLvl w:val="0"/>
    </w:pPr>
    <w:rPr>
      <w:rFonts w:ascii="Cambria" w:hAnsi="Cambria"/>
      <w:b/>
      <w:bCs/>
      <w:sz w:val="32"/>
      <w:szCs w:val="32"/>
    </w:rPr>
  </w:style>
  <w:style w:type="paragraph" w:styleId="46">
    <w:name w:val="annotation subject"/>
    <w:basedOn w:val="18"/>
    <w:next w:val="18"/>
    <w:link w:val="180"/>
    <w:qFormat/>
    <w:uiPriority w:val="0"/>
    <w:rPr>
      <w:b/>
      <w:bCs/>
    </w:rPr>
  </w:style>
  <w:style w:type="paragraph" w:styleId="47">
    <w:name w:val="Body Text First Indent 2"/>
    <w:basedOn w:val="20"/>
    <w:qFormat/>
    <w:uiPriority w:val="0"/>
    <w:pPr>
      <w:ind w:firstLine="21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endnote reference"/>
    <w:unhideWhenUsed/>
    <w:qFormat/>
    <w:uiPriority w:val="99"/>
    <w:rPr>
      <w:vertAlign w:val="superscript"/>
    </w:rPr>
  </w:style>
  <w:style w:type="character" w:styleId="53">
    <w:name w:val="page number"/>
    <w:qFormat/>
    <w:uiPriority w:val="99"/>
  </w:style>
  <w:style w:type="character" w:styleId="54">
    <w:name w:val="FollowedHyperlink"/>
    <w:qFormat/>
    <w:uiPriority w:val="0"/>
    <w:rPr>
      <w:color w:val="800080"/>
      <w:u w:val="single"/>
    </w:rPr>
  </w:style>
  <w:style w:type="character" w:styleId="55">
    <w:name w:val="Emphasis"/>
    <w:basedOn w:val="50"/>
    <w:qFormat/>
    <w:uiPriority w:val="0"/>
    <w:rPr>
      <w:i/>
      <w:iCs/>
    </w:rPr>
  </w:style>
  <w:style w:type="character" w:styleId="56">
    <w:name w:val="HTML Definition"/>
    <w:basedOn w:val="50"/>
    <w:unhideWhenUsed/>
    <w:qFormat/>
    <w:uiPriority w:val="0"/>
  </w:style>
  <w:style w:type="character" w:styleId="57">
    <w:name w:val="HTML Typewriter"/>
    <w:basedOn w:val="50"/>
    <w:unhideWhenUsed/>
    <w:qFormat/>
    <w:uiPriority w:val="0"/>
    <w:rPr>
      <w:rFonts w:hint="default" w:ascii="Courier New" w:hAnsi="Courier New" w:eastAsia="Courier New" w:cs="Courier New"/>
      <w:sz w:val="24"/>
      <w:szCs w:val="24"/>
    </w:rPr>
  </w:style>
  <w:style w:type="character" w:styleId="58">
    <w:name w:val="HTML Variable"/>
    <w:basedOn w:val="50"/>
    <w:unhideWhenUsed/>
    <w:qFormat/>
    <w:uiPriority w:val="0"/>
    <w:rPr>
      <w:vanish/>
      <w:bdr w:val="single" w:color="DCDCDC" w:sz="6" w:space="0"/>
    </w:rPr>
  </w:style>
  <w:style w:type="character" w:styleId="59">
    <w:name w:val="Hyperlink"/>
    <w:unhideWhenUsed/>
    <w:qFormat/>
    <w:uiPriority w:val="0"/>
    <w:rPr>
      <w:color w:val="0000FF"/>
      <w:u w:val="single"/>
    </w:rPr>
  </w:style>
  <w:style w:type="character" w:styleId="60">
    <w:name w:val="HTML Code"/>
    <w:basedOn w:val="50"/>
    <w:unhideWhenUsed/>
    <w:qFormat/>
    <w:uiPriority w:val="0"/>
    <w:rPr>
      <w:rFonts w:hint="default" w:ascii="Courier New" w:hAnsi="Courier New" w:eastAsia="Courier New" w:cs="Courier New"/>
      <w:sz w:val="24"/>
      <w:szCs w:val="24"/>
    </w:rPr>
  </w:style>
  <w:style w:type="character" w:styleId="61">
    <w:name w:val="annotation reference"/>
    <w:qFormat/>
    <w:uiPriority w:val="99"/>
    <w:rPr>
      <w:sz w:val="21"/>
      <w:szCs w:val="21"/>
    </w:rPr>
  </w:style>
  <w:style w:type="character" w:styleId="62">
    <w:name w:val="HTML Cite"/>
    <w:basedOn w:val="50"/>
    <w:unhideWhenUsed/>
    <w:qFormat/>
    <w:uiPriority w:val="0"/>
  </w:style>
  <w:style w:type="character" w:styleId="63">
    <w:name w:val="footnote reference"/>
    <w:basedOn w:val="50"/>
    <w:unhideWhenUsed/>
    <w:qFormat/>
    <w:uiPriority w:val="0"/>
    <w:rPr>
      <w:vertAlign w:val="superscript"/>
    </w:rPr>
  </w:style>
  <w:style w:type="character" w:styleId="64">
    <w:name w:val="HTML Keyboard"/>
    <w:basedOn w:val="50"/>
    <w:unhideWhenUsed/>
    <w:qFormat/>
    <w:uiPriority w:val="0"/>
    <w:rPr>
      <w:rFonts w:hint="default" w:ascii="Courier New" w:hAnsi="Courier New" w:eastAsia="Courier New" w:cs="Courier New"/>
      <w:sz w:val="24"/>
      <w:szCs w:val="24"/>
    </w:rPr>
  </w:style>
  <w:style w:type="character" w:styleId="65">
    <w:name w:val="HTML Sample"/>
    <w:basedOn w:val="50"/>
    <w:unhideWhenUsed/>
    <w:qFormat/>
    <w:uiPriority w:val="0"/>
    <w:rPr>
      <w:rFonts w:hint="default" w:ascii="Courier New" w:hAnsi="Courier New" w:eastAsia="Courier New" w:cs="Courier New"/>
    </w:rPr>
  </w:style>
  <w:style w:type="paragraph" w:customStyle="1" w:styleId="66">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67">
    <w:name w:val="font5"/>
    <w:basedOn w:val="1"/>
    <w:next w:val="28"/>
    <w:qFormat/>
    <w:uiPriority w:val="0"/>
    <w:pPr>
      <w:widowControl/>
      <w:spacing w:before="100" w:beforeAutospacing="1" w:after="100" w:afterAutospacing="1"/>
      <w:jc w:val="left"/>
    </w:pPr>
    <w:rPr>
      <w:rFonts w:ascii="宋体" w:hAnsi="宋体"/>
      <w:kern w:val="0"/>
      <w:sz w:val="18"/>
      <w:szCs w:val="18"/>
    </w:rPr>
  </w:style>
  <w:style w:type="paragraph" w:styleId="6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批注文字 字符2"/>
    <w:link w:val="18"/>
    <w:qFormat/>
    <w:uiPriority w:val="99"/>
    <w:rPr>
      <w:rFonts w:ascii="Times New Roman" w:hAnsi="Times New Roman"/>
      <w:kern w:val="2"/>
      <w:sz w:val="21"/>
      <w:szCs w:val="24"/>
    </w:rPr>
  </w:style>
  <w:style w:type="character" w:customStyle="1" w:styleId="70">
    <w:name w:val="正文文本缩进 Char1"/>
    <w:basedOn w:val="50"/>
    <w:semiHidden/>
    <w:qFormat/>
    <w:locked/>
    <w:uiPriority w:val="0"/>
    <w:rPr>
      <w:kern w:val="2"/>
      <w:sz w:val="21"/>
      <w:szCs w:val="24"/>
    </w:rPr>
  </w:style>
  <w:style w:type="character" w:customStyle="1" w:styleId="71">
    <w:name w:val="Body text|2_"/>
    <w:link w:val="72"/>
    <w:qFormat/>
    <w:uiPriority w:val="0"/>
    <w:rPr>
      <w:sz w:val="21"/>
    </w:rPr>
  </w:style>
  <w:style w:type="paragraph" w:customStyle="1" w:styleId="72">
    <w:name w:val="Body text|2"/>
    <w:basedOn w:val="1"/>
    <w:link w:val="71"/>
    <w:qFormat/>
    <w:uiPriority w:val="0"/>
    <w:pPr>
      <w:spacing w:after="30"/>
      <w:ind w:firstLine="420"/>
      <w:jc w:val="left"/>
    </w:pPr>
    <w:rPr>
      <w:kern w:val="0"/>
      <w:szCs w:val="20"/>
    </w:rPr>
  </w:style>
  <w:style w:type="character" w:customStyle="1" w:styleId="73">
    <w:name w:val="标题 8 Char"/>
    <w:qFormat/>
    <w:uiPriority w:val="0"/>
    <w:rPr>
      <w:rFonts w:ascii="Arial" w:hAnsi="Arial" w:eastAsia="黑体"/>
      <w:kern w:val="2"/>
      <w:sz w:val="24"/>
      <w:szCs w:val="24"/>
    </w:rPr>
  </w:style>
  <w:style w:type="character" w:customStyle="1" w:styleId="74">
    <w:name w:val="Comment Text Char1"/>
    <w:qFormat/>
    <w:uiPriority w:val="99"/>
    <w:rPr>
      <w:sz w:val="24"/>
      <w:szCs w:val="24"/>
    </w:rPr>
  </w:style>
  <w:style w:type="character" w:customStyle="1" w:styleId="75">
    <w:name w:val="Char Char19"/>
    <w:qFormat/>
    <w:uiPriority w:val="99"/>
    <w:rPr>
      <w:rFonts w:ascii="Arial" w:hAnsi="Arial" w:eastAsia="宋体" w:cs="Arial"/>
      <w:b/>
      <w:bCs/>
      <w:sz w:val="28"/>
      <w:szCs w:val="28"/>
    </w:rPr>
  </w:style>
  <w:style w:type="character" w:styleId="76">
    <w:name w:val="Placeholder Text"/>
    <w:unhideWhenUsed/>
    <w:qFormat/>
    <w:uiPriority w:val="99"/>
    <w:rPr>
      <w:color w:val="808080"/>
    </w:rPr>
  </w:style>
  <w:style w:type="character" w:customStyle="1" w:styleId="77">
    <w:name w:val="apple-converted-space"/>
    <w:basedOn w:val="50"/>
    <w:qFormat/>
    <w:uiPriority w:val="0"/>
  </w:style>
  <w:style w:type="character" w:customStyle="1" w:styleId="78">
    <w:name w:val="正文文本缩进 2 字符"/>
    <w:basedOn w:val="50"/>
    <w:link w:val="30"/>
    <w:qFormat/>
    <w:uiPriority w:val="0"/>
    <w:rPr>
      <w:kern w:val="2"/>
      <w:sz w:val="24"/>
      <w:szCs w:val="24"/>
    </w:rPr>
  </w:style>
  <w:style w:type="character" w:customStyle="1" w:styleId="79">
    <w:name w:val="Heading 5 Char"/>
    <w:qFormat/>
    <w:uiPriority w:val="99"/>
    <w:rPr>
      <w:rFonts w:eastAsia="宋体"/>
      <w:b/>
      <w:bCs/>
      <w:kern w:val="2"/>
      <w:sz w:val="28"/>
      <w:szCs w:val="28"/>
      <w:lang w:val="en-US" w:eastAsia="zh-CN"/>
    </w:rPr>
  </w:style>
  <w:style w:type="character" w:customStyle="1" w:styleId="80">
    <w:name w:val="正文呀2 Char"/>
    <w:basedOn w:val="81"/>
    <w:link w:val="83"/>
    <w:qFormat/>
    <w:locked/>
    <w:uiPriority w:val="0"/>
    <w:rPr>
      <w:rFonts w:ascii="宋体" w:hAnsi="宋体"/>
      <w:szCs w:val="21"/>
    </w:rPr>
  </w:style>
  <w:style w:type="character" w:customStyle="1" w:styleId="81">
    <w:name w:val="正文呀 Char"/>
    <w:link w:val="82"/>
    <w:qFormat/>
    <w:locked/>
    <w:uiPriority w:val="0"/>
    <w:rPr>
      <w:rFonts w:ascii="宋体" w:hAnsi="宋体"/>
      <w:szCs w:val="21"/>
    </w:rPr>
  </w:style>
  <w:style w:type="paragraph" w:customStyle="1" w:styleId="82">
    <w:name w:val="正文呀"/>
    <w:basedOn w:val="1"/>
    <w:link w:val="81"/>
    <w:qFormat/>
    <w:uiPriority w:val="0"/>
    <w:pPr>
      <w:adjustRightInd w:val="0"/>
      <w:spacing w:line="420" w:lineRule="exact"/>
      <w:ind w:firstLine="420" w:firstLineChars="200"/>
    </w:pPr>
    <w:rPr>
      <w:rFonts w:ascii="宋体" w:hAnsi="宋体"/>
      <w:kern w:val="0"/>
      <w:sz w:val="20"/>
      <w:szCs w:val="21"/>
    </w:rPr>
  </w:style>
  <w:style w:type="paragraph" w:customStyle="1" w:styleId="83">
    <w:name w:val="正文呀2"/>
    <w:basedOn w:val="82"/>
    <w:link w:val="80"/>
    <w:qFormat/>
    <w:uiPriority w:val="0"/>
  </w:style>
  <w:style w:type="character" w:customStyle="1" w:styleId="84">
    <w:name w:val="Document Map Char"/>
    <w:qFormat/>
    <w:uiPriority w:val="99"/>
    <w:rPr>
      <w:rFonts w:eastAsia="宋体"/>
      <w:kern w:val="2"/>
      <w:sz w:val="24"/>
      <w:szCs w:val="24"/>
      <w:lang w:val="en-US" w:eastAsia="zh-CN"/>
    </w:rPr>
  </w:style>
  <w:style w:type="character" w:customStyle="1" w:styleId="85">
    <w:name w:val="Char Char18"/>
    <w:qFormat/>
    <w:uiPriority w:val="99"/>
    <w:rPr>
      <w:rFonts w:ascii="Times New Roman" w:hAnsi="Times New Roman" w:eastAsia="宋体" w:cs="Times New Roman"/>
      <w:b/>
      <w:bCs/>
      <w:sz w:val="28"/>
      <w:szCs w:val="28"/>
    </w:rPr>
  </w:style>
  <w:style w:type="character" w:customStyle="1" w:styleId="86">
    <w:name w:val="Heading 1 Char"/>
    <w:qFormat/>
    <w:uiPriority w:val="99"/>
    <w:rPr>
      <w:rFonts w:eastAsia="宋体"/>
      <w:b/>
      <w:bCs/>
      <w:kern w:val="44"/>
      <w:sz w:val="44"/>
      <w:szCs w:val="44"/>
      <w:lang w:val="en-US" w:eastAsia="zh-CN"/>
    </w:rPr>
  </w:style>
  <w:style w:type="character" w:customStyle="1" w:styleId="87">
    <w:name w:val="ca-51"/>
    <w:qFormat/>
    <w:uiPriority w:val="0"/>
    <w:rPr>
      <w:rFonts w:hint="eastAsia" w:ascii="宋体" w:hAnsi="宋体" w:eastAsia="宋体" w:cs="Times New Roman"/>
      <w:color w:val="E60000"/>
      <w:sz w:val="20"/>
      <w:szCs w:val="20"/>
    </w:rPr>
  </w:style>
  <w:style w:type="character" w:customStyle="1" w:styleId="88">
    <w:name w:val="正文缩进 字符"/>
    <w:link w:val="8"/>
    <w:qFormat/>
    <w:uiPriority w:val="0"/>
    <w:rPr>
      <w:kern w:val="2"/>
      <w:sz w:val="21"/>
    </w:rPr>
  </w:style>
  <w:style w:type="character" w:customStyle="1" w:styleId="89">
    <w:name w:val="Heading #3|1_"/>
    <w:link w:val="90"/>
    <w:qFormat/>
    <w:uiPriority w:val="0"/>
    <w:rPr>
      <w:rFonts w:ascii="宋体" w:hAnsi="宋体" w:cs="宋体"/>
      <w:sz w:val="28"/>
      <w:szCs w:val="28"/>
      <w:lang w:val="zh-CN" w:bidi="zh-CN"/>
    </w:rPr>
  </w:style>
  <w:style w:type="paragraph" w:customStyle="1" w:styleId="90">
    <w:name w:val="Heading #3|1"/>
    <w:basedOn w:val="1"/>
    <w:link w:val="89"/>
    <w:qFormat/>
    <w:uiPriority w:val="0"/>
    <w:pPr>
      <w:spacing w:after="570"/>
      <w:jc w:val="center"/>
      <w:outlineLvl w:val="2"/>
    </w:pPr>
    <w:rPr>
      <w:rFonts w:ascii="宋体" w:hAnsi="宋体" w:cs="宋体"/>
      <w:kern w:val="0"/>
      <w:sz w:val="28"/>
      <w:szCs w:val="28"/>
      <w:lang w:val="zh-CN" w:bidi="zh-CN"/>
    </w:rPr>
  </w:style>
  <w:style w:type="character" w:customStyle="1" w:styleId="91">
    <w:name w:val="标题5 Char Char"/>
    <w:link w:val="92"/>
    <w:qFormat/>
    <w:locked/>
    <w:uiPriority w:val="99"/>
    <w:rPr>
      <w:rFonts w:ascii="Arial" w:hAnsi="Arial" w:cs="Arial"/>
      <w:b/>
      <w:bCs/>
      <w:sz w:val="32"/>
      <w:szCs w:val="32"/>
    </w:rPr>
  </w:style>
  <w:style w:type="paragraph" w:customStyle="1" w:styleId="92">
    <w:name w:val="标题5"/>
    <w:basedOn w:val="5"/>
    <w:link w:val="91"/>
    <w:qFormat/>
    <w:uiPriority w:val="99"/>
    <w:pPr>
      <w:spacing w:line="413" w:lineRule="auto"/>
    </w:pPr>
    <w:rPr>
      <w:rFonts w:ascii="Arial" w:hAnsi="Arial"/>
      <w:kern w:val="0"/>
    </w:rPr>
  </w:style>
  <w:style w:type="character" w:customStyle="1" w:styleId="93">
    <w:name w:val="正文文本 字符1"/>
    <w:link w:val="2"/>
    <w:qFormat/>
    <w:uiPriority w:val="0"/>
    <w:rPr>
      <w:rFonts w:ascii="Times New Roman" w:hAnsi="Times New Roman"/>
      <w:kern w:val="2"/>
      <w:sz w:val="21"/>
      <w:szCs w:val="24"/>
    </w:rPr>
  </w:style>
  <w:style w:type="character" w:customStyle="1" w:styleId="94">
    <w:name w:val="明显强调1"/>
    <w:qFormat/>
    <w:uiPriority w:val="99"/>
    <w:rPr>
      <w:b/>
      <w:bCs/>
      <w:i/>
      <w:iCs/>
      <w:color w:val="4F81BD"/>
    </w:rPr>
  </w:style>
  <w:style w:type="character" w:customStyle="1" w:styleId="95">
    <w:name w:val="Char Char24"/>
    <w:qFormat/>
    <w:uiPriority w:val="99"/>
    <w:rPr>
      <w:rFonts w:eastAsia="宋体"/>
      <w:b/>
      <w:bCs/>
      <w:kern w:val="44"/>
      <w:sz w:val="44"/>
      <w:szCs w:val="44"/>
      <w:lang w:val="en-US" w:eastAsia="zh-CN"/>
    </w:rPr>
  </w:style>
  <w:style w:type="character" w:customStyle="1" w:styleId="96">
    <w:name w:val="ca-71"/>
    <w:qFormat/>
    <w:uiPriority w:val="0"/>
    <w:rPr>
      <w:rFonts w:hint="eastAsia" w:ascii="宋体" w:hAnsi="宋体" w:eastAsia="宋体" w:cs="Times New Roman"/>
      <w:color w:val="000000"/>
      <w:sz w:val="12"/>
      <w:szCs w:val="12"/>
    </w:rPr>
  </w:style>
  <w:style w:type="character" w:customStyle="1" w:styleId="97">
    <w:name w:val="书籍标题1"/>
    <w:qFormat/>
    <w:uiPriority w:val="99"/>
    <w:rPr>
      <w:b/>
      <w:bCs/>
      <w:smallCaps/>
      <w:spacing w:val="5"/>
    </w:rPr>
  </w:style>
  <w:style w:type="character" w:customStyle="1" w:styleId="98">
    <w:name w:val="ca-41"/>
    <w:qFormat/>
    <w:uiPriority w:val="0"/>
    <w:rPr>
      <w:rFonts w:hint="eastAsia" w:ascii="宋体" w:hAnsi="宋体" w:eastAsia="宋体" w:cs="Times New Roman"/>
      <w:color w:val="000000"/>
      <w:sz w:val="20"/>
      <w:szCs w:val="20"/>
    </w:rPr>
  </w:style>
  <w:style w:type="character" w:customStyle="1" w:styleId="99">
    <w:name w:val="不明显强调1"/>
    <w:qFormat/>
    <w:uiPriority w:val="99"/>
    <w:rPr>
      <w:i/>
      <w:iCs/>
      <w:color w:val="808080"/>
    </w:rPr>
  </w:style>
  <w:style w:type="character" w:customStyle="1" w:styleId="100">
    <w:name w:val="标题 1 字符1"/>
    <w:qFormat/>
    <w:uiPriority w:val="0"/>
    <w:rPr>
      <w:b/>
      <w:bCs/>
      <w:kern w:val="44"/>
      <w:sz w:val="44"/>
      <w:szCs w:val="44"/>
    </w:rPr>
  </w:style>
  <w:style w:type="character" w:customStyle="1" w:styleId="101">
    <w:name w:val="Body Text Indent 2 Char"/>
    <w:qFormat/>
    <w:uiPriority w:val="99"/>
    <w:rPr>
      <w:rFonts w:eastAsia="宋体"/>
      <w:kern w:val="2"/>
      <w:sz w:val="24"/>
      <w:szCs w:val="24"/>
      <w:lang w:val="en-US" w:eastAsia="zh-CN"/>
    </w:rPr>
  </w:style>
  <w:style w:type="character" w:customStyle="1" w:styleId="102">
    <w:name w:val="普通文字 Char Char3"/>
    <w:qFormat/>
    <w:uiPriority w:val="0"/>
    <w:rPr>
      <w:rFonts w:hint="eastAsia" w:ascii="宋体" w:hAnsi="Courier New" w:eastAsia="宋体"/>
      <w:kern w:val="2"/>
      <w:sz w:val="21"/>
      <w:lang w:val="en-US" w:eastAsia="zh-CN" w:bidi="ar-SA"/>
    </w:rPr>
  </w:style>
  <w:style w:type="character" w:customStyle="1" w:styleId="103">
    <w:name w:val="标题 Char2"/>
    <w:qFormat/>
    <w:uiPriority w:val="99"/>
    <w:rPr>
      <w:rFonts w:ascii="Cambria" w:hAnsi="Cambria" w:eastAsia="宋体" w:cs="Cambria"/>
      <w:b/>
      <w:bCs/>
      <w:sz w:val="32"/>
      <w:szCs w:val="32"/>
    </w:rPr>
  </w:style>
  <w:style w:type="character" w:customStyle="1" w:styleId="104">
    <w:name w:val="标题 2 Char"/>
    <w:qFormat/>
    <w:uiPriority w:val="0"/>
    <w:rPr>
      <w:rFonts w:ascii="Cambria" w:hAnsi="Cambria" w:eastAsia="宋体" w:cs="Times New Roman"/>
      <w:b/>
      <w:bCs/>
      <w:kern w:val="2"/>
      <w:sz w:val="32"/>
      <w:szCs w:val="32"/>
    </w:rPr>
  </w:style>
  <w:style w:type="character" w:customStyle="1" w:styleId="105">
    <w:name w:val="页脚 字符"/>
    <w:link w:val="32"/>
    <w:qFormat/>
    <w:uiPriority w:val="99"/>
    <w:rPr>
      <w:sz w:val="18"/>
      <w:szCs w:val="18"/>
    </w:rPr>
  </w:style>
  <w:style w:type="character" w:customStyle="1" w:styleId="106">
    <w:name w:val="批注主题 Char1"/>
    <w:qFormat/>
    <w:uiPriority w:val="99"/>
    <w:rPr>
      <w:rFonts w:ascii="Times New Roman" w:hAnsi="Times New Roman" w:eastAsia="宋体" w:cs="Times New Roman"/>
      <w:b/>
      <w:bCs/>
      <w:sz w:val="24"/>
      <w:szCs w:val="24"/>
    </w:rPr>
  </w:style>
  <w:style w:type="character" w:customStyle="1" w:styleId="107">
    <w:name w:val="纯文本 字符3"/>
    <w:link w:val="27"/>
    <w:qFormat/>
    <w:uiPriority w:val="0"/>
    <w:rPr>
      <w:rFonts w:ascii="宋体" w:hAnsi="Courier New" w:eastAsia="宋体" w:cs="Courier New"/>
      <w:szCs w:val="21"/>
    </w:rPr>
  </w:style>
  <w:style w:type="character" w:customStyle="1" w:styleId="108">
    <w:name w:val="Heading #2|1_"/>
    <w:link w:val="109"/>
    <w:qFormat/>
    <w:uiPriority w:val="0"/>
    <w:rPr>
      <w:rFonts w:ascii="宋体" w:hAnsi="宋体" w:cs="宋体"/>
      <w:sz w:val="34"/>
      <w:szCs w:val="34"/>
      <w:lang w:val="zh-CN" w:bidi="zh-CN"/>
    </w:rPr>
  </w:style>
  <w:style w:type="paragraph" w:customStyle="1" w:styleId="109">
    <w:name w:val="Heading #2|1"/>
    <w:basedOn w:val="1"/>
    <w:link w:val="108"/>
    <w:qFormat/>
    <w:uiPriority w:val="0"/>
    <w:pPr>
      <w:spacing w:after="900"/>
      <w:jc w:val="center"/>
      <w:outlineLvl w:val="1"/>
    </w:pPr>
    <w:rPr>
      <w:rFonts w:ascii="宋体" w:hAnsi="宋体" w:cs="宋体"/>
      <w:kern w:val="0"/>
      <w:sz w:val="34"/>
      <w:szCs w:val="34"/>
      <w:lang w:val="zh-CN" w:bidi="zh-CN"/>
    </w:rPr>
  </w:style>
  <w:style w:type="character" w:customStyle="1" w:styleId="110">
    <w:name w:val="Body text|7_"/>
    <w:link w:val="111"/>
    <w:qFormat/>
    <w:uiPriority w:val="0"/>
    <w:rPr>
      <w:rFonts w:ascii="Courier New" w:hAnsi="Courier New" w:eastAsia="Courier New" w:cs="Courier New"/>
      <w:b/>
      <w:bCs/>
      <w:sz w:val="8"/>
      <w:szCs w:val="8"/>
      <w:lang w:val="zh-CN"/>
    </w:rPr>
  </w:style>
  <w:style w:type="paragraph" w:customStyle="1" w:styleId="111">
    <w:name w:val="Body text|7"/>
    <w:basedOn w:val="1"/>
    <w:link w:val="110"/>
    <w:qFormat/>
    <w:uiPriority w:val="0"/>
    <w:pPr>
      <w:ind w:hanging="1760"/>
      <w:jc w:val="left"/>
    </w:pPr>
    <w:rPr>
      <w:rFonts w:ascii="Courier New" w:hAnsi="Courier New" w:eastAsia="Courier New"/>
      <w:b/>
      <w:bCs/>
      <w:kern w:val="0"/>
      <w:sz w:val="8"/>
      <w:szCs w:val="8"/>
      <w:lang w:val="zh-CN"/>
    </w:rPr>
  </w:style>
  <w:style w:type="character" w:customStyle="1" w:styleId="112">
    <w:name w:val="Heading 3 Char"/>
    <w:qFormat/>
    <w:uiPriority w:val="99"/>
    <w:rPr>
      <w:b/>
      <w:bCs/>
      <w:kern w:val="2"/>
      <w:sz w:val="32"/>
      <w:szCs w:val="32"/>
    </w:rPr>
  </w:style>
  <w:style w:type="character" w:customStyle="1" w:styleId="113">
    <w:name w:val="正文文本 Char"/>
    <w:qFormat/>
    <w:uiPriority w:val="0"/>
    <w:rPr>
      <w:rFonts w:ascii="Times New Roman" w:hAnsi="Times New Roman"/>
      <w:kern w:val="2"/>
      <w:sz w:val="21"/>
      <w:szCs w:val="24"/>
    </w:rPr>
  </w:style>
  <w:style w:type="character" w:customStyle="1" w:styleId="114">
    <w:name w:val="正文文本 字符"/>
    <w:qFormat/>
    <w:uiPriority w:val="0"/>
    <w:rPr>
      <w:rFonts w:ascii="Times New Roman" w:hAnsi="Times New Roman"/>
      <w:kern w:val="2"/>
      <w:sz w:val="21"/>
      <w:szCs w:val="24"/>
    </w:rPr>
  </w:style>
  <w:style w:type="character" w:customStyle="1" w:styleId="115">
    <w:name w:val="Balloon Text Char"/>
    <w:qFormat/>
    <w:uiPriority w:val="99"/>
    <w:rPr>
      <w:sz w:val="18"/>
      <w:szCs w:val="18"/>
    </w:rPr>
  </w:style>
  <w:style w:type="character" w:customStyle="1" w:styleId="116">
    <w:name w:val="Footnote Text Char"/>
    <w:qFormat/>
    <w:uiPriority w:val="99"/>
    <w:rPr>
      <w:rFonts w:eastAsia="宋体"/>
      <w:sz w:val="18"/>
      <w:szCs w:val="18"/>
      <w:lang w:val="en-US" w:eastAsia="zh-CN"/>
    </w:rPr>
  </w:style>
  <w:style w:type="character" w:customStyle="1" w:styleId="117">
    <w:name w:val="列表段落 字符"/>
    <w:link w:val="118"/>
    <w:qFormat/>
    <w:locked/>
    <w:uiPriority w:val="0"/>
    <w:rPr>
      <w:kern w:val="2"/>
      <w:sz w:val="21"/>
      <w:szCs w:val="24"/>
    </w:rPr>
  </w:style>
  <w:style w:type="paragraph" w:styleId="118">
    <w:name w:val="List Paragraph"/>
    <w:basedOn w:val="1"/>
    <w:link w:val="117"/>
    <w:qFormat/>
    <w:uiPriority w:val="0"/>
    <w:pPr>
      <w:ind w:firstLine="420" w:firstLineChars="200"/>
    </w:pPr>
  </w:style>
  <w:style w:type="character" w:customStyle="1" w:styleId="119">
    <w:name w:val="引用 Char1"/>
    <w:qFormat/>
    <w:uiPriority w:val="99"/>
    <w:rPr>
      <w:rFonts w:ascii="Times New Roman" w:hAnsi="Times New Roman" w:eastAsia="宋体" w:cs="Times New Roman"/>
      <w:i/>
      <w:iCs/>
      <w:color w:val="000000"/>
      <w:sz w:val="24"/>
      <w:szCs w:val="24"/>
    </w:rPr>
  </w:style>
  <w:style w:type="character" w:customStyle="1" w:styleId="120">
    <w:name w:val="Title Char"/>
    <w:qFormat/>
    <w:uiPriority w:val="99"/>
    <w:rPr>
      <w:rFonts w:ascii="Cambria" w:hAnsi="Cambria" w:cs="Cambria"/>
      <w:b/>
      <w:bCs/>
      <w:sz w:val="32"/>
      <w:szCs w:val="32"/>
    </w:rPr>
  </w:style>
  <w:style w:type="character" w:customStyle="1" w:styleId="121">
    <w:name w:val="Plain Text Char"/>
    <w:qFormat/>
    <w:uiPriority w:val="99"/>
    <w:rPr>
      <w:rFonts w:ascii="宋体" w:hAnsi="Courier New" w:eastAsia="宋体" w:cs="宋体"/>
      <w:sz w:val="24"/>
      <w:szCs w:val="24"/>
    </w:rPr>
  </w:style>
  <w:style w:type="character" w:customStyle="1" w:styleId="122">
    <w:name w:val="批注文字 字符1"/>
    <w:qFormat/>
    <w:uiPriority w:val="0"/>
    <w:rPr>
      <w:rFonts w:ascii="Times New Roman" w:hAnsi="Times New Roman"/>
      <w:kern w:val="2"/>
      <w:sz w:val="21"/>
      <w:szCs w:val="24"/>
    </w:rPr>
  </w:style>
  <w:style w:type="character" w:customStyle="1" w:styleId="123">
    <w:name w:val="纯文本 字符2"/>
    <w:qFormat/>
    <w:uiPriority w:val="0"/>
    <w:rPr>
      <w:rFonts w:ascii="宋体" w:hAnsi="Courier New" w:eastAsia="宋体" w:cs="Courier New"/>
      <w:szCs w:val="21"/>
    </w:rPr>
  </w:style>
  <w:style w:type="character" w:customStyle="1" w:styleId="124">
    <w:name w:val="纯文本 Char2"/>
    <w:qFormat/>
    <w:uiPriority w:val="0"/>
    <w:rPr>
      <w:rFonts w:hint="eastAsia" w:ascii="宋体" w:hAnsi="Courier New" w:eastAsia="宋体" w:cs="宋体"/>
      <w:kern w:val="0"/>
      <w:sz w:val="20"/>
      <w:szCs w:val="20"/>
    </w:rPr>
  </w:style>
  <w:style w:type="character" w:customStyle="1" w:styleId="125">
    <w:name w:val="不明显参考1"/>
    <w:qFormat/>
    <w:uiPriority w:val="99"/>
    <w:rPr>
      <w:smallCaps/>
      <w:color w:val="auto"/>
      <w:u w:val="single"/>
    </w:rPr>
  </w:style>
  <w:style w:type="character" w:customStyle="1" w:styleId="126">
    <w:name w:val="页脚 Char1"/>
    <w:qFormat/>
    <w:locked/>
    <w:uiPriority w:val="0"/>
    <w:rPr>
      <w:sz w:val="18"/>
      <w:szCs w:val="18"/>
    </w:rPr>
  </w:style>
  <w:style w:type="character" w:customStyle="1" w:styleId="127">
    <w:name w:val="Char Char20"/>
    <w:qFormat/>
    <w:uiPriority w:val="99"/>
    <w:rPr>
      <w:rFonts w:ascii="Times New Roman" w:hAnsi="Times New Roman" w:eastAsia="宋体" w:cs="Times New Roman"/>
      <w:b/>
      <w:bCs/>
      <w:sz w:val="32"/>
      <w:szCs w:val="32"/>
    </w:rPr>
  </w:style>
  <w:style w:type="character" w:customStyle="1" w:styleId="128">
    <w:name w:val="Char Char23"/>
    <w:qFormat/>
    <w:uiPriority w:val="99"/>
    <w:rPr>
      <w:rFonts w:eastAsia="宋体"/>
      <w:b/>
      <w:bCs/>
      <w:kern w:val="44"/>
      <w:sz w:val="44"/>
      <w:szCs w:val="44"/>
      <w:lang w:val="en-US" w:eastAsia="zh-CN"/>
    </w:rPr>
  </w:style>
  <w:style w:type="character" w:customStyle="1" w:styleId="129">
    <w:name w:val="标题 7 字符"/>
    <w:basedOn w:val="50"/>
    <w:link w:val="10"/>
    <w:qFormat/>
    <w:uiPriority w:val="0"/>
    <w:rPr>
      <w:b/>
      <w:bCs/>
      <w:sz w:val="24"/>
      <w:szCs w:val="24"/>
    </w:rPr>
  </w:style>
  <w:style w:type="character" w:customStyle="1" w:styleId="130">
    <w:name w:val="Body text|6_"/>
    <w:link w:val="131"/>
    <w:qFormat/>
    <w:uiPriority w:val="0"/>
    <w:rPr>
      <w:rFonts w:ascii="Arial" w:hAnsi="Arial" w:eastAsia="Arial" w:cs="Arial"/>
      <w:lang w:val="zh-CN"/>
    </w:rPr>
  </w:style>
  <w:style w:type="paragraph" w:customStyle="1" w:styleId="131">
    <w:name w:val="Body text|6"/>
    <w:basedOn w:val="1"/>
    <w:link w:val="130"/>
    <w:qFormat/>
    <w:uiPriority w:val="0"/>
    <w:pPr>
      <w:ind w:hanging="2220"/>
      <w:jc w:val="left"/>
    </w:pPr>
    <w:rPr>
      <w:rFonts w:ascii="Arial" w:hAnsi="Arial" w:eastAsia="Arial"/>
      <w:kern w:val="0"/>
      <w:sz w:val="20"/>
      <w:szCs w:val="20"/>
      <w:lang w:val="zh-CN"/>
    </w:rPr>
  </w:style>
  <w:style w:type="character" w:customStyle="1" w:styleId="132">
    <w:name w:val="Body text|5_"/>
    <w:link w:val="133"/>
    <w:qFormat/>
    <w:uiPriority w:val="0"/>
    <w:rPr>
      <w:rFonts w:ascii="宋体" w:hAnsi="宋体" w:cs="宋体"/>
      <w:sz w:val="52"/>
      <w:szCs w:val="52"/>
      <w:lang w:val="zh-CN" w:bidi="zh-CN"/>
    </w:rPr>
  </w:style>
  <w:style w:type="paragraph" w:customStyle="1" w:styleId="133">
    <w:name w:val="Body text|5"/>
    <w:basedOn w:val="1"/>
    <w:link w:val="132"/>
    <w:qFormat/>
    <w:uiPriority w:val="0"/>
    <w:pPr>
      <w:jc w:val="center"/>
    </w:pPr>
    <w:rPr>
      <w:rFonts w:ascii="宋体" w:hAnsi="宋体" w:cs="宋体"/>
      <w:kern w:val="0"/>
      <w:sz w:val="52"/>
      <w:szCs w:val="52"/>
      <w:lang w:val="zh-CN" w:bidi="zh-CN"/>
    </w:rPr>
  </w:style>
  <w:style w:type="character" w:customStyle="1" w:styleId="134">
    <w:name w:val="批注文字 Char Char"/>
    <w:qFormat/>
    <w:uiPriority w:val="99"/>
    <w:rPr>
      <w:rFonts w:ascii="宋体" w:hAnsi="Times New Roman" w:eastAsia="宋体" w:cs="宋体"/>
      <w:sz w:val="20"/>
      <w:szCs w:val="20"/>
    </w:rPr>
  </w:style>
  <w:style w:type="character" w:customStyle="1" w:styleId="135">
    <w:name w:val="引用 Char"/>
    <w:link w:val="136"/>
    <w:qFormat/>
    <w:locked/>
    <w:uiPriority w:val="99"/>
    <w:rPr>
      <w:i/>
      <w:iCs/>
      <w:color w:val="000000"/>
    </w:rPr>
  </w:style>
  <w:style w:type="paragraph" w:customStyle="1" w:styleId="136">
    <w:name w:val="引用1"/>
    <w:basedOn w:val="1"/>
    <w:next w:val="1"/>
    <w:link w:val="135"/>
    <w:qFormat/>
    <w:uiPriority w:val="99"/>
    <w:rPr>
      <w:i/>
      <w:iCs/>
      <w:color w:val="000000"/>
      <w:kern w:val="0"/>
      <w:sz w:val="20"/>
      <w:szCs w:val="20"/>
    </w:rPr>
  </w:style>
  <w:style w:type="character" w:customStyle="1" w:styleId="137">
    <w:name w:val="批注文字 Char2"/>
    <w:qFormat/>
    <w:uiPriority w:val="0"/>
    <w:rPr>
      <w:rFonts w:ascii="Times New Roman" w:hAnsi="Times New Roman"/>
      <w:kern w:val="2"/>
      <w:sz w:val="21"/>
      <w:szCs w:val="24"/>
    </w:rPr>
  </w:style>
  <w:style w:type="character" w:customStyle="1" w:styleId="138">
    <w:name w:val="副标题 字符"/>
    <w:basedOn w:val="50"/>
    <w:link w:val="36"/>
    <w:qFormat/>
    <w:uiPriority w:val="11"/>
    <w:rPr>
      <w:rFonts w:ascii="Cambria" w:hAnsi="Cambria"/>
      <w:b/>
      <w:bCs/>
      <w:kern w:val="28"/>
      <w:sz w:val="32"/>
      <w:szCs w:val="32"/>
    </w:rPr>
  </w:style>
  <w:style w:type="character" w:customStyle="1" w:styleId="139">
    <w:name w:val="正文文本缩进 3 Char1"/>
    <w:basedOn w:val="50"/>
    <w:semiHidden/>
    <w:qFormat/>
    <w:locked/>
    <w:uiPriority w:val="0"/>
    <w:rPr>
      <w:sz w:val="28"/>
    </w:rPr>
  </w:style>
  <w:style w:type="character" w:customStyle="1" w:styleId="140">
    <w:name w:val="textcontents"/>
    <w:qFormat/>
    <w:uiPriority w:val="0"/>
  </w:style>
  <w:style w:type="character" w:customStyle="1" w:styleId="141">
    <w:name w:val="Heading 2 Char"/>
    <w:qFormat/>
    <w:uiPriority w:val="99"/>
    <w:rPr>
      <w:rFonts w:ascii="Arial" w:hAnsi="Arial" w:eastAsia="黑体" w:cs="Arial"/>
      <w:b/>
      <w:bCs/>
      <w:kern w:val="2"/>
      <w:sz w:val="32"/>
      <w:szCs w:val="32"/>
      <w:lang w:val="en-US" w:eastAsia="zh-CN"/>
    </w:rPr>
  </w:style>
  <w:style w:type="character" w:customStyle="1" w:styleId="142">
    <w:name w:val="Char Char9"/>
    <w:qFormat/>
    <w:uiPriority w:val="0"/>
    <w:rPr>
      <w:rFonts w:eastAsia="宋体"/>
      <w:b/>
      <w:bCs/>
      <w:kern w:val="44"/>
      <w:sz w:val="44"/>
      <w:szCs w:val="44"/>
      <w:lang w:val="en-US" w:eastAsia="zh-CN"/>
    </w:rPr>
  </w:style>
  <w:style w:type="character" w:customStyle="1" w:styleId="143">
    <w:name w:val="Other|1_"/>
    <w:link w:val="144"/>
    <w:qFormat/>
    <w:uiPriority w:val="0"/>
    <w:rPr>
      <w:rFonts w:ascii="宋体" w:hAnsi="宋体" w:cs="宋体"/>
      <w:lang w:val="zh-CN" w:bidi="zh-CN"/>
    </w:rPr>
  </w:style>
  <w:style w:type="paragraph" w:customStyle="1" w:styleId="144">
    <w:name w:val="Other|1"/>
    <w:basedOn w:val="1"/>
    <w:link w:val="143"/>
    <w:qFormat/>
    <w:uiPriority w:val="0"/>
    <w:pPr>
      <w:spacing w:line="360" w:lineRule="auto"/>
      <w:ind w:firstLine="400"/>
      <w:jc w:val="left"/>
    </w:pPr>
    <w:rPr>
      <w:rFonts w:ascii="宋体" w:hAnsi="宋体" w:cs="宋体"/>
      <w:kern w:val="0"/>
      <w:sz w:val="20"/>
      <w:szCs w:val="20"/>
      <w:lang w:val="zh-CN" w:bidi="zh-CN"/>
    </w:rPr>
  </w:style>
  <w:style w:type="character" w:customStyle="1" w:styleId="145">
    <w:name w:val="标题 Char1"/>
    <w:qFormat/>
    <w:uiPriority w:val="99"/>
    <w:rPr>
      <w:rFonts w:ascii="Cambria" w:hAnsi="Cambria" w:eastAsia="宋体" w:cs="Cambria"/>
      <w:b/>
      <w:bCs/>
      <w:sz w:val="32"/>
      <w:szCs w:val="32"/>
    </w:rPr>
  </w:style>
  <w:style w:type="character" w:customStyle="1" w:styleId="146">
    <w:name w:val="正文文本缩进 3 字符"/>
    <w:basedOn w:val="50"/>
    <w:link w:val="39"/>
    <w:semiHidden/>
    <w:qFormat/>
    <w:uiPriority w:val="0"/>
    <w:rPr>
      <w:sz w:val="28"/>
    </w:rPr>
  </w:style>
  <w:style w:type="character" w:customStyle="1" w:styleId="147">
    <w:name w:val="Heading #4|1_"/>
    <w:link w:val="148"/>
    <w:qFormat/>
    <w:uiPriority w:val="0"/>
    <w:rPr>
      <w:rFonts w:ascii="宋体" w:hAnsi="宋体" w:cs="宋体"/>
      <w:lang w:val="zh-CN" w:bidi="zh-CN"/>
    </w:rPr>
  </w:style>
  <w:style w:type="paragraph" w:customStyle="1" w:styleId="148">
    <w:name w:val="Heading #4|1"/>
    <w:basedOn w:val="1"/>
    <w:link w:val="147"/>
    <w:qFormat/>
    <w:uiPriority w:val="0"/>
    <w:pPr>
      <w:spacing w:after="120"/>
      <w:jc w:val="left"/>
      <w:outlineLvl w:val="3"/>
    </w:pPr>
    <w:rPr>
      <w:rFonts w:ascii="宋体" w:hAnsi="宋体" w:cs="宋体"/>
      <w:kern w:val="0"/>
      <w:sz w:val="20"/>
      <w:szCs w:val="20"/>
      <w:lang w:val="zh-CN" w:bidi="zh-CN"/>
    </w:rPr>
  </w:style>
  <w:style w:type="character" w:customStyle="1" w:styleId="149">
    <w:name w:val="标题 5 字符"/>
    <w:link w:val="7"/>
    <w:qFormat/>
    <w:uiPriority w:val="99"/>
    <w:rPr>
      <w:rFonts w:ascii="Times New Roman" w:hAnsi="Times New Roman"/>
      <w:b/>
      <w:bCs/>
      <w:kern w:val="2"/>
      <w:sz w:val="28"/>
      <w:szCs w:val="28"/>
    </w:rPr>
  </w:style>
  <w:style w:type="character" w:customStyle="1" w:styleId="150">
    <w:name w:val="Char Char6"/>
    <w:qFormat/>
    <w:uiPriority w:val="99"/>
    <w:rPr>
      <w:rFonts w:eastAsia="宋体"/>
      <w:b/>
      <w:bCs/>
      <w:kern w:val="44"/>
      <w:sz w:val="44"/>
      <w:szCs w:val="44"/>
      <w:lang w:val="en-US" w:eastAsia="zh-CN"/>
    </w:rPr>
  </w:style>
  <w:style w:type="character" w:customStyle="1" w:styleId="151">
    <w:name w:val="文档结构图 Char1"/>
    <w:qFormat/>
    <w:uiPriority w:val="0"/>
    <w:rPr>
      <w:rFonts w:ascii="宋体" w:hAnsi="Times New Roman" w:eastAsia="宋体" w:cs="宋体"/>
      <w:sz w:val="18"/>
      <w:szCs w:val="18"/>
    </w:rPr>
  </w:style>
  <w:style w:type="character" w:customStyle="1" w:styleId="152">
    <w:name w:val="Char Char22"/>
    <w:qFormat/>
    <w:uiPriority w:val="99"/>
    <w:rPr>
      <w:rFonts w:ascii="Times New Roman" w:hAnsi="Times New Roman" w:eastAsia="宋体" w:cs="Times New Roman"/>
      <w:b/>
      <w:bCs/>
      <w:kern w:val="44"/>
      <w:sz w:val="44"/>
      <w:szCs w:val="44"/>
    </w:rPr>
  </w:style>
  <w:style w:type="character" w:customStyle="1" w:styleId="153">
    <w:name w:val="Comment Subject Char"/>
    <w:qFormat/>
    <w:uiPriority w:val="99"/>
    <w:rPr>
      <w:b/>
      <w:bCs/>
      <w:sz w:val="24"/>
      <w:szCs w:val="24"/>
    </w:rPr>
  </w:style>
  <w:style w:type="character" w:customStyle="1" w:styleId="154">
    <w:name w:val="！正文 Char Char"/>
    <w:link w:val="155"/>
    <w:qFormat/>
    <w:locked/>
    <w:uiPriority w:val="0"/>
    <w:rPr>
      <w:rFonts w:ascii="华文细黑" w:hAnsi="华文细黑" w:eastAsia="华文细黑"/>
      <w:sz w:val="24"/>
    </w:rPr>
  </w:style>
  <w:style w:type="paragraph" w:customStyle="1" w:styleId="155">
    <w:name w:val="！正文"/>
    <w:basedOn w:val="1"/>
    <w:link w:val="154"/>
    <w:qFormat/>
    <w:uiPriority w:val="0"/>
    <w:pPr>
      <w:spacing w:line="360" w:lineRule="auto"/>
      <w:ind w:firstLine="200" w:firstLineChars="200"/>
    </w:pPr>
    <w:rPr>
      <w:rFonts w:ascii="华文细黑" w:hAnsi="华文细黑" w:eastAsia="华文细黑"/>
      <w:kern w:val="0"/>
      <w:sz w:val="24"/>
      <w:szCs w:val="20"/>
    </w:rPr>
  </w:style>
  <w:style w:type="character" w:customStyle="1" w:styleId="156">
    <w:name w:val="Comment Text Char"/>
    <w:qFormat/>
    <w:uiPriority w:val="99"/>
    <w:rPr>
      <w:sz w:val="24"/>
      <w:szCs w:val="24"/>
    </w:rPr>
  </w:style>
  <w:style w:type="character" w:customStyle="1" w:styleId="157">
    <w:name w:val="正文2 Char Char"/>
    <w:link w:val="158"/>
    <w:qFormat/>
    <w:uiPriority w:val="0"/>
    <w:rPr>
      <w:kern w:val="2"/>
      <w:sz w:val="24"/>
    </w:rPr>
  </w:style>
  <w:style w:type="paragraph" w:customStyle="1" w:styleId="158">
    <w:name w:val="正文2"/>
    <w:basedOn w:val="1"/>
    <w:link w:val="157"/>
    <w:qFormat/>
    <w:uiPriority w:val="0"/>
    <w:pPr>
      <w:adjustRightInd w:val="0"/>
      <w:spacing w:before="156" w:line="360" w:lineRule="auto"/>
      <w:ind w:firstLine="510" w:firstLineChars="200"/>
    </w:pPr>
    <w:rPr>
      <w:sz w:val="24"/>
      <w:szCs w:val="20"/>
    </w:rPr>
  </w:style>
  <w:style w:type="character" w:customStyle="1" w:styleId="159">
    <w:name w:val="Table caption|1_"/>
    <w:link w:val="160"/>
    <w:qFormat/>
    <w:uiPriority w:val="0"/>
    <w:rPr>
      <w:rFonts w:ascii="宋体" w:hAnsi="宋体" w:cs="宋体"/>
      <w:lang w:val="zh-CN" w:bidi="zh-CN"/>
    </w:rPr>
  </w:style>
  <w:style w:type="paragraph" w:customStyle="1" w:styleId="160">
    <w:name w:val="Table caption|1"/>
    <w:basedOn w:val="1"/>
    <w:link w:val="159"/>
    <w:qFormat/>
    <w:uiPriority w:val="0"/>
    <w:pPr>
      <w:jc w:val="left"/>
    </w:pPr>
    <w:rPr>
      <w:rFonts w:ascii="宋体" w:hAnsi="宋体" w:cs="宋体"/>
      <w:kern w:val="0"/>
      <w:sz w:val="20"/>
      <w:szCs w:val="20"/>
      <w:lang w:val="zh-CN" w:bidi="zh-CN"/>
    </w:rPr>
  </w:style>
  <w:style w:type="character" w:customStyle="1" w:styleId="161">
    <w:name w:val="标题 4 字符"/>
    <w:basedOn w:val="50"/>
    <w:link w:val="6"/>
    <w:qFormat/>
    <w:uiPriority w:val="0"/>
    <w:rPr>
      <w:rFonts w:ascii="Arial" w:hAnsi="Arial"/>
      <w:b/>
      <w:bCs/>
      <w:kern w:val="2"/>
      <w:sz w:val="28"/>
      <w:szCs w:val="28"/>
    </w:rPr>
  </w:style>
  <w:style w:type="character" w:customStyle="1" w:styleId="162">
    <w:name w:val="明显引用 Char1"/>
    <w:qFormat/>
    <w:uiPriority w:val="99"/>
    <w:rPr>
      <w:rFonts w:ascii="Times New Roman" w:hAnsi="Times New Roman" w:eastAsia="宋体" w:cs="Times New Roman"/>
      <w:b/>
      <w:bCs/>
      <w:i/>
      <w:iCs/>
      <w:color w:val="4F81BD"/>
      <w:sz w:val="24"/>
      <w:szCs w:val="24"/>
    </w:rPr>
  </w:style>
  <w:style w:type="character" w:customStyle="1" w:styleId="1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64">
    <w:name w:val="页眉 Char1"/>
    <w:basedOn w:val="50"/>
    <w:semiHidden/>
    <w:qFormat/>
    <w:locked/>
    <w:uiPriority w:val="0"/>
    <w:rPr>
      <w:kern w:val="2"/>
      <w:sz w:val="18"/>
      <w:szCs w:val="18"/>
    </w:rPr>
  </w:style>
  <w:style w:type="character" w:customStyle="1" w:styleId="165">
    <w:name w:val="页眉 字符"/>
    <w:link w:val="33"/>
    <w:qFormat/>
    <w:uiPriority w:val="0"/>
    <w:rPr>
      <w:sz w:val="18"/>
      <w:szCs w:val="18"/>
    </w:rPr>
  </w:style>
  <w:style w:type="character" w:customStyle="1" w:styleId="166">
    <w:name w:val="Heading 4 Char"/>
    <w:qFormat/>
    <w:uiPriority w:val="99"/>
    <w:rPr>
      <w:rFonts w:ascii="Arial" w:hAnsi="Arial" w:eastAsia="宋体" w:cs="Arial"/>
      <w:b/>
      <w:bCs/>
      <w:kern w:val="2"/>
      <w:sz w:val="28"/>
      <w:szCs w:val="28"/>
      <w:lang w:val="en-US" w:eastAsia="zh-CN"/>
    </w:rPr>
  </w:style>
  <w:style w:type="character" w:customStyle="1" w:styleId="167">
    <w:name w:val="Char Char21"/>
    <w:qFormat/>
    <w:uiPriority w:val="99"/>
    <w:rPr>
      <w:rFonts w:ascii="Arial" w:hAnsi="Arial" w:eastAsia="黑体" w:cs="Arial"/>
      <w:b/>
      <w:bCs/>
      <w:sz w:val="32"/>
      <w:szCs w:val="32"/>
    </w:rPr>
  </w:style>
  <w:style w:type="character" w:customStyle="1" w:styleId="168">
    <w:name w:val="Header or footer|2_"/>
    <w:link w:val="169"/>
    <w:qFormat/>
    <w:uiPriority w:val="0"/>
    <w:rPr>
      <w:lang w:val="zh-CN" w:bidi="zh-CN"/>
    </w:rPr>
  </w:style>
  <w:style w:type="paragraph" w:customStyle="1" w:styleId="169">
    <w:name w:val="Header or footer|2"/>
    <w:basedOn w:val="1"/>
    <w:link w:val="168"/>
    <w:qFormat/>
    <w:uiPriority w:val="0"/>
    <w:pPr>
      <w:jc w:val="left"/>
    </w:pPr>
    <w:rPr>
      <w:kern w:val="0"/>
      <w:sz w:val="20"/>
      <w:szCs w:val="20"/>
      <w:lang w:val="zh-CN" w:bidi="zh-CN"/>
    </w:rPr>
  </w:style>
  <w:style w:type="character" w:customStyle="1" w:styleId="170">
    <w:name w:val="HTML 预设格式 字符"/>
    <w:basedOn w:val="50"/>
    <w:link w:val="42"/>
    <w:qFormat/>
    <w:uiPriority w:val="99"/>
    <w:rPr>
      <w:rFonts w:ascii="宋体" w:hAnsi="宋体"/>
      <w:sz w:val="24"/>
      <w:szCs w:val="24"/>
    </w:rPr>
  </w:style>
  <w:style w:type="character" w:customStyle="1" w:styleId="171">
    <w:name w:val="纯文本 字符"/>
    <w:qFormat/>
    <w:uiPriority w:val="0"/>
    <w:rPr>
      <w:rFonts w:ascii="宋体" w:hAnsi="Courier New" w:eastAsia="宋体" w:cs="Courier New"/>
      <w:szCs w:val="21"/>
    </w:rPr>
  </w:style>
  <w:style w:type="character" w:customStyle="1" w:styleId="172">
    <w:name w:val="正文文本 3 字符"/>
    <w:link w:val="19"/>
    <w:semiHidden/>
    <w:qFormat/>
    <w:uiPriority w:val="0"/>
    <w:rPr>
      <w:kern w:val="2"/>
      <w:sz w:val="16"/>
      <w:szCs w:val="16"/>
    </w:rPr>
  </w:style>
  <w:style w:type="character" w:customStyle="1" w:styleId="173">
    <w:name w:val="Heading 3 Char1"/>
    <w:qFormat/>
    <w:uiPriority w:val="99"/>
    <w:rPr>
      <w:rFonts w:eastAsia="宋体"/>
      <w:b/>
      <w:bCs/>
      <w:kern w:val="2"/>
      <w:sz w:val="32"/>
      <w:szCs w:val="32"/>
      <w:lang w:val="en-US" w:eastAsia="zh-CN"/>
    </w:rPr>
  </w:style>
  <w:style w:type="character" w:customStyle="1" w:styleId="174">
    <w:name w:val="日期 Char1"/>
    <w:qFormat/>
    <w:uiPriority w:val="0"/>
    <w:rPr>
      <w:rFonts w:ascii="Times New Roman" w:hAnsi="Times New Roman" w:eastAsia="宋体" w:cs="Times New Roman"/>
      <w:sz w:val="24"/>
      <w:szCs w:val="24"/>
    </w:rPr>
  </w:style>
  <w:style w:type="character" w:customStyle="1" w:styleId="175">
    <w:name w:val="Date Char"/>
    <w:qFormat/>
    <w:uiPriority w:val="99"/>
    <w:rPr>
      <w:rFonts w:eastAsia="宋体"/>
      <w:kern w:val="2"/>
      <w:sz w:val="24"/>
      <w:szCs w:val="24"/>
      <w:lang w:val="en-US" w:eastAsia="zh-CN"/>
    </w:rPr>
  </w:style>
  <w:style w:type="character" w:customStyle="1" w:styleId="176">
    <w:name w:val="Heading #1|1_"/>
    <w:link w:val="177"/>
    <w:qFormat/>
    <w:uiPriority w:val="0"/>
    <w:rPr>
      <w:rFonts w:ascii="宋体" w:hAnsi="宋体" w:cs="宋体"/>
      <w:sz w:val="38"/>
      <w:szCs w:val="38"/>
      <w:lang w:val="zh-CN" w:bidi="zh-CN"/>
    </w:rPr>
  </w:style>
  <w:style w:type="paragraph" w:customStyle="1" w:styleId="177">
    <w:name w:val="Heading #1|1"/>
    <w:basedOn w:val="1"/>
    <w:link w:val="176"/>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78">
    <w:name w:val="ca-31"/>
    <w:qFormat/>
    <w:uiPriority w:val="0"/>
    <w:rPr>
      <w:rFonts w:hint="eastAsia" w:ascii="宋体" w:hAnsi="宋体" w:eastAsia="宋体" w:cs="Times New Roman"/>
      <w:color w:val="000000"/>
      <w:sz w:val="24"/>
      <w:szCs w:val="24"/>
    </w:rPr>
  </w:style>
  <w:style w:type="character" w:customStyle="1" w:styleId="179">
    <w:name w:val="批注框文本 Char1"/>
    <w:qFormat/>
    <w:uiPriority w:val="0"/>
    <w:rPr>
      <w:rFonts w:ascii="Times New Roman" w:hAnsi="Times New Roman" w:eastAsia="宋体" w:cs="Times New Roman"/>
      <w:sz w:val="18"/>
      <w:szCs w:val="18"/>
    </w:rPr>
  </w:style>
  <w:style w:type="character" w:customStyle="1" w:styleId="180">
    <w:name w:val="批注主题 字符"/>
    <w:link w:val="46"/>
    <w:qFormat/>
    <w:uiPriority w:val="0"/>
    <w:rPr>
      <w:rFonts w:ascii="Times New Roman" w:hAnsi="Times New Roman"/>
      <w:b/>
      <w:bCs/>
      <w:kern w:val="2"/>
      <w:sz w:val="21"/>
      <w:szCs w:val="24"/>
    </w:rPr>
  </w:style>
  <w:style w:type="character" w:customStyle="1" w:styleId="181">
    <w:name w:val="标题 8 字符"/>
    <w:link w:val="11"/>
    <w:semiHidden/>
    <w:qFormat/>
    <w:uiPriority w:val="9"/>
    <w:rPr>
      <w:rFonts w:ascii="等线 Light" w:hAnsi="等线 Light" w:eastAsia="等线 Light" w:cs="Times New Roman"/>
      <w:kern w:val="2"/>
      <w:sz w:val="24"/>
      <w:szCs w:val="24"/>
    </w:rPr>
  </w:style>
  <w:style w:type="character" w:customStyle="1" w:styleId="182">
    <w:name w:val="脚注文本 字符"/>
    <w:basedOn w:val="50"/>
    <w:link w:val="37"/>
    <w:semiHidden/>
    <w:qFormat/>
    <w:uiPriority w:val="0"/>
    <w:rPr>
      <w:sz w:val="18"/>
      <w:szCs w:val="18"/>
    </w:rPr>
  </w:style>
  <w:style w:type="character" w:customStyle="1" w:styleId="183">
    <w:name w:val="Table of contents|1_"/>
    <w:link w:val="184"/>
    <w:qFormat/>
    <w:uiPriority w:val="0"/>
    <w:rPr>
      <w:rFonts w:ascii="宋体" w:hAnsi="宋体" w:cs="宋体"/>
      <w:lang w:val="zh-CN" w:bidi="zh-CN"/>
    </w:rPr>
  </w:style>
  <w:style w:type="paragraph" w:customStyle="1" w:styleId="184">
    <w:name w:val="Table of contents|1"/>
    <w:basedOn w:val="1"/>
    <w:link w:val="183"/>
    <w:qFormat/>
    <w:uiPriority w:val="0"/>
    <w:pPr>
      <w:spacing w:after="100"/>
      <w:ind w:firstLine="600"/>
      <w:jc w:val="left"/>
    </w:pPr>
    <w:rPr>
      <w:rFonts w:ascii="宋体" w:hAnsi="宋体" w:cs="宋体"/>
      <w:kern w:val="0"/>
      <w:sz w:val="20"/>
      <w:szCs w:val="20"/>
      <w:lang w:val="zh-CN" w:bidi="zh-CN"/>
    </w:rPr>
  </w:style>
  <w:style w:type="character" w:customStyle="1" w:styleId="185">
    <w:name w:val="Char Char181"/>
    <w:qFormat/>
    <w:uiPriority w:val="99"/>
    <w:rPr>
      <w:b/>
      <w:bCs/>
      <w:kern w:val="44"/>
      <w:sz w:val="44"/>
      <w:szCs w:val="44"/>
    </w:rPr>
  </w:style>
  <w:style w:type="character" w:customStyle="1" w:styleId="186">
    <w:name w:val="NormalCharacter"/>
    <w:qFormat/>
    <w:uiPriority w:val="0"/>
  </w:style>
  <w:style w:type="character" w:customStyle="1" w:styleId="187">
    <w:name w:val="标题 3 字符"/>
    <w:basedOn w:val="50"/>
    <w:qFormat/>
    <w:uiPriority w:val="0"/>
    <w:rPr>
      <w:b/>
      <w:bCs/>
      <w:kern w:val="2"/>
      <w:sz w:val="32"/>
      <w:szCs w:val="32"/>
    </w:rPr>
  </w:style>
  <w:style w:type="character" w:customStyle="1" w:styleId="188">
    <w:name w:val="Footer Char"/>
    <w:qFormat/>
    <w:uiPriority w:val="99"/>
    <w:rPr>
      <w:rFonts w:eastAsia="宋体"/>
      <w:kern w:val="2"/>
      <w:sz w:val="18"/>
      <w:szCs w:val="18"/>
      <w:lang w:val="en-US" w:eastAsia="zh-CN"/>
    </w:rPr>
  </w:style>
  <w:style w:type="character" w:customStyle="1" w:styleId="189">
    <w:name w:val="标题 6 字符"/>
    <w:basedOn w:val="50"/>
    <w:link w:val="9"/>
    <w:qFormat/>
    <w:uiPriority w:val="0"/>
    <w:rPr>
      <w:rFonts w:ascii="Cambria" w:hAnsi="Cambria"/>
      <w:b/>
      <w:bCs/>
      <w:sz w:val="24"/>
      <w:szCs w:val="24"/>
    </w:rPr>
  </w:style>
  <w:style w:type="character" w:customStyle="1" w:styleId="190">
    <w:name w:val="Body text|3_"/>
    <w:link w:val="191"/>
    <w:qFormat/>
    <w:uiPriority w:val="0"/>
    <w:rPr>
      <w:rFonts w:ascii="宋体" w:hAnsi="宋体" w:cs="宋体"/>
      <w:lang w:val="zh-CN" w:bidi="zh-CN"/>
    </w:rPr>
  </w:style>
  <w:style w:type="paragraph" w:customStyle="1" w:styleId="191">
    <w:name w:val="Body text|3"/>
    <w:basedOn w:val="1"/>
    <w:link w:val="190"/>
    <w:qFormat/>
    <w:uiPriority w:val="0"/>
    <w:pPr>
      <w:spacing w:after="340"/>
      <w:jc w:val="left"/>
    </w:pPr>
    <w:rPr>
      <w:rFonts w:ascii="宋体" w:hAnsi="宋体" w:cs="宋体"/>
      <w:kern w:val="0"/>
      <w:sz w:val="20"/>
      <w:szCs w:val="20"/>
      <w:lang w:val="zh-CN" w:bidi="zh-CN"/>
    </w:rPr>
  </w:style>
  <w:style w:type="character" w:customStyle="1" w:styleId="192">
    <w:name w:val="批注文字 Char"/>
    <w:qFormat/>
    <w:uiPriority w:val="0"/>
    <w:rPr>
      <w:rFonts w:ascii="Times New Roman" w:hAnsi="Times New Roman"/>
      <w:kern w:val="2"/>
      <w:sz w:val="21"/>
      <w:szCs w:val="24"/>
    </w:rPr>
  </w:style>
  <w:style w:type="character" w:customStyle="1" w:styleId="193">
    <w:name w:val="标题 2 字符"/>
    <w:link w:val="4"/>
    <w:qFormat/>
    <w:uiPriority w:val="9"/>
    <w:rPr>
      <w:rFonts w:ascii="Cambria" w:hAnsi="Cambria" w:eastAsia="宋体" w:cs="Times New Roman"/>
      <w:b/>
      <w:bCs/>
      <w:kern w:val="2"/>
      <w:sz w:val="32"/>
      <w:szCs w:val="32"/>
    </w:rPr>
  </w:style>
  <w:style w:type="character" w:customStyle="1" w:styleId="194">
    <w:name w:val="标题 9 字符"/>
    <w:basedOn w:val="50"/>
    <w:link w:val="12"/>
    <w:qFormat/>
    <w:uiPriority w:val="0"/>
    <w:rPr>
      <w:rFonts w:ascii="Cambria" w:hAnsi="Cambria"/>
      <w:szCs w:val="21"/>
    </w:rPr>
  </w:style>
  <w:style w:type="character" w:customStyle="1" w:styleId="195">
    <w:name w:val="正文文本缩进 字符"/>
    <w:link w:val="20"/>
    <w:qFormat/>
    <w:uiPriority w:val="0"/>
    <w:rPr>
      <w:rFonts w:ascii="仿宋_GB2312" w:hAnsi="Times New Roman" w:eastAsia="仿宋_GB2312" w:cs="Times New Roman"/>
      <w:sz w:val="32"/>
      <w:szCs w:val="20"/>
    </w:rPr>
  </w:style>
  <w:style w:type="character" w:customStyle="1" w:styleId="196">
    <w:name w:val="纯文本 Char"/>
    <w:qFormat/>
    <w:uiPriority w:val="0"/>
    <w:rPr>
      <w:rFonts w:ascii="宋体" w:hAnsi="Courier New" w:eastAsia="宋体" w:cs="Courier New"/>
      <w:szCs w:val="21"/>
    </w:rPr>
  </w:style>
  <w:style w:type="character" w:customStyle="1" w:styleId="197">
    <w:name w:val="Body text|4_"/>
    <w:link w:val="198"/>
    <w:qFormat/>
    <w:uiPriority w:val="0"/>
    <w:rPr>
      <w:rFonts w:ascii="宋体" w:hAnsi="宋体" w:cs="宋体"/>
      <w:b/>
      <w:bCs/>
      <w:sz w:val="17"/>
      <w:szCs w:val="17"/>
      <w:lang w:val="zh-CN" w:bidi="zh-CN"/>
    </w:rPr>
  </w:style>
  <w:style w:type="paragraph" w:customStyle="1" w:styleId="198">
    <w:name w:val="Body text|4"/>
    <w:basedOn w:val="1"/>
    <w:link w:val="197"/>
    <w:qFormat/>
    <w:uiPriority w:val="0"/>
    <w:pPr>
      <w:spacing w:line="281" w:lineRule="exact"/>
      <w:jc w:val="center"/>
    </w:pPr>
    <w:rPr>
      <w:rFonts w:ascii="宋体" w:hAnsi="宋体" w:cs="宋体"/>
      <w:b/>
      <w:bCs/>
      <w:kern w:val="0"/>
      <w:sz w:val="17"/>
      <w:szCs w:val="17"/>
      <w:lang w:val="zh-CN" w:bidi="zh-CN"/>
    </w:rPr>
  </w:style>
  <w:style w:type="character" w:customStyle="1" w:styleId="199">
    <w:name w:val="明显参考1"/>
    <w:qFormat/>
    <w:uiPriority w:val="99"/>
    <w:rPr>
      <w:b/>
      <w:bCs/>
      <w:smallCaps/>
      <w:color w:val="auto"/>
      <w:spacing w:val="5"/>
      <w:u w:val="single"/>
    </w:rPr>
  </w:style>
  <w:style w:type="character" w:customStyle="1" w:styleId="200">
    <w:name w:val="UserStyle_9"/>
    <w:link w:val="201"/>
    <w:qFormat/>
    <w:locked/>
    <w:uiPriority w:val="0"/>
    <w:rPr>
      <w:kern w:val="2"/>
      <w:sz w:val="21"/>
      <w:szCs w:val="24"/>
    </w:rPr>
  </w:style>
  <w:style w:type="paragraph" w:customStyle="1" w:styleId="201">
    <w:name w:val="AnnotationText"/>
    <w:basedOn w:val="1"/>
    <w:link w:val="200"/>
    <w:qFormat/>
    <w:uiPriority w:val="0"/>
    <w:pPr>
      <w:widowControl/>
      <w:jc w:val="left"/>
    </w:pPr>
  </w:style>
  <w:style w:type="character" w:customStyle="1" w:styleId="202">
    <w:name w:val="标题 字符"/>
    <w:basedOn w:val="50"/>
    <w:link w:val="45"/>
    <w:qFormat/>
    <w:uiPriority w:val="0"/>
    <w:rPr>
      <w:rFonts w:ascii="Cambria" w:hAnsi="Cambria"/>
      <w:b/>
      <w:bCs/>
      <w:kern w:val="2"/>
      <w:sz w:val="32"/>
      <w:szCs w:val="32"/>
    </w:rPr>
  </w:style>
  <w:style w:type="character" w:customStyle="1" w:styleId="203">
    <w:name w:val="标题 1 字符"/>
    <w:link w:val="3"/>
    <w:qFormat/>
    <w:uiPriority w:val="0"/>
    <w:rPr>
      <w:b/>
      <w:bCs/>
      <w:kern w:val="44"/>
      <w:sz w:val="44"/>
      <w:szCs w:val="44"/>
    </w:rPr>
  </w:style>
  <w:style w:type="character" w:customStyle="1" w:styleId="204">
    <w:name w:val="Char Char91"/>
    <w:qFormat/>
    <w:uiPriority w:val="99"/>
    <w:rPr>
      <w:rFonts w:eastAsia="宋体"/>
      <w:b/>
      <w:bCs/>
      <w:kern w:val="44"/>
      <w:sz w:val="44"/>
      <w:szCs w:val="44"/>
      <w:lang w:val="en-US" w:eastAsia="zh-CN"/>
    </w:rPr>
  </w:style>
  <w:style w:type="character" w:customStyle="1" w:styleId="205">
    <w:name w:val="明显引用 Char"/>
    <w:link w:val="206"/>
    <w:qFormat/>
    <w:locked/>
    <w:uiPriority w:val="99"/>
    <w:rPr>
      <w:b/>
      <w:bCs/>
      <w:i/>
      <w:iCs/>
      <w:color w:val="4F81BD"/>
    </w:rPr>
  </w:style>
  <w:style w:type="paragraph" w:customStyle="1" w:styleId="206">
    <w:name w:val="明显引用1"/>
    <w:basedOn w:val="1"/>
    <w:next w:val="1"/>
    <w:link w:val="205"/>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207">
    <w:name w:val="手改 Char Char"/>
    <w:qFormat/>
    <w:uiPriority w:val="0"/>
    <w:rPr>
      <w:rFonts w:hint="default" w:ascii="Times New Roman" w:hAnsi="Times New Roman" w:eastAsia="宋体" w:cs="Times New Roman"/>
      <w:sz w:val="24"/>
      <w:szCs w:val="24"/>
      <w:lang w:bidi="ar-SA"/>
    </w:rPr>
  </w:style>
  <w:style w:type="character" w:customStyle="1" w:styleId="208">
    <w:name w:val="日期 字符"/>
    <w:link w:val="29"/>
    <w:qFormat/>
    <w:uiPriority w:val="0"/>
    <w:rPr>
      <w:rFonts w:ascii="Times New Roman" w:hAnsi="Times New Roman"/>
      <w:kern w:val="2"/>
      <w:sz w:val="21"/>
      <w:szCs w:val="24"/>
    </w:rPr>
  </w:style>
  <w:style w:type="character" w:customStyle="1" w:styleId="209">
    <w:name w:val="标准文本 Char"/>
    <w:link w:val="210"/>
    <w:qFormat/>
    <w:locked/>
    <w:uiPriority w:val="0"/>
    <w:rPr>
      <w:kern w:val="2"/>
      <w:sz w:val="24"/>
    </w:rPr>
  </w:style>
  <w:style w:type="paragraph" w:customStyle="1" w:styleId="210">
    <w:name w:val="标准文本"/>
    <w:basedOn w:val="1"/>
    <w:link w:val="209"/>
    <w:qFormat/>
    <w:uiPriority w:val="0"/>
    <w:pPr>
      <w:spacing w:line="360" w:lineRule="auto"/>
      <w:ind w:firstLine="480" w:firstLineChars="200"/>
    </w:pPr>
    <w:rPr>
      <w:sz w:val="24"/>
      <w:szCs w:val="20"/>
    </w:rPr>
  </w:style>
  <w:style w:type="character" w:customStyle="1" w:styleId="211">
    <w:name w:val="段 Char"/>
    <w:link w:val="212"/>
    <w:qFormat/>
    <w:locked/>
    <w:uiPriority w:val="0"/>
    <w:rPr>
      <w:rFonts w:ascii="宋体" w:hAnsi="宋体"/>
      <w:lang w:val="en-US" w:eastAsia="zh-CN" w:bidi="ar-SA"/>
    </w:rPr>
  </w:style>
  <w:style w:type="paragraph" w:customStyle="1" w:styleId="212">
    <w:name w:val="段"/>
    <w:link w:val="211"/>
    <w:qFormat/>
    <w:uiPriority w:val="0"/>
    <w:pPr>
      <w:autoSpaceDE w:val="0"/>
      <w:autoSpaceDN w:val="0"/>
      <w:ind w:firstLine="200" w:firstLineChars="200"/>
      <w:jc w:val="both"/>
    </w:pPr>
    <w:rPr>
      <w:rFonts w:ascii="宋体" w:hAnsi="宋体" w:eastAsia="宋体" w:cs="Times New Roman"/>
      <w:lang w:val="en-US" w:eastAsia="zh-CN" w:bidi="ar-SA"/>
    </w:rPr>
  </w:style>
  <w:style w:type="character" w:customStyle="1" w:styleId="213">
    <w:name w:val="批注文字 字符"/>
    <w:qFormat/>
    <w:uiPriority w:val="0"/>
    <w:rPr>
      <w:rFonts w:ascii="Times New Roman" w:hAnsi="Times New Roman"/>
      <w:kern w:val="2"/>
      <w:sz w:val="21"/>
      <w:szCs w:val="24"/>
    </w:rPr>
  </w:style>
  <w:style w:type="character" w:customStyle="1" w:styleId="214">
    <w:name w:val="apple-style-span"/>
    <w:qFormat/>
    <w:uiPriority w:val="0"/>
  </w:style>
  <w:style w:type="character" w:customStyle="1" w:styleId="215">
    <w:name w:val="批注框文本 字符"/>
    <w:link w:val="31"/>
    <w:qFormat/>
    <w:locked/>
    <w:uiPriority w:val="0"/>
    <w:rPr>
      <w:kern w:val="2"/>
      <w:sz w:val="18"/>
      <w:szCs w:val="18"/>
    </w:rPr>
  </w:style>
  <w:style w:type="character" w:customStyle="1" w:styleId="216">
    <w:name w:val="纯文本 字符1"/>
    <w:qFormat/>
    <w:uiPriority w:val="0"/>
    <w:rPr>
      <w:rFonts w:ascii="宋体" w:hAnsi="Courier New"/>
    </w:rPr>
  </w:style>
  <w:style w:type="character" w:customStyle="1" w:styleId="217">
    <w:name w:val="文档结构图 字符"/>
    <w:basedOn w:val="50"/>
    <w:link w:val="17"/>
    <w:qFormat/>
    <w:uiPriority w:val="0"/>
    <w:rPr>
      <w:kern w:val="2"/>
      <w:sz w:val="24"/>
      <w:szCs w:val="24"/>
      <w:shd w:val="clear" w:color="auto" w:fill="000080"/>
    </w:rPr>
  </w:style>
  <w:style w:type="character" w:customStyle="1" w:styleId="218">
    <w:name w:val="Header or footer|1_"/>
    <w:link w:val="219"/>
    <w:qFormat/>
    <w:uiPriority w:val="0"/>
    <w:rPr>
      <w:sz w:val="17"/>
      <w:szCs w:val="17"/>
      <w:lang w:val="zh-CN" w:bidi="zh-CN"/>
    </w:rPr>
  </w:style>
  <w:style w:type="paragraph" w:customStyle="1" w:styleId="219">
    <w:name w:val="Header or footer|1"/>
    <w:basedOn w:val="1"/>
    <w:link w:val="218"/>
    <w:qFormat/>
    <w:uiPriority w:val="0"/>
    <w:pPr>
      <w:jc w:val="center"/>
    </w:pPr>
    <w:rPr>
      <w:kern w:val="0"/>
      <w:sz w:val="17"/>
      <w:szCs w:val="17"/>
      <w:lang w:val="zh-CN" w:bidi="zh-CN"/>
    </w:rPr>
  </w:style>
  <w:style w:type="character" w:customStyle="1" w:styleId="220">
    <w:name w:val="Body text|1_"/>
    <w:link w:val="221"/>
    <w:qFormat/>
    <w:uiPriority w:val="0"/>
    <w:rPr>
      <w:rFonts w:ascii="宋体" w:hAnsi="宋体" w:cs="宋体"/>
      <w:kern w:val="2"/>
      <w:sz w:val="21"/>
      <w:lang w:val="zh-CN" w:bidi="zh-CN"/>
    </w:rPr>
  </w:style>
  <w:style w:type="paragraph" w:customStyle="1" w:styleId="221">
    <w:name w:val="Body text|1"/>
    <w:basedOn w:val="1"/>
    <w:link w:val="220"/>
    <w:qFormat/>
    <w:uiPriority w:val="0"/>
    <w:pPr>
      <w:spacing w:line="360" w:lineRule="auto"/>
      <w:ind w:firstLine="400"/>
    </w:pPr>
    <w:rPr>
      <w:rFonts w:ascii="宋体" w:hAnsi="宋体" w:cs="宋体"/>
      <w:szCs w:val="20"/>
      <w:lang w:val="zh-CN" w:bidi="zh-CN"/>
    </w:rPr>
  </w:style>
  <w:style w:type="character" w:customStyle="1" w:styleId="222">
    <w:name w:val="Body Text Indent Char"/>
    <w:qFormat/>
    <w:uiPriority w:val="99"/>
    <w:rPr>
      <w:rFonts w:ascii="宋体" w:hAnsi="宋体" w:eastAsia="宋体" w:cs="宋体"/>
      <w:kern w:val="2"/>
      <w:sz w:val="21"/>
      <w:szCs w:val="21"/>
      <w:lang w:val="en-US" w:eastAsia="zh-CN"/>
    </w:rPr>
  </w:style>
  <w:style w:type="character" w:customStyle="1" w:styleId="223">
    <w:name w:val="Header Char"/>
    <w:qFormat/>
    <w:uiPriority w:val="99"/>
    <w:rPr>
      <w:rFonts w:eastAsia="宋体"/>
      <w:kern w:val="2"/>
      <w:sz w:val="18"/>
      <w:szCs w:val="18"/>
      <w:lang w:val="en-US" w:eastAsia="zh-CN"/>
    </w:rPr>
  </w:style>
  <w:style w:type="character" w:customStyle="1" w:styleId="224">
    <w:name w:val="标题4 Char Char"/>
    <w:link w:val="225"/>
    <w:qFormat/>
    <w:locked/>
    <w:uiPriority w:val="99"/>
    <w:rPr>
      <w:rFonts w:ascii="Arial" w:hAnsi="Arial" w:cs="Arial"/>
      <w:b/>
      <w:bCs/>
      <w:sz w:val="32"/>
      <w:szCs w:val="32"/>
    </w:rPr>
  </w:style>
  <w:style w:type="paragraph" w:customStyle="1" w:styleId="225">
    <w:name w:val="标题4"/>
    <w:basedOn w:val="4"/>
    <w:next w:val="24"/>
    <w:link w:val="224"/>
    <w:qFormat/>
    <w:uiPriority w:val="99"/>
    <w:pPr>
      <w:spacing w:before="60" w:after="60" w:line="413" w:lineRule="auto"/>
    </w:pPr>
    <w:rPr>
      <w:rFonts w:ascii="Arial" w:hAnsi="Arial"/>
      <w:kern w:val="0"/>
    </w:rPr>
  </w:style>
  <w:style w:type="paragraph" w:customStyle="1" w:styleId="226">
    <w:name w:val="xl61"/>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center"/>
    </w:pPr>
    <w:rPr>
      <w:color w:val="000000"/>
      <w:kern w:val="0"/>
      <w:szCs w:val="21"/>
    </w:rPr>
  </w:style>
  <w:style w:type="paragraph" w:customStyle="1" w:styleId="227">
    <w:name w:val="Char Char1 Char Char Char Char Char Char Char Char Char Char"/>
    <w:basedOn w:val="1"/>
    <w:qFormat/>
    <w:uiPriority w:val="0"/>
    <w:pPr>
      <w:widowControl/>
      <w:spacing w:after="160" w:line="240" w:lineRule="exact"/>
      <w:jc w:val="left"/>
    </w:pPr>
    <w:rPr>
      <w:szCs w:val="20"/>
    </w:rPr>
  </w:style>
  <w:style w:type="paragraph" w:customStyle="1" w:styleId="228">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paragraph" w:customStyle="1" w:styleId="229">
    <w:name w:val="Char1 Char Char Char Char Char Char"/>
    <w:basedOn w:val="1"/>
    <w:qFormat/>
    <w:uiPriority w:val="0"/>
    <w:rPr>
      <w:rFonts w:ascii="Tahoma" w:hAnsi="Tahoma"/>
      <w:sz w:val="24"/>
      <w:szCs w:val="20"/>
    </w:rPr>
  </w:style>
  <w:style w:type="paragraph" w:customStyle="1" w:styleId="230">
    <w:name w:val="正正正正"/>
    <w:basedOn w:val="2"/>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31">
    <w:name w:val="表格文字"/>
    <w:basedOn w:val="1"/>
    <w:qFormat/>
    <w:uiPriority w:val="0"/>
    <w:pPr>
      <w:adjustRightInd w:val="0"/>
      <w:spacing w:line="420" w:lineRule="atLeast"/>
      <w:jc w:val="left"/>
    </w:pPr>
    <w:rPr>
      <w:kern w:val="0"/>
    </w:rPr>
  </w:style>
  <w:style w:type="paragraph" w:customStyle="1" w:styleId="23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正文_1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xl59"/>
    <w:basedOn w:val="1"/>
    <w:qFormat/>
    <w:uiPriority w:val="0"/>
    <w:pPr>
      <w:widowControl/>
      <w:pBdr>
        <w:top w:val="single" w:color="0000FF" w:sz="4" w:space="0"/>
        <w:left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235">
    <w:name w:val="次小点说明 Char"/>
    <w:basedOn w:val="8"/>
    <w:qFormat/>
    <w:uiPriority w:val="0"/>
    <w:pPr>
      <w:ind w:firstLine="0"/>
    </w:pPr>
    <w:rPr>
      <w:sz w:val="24"/>
      <w:szCs w:val="24"/>
    </w:rPr>
  </w:style>
  <w:style w:type="paragraph" w:customStyle="1" w:styleId="236">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Char Char Char Char Char Char Char"/>
    <w:basedOn w:val="1"/>
    <w:qFormat/>
    <w:uiPriority w:val="99"/>
    <w:pPr>
      <w:widowControl/>
      <w:spacing w:after="160" w:line="240" w:lineRule="exact"/>
      <w:jc w:val="left"/>
    </w:pPr>
    <w:rPr>
      <w:szCs w:val="21"/>
    </w:rPr>
  </w:style>
  <w:style w:type="paragraph" w:customStyle="1" w:styleId="238">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239">
    <w:name w:val="修订1"/>
    <w:qFormat/>
    <w:uiPriority w:val="99"/>
    <w:rPr>
      <w:rFonts w:ascii="Times New Roman" w:hAnsi="Times New Roman" w:eastAsia="宋体" w:cs="Times New Roman"/>
      <w:kern w:val="2"/>
      <w:sz w:val="21"/>
      <w:szCs w:val="21"/>
      <w:lang w:val="en-US" w:eastAsia="zh-CN" w:bidi="ar-SA"/>
    </w:rPr>
  </w:style>
  <w:style w:type="paragraph" w:customStyle="1" w:styleId="240">
    <w:name w:val="xl3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4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2">
    <w:name w:val="样式1"/>
    <w:basedOn w:val="1"/>
    <w:next w:val="6"/>
    <w:qFormat/>
    <w:uiPriority w:val="99"/>
    <w:pPr>
      <w:spacing w:line="360" w:lineRule="auto"/>
      <w:ind w:firstLine="420" w:firstLineChars="200"/>
    </w:pPr>
    <w:rPr>
      <w:rFonts w:ascii="宋体" w:hAnsi="宋体" w:cs="宋体"/>
      <w:szCs w:val="21"/>
    </w:rPr>
  </w:style>
  <w:style w:type="paragraph" w:customStyle="1" w:styleId="243">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44">
    <w:name w:val="列出段落1"/>
    <w:basedOn w:val="1"/>
    <w:qFormat/>
    <w:uiPriority w:val="0"/>
    <w:pPr>
      <w:ind w:firstLine="420" w:firstLineChars="200"/>
    </w:pPr>
    <w:rPr>
      <w:rFonts w:ascii="Calibri" w:hAnsi="Calibri" w:cs="Calibri"/>
      <w:szCs w:val="21"/>
    </w:rPr>
  </w:style>
  <w:style w:type="paragraph" w:customStyle="1" w:styleId="245">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246">
    <w:name w:val="修订11"/>
    <w:qFormat/>
    <w:uiPriority w:val="99"/>
    <w:rPr>
      <w:rFonts w:ascii="Times New Roman" w:hAnsi="Times New Roman" w:eastAsia="宋体" w:cs="Times New Roman"/>
      <w:kern w:val="2"/>
      <w:sz w:val="21"/>
      <w:szCs w:val="21"/>
      <w:lang w:val="en-US" w:eastAsia="zh-CN" w:bidi="ar-SA"/>
    </w:rPr>
  </w:style>
  <w:style w:type="paragraph" w:customStyle="1" w:styleId="247">
    <w:name w:val="xl49"/>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48">
    <w:name w:val="xl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b/>
      <w:bCs/>
      <w:kern w:val="0"/>
      <w:szCs w:val="21"/>
      <w:u w:val="single"/>
    </w:rPr>
  </w:style>
  <w:style w:type="paragraph" w:customStyle="1" w:styleId="249">
    <w:name w:val="p0"/>
    <w:basedOn w:val="1"/>
    <w:qFormat/>
    <w:uiPriority w:val="0"/>
    <w:pPr>
      <w:widowControl/>
    </w:pPr>
    <w:rPr>
      <w:rFonts w:ascii="Calibri" w:hAnsi="Calibri" w:cs="Calibri"/>
      <w:kern w:val="0"/>
      <w:szCs w:val="21"/>
    </w:rPr>
  </w:style>
  <w:style w:type="paragraph" w:customStyle="1" w:styleId="250">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Cs w:val="21"/>
    </w:rPr>
  </w:style>
  <w:style w:type="paragraph" w:customStyle="1" w:styleId="251">
    <w:name w:val="样式 标题 3 + (中文) 黑体 小四 非加粗 段前: 7.8 磅 段后: 0 磅 行距: 固定值 20 磅"/>
    <w:basedOn w:val="5"/>
    <w:qFormat/>
    <w:uiPriority w:val="99"/>
    <w:pPr>
      <w:spacing w:before="0" w:after="0" w:line="400" w:lineRule="exact"/>
    </w:pPr>
    <w:rPr>
      <w:rFonts w:eastAsia="黑体"/>
      <w:b w:val="0"/>
      <w:bCs w:val="0"/>
      <w:lang w:val="zh-CN"/>
    </w:rPr>
  </w:style>
  <w:style w:type="paragraph" w:customStyle="1" w:styleId="252">
    <w:name w:val="xl58"/>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kern w:val="0"/>
      <w:szCs w:val="21"/>
    </w:rPr>
  </w:style>
  <w:style w:type="paragraph" w:customStyle="1" w:styleId="253">
    <w:name w:val="_Style 1"/>
    <w:basedOn w:val="1"/>
    <w:qFormat/>
    <w:uiPriority w:val="1"/>
    <w:pPr>
      <w:ind w:firstLine="420" w:firstLineChars="200"/>
      <w:jc w:val="left"/>
    </w:pPr>
    <w:rPr>
      <w:rFonts w:ascii="Times New Roman)" w:hAnsi="Times New Roman)" w:eastAsia="宋体正文"/>
      <w:color w:val="000000"/>
      <w:kern w:val="0"/>
      <w:lang w:eastAsia="en-US" w:bidi="en-US"/>
    </w:rPr>
  </w:style>
  <w:style w:type="paragraph" w:customStyle="1" w:styleId="254">
    <w:name w:val="Char Char Char1"/>
    <w:basedOn w:val="1"/>
    <w:qFormat/>
    <w:uiPriority w:val="0"/>
    <w:rPr>
      <w:rFonts w:ascii="Tahoma" w:hAnsi="Tahoma"/>
      <w:sz w:val="24"/>
      <w:szCs w:val="20"/>
    </w:rPr>
  </w:style>
  <w:style w:type="paragraph" w:customStyle="1" w:styleId="255">
    <w:name w:val="xl46"/>
    <w:basedOn w:val="1"/>
    <w:qFormat/>
    <w:uiPriority w:val="0"/>
    <w:pPr>
      <w:widowControl/>
      <w:pBdr>
        <w:top w:val="single" w:color="0000FF" w:sz="8" w:space="0"/>
        <w:left w:val="single" w:color="0000FF" w:sz="8"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56">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257">
    <w:name w:val="Blockquote"/>
    <w:basedOn w:val="1"/>
    <w:qFormat/>
    <w:uiPriority w:val="0"/>
    <w:pPr>
      <w:autoSpaceDE w:val="0"/>
      <w:autoSpaceDN w:val="0"/>
      <w:adjustRightInd w:val="0"/>
      <w:spacing w:before="100" w:after="100" w:line="312" w:lineRule="atLeast"/>
      <w:ind w:left="360" w:right="360"/>
    </w:pPr>
    <w:rPr>
      <w:kern w:val="0"/>
      <w:sz w:val="24"/>
      <w:szCs w:val="20"/>
    </w:rPr>
  </w:style>
  <w:style w:type="paragraph" w:customStyle="1" w:styleId="258">
    <w:name w:val="TOC 标题1"/>
    <w:basedOn w:val="3"/>
    <w:next w:val="1"/>
    <w:qFormat/>
    <w:uiPriority w:val="99"/>
    <w:pPr>
      <w:spacing w:line="576" w:lineRule="auto"/>
      <w:outlineLvl w:val="9"/>
    </w:pPr>
    <w:rPr>
      <w:rFonts w:ascii="Calibri" w:hAnsi="Calibri" w:eastAsia="黑体" w:cs="Calibri"/>
      <w:lang w:val="zh-CN"/>
    </w:rPr>
  </w:style>
  <w:style w:type="paragraph" w:customStyle="1" w:styleId="259">
    <w:name w:val="列表段落1"/>
    <w:basedOn w:val="1"/>
    <w:qFormat/>
    <w:uiPriority w:val="34"/>
    <w:pPr>
      <w:ind w:firstLine="420" w:firstLineChars="200"/>
    </w:pPr>
    <w:rPr>
      <w:rFonts w:ascii="Calibri" w:hAnsi="Calibri"/>
      <w:szCs w:val="22"/>
    </w:rPr>
  </w:style>
  <w:style w:type="paragraph" w:customStyle="1" w:styleId="260">
    <w:name w:val="xl57"/>
    <w:basedOn w:val="1"/>
    <w:qFormat/>
    <w:uiPriority w:val="0"/>
    <w:pPr>
      <w:widowControl/>
      <w:pBdr>
        <w:left w:val="single" w:color="0000FF" w:sz="4" w:space="0"/>
        <w:bottom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61">
    <w:name w:val="xl51"/>
    <w:basedOn w:val="1"/>
    <w:qFormat/>
    <w:uiPriority w:val="0"/>
    <w:pPr>
      <w:widowControl/>
      <w:pBdr>
        <w:top w:val="single" w:color="0000FF" w:sz="4" w:space="0"/>
        <w:left w:val="single" w:color="0000FF" w:sz="4" w:space="0"/>
        <w:bottom w:val="single" w:color="0000FF" w:sz="8" w:space="0"/>
        <w:right w:val="single" w:color="0000FF" w:sz="4" w:space="0"/>
      </w:pBdr>
      <w:spacing w:before="100" w:beforeAutospacing="1" w:after="100" w:afterAutospacing="1"/>
      <w:jc w:val="center"/>
    </w:pPr>
    <w:rPr>
      <w:rFonts w:ascii="宋体" w:hAnsi="宋体"/>
      <w:kern w:val="0"/>
      <w:sz w:val="24"/>
    </w:rPr>
  </w:style>
  <w:style w:type="paragraph" w:customStyle="1" w:styleId="262">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63">
    <w:name w:val="xl45"/>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left"/>
    </w:pPr>
    <w:rPr>
      <w:rFonts w:ascii="宋体" w:hAnsi="宋体"/>
      <w:kern w:val="0"/>
      <w:sz w:val="24"/>
    </w:rPr>
  </w:style>
  <w:style w:type="paragraph" w:customStyle="1" w:styleId="264">
    <w:name w:val="_Style 36"/>
    <w:basedOn w:val="1"/>
    <w:qFormat/>
    <w:uiPriority w:val="0"/>
    <w:rPr>
      <w:rFonts w:ascii="Tahoma" w:hAnsi="Tahoma"/>
      <w:sz w:val="24"/>
      <w:szCs w:val="20"/>
    </w:rPr>
  </w:style>
  <w:style w:type="paragraph" w:customStyle="1" w:styleId="265">
    <w:name w:val="xl54"/>
    <w:basedOn w:val="1"/>
    <w:qFormat/>
    <w:uiPriority w:val="0"/>
    <w:pPr>
      <w:widowControl/>
      <w:pBdr>
        <w:top w:val="single" w:color="0000FF" w:sz="4" w:space="0"/>
        <w:left w:val="single" w:color="0000FF" w:sz="8"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266">
    <w:name w:val="Char Char Char"/>
    <w:basedOn w:val="1"/>
    <w:qFormat/>
    <w:uiPriority w:val="0"/>
    <w:rPr>
      <w:rFonts w:ascii="Tahoma" w:hAnsi="Tahoma"/>
      <w:sz w:val="24"/>
      <w:szCs w:val="20"/>
    </w:rPr>
  </w:style>
  <w:style w:type="paragraph" w:customStyle="1" w:styleId="267">
    <w:name w:val="Char"/>
    <w:basedOn w:val="1"/>
    <w:qFormat/>
    <w:uiPriority w:val="0"/>
    <w:pPr>
      <w:widowControl/>
      <w:spacing w:after="160" w:line="240" w:lineRule="exact"/>
      <w:jc w:val="left"/>
    </w:pPr>
    <w:rPr>
      <w:szCs w:val="21"/>
    </w:rPr>
  </w:style>
  <w:style w:type="paragraph" w:customStyle="1" w:styleId="268">
    <w:name w:val="xl53"/>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69">
    <w:name w:val="font8"/>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270">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71">
    <w:name w:val="正文呀2_0"/>
    <w:basedOn w:val="272"/>
    <w:qFormat/>
    <w:uiPriority w:val="0"/>
    <w:rPr>
      <w:rFonts w:ascii="Times New Roman" w:hAnsi="Times New Roman" w:eastAsia="宋体"/>
    </w:rPr>
  </w:style>
  <w:style w:type="paragraph" w:customStyle="1" w:styleId="272">
    <w:name w:val="正文呀_0"/>
    <w:basedOn w:val="273"/>
    <w:qFormat/>
    <w:uiPriority w:val="0"/>
    <w:pPr>
      <w:spacing w:line="420" w:lineRule="exact"/>
      <w:ind w:firstLine="420" w:firstLineChars="200"/>
    </w:pPr>
    <w:rPr>
      <w:rFonts w:ascii="宋体" w:hAnsi="宋体" w:eastAsia="等线"/>
    </w:rPr>
  </w:style>
  <w:style w:type="paragraph" w:customStyle="1" w:styleId="273">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4">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75">
    <w:name w:val="默认段落字体 Para Char Char Char Char Char Char Char Char Char1 Char Char Char Char"/>
    <w:basedOn w:val="1"/>
    <w:qFormat/>
    <w:uiPriority w:val="0"/>
    <w:rPr>
      <w:rFonts w:ascii="Tahoma" w:hAnsi="Tahoma"/>
      <w:sz w:val="24"/>
      <w:szCs w:val="20"/>
    </w:rPr>
  </w:style>
  <w:style w:type="paragraph" w:customStyle="1" w:styleId="27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7">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78">
    <w:name w:val="标题 3_0"/>
    <w:basedOn w:val="279"/>
    <w:next w:val="1"/>
    <w:qFormat/>
    <w:uiPriority w:val="0"/>
    <w:pPr>
      <w:keepNext/>
      <w:keepLines/>
      <w:spacing w:before="260" w:after="260" w:line="412" w:lineRule="auto"/>
      <w:jc w:val="left"/>
      <w:outlineLvl w:val="2"/>
    </w:pPr>
    <w:rPr>
      <w:b/>
    </w:rPr>
  </w:style>
  <w:style w:type="paragraph" w:customStyle="1" w:styleId="279">
    <w:name w:val="正文_0"/>
    <w:qFormat/>
    <w:uiPriority w:val="0"/>
    <w:pPr>
      <w:widowControl w:val="0"/>
      <w:spacing w:before="120" w:after="120"/>
      <w:jc w:val="both"/>
    </w:pPr>
    <w:rPr>
      <w:rFonts w:ascii="Calibri" w:hAnsi="Calibri" w:eastAsia="宋体" w:cs="Times New Roman"/>
      <w:kern w:val="2"/>
      <w:sz w:val="21"/>
      <w:szCs w:val="24"/>
      <w:lang w:val="en-US" w:eastAsia="zh-CN" w:bidi="ar-SA"/>
    </w:rPr>
  </w:style>
  <w:style w:type="paragraph" w:customStyle="1" w:styleId="280">
    <w:name w:val="font7"/>
    <w:basedOn w:val="1"/>
    <w:qFormat/>
    <w:uiPriority w:val="0"/>
    <w:pPr>
      <w:widowControl/>
      <w:spacing w:before="100" w:beforeAutospacing="1" w:after="100" w:afterAutospacing="1"/>
      <w:jc w:val="left"/>
    </w:pPr>
    <w:rPr>
      <w:kern w:val="0"/>
      <w:sz w:val="20"/>
      <w:szCs w:val="20"/>
    </w:rPr>
  </w:style>
  <w:style w:type="paragraph" w:customStyle="1" w:styleId="281">
    <w:name w:val="列出段落11"/>
    <w:qFormat/>
    <w:uiPriority w:val="34"/>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2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paragraph" w:customStyle="1" w:styleId="283">
    <w:name w:val="xl50"/>
    <w:basedOn w:val="1"/>
    <w:qFormat/>
    <w:uiPriority w:val="0"/>
    <w:pPr>
      <w:widowControl/>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84">
    <w:name w:val="xl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85">
    <w:name w:val="xl4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楷体_GB2312" w:hAnsi="宋体" w:eastAsia="楷体_GB2312"/>
      <w:b/>
      <w:bCs/>
      <w:kern w:val="0"/>
      <w:sz w:val="20"/>
      <w:szCs w:val="20"/>
    </w:rPr>
  </w:style>
  <w:style w:type="paragraph" w:customStyle="1" w:styleId="2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u w:val="single"/>
    </w:rPr>
  </w:style>
  <w:style w:type="paragraph" w:customStyle="1" w:styleId="287">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4"/>
      <w:szCs w:val="20"/>
    </w:rPr>
  </w:style>
  <w:style w:type="paragraph" w:customStyle="1" w:styleId="288">
    <w:name w:val="xl52"/>
    <w:basedOn w:val="1"/>
    <w:qFormat/>
    <w:uiPriority w:val="0"/>
    <w:pPr>
      <w:widowControl/>
      <w:pBdr>
        <w:top w:val="single" w:color="0000FF" w:sz="8"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89">
    <w:name w:val="列出段落2"/>
    <w:basedOn w:val="1"/>
    <w:qFormat/>
    <w:uiPriority w:val="99"/>
    <w:pPr>
      <w:ind w:firstLine="420" w:firstLineChars="200"/>
    </w:pPr>
    <w:rPr>
      <w:rFonts w:ascii="Calibri" w:hAnsi="Calibri" w:cs="Calibri"/>
      <w:szCs w:val="21"/>
    </w:rPr>
  </w:style>
  <w:style w:type="paragraph" w:customStyle="1" w:styleId="29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91">
    <w:name w:val="标题 2_0"/>
    <w:basedOn w:val="1"/>
    <w:next w:val="1"/>
    <w:qFormat/>
    <w:uiPriority w:val="9"/>
    <w:pPr>
      <w:keepNext/>
      <w:keepLines/>
      <w:spacing w:before="260" w:after="260" w:line="412" w:lineRule="auto"/>
      <w:jc w:val="left"/>
      <w:outlineLvl w:val="1"/>
    </w:pPr>
    <w:rPr>
      <w:rFonts w:ascii="Arial" w:hAnsi="Arial"/>
      <w:b/>
    </w:rPr>
  </w:style>
  <w:style w:type="paragraph" w:customStyle="1" w:styleId="292">
    <w:name w:val="xl44"/>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9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95">
    <w:name w:val="xl2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Cs w:val="21"/>
    </w:rPr>
  </w:style>
  <w:style w:type="paragraph" w:customStyle="1" w:styleId="296">
    <w:name w:val="正文小四缩进"/>
    <w:next w:val="1"/>
    <w:qFormat/>
    <w:uiPriority w:val="0"/>
    <w:pPr>
      <w:widowControl w:val="0"/>
      <w:adjustRightInd w:val="0"/>
      <w:snapToGrid w:val="0"/>
      <w:spacing w:line="360" w:lineRule="auto"/>
      <w:ind w:firstLine="420" w:firstLineChars="200"/>
    </w:pPr>
    <w:rPr>
      <w:rFonts w:ascii="宋体" w:hAnsi="宋体" w:eastAsia="Times New Roman" w:cs="Times New Roman"/>
      <w:kern w:val="2"/>
      <w:sz w:val="21"/>
      <w:szCs w:val="21"/>
      <w:lang w:val="en-US" w:eastAsia="zh-CN" w:bidi="ar-SA"/>
    </w:rPr>
  </w:style>
  <w:style w:type="paragraph" w:customStyle="1" w:styleId="297">
    <w:name w:val="1"/>
    <w:basedOn w:val="1"/>
    <w:next w:val="1"/>
    <w:qFormat/>
    <w:uiPriority w:val="99"/>
    <w:rPr>
      <w:szCs w:val="21"/>
    </w:rPr>
  </w:style>
  <w:style w:type="paragraph" w:customStyle="1" w:styleId="298">
    <w:name w:val="Table Paragraph"/>
    <w:basedOn w:val="1"/>
    <w:qFormat/>
    <w:uiPriority w:val="1"/>
    <w:pPr>
      <w:jc w:val="left"/>
    </w:pPr>
    <w:rPr>
      <w:rFonts w:ascii="Calibri" w:hAnsi="Calibri"/>
      <w:kern w:val="0"/>
      <w:sz w:val="22"/>
      <w:szCs w:val="22"/>
      <w:lang w:eastAsia="en-US"/>
    </w:rPr>
  </w:style>
  <w:style w:type="paragraph" w:customStyle="1" w:styleId="299">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300">
    <w:name w:val="xl60"/>
    <w:basedOn w:val="1"/>
    <w:qFormat/>
    <w:uiPriority w:val="0"/>
    <w:pPr>
      <w:widowControl/>
      <w:pBdr>
        <w:left w:val="single" w:color="0000FF" w:sz="4" w:space="0"/>
        <w:bottom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301">
    <w:name w:val="正文缩进1"/>
    <w:basedOn w:val="1"/>
    <w:next w:val="1"/>
    <w:qFormat/>
    <w:uiPriority w:val="0"/>
    <w:pPr>
      <w:widowControl/>
      <w:ind w:firstLine="420"/>
    </w:pPr>
    <w:rPr>
      <w:color w:val="000000"/>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b/>
      <w:bCs/>
      <w:kern w:val="0"/>
      <w:szCs w:val="21"/>
    </w:rPr>
  </w:style>
  <w:style w:type="paragraph" w:customStyle="1" w:styleId="303">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kern w:val="0"/>
      <w:szCs w:val="21"/>
    </w:rPr>
  </w:style>
  <w:style w:type="paragraph" w:customStyle="1" w:styleId="304">
    <w:name w:val="xl3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楷体_GB2312" w:hAnsi="宋体" w:eastAsia="楷体_GB2312"/>
      <w:kern w:val="0"/>
      <w:szCs w:val="21"/>
    </w:rPr>
  </w:style>
  <w:style w:type="paragraph" w:customStyle="1" w:styleId="305">
    <w:name w:val="pa-1"/>
    <w:basedOn w:val="1"/>
    <w:qFormat/>
    <w:uiPriority w:val="0"/>
    <w:pPr>
      <w:widowControl/>
      <w:spacing w:line="384" w:lineRule="atLeast"/>
      <w:jc w:val="left"/>
    </w:pPr>
    <w:rPr>
      <w:rFonts w:ascii="宋体" w:hAnsi="宋体" w:cs="宋体"/>
      <w:kern w:val="0"/>
      <w:sz w:val="24"/>
    </w:rPr>
  </w:style>
  <w:style w:type="paragraph" w:customStyle="1" w:styleId="306">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pPr>
    <w:rPr>
      <w:rFonts w:ascii="楷体_GB2312" w:hAnsi="宋体" w:eastAsia="楷体_GB2312"/>
      <w:b/>
      <w:bCs/>
      <w:kern w:val="0"/>
      <w:szCs w:val="21"/>
    </w:rPr>
  </w:style>
  <w:style w:type="paragraph" w:customStyle="1" w:styleId="307">
    <w:name w:val="one"/>
    <w:basedOn w:val="1"/>
    <w:qFormat/>
    <w:uiPriority w:val="0"/>
    <w:pPr>
      <w:widowControl/>
      <w:jc w:val="left"/>
    </w:pPr>
    <w:rPr>
      <w:rFonts w:ascii="宋体" w:cs="宋体"/>
      <w:kern w:val="0"/>
      <w:sz w:val="24"/>
    </w:rPr>
  </w:style>
  <w:style w:type="paragraph" w:customStyle="1" w:styleId="308">
    <w:name w:val="Char1"/>
    <w:basedOn w:val="1"/>
    <w:qFormat/>
    <w:uiPriority w:val="99"/>
    <w:pPr>
      <w:widowControl/>
      <w:spacing w:after="160" w:line="240" w:lineRule="exact"/>
      <w:jc w:val="left"/>
    </w:pPr>
    <w:rPr>
      <w:szCs w:val="21"/>
    </w:rPr>
  </w:style>
  <w:style w:type="paragraph" w:customStyle="1" w:styleId="309">
    <w:name w:val="xl56"/>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310">
    <w:name w:val="Char Char1 Char Char Char Char Char Char"/>
    <w:basedOn w:val="1"/>
    <w:qFormat/>
    <w:uiPriority w:val="0"/>
    <w:pPr>
      <w:widowControl/>
      <w:adjustRightInd w:val="0"/>
      <w:snapToGrid w:val="0"/>
      <w:spacing w:beforeLines="25" w:line="240" w:lineRule="exact"/>
      <w:ind w:firstLine="560" w:firstLineChars="192"/>
      <w:jc w:val="left"/>
    </w:pPr>
    <w:rPr>
      <w:szCs w:val="20"/>
    </w:rPr>
  </w:style>
  <w:style w:type="paragraph" w:customStyle="1" w:styleId="31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2">
    <w:name w:val="font11"/>
    <w:basedOn w:val="1"/>
    <w:qFormat/>
    <w:uiPriority w:val="0"/>
    <w:pPr>
      <w:widowControl/>
      <w:spacing w:before="100" w:beforeAutospacing="1" w:after="100" w:afterAutospacing="1"/>
      <w:jc w:val="left"/>
    </w:pPr>
    <w:rPr>
      <w:rFonts w:ascii="宋体" w:hAnsi="宋体"/>
      <w:kern w:val="0"/>
      <w:szCs w:val="21"/>
    </w:rPr>
  </w:style>
  <w:style w:type="paragraph" w:customStyle="1" w:styleId="313">
    <w:name w:val="_Style 37"/>
    <w:basedOn w:val="1"/>
    <w:next w:val="1"/>
    <w:qFormat/>
    <w:uiPriority w:val="0"/>
    <w:rPr>
      <w:szCs w:val="21"/>
    </w:rPr>
  </w:style>
  <w:style w:type="paragraph" w:customStyle="1" w:styleId="314">
    <w:name w:val="xl47"/>
    <w:basedOn w:val="1"/>
    <w:qFormat/>
    <w:uiPriority w:val="0"/>
    <w:pPr>
      <w:widowControl/>
      <w:pBdr>
        <w:top w:val="single" w:color="0000FF" w:sz="4" w:space="0"/>
        <w:left w:val="single" w:color="0000FF" w:sz="8" w:space="0"/>
        <w:bottom w:val="single" w:color="0000FF" w:sz="4" w:space="0"/>
        <w:right w:val="single" w:color="0000FF" w:sz="4" w:space="0"/>
      </w:pBdr>
      <w:spacing w:before="100" w:beforeAutospacing="1" w:after="100" w:afterAutospacing="1"/>
      <w:jc w:val="center"/>
    </w:pPr>
    <w:rPr>
      <w:rFonts w:ascii="宋体" w:hAnsi="宋体"/>
      <w:kern w:val="0"/>
      <w:sz w:val="24"/>
    </w:rPr>
  </w:style>
  <w:style w:type="paragraph" w:customStyle="1" w:styleId="315">
    <w:name w:val="CM24"/>
    <w:basedOn w:val="1"/>
    <w:next w:val="1"/>
    <w:qFormat/>
    <w:uiPriority w:val="0"/>
    <w:pPr>
      <w:autoSpaceDE w:val="0"/>
      <w:autoSpaceDN w:val="0"/>
      <w:adjustRightInd w:val="0"/>
      <w:spacing w:after="298"/>
      <w:jc w:val="left"/>
    </w:pPr>
    <w:rPr>
      <w:rFonts w:ascii="楷体_GB2312" w:eastAsia="楷体_GB2312" w:cs="楷体_GB2312"/>
      <w:kern w:val="0"/>
      <w:sz w:val="24"/>
    </w:rPr>
  </w:style>
  <w:style w:type="paragraph" w:customStyle="1" w:styleId="316">
    <w:name w:val="font9"/>
    <w:basedOn w:val="1"/>
    <w:qFormat/>
    <w:uiPriority w:val="0"/>
    <w:pPr>
      <w:widowControl/>
      <w:spacing w:before="100" w:beforeAutospacing="1" w:after="100" w:afterAutospacing="1"/>
      <w:jc w:val="left"/>
    </w:pPr>
    <w:rPr>
      <w:b/>
      <w:bCs/>
      <w:color w:val="000000"/>
      <w:kern w:val="0"/>
      <w:szCs w:val="21"/>
    </w:rPr>
  </w:style>
  <w:style w:type="paragraph" w:customStyle="1" w:styleId="317">
    <w:name w:val="xl55"/>
    <w:basedOn w:val="1"/>
    <w:qFormat/>
    <w:uiPriority w:val="0"/>
    <w:pPr>
      <w:widowControl/>
      <w:pBdr>
        <w:left w:val="single" w:color="0000FF" w:sz="8" w:space="0"/>
        <w:bottom w:val="single" w:color="0000FF" w:sz="4"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318">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319">
    <w:name w:val="_Style 20"/>
    <w:basedOn w:val="1"/>
    <w:qFormat/>
    <w:uiPriority w:val="0"/>
    <w:rPr>
      <w:rFonts w:ascii="Tahoma" w:hAnsi="Tahoma"/>
      <w:sz w:val="24"/>
      <w:szCs w:val="20"/>
    </w:rPr>
  </w:style>
  <w:style w:type="paragraph" w:customStyle="1" w:styleId="320">
    <w:name w:val="font10"/>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321">
    <w:name w:val="xl4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kern w:val="0"/>
      <w:sz w:val="24"/>
      <w:szCs w:val="20"/>
    </w:rPr>
  </w:style>
  <w:style w:type="paragraph" w:customStyle="1" w:styleId="322">
    <w:name w:val="xl48"/>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323">
    <w:name w:val="正文小标题"/>
    <w:basedOn w:val="3"/>
    <w:qFormat/>
    <w:uiPriority w:val="0"/>
    <w:pPr>
      <w:spacing w:line="420" w:lineRule="exact"/>
    </w:pPr>
    <w:rPr>
      <w:rFonts w:hAnsi="宋体"/>
      <w:sz w:val="21"/>
      <w:szCs w:val="21"/>
    </w:rPr>
  </w:style>
  <w:style w:type="paragraph" w:customStyle="1" w:styleId="324">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325">
    <w:name w:val="2-2ji"/>
    <w:basedOn w:val="4"/>
    <w:qFormat/>
    <w:uiPriority w:val="99"/>
    <w:pPr>
      <w:spacing w:before="0" w:after="0" w:line="360" w:lineRule="auto"/>
      <w:jc w:val="center"/>
    </w:pPr>
    <w:rPr>
      <w:rFonts w:ascii="宋体" w:hAnsi="宋体" w:cs="宋体"/>
      <w:sz w:val="36"/>
      <w:szCs w:val="36"/>
      <w:lang w:val="zh-CN"/>
    </w:rPr>
  </w:style>
  <w:style w:type="paragraph" w:customStyle="1" w:styleId="326">
    <w:name w:val="_Style 5"/>
    <w:qFormat/>
    <w:uiPriority w:val="1"/>
    <w:rPr>
      <w:rFonts w:ascii="Times New Roman" w:hAnsi="Times New Roman" w:eastAsia="宋体" w:cs="Times New Roman"/>
      <w:sz w:val="22"/>
      <w:szCs w:val="22"/>
      <w:lang w:val="en-US" w:eastAsia="zh-CN" w:bidi="ar-SA"/>
    </w:rPr>
  </w:style>
  <w:style w:type="paragraph" w:customStyle="1" w:styleId="327">
    <w:name w:val="首行缩进"/>
    <w:basedOn w:val="1"/>
    <w:qFormat/>
    <w:uiPriority w:val="0"/>
    <w:pPr>
      <w:ind w:firstLine="480" w:firstLineChars="200"/>
    </w:pPr>
  </w:style>
  <w:style w:type="paragraph" w:customStyle="1" w:styleId="328">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329">
    <w:name w:val="标题 3 字符1"/>
    <w:link w:val="5"/>
    <w:qFormat/>
    <w:uiPriority w:val="0"/>
    <w:rPr>
      <w:rFonts w:ascii="Calibri" w:hAnsi="Calibri" w:eastAsia="宋体" w:cs="Times New Roman"/>
      <w:b/>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1"/>
    <customShpInfo spid="_x0000_s1026" textRotate="1"/>
    <customShpInfo spid="_x0000_s3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125</Pages>
  <Words>32041</Words>
  <Characters>33916</Characters>
  <Lines>621</Lines>
  <Paragraphs>175</Paragraphs>
  <TotalTime>0</TotalTime>
  <ScaleCrop>false</ScaleCrop>
  <LinksUpToDate>false</LinksUpToDate>
  <CharactersWithSpaces>35024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2024-06-03T07:50:00Z</dcterms:created>
  <dc:creator>唐冰</dc:creator>
  <cp:lastModifiedBy>Administrator</cp:lastModifiedBy>
  <cp:lastPrinted>2025-05-29T08:51:00Z</cp:lastPrinted>
  <dcterms:modified xsi:type="dcterms:W3CDTF">2025-06-09T04:07:28Z</dcterms:modified>
  <dc:title>竞争性谈判文件规范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968B6696A2A0402199122BB8B8E56167</vt:lpwstr>
  </property>
  <property fmtid="{D5CDD505-2E9C-101B-9397-08002B2CF9AE}" pid="4" name="KSOTemplateDocerSaveRecord">
    <vt:lpwstr>eyJoZGlkIjoiZDMzZDM1ZDg5MGNmNzllYmZmZTI2ZTYwMjQ0NmE3MTEifQ==</vt:lpwstr>
  </property>
</Properties>
</file>