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5A6EC3">
      <w:pPr>
        <w:spacing w:line="360" w:lineRule="auto"/>
        <w:jc w:val="center"/>
        <w:rPr>
          <w:rFonts w:ascii="方正小标宋简体" w:hAnsi="方正小标宋简体" w:eastAsia="方正小标宋简体" w:cs="方正小标宋简体"/>
          <w:color w:val="auto"/>
          <w:sz w:val="52"/>
          <w:szCs w:val="52"/>
          <w:highlight w:val="none"/>
        </w:rPr>
      </w:pPr>
      <w:r>
        <w:rPr>
          <w:rFonts w:hint="eastAsia" w:ascii="方正小标宋简体" w:hAnsi="宋体" w:eastAsia="方正小标宋简体"/>
          <w:color w:val="auto"/>
          <w:sz w:val="52"/>
          <w:szCs w:val="52"/>
          <w:highlight w:val="none"/>
        </w:rPr>
        <w:t>云之龙咨询集团有限公司</w:t>
      </w:r>
    </w:p>
    <w:p w14:paraId="799ABB7B">
      <w:pPr>
        <w:spacing w:line="360" w:lineRule="auto"/>
        <w:jc w:val="center"/>
        <w:rPr>
          <w:rFonts w:ascii="方正小标宋简体" w:hAnsi="方正小标宋简体" w:eastAsia="方正小标宋简体" w:cs="方正小标宋简体"/>
          <w:b/>
          <w:color w:val="auto"/>
          <w:sz w:val="44"/>
          <w:szCs w:val="44"/>
          <w:highlight w:val="none"/>
        </w:rPr>
      </w:pPr>
    </w:p>
    <w:p w14:paraId="6A2CDCDD">
      <w:pPr>
        <w:spacing w:line="360" w:lineRule="auto"/>
        <w:jc w:val="center"/>
        <w:rPr>
          <w:rFonts w:ascii="方正小标宋简体" w:hAnsi="方正小标宋简体" w:eastAsia="方正小标宋简体" w:cs="方正小标宋简体"/>
          <w:b/>
          <w:color w:val="auto"/>
          <w:sz w:val="44"/>
          <w:szCs w:val="44"/>
          <w:highlight w:val="none"/>
        </w:rPr>
      </w:pPr>
    </w:p>
    <w:p w14:paraId="17EFDD27">
      <w:pPr>
        <w:snapToGrid w:val="0"/>
        <w:spacing w:before="156" w:beforeLines="50" w:line="360" w:lineRule="auto"/>
        <w:rPr>
          <w:rFonts w:ascii="华文新魏" w:hAnsi="宋体" w:eastAsia="华文新魏"/>
          <w:color w:val="auto"/>
          <w:sz w:val="120"/>
          <w:szCs w:val="120"/>
          <w:highlight w:val="none"/>
        </w:rPr>
      </w:pPr>
      <w:r>
        <w:rPr>
          <w:rFonts w:hint="eastAsia" w:ascii="华文新魏" w:hAnsi="宋体" w:eastAsia="华文新魏"/>
          <w:color w:val="auto"/>
          <w:sz w:val="120"/>
          <w:szCs w:val="120"/>
          <w:highlight w:val="none"/>
        </w:rPr>
        <w:t>竞争性磋商文件</w:t>
      </w:r>
    </w:p>
    <w:p w14:paraId="533580F9">
      <w:pPr>
        <w:snapToGrid w:val="0"/>
        <w:spacing w:before="156" w:beforeLines="50" w:line="360" w:lineRule="auto"/>
        <w:jc w:val="center"/>
        <w:rPr>
          <w:rFonts w:ascii="仿宋_GB2312" w:hAnsi="宋体" w:eastAsia="仿宋_GB2312"/>
          <w:b/>
          <w:color w:val="auto"/>
          <w:sz w:val="30"/>
          <w:szCs w:val="72"/>
          <w:highlight w:val="none"/>
        </w:rPr>
      </w:pPr>
      <w:r>
        <w:rPr>
          <w:rFonts w:hint="eastAsia" w:ascii="仿宋_GB2312" w:hAnsi="宋体" w:eastAsia="仿宋_GB2312"/>
          <w:b/>
          <w:color w:val="auto"/>
          <w:sz w:val="48"/>
          <w:szCs w:val="48"/>
          <w:highlight w:val="none"/>
        </w:rPr>
        <w:t>（全流程电子化采购）</w:t>
      </w:r>
    </w:p>
    <w:p w14:paraId="379F8B68">
      <w:pPr>
        <w:snapToGrid w:val="0"/>
        <w:spacing w:line="360" w:lineRule="auto"/>
        <w:rPr>
          <w:rFonts w:ascii="仿宋_GB2312" w:hAnsi="宋体" w:eastAsia="仿宋_GB2312"/>
          <w:color w:val="auto"/>
          <w:sz w:val="30"/>
          <w:szCs w:val="72"/>
          <w:highlight w:val="none"/>
        </w:rPr>
      </w:pPr>
    </w:p>
    <w:p w14:paraId="348EF703">
      <w:pPr>
        <w:snapToGrid w:val="0"/>
        <w:spacing w:line="360" w:lineRule="auto"/>
        <w:rPr>
          <w:rFonts w:ascii="仿宋_GB2312" w:hAnsi="宋体" w:eastAsia="仿宋_GB2312"/>
          <w:color w:val="auto"/>
          <w:sz w:val="30"/>
          <w:szCs w:val="72"/>
          <w:highlight w:val="none"/>
        </w:rPr>
      </w:pPr>
    </w:p>
    <w:p w14:paraId="248C03C8">
      <w:pPr>
        <w:pStyle w:val="18"/>
        <w:snapToGrid w:val="0"/>
        <w:spacing w:line="360" w:lineRule="auto"/>
        <w:ind w:firstLine="1506" w:firstLineChars="500"/>
        <w:rPr>
          <w:rFonts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t>项目名称：桂林电子科技大学校园管理AI服务</w:t>
      </w:r>
    </w:p>
    <w:p w14:paraId="0204E067">
      <w:pPr>
        <w:pStyle w:val="18"/>
        <w:snapToGrid w:val="0"/>
        <w:spacing w:line="360" w:lineRule="auto"/>
        <w:ind w:firstLine="3012" w:firstLineChars="1000"/>
        <w:rPr>
          <w:rFonts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t>平台采购</w:t>
      </w:r>
    </w:p>
    <w:p w14:paraId="01EEB22B">
      <w:pPr>
        <w:pStyle w:val="18"/>
        <w:snapToGrid w:val="0"/>
        <w:spacing w:line="360" w:lineRule="auto"/>
        <w:ind w:firstLine="1506" w:firstLineChars="500"/>
        <w:rPr>
          <w:rFonts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t>项目编号：GXZC2025-C3-003742-YZLZ</w:t>
      </w:r>
    </w:p>
    <w:p w14:paraId="0F5BA4F2">
      <w:pPr>
        <w:pStyle w:val="18"/>
        <w:snapToGrid w:val="0"/>
        <w:spacing w:line="360" w:lineRule="auto"/>
        <w:ind w:firstLine="1506" w:firstLineChars="500"/>
        <w:rPr>
          <w:rFonts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t>代理编号：YZLGL2025-C3-134-GXZC</w:t>
      </w:r>
    </w:p>
    <w:p w14:paraId="607C1B9A">
      <w:pPr>
        <w:pStyle w:val="18"/>
        <w:snapToGrid w:val="0"/>
        <w:spacing w:line="360" w:lineRule="auto"/>
        <w:ind w:firstLine="1506" w:firstLineChars="500"/>
        <w:rPr>
          <w:rFonts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t>校内编号：2025067</w:t>
      </w:r>
    </w:p>
    <w:p w14:paraId="1FA65B17">
      <w:pPr>
        <w:pStyle w:val="18"/>
        <w:snapToGrid w:val="0"/>
        <w:spacing w:line="360" w:lineRule="auto"/>
        <w:ind w:firstLine="1506" w:firstLineChars="500"/>
        <w:rPr>
          <w:rFonts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t>采 购 人：桂林电子科技大学</w:t>
      </w:r>
    </w:p>
    <w:p w14:paraId="63787FBD">
      <w:pPr>
        <w:pStyle w:val="18"/>
        <w:snapToGrid w:val="0"/>
        <w:spacing w:line="360" w:lineRule="auto"/>
        <w:ind w:firstLine="1506" w:firstLineChars="500"/>
        <w:rPr>
          <w:rFonts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t>采购代理机构：云之龙咨询集团有限公司</w:t>
      </w:r>
    </w:p>
    <w:p w14:paraId="1C9DEA2A">
      <w:pPr>
        <w:pStyle w:val="18"/>
        <w:snapToGrid w:val="0"/>
        <w:spacing w:line="360" w:lineRule="auto"/>
        <w:jc w:val="center"/>
        <w:rPr>
          <w:rFonts w:ascii="仿宋_GB2312" w:hAnsi="宋体" w:eastAsia="仿宋_GB2312"/>
          <w:b/>
          <w:bCs/>
          <w:color w:val="auto"/>
          <w:w w:val="95"/>
          <w:sz w:val="30"/>
          <w:szCs w:val="30"/>
          <w:highlight w:val="none"/>
        </w:rPr>
      </w:pPr>
    </w:p>
    <w:p w14:paraId="36760CFE">
      <w:pPr>
        <w:pStyle w:val="18"/>
        <w:snapToGrid w:val="0"/>
        <w:spacing w:line="360" w:lineRule="auto"/>
        <w:jc w:val="center"/>
        <w:rPr>
          <w:rFonts w:ascii="仿宋_GB2312" w:hAnsi="宋体" w:eastAsia="仿宋_GB2312"/>
          <w:b/>
          <w:bCs/>
          <w:color w:val="auto"/>
          <w:w w:val="95"/>
          <w:sz w:val="30"/>
          <w:szCs w:val="30"/>
          <w:highlight w:val="none"/>
        </w:rPr>
      </w:pPr>
    </w:p>
    <w:p w14:paraId="43BF9BC8">
      <w:pPr>
        <w:pStyle w:val="18"/>
        <w:snapToGrid w:val="0"/>
        <w:spacing w:line="360" w:lineRule="auto"/>
        <w:jc w:val="center"/>
        <w:rPr>
          <w:rFonts w:ascii="仿宋_GB2312" w:eastAsia="仿宋_GB2312"/>
          <w:color w:val="auto"/>
          <w:szCs w:val="20"/>
          <w:highlight w:val="none"/>
        </w:rPr>
      </w:pPr>
      <w:r>
        <w:rPr>
          <w:rFonts w:hint="eastAsia" w:ascii="仿宋_GB2312" w:hAnsi="宋体" w:eastAsia="仿宋_GB2312"/>
          <w:b/>
          <w:bCs/>
          <w:color w:val="auto"/>
          <w:w w:val="95"/>
          <w:sz w:val="30"/>
          <w:szCs w:val="30"/>
          <w:highlight w:val="none"/>
        </w:rPr>
        <w:t>2025年</w:t>
      </w:r>
      <w:r>
        <w:rPr>
          <w:rFonts w:hint="eastAsia" w:ascii="仿宋_GB2312" w:hAnsi="宋体" w:eastAsia="仿宋_GB2312"/>
          <w:b/>
          <w:bCs/>
          <w:color w:val="auto"/>
          <w:w w:val="95"/>
          <w:sz w:val="30"/>
          <w:szCs w:val="30"/>
          <w:highlight w:val="none"/>
          <w:lang w:val="en-US" w:eastAsia="zh-CN"/>
        </w:rPr>
        <w:t>12</w:t>
      </w:r>
      <w:r>
        <w:rPr>
          <w:rFonts w:hint="eastAsia" w:ascii="仿宋_GB2312" w:hAnsi="宋体" w:eastAsia="仿宋_GB2312"/>
          <w:b/>
          <w:bCs/>
          <w:color w:val="auto"/>
          <w:w w:val="95"/>
          <w:sz w:val="30"/>
          <w:szCs w:val="30"/>
          <w:highlight w:val="none"/>
        </w:rPr>
        <w:t>月</w:t>
      </w:r>
      <w:r>
        <w:rPr>
          <w:rFonts w:hint="eastAsia" w:ascii="仿宋_GB2312" w:hAnsi="宋体" w:eastAsia="仿宋_GB2312"/>
          <w:b/>
          <w:bCs/>
          <w:color w:val="auto"/>
          <w:w w:val="95"/>
          <w:sz w:val="30"/>
          <w:szCs w:val="30"/>
          <w:highlight w:val="none"/>
          <w:lang w:val="en-US" w:eastAsia="zh-CN"/>
        </w:rPr>
        <w:t>4</w:t>
      </w:r>
      <w:r>
        <w:rPr>
          <w:rFonts w:hint="eastAsia" w:ascii="仿宋_GB2312" w:hAnsi="宋体" w:eastAsia="仿宋_GB2312"/>
          <w:b/>
          <w:bCs/>
          <w:color w:val="auto"/>
          <w:w w:val="95"/>
          <w:sz w:val="30"/>
          <w:szCs w:val="30"/>
          <w:highlight w:val="none"/>
        </w:rPr>
        <w:t>日</w:t>
      </w:r>
    </w:p>
    <w:p w14:paraId="2B264A0E">
      <w:pPr>
        <w:spacing w:line="360" w:lineRule="auto"/>
        <w:jc w:val="center"/>
        <w:rPr>
          <w:rFonts w:ascii="宋体" w:hAnsi="宋体" w:cs="宋体"/>
          <w:b/>
          <w:color w:val="auto"/>
          <w:szCs w:val="21"/>
          <w:highlight w:val="none"/>
        </w:rPr>
      </w:pPr>
    </w:p>
    <w:p w14:paraId="4C057286">
      <w:pPr>
        <w:spacing w:line="360" w:lineRule="auto"/>
        <w:jc w:val="center"/>
        <w:rPr>
          <w:rFonts w:ascii="宋体" w:hAnsi="宋体"/>
          <w:b/>
          <w:color w:val="auto"/>
          <w:sz w:val="44"/>
          <w:szCs w:val="44"/>
          <w:highlight w:val="none"/>
        </w:rPr>
        <w:sectPr>
          <w:headerReference r:id="rId4" w:type="first"/>
          <w:headerReference r:id="rId3" w:type="default"/>
          <w:footerReference r:id="rId5" w:type="default"/>
          <w:pgSz w:w="11906" w:h="16838"/>
          <w:pgMar w:top="1440" w:right="1558" w:bottom="1440" w:left="1800" w:header="567" w:footer="992" w:gutter="0"/>
          <w:pgNumType w:start="0"/>
          <w:cols w:space="720" w:num="1"/>
          <w:titlePg/>
          <w:docGrid w:type="lines" w:linePitch="312" w:charSpace="0"/>
        </w:sectPr>
      </w:pPr>
    </w:p>
    <w:p w14:paraId="72EB5DC1">
      <w:pPr>
        <w:spacing w:line="360" w:lineRule="auto"/>
        <w:jc w:val="center"/>
        <w:rPr>
          <w:rFonts w:ascii="宋体" w:hAnsi="宋体"/>
          <w:b/>
          <w:color w:val="auto"/>
          <w:sz w:val="44"/>
          <w:szCs w:val="44"/>
          <w:highlight w:val="none"/>
        </w:rPr>
      </w:pPr>
    </w:p>
    <w:p w14:paraId="4A0BFF5A">
      <w:pPr>
        <w:spacing w:line="360" w:lineRule="auto"/>
        <w:jc w:val="center"/>
        <w:rPr>
          <w:rFonts w:ascii="宋体" w:hAnsi="宋体"/>
          <w:b/>
          <w:color w:val="auto"/>
          <w:sz w:val="44"/>
          <w:szCs w:val="44"/>
          <w:highlight w:val="none"/>
        </w:rPr>
      </w:pPr>
      <w:r>
        <w:rPr>
          <w:rFonts w:hint="eastAsia" w:ascii="宋体" w:hAnsi="宋体"/>
          <w:b/>
          <w:color w:val="auto"/>
          <w:sz w:val="44"/>
          <w:szCs w:val="44"/>
          <w:highlight w:val="none"/>
        </w:rPr>
        <w:t>目  录</w:t>
      </w:r>
    </w:p>
    <w:p w14:paraId="7949D37E">
      <w:pPr>
        <w:spacing w:line="400" w:lineRule="exact"/>
        <w:jc w:val="center"/>
        <w:rPr>
          <w:rFonts w:ascii="宋体" w:hAnsi="宋体"/>
          <w:b/>
          <w:color w:val="auto"/>
          <w:sz w:val="44"/>
          <w:szCs w:val="44"/>
          <w:highlight w:val="none"/>
        </w:rPr>
      </w:pPr>
    </w:p>
    <w:p w14:paraId="7A69D5A4">
      <w:pPr>
        <w:pStyle w:val="23"/>
        <w:tabs>
          <w:tab w:val="right" w:leader="dot" w:pos="8869"/>
        </w:tabs>
        <w:rPr>
          <w:rFonts w:ascii="宋体" w:hAnsi="宋体"/>
          <w:b/>
          <w:color w:val="auto"/>
          <w:sz w:val="28"/>
          <w:szCs w:val="28"/>
          <w:highlight w:val="none"/>
        </w:rPr>
      </w:pPr>
      <w:r>
        <w:rPr>
          <w:rFonts w:ascii="宋体" w:hAnsi="宋体"/>
          <w:b/>
          <w:color w:val="auto"/>
          <w:sz w:val="30"/>
          <w:szCs w:val="30"/>
          <w:highlight w:val="none"/>
        </w:rPr>
        <w:fldChar w:fldCharType="begin"/>
      </w:r>
      <w:r>
        <w:rPr>
          <w:rFonts w:ascii="宋体" w:hAnsi="宋体"/>
          <w:b/>
          <w:color w:val="auto"/>
          <w:sz w:val="30"/>
          <w:szCs w:val="30"/>
          <w:highlight w:val="none"/>
        </w:rPr>
        <w:instrText xml:space="preserve"> </w:instrText>
      </w:r>
      <w:r>
        <w:rPr>
          <w:rFonts w:hint="eastAsia" w:ascii="宋体" w:hAnsi="宋体"/>
          <w:b/>
          <w:color w:val="auto"/>
          <w:sz w:val="30"/>
          <w:szCs w:val="30"/>
          <w:highlight w:val="none"/>
        </w:rPr>
        <w:instrText xml:space="preserve">TOC \o "1-3" \h \z \u</w:instrText>
      </w:r>
      <w:r>
        <w:rPr>
          <w:rFonts w:ascii="宋体" w:hAnsi="宋体"/>
          <w:b/>
          <w:color w:val="auto"/>
          <w:sz w:val="30"/>
          <w:szCs w:val="30"/>
          <w:highlight w:val="none"/>
        </w:rPr>
        <w:instrText xml:space="preserve"> </w:instrText>
      </w:r>
      <w:r>
        <w:rPr>
          <w:rFonts w:ascii="宋体" w:hAnsi="宋体"/>
          <w:b/>
          <w:color w:val="auto"/>
          <w:sz w:val="30"/>
          <w:szCs w:val="30"/>
          <w:highlight w:val="none"/>
        </w:rPr>
        <w:fldChar w:fldCharType="separate"/>
      </w:r>
      <w:r>
        <w:rPr>
          <w:color w:val="auto"/>
          <w:highlight w:val="none"/>
        </w:rPr>
        <w:fldChar w:fldCharType="begin"/>
      </w:r>
      <w:r>
        <w:rPr>
          <w:color w:val="auto"/>
          <w:highlight w:val="none"/>
        </w:rPr>
        <w:instrText xml:space="preserve"> HYPERLINK \l "_Toc182816497" </w:instrText>
      </w:r>
      <w:r>
        <w:rPr>
          <w:color w:val="auto"/>
          <w:highlight w:val="none"/>
        </w:rPr>
        <w:fldChar w:fldCharType="separate"/>
      </w:r>
      <w:r>
        <w:rPr>
          <w:rStyle w:val="36"/>
          <w:rFonts w:ascii="宋体" w:hAnsi="宋体"/>
          <w:b/>
          <w:color w:val="auto"/>
          <w:sz w:val="28"/>
          <w:szCs w:val="28"/>
          <w:highlight w:val="none"/>
        </w:rPr>
        <w:t>第一章 竞争性磋商公告</w:t>
      </w:r>
      <w:r>
        <w:rPr>
          <w:rFonts w:ascii="宋体" w:hAnsi="宋体"/>
          <w:b/>
          <w:color w:val="auto"/>
          <w:sz w:val="28"/>
          <w:szCs w:val="28"/>
          <w:highlight w:val="none"/>
        </w:rPr>
        <w:tab/>
      </w:r>
      <w:r>
        <w:rPr>
          <w:rFonts w:ascii="宋体" w:hAnsi="宋体"/>
          <w:b/>
          <w:color w:val="auto"/>
          <w:sz w:val="28"/>
          <w:szCs w:val="28"/>
          <w:highlight w:val="none"/>
        </w:rPr>
        <w:fldChar w:fldCharType="begin"/>
      </w:r>
      <w:r>
        <w:rPr>
          <w:rFonts w:ascii="宋体" w:hAnsi="宋体"/>
          <w:b/>
          <w:color w:val="auto"/>
          <w:sz w:val="28"/>
          <w:szCs w:val="28"/>
          <w:highlight w:val="none"/>
        </w:rPr>
        <w:instrText xml:space="preserve"> PAGEREF _Toc182816497 \h </w:instrText>
      </w:r>
      <w:r>
        <w:rPr>
          <w:rFonts w:ascii="宋体" w:hAnsi="宋体"/>
          <w:b/>
          <w:color w:val="auto"/>
          <w:sz w:val="28"/>
          <w:szCs w:val="28"/>
          <w:highlight w:val="none"/>
        </w:rPr>
        <w:fldChar w:fldCharType="separate"/>
      </w:r>
      <w:r>
        <w:rPr>
          <w:rFonts w:ascii="宋体" w:hAnsi="宋体"/>
          <w:b/>
          <w:color w:val="auto"/>
          <w:sz w:val="28"/>
          <w:szCs w:val="28"/>
          <w:highlight w:val="none"/>
        </w:rPr>
        <w:t>2</w:t>
      </w:r>
      <w:r>
        <w:rPr>
          <w:rFonts w:ascii="宋体" w:hAnsi="宋体"/>
          <w:b/>
          <w:color w:val="auto"/>
          <w:sz w:val="28"/>
          <w:szCs w:val="28"/>
          <w:highlight w:val="none"/>
        </w:rPr>
        <w:fldChar w:fldCharType="end"/>
      </w:r>
      <w:r>
        <w:rPr>
          <w:rFonts w:ascii="宋体" w:hAnsi="宋体"/>
          <w:b/>
          <w:color w:val="auto"/>
          <w:sz w:val="28"/>
          <w:szCs w:val="28"/>
          <w:highlight w:val="none"/>
        </w:rPr>
        <w:fldChar w:fldCharType="end"/>
      </w:r>
    </w:p>
    <w:p w14:paraId="76F14113">
      <w:pPr>
        <w:pStyle w:val="23"/>
        <w:tabs>
          <w:tab w:val="right" w:leader="dot" w:pos="8869"/>
        </w:tabs>
        <w:rPr>
          <w:rFonts w:ascii="宋体" w:hAnsi="宋体"/>
          <w:b/>
          <w:color w:val="auto"/>
          <w:sz w:val="28"/>
          <w:szCs w:val="28"/>
          <w:highlight w:val="none"/>
        </w:rPr>
      </w:pPr>
      <w:r>
        <w:rPr>
          <w:color w:val="auto"/>
          <w:highlight w:val="none"/>
        </w:rPr>
        <w:fldChar w:fldCharType="begin"/>
      </w:r>
      <w:r>
        <w:rPr>
          <w:color w:val="auto"/>
          <w:highlight w:val="none"/>
        </w:rPr>
        <w:instrText xml:space="preserve"> HYPERLINK \l "_Toc182816498" </w:instrText>
      </w:r>
      <w:r>
        <w:rPr>
          <w:color w:val="auto"/>
          <w:highlight w:val="none"/>
        </w:rPr>
        <w:fldChar w:fldCharType="separate"/>
      </w:r>
      <w:r>
        <w:rPr>
          <w:rStyle w:val="36"/>
          <w:rFonts w:ascii="宋体" w:hAnsi="宋体"/>
          <w:b/>
          <w:color w:val="auto"/>
          <w:sz w:val="28"/>
          <w:szCs w:val="28"/>
          <w:highlight w:val="none"/>
        </w:rPr>
        <w:t>第二章 供应商须知</w:t>
      </w:r>
      <w:r>
        <w:rPr>
          <w:rFonts w:ascii="宋体" w:hAnsi="宋体"/>
          <w:b/>
          <w:color w:val="auto"/>
          <w:sz w:val="28"/>
          <w:szCs w:val="28"/>
          <w:highlight w:val="none"/>
        </w:rPr>
        <w:tab/>
      </w:r>
      <w:r>
        <w:rPr>
          <w:rFonts w:ascii="宋体" w:hAnsi="宋体"/>
          <w:b/>
          <w:color w:val="auto"/>
          <w:sz w:val="28"/>
          <w:szCs w:val="28"/>
          <w:highlight w:val="none"/>
        </w:rPr>
        <w:fldChar w:fldCharType="begin"/>
      </w:r>
      <w:r>
        <w:rPr>
          <w:rFonts w:ascii="宋体" w:hAnsi="宋体"/>
          <w:b/>
          <w:color w:val="auto"/>
          <w:sz w:val="28"/>
          <w:szCs w:val="28"/>
          <w:highlight w:val="none"/>
        </w:rPr>
        <w:instrText xml:space="preserve"> PAGEREF _Toc182816498 \h </w:instrText>
      </w:r>
      <w:r>
        <w:rPr>
          <w:rFonts w:ascii="宋体" w:hAnsi="宋体"/>
          <w:b/>
          <w:color w:val="auto"/>
          <w:sz w:val="28"/>
          <w:szCs w:val="28"/>
          <w:highlight w:val="none"/>
        </w:rPr>
        <w:fldChar w:fldCharType="separate"/>
      </w:r>
      <w:r>
        <w:rPr>
          <w:rFonts w:ascii="宋体" w:hAnsi="宋体"/>
          <w:b/>
          <w:color w:val="auto"/>
          <w:sz w:val="28"/>
          <w:szCs w:val="28"/>
          <w:highlight w:val="none"/>
        </w:rPr>
        <w:t>6</w:t>
      </w:r>
      <w:r>
        <w:rPr>
          <w:rFonts w:ascii="宋体" w:hAnsi="宋体"/>
          <w:b/>
          <w:color w:val="auto"/>
          <w:sz w:val="28"/>
          <w:szCs w:val="28"/>
          <w:highlight w:val="none"/>
        </w:rPr>
        <w:fldChar w:fldCharType="end"/>
      </w:r>
      <w:r>
        <w:rPr>
          <w:rFonts w:ascii="宋体" w:hAnsi="宋体"/>
          <w:b/>
          <w:color w:val="auto"/>
          <w:sz w:val="28"/>
          <w:szCs w:val="28"/>
          <w:highlight w:val="none"/>
        </w:rPr>
        <w:fldChar w:fldCharType="end"/>
      </w:r>
    </w:p>
    <w:p w14:paraId="019F2D1B">
      <w:pPr>
        <w:pStyle w:val="23"/>
        <w:tabs>
          <w:tab w:val="right" w:leader="dot" w:pos="8869"/>
        </w:tabs>
        <w:rPr>
          <w:rFonts w:ascii="宋体" w:hAnsi="宋体"/>
          <w:b/>
          <w:color w:val="auto"/>
          <w:sz w:val="28"/>
          <w:szCs w:val="28"/>
          <w:highlight w:val="none"/>
        </w:rPr>
      </w:pPr>
      <w:r>
        <w:rPr>
          <w:color w:val="auto"/>
          <w:highlight w:val="none"/>
        </w:rPr>
        <w:fldChar w:fldCharType="begin"/>
      </w:r>
      <w:r>
        <w:rPr>
          <w:color w:val="auto"/>
          <w:highlight w:val="none"/>
        </w:rPr>
        <w:instrText xml:space="preserve"> HYPERLINK \l "_Toc182816499" </w:instrText>
      </w:r>
      <w:r>
        <w:rPr>
          <w:color w:val="auto"/>
          <w:highlight w:val="none"/>
        </w:rPr>
        <w:fldChar w:fldCharType="separate"/>
      </w:r>
      <w:r>
        <w:rPr>
          <w:rStyle w:val="36"/>
          <w:rFonts w:ascii="宋体" w:hAnsi="宋体"/>
          <w:b/>
          <w:color w:val="auto"/>
          <w:sz w:val="28"/>
          <w:szCs w:val="28"/>
          <w:highlight w:val="none"/>
        </w:rPr>
        <w:t>第三章 采购需求</w:t>
      </w:r>
      <w:bookmarkStart w:id="0" w:name="_Hlt182816503"/>
      <w:r>
        <w:rPr>
          <w:rFonts w:ascii="宋体" w:hAnsi="宋体"/>
          <w:b/>
          <w:color w:val="auto"/>
          <w:sz w:val="28"/>
          <w:szCs w:val="28"/>
          <w:highlight w:val="none"/>
        </w:rPr>
        <w:tab/>
      </w:r>
      <w:bookmarkEnd w:id="0"/>
      <w:r>
        <w:rPr>
          <w:rFonts w:ascii="宋体" w:hAnsi="宋体"/>
          <w:b/>
          <w:color w:val="auto"/>
          <w:sz w:val="28"/>
          <w:szCs w:val="28"/>
          <w:highlight w:val="none"/>
        </w:rPr>
        <w:fldChar w:fldCharType="begin"/>
      </w:r>
      <w:r>
        <w:rPr>
          <w:rFonts w:ascii="宋体" w:hAnsi="宋体"/>
          <w:b/>
          <w:color w:val="auto"/>
          <w:sz w:val="28"/>
          <w:szCs w:val="28"/>
          <w:highlight w:val="none"/>
        </w:rPr>
        <w:instrText xml:space="preserve"> PAGEREF _Toc182816499 \h </w:instrText>
      </w:r>
      <w:r>
        <w:rPr>
          <w:rFonts w:ascii="宋体" w:hAnsi="宋体"/>
          <w:b/>
          <w:color w:val="auto"/>
          <w:sz w:val="28"/>
          <w:szCs w:val="28"/>
          <w:highlight w:val="none"/>
        </w:rPr>
        <w:fldChar w:fldCharType="separate"/>
      </w:r>
      <w:r>
        <w:rPr>
          <w:rFonts w:ascii="宋体" w:hAnsi="宋体"/>
          <w:b/>
          <w:color w:val="auto"/>
          <w:sz w:val="28"/>
          <w:szCs w:val="28"/>
          <w:highlight w:val="none"/>
        </w:rPr>
        <w:t>25</w:t>
      </w:r>
      <w:r>
        <w:rPr>
          <w:rFonts w:ascii="宋体" w:hAnsi="宋体"/>
          <w:b/>
          <w:color w:val="auto"/>
          <w:sz w:val="28"/>
          <w:szCs w:val="28"/>
          <w:highlight w:val="none"/>
        </w:rPr>
        <w:fldChar w:fldCharType="end"/>
      </w:r>
      <w:r>
        <w:rPr>
          <w:rFonts w:ascii="宋体" w:hAnsi="宋体"/>
          <w:b/>
          <w:color w:val="auto"/>
          <w:sz w:val="28"/>
          <w:szCs w:val="28"/>
          <w:highlight w:val="none"/>
        </w:rPr>
        <w:fldChar w:fldCharType="end"/>
      </w:r>
    </w:p>
    <w:p w14:paraId="780EFA94">
      <w:pPr>
        <w:pStyle w:val="23"/>
        <w:tabs>
          <w:tab w:val="right" w:leader="dot" w:pos="8869"/>
        </w:tabs>
        <w:rPr>
          <w:rFonts w:ascii="宋体" w:hAnsi="宋体"/>
          <w:b/>
          <w:color w:val="auto"/>
          <w:sz w:val="28"/>
          <w:szCs w:val="28"/>
          <w:highlight w:val="none"/>
        </w:rPr>
      </w:pPr>
      <w:r>
        <w:rPr>
          <w:color w:val="auto"/>
          <w:highlight w:val="none"/>
        </w:rPr>
        <w:fldChar w:fldCharType="begin"/>
      </w:r>
      <w:r>
        <w:rPr>
          <w:color w:val="auto"/>
          <w:highlight w:val="none"/>
        </w:rPr>
        <w:instrText xml:space="preserve"> HYPERLINK \l "_Toc182816500" </w:instrText>
      </w:r>
      <w:r>
        <w:rPr>
          <w:color w:val="auto"/>
          <w:highlight w:val="none"/>
        </w:rPr>
        <w:fldChar w:fldCharType="separate"/>
      </w:r>
      <w:r>
        <w:rPr>
          <w:rStyle w:val="36"/>
          <w:rFonts w:ascii="宋体" w:hAnsi="宋体"/>
          <w:b/>
          <w:color w:val="auto"/>
          <w:sz w:val="28"/>
          <w:szCs w:val="28"/>
          <w:highlight w:val="none"/>
        </w:rPr>
        <w:t>第四章 评审程序、评审方法和评审标准</w:t>
      </w:r>
      <w:r>
        <w:rPr>
          <w:rFonts w:ascii="宋体" w:hAnsi="宋体"/>
          <w:b/>
          <w:color w:val="auto"/>
          <w:sz w:val="28"/>
          <w:szCs w:val="28"/>
          <w:highlight w:val="none"/>
        </w:rPr>
        <w:tab/>
      </w:r>
      <w:r>
        <w:rPr>
          <w:rFonts w:ascii="宋体" w:hAnsi="宋体"/>
          <w:b/>
          <w:color w:val="auto"/>
          <w:sz w:val="28"/>
          <w:szCs w:val="28"/>
          <w:highlight w:val="none"/>
        </w:rPr>
        <w:fldChar w:fldCharType="end"/>
      </w:r>
      <w:r>
        <w:rPr>
          <w:rFonts w:hint="eastAsia" w:ascii="宋体" w:hAnsi="宋体"/>
          <w:b/>
          <w:color w:val="auto"/>
          <w:sz w:val="28"/>
          <w:szCs w:val="28"/>
          <w:highlight w:val="none"/>
        </w:rPr>
        <w:t>39</w:t>
      </w:r>
    </w:p>
    <w:p w14:paraId="19087EBD">
      <w:pPr>
        <w:pStyle w:val="23"/>
        <w:tabs>
          <w:tab w:val="right" w:leader="dot" w:pos="8869"/>
        </w:tabs>
        <w:rPr>
          <w:rFonts w:hint="eastAsia" w:ascii="宋体" w:hAnsi="宋体" w:eastAsia="宋体"/>
          <w:b/>
          <w:color w:val="auto"/>
          <w:sz w:val="28"/>
          <w:szCs w:val="28"/>
          <w:highlight w:val="none"/>
          <w:lang w:eastAsia="zh-CN"/>
        </w:rPr>
      </w:pPr>
      <w:r>
        <w:rPr>
          <w:color w:val="auto"/>
          <w:highlight w:val="none"/>
        </w:rPr>
        <w:fldChar w:fldCharType="begin"/>
      </w:r>
      <w:r>
        <w:rPr>
          <w:color w:val="auto"/>
          <w:highlight w:val="none"/>
        </w:rPr>
        <w:instrText xml:space="preserve"> HYPERLINK \l "_Toc182816501" </w:instrText>
      </w:r>
      <w:r>
        <w:rPr>
          <w:color w:val="auto"/>
          <w:highlight w:val="none"/>
        </w:rPr>
        <w:fldChar w:fldCharType="separate"/>
      </w:r>
      <w:r>
        <w:rPr>
          <w:rStyle w:val="36"/>
          <w:rFonts w:ascii="宋体" w:hAnsi="宋体"/>
          <w:b/>
          <w:color w:val="auto"/>
          <w:sz w:val="28"/>
          <w:szCs w:val="28"/>
          <w:highlight w:val="none"/>
        </w:rPr>
        <w:t>第五章 响应文件格式</w:t>
      </w:r>
      <w:r>
        <w:rPr>
          <w:rFonts w:ascii="宋体" w:hAnsi="宋体"/>
          <w:b/>
          <w:color w:val="auto"/>
          <w:sz w:val="28"/>
          <w:szCs w:val="28"/>
          <w:highlight w:val="none"/>
        </w:rPr>
        <w:tab/>
      </w:r>
      <w:r>
        <w:rPr>
          <w:rFonts w:ascii="宋体" w:hAnsi="宋体"/>
          <w:b/>
          <w:color w:val="auto"/>
          <w:sz w:val="28"/>
          <w:szCs w:val="28"/>
          <w:highlight w:val="none"/>
        </w:rPr>
        <w:fldChar w:fldCharType="end"/>
      </w:r>
      <w:r>
        <w:rPr>
          <w:rFonts w:hint="eastAsia" w:ascii="宋体" w:hAnsi="宋体"/>
          <w:b/>
          <w:color w:val="auto"/>
          <w:sz w:val="28"/>
          <w:szCs w:val="28"/>
          <w:highlight w:val="none"/>
        </w:rPr>
        <w:t>4</w:t>
      </w:r>
      <w:r>
        <w:rPr>
          <w:rFonts w:hint="eastAsia" w:ascii="宋体" w:hAnsi="宋体"/>
          <w:b/>
          <w:color w:val="auto"/>
          <w:sz w:val="28"/>
          <w:szCs w:val="28"/>
          <w:highlight w:val="none"/>
          <w:lang w:val="en-US" w:eastAsia="zh-CN"/>
        </w:rPr>
        <w:t>9</w:t>
      </w:r>
    </w:p>
    <w:p w14:paraId="36E07116">
      <w:pPr>
        <w:pStyle w:val="23"/>
        <w:tabs>
          <w:tab w:val="right" w:leader="dot" w:pos="8869"/>
        </w:tabs>
        <w:rPr>
          <w:rFonts w:hint="eastAsia" w:ascii="宋体" w:hAnsi="宋体" w:eastAsia="宋体"/>
          <w:color w:val="auto"/>
          <w:sz w:val="30"/>
          <w:szCs w:val="30"/>
          <w:highlight w:val="none"/>
          <w:lang w:eastAsia="zh-CN"/>
        </w:rPr>
      </w:pPr>
      <w:r>
        <w:rPr>
          <w:color w:val="auto"/>
          <w:highlight w:val="none"/>
        </w:rPr>
        <w:fldChar w:fldCharType="begin"/>
      </w:r>
      <w:r>
        <w:rPr>
          <w:color w:val="auto"/>
          <w:highlight w:val="none"/>
        </w:rPr>
        <w:instrText xml:space="preserve"> HYPERLINK \l "_Toc182816502" </w:instrText>
      </w:r>
      <w:r>
        <w:rPr>
          <w:color w:val="auto"/>
          <w:highlight w:val="none"/>
        </w:rPr>
        <w:fldChar w:fldCharType="separate"/>
      </w:r>
      <w:r>
        <w:rPr>
          <w:rStyle w:val="36"/>
          <w:rFonts w:ascii="宋体" w:hAnsi="宋体"/>
          <w:b/>
          <w:color w:val="auto"/>
          <w:sz w:val="28"/>
          <w:szCs w:val="28"/>
          <w:highlight w:val="none"/>
        </w:rPr>
        <w:t>第六章 合同文本</w:t>
      </w:r>
      <w:bookmarkStart w:id="1" w:name="_Hlt192343483"/>
      <w:bookmarkStart w:id="2" w:name="_Hlt192343484"/>
      <w:r>
        <w:rPr>
          <w:rFonts w:ascii="宋体" w:hAnsi="宋体"/>
          <w:b/>
          <w:color w:val="auto"/>
          <w:sz w:val="28"/>
          <w:szCs w:val="28"/>
          <w:highlight w:val="none"/>
        </w:rPr>
        <w:tab/>
      </w:r>
      <w:bookmarkEnd w:id="1"/>
      <w:bookmarkEnd w:id="2"/>
      <w:r>
        <w:rPr>
          <w:rFonts w:ascii="宋体" w:hAnsi="宋体"/>
          <w:b/>
          <w:color w:val="auto"/>
          <w:sz w:val="28"/>
          <w:szCs w:val="28"/>
          <w:highlight w:val="none"/>
        </w:rPr>
        <w:fldChar w:fldCharType="end"/>
      </w:r>
      <w:r>
        <w:rPr>
          <w:rStyle w:val="36"/>
          <w:rFonts w:hint="eastAsia" w:ascii="宋体" w:hAnsi="宋体"/>
          <w:b/>
          <w:color w:val="auto"/>
          <w:sz w:val="28"/>
          <w:szCs w:val="28"/>
          <w:highlight w:val="none"/>
        </w:rPr>
        <w:t>8</w:t>
      </w:r>
      <w:r>
        <w:rPr>
          <w:rStyle w:val="36"/>
          <w:rFonts w:hint="eastAsia" w:ascii="宋体" w:hAnsi="宋体"/>
          <w:b/>
          <w:color w:val="auto"/>
          <w:sz w:val="28"/>
          <w:szCs w:val="28"/>
          <w:highlight w:val="none"/>
          <w:lang w:val="en-US" w:eastAsia="zh-CN"/>
        </w:rPr>
        <w:t>2</w:t>
      </w:r>
    </w:p>
    <w:p w14:paraId="6ECB757D">
      <w:pPr>
        <w:pStyle w:val="24"/>
        <w:tabs>
          <w:tab w:val="right" w:leader="dot" w:pos="8931"/>
          <w:tab w:val="clear" w:pos="8296"/>
        </w:tabs>
        <w:snapToGrid w:val="0"/>
        <w:spacing w:line="500" w:lineRule="atLeast"/>
        <w:ind w:left="0" w:leftChars="0"/>
        <w:rPr>
          <w:rFonts w:ascii="宋体" w:hAnsi="宋体"/>
          <w:b/>
          <w:color w:val="auto"/>
          <w:sz w:val="30"/>
          <w:szCs w:val="30"/>
          <w:highlight w:val="none"/>
        </w:rPr>
      </w:pPr>
      <w:r>
        <w:rPr>
          <w:rFonts w:ascii="宋体" w:hAnsi="宋体"/>
          <w:b/>
          <w:color w:val="auto"/>
          <w:sz w:val="30"/>
          <w:szCs w:val="30"/>
          <w:highlight w:val="none"/>
        </w:rPr>
        <w:fldChar w:fldCharType="end"/>
      </w:r>
    </w:p>
    <w:p w14:paraId="00914FA5">
      <w:pPr>
        <w:spacing w:line="400" w:lineRule="exact"/>
        <w:jc w:val="left"/>
        <w:rPr>
          <w:rFonts w:ascii="宋体" w:hAnsi="宋体"/>
          <w:b/>
          <w:color w:val="auto"/>
          <w:sz w:val="32"/>
          <w:szCs w:val="32"/>
          <w:highlight w:val="none"/>
        </w:rPr>
      </w:pPr>
    </w:p>
    <w:p w14:paraId="578017D0">
      <w:pPr>
        <w:spacing w:line="400" w:lineRule="exact"/>
        <w:jc w:val="center"/>
        <w:rPr>
          <w:rFonts w:ascii="宋体" w:hAnsi="宋体"/>
          <w:b/>
          <w:color w:val="auto"/>
          <w:sz w:val="32"/>
          <w:szCs w:val="32"/>
          <w:highlight w:val="none"/>
        </w:rPr>
      </w:pPr>
    </w:p>
    <w:p w14:paraId="210ECD48">
      <w:pPr>
        <w:spacing w:line="400" w:lineRule="exact"/>
        <w:jc w:val="center"/>
        <w:rPr>
          <w:rFonts w:hint="eastAsia" w:ascii="宋体" w:hAnsi="宋体" w:eastAsia="宋体"/>
          <w:b/>
          <w:color w:val="auto"/>
          <w:sz w:val="32"/>
          <w:szCs w:val="32"/>
          <w:highlight w:val="none"/>
          <w:lang w:eastAsia="zh-CN"/>
        </w:rPr>
      </w:pPr>
    </w:p>
    <w:p w14:paraId="05B08A14">
      <w:pPr>
        <w:spacing w:line="400" w:lineRule="exact"/>
        <w:jc w:val="center"/>
        <w:rPr>
          <w:rFonts w:ascii="宋体" w:hAnsi="宋体"/>
          <w:b/>
          <w:color w:val="auto"/>
          <w:sz w:val="32"/>
          <w:szCs w:val="32"/>
          <w:highlight w:val="none"/>
        </w:rPr>
      </w:pPr>
    </w:p>
    <w:p w14:paraId="0BDC3F23">
      <w:pPr>
        <w:spacing w:line="400" w:lineRule="exact"/>
        <w:jc w:val="center"/>
        <w:rPr>
          <w:rFonts w:ascii="宋体" w:hAnsi="宋体"/>
          <w:b/>
          <w:color w:val="auto"/>
          <w:sz w:val="32"/>
          <w:szCs w:val="32"/>
          <w:highlight w:val="none"/>
        </w:rPr>
      </w:pPr>
    </w:p>
    <w:p w14:paraId="1273EA7F">
      <w:pPr>
        <w:pStyle w:val="2"/>
        <w:spacing w:before="0" w:after="0"/>
        <w:jc w:val="center"/>
        <w:rPr>
          <w:color w:val="auto"/>
          <w:highlight w:val="none"/>
        </w:rPr>
      </w:pPr>
      <w:bookmarkStart w:id="3" w:name="_Toc182816497"/>
      <w:r>
        <w:rPr>
          <w:color w:val="auto"/>
          <w:highlight w:val="none"/>
        </w:rPr>
        <w:br w:type="page"/>
      </w:r>
      <w:r>
        <w:rPr>
          <w:rFonts w:hint="eastAsia"/>
          <w:color w:val="auto"/>
          <w:highlight w:val="none"/>
        </w:rPr>
        <w:t>第一章 竞争性磋商公告</w:t>
      </w:r>
      <w:bookmarkEnd w:id="3"/>
    </w:p>
    <w:p w14:paraId="48DC5B39">
      <w:pPr>
        <w:spacing w:line="400" w:lineRule="exact"/>
        <w:jc w:val="center"/>
        <w:rPr>
          <w:rFonts w:ascii="宋体" w:hAnsi="宋体"/>
          <w:b/>
          <w:bCs/>
          <w:color w:val="auto"/>
          <w:sz w:val="32"/>
          <w:szCs w:val="32"/>
          <w:highlight w:val="none"/>
        </w:rPr>
      </w:pPr>
      <w:r>
        <w:rPr>
          <w:rFonts w:hint="eastAsia" w:ascii="宋体" w:hAnsi="宋体"/>
          <w:b/>
          <w:bCs/>
          <w:color w:val="auto"/>
          <w:sz w:val="32"/>
          <w:szCs w:val="32"/>
          <w:highlight w:val="none"/>
        </w:rPr>
        <w:t>竞争性磋商公告</w:t>
      </w:r>
    </w:p>
    <w:p w14:paraId="4D680A92">
      <w:pPr>
        <w:pBdr>
          <w:top w:val="single" w:color="auto" w:sz="4" w:space="1"/>
          <w:left w:val="single" w:color="auto" w:sz="4" w:space="4"/>
          <w:bottom w:val="single" w:color="auto" w:sz="4" w:space="1"/>
          <w:right w:val="single" w:color="auto" w:sz="4" w:space="4"/>
        </w:pBdr>
        <w:spacing w:line="360" w:lineRule="auto"/>
        <w:rPr>
          <w:rFonts w:ascii="宋体" w:hAnsi="宋体"/>
          <w:color w:val="auto"/>
          <w:szCs w:val="21"/>
          <w:highlight w:val="none"/>
        </w:rPr>
      </w:pPr>
      <w:bookmarkStart w:id="4" w:name="_Hlk37430271"/>
      <w:r>
        <w:rPr>
          <w:rFonts w:hint="eastAsia" w:ascii="宋体" w:hAnsi="宋体"/>
          <w:color w:val="auto"/>
          <w:szCs w:val="21"/>
          <w:highlight w:val="none"/>
        </w:rPr>
        <w:t>项目概况</w:t>
      </w:r>
    </w:p>
    <w:p w14:paraId="4E5FC27B">
      <w:pPr>
        <w:pBdr>
          <w:top w:val="single" w:color="auto" w:sz="4" w:space="1"/>
          <w:left w:val="single" w:color="auto" w:sz="4" w:space="4"/>
          <w:bottom w:val="single" w:color="auto" w:sz="4" w:space="1"/>
          <w:right w:val="single" w:color="auto" w:sz="4" w:space="4"/>
        </w:pBdr>
        <w:wordWrap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桂林电子科技大学校园管理AI服务平台采购项目的潜在供应商应在广西政府采购云平台（www.gcy.zfcg.gxzf.gov.cn）获取（下载）竞争性磋商文件，并于</w:t>
      </w:r>
      <w:r>
        <w:rPr>
          <w:rFonts w:hint="eastAsia" w:ascii="宋体" w:hAnsi="宋体"/>
          <w:bCs/>
          <w:color w:val="auto"/>
          <w:szCs w:val="21"/>
          <w:highlight w:val="none"/>
          <w:u w:val="single"/>
        </w:rPr>
        <w:t>202</w:t>
      </w:r>
      <w:r>
        <w:rPr>
          <w:rFonts w:ascii="宋体" w:hAnsi="宋体"/>
          <w:bCs/>
          <w:color w:val="auto"/>
          <w:szCs w:val="21"/>
          <w:highlight w:val="none"/>
          <w:u w:val="single"/>
        </w:rPr>
        <w:t>5</w:t>
      </w:r>
      <w:r>
        <w:rPr>
          <w:rFonts w:hint="eastAsia" w:ascii="宋体" w:hAnsi="宋体"/>
          <w:bCs/>
          <w:color w:val="auto"/>
          <w:szCs w:val="21"/>
          <w:highlight w:val="none"/>
        </w:rPr>
        <w:t>年</w:t>
      </w:r>
      <w:r>
        <w:rPr>
          <w:rFonts w:hint="eastAsia" w:ascii="宋体" w:hAnsi="宋体"/>
          <w:bCs/>
          <w:color w:val="auto"/>
          <w:szCs w:val="21"/>
          <w:highlight w:val="none"/>
          <w:u w:val="single"/>
          <w:lang w:val="en-US" w:eastAsia="zh-CN"/>
        </w:rPr>
        <w:t>12</w:t>
      </w:r>
      <w:r>
        <w:rPr>
          <w:rFonts w:hint="eastAsia" w:ascii="宋体" w:hAnsi="宋体"/>
          <w:bCs/>
          <w:color w:val="auto"/>
          <w:szCs w:val="21"/>
          <w:highlight w:val="none"/>
        </w:rPr>
        <w:t>月</w:t>
      </w:r>
      <w:r>
        <w:rPr>
          <w:rFonts w:hint="eastAsia" w:ascii="宋体" w:hAnsi="宋体"/>
          <w:bCs/>
          <w:color w:val="auto"/>
          <w:szCs w:val="21"/>
          <w:highlight w:val="none"/>
          <w:u w:val="single"/>
          <w:lang w:val="en-US" w:eastAsia="zh-CN"/>
        </w:rPr>
        <w:t>15</w:t>
      </w:r>
      <w:r>
        <w:rPr>
          <w:rFonts w:hint="eastAsia" w:ascii="宋体" w:hAnsi="宋体"/>
          <w:bCs/>
          <w:color w:val="auto"/>
          <w:szCs w:val="21"/>
          <w:highlight w:val="none"/>
        </w:rPr>
        <w:t>日</w:t>
      </w:r>
      <w:r>
        <w:rPr>
          <w:rFonts w:ascii="宋体" w:hAnsi="宋体"/>
          <w:bCs/>
          <w:color w:val="auto"/>
          <w:szCs w:val="21"/>
          <w:highlight w:val="none"/>
          <w:u w:val="single"/>
        </w:rPr>
        <w:t>9</w:t>
      </w:r>
      <w:r>
        <w:rPr>
          <w:rFonts w:hint="eastAsia" w:ascii="宋体" w:hAnsi="宋体"/>
          <w:bCs/>
          <w:color w:val="auto"/>
          <w:szCs w:val="21"/>
          <w:highlight w:val="none"/>
        </w:rPr>
        <w:t>时</w:t>
      </w:r>
      <w:r>
        <w:rPr>
          <w:rFonts w:ascii="宋体" w:hAnsi="宋体"/>
          <w:bCs/>
          <w:color w:val="auto"/>
          <w:szCs w:val="21"/>
          <w:highlight w:val="none"/>
          <w:u w:val="single"/>
        </w:rPr>
        <w:t>30</w:t>
      </w:r>
      <w:r>
        <w:rPr>
          <w:rFonts w:hint="eastAsia" w:ascii="宋体" w:hAnsi="宋体"/>
          <w:bCs/>
          <w:color w:val="auto"/>
          <w:szCs w:val="21"/>
          <w:highlight w:val="none"/>
        </w:rPr>
        <w:t>分（北京时间）前提交（上传）</w:t>
      </w:r>
      <w:r>
        <w:rPr>
          <w:rFonts w:hint="eastAsia" w:ascii="宋体" w:hAnsi="宋体"/>
          <w:color w:val="auto"/>
          <w:szCs w:val="21"/>
          <w:highlight w:val="none"/>
        </w:rPr>
        <w:t>响应</w:t>
      </w:r>
      <w:r>
        <w:rPr>
          <w:rFonts w:hint="eastAsia" w:ascii="宋体" w:hAnsi="宋体"/>
          <w:bCs/>
          <w:color w:val="auto"/>
          <w:szCs w:val="21"/>
          <w:highlight w:val="none"/>
        </w:rPr>
        <w:t>文件</w:t>
      </w:r>
      <w:r>
        <w:rPr>
          <w:rFonts w:hint="eastAsia" w:ascii="宋体" w:hAnsi="宋体"/>
          <w:color w:val="auto"/>
          <w:szCs w:val="21"/>
          <w:highlight w:val="none"/>
        </w:rPr>
        <w:t>。</w:t>
      </w:r>
    </w:p>
    <w:p w14:paraId="666EE3A9">
      <w:pPr>
        <w:ind w:firstLine="354" w:firstLineChars="147"/>
        <w:rPr>
          <w:rFonts w:ascii="黑体" w:hAnsi="黑体" w:eastAsia="黑体"/>
          <w:b/>
          <w:color w:val="auto"/>
          <w:sz w:val="24"/>
          <w:highlight w:val="none"/>
        </w:rPr>
      </w:pPr>
      <w:bookmarkStart w:id="5" w:name="_Toc35393798"/>
      <w:bookmarkStart w:id="6" w:name="_Toc44229878"/>
      <w:bookmarkStart w:id="7" w:name="_Toc28359012"/>
      <w:bookmarkStart w:id="8" w:name="_Toc28359089"/>
      <w:bookmarkStart w:id="9" w:name="_Toc35393629"/>
      <w:bookmarkStart w:id="10" w:name="_Toc71365905"/>
      <w:r>
        <w:rPr>
          <w:rFonts w:hint="eastAsia" w:ascii="黑体" w:hAnsi="黑体" w:eastAsia="黑体"/>
          <w:b/>
          <w:color w:val="auto"/>
          <w:sz w:val="24"/>
          <w:highlight w:val="none"/>
        </w:rPr>
        <w:t>一、项目基本情况</w:t>
      </w:r>
      <w:bookmarkEnd w:id="5"/>
      <w:bookmarkEnd w:id="6"/>
      <w:bookmarkEnd w:id="7"/>
      <w:bookmarkEnd w:id="8"/>
      <w:bookmarkEnd w:id="9"/>
      <w:bookmarkEnd w:id="10"/>
    </w:p>
    <w:p w14:paraId="5950A60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项目编号：GXZC2025-C3-003742-YZLZ（代理编号：YZLGL2025-C3-134-GXZC；校内编号：2025067）</w:t>
      </w:r>
    </w:p>
    <w:p w14:paraId="38BD103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项目名称：桂林电子科技大学校园管理AI服务平台采购</w:t>
      </w:r>
    </w:p>
    <w:p w14:paraId="2E9C1BD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采购方式：竞争性磋商</w:t>
      </w:r>
    </w:p>
    <w:p w14:paraId="4F107EB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预算金额：2500000.00元</w:t>
      </w:r>
    </w:p>
    <w:p w14:paraId="320642D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最高限价（如有）：无</w:t>
      </w:r>
    </w:p>
    <w:p w14:paraId="670AAD4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采购需求：</w:t>
      </w:r>
    </w:p>
    <w:p w14:paraId="63D5286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简要规格描述或项目基本概况介绍、用途：（1）标的名称、数量：校园管理AI服务平台建设1项。（2）简要服务内容及要求或服务要求：维护（保修）期不得少于3年，具体内容详见竞争性磋商文件第三章“采购需求”。</w:t>
      </w:r>
    </w:p>
    <w:p w14:paraId="0F09230D">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合同履行期限：自签订合同之日起7个日历日内必须全部安装调试合格完毕。</w:t>
      </w:r>
    </w:p>
    <w:p w14:paraId="671B712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本项目不接受联合体竞标。</w:t>
      </w:r>
    </w:p>
    <w:p w14:paraId="6D2E6BFC">
      <w:pPr>
        <w:ind w:firstLine="354" w:firstLineChars="147"/>
        <w:rPr>
          <w:rFonts w:ascii="黑体" w:hAnsi="黑体" w:eastAsia="黑体"/>
          <w:b/>
          <w:color w:val="auto"/>
          <w:sz w:val="24"/>
          <w:highlight w:val="none"/>
        </w:rPr>
      </w:pPr>
      <w:bookmarkStart w:id="11" w:name="_Toc44229879"/>
      <w:bookmarkStart w:id="12" w:name="_Toc28359090"/>
      <w:bookmarkStart w:id="13" w:name="_Toc28359013"/>
      <w:bookmarkStart w:id="14" w:name="_Toc71365906"/>
      <w:bookmarkStart w:id="15" w:name="_Toc35393799"/>
      <w:bookmarkStart w:id="16" w:name="_Toc35393630"/>
      <w:r>
        <w:rPr>
          <w:rFonts w:hint="eastAsia" w:ascii="黑体" w:hAnsi="黑体" w:eastAsia="黑体"/>
          <w:b/>
          <w:color w:val="auto"/>
          <w:sz w:val="24"/>
          <w:highlight w:val="none"/>
        </w:rPr>
        <w:t>二、申请人的资格条件：</w:t>
      </w:r>
      <w:bookmarkEnd w:id="11"/>
      <w:bookmarkEnd w:id="12"/>
      <w:bookmarkEnd w:id="13"/>
      <w:bookmarkEnd w:id="14"/>
      <w:bookmarkEnd w:id="15"/>
      <w:bookmarkEnd w:id="16"/>
    </w:p>
    <w:p w14:paraId="4BD6F5E3">
      <w:pPr>
        <w:spacing w:line="360" w:lineRule="auto"/>
        <w:ind w:firstLine="420" w:firstLineChars="200"/>
        <w:rPr>
          <w:rFonts w:ascii="宋体" w:hAnsi="宋体"/>
          <w:color w:val="auto"/>
          <w:szCs w:val="21"/>
          <w:highlight w:val="none"/>
        </w:rPr>
      </w:pPr>
      <w:bookmarkStart w:id="17" w:name="_Toc28359091"/>
      <w:bookmarkStart w:id="18" w:name="_Toc28359014"/>
      <w:bookmarkStart w:id="19" w:name="_Toc35393800"/>
      <w:bookmarkStart w:id="20" w:name="_Toc44229880"/>
      <w:bookmarkStart w:id="21" w:name="_Toc35393631"/>
      <w:r>
        <w:rPr>
          <w:rFonts w:hint="eastAsia" w:ascii="宋体" w:hAnsi="宋体"/>
          <w:color w:val="auto"/>
          <w:szCs w:val="21"/>
          <w:highlight w:val="none"/>
        </w:rPr>
        <w:t>1.满足《中华人民共和国政府采购法》第二十二条规定；</w:t>
      </w:r>
    </w:p>
    <w:p w14:paraId="5656DF94">
      <w:pPr>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.落实政府采购政策需满足的资格要求：无；</w:t>
      </w:r>
    </w:p>
    <w:p w14:paraId="1824402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3.本项目的特定资格要求：无。</w:t>
      </w:r>
    </w:p>
    <w:p w14:paraId="4DA422AA">
      <w:pPr>
        <w:ind w:firstLine="354" w:firstLineChars="147"/>
        <w:rPr>
          <w:rFonts w:ascii="黑体" w:hAnsi="黑体" w:eastAsia="黑体"/>
          <w:b/>
          <w:color w:val="auto"/>
          <w:sz w:val="24"/>
          <w:highlight w:val="none"/>
        </w:rPr>
      </w:pPr>
      <w:bookmarkStart w:id="22" w:name="_Toc71365907"/>
      <w:r>
        <w:rPr>
          <w:rFonts w:hint="eastAsia" w:ascii="黑体" w:hAnsi="黑体" w:eastAsia="黑体"/>
          <w:b/>
          <w:color w:val="auto"/>
          <w:sz w:val="24"/>
          <w:highlight w:val="none"/>
        </w:rPr>
        <w:t>三、获取竞争性磋商文件</w:t>
      </w:r>
      <w:bookmarkEnd w:id="17"/>
      <w:bookmarkEnd w:id="18"/>
      <w:bookmarkEnd w:id="19"/>
      <w:bookmarkEnd w:id="20"/>
      <w:bookmarkEnd w:id="21"/>
      <w:bookmarkEnd w:id="22"/>
    </w:p>
    <w:p w14:paraId="3B66061C">
      <w:pPr>
        <w:spacing w:line="360" w:lineRule="auto"/>
        <w:ind w:firstLine="420" w:firstLineChars="200"/>
        <w:rPr>
          <w:rFonts w:ascii="宋体" w:hAnsi="宋体" w:cs="宋体"/>
          <w:bCs/>
          <w:color w:val="auto"/>
          <w:kern w:val="0"/>
          <w:szCs w:val="21"/>
          <w:highlight w:val="none"/>
        </w:rPr>
      </w:pPr>
      <w:bookmarkStart w:id="23" w:name="_Toc35393801"/>
      <w:bookmarkStart w:id="24" w:name="_Toc35393632"/>
      <w:bookmarkStart w:id="25" w:name="_Toc28359015"/>
      <w:bookmarkStart w:id="26" w:name="_Toc28359092"/>
      <w:bookmarkStart w:id="27" w:name="_Toc44229881"/>
      <w:r>
        <w:rPr>
          <w:rFonts w:hint="eastAsia" w:ascii="宋体" w:hAnsi="宋体" w:cs="宋体"/>
          <w:bCs/>
          <w:color w:val="auto"/>
          <w:kern w:val="0"/>
          <w:szCs w:val="21"/>
          <w:highlight w:val="none"/>
        </w:rPr>
        <w:t>时间：</w:t>
      </w:r>
      <w:r>
        <w:rPr>
          <w:rFonts w:hint="eastAsia" w:ascii="宋体" w:hAnsi="宋体"/>
          <w:bCs/>
          <w:color w:val="auto"/>
          <w:szCs w:val="21"/>
          <w:highlight w:val="none"/>
          <w:u w:val="single"/>
        </w:rPr>
        <w:t>2025</w:t>
      </w:r>
      <w:r>
        <w:rPr>
          <w:rFonts w:hint="eastAsia" w:ascii="宋体" w:hAnsi="宋体"/>
          <w:bCs/>
          <w:color w:val="auto"/>
          <w:szCs w:val="21"/>
          <w:highlight w:val="none"/>
        </w:rPr>
        <w:t>年</w:t>
      </w:r>
      <w:r>
        <w:rPr>
          <w:rFonts w:hint="eastAsia" w:ascii="宋体" w:hAnsi="宋体"/>
          <w:bCs/>
          <w:color w:val="auto"/>
          <w:szCs w:val="21"/>
          <w:highlight w:val="none"/>
          <w:u w:val="single"/>
          <w:lang w:val="en-US" w:eastAsia="zh-CN"/>
        </w:rPr>
        <w:t>12</w:t>
      </w:r>
      <w:r>
        <w:rPr>
          <w:rFonts w:hint="eastAsia" w:ascii="宋体" w:hAnsi="宋体"/>
          <w:bCs/>
          <w:color w:val="auto"/>
          <w:szCs w:val="21"/>
          <w:highlight w:val="none"/>
        </w:rPr>
        <w:t>月</w:t>
      </w:r>
      <w:r>
        <w:rPr>
          <w:rFonts w:hint="eastAsia" w:ascii="宋体" w:hAnsi="宋体"/>
          <w:bCs/>
          <w:color w:val="auto"/>
          <w:szCs w:val="21"/>
          <w:highlight w:val="none"/>
          <w:u w:val="single"/>
          <w:lang w:val="en-US" w:eastAsia="zh-CN"/>
        </w:rPr>
        <w:t>4</w:t>
      </w:r>
      <w:r>
        <w:rPr>
          <w:rFonts w:hint="eastAsia" w:ascii="宋体" w:hAnsi="宋体"/>
          <w:bCs/>
          <w:color w:val="auto"/>
          <w:szCs w:val="21"/>
          <w:highlight w:val="none"/>
        </w:rPr>
        <w:t>日</w:t>
      </w:r>
      <w:r>
        <w:rPr>
          <w:rFonts w:hint="eastAsia" w:ascii="宋体" w:hAnsi="宋体" w:cs="宋体"/>
          <w:bCs/>
          <w:color w:val="auto"/>
          <w:kern w:val="0"/>
          <w:szCs w:val="21"/>
          <w:highlight w:val="none"/>
        </w:rPr>
        <w:t>至</w:t>
      </w:r>
      <w:r>
        <w:rPr>
          <w:rFonts w:hint="eastAsia" w:ascii="宋体" w:hAnsi="宋体"/>
          <w:bCs/>
          <w:color w:val="auto"/>
          <w:szCs w:val="21"/>
          <w:highlight w:val="none"/>
          <w:u w:val="single"/>
        </w:rPr>
        <w:t>2025</w:t>
      </w:r>
      <w:r>
        <w:rPr>
          <w:rFonts w:hint="eastAsia" w:ascii="宋体" w:hAnsi="宋体"/>
          <w:bCs/>
          <w:color w:val="auto"/>
          <w:szCs w:val="21"/>
          <w:highlight w:val="none"/>
        </w:rPr>
        <w:t>年</w:t>
      </w:r>
      <w:r>
        <w:rPr>
          <w:rFonts w:hint="eastAsia" w:ascii="宋体" w:hAnsi="宋体"/>
          <w:bCs/>
          <w:color w:val="auto"/>
          <w:szCs w:val="21"/>
          <w:highlight w:val="none"/>
          <w:u w:val="single"/>
          <w:lang w:val="en-US" w:eastAsia="zh-CN"/>
        </w:rPr>
        <w:t>12</w:t>
      </w:r>
      <w:r>
        <w:rPr>
          <w:rFonts w:hint="eastAsia" w:ascii="宋体" w:hAnsi="宋体"/>
          <w:bCs/>
          <w:color w:val="auto"/>
          <w:szCs w:val="21"/>
          <w:highlight w:val="none"/>
        </w:rPr>
        <w:t>月</w:t>
      </w:r>
      <w:r>
        <w:rPr>
          <w:rFonts w:hint="eastAsia" w:ascii="宋体" w:hAnsi="宋体"/>
          <w:bCs/>
          <w:color w:val="auto"/>
          <w:szCs w:val="21"/>
          <w:highlight w:val="none"/>
          <w:u w:val="single"/>
          <w:lang w:val="en-US" w:eastAsia="zh-CN"/>
        </w:rPr>
        <w:t>11</w:t>
      </w:r>
      <w:r>
        <w:rPr>
          <w:rFonts w:hint="eastAsia" w:ascii="宋体" w:hAnsi="宋体"/>
          <w:bCs/>
          <w:color w:val="auto"/>
          <w:szCs w:val="21"/>
          <w:highlight w:val="none"/>
        </w:rPr>
        <w:t>日</w:t>
      </w:r>
      <w:r>
        <w:rPr>
          <w:rFonts w:hint="eastAsia" w:ascii="宋体" w:hAnsi="宋体" w:cs="宋体"/>
          <w:bCs/>
          <w:color w:val="auto"/>
          <w:kern w:val="0"/>
          <w:szCs w:val="21"/>
          <w:highlight w:val="none"/>
        </w:rPr>
        <w:t>，每天上午</w:t>
      </w:r>
      <w:r>
        <w:rPr>
          <w:rFonts w:hint="eastAsia" w:ascii="宋体" w:hAnsi="宋体" w:cs="宋体"/>
          <w:bCs/>
          <w:color w:val="auto"/>
          <w:kern w:val="0"/>
          <w:szCs w:val="21"/>
          <w:highlight w:val="none"/>
          <w:u w:val="single"/>
        </w:rPr>
        <w:t>00</w:t>
      </w:r>
      <w:r>
        <w:rPr>
          <w:rFonts w:hint="eastAsia" w:ascii="宋体" w:hAnsi="宋体" w:cs="宋体"/>
          <w:bCs/>
          <w:color w:val="auto"/>
          <w:kern w:val="0"/>
          <w:szCs w:val="21"/>
          <w:highlight w:val="none"/>
        </w:rPr>
        <w:t>:</w:t>
      </w:r>
      <w:r>
        <w:rPr>
          <w:rFonts w:hint="eastAsia" w:ascii="宋体" w:hAnsi="宋体" w:cs="宋体"/>
          <w:bCs/>
          <w:color w:val="auto"/>
          <w:kern w:val="0"/>
          <w:szCs w:val="21"/>
          <w:highlight w:val="none"/>
          <w:u w:val="single"/>
        </w:rPr>
        <w:t>0</w:t>
      </w:r>
      <w:r>
        <w:rPr>
          <w:rFonts w:ascii="宋体" w:hAnsi="宋体" w:cs="宋体"/>
          <w:bCs/>
          <w:color w:val="auto"/>
          <w:kern w:val="0"/>
          <w:szCs w:val="21"/>
          <w:highlight w:val="none"/>
          <w:u w:val="single"/>
        </w:rPr>
        <w:t>0</w:t>
      </w:r>
      <w:r>
        <w:rPr>
          <w:rFonts w:hint="eastAsia" w:ascii="宋体" w:hAnsi="宋体" w:cs="宋体"/>
          <w:bCs/>
          <w:color w:val="auto"/>
          <w:kern w:val="0"/>
          <w:szCs w:val="21"/>
          <w:highlight w:val="none"/>
        </w:rPr>
        <w:t>至</w:t>
      </w:r>
      <w:r>
        <w:rPr>
          <w:rFonts w:hint="eastAsia" w:ascii="宋体" w:hAnsi="宋体" w:cs="宋体"/>
          <w:bCs/>
          <w:color w:val="auto"/>
          <w:kern w:val="0"/>
          <w:szCs w:val="21"/>
          <w:highlight w:val="none"/>
          <w:u w:val="single"/>
        </w:rPr>
        <w:t>11</w:t>
      </w:r>
      <w:r>
        <w:rPr>
          <w:rFonts w:hint="eastAsia" w:ascii="宋体" w:hAnsi="宋体" w:cs="宋体"/>
          <w:bCs/>
          <w:color w:val="auto"/>
          <w:kern w:val="0"/>
          <w:szCs w:val="21"/>
          <w:highlight w:val="none"/>
        </w:rPr>
        <w:t>:</w:t>
      </w:r>
      <w:r>
        <w:rPr>
          <w:rFonts w:hint="eastAsia" w:ascii="宋体" w:hAnsi="宋体" w:cs="宋体"/>
          <w:bCs/>
          <w:color w:val="auto"/>
          <w:kern w:val="0"/>
          <w:szCs w:val="21"/>
          <w:highlight w:val="none"/>
          <w:u w:val="single"/>
        </w:rPr>
        <w:t>59</w:t>
      </w:r>
      <w:r>
        <w:rPr>
          <w:rFonts w:hint="eastAsia" w:ascii="宋体" w:hAnsi="宋体" w:cs="宋体"/>
          <w:bCs/>
          <w:color w:val="auto"/>
          <w:kern w:val="0"/>
          <w:szCs w:val="21"/>
          <w:highlight w:val="none"/>
        </w:rPr>
        <w:t>，下午</w:t>
      </w:r>
      <w:r>
        <w:rPr>
          <w:rFonts w:hint="eastAsia" w:ascii="宋体" w:hAnsi="宋体" w:cs="宋体"/>
          <w:bCs/>
          <w:color w:val="auto"/>
          <w:kern w:val="0"/>
          <w:szCs w:val="21"/>
          <w:highlight w:val="none"/>
          <w:u w:val="single"/>
        </w:rPr>
        <w:t>12</w:t>
      </w:r>
      <w:r>
        <w:rPr>
          <w:rFonts w:hint="eastAsia" w:ascii="宋体" w:hAnsi="宋体" w:cs="宋体"/>
          <w:bCs/>
          <w:color w:val="auto"/>
          <w:kern w:val="0"/>
          <w:szCs w:val="21"/>
          <w:highlight w:val="none"/>
        </w:rPr>
        <w:t>:</w:t>
      </w:r>
      <w:r>
        <w:rPr>
          <w:rFonts w:hint="eastAsia" w:ascii="宋体" w:hAnsi="宋体" w:cs="宋体"/>
          <w:bCs/>
          <w:color w:val="auto"/>
          <w:kern w:val="0"/>
          <w:szCs w:val="21"/>
          <w:highlight w:val="none"/>
          <w:u w:val="single"/>
        </w:rPr>
        <w:t>0</w:t>
      </w:r>
      <w:r>
        <w:rPr>
          <w:rFonts w:ascii="宋体" w:hAnsi="宋体" w:cs="宋体"/>
          <w:bCs/>
          <w:color w:val="auto"/>
          <w:kern w:val="0"/>
          <w:szCs w:val="21"/>
          <w:highlight w:val="none"/>
          <w:u w:val="single"/>
        </w:rPr>
        <w:t>0</w:t>
      </w:r>
      <w:r>
        <w:rPr>
          <w:rFonts w:hint="eastAsia" w:ascii="宋体" w:hAnsi="宋体" w:cs="宋体"/>
          <w:bCs/>
          <w:color w:val="auto"/>
          <w:kern w:val="0"/>
          <w:szCs w:val="21"/>
          <w:highlight w:val="none"/>
        </w:rPr>
        <w:t>至</w:t>
      </w:r>
      <w:r>
        <w:rPr>
          <w:rFonts w:hint="eastAsia" w:ascii="宋体" w:hAnsi="宋体" w:cs="宋体"/>
          <w:bCs/>
          <w:color w:val="auto"/>
          <w:kern w:val="0"/>
          <w:szCs w:val="21"/>
          <w:highlight w:val="none"/>
          <w:u w:val="single"/>
        </w:rPr>
        <w:t>23</w:t>
      </w:r>
      <w:r>
        <w:rPr>
          <w:rFonts w:hint="eastAsia" w:ascii="宋体" w:hAnsi="宋体" w:cs="宋体"/>
          <w:bCs/>
          <w:color w:val="auto"/>
          <w:kern w:val="0"/>
          <w:szCs w:val="21"/>
          <w:highlight w:val="none"/>
        </w:rPr>
        <w:t>:59（北京时间，</w:t>
      </w:r>
      <w:r>
        <w:rPr>
          <w:rFonts w:ascii="宋体" w:hAnsi="宋体" w:cs="宋体"/>
          <w:bCs/>
          <w:color w:val="auto"/>
          <w:kern w:val="0"/>
          <w:szCs w:val="21"/>
          <w:highlight w:val="none"/>
        </w:rPr>
        <w:t>法定节假日</w:t>
      </w:r>
      <w:r>
        <w:rPr>
          <w:rFonts w:hint="eastAsia" w:ascii="宋体" w:hAnsi="宋体" w:cs="宋体"/>
          <w:bCs/>
          <w:color w:val="auto"/>
          <w:kern w:val="0"/>
          <w:szCs w:val="21"/>
          <w:highlight w:val="none"/>
        </w:rPr>
        <w:t>除外）。</w:t>
      </w:r>
    </w:p>
    <w:p w14:paraId="345EE077">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地点：广西政府采购云平台（www.gcy.zfcg.gxzf.gov.cn）。</w:t>
      </w:r>
    </w:p>
    <w:p w14:paraId="1920DD74">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方式：网上下载。本项目不提供纸质文件，潜在供应商需使用账号登录或者使用CA登录广西政府采购云平台（www.gcy.zfcg.gxzf.gov.cn）-进入“项目采购”应用，在获取采购文件菜单中选择项目，获取竞争性磋商文件。</w:t>
      </w:r>
      <w:r>
        <w:rPr>
          <w:rFonts w:hint="eastAsia" w:ascii="宋体" w:hAnsi="宋体"/>
          <w:color w:val="auto"/>
          <w:szCs w:val="21"/>
          <w:highlight w:val="none"/>
        </w:rPr>
        <w:t>电子</w:t>
      </w:r>
      <w:r>
        <w:rPr>
          <w:rFonts w:hint="eastAsia"/>
          <w:color w:val="auto"/>
          <w:highlight w:val="none"/>
        </w:rPr>
        <w:t>响应文件</w:t>
      </w:r>
      <w:r>
        <w:rPr>
          <w:rFonts w:hint="eastAsia" w:ascii="宋体" w:hAnsi="宋体"/>
          <w:color w:val="auto"/>
          <w:szCs w:val="21"/>
          <w:highlight w:val="none"/>
        </w:rPr>
        <w:t>制作需要基于广西政府采购云平台获取的竞争性磋商文件编制，</w:t>
      </w:r>
      <w:r>
        <w:rPr>
          <w:rFonts w:hint="eastAsia" w:ascii="宋体" w:hAnsi="宋体" w:cs="宋体"/>
          <w:bCs/>
          <w:color w:val="auto"/>
          <w:kern w:val="0"/>
          <w:szCs w:val="21"/>
          <w:highlight w:val="none"/>
        </w:rPr>
        <w:t>通过其他方式获取竞争性磋商文件的，将有可能导致供应商无法在广西政府采购云平台编制及上传响应文件。</w:t>
      </w:r>
    </w:p>
    <w:p w14:paraId="4662FA87">
      <w:pPr>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售价：</w:t>
      </w:r>
      <w:r>
        <w:rPr>
          <w:rFonts w:hint="eastAsia" w:ascii="宋体" w:hAnsi="宋体" w:cs="宋体"/>
          <w:color w:val="auto"/>
          <w:szCs w:val="21"/>
          <w:highlight w:val="none"/>
          <w:u w:val="single"/>
        </w:rPr>
        <w:t>0</w:t>
      </w:r>
      <w:r>
        <w:rPr>
          <w:rFonts w:hint="eastAsia" w:ascii="宋体" w:hAnsi="宋体" w:cs="宋体"/>
          <w:color w:val="auto"/>
          <w:szCs w:val="21"/>
          <w:highlight w:val="none"/>
        </w:rPr>
        <w:t>元</w:t>
      </w:r>
    </w:p>
    <w:p w14:paraId="7907542E">
      <w:pPr>
        <w:ind w:firstLine="354" w:firstLineChars="147"/>
        <w:rPr>
          <w:rFonts w:ascii="黑体" w:hAnsi="黑体" w:eastAsia="黑体"/>
          <w:b/>
          <w:color w:val="auto"/>
          <w:sz w:val="24"/>
          <w:highlight w:val="none"/>
        </w:rPr>
      </w:pPr>
      <w:bookmarkStart w:id="28" w:name="_Toc71365908"/>
      <w:r>
        <w:rPr>
          <w:rFonts w:hint="eastAsia" w:ascii="黑体" w:hAnsi="黑体" w:eastAsia="黑体"/>
          <w:b/>
          <w:color w:val="auto"/>
          <w:sz w:val="24"/>
          <w:highlight w:val="none"/>
        </w:rPr>
        <w:t>四、响应文件提交</w:t>
      </w:r>
      <w:bookmarkEnd w:id="23"/>
      <w:bookmarkEnd w:id="24"/>
      <w:bookmarkEnd w:id="25"/>
      <w:bookmarkEnd w:id="26"/>
      <w:bookmarkEnd w:id="27"/>
      <w:bookmarkEnd w:id="28"/>
    </w:p>
    <w:p w14:paraId="1CD0E655">
      <w:pPr>
        <w:spacing w:line="360" w:lineRule="auto"/>
        <w:ind w:firstLine="420" w:firstLineChars="200"/>
        <w:rPr>
          <w:rFonts w:ascii="宋体" w:hAnsi="宋体" w:cs="宋体"/>
          <w:color w:val="auto"/>
          <w:szCs w:val="21"/>
          <w:highlight w:val="none"/>
          <w:u w:val="single"/>
        </w:rPr>
      </w:pPr>
      <w:bookmarkStart w:id="29" w:name="_Toc35393802"/>
      <w:bookmarkStart w:id="30" w:name="_Toc44229882"/>
      <w:bookmarkStart w:id="31" w:name="_Toc28359093"/>
      <w:bookmarkStart w:id="32" w:name="_Toc35393633"/>
      <w:bookmarkStart w:id="33" w:name="_Toc28359016"/>
      <w:r>
        <w:rPr>
          <w:rFonts w:hint="eastAsia" w:ascii="宋体" w:hAnsi="宋体"/>
          <w:color w:val="auto"/>
          <w:szCs w:val="21"/>
          <w:highlight w:val="none"/>
        </w:rPr>
        <w:t>截止时间：</w:t>
      </w:r>
      <w:r>
        <w:rPr>
          <w:rFonts w:hint="eastAsia" w:ascii="宋体" w:hAnsi="宋体"/>
          <w:bCs/>
          <w:color w:val="auto"/>
          <w:szCs w:val="21"/>
          <w:highlight w:val="none"/>
          <w:u w:val="single"/>
        </w:rPr>
        <w:t>202</w:t>
      </w:r>
      <w:r>
        <w:rPr>
          <w:rFonts w:ascii="宋体" w:hAnsi="宋体"/>
          <w:bCs/>
          <w:color w:val="auto"/>
          <w:szCs w:val="21"/>
          <w:highlight w:val="none"/>
          <w:u w:val="single"/>
        </w:rPr>
        <w:t>5</w:t>
      </w:r>
      <w:r>
        <w:rPr>
          <w:rFonts w:hint="eastAsia" w:ascii="宋体" w:hAnsi="宋体"/>
          <w:bCs/>
          <w:color w:val="auto"/>
          <w:szCs w:val="21"/>
          <w:highlight w:val="none"/>
        </w:rPr>
        <w:t>年</w:t>
      </w:r>
      <w:r>
        <w:rPr>
          <w:rFonts w:hint="eastAsia" w:ascii="宋体" w:hAnsi="宋体"/>
          <w:bCs/>
          <w:color w:val="auto"/>
          <w:szCs w:val="21"/>
          <w:highlight w:val="none"/>
          <w:u w:val="single"/>
          <w:lang w:val="en-US" w:eastAsia="zh-CN"/>
        </w:rPr>
        <w:t>12</w:t>
      </w:r>
      <w:r>
        <w:rPr>
          <w:rFonts w:hint="eastAsia" w:ascii="宋体" w:hAnsi="宋体"/>
          <w:bCs/>
          <w:color w:val="auto"/>
          <w:szCs w:val="21"/>
          <w:highlight w:val="none"/>
        </w:rPr>
        <w:t>月</w:t>
      </w:r>
      <w:r>
        <w:rPr>
          <w:rFonts w:hint="eastAsia" w:ascii="宋体" w:hAnsi="宋体"/>
          <w:bCs/>
          <w:color w:val="auto"/>
          <w:szCs w:val="21"/>
          <w:highlight w:val="none"/>
          <w:u w:val="single"/>
          <w:lang w:val="en-US" w:eastAsia="zh-CN"/>
        </w:rPr>
        <w:t>15</w:t>
      </w:r>
      <w:r>
        <w:rPr>
          <w:rFonts w:hint="eastAsia" w:ascii="宋体" w:hAnsi="宋体"/>
          <w:bCs/>
          <w:color w:val="auto"/>
          <w:szCs w:val="21"/>
          <w:highlight w:val="none"/>
        </w:rPr>
        <w:t>日</w:t>
      </w:r>
      <w:r>
        <w:rPr>
          <w:rFonts w:hint="eastAsia" w:ascii="宋体" w:hAnsi="宋体"/>
          <w:bCs/>
          <w:color w:val="auto"/>
          <w:szCs w:val="21"/>
          <w:highlight w:val="none"/>
          <w:u w:val="single"/>
        </w:rPr>
        <w:t>9</w:t>
      </w:r>
      <w:r>
        <w:rPr>
          <w:rFonts w:hint="eastAsia" w:ascii="宋体" w:hAnsi="宋体"/>
          <w:bCs/>
          <w:color w:val="auto"/>
          <w:szCs w:val="21"/>
          <w:highlight w:val="none"/>
        </w:rPr>
        <w:t>时</w:t>
      </w:r>
      <w:r>
        <w:rPr>
          <w:rFonts w:hint="eastAsia" w:ascii="宋体" w:hAnsi="宋体"/>
          <w:bCs/>
          <w:color w:val="auto"/>
          <w:szCs w:val="21"/>
          <w:highlight w:val="none"/>
          <w:u w:val="single"/>
        </w:rPr>
        <w:t>30</w:t>
      </w:r>
      <w:r>
        <w:rPr>
          <w:rFonts w:hint="eastAsia" w:ascii="宋体" w:hAnsi="宋体"/>
          <w:bCs/>
          <w:color w:val="auto"/>
          <w:szCs w:val="21"/>
          <w:highlight w:val="none"/>
        </w:rPr>
        <w:t>分（北京时间）</w:t>
      </w:r>
    </w:p>
    <w:p w14:paraId="12FB8FB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地点：广西政府采购云平台</w:t>
      </w:r>
      <w:r>
        <w:rPr>
          <w:rFonts w:hint="eastAsia" w:ascii="宋体" w:hAnsi="宋体" w:cs="宋体"/>
          <w:bCs/>
          <w:color w:val="auto"/>
          <w:kern w:val="0"/>
          <w:szCs w:val="21"/>
          <w:highlight w:val="none"/>
        </w:rPr>
        <w:t>（www.gcy.zfcg.gxzf.gov.cn）</w:t>
      </w:r>
    </w:p>
    <w:p w14:paraId="70868694">
      <w:pPr>
        <w:ind w:firstLine="354" w:firstLineChars="147"/>
        <w:rPr>
          <w:rFonts w:ascii="黑体" w:hAnsi="黑体" w:eastAsia="黑体"/>
          <w:b/>
          <w:color w:val="auto"/>
          <w:sz w:val="24"/>
          <w:highlight w:val="none"/>
        </w:rPr>
      </w:pPr>
      <w:bookmarkStart w:id="34" w:name="_Toc71365909"/>
      <w:r>
        <w:rPr>
          <w:rFonts w:hint="eastAsia" w:ascii="黑体" w:hAnsi="黑体" w:eastAsia="黑体"/>
          <w:b/>
          <w:color w:val="auto"/>
          <w:sz w:val="24"/>
          <w:highlight w:val="none"/>
        </w:rPr>
        <w:t>五、开启</w:t>
      </w:r>
      <w:bookmarkEnd w:id="29"/>
      <w:bookmarkEnd w:id="30"/>
      <w:bookmarkEnd w:id="31"/>
      <w:bookmarkEnd w:id="32"/>
      <w:bookmarkEnd w:id="33"/>
      <w:bookmarkEnd w:id="34"/>
    </w:p>
    <w:p w14:paraId="727A8CC2">
      <w:pPr>
        <w:spacing w:line="360" w:lineRule="auto"/>
        <w:ind w:firstLine="420" w:firstLineChars="200"/>
        <w:rPr>
          <w:rFonts w:ascii="宋体" w:hAnsi="宋体"/>
          <w:bCs/>
          <w:color w:val="auto"/>
          <w:szCs w:val="21"/>
          <w:highlight w:val="none"/>
          <w:u w:val="singl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时间：</w:t>
      </w:r>
      <w:r>
        <w:rPr>
          <w:rFonts w:hint="eastAsia" w:ascii="宋体" w:hAnsi="宋体"/>
          <w:bCs/>
          <w:color w:val="auto"/>
          <w:szCs w:val="21"/>
          <w:highlight w:val="none"/>
          <w:u w:val="single"/>
        </w:rPr>
        <w:t>202</w:t>
      </w:r>
      <w:r>
        <w:rPr>
          <w:rFonts w:ascii="宋体" w:hAnsi="宋体"/>
          <w:bCs/>
          <w:color w:val="auto"/>
          <w:szCs w:val="21"/>
          <w:highlight w:val="none"/>
          <w:u w:val="single"/>
        </w:rPr>
        <w:t>5</w:t>
      </w:r>
      <w:r>
        <w:rPr>
          <w:rFonts w:hint="eastAsia" w:ascii="宋体" w:hAnsi="宋体"/>
          <w:bCs/>
          <w:color w:val="auto"/>
          <w:szCs w:val="21"/>
          <w:highlight w:val="none"/>
        </w:rPr>
        <w:t>年</w:t>
      </w:r>
      <w:r>
        <w:rPr>
          <w:rFonts w:hint="eastAsia" w:ascii="宋体" w:hAnsi="宋体"/>
          <w:bCs/>
          <w:color w:val="auto"/>
          <w:szCs w:val="21"/>
          <w:highlight w:val="none"/>
          <w:u w:val="single"/>
          <w:lang w:val="en-US" w:eastAsia="zh-CN"/>
        </w:rPr>
        <w:t>12</w:t>
      </w:r>
      <w:r>
        <w:rPr>
          <w:rFonts w:hint="eastAsia" w:ascii="宋体" w:hAnsi="宋体"/>
          <w:bCs/>
          <w:color w:val="auto"/>
          <w:szCs w:val="21"/>
          <w:highlight w:val="none"/>
        </w:rPr>
        <w:t>月</w:t>
      </w:r>
      <w:r>
        <w:rPr>
          <w:rFonts w:hint="eastAsia" w:ascii="宋体" w:hAnsi="宋体"/>
          <w:bCs/>
          <w:color w:val="auto"/>
          <w:szCs w:val="21"/>
          <w:highlight w:val="none"/>
          <w:u w:val="single"/>
          <w:lang w:val="en-US" w:eastAsia="zh-CN"/>
        </w:rPr>
        <w:t>15</w:t>
      </w:r>
      <w:r>
        <w:rPr>
          <w:rFonts w:hint="eastAsia" w:ascii="宋体" w:hAnsi="宋体"/>
          <w:bCs/>
          <w:color w:val="auto"/>
          <w:szCs w:val="21"/>
          <w:highlight w:val="none"/>
        </w:rPr>
        <w:t>日</w:t>
      </w:r>
      <w:r>
        <w:rPr>
          <w:rFonts w:hint="eastAsia" w:ascii="宋体" w:hAnsi="宋体"/>
          <w:color w:val="auto"/>
          <w:szCs w:val="21"/>
          <w:highlight w:val="none"/>
          <w:u w:val="single"/>
        </w:rPr>
        <w:t>9</w:t>
      </w:r>
      <w:r>
        <w:rPr>
          <w:rFonts w:hint="eastAsia" w:ascii="宋体" w:hAnsi="宋体"/>
          <w:color w:val="auto"/>
          <w:szCs w:val="21"/>
          <w:highlight w:val="none"/>
        </w:rPr>
        <w:t>时</w:t>
      </w:r>
      <w:r>
        <w:rPr>
          <w:rFonts w:hint="eastAsia" w:ascii="宋体" w:hAnsi="宋体"/>
          <w:color w:val="auto"/>
          <w:szCs w:val="21"/>
          <w:highlight w:val="none"/>
          <w:u w:val="single"/>
        </w:rPr>
        <w:t>30</w:t>
      </w:r>
      <w:r>
        <w:rPr>
          <w:rFonts w:hint="eastAsia" w:ascii="宋体" w:hAnsi="宋体"/>
          <w:color w:val="auto"/>
          <w:szCs w:val="21"/>
          <w:highlight w:val="none"/>
        </w:rPr>
        <w:t>分</w:t>
      </w:r>
      <w:r>
        <w:rPr>
          <w:rFonts w:hint="eastAsia" w:ascii="宋体" w:hAnsi="宋体"/>
          <w:bCs/>
          <w:color w:val="auto"/>
          <w:szCs w:val="21"/>
          <w:highlight w:val="none"/>
        </w:rPr>
        <w:t>（北京时间）</w:t>
      </w:r>
    </w:p>
    <w:p w14:paraId="123AEE60">
      <w:pPr>
        <w:spacing w:line="360" w:lineRule="auto"/>
        <w:ind w:firstLine="420" w:firstLineChars="200"/>
        <w:rPr>
          <w:rFonts w:ascii="宋体" w:hAnsi="宋体"/>
          <w:bCs/>
          <w:color w:val="auto"/>
          <w:szCs w:val="21"/>
          <w:highlight w:val="none"/>
          <w:u w:val="singl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地点：广西政府采购云平台</w:t>
      </w:r>
      <w:r>
        <w:rPr>
          <w:rFonts w:hint="eastAsia" w:ascii="宋体" w:hAnsi="宋体" w:cs="宋体"/>
          <w:bCs/>
          <w:color w:val="auto"/>
          <w:kern w:val="0"/>
          <w:szCs w:val="21"/>
          <w:highlight w:val="none"/>
        </w:rPr>
        <w:t>（www.gcy.zfcg.gxzf.gov.cn）</w:t>
      </w:r>
    </w:p>
    <w:p w14:paraId="210FCD60">
      <w:pPr>
        <w:ind w:firstLine="354" w:firstLineChars="147"/>
        <w:rPr>
          <w:rFonts w:ascii="黑体" w:hAnsi="黑体" w:eastAsia="黑体"/>
          <w:b/>
          <w:color w:val="auto"/>
          <w:sz w:val="24"/>
          <w:highlight w:val="none"/>
        </w:rPr>
      </w:pPr>
      <w:bookmarkStart w:id="35" w:name="_Toc35393634"/>
      <w:bookmarkStart w:id="36" w:name="_Toc71365910"/>
      <w:bookmarkStart w:id="37" w:name="_Toc35393803"/>
      <w:bookmarkStart w:id="38" w:name="_Toc44229883"/>
      <w:bookmarkStart w:id="39" w:name="_Toc28359094"/>
      <w:bookmarkStart w:id="40" w:name="_Toc28359017"/>
      <w:r>
        <w:rPr>
          <w:rFonts w:hint="eastAsia" w:ascii="黑体" w:hAnsi="黑体" w:eastAsia="黑体"/>
          <w:b/>
          <w:color w:val="auto"/>
          <w:sz w:val="24"/>
          <w:highlight w:val="none"/>
        </w:rPr>
        <w:t>六、公告期限</w:t>
      </w:r>
      <w:bookmarkEnd w:id="35"/>
      <w:bookmarkEnd w:id="36"/>
      <w:bookmarkEnd w:id="37"/>
      <w:bookmarkEnd w:id="38"/>
      <w:bookmarkEnd w:id="39"/>
      <w:bookmarkEnd w:id="40"/>
    </w:p>
    <w:p w14:paraId="1BFE62AE">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w:t>
      </w:r>
      <w:r>
        <w:rPr>
          <w:rFonts w:ascii="宋体" w:hAnsi="宋体" w:cs="宋体"/>
          <w:color w:val="auto"/>
          <w:kern w:val="0"/>
          <w:szCs w:val="21"/>
          <w:highlight w:val="none"/>
        </w:rPr>
        <w:t>5</w:t>
      </w:r>
      <w:r>
        <w:rPr>
          <w:rFonts w:hint="eastAsia" w:ascii="宋体" w:hAnsi="宋体" w:cs="宋体"/>
          <w:color w:val="auto"/>
          <w:kern w:val="0"/>
          <w:szCs w:val="21"/>
          <w:highlight w:val="none"/>
        </w:rPr>
        <w:t>个工作日。</w:t>
      </w:r>
    </w:p>
    <w:p w14:paraId="5EA628F7">
      <w:pPr>
        <w:ind w:firstLine="354" w:firstLineChars="147"/>
        <w:rPr>
          <w:rFonts w:ascii="黑体" w:hAnsi="黑体" w:eastAsia="黑体"/>
          <w:b/>
          <w:color w:val="auto"/>
          <w:sz w:val="24"/>
          <w:highlight w:val="none"/>
        </w:rPr>
      </w:pPr>
      <w:bookmarkStart w:id="41" w:name="_Toc35393804"/>
      <w:bookmarkStart w:id="42" w:name="_Toc71365911"/>
      <w:bookmarkStart w:id="43" w:name="_Toc35393635"/>
      <w:bookmarkStart w:id="44" w:name="_Toc44229884"/>
      <w:r>
        <w:rPr>
          <w:rFonts w:hint="eastAsia" w:ascii="黑体" w:hAnsi="黑体" w:eastAsia="黑体"/>
          <w:b/>
          <w:color w:val="auto"/>
          <w:sz w:val="24"/>
          <w:highlight w:val="none"/>
        </w:rPr>
        <w:t>七、其他补充事宜</w:t>
      </w:r>
      <w:bookmarkEnd w:id="41"/>
      <w:bookmarkEnd w:id="42"/>
      <w:bookmarkEnd w:id="43"/>
      <w:bookmarkEnd w:id="44"/>
    </w:p>
    <w:p w14:paraId="612C32CD">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w:t>
      </w:r>
      <w:r>
        <w:rPr>
          <w:rFonts w:hint="eastAsia" w:ascii="宋体" w:hAnsi="宋体" w:cs="宋体"/>
          <w:color w:val="auto"/>
          <w:kern w:val="0"/>
          <w:szCs w:val="21"/>
          <w:highlight w:val="none"/>
        </w:rPr>
        <w:t>磋商保证金：</w:t>
      </w:r>
    </w:p>
    <w:p w14:paraId="295C4BC0">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本项目磋商保证金金额为人民币贰万元整（¥20000.00）（须足额交纳）。磋商保证金的交纳方式：银行转账、支票、汇票、本票或者金融机构、担保机构出具的保函（包含电子保函），禁止采用现钞方式。采用银行转账方式的，在响应文件提交截止时间前交至指定账户并且到账（开户名称：云之龙咨询集团有限公司桂林分公司；银行账号：8113001013100074449；开户银行：中信银行股份有限公司南宁东葛支行）；采用支票、汇票、本票或者保函等方式的，在响应文件提交截止时间前，供应商必须提交单独密封的支票、汇票、本票或者保函原件。否则视为无效磋商保证金。</w:t>
      </w:r>
    </w:p>
    <w:p w14:paraId="2E8AD7EB">
      <w:pPr>
        <w:spacing w:line="360" w:lineRule="auto"/>
        <w:ind w:firstLine="420" w:firstLineChars="200"/>
        <w:rPr>
          <w:rFonts w:ascii="宋体" w:hAnsi="宋体" w:cs="宋体"/>
          <w:color w:val="auto"/>
          <w:kern w:val="0"/>
          <w:szCs w:val="21"/>
          <w:highlight w:val="none"/>
        </w:rPr>
      </w:pPr>
      <w:bookmarkStart w:id="45" w:name="_Hlk37429674"/>
      <w:bookmarkStart w:id="46" w:name="_Toc35393805"/>
      <w:bookmarkStart w:id="47" w:name="_Toc35393636"/>
      <w:bookmarkStart w:id="48" w:name="_Toc44229885"/>
      <w:bookmarkStart w:id="49" w:name="_Toc28359018"/>
      <w:bookmarkStart w:id="50" w:name="_Toc28359095"/>
      <w:r>
        <w:rPr>
          <w:rFonts w:hint="eastAsia" w:ascii="宋体" w:hAnsi="宋体" w:cs="宋体"/>
          <w:color w:val="auto"/>
          <w:kern w:val="0"/>
          <w:szCs w:val="21"/>
          <w:highlight w:val="none"/>
        </w:rPr>
        <w:t>2</w:t>
      </w:r>
      <w:r>
        <w:rPr>
          <w:rFonts w:ascii="宋体" w:hAnsi="宋体" w:cs="宋体"/>
          <w:color w:val="auto"/>
          <w:kern w:val="0"/>
          <w:szCs w:val="21"/>
          <w:highlight w:val="none"/>
        </w:rPr>
        <w:t>.</w:t>
      </w:r>
      <w:r>
        <w:rPr>
          <w:rFonts w:hint="eastAsia" w:ascii="宋体" w:hAnsi="宋体" w:cs="宋体"/>
          <w:color w:val="auto"/>
          <w:kern w:val="0"/>
          <w:szCs w:val="21"/>
          <w:highlight w:val="none"/>
        </w:rPr>
        <w:t>网上查询地址</w:t>
      </w:r>
    </w:p>
    <w:p w14:paraId="557295DA">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中国政府采购网（www.ccgp.gov.cn）、广西壮族自治区政府采购网（zfcg.gxzf.gov.cn）。</w:t>
      </w:r>
    </w:p>
    <w:bookmarkEnd w:id="45"/>
    <w:p w14:paraId="10CEE6F0">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3.本项目需要落实的政府采购政策</w:t>
      </w:r>
    </w:p>
    <w:p w14:paraId="1F0FE0C5">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r>
        <w:rPr>
          <w:rFonts w:hint="eastAsia" w:ascii="宋体" w:hAnsi="宋体" w:cs="宋体"/>
          <w:bCs/>
          <w:color w:val="auto"/>
          <w:szCs w:val="21"/>
          <w:highlight w:val="none"/>
        </w:rPr>
        <w:t>（</w:t>
      </w:r>
      <w:r>
        <w:rPr>
          <w:rFonts w:hint="eastAsia" w:ascii="宋体" w:hAnsi="宋体" w:cs="宋体"/>
          <w:color w:val="auto"/>
          <w:szCs w:val="21"/>
          <w:highlight w:val="none"/>
        </w:rPr>
        <w:t>本项目非专门面向中小企业采购）</w:t>
      </w:r>
      <w:r>
        <w:rPr>
          <w:rFonts w:hint="eastAsia" w:ascii="宋体" w:hAnsi="宋体" w:cs="宋体"/>
          <w:color w:val="auto"/>
          <w:kern w:val="0"/>
          <w:szCs w:val="21"/>
          <w:highlight w:val="none"/>
        </w:rPr>
        <w:t>。</w:t>
      </w:r>
    </w:p>
    <w:p w14:paraId="1C1DCE29">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50AAF4B7">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（3）本项目采购内容不涉及政府强制采购节能产品；优先采购节能产品、环境标志产品。</w:t>
      </w:r>
    </w:p>
    <w:p w14:paraId="7F194B35">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4</w:t>
      </w:r>
      <w:r>
        <w:rPr>
          <w:rFonts w:hint="eastAsia" w:ascii="宋体" w:hAnsi="宋体" w:cs="宋体"/>
          <w:color w:val="auto"/>
          <w:kern w:val="0"/>
          <w:szCs w:val="21"/>
          <w:highlight w:val="none"/>
        </w:rPr>
        <w:t>）政府采购促进残疾人就业政策。</w:t>
      </w:r>
    </w:p>
    <w:p w14:paraId="66611E4F">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5</w:t>
      </w:r>
      <w:r>
        <w:rPr>
          <w:rFonts w:hint="eastAsia" w:ascii="宋体" w:hAnsi="宋体" w:cs="宋体"/>
          <w:color w:val="auto"/>
          <w:kern w:val="0"/>
          <w:szCs w:val="21"/>
          <w:highlight w:val="none"/>
        </w:rPr>
        <w:t>）政府采购支持监狱企业发展。</w:t>
      </w:r>
    </w:p>
    <w:p w14:paraId="76E123E1">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6</w:t>
      </w:r>
      <w:r>
        <w:rPr>
          <w:rFonts w:hint="eastAsia" w:ascii="宋体" w:hAnsi="宋体" w:cs="宋体"/>
          <w:color w:val="auto"/>
          <w:kern w:val="0"/>
          <w:szCs w:val="21"/>
          <w:highlight w:val="none"/>
        </w:rPr>
        <w:t>）政府采购扶持不发达地区和少数民族地区政策。</w:t>
      </w:r>
    </w:p>
    <w:p w14:paraId="07AEEEA7">
      <w:pPr>
        <w:widowControl/>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4.</w:t>
      </w:r>
      <w:r>
        <w:rPr>
          <w:rFonts w:hint="eastAsia" w:ascii="宋体" w:hAnsi="宋体" w:cs="宋体"/>
          <w:color w:val="auto"/>
          <w:kern w:val="0"/>
          <w:szCs w:val="21"/>
          <w:highlight w:val="none"/>
        </w:rPr>
        <w:t>资格条件特别说明</w:t>
      </w:r>
    </w:p>
    <w:p w14:paraId="04899DB6">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6C3FC21">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78292BB4">
      <w:pPr>
        <w:widowControl/>
        <w:spacing w:line="360" w:lineRule="auto"/>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5</w:t>
      </w:r>
      <w:r>
        <w:rPr>
          <w:rFonts w:ascii="宋体" w:hAnsi="宋体" w:cs="宋体"/>
          <w:color w:val="auto"/>
          <w:kern w:val="0"/>
          <w:szCs w:val="21"/>
          <w:highlight w:val="none"/>
        </w:rPr>
        <w:t>.</w:t>
      </w:r>
      <w:r>
        <w:rPr>
          <w:rFonts w:hint="eastAsia" w:ascii="宋体" w:hAnsi="宋体" w:cs="宋体"/>
          <w:color w:val="auto"/>
          <w:kern w:val="0"/>
          <w:szCs w:val="21"/>
          <w:highlight w:val="none"/>
        </w:rPr>
        <w:t>供应商</w:t>
      </w:r>
      <w:r>
        <w:rPr>
          <w:rFonts w:hint="eastAsia" w:ascii="宋体" w:hAnsi="宋体"/>
          <w:color w:val="auto"/>
          <w:szCs w:val="21"/>
          <w:highlight w:val="none"/>
        </w:rPr>
        <w:t>竞标注意事项</w:t>
      </w:r>
    </w:p>
    <w:p w14:paraId="02172D9F">
      <w:pPr>
        <w:widowControl/>
        <w:wordWrap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本项目为全流程电子化采购项目，通过广西政府采购云平台（www.gcy.zfcg.gxzf.gov.cn）实行在线电子竞标，供应商应按照本项目竞争性磋商文件和广西政府采购云平台的要求编制、加密后在响应文件提交截止时间前通过网络上传至广西政府采购云平台（加密的电子响应文件是指</w:t>
      </w:r>
      <w:r>
        <w:rPr>
          <w:rFonts w:hint="eastAsia"/>
          <w:color w:val="auto"/>
          <w:highlight w:val="none"/>
        </w:rPr>
        <w:t>后缀名为“jm</w:t>
      </w:r>
      <w:r>
        <w:rPr>
          <w:color w:val="auto"/>
          <w:highlight w:val="none"/>
        </w:rPr>
        <w:t>bs</w:t>
      </w:r>
      <w:r>
        <w:rPr>
          <w:rFonts w:hint="eastAsia"/>
          <w:color w:val="auto"/>
          <w:highlight w:val="none"/>
        </w:rPr>
        <w:t>”的文件</w:t>
      </w:r>
      <w:r>
        <w:rPr>
          <w:rFonts w:hint="eastAsia" w:ascii="宋体" w:hAnsi="宋体"/>
          <w:color w:val="auto"/>
          <w:szCs w:val="21"/>
          <w:highlight w:val="none"/>
        </w:rPr>
        <w:t>），</w:t>
      </w:r>
      <w:r>
        <w:rPr>
          <w:rFonts w:hint="eastAsia" w:ascii="宋体" w:hAnsi="宋体"/>
          <w:b/>
          <w:color w:val="auto"/>
          <w:szCs w:val="21"/>
          <w:highlight w:val="none"/>
        </w:rPr>
        <w:t>供应商在广西政府采购云平台提交电子响应文件时，请填写参加远程采购活动经办人联系方式。</w:t>
      </w:r>
      <w:r>
        <w:rPr>
          <w:rFonts w:hint="eastAsia" w:ascii="宋体" w:hAnsi="宋体"/>
          <w:color w:val="auto"/>
          <w:szCs w:val="21"/>
          <w:highlight w:val="none"/>
        </w:rPr>
        <w:t>供应商登录广西政府采购云平台，依次进入“服务中心-项目采购-操作流程-电子招投标-</w:t>
      </w:r>
      <w:r>
        <w:rPr>
          <w:rFonts w:hint="eastAsia"/>
          <w:color w:val="auto"/>
          <w:highlight w:val="none"/>
        </w:rPr>
        <w:t>政府采购项目电子交易管理操作指南</w:t>
      </w:r>
      <w:r>
        <w:rPr>
          <w:color w:val="auto"/>
          <w:highlight w:val="none"/>
        </w:rPr>
        <w:t>-</w:t>
      </w:r>
      <w:r>
        <w:rPr>
          <w:rFonts w:hint="eastAsia"/>
          <w:color w:val="auto"/>
          <w:highlight w:val="none"/>
        </w:rPr>
        <w:t>供应商</w:t>
      </w:r>
      <w:r>
        <w:rPr>
          <w:rFonts w:hint="eastAsia" w:ascii="宋体" w:hAnsi="宋体"/>
          <w:color w:val="auto"/>
          <w:szCs w:val="21"/>
          <w:highlight w:val="none"/>
        </w:rPr>
        <w:t>”查看电子竞标具体操作流程。</w:t>
      </w:r>
    </w:p>
    <w:p w14:paraId="53E48FE4">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供应商应当在响应文件提交截止时间前，完成电子交易平台上的CA数字证书办理及响应文件的提交（供应商可登录“广西政府采购网”，依次进入“办事服务-下载专区”或者登录</w:t>
      </w:r>
      <w:r>
        <w:rPr>
          <w:rFonts w:hint="eastAsia" w:ascii="宋体" w:hAnsi="宋体" w:cs="宋体"/>
          <w:color w:val="auto"/>
          <w:kern w:val="0"/>
          <w:szCs w:val="21"/>
          <w:highlight w:val="none"/>
        </w:rPr>
        <w:t>广西政府采购云平台，</w:t>
      </w:r>
      <w:r>
        <w:rPr>
          <w:rFonts w:hint="eastAsia" w:ascii="宋体" w:hAnsi="宋体"/>
          <w:color w:val="auto"/>
          <w:szCs w:val="21"/>
          <w:highlight w:val="none"/>
        </w:rPr>
        <w:t>依次进入“服务中心-入驻与配置”中查看CA数字证书办理操作流程。</w:t>
      </w:r>
      <w:r>
        <w:rPr>
          <w:rFonts w:hint="eastAsia" w:ascii="宋体" w:hAnsi="宋体" w:cs="宋体"/>
          <w:bCs/>
          <w:color w:val="auto"/>
          <w:kern w:val="0"/>
          <w:szCs w:val="21"/>
          <w:highlight w:val="none"/>
        </w:rPr>
        <w:t>如在操作过程中遇到问题或者需要技术支持，请致电客服热线：95763或者0771-3381253</w:t>
      </w:r>
      <w:r>
        <w:rPr>
          <w:rFonts w:hint="eastAsia" w:ascii="宋体" w:hAnsi="宋体"/>
          <w:color w:val="auto"/>
          <w:szCs w:val="21"/>
          <w:highlight w:val="none"/>
        </w:rPr>
        <w:t>）。</w:t>
      </w:r>
    </w:p>
    <w:p w14:paraId="4093185C">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（3）CA证书在线解密：首次响应文件开启时，需使用制作响应文件时用来加密的有效数字证书（CA认证）登录广西政府采购云平台电子开标大厅现场按规定时间对加密的响应文件进行解密，否则后果自负。</w:t>
      </w:r>
    </w:p>
    <w:p w14:paraId="00D04388">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1）为确保网上操作合法、有效和安全，请供应商确保在电子竞标过程中能够对相关数据电文进行加密和使用电子签章，妥善保管CA数字证书并使用有效的CA数字证书参与整个采购活动；2）供应商应当在响应文件提交截止时间前完成电子响应文件的提交（上传），响应文件提交截止时间前可以补充、修改或者撤回响应文件。补充或者修改响应文件的，应当先行撤回原响应文件，补充、修改后重新提交（上传），响应文件提交截止时间前未完成提交（上传）的，视为撤回响应文件。响应文件提交截止时间以后提交（上传）的响应文件，广西政府采购云平台将予以拒收。</w:t>
      </w:r>
    </w:p>
    <w:p w14:paraId="2E3D7194">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（4）供应商需要在具备摄像头及语音功能且互联网网络状况良好的电脑登录广西政府采购云平台远程开标大厅参与本次磋商，否则后果自负。</w:t>
      </w:r>
    </w:p>
    <w:p w14:paraId="09D2D584">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（5）凡在桂林电子科技大学任职的教职工本人作为法定代表人(负责人)的单位，不得参</w:t>
      </w:r>
    </w:p>
    <w:p w14:paraId="3486C101">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与此次采购项目。</w:t>
      </w:r>
    </w:p>
    <w:p w14:paraId="64947F55">
      <w:pPr>
        <w:ind w:firstLine="354" w:firstLineChars="147"/>
        <w:rPr>
          <w:rFonts w:ascii="黑体" w:hAnsi="黑体" w:eastAsia="黑体"/>
          <w:b/>
          <w:color w:val="auto"/>
          <w:sz w:val="24"/>
          <w:highlight w:val="none"/>
        </w:rPr>
      </w:pPr>
      <w:r>
        <w:rPr>
          <w:rFonts w:hint="eastAsia" w:ascii="黑体" w:hAnsi="黑体" w:eastAsia="黑体"/>
          <w:b/>
          <w:color w:val="auto"/>
          <w:sz w:val="24"/>
          <w:highlight w:val="none"/>
        </w:rPr>
        <w:t>八、凡对本次采购提出询问，请按</w:t>
      </w:r>
      <w:r>
        <w:rPr>
          <w:rFonts w:ascii="黑体" w:hAnsi="黑体" w:eastAsia="黑体"/>
          <w:b/>
          <w:color w:val="auto"/>
          <w:sz w:val="24"/>
          <w:highlight w:val="none"/>
        </w:rPr>
        <w:t>以下方式</w:t>
      </w:r>
      <w:r>
        <w:rPr>
          <w:rFonts w:hint="eastAsia" w:ascii="黑体" w:hAnsi="黑体" w:eastAsia="黑体"/>
          <w:b/>
          <w:color w:val="auto"/>
          <w:sz w:val="24"/>
          <w:highlight w:val="none"/>
        </w:rPr>
        <w:t>联系。</w:t>
      </w:r>
      <w:bookmarkEnd w:id="46"/>
      <w:bookmarkEnd w:id="47"/>
      <w:bookmarkEnd w:id="48"/>
      <w:bookmarkEnd w:id="49"/>
      <w:bookmarkEnd w:id="50"/>
    </w:p>
    <w:p w14:paraId="6C97A231">
      <w:pPr>
        <w:spacing w:line="360" w:lineRule="auto"/>
        <w:ind w:firstLine="420" w:firstLineChars="200"/>
        <w:rPr>
          <w:rFonts w:ascii="宋体" w:hAnsi="宋体" w:cs="宋体"/>
          <w:color w:val="auto"/>
          <w:kern w:val="0"/>
          <w:szCs w:val="21"/>
          <w:highlight w:val="none"/>
        </w:rPr>
      </w:pPr>
      <w:bookmarkStart w:id="51" w:name="_Toc35393637"/>
      <w:bookmarkStart w:id="52" w:name="_Toc28359096"/>
      <w:bookmarkStart w:id="53" w:name="_Toc35393806"/>
      <w:bookmarkStart w:id="54" w:name="_Toc28359019"/>
      <w:r>
        <w:rPr>
          <w:rFonts w:hint="eastAsia" w:ascii="宋体" w:hAnsi="宋体" w:cs="宋体"/>
          <w:color w:val="auto"/>
          <w:kern w:val="0"/>
          <w:szCs w:val="21"/>
          <w:highlight w:val="none"/>
        </w:rPr>
        <w:t>1.采购人信息</w:t>
      </w:r>
      <w:bookmarkEnd w:id="51"/>
      <w:bookmarkEnd w:id="52"/>
      <w:bookmarkEnd w:id="53"/>
      <w:bookmarkEnd w:id="54"/>
    </w:p>
    <w:p w14:paraId="460E8B8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名    称：桂林电子科技大学</w:t>
      </w:r>
    </w:p>
    <w:p w14:paraId="4CF3B8B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    址：</w:t>
      </w:r>
      <w:r>
        <w:rPr>
          <w:rFonts w:hint="eastAsia"/>
          <w:color w:val="auto"/>
          <w:highlight w:val="none"/>
        </w:rPr>
        <w:t>广西壮族自治区桂林灵川县灵田镇东田村桂林电子科技大学花江校区</w:t>
      </w:r>
    </w:p>
    <w:p w14:paraId="3AB1CD4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联系方式：刘</w:t>
      </w:r>
      <w:r>
        <w:rPr>
          <w:rFonts w:hint="eastAsia" w:ascii="宋体" w:hAnsi="宋体"/>
          <w:color w:val="auto"/>
          <w:szCs w:val="21"/>
          <w:highlight w:val="none"/>
          <w:lang w:eastAsia="zh-CN"/>
        </w:rPr>
        <w:t>金霞</w:t>
      </w:r>
      <w:r>
        <w:rPr>
          <w:rFonts w:hint="eastAsia" w:ascii="宋体" w:hAnsi="宋体"/>
          <w:color w:val="auto"/>
          <w:szCs w:val="21"/>
          <w:highlight w:val="none"/>
        </w:rPr>
        <w:t xml:space="preserve">  0773-2290675</w:t>
      </w:r>
    </w:p>
    <w:p w14:paraId="414496E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2.采购代理机构信息</w:t>
      </w:r>
    </w:p>
    <w:p w14:paraId="5502DD1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名    称：云之龙咨询集团有限公司</w:t>
      </w:r>
    </w:p>
    <w:p w14:paraId="334C897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　　址：广西壮族自治区桂林市临桂区西城北路2号耀辉•美好家园2幢12层1号房</w:t>
      </w:r>
    </w:p>
    <w:p w14:paraId="109300C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联系方式：李贞   0773-2887388、2887399</w:t>
      </w:r>
      <w:bookmarkEnd w:id="4"/>
    </w:p>
    <w:p w14:paraId="1086E17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3.项目联系方式</w:t>
      </w:r>
    </w:p>
    <w:p w14:paraId="463E19C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项目联系人：李贞</w:t>
      </w:r>
    </w:p>
    <w:p w14:paraId="2646FA4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电话：0773-2887388、2887399</w:t>
      </w:r>
    </w:p>
    <w:p w14:paraId="79252DB0">
      <w:pPr>
        <w:spacing w:line="360" w:lineRule="auto"/>
        <w:ind w:firstLine="420" w:firstLineChars="200"/>
        <w:rPr>
          <w:rFonts w:ascii="宋体" w:hAnsi="宋体"/>
          <w:color w:val="auto"/>
          <w:szCs w:val="21"/>
          <w:highlight w:val="none"/>
        </w:rPr>
      </w:pPr>
    </w:p>
    <w:p w14:paraId="409E3738">
      <w:pPr>
        <w:pStyle w:val="2"/>
        <w:spacing w:before="0" w:after="0"/>
        <w:jc w:val="center"/>
        <w:rPr>
          <w:color w:val="auto"/>
          <w:highlight w:val="none"/>
        </w:rPr>
      </w:pPr>
      <w:r>
        <w:rPr>
          <w:rFonts w:ascii="宋体" w:hAnsi="宋体"/>
          <w:color w:val="auto"/>
          <w:szCs w:val="21"/>
          <w:highlight w:val="none"/>
        </w:rPr>
        <w:br w:type="page"/>
      </w:r>
      <w:bookmarkStart w:id="55" w:name="_Toc182816498"/>
      <w:r>
        <w:rPr>
          <w:rFonts w:hint="eastAsia"/>
          <w:color w:val="auto"/>
          <w:highlight w:val="none"/>
        </w:rPr>
        <w:t>第二章 供应商须知</w:t>
      </w:r>
      <w:bookmarkEnd w:id="55"/>
    </w:p>
    <w:p w14:paraId="55C4E895">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供应商须知前附表</w:t>
      </w:r>
    </w:p>
    <w:p w14:paraId="4F7DABED">
      <w:pPr>
        <w:spacing w:line="400" w:lineRule="exact"/>
        <w:jc w:val="center"/>
        <w:rPr>
          <w:rFonts w:ascii="宋体" w:hAnsi="宋体"/>
          <w:b/>
          <w:color w:val="auto"/>
          <w:sz w:val="32"/>
          <w:szCs w:val="32"/>
          <w:highlight w:val="none"/>
        </w:rPr>
      </w:pPr>
    </w:p>
    <w:tbl>
      <w:tblPr>
        <w:tblStyle w:val="2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13F4E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5BA26E3E">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7912" w:type="dxa"/>
          </w:tcPr>
          <w:p w14:paraId="517A5C73">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内    容</w:t>
            </w:r>
          </w:p>
        </w:tc>
      </w:tr>
      <w:tr w14:paraId="5C06E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74B3951">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7912" w:type="dxa"/>
            <w:vAlign w:val="center"/>
          </w:tcPr>
          <w:p w14:paraId="3C775692">
            <w:pPr>
              <w:spacing w:line="340" w:lineRule="exact"/>
              <w:rPr>
                <w:rFonts w:ascii="宋体" w:hAnsi="宋体"/>
                <w:color w:val="auto"/>
                <w:szCs w:val="21"/>
                <w:highlight w:val="none"/>
              </w:rPr>
            </w:pPr>
            <w:r>
              <w:rPr>
                <w:rFonts w:hint="eastAsia" w:ascii="宋体" w:hAnsi="宋体" w:cs="宋体"/>
                <w:bCs/>
                <w:color w:val="auto"/>
                <w:szCs w:val="21"/>
                <w:highlight w:val="none"/>
              </w:rPr>
              <w:t>3.1供应商的资格条件</w:t>
            </w:r>
            <w:r>
              <w:rPr>
                <w:rFonts w:hint="eastAsia" w:ascii="宋体" w:hAnsi="宋体" w:cs="宋体"/>
                <w:color w:val="auto"/>
                <w:szCs w:val="21"/>
                <w:highlight w:val="none"/>
              </w:rPr>
              <w:t>：详见竞争性磋商公告</w:t>
            </w:r>
          </w:p>
          <w:p w14:paraId="4228E0CE">
            <w:pPr>
              <w:spacing w:line="340" w:lineRule="exact"/>
              <w:rPr>
                <w:rFonts w:ascii="宋体" w:hAnsi="宋体" w:cs="宋体"/>
                <w:b/>
                <w:color w:val="auto"/>
                <w:szCs w:val="21"/>
                <w:highlight w:val="none"/>
              </w:rPr>
            </w:pPr>
            <w:r>
              <w:rPr>
                <w:rFonts w:hint="eastAsia" w:ascii="宋体" w:hAnsi="宋体" w:cs="宋体"/>
                <w:b/>
                <w:color w:val="auto"/>
                <w:szCs w:val="21"/>
                <w:highlight w:val="none"/>
              </w:rPr>
              <w:t>3.2</w:t>
            </w:r>
            <w:r>
              <w:rPr>
                <w:rFonts w:hint="eastAsia" w:ascii="宋体" w:hAnsi="宋体" w:cs="宋体"/>
                <w:b/>
                <w:bCs/>
                <w:color w:val="auto"/>
                <w:szCs w:val="21"/>
                <w:highlight w:val="none"/>
              </w:rPr>
              <w:t>供应商</w:t>
            </w:r>
            <w:r>
              <w:rPr>
                <w:rFonts w:hint="eastAsia" w:ascii="宋体" w:hAnsi="宋体" w:cs="宋体"/>
                <w:b/>
                <w:color w:val="auto"/>
                <w:szCs w:val="21"/>
                <w:highlight w:val="none"/>
              </w:rPr>
              <w:t>出现下列情形之一的，不得参加政府采购活动：</w:t>
            </w:r>
          </w:p>
          <w:p w14:paraId="450347D0">
            <w:pPr>
              <w:spacing w:line="340" w:lineRule="exact"/>
              <w:rPr>
                <w:rFonts w:ascii="宋体" w:hAnsi="宋体" w:cs="宋体"/>
                <w:b/>
                <w:color w:val="auto"/>
                <w:szCs w:val="21"/>
                <w:highlight w:val="none"/>
              </w:rPr>
            </w:pPr>
            <w:r>
              <w:rPr>
                <w:rFonts w:hint="eastAsia" w:ascii="宋体" w:hAnsi="宋体" w:cs="宋体"/>
                <w:b/>
                <w:color w:val="auto"/>
                <w:szCs w:val="21"/>
                <w:highlight w:val="none"/>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7924371">
            <w:pPr>
              <w:spacing w:line="340" w:lineRule="exact"/>
              <w:rPr>
                <w:rFonts w:ascii="宋体" w:hAnsi="宋体" w:cs="宋体"/>
                <w:color w:val="auto"/>
                <w:szCs w:val="21"/>
                <w:highlight w:val="none"/>
              </w:rPr>
            </w:pPr>
            <w:r>
              <w:rPr>
                <w:rFonts w:hint="eastAsia" w:ascii="宋体" w:hAnsi="宋体" w:cs="宋体"/>
                <w:b/>
                <w:color w:val="auto"/>
                <w:szCs w:val="21"/>
                <w:highlight w:val="none"/>
              </w:rPr>
              <w:t>（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6B02C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6D2615D">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5.1</w:t>
            </w:r>
          </w:p>
        </w:tc>
        <w:tc>
          <w:tcPr>
            <w:tcW w:w="7912" w:type="dxa"/>
            <w:vAlign w:val="center"/>
          </w:tcPr>
          <w:p w14:paraId="29A103F3">
            <w:pPr>
              <w:spacing w:line="340" w:lineRule="exact"/>
              <w:rPr>
                <w:rFonts w:ascii="宋体" w:hAnsi="宋体" w:cs="宋体"/>
                <w:color w:val="auto"/>
                <w:szCs w:val="21"/>
                <w:highlight w:val="none"/>
              </w:rPr>
            </w:pPr>
            <w:r>
              <w:rPr>
                <w:rFonts w:hint="eastAsia" w:ascii="宋体" w:hAnsi="宋体" w:cs="宋体"/>
                <w:color w:val="auto"/>
                <w:szCs w:val="21"/>
                <w:highlight w:val="none"/>
              </w:rPr>
              <w:t>是否接受联合体竞标： 详见竞争性磋商公告</w:t>
            </w:r>
          </w:p>
        </w:tc>
      </w:tr>
      <w:tr w14:paraId="4E285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8F3CBDA">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.2</w:t>
            </w:r>
          </w:p>
        </w:tc>
        <w:tc>
          <w:tcPr>
            <w:tcW w:w="7912" w:type="dxa"/>
            <w:vAlign w:val="center"/>
          </w:tcPr>
          <w:p w14:paraId="7BAA73B1">
            <w:pPr>
              <w:spacing w:line="340" w:lineRule="exact"/>
              <w:rPr>
                <w:rFonts w:ascii="宋体" w:hAnsi="宋体" w:cs="宋体"/>
                <w:color w:val="auto"/>
                <w:szCs w:val="21"/>
                <w:highlight w:val="none"/>
              </w:rPr>
            </w:pPr>
            <w:r>
              <w:rPr>
                <w:rFonts w:hint="eastAsia" w:ascii="宋体" w:hAnsi="宋体"/>
                <w:color w:val="auto"/>
                <w:szCs w:val="21"/>
                <w:highlight w:val="none"/>
              </w:rPr>
              <w:t>联合体竞标要求如下：</w:t>
            </w:r>
            <w:r>
              <w:rPr>
                <w:rFonts w:hint="eastAsia" w:ascii="宋体" w:hAnsi="宋体" w:cs="宋体"/>
                <w:color w:val="auto"/>
                <w:szCs w:val="21"/>
                <w:highlight w:val="non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p>
        </w:tc>
      </w:tr>
      <w:tr w14:paraId="3C154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4300D17">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6.2</w:t>
            </w:r>
          </w:p>
        </w:tc>
        <w:tc>
          <w:tcPr>
            <w:tcW w:w="7912" w:type="dxa"/>
            <w:vAlign w:val="center"/>
          </w:tcPr>
          <w:p w14:paraId="169C7C92">
            <w:pPr>
              <w:pStyle w:val="12"/>
              <w:spacing w:line="340" w:lineRule="exact"/>
              <w:rPr>
                <w:rFonts w:ascii="宋体" w:hAnsi="宋体"/>
                <w:color w:val="auto"/>
                <w:szCs w:val="21"/>
                <w:highlight w:val="none"/>
              </w:rPr>
            </w:pPr>
            <w:r>
              <w:rPr>
                <w:rFonts w:ascii="Segoe UI Symbol" w:hAnsi="Segoe UI Symbol" w:cs="Segoe UI Symbol"/>
                <w:color w:val="auto"/>
                <w:szCs w:val="21"/>
                <w:highlight w:val="none"/>
              </w:rPr>
              <w:t>☑</w:t>
            </w:r>
            <w:r>
              <w:rPr>
                <w:rFonts w:hint="eastAsia" w:ascii="Segoe UI Symbol" w:hAnsi="Segoe UI Symbol" w:cs="Segoe UI Symbol"/>
                <w:color w:val="auto"/>
                <w:szCs w:val="21"/>
                <w:highlight w:val="none"/>
              </w:rPr>
              <w:t>本项目</w:t>
            </w:r>
            <w:r>
              <w:rPr>
                <w:rFonts w:hint="eastAsia" w:ascii="宋体" w:hAnsi="宋体"/>
                <w:color w:val="auto"/>
                <w:szCs w:val="21"/>
                <w:highlight w:val="none"/>
              </w:rPr>
              <w:t>不允许分包</w:t>
            </w:r>
          </w:p>
          <w:p w14:paraId="4C7BB518">
            <w:pPr>
              <w:pStyle w:val="12"/>
              <w:spacing w:line="340" w:lineRule="exact"/>
              <w:rPr>
                <w:rFonts w:ascii="宋体" w:hAnsi="宋体"/>
                <w:color w:val="auto"/>
                <w:szCs w:val="21"/>
                <w:highlight w:val="none"/>
              </w:rPr>
            </w:pPr>
            <w:r>
              <w:rPr>
                <w:rFonts w:hint="eastAsia" w:ascii="宋体" w:hAnsi="宋体"/>
                <w:color w:val="auto"/>
                <w:szCs w:val="21"/>
                <w:highlight w:val="none"/>
              </w:rPr>
              <w:t>□本项目允许分包</w:t>
            </w:r>
          </w:p>
          <w:p w14:paraId="0589F458">
            <w:pPr>
              <w:pStyle w:val="12"/>
              <w:spacing w:line="340" w:lineRule="exact"/>
              <w:rPr>
                <w:rFonts w:ascii="宋体" w:hAnsi="宋体"/>
                <w:color w:val="auto"/>
                <w:szCs w:val="21"/>
                <w:highlight w:val="none"/>
                <w:u w:val="single"/>
              </w:rPr>
            </w:pPr>
            <w:r>
              <w:rPr>
                <w:rFonts w:hint="eastAsia" w:ascii="宋体" w:hAnsi="宋体"/>
                <w:color w:val="auto"/>
                <w:szCs w:val="21"/>
                <w:highlight w:val="none"/>
              </w:rPr>
              <w:t>分包内容：</w:t>
            </w:r>
            <w:r>
              <w:rPr>
                <w:rFonts w:hint="eastAsia" w:ascii="宋体" w:hAnsi="宋体"/>
                <w:color w:val="auto"/>
                <w:szCs w:val="21"/>
                <w:highlight w:val="none"/>
                <w:u w:val="single"/>
              </w:rPr>
              <w:t xml:space="preserve">                                     。</w:t>
            </w:r>
          </w:p>
          <w:p w14:paraId="303FF797">
            <w:pPr>
              <w:pStyle w:val="12"/>
              <w:spacing w:line="340" w:lineRule="exact"/>
              <w:rPr>
                <w:rFonts w:ascii="宋体" w:hAnsi="宋体" w:cs="宋体"/>
                <w:color w:val="auto"/>
                <w:szCs w:val="21"/>
                <w:highlight w:val="none"/>
              </w:rPr>
            </w:pPr>
            <w:r>
              <w:rPr>
                <w:rFonts w:hint="eastAsia" w:ascii="宋体" w:hAnsi="宋体"/>
                <w:color w:val="auto"/>
                <w:szCs w:val="21"/>
                <w:highlight w:val="none"/>
              </w:rPr>
              <w:t>分包金额或者比例：</w:t>
            </w:r>
            <w:r>
              <w:rPr>
                <w:rFonts w:hint="eastAsia" w:ascii="宋体" w:hAnsi="宋体"/>
                <w:color w:val="auto"/>
                <w:szCs w:val="21"/>
                <w:highlight w:val="none"/>
                <w:u w:val="single"/>
              </w:rPr>
              <w:t xml:space="preserve">                                     。</w:t>
            </w:r>
          </w:p>
        </w:tc>
      </w:tr>
      <w:tr w14:paraId="2E92F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3120BBC">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p>
        </w:tc>
        <w:tc>
          <w:tcPr>
            <w:tcW w:w="7912" w:type="dxa"/>
            <w:vAlign w:val="center"/>
          </w:tcPr>
          <w:p w14:paraId="0A17F838">
            <w:pPr>
              <w:snapToGrid w:val="0"/>
              <w:spacing w:line="340" w:lineRule="exact"/>
              <w:jc w:val="left"/>
              <w:rPr>
                <w:rFonts w:ascii="宋体" w:hAnsi="宋体" w:cs="宋体"/>
                <w:b/>
                <w:color w:val="auto"/>
                <w:szCs w:val="21"/>
                <w:highlight w:val="none"/>
              </w:rPr>
            </w:pPr>
            <w:r>
              <w:rPr>
                <w:rFonts w:hint="eastAsia" w:ascii="宋体" w:hAnsi="宋体" w:cs="宋体"/>
                <w:b/>
                <w:color w:val="auto"/>
                <w:szCs w:val="21"/>
                <w:highlight w:val="none"/>
              </w:rPr>
              <w:t>资格证明文件</w:t>
            </w:r>
          </w:p>
          <w:p w14:paraId="10691FF6">
            <w:pPr>
              <w:snapToGrid w:val="0"/>
              <w:spacing w:line="340" w:lineRule="exact"/>
              <w:jc w:val="left"/>
              <w:rPr>
                <w:rFonts w:ascii="宋体" w:hAnsi="宋体" w:cs="宋体"/>
                <w:color w:val="auto"/>
                <w:szCs w:val="21"/>
                <w:highlight w:val="none"/>
              </w:rPr>
            </w:pPr>
            <w:r>
              <w:rPr>
                <w:rFonts w:hint="eastAsia" w:ascii="宋体" w:hAnsi="宋体" w:cs="宋体"/>
                <w:color w:val="auto"/>
                <w:szCs w:val="21"/>
                <w:highlight w:val="none"/>
              </w:rPr>
              <w:t>1.供应商为法人或者其他组织的，提供营业执照等证明文件（如营业执照或者事业单位法人证书或者执业许可证或者登记证书等），供应商为自然人的提供其身份证复印件；（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5E098D2">
            <w:pPr>
              <w:snapToGrid w:val="0"/>
              <w:spacing w:line="340" w:lineRule="exact"/>
              <w:jc w:val="left"/>
              <w:rPr>
                <w:rFonts w:ascii="宋体" w:hAnsi="宋体" w:cs="宋体"/>
                <w:color w:val="auto"/>
                <w:szCs w:val="21"/>
                <w:highlight w:val="none"/>
              </w:rPr>
            </w:pPr>
            <w:r>
              <w:rPr>
                <w:rFonts w:hint="eastAsia" w:ascii="宋体" w:hAnsi="宋体" w:cs="宋体"/>
                <w:color w:val="auto"/>
                <w:szCs w:val="21"/>
                <w:highlight w:val="none"/>
              </w:rPr>
              <w:t>2.供应商依法缴纳税收的相关材料（</w:t>
            </w:r>
            <w:r>
              <w:rPr>
                <w:rFonts w:ascii="宋体" w:hAnsi="宋体" w:cs="宋体"/>
                <w:color w:val="auto"/>
                <w:szCs w:val="21"/>
                <w:highlight w:val="none"/>
                <w:u w:val="single"/>
              </w:rPr>
              <w:t>202</w:t>
            </w:r>
            <w:r>
              <w:rPr>
                <w:rFonts w:hint="eastAsia" w:ascii="宋体" w:hAnsi="宋体" w:cs="宋体"/>
                <w:color w:val="auto"/>
                <w:szCs w:val="21"/>
                <w:highlight w:val="none"/>
                <w:u w:val="single"/>
              </w:rPr>
              <w:t>5</w:t>
            </w:r>
            <w:r>
              <w:rPr>
                <w:rFonts w:hint="eastAsia" w:ascii="宋体" w:hAnsi="宋体" w:cs="宋体"/>
                <w:color w:val="auto"/>
                <w:szCs w:val="21"/>
                <w:highlight w:val="none"/>
              </w:rPr>
              <w:t>年</w:t>
            </w:r>
            <w:r>
              <w:rPr>
                <w:rFonts w:hint="eastAsia" w:ascii="宋体" w:hAnsi="宋体" w:cs="宋体"/>
                <w:color w:val="auto"/>
                <w:szCs w:val="21"/>
                <w:highlight w:val="none"/>
                <w:u w:val="single"/>
              </w:rPr>
              <w:t>9</w:t>
            </w:r>
            <w:r>
              <w:rPr>
                <w:rFonts w:hint="eastAsia" w:ascii="宋体" w:hAnsi="宋体" w:cs="宋体"/>
                <w:color w:val="auto"/>
                <w:szCs w:val="21"/>
                <w:highlight w:val="none"/>
              </w:rPr>
              <w:t>月以来任意1个月的依法缴纳税收的凭据复印件；</w:t>
            </w:r>
            <w:r>
              <w:rPr>
                <w:rFonts w:hint="eastAsia" w:ascii="宋体" w:hAnsi="宋体"/>
                <w:color w:val="auto"/>
                <w:szCs w:val="21"/>
                <w:highlight w:val="none"/>
              </w:rPr>
              <w:t>依法免税的，必须提供相应文件证明依法免税。</w:t>
            </w:r>
            <w:r>
              <w:rPr>
                <w:rFonts w:hint="eastAsia" w:ascii="宋体" w:hAnsi="宋体" w:cs="宋体"/>
                <w:color w:val="auto"/>
                <w:szCs w:val="21"/>
                <w:highlight w:val="none"/>
              </w:rPr>
              <w:t>供应商成立不足1个月的，无须提供）；（</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062430C">
            <w:pPr>
              <w:spacing w:line="340" w:lineRule="exact"/>
              <w:contextualSpacing/>
              <w:jc w:val="left"/>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.供应商依法缴纳社会保障资金的相关材料[</w:t>
            </w:r>
            <w:r>
              <w:rPr>
                <w:rFonts w:ascii="宋体" w:hAnsi="宋体" w:cs="宋体"/>
                <w:color w:val="auto"/>
                <w:szCs w:val="21"/>
                <w:highlight w:val="none"/>
                <w:u w:val="single"/>
              </w:rPr>
              <w:t>202</w:t>
            </w:r>
            <w:r>
              <w:rPr>
                <w:rFonts w:hint="eastAsia" w:ascii="宋体" w:hAnsi="宋体" w:cs="宋体"/>
                <w:color w:val="auto"/>
                <w:szCs w:val="21"/>
                <w:highlight w:val="none"/>
                <w:u w:val="single"/>
              </w:rPr>
              <w:t>5</w:t>
            </w:r>
            <w:r>
              <w:rPr>
                <w:rFonts w:hint="eastAsia" w:ascii="宋体" w:hAnsi="宋体" w:cs="宋体"/>
                <w:color w:val="auto"/>
                <w:szCs w:val="21"/>
                <w:highlight w:val="none"/>
              </w:rPr>
              <w:t>年</w:t>
            </w:r>
            <w:r>
              <w:rPr>
                <w:rFonts w:hint="eastAsia" w:ascii="宋体" w:hAnsi="宋体" w:cs="宋体"/>
                <w:color w:val="auto"/>
                <w:szCs w:val="21"/>
                <w:highlight w:val="none"/>
                <w:u w:val="single"/>
              </w:rPr>
              <w:t>9</w:t>
            </w:r>
            <w:r>
              <w:rPr>
                <w:rFonts w:hint="eastAsia" w:ascii="宋体" w:hAnsi="宋体" w:cs="宋体"/>
                <w:color w:val="auto"/>
                <w:szCs w:val="21"/>
                <w:highlight w:val="none"/>
              </w:rPr>
              <w:t>月以来任意1个月的依法缴纳社会保障资金的缴费凭证（</w:t>
            </w:r>
            <w:r>
              <w:rPr>
                <w:rFonts w:hint="eastAsia" w:ascii="宋体" w:hAnsi="宋体"/>
                <w:color w:val="auto"/>
                <w:szCs w:val="21"/>
                <w:highlight w:val="none"/>
              </w:rPr>
              <w:t>如：</w:t>
            </w:r>
            <w:r>
              <w:rPr>
                <w:rFonts w:hint="eastAsia" w:ascii="宋体" w:hAnsi="宋体" w:cs="宋体"/>
                <w:color w:val="auto"/>
                <w:szCs w:val="21"/>
                <w:highlight w:val="none"/>
              </w:rPr>
              <w:t>专用收据、社保部门出具的社会保险缴费证明或者税务部门出具的完税证明）复印件；</w:t>
            </w:r>
            <w:r>
              <w:rPr>
                <w:rFonts w:hint="eastAsia" w:ascii="宋体" w:hAnsi="宋体"/>
                <w:color w:val="auto"/>
                <w:szCs w:val="21"/>
                <w:highlight w:val="none"/>
              </w:rPr>
              <w:t>依法不需要缴纳社会保障资金的，必须提供相应文件证明不需要缴纳社会保障资金。</w:t>
            </w:r>
            <w:r>
              <w:rPr>
                <w:rFonts w:hint="eastAsia" w:ascii="宋体" w:hAnsi="宋体" w:cs="宋体"/>
                <w:color w:val="auto"/>
                <w:szCs w:val="21"/>
                <w:highlight w:val="none"/>
              </w:rPr>
              <w:t>供应商成立不足1个月的，无须提供]；（</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14236D4">
            <w:pPr>
              <w:spacing w:line="340" w:lineRule="exact"/>
              <w:contextualSpacing/>
              <w:jc w:val="left"/>
              <w:rPr>
                <w:rFonts w:ascii="宋体" w:hAnsi="宋体" w:cs="宋体"/>
                <w:bCs/>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供应商财务状况报告【2024年度的财务报表复印件，或者2025年以来银行出具的资信证明，或者中国人民银行征信中心出具的信用报告（企业竞标的提供企业信用报告，自然人竞标的提供个人信用报告）；供应商属于成立时间在规定年度之后的法人或其他组织，需提供成立之日起至响应文件提交截止时间前的月报表或银行出具的资信证明或者中国人民银行征信中心出具的企业信用报告】；</w:t>
            </w:r>
            <w:r>
              <w:rPr>
                <w:rFonts w:hint="eastAsia" w:ascii="宋体" w:hAnsi="宋体" w:cs="宋体"/>
                <w:bCs/>
                <w:color w:val="auto"/>
                <w:szCs w:val="21"/>
                <w:highlight w:val="none"/>
              </w:rPr>
              <w:t>（</w:t>
            </w:r>
            <w:r>
              <w:rPr>
                <w:rFonts w:hint="eastAsia" w:ascii="宋体" w:hAnsi="宋体"/>
                <w:b/>
                <w:color w:val="auto"/>
                <w:szCs w:val="21"/>
                <w:highlight w:val="none"/>
              </w:rPr>
              <w:t>必须提供</w:t>
            </w:r>
            <w:r>
              <w:rPr>
                <w:rFonts w:hint="eastAsia" w:ascii="宋体" w:hAnsi="宋体" w:cs="宋体"/>
                <w:b/>
                <w:color w:val="auto"/>
                <w:szCs w:val="21"/>
                <w:highlight w:val="none"/>
              </w:rPr>
              <w:t>，否则响应文件按无效响应处理</w:t>
            </w:r>
            <w:r>
              <w:rPr>
                <w:rFonts w:hint="eastAsia" w:ascii="宋体" w:hAnsi="宋体" w:cs="宋体"/>
                <w:bCs/>
                <w:color w:val="auto"/>
                <w:szCs w:val="21"/>
                <w:highlight w:val="none"/>
              </w:rPr>
              <w:t>）</w:t>
            </w:r>
          </w:p>
          <w:p w14:paraId="3CEF55AC">
            <w:pPr>
              <w:spacing w:line="340" w:lineRule="exact"/>
              <w:contextualSpacing/>
              <w:jc w:val="left"/>
              <w:rPr>
                <w:rFonts w:ascii="宋体" w:hAnsi="宋体" w:cs="宋体"/>
                <w:color w:val="auto"/>
                <w:szCs w:val="21"/>
                <w:highlight w:val="none"/>
              </w:rPr>
            </w:pPr>
            <w:r>
              <w:rPr>
                <w:rFonts w:hint="eastAsia" w:ascii="宋体" w:hAnsi="宋体" w:cs="宋体"/>
                <w:color w:val="auto"/>
                <w:szCs w:val="21"/>
                <w:highlight w:val="none"/>
              </w:rPr>
              <w:t>5.供应商直接控股股东信息表（格式后附）；（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4A7A0D8">
            <w:pPr>
              <w:spacing w:line="340" w:lineRule="exact"/>
              <w:contextualSpacing/>
              <w:jc w:val="left"/>
              <w:rPr>
                <w:rFonts w:ascii="宋体" w:hAnsi="宋体" w:cs="宋体"/>
                <w:color w:val="auto"/>
                <w:szCs w:val="21"/>
                <w:highlight w:val="none"/>
              </w:rPr>
            </w:pPr>
            <w:r>
              <w:rPr>
                <w:rFonts w:hint="eastAsia" w:ascii="宋体" w:hAnsi="宋体" w:cs="宋体"/>
                <w:color w:val="auto"/>
                <w:szCs w:val="21"/>
                <w:highlight w:val="none"/>
              </w:rPr>
              <w:t>6.供应商直接管理关系信息表（格式后附）；（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854CE38">
            <w:pPr>
              <w:spacing w:line="340" w:lineRule="exact"/>
              <w:contextualSpacing/>
              <w:jc w:val="left"/>
              <w:rPr>
                <w:rFonts w:ascii="宋体" w:hAnsi="宋体" w:cs="宋体"/>
                <w:color w:val="auto"/>
                <w:szCs w:val="21"/>
                <w:highlight w:val="none"/>
              </w:rPr>
            </w:pPr>
            <w:r>
              <w:rPr>
                <w:rFonts w:hint="eastAsia" w:ascii="宋体" w:hAnsi="宋体" w:cs="宋体"/>
                <w:color w:val="auto"/>
                <w:szCs w:val="21"/>
                <w:highlight w:val="none"/>
              </w:rPr>
              <w:t>7.竞标声明（格式后附）；（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CA3D09A">
            <w:pPr>
              <w:spacing w:line="340" w:lineRule="exact"/>
              <w:contextualSpacing/>
              <w:jc w:val="left"/>
              <w:rPr>
                <w:rFonts w:ascii="宋体" w:hAnsi="宋体" w:cs="宋体"/>
                <w:color w:val="auto"/>
                <w:szCs w:val="21"/>
                <w:highlight w:val="none"/>
              </w:rPr>
            </w:pPr>
            <w:r>
              <w:rPr>
                <w:rFonts w:hint="eastAsia" w:ascii="宋体" w:hAnsi="宋体" w:cs="宋体"/>
                <w:color w:val="auto"/>
                <w:szCs w:val="21"/>
                <w:highlight w:val="none"/>
              </w:rPr>
              <w:t>8.供应商法定代表人（负责人）非桂林电子科技大学任职的教职工人员承诺函（格式后附）；</w:t>
            </w:r>
            <w:r>
              <w:rPr>
                <w:rFonts w:hint="eastAsia" w:ascii="宋体" w:hAnsi="宋体" w:cs="宋体"/>
                <w:b/>
                <w:bCs/>
                <w:color w:val="auto"/>
                <w:szCs w:val="21"/>
                <w:highlight w:val="none"/>
              </w:rPr>
              <w:t>（必须提供，否则响应文件按无效响应处理）</w:t>
            </w:r>
          </w:p>
          <w:p w14:paraId="710F4242">
            <w:pPr>
              <w:spacing w:line="340" w:lineRule="exact"/>
              <w:contextualSpacing/>
              <w:jc w:val="left"/>
              <w:rPr>
                <w:rFonts w:ascii="宋体" w:hAnsi="宋体" w:cs="宋体"/>
                <w:color w:val="auto"/>
                <w:szCs w:val="21"/>
                <w:highlight w:val="none"/>
              </w:rPr>
            </w:pPr>
            <w:r>
              <w:rPr>
                <w:rFonts w:hint="eastAsia" w:ascii="宋体" w:hAnsi="宋体" w:cs="宋体"/>
                <w:color w:val="auto"/>
                <w:szCs w:val="21"/>
                <w:highlight w:val="none"/>
              </w:rPr>
              <w:t>9.联合体竞标协议书（格式后附）；</w:t>
            </w:r>
            <w:r>
              <w:rPr>
                <w:rFonts w:hint="eastAsia" w:ascii="宋体" w:hAnsi="宋体" w:cs="宋体"/>
                <w:b/>
                <w:color w:val="auto"/>
                <w:szCs w:val="21"/>
                <w:highlight w:val="none"/>
              </w:rPr>
              <w:t>（项目接受联合体竞标时，如供应商为联合体的必须提供，否则响应文件按无效响应处理</w:t>
            </w:r>
            <w:r>
              <w:rPr>
                <w:rFonts w:hint="eastAsia" w:ascii="宋体" w:hAnsi="宋体" w:cs="宋体"/>
                <w:color w:val="auto"/>
                <w:szCs w:val="21"/>
                <w:highlight w:val="none"/>
              </w:rPr>
              <w:t>）</w:t>
            </w:r>
          </w:p>
          <w:p w14:paraId="6E47E4CC">
            <w:pPr>
              <w:spacing w:line="340" w:lineRule="exact"/>
              <w:contextualSpacing/>
              <w:jc w:val="left"/>
              <w:rPr>
                <w:rFonts w:ascii="宋体" w:hAnsi="宋体" w:cs="宋体"/>
                <w:color w:val="auto"/>
                <w:szCs w:val="21"/>
                <w:highlight w:val="none"/>
              </w:rPr>
            </w:pPr>
            <w:r>
              <w:rPr>
                <w:rFonts w:hint="eastAsia" w:ascii="宋体" w:hAnsi="宋体" w:cs="宋体"/>
                <w:color w:val="auto"/>
                <w:szCs w:val="21"/>
                <w:highlight w:val="none"/>
              </w:rPr>
              <w:t>10.除磋商文件规定必须提供以外，供应商认为需要提供的其他证明材料。</w:t>
            </w:r>
          </w:p>
          <w:p w14:paraId="56B64799">
            <w:pPr>
              <w:spacing w:line="340" w:lineRule="exact"/>
              <w:contextualSpacing/>
              <w:jc w:val="left"/>
              <w:rPr>
                <w:rFonts w:ascii="宋体" w:hAnsi="宋体" w:cs="宋体"/>
                <w:b/>
                <w:color w:val="auto"/>
                <w:szCs w:val="21"/>
                <w:highlight w:val="none"/>
              </w:rPr>
            </w:pPr>
            <w:r>
              <w:rPr>
                <w:rFonts w:hint="eastAsia" w:ascii="宋体" w:hAnsi="宋体" w:cs="宋体"/>
                <w:b/>
                <w:color w:val="auto"/>
                <w:szCs w:val="21"/>
                <w:highlight w:val="none"/>
              </w:rPr>
              <w:t>注：</w:t>
            </w:r>
          </w:p>
          <w:p w14:paraId="5FE89D2C">
            <w:pPr>
              <w:spacing w:line="340" w:lineRule="exact"/>
              <w:contextualSpacing/>
              <w:jc w:val="left"/>
              <w:rPr>
                <w:rFonts w:ascii="宋体" w:hAnsi="宋体" w:cs="宋体"/>
                <w:b/>
                <w:color w:val="auto"/>
                <w:szCs w:val="21"/>
                <w:highlight w:val="none"/>
              </w:rPr>
            </w:pPr>
            <w:r>
              <w:rPr>
                <w:rFonts w:hint="eastAsia" w:ascii="宋体" w:hAnsi="宋体" w:cs="宋体"/>
                <w:b/>
                <w:color w:val="auto"/>
                <w:szCs w:val="21"/>
                <w:highlight w:val="none"/>
              </w:rPr>
              <w:t>（1）以上标明“必须提供”的材料必须加盖供应商电子签章，必须提供的材料在第五章“响应文件格式”中有要求法定代表人或委托代理人签字的，必须由法定代表人或委托代理人签字（或者电子签名），其中“供应商法定代表人（负责人）非桂林电子科技大学任职的教职工人员承诺函”必须由法定代表人在规定签章处签字（签章或电子签名），否则响应文件按无效处理。</w:t>
            </w:r>
          </w:p>
          <w:p w14:paraId="3D7D71AD">
            <w:pPr>
              <w:spacing w:line="340" w:lineRule="exact"/>
              <w:contextualSpacing/>
              <w:jc w:val="left"/>
              <w:rPr>
                <w:rFonts w:ascii="宋体" w:hAnsi="宋体" w:cs="宋体"/>
                <w:b/>
                <w:color w:val="auto"/>
                <w:szCs w:val="21"/>
                <w:highlight w:val="none"/>
              </w:rPr>
            </w:pPr>
            <w:r>
              <w:rPr>
                <w:rFonts w:hint="eastAsia" w:ascii="宋体" w:hAnsi="宋体" w:cs="宋体"/>
                <w:b/>
                <w:color w:val="auto"/>
                <w:szCs w:val="21"/>
                <w:highlight w:val="none"/>
              </w:rPr>
              <w:t>（2）如联合体竞标时，第1-8项资格证明文件联合体各方均必须分别提供，</w:t>
            </w:r>
            <w:r>
              <w:rPr>
                <w:rFonts w:hint="eastAsia" w:ascii="宋体" w:hAnsi="宋体"/>
                <w:b/>
                <w:color w:val="auto"/>
                <w:szCs w:val="21"/>
                <w:highlight w:val="none"/>
              </w:rPr>
              <w:t>并由</w:t>
            </w:r>
            <w:r>
              <w:rPr>
                <w:rFonts w:hint="eastAsia" w:ascii="宋体" w:hAnsi="宋体" w:cs="宋体"/>
                <w:b/>
                <w:color w:val="auto"/>
                <w:szCs w:val="21"/>
                <w:highlight w:val="none"/>
              </w:rPr>
              <w:t>联合体</w:t>
            </w:r>
            <w:r>
              <w:rPr>
                <w:rFonts w:hint="eastAsia" w:ascii="宋体" w:hAnsi="宋体"/>
                <w:b/>
                <w:color w:val="auto"/>
                <w:szCs w:val="21"/>
                <w:highlight w:val="none"/>
              </w:rPr>
              <w:t>牵头人加盖电子签章</w:t>
            </w:r>
            <w:r>
              <w:rPr>
                <w:rFonts w:hint="eastAsia" w:ascii="宋体" w:hAnsi="宋体" w:cs="宋体"/>
                <w:b/>
                <w:color w:val="auto"/>
                <w:szCs w:val="21"/>
                <w:highlight w:val="none"/>
              </w:rPr>
              <w:t>，</w:t>
            </w:r>
            <w:r>
              <w:rPr>
                <w:rFonts w:hint="eastAsia" w:ascii="宋体" w:hAnsi="宋体"/>
                <w:b/>
                <w:color w:val="auto"/>
                <w:szCs w:val="21"/>
                <w:highlight w:val="none"/>
              </w:rPr>
              <w:t>规定签字</w:t>
            </w:r>
            <w:r>
              <w:rPr>
                <w:rFonts w:hint="eastAsia" w:ascii="宋体" w:hAnsi="宋体" w:cs="宋体"/>
                <w:b/>
                <w:color w:val="auto"/>
                <w:szCs w:val="21"/>
                <w:highlight w:val="none"/>
              </w:rPr>
              <w:t>处签字</w:t>
            </w:r>
            <w:r>
              <w:rPr>
                <w:rFonts w:hint="eastAsia" w:ascii="宋体" w:hAnsi="宋体"/>
                <w:b/>
                <w:bCs/>
                <w:color w:val="auto"/>
                <w:szCs w:val="21"/>
                <w:highlight w:val="none"/>
              </w:rPr>
              <w:t>（或者电子签名）</w:t>
            </w:r>
            <w:r>
              <w:rPr>
                <w:rFonts w:hint="eastAsia" w:ascii="宋体" w:hAnsi="宋体" w:cs="宋体"/>
                <w:b/>
                <w:color w:val="auto"/>
                <w:szCs w:val="21"/>
                <w:highlight w:val="none"/>
              </w:rPr>
              <w:t>，否则响应文件按无效处理。</w:t>
            </w:r>
          </w:p>
        </w:tc>
      </w:tr>
      <w:tr w14:paraId="4F416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D025A99">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7912" w:type="dxa"/>
            <w:vAlign w:val="center"/>
          </w:tcPr>
          <w:p w14:paraId="33A32B9D">
            <w:pPr>
              <w:spacing w:line="340" w:lineRule="exact"/>
              <w:rPr>
                <w:rFonts w:ascii="宋体" w:hAnsi="宋体" w:cs="宋体"/>
                <w:b/>
                <w:color w:val="auto"/>
                <w:szCs w:val="21"/>
                <w:highlight w:val="none"/>
              </w:rPr>
            </w:pPr>
            <w:r>
              <w:rPr>
                <w:rFonts w:hint="eastAsia" w:ascii="宋体" w:hAnsi="宋体" w:cs="宋体"/>
                <w:b/>
                <w:color w:val="auto"/>
                <w:szCs w:val="21"/>
                <w:highlight w:val="none"/>
              </w:rPr>
              <w:t>报价文件</w:t>
            </w:r>
          </w:p>
          <w:p w14:paraId="796A6C49">
            <w:pPr>
              <w:spacing w:line="340" w:lineRule="exact"/>
              <w:rPr>
                <w:rFonts w:ascii="宋体" w:hAnsi="宋体" w:cs="宋体"/>
                <w:color w:val="auto"/>
                <w:szCs w:val="21"/>
                <w:highlight w:val="none"/>
              </w:rPr>
            </w:pPr>
            <w:r>
              <w:rPr>
                <w:rFonts w:hint="eastAsia" w:ascii="宋体" w:hAnsi="宋体" w:cs="宋体"/>
                <w:color w:val="auto"/>
                <w:szCs w:val="21"/>
                <w:highlight w:val="none"/>
              </w:rPr>
              <w:t>1.竞标报价表（格式后附）；（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73853157">
            <w:pPr>
              <w:spacing w:line="340" w:lineRule="exact"/>
              <w:rPr>
                <w:rFonts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.供应商认为需要提供的其他有关资料。</w:t>
            </w:r>
          </w:p>
          <w:p w14:paraId="7E076FA1">
            <w:pPr>
              <w:spacing w:line="340" w:lineRule="exact"/>
              <w:rPr>
                <w:rFonts w:ascii="宋体" w:hAnsi="宋体" w:cs="宋体"/>
                <w:color w:val="auto"/>
                <w:szCs w:val="21"/>
                <w:highlight w:val="none"/>
              </w:rPr>
            </w:pPr>
            <w:r>
              <w:rPr>
                <w:rFonts w:hint="eastAsia" w:ascii="宋体" w:hAnsi="宋体" w:cs="宋体"/>
                <w:b/>
                <w:color w:val="auto"/>
                <w:szCs w:val="21"/>
                <w:highlight w:val="none"/>
              </w:rPr>
              <w:t>注：以上标明“必须提供”的材料必须加盖供应商电子签章，必须提供的材料在第五章“响应文件格式”中有要求法定代表人或委托代理人签字的，必须由法定代表人或委托代理人签字（或者电子签名），否则响应文件按无效处理。</w:t>
            </w:r>
          </w:p>
        </w:tc>
      </w:tr>
      <w:tr w14:paraId="72486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7E72F55">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.3</w:t>
            </w:r>
          </w:p>
        </w:tc>
        <w:tc>
          <w:tcPr>
            <w:tcW w:w="7912" w:type="dxa"/>
            <w:vAlign w:val="center"/>
          </w:tcPr>
          <w:p w14:paraId="029BEFC3">
            <w:pPr>
              <w:spacing w:line="340" w:lineRule="exact"/>
              <w:rPr>
                <w:rFonts w:ascii="宋体" w:hAnsi="宋体" w:cs="宋体"/>
                <w:b/>
                <w:bCs/>
                <w:color w:val="auto"/>
                <w:szCs w:val="21"/>
                <w:highlight w:val="none"/>
              </w:rPr>
            </w:pPr>
            <w:r>
              <w:rPr>
                <w:rFonts w:hint="eastAsia" w:ascii="宋体" w:hAnsi="宋体" w:cs="宋体"/>
                <w:b/>
                <w:bCs/>
                <w:color w:val="auto"/>
                <w:szCs w:val="21"/>
                <w:highlight w:val="none"/>
              </w:rPr>
              <w:t>商务技术文件</w:t>
            </w:r>
          </w:p>
          <w:p w14:paraId="72A77E0C">
            <w:pPr>
              <w:spacing w:line="340" w:lineRule="exact"/>
              <w:rPr>
                <w:rFonts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7DB3DE2">
            <w:pPr>
              <w:spacing w:line="340" w:lineRule="exact"/>
              <w:rPr>
                <w:rFonts w:ascii="宋体" w:hAnsi="宋体" w:cs="宋体"/>
                <w:color w:val="auto"/>
                <w:szCs w:val="21"/>
                <w:highlight w:val="none"/>
              </w:rPr>
            </w:pPr>
            <w:r>
              <w:rPr>
                <w:rFonts w:hint="eastAsia" w:ascii="宋体" w:hAnsi="宋体" w:cs="宋体"/>
                <w:color w:val="auto"/>
                <w:szCs w:val="21"/>
                <w:highlight w:val="none"/>
              </w:rPr>
              <w:t>2.供应商参加本项目无回避事项的承诺函；（</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3E47AB11">
            <w:pPr>
              <w:snapToGrid w:val="0"/>
              <w:spacing w:line="340" w:lineRule="exact"/>
              <w:jc w:val="left"/>
              <w:rPr>
                <w:rFonts w:ascii="宋体" w:hAnsi="宋体" w:cs="宋体"/>
                <w:color w:val="auto"/>
                <w:szCs w:val="21"/>
                <w:highlight w:val="none"/>
              </w:rPr>
            </w:pPr>
            <w:r>
              <w:rPr>
                <w:rFonts w:hint="eastAsia" w:ascii="宋体" w:hAnsi="宋体" w:cs="宋体"/>
                <w:color w:val="auto"/>
                <w:szCs w:val="21"/>
                <w:highlight w:val="none"/>
              </w:rPr>
              <w:t>3.法定代表人身份证明书及法定代表人有效身份证正反面复印件（格式后附）；（</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2046641">
            <w:pPr>
              <w:spacing w:line="340" w:lineRule="exact"/>
              <w:rPr>
                <w:rFonts w:ascii="宋体" w:hAnsi="宋体" w:cs="宋体"/>
                <w:color w:val="auto"/>
                <w:szCs w:val="21"/>
                <w:highlight w:val="none"/>
              </w:rPr>
            </w:pPr>
            <w:r>
              <w:rPr>
                <w:rFonts w:hint="eastAsia" w:ascii="宋体" w:hAnsi="宋体" w:cs="宋体"/>
                <w:color w:val="auto"/>
                <w:szCs w:val="21"/>
                <w:highlight w:val="none"/>
              </w:rPr>
              <w:t>4.授权委托书及委托代理人有效身份证正反面复印件（格式后附）；（</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26DB278D">
            <w:pPr>
              <w:spacing w:line="340" w:lineRule="exact"/>
              <w:rPr>
                <w:rFonts w:ascii="宋体" w:hAnsi="宋体" w:cs="宋体"/>
                <w:color w:val="auto"/>
                <w:szCs w:val="21"/>
                <w:highlight w:val="none"/>
              </w:rPr>
            </w:pPr>
            <w:r>
              <w:rPr>
                <w:rFonts w:hint="eastAsia" w:ascii="宋体" w:hAnsi="宋体" w:cs="宋体"/>
                <w:color w:val="auto"/>
                <w:szCs w:val="21"/>
                <w:highlight w:val="none"/>
              </w:rPr>
              <w:t>5.磋商保证金提交凭证；（</w:t>
            </w:r>
            <w:r>
              <w:rPr>
                <w:rFonts w:hint="eastAsia" w:ascii="宋体" w:hAnsi="宋体"/>
                <w:b/>
                <w:bCs/>
                <w:color w:val="auto"/>
                <w:szCs w:val="21"/>
                <w:highlight w:val="none"/>
              </w:rPr>
              <w:t>必须提供</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2C784274">
            <w:pPr>
              <w:spacing w:line="340" w:lineRule="exact"/>
              <w:rPr>
                <w:rFonts w:ascii="宋体" w:hAnsi="宋体" w:cs="宋体"/>
                <w:color w:val="auto"/>
                <w:szCs w:val="21"/>
                <w:highlight w:val="none"/>
              </w:rPr>
            </w:pPr>
            <w:r>
              <w:rPr>
                <w:rFonts w:hint="eastAsia" w:ascii="宋体" w:hAnsi="宋体" w:cs="宋体"/>
                <w:color w:val="auto"/>
                <w:szCs w:val="21"/>
                <w:highlight w:val="none"/>
              </w:rPr>
              <w:t>6.技术要求响应表（格式后附）；（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63D8689">
            <w:pPr>
              <w:spacing w:line="340" w:lineRule="exact"/>
              <w:rPr>
                <w:rFonts w:ascii="宋体" w:hAnsi="宋体" w:cs="宋体"/>
                <w:color w:val="auto"/>
                <w:szCs w:val="21"/>
                <w:highlight w:val="none"/>
              </w:rPr>
            </w:pPr>
            <w:r>
              <w:rPr>
                <w:rFonts w:hint="eastAsia" w:ascii="宋体" w:hAnsi="宋体" w:cs="宋体"/>
                <w:color w:val="auto"/>
                <w:szCs w:val="21"/>
                <w:highlight w:val="none"/>
              </w:rPr>
              <w:t>7.商务要求响应承诺书（格式后附）；（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A907341">
            <w:pPr>
              <w:spacing w:line="340" w:lineRule="exact"/>
              <w:rPr>
                <w:rFonts w:ascii="宋体" w:hAnsi="宋体" w:cs="宋体"/>
                <w:color w:val="auto"/>
                <w:szCs w:val="21"/>
                <w:highlight w:val="none"/>
              </w:rPr>
            </w:pPr>
            <w:r>
              <w:rPr>
                <w:rFonts w:hint="eastAsia" w:ascii="宋体" w:hAnsi="宋体" w:cs="宋体"/>
                <w:bCs/>
                <w:color w:val="auto"/>
                <w:szCs w:val="21"/>
                <w:highlight w:val="none"/>
              </w:rPr>
              <w:t>8.代理服务费承诺书</w:t>
            </w:r>
            <w:r>
              <w:rPr>
                <w:rFonts w:hint="eastAsia" w:ascii="宋体" w:hAnsi="宋体" w:cs="宋体"/>
                <w:color w:val="auto"/>
                <w:szCs w:val="21"/>
                <w:highlight w:val="none"/>
              </w:rPr>
              <w:t>（格式后附）；（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FDF7FED">
            <w:pPr>
              <w:spacing w:line="340" w:lineRule="exact"/>
              <w:rPr>
                <w:rFonts w:ascii="宋体" w:hAnsi="宋体" w:cs="宋体"/>
                <w:color w:val="auto"/>
                <w:szCs w:val="21"/>
                <w:highlight w:val="none"/>
              </w:rPr>
            </w:pPr>
            <w:r>
              <w:rPr>
                <w:rFonts w:hint="eastAsia" w:ascii="宋体" w:hAnsi="宋体" w:cs="宋体"/>
                <w:bCs/>
                <w:color w:val="auto"/>
                <w:szCs w:val="21"/>
                <w:highlight w:val="none"/>
              </w:rPr>
              <w:t>9.响应材料真实性承诺函（格</w:t>
            </w:r>
            <w:r>
              <w:rPr>
                <w:rFonts w:hint="eastAsia" w:ascii="宋体" w:hAnsi="宋体" w:cs="宋体"/>
                <w:color w:val="auto"/>
                <w:szCs w:val="21"/>
                <w:highlight w:val="none"/>
              </w:rPr>
              <w:t>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E887F97">
            <w:pPr>
              <w:spacing w:line="340" w:lineRule="exact"/>
              <w:rPr>
                <w:rFonts w:ascii="宋体" w:hAnsi="宋体" w:cs="宋体"/>
                <w:bCs/>
                <w:color w:val="auto"/>
                <w:szCs w:val="21"/>
                <w:highlight w:val="none"/>
              </w:rPr>
            </w:pPr>
            <w:r>
              <w:rPr>
                <w:rFonts w:hint="eastAsia" w:ascii="宋体" w:hAnsi="宋体" w:cs="宋体"/>
                <w:bCs/>
                <w:color w:val="auto"/>
                <w:szCs w:val="21"/>
                <w:highlight w:val="none"/>
              </w:rPr>
              <w:t>10.CPU服务器供应保障方案（格式后附）；</w:t>
            </w:r>
            <w:r>
              <w:rPr>
                <w:rFonts w:hint="eastAsia" w:ascii="宋体" w:hAnsi="宋体" w:cs="宋体"/>
                <w:b/>
                <w:color w:val="auto"/>
                <w:szCs w:val="21"/>
                <w:highlight w:val="none"/>
              </w:rPr>
              <w:t>（必须提供，否则响应文件按无效响应处理）</w:t>
            </w:r>
          </w:p>
          <w:p w14:paraId="42C6ACFD">
            <w:pPr>
              <w:spacing w:line="340" w:lineRule="exact"/>
              <w:rPr>
                <w:rFonts w:ascii="宋体" w:hAnsi="宋体" w:cs="宋体"/>
                <w:color w:val="auto"/>
                <w:szCs w:val="21"/>
                <w:highlight w:val="none"/>
              </w:rPr>
            </w:pPr>
            <w:r>
              <w:rPr>
                <w:rFonts w:hint="eastAsia" w:ascii="宋体" w:hAnsi="宋体" w:cs="宋体"/>
                <w:color w:val="auto"/>
                <w:szCs w:val="21"/>
                <w:highlight w:val="none"/>
              </w:rPr>
              <w:t>11.项目实施方案（格式后附）；</w:t>
            </w:r>
          </w:p>
          <w:p w14:paraId="583C8924">
            <w:pPr>
              <w:spacing w:line="340" w:lineRule="exact"/>
              <w:rPr>
                <w:rFonts w:ascii="宋体" w:hAnsi="宋体" w:cs="宋体"/>
                <w:color w:val="auto"/>
                <w:szCs w:val="21"/>
                <w:highlight w:val="none"/>
              </w:rPr>
            </w:pPr>
            <w:r>
              <w:rPr>
                <w:rFonts w:hint="eastAsia" w:ascii="宋体" w:hAnsi="宋体" w:cs="宋体"/>
                <w:color w:val="auto"/>
                <w:szCs w:val="21"/>
                <w:highlight w:val="none"/>
              </w:rPr>
              <w:t>项目实施方案包含但不限于：</w:t>
            </w:r>
          </w:p>
          <w:p w14:paraId="2A2B8DD7">
            <w:pPr>
              <w:spacing w:line="340" w:lineRule="exact"/>
              <w:rPr>
                <w:rFonts w:ascii="宋体" w:hAnsi="宋体" w:cs="宋体"/>
                <w:color w:val="auto"/>
                <w:szCs w:val="21"/>
                <w:highlight w:val="none"/>
              </w:rPr>
            </w:pPr>
            <w:r>
              <w:rPr>
                <w:rFonts w:hint="eastAsia" w:hAnsi="宋体"/>
                <w:color w:val="auto"/>
                <w:szCs w:val="21"/>
                <w:highlight w:val="none"/>
              </w:rPr>
              <w:t>①项目分析方案；②技术功能方案与架构；③项目实施与管理方案等</w:t>
            </w:r>
            <w:r>
              <w:rPr>
                <w:rFonts w:hint="eastAsia" w:ascii="宋体" w:hAnsi="宋体" w:cs="宋体"/>
                <w:color w:val="auto"/>
                <w:szCs w:val="21"/>
                <w:highlight w:val="none"/>
              </w:rPr>
              <w:t>。</w:t>
            </w:r>
          </w:p>
          <w:p w14:paraId="273E474C">
            <w:pPr>
              <w:spacing w:line="340" w:lineRule="exact"/>
              <w:rPr>
                <w:rFonts w:ascii="宋体" w:hAnsi="宋体" w:cs="宋体"/>
                <w:color w:val="auto"/>
                <w:szCs w:val="21"/>
                <w:highlight w:val="none"/>
              </w:rPr>
            </w:pPr>
            <w:r>
              <w:rPr>
                <w:rFonts w:hint="eastAsia" w:ascii="宋体" w:hAnsi="宋体" w:cs="宋体"/>
                <w:color w:val="auto"/>
                <w:szCs w:val="21"/>
                <w:highlight w:val="none"/>
              </w:rPr>
              <w:t>12.售后服务方案（格式后附）；</w:t>
            </w:r>
          </w:p>
          <w:p w14:paraId="3BA40792">
            <w:pPr>
              <w:spacing w:line="340" w:lineRule="exact"/>
              <w:rPr>
                <w:rFonts w:ascii="宋体" w:hAnsi="宋体" w:cs="宋体"/>
                <w:color w:val="auto"/>
                <w:szCs w:val="21"/>
                <w:highlight w:val="none"/>
              </w:rPr>
            </w:pPr>
            <w:r>
              <w:rPr>
                <w:rFonts w:hint="eastAsia" w:ascii="宋体" w:hAnsi="宋体" w:cs="宋体"/>
                <w:color w:val="auto"/>
                <w:szCs w:val="21"/>
                <w:highlight w:val="none"/>
              </w:rPr>
              <w:t>售后服务方案包含但不限于：</w:t>
            </w:r>
            <w:r>
              <w:rPr>
                <w:rFonts w:hint="eastAsia" w:hAnsi="宋体"/>
                <w:color w:val="auto"/>
                <w:szCs w:val="21"/>
                <w:highlight w:val="none"/>
              </w:rPr>
              <w:t>包含但不限于：</w:t>
            </w:r>
            <w:r>
              <w:rPr>
                <w:rFonts w:hint="eastAsia" w:ascii="宋体" w:hAnsi="宋体" w:cs="宋体"/>
                <w:bCs/>
                <w:color w:val="auto"/>
                <w:szCs w:val="21"/>
                <w:highlight w:val="none"/>
              </w:rPr>
              <w:t>①</w:t>
            </w:r>
            <w:r>
              <w:rPr>
                <w:rFonts w:hint="eastAsia" w:cs="宋体" w:asciiTheme="minorEastAsia" w:hAnsiTheme="minorEastAsia" w:eastAsiaTheme="minorEastAsia"/>
                <w:color w:val="auto"/>
                <w:highlight w:val="none"/>
              </w:rPr>
              <w:t>售后服务内容及措施；</w:t>
            </w:r>
            <w:r>
              <w:rPr>
                <w:rFonts w:hint="eastAsia" w:ascii="宋体" w:hAnsi="宋体" w:cs="宋体"/>
                <w:bCs/>
                <w:color w:val="auto"/>
                <w:szCs w:val="21"/>
                <w:highlight w:val="none"/>
              </w:rPr>
              <w:t>②故障出现解决方案；③定期维护方案；④技术培训方案；⑤维护（保修）期外</w:t>
            </w:r>
            <w:r>
              <w:rPr>
                <w:rFonts w:hint="eastAsia" w:ascii="宋体" w:hAnsi="宋体" w:cs="宋体"/>
                <w:bCs/>
                <w:color w:val="auto"/>
                <w:szCs w:val="21"/>
                <w:highlight w:val="none"/>
                <w:lang w:eastAsia="zh-CN"/>
              </w:rPr>
              <w:t>售后服务</w:t>
            </w:r>
            <w:r>
              <w:rPr>
                <w:rFonts w:hint="eastAsia" w:ascii="宋体" w:hAnsi="宋体" w:cs="宋体"/>
                <w:bCs/>
                <w:color w:val="auto"/>
                <w:szCs w:val="21"/>
                <w:highlight w:val="none"/>
              </w:rPr>
              <w:t>方案</w:t>
            </w:r>
            <w:r>
              <w:rPr>
                <w:rFonts w:hint="eastAsia" w:hAnsi="宋体"/>
                <w:color w:val="auto"/>
                <w:szCs w:val="21"/>
                <w:highlight w:val="none"/>
              </w:rPr>
              <w:t>等</w:t>
            </w:r>
            <w:r>
              <w:rPr>
                <w:rFonts w:hint="eastAsia" w:ascii="宋体" w:hAnsi="宋体" w:cs="宋体"/>
                <w:color w:val="auto"/>
                <w:szCs w:val="21"/>
                <w:highlight w:val="none"/>
              </w:rPr>
              <w:t>。</w:t>
            </w:r>
          </w:p>
          <w:p w14:paraId="3B8D6DA3">
            <w:pPr>
              <w:spacing w:line="340" w:lineRule="exact"/>
              <w:rPr>
                <w:rFonts w:ascii="宋体" w:hAnsi="宋体" w:cs="宋体"/>
                <w:color w:val="auto"/>
                <w:szCs w:val="21"/>
                <w:highlight w:val="none"/>
              </w:rPr>
            </w:pPr>
            <w:r>
              <w:rPr>
                <w:rFonts w:hint="eastAsia" w:ascii="宋体" w:hAnsi="宋体" w:cs="宋体"/>
                <w:color w:val="auto"/>
                <w:szCs w:val="21"/>
                <w:highlight w:val="none"/>
              </w:rPr>
              <w:t>13.对应采购需求的技术要求、商务要求提供的其他文件资料（格式自拟）；</w:t>
            </w:r>
          </w:p>
          <w:p w14:paraId="72705922">
            <w:pPr>
              <w:spacing w:line="340" w:lineRule="exact"/>
              <w:rPr>
                <w:rFonts w:ascii="宋体" w:hAnsi="宋体" w:cs="宋体"/>
                <w:color w:val="auto"/>
                <w:szCs w:val="21"/>
                <w:highlight w:val="none"/>
              </w:rPr>
            </w:pPr>
            <w:r>
              <w:rPr>
                <w:rFonts w:hint="eastAsia" w:ascii="宋体" w:hAnsi="宋体" w:cs="宋体"/>
                <w:color w:val="auto"/>
                <w:szCs w:val="21"/>
                <w:highlight w:val="none"/>
              </w:rPr>
              <w:t>14.供应商认为需要提供的其他有关资料；</w:t>
            </w:r>
          </w:p>
          <w:p w14:paraId="14596DC2">
            <w:pPr>
              <w:spacing w:line="340" w:lineRule="exact"/>
              <w:rPr>
                <w:rFonts w:ascii="宋体" w:hAnsi="宋体" w:cs="宋体"/>
                <w:color w:val="auto"/>
                <w:szCs w:val="21"/>
                <w:highlight w:val="none"/>
              </w:rPr>
            </w:pPr>
            <w:r>
              <w:rPr>
                <w:rFonts w:hint="eastAsia" w:ascii="宋体" w:hAnsi="宋体" w:cs="宋体"/>
                <w:color w:val="auto"/>
                <w:szCs w:val="21"/>
                <w:highlight w:val="none"/>
              </w:rPr>
              <w:t>15.供应商符合中小企业规定的相应证明材料[供应商如满足《政府采购促进中小企业发展管理办法》（财库〔2020〕46号）第二条规定。根据财政部、司法部关于政府采购支持监狱企业发展有关问题的通知（财库[2014]68号）及《关于促进残疾人就业政府采购政策的通知》（财库〔2017〕141号）的规定，监狱企业、残疾人福利单位视同小型、微型企业。供应商可根据自身情况，相应提供以下证明材料，并对证明材料的真实性负责：①供应商提供的服务全部由符合政策要求的中小企业承接，提供《中小企业声明函》。②供应商提供的服务全部由监狱企业承接的，提供由省级以上监狱管理局、戒毒管理局（含新疆生产建设兵团）出具的属于监狱企业的证明文件。③供应商提供的服务全部由符合条件的残疾人福利性单位承接的，提供《残疾人福利性单位声明函》] （格式后附）。</w:t>
            </w:r>
          </w:p>
          <w:p w14:paraId="12058C86">
            <w:pPr>
              <w:spacing w:line="340" w:lineRule="exact"/>
              <w:rPr>
                <w:rFonts w:ascii="宋体" w:hAnsi="宋体" w:cs="宋体"/>
                <w:b/>
                <w:color w:val="auto"/>
                <w:szCs w:val="21"/>
                <w:highlight w:val="none"/>
              </w:rPr>
            </w:pPr>
            <w:r>
              <w:rPr>
                <w:rFonts w:hint="eastAsia" w:ascii="宋体" w:hAnsi="宋体" w:cs="宋体"/>
                <w:b/>
                <w:color w:val="auto"/>
                <w:szCs w:val="21"/>
                <w:highlight w:val="none"/>
              </w:rPr>
              <w:t>注：以上标明“必须提供”的材料必须加盖供应商电子签章，必须提供的材料在第五章“响应文件格式”中有要求法定代表人或委托代理人签字的，必须由法定代表人或委托代理人签字（或者电子签名），其中“供应商参加本项目无回避事项的承诺函”必须由法定代表人在规定签章处签字（签章或电子签名），并加盖供应商电子签章，否则响应文件按无效处理。</w:t>
            </w:r>
          </w:p>
        </w:tc>
      </w:tr>
      <w:tr w14:paraId="01AB8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B67A65F">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15.2</w:t>
            </w:r>
          </w:p>
        </w:tc>
        <w:tc>
          <w:tcPr>
            <w:tcW w:w="7912" w:type="dxa"/>
            <w:vAlign w:val="center"/>
          </w:tcPr>
          <w:p w14:paraId="39FDD884">
            <w:pPr>
              <w:spacing w:line="340" w:lineRule="exact"/>
              <w:rPr>
                <w:rFonts w:ascii="宋体" w:hAnsi="宋体" w:cs="宋体"/>
                <w:b/>
                <w:color w:val="auto"/>
                <w:szCs w:val="21"/>
                <w:highlight w:val="none"/>
              </w:rPr>
            </w:pPr>
            <w:r>
              <w:rPr>
                <w:rFonts w:hint="eastAsia" w:ascii="宋体" w:hAnsi="宋体"/>
                <w:b/>
                <w:color w:val="auto"/>
                <w:highlight w:val="none"/>
              </w:rPr>
              <w:t>供应商的竞标报价应包含本次采购范围内软（硬）件产品价款、标准附件、备品备件、专用工具、辅材、安装调试、包装、运输（含保险）、装卸、保险费、各类税费、产品检测、检验费、验收费、售后服务、技术服务、培训（包括但不限于场地费、教材费用等）、技术资料、涉及的人工、差旅以及其他与本项目要求提供的所有伴随服务等一切费用；供应商应综合考虑在报价中。</w:t>
            </w:r>
          </w:p>
        </w:tc>
      </w:tr>
      <w:tr w14:paraId="698B6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16EE5E1">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6.2</w:t>
            </w:r>
          </w:p>
        </w:tc>
        <w:tc>
          <w:tcPr>
            <w:tcW w:w="7912" w:type="dxa"/>
            <w:vAlign w:val="center"/>
          </w:tcPr>
          <w:p w14:paraId="663D4407">
            <w:pPr>
              <w:spacing w:line="340" w:lineRule="exact"/>
              <w:rPr>
                <w:rFonts w:ascii="宋体" w:hAnsi="宋体" w:cs="宋体"/>
                <w:color w:val="auto"/>
                <w:szCs w:val="21"/>
                <w:highlight w:val="none"/>
              </w:rPr>
            </w:pPr>
            <w:r>
              <w:rPr>
                <w:rFonts w:hint="eastAsia" w:ascii="宋体" w:hAnsi="宋体" w:cs="宋体"/>
                <w:color w:val="auto"/>
                <w:szCs w:val="21"/>
                <w:highlight w:val="none"/>
              </w:rPr>
              <w:t>竞标有效期：自首次响应文件提交截止之日起90日。</w:t>
            </w:r>
          </w:p>
        </w:tc>
      </w:tr>
      <w:tr w14:paraId="14332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D77DE5A">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17.1</w:t>
            </w:r>
          </w:p>
        </w:tc>
        <w:tc>
          <w:tcPr>
            <w:tcW w:w="7912" w:type="dxa"/>
            <w:vAlign w:val="center"/>
          </w:tcPr>
          <w:p w14:paraId="5E5D0DA0">
            <w:pPr>
              <w:autoSpaceDE w:val="0"/>
              <w:autoSpaceDN w:val="0"/>
              <w:snapToGrid w:val="0"/>
              <w:spacing w:line="340" w:lineRule="exact"/>
              <w:textAlignment w:val="bottom"/>
              <w:rPr>
                <w:rFonts w:ascii="宋体" w:hAnsi="宋体"/>
                <w:color w:val="auto"/>
                <w:szCs w:val="21"/>
                <w:highlight w:val="none"/>
              </w:rPr>
            </w:pPr>
            <w:r>
              <w:rPr>
                <w:rFonts w:hint="eastAsia" w:ascii="宋体" w:hAnsi="宋体"/>
                <w:color w:val="auto"/>
                <w:szCs w:val="21"/>
                <w:highlight w:val="none"/>
              </w:rPr>
              <w:t>□本项目不收取磋商保证金。</w:t>
            </w:r>
          </w:p>
          <w:p w14:paraId="71CBC2C8">
            <w:pPr>
              <w:snapToGrid w:val="0"/>
              <w:spacing w:line="340" w:lineRule="exact"/>
              <w:rPr>
                <w:rFonts w:ascii="宋体" w:hAnsi="宋体"/>
                <w:color w:val="auto"/>
                <w:szCs w:val="21"/>
                <w:highlight w:val="none"/>
              </w:rPr>
            </w:pPr>
            <w:r>
              <w:rPr>
                <w:rFonts w:ascii="Segoe UI Symbol" w:hAnsi="Segoe UI Symbol" w:cs="Segoe UI Symbol"/>
                <w:color w:val="auto"/>
                <w:szCs w:val="21"/>
                <w:highlight w:val="none"/>
              </w:rPr>
              <w:t>☑</w:t>
            </w:r>
            <w:r>
              <w:rPr>
                <w:rFonts w:hint="eastAsia" w:ascii="宋体" w:hAnsi="宋体"/>
                <w:color w:val="auto"/>
                <w:szCs w:val="21"/>
                <w:highlight w:val="none"/>
              </w:rPr>
              <w:t>本项目收取磋商保证金，具体规定如下：</w:t>
            </w:r>
          </w:p>
          <w:p w14:paraId="787768C8">
            <w:pPr>
              <w:snapToGrid w:val="0"/>
              <w:spacing w:line="340" w:lineRule="exact"/>
              <w:rPr>
                <w:rFonts w:ascii="宋体" w:hAnsi="宋体"/>
                <w:color w:val="auto"/>
                <w:szCs w:val="21"/>
                <w:highlight w:val="none"/>
              </w:rPr>
            </w:pPr>
            <w:r>
              <w:rPr>
                <w:rFonts w:hint="eastAsia" w:ascii="宋体" w:hAnsi="宋体" w:cs="宋体"/>
                <w:color w:val="auto"/>
                <w:kern w:val="0"/>
                <w:szCs w:val="21"/>
                <w:highlight w:val="none"/>
              </w:rPr>
              <w:t>本项目磋商保证金为人民币贰万元整（¥20000.00）（须足额交纳）。</w:t>
            </w:r>
          </w:p>
          <w:p w14:paraId="02727AE6">
            <w:pPr>
              <w:snapToGrid w:val="0"/>
              <w:spacing w:line="340" w:lineRule="exact"/>
              <w:rPr>
                <w:rFonts w:ascii="宋体" w:hAnsi="宋体" w:cs="宋体"/>
                <w:color w:val="auto"/>
                <w:kern w:val="0"/>
                <w:szCs w:val="21"/>
                <w:highlight w:val="none"/>
              </w:rPr>
            </w:pPr>
            <w:r>
              <w:rPr>
                <w:rFonts w:hint="eastAsia" w:ascii="宋体" w:hAnsi="宋体" w:cs="宋体"/>
                <w:color w:val="auto"/>
                <w:kern w:val="0"/>
                <w:szCs w:val="21"/>
                <w:highlight w:val="none"/>
              </w:rPr>
              <w:t>磋商保证金的交纳方式：银行转账、支票、汇票、本票或者金融机构、担保机构出具的保函</w:t>
            </w:r>
            <w:r>
              <w:rPr>
                <w:rFonts w:hint="eastAsia" w:ascii="宋体" w:hAnsi="宋体"/>
                <w:color w:val="auto"/>
                <w:szCs w:val="21"/>
                <w:highlight w:val="none"/>
              </w:rPr>
              <w:t>（包含电子保函）</w:t>
            </w:r>
            <w:r>
              <w:rPr>
                <w:rFonts w:hint="eastAsia" w:ascii="宋体" w:hAnsi="宋体" w:cs="宋体"/>
                <w:color w:val="auto"/>
                <w:kern w:val="0"/>
                <w:szCs w:val="21"/>
                <w:highlight w:val="none"/>
              </w:rPr>
              <w:t>，禁止采用现钞方式。采用银行转账方式的，在响应文件提交截止时间前交至指定账户并且到账</w:t>
            </w:r>
            <w:r>
              <w:rPr>
                <w:rFonts w:hint="eastAsia" w:ascii="宋体" w:hAnsi="宋体" w:cs="宋体"/>
                <w:b/>
                <w:color w:val="auto"/>
                <w:kern w:val="0"/>
                <w:szCs w:val="21"/>
                <w:highlight w:val="none"/>
              </w:rPr>
              <w:t>（开户名称：云之龙咨询集团有限公司桂林分公司；银行账号：8113001013100074449；开户银行：中信银行股份有限公司南宁东葛支行）</w:t>
            </w:r>
            <w:r>
              <w:rPr>
                <w:rFonts w:hint="eastAsia" w:ascii="宋体" w:hAnsi="宋体" w:cs="宋体"/>
                <w:color w:val="auto"/>
                <w:kern w:val="0"/>
                <w:szCs w:val="21"/>
                <w:highlight w:val="none"/>
              </w:rPr>
              <w:t>；采用支票、汇票、本票或者保函等方式的，在响应文件提交截止时间前，供应商必须提交单独密封的支票、汇票、本票或者保函原件。</w:t>
            </w:r>
            <w:r>
              <w:rPr>
                <w:rFonts w:hint="eastAsia" w:ascii="宋体" w:hAnsi="宋体" w:cs="宋体"/>
                <w:b/>
                <w:color w:val="auto"/>
                <w:kern w:val="0"/>
                <w:szCs w:val="21"/>
                <w:highlight w:val="none"/>
              </w:rPr>
              <w:t>否则视为无效磋商保证金。</w:t>
            </w:r>
          </w:p>
          <w:p w14:paraId="31029E07">
            <w:pPr>
              <w:snapToGrid w:val="0"/>
              <w:spacing w:line="340" w:lineRule="exact"/>
              <w:rPr>
                <w:rFonts w:ascii="宋体" w:hAnsi="宋体" w:cs="宋体"/>
                <w:color w:val="auto"/>
                <w:szCs w:val="21"/>
                <w:highlight w:val="none"/>
              </w:rPr>
            </w:pPr>
            <w:r>
              <w:rPr>
                <w:rFonts w:hint="eastAsia" w:ascii="宋体" w:hAnsi="宋体" w:cs="宋体"/>
                <w:color w:val="auto"/>
                <w:szCs w:val="21"/>
                <w:highlight w:val="none"/>
              </w:rPr>
              <w:t>相关要求：</w:t>
            </w:r>
          </w:p>
          <w:p w14:paraId="3B484A96">
            <w:pPr>
              <w:snapToGrid w:val="0"/>
              <w:spacing w:line="340" w:lineRule="exact"/>
              <w:rPr>
                <w:rFonts w:ascii="宋体" w:hAnsi="宋体" w:cs="宋体"/>
                <w:color w:val="auto"/>
                <w:szCs w:val="21"/>
                <w:highlight w:val="none"/>
              </w:rPr>
            </w:pPr>
            <w:r>
              <w:rPr>
                <w:rFonts w:hint="eastAsia" w:ascii="宋体" w:hAnsi="宋体" w:cs="宋体"/>
                <w:color w:val="auto"/>
                <w:szCs w:val="21"/>
                <w:highlight w:val="none"/>
              </w:rPr>
              <w:t>1.磋商保证金采用银行转账交纳方式的，在响应文件提交截止时间前交至指定账户并且到账，</w:t>
            </w:r>
            <w:r>
              <w:rPr>
                <w:rFonts w:hint="eastAsia" w:ascii="宋体" w:hAnsi="宋体" w:cs="宋体"/>
                <w:b/>
                <w:color w:val="auto"/>
                <w:szCs w:val="21"/>
                <w:highlight w:val="none"/>
              </w:rPr>
              <w:t>供应商应将银行转账底单的复印件作为磋商保证金提交凭证，放置于商务技术文件中，否则响应文件按无效响应处理。</w:t>
            </w:r>
          </w:p>
          <w:p w14:paraId="65813B7C">
            <w:pPr>
              <w:snapToGrid w:val="0"/>
              <w:spacing w:line="340" w:lineRule="exact"/>
              <w:rPr>
                <w:rFonts w:ascii="宋体" w:hAnsi="宋体"/>
                <w:color w:val="auto"/>
                <w:szCs w:val="21"/>
                <w:highlight w:val="none"/>
              </w:rPr>
            </w:pPr>
            <w:r>
              <w:rPr>
                <w:rFonts w:hint="eastAsia" w:ascii="宋体" w:hAnsi="宋体"/>
                <w:color w:val="auto"/>
                <w:szCs w:val="21"/>
                <w:highlight w:val="none"/>
              </w:rPr>
              <w:t>2.磋商保证金采用支票、汇票、本票或者金融机构、担保机构出具的保函（包含电子保函）交纳方式的，</w:t>
            </w:r>
            <w:r>
              <w:rPr>
                <w:rFonts w:hint="eastAsia" w:ascii="宋体" w:hAnsi="宋体"/>
                <w:b/>
                <w:color w:val="auto"/>
                <w:szCs w:val="21"/>
                <w:highlight w:val="none"/>
              </w:rPr>
              <w:t>供应商应将支票、汇票、本票或者金融机构、担保机构出具的保函（包含电子保函）的复印件作为磋商保证金提交凭证，放置于</w:t>
            </w:r>
            <w:r>
              <w:rPr>
                <w:rFonts w:hint="eastAsia" w:ascii="宋体" w:hAnsi="宋体" w:cs="宋体"/>
                <w:b/>
                <w:color w:val="auto"/>
                <w:szCs w:val="21"/>
                <w:highlight w:val="none"/>
              </w:rPr>
              <w:t>商务技术文件</w:t>
            </w:r>
            <w:r>
              <w:rPr>
                <w:rFonts w:hint="eastAsia" w:ascii="宋体" w:hAnsi="宋体"/>
                <w:b/>
                <w:color w:val="auto"/>
                <w:szCs w:val="21"/>
                <w:highlight w:val="none"/>
              </w:rPr>
              <w:t>中，</w:t>
            </w:r>
            <w:r>
              <w:rPr>
                <w:rFonts w:hint="eastAsia" w:ascii="宋体" w:hAnsi="宋体" w:cs="宋体"/>
                <w:b/>
                <w:color w:val="auto"/>
                <w:szCs w:val="21"/>
                <w:highlight w:val="none"/>
              </w:rPr>
              <w:t>否则响应文件按无效处理</w:t>
            </w:r>
            <w:r>
              <w:rPr>
                <w:rFonts w:hint="eastAsia" w:ascii="宋体" w:hAnsi="宋体"/>
                <w:b/>
                <w:color w:val="auto"/>
                <w:szCs w:val="21"/>
                <w:highlight w:val="none"/>
              </w:rPr>
              <w:t>。</w:t>
            </w:r>
            <w:r>
              <w:rPr>
                <w:rFonts w:hint="eastAsia" w:ascii="宋体" w:hAnsi="宋体"/>
                <w:color w:val="auto"/>
                <w:szCs w:val="21"/>
                <w:highlight w:val="none"/>
              </w:rPr>
              <w:t>供应商必须在响应文件提交截止时间前采用现场或邮寄方式（现场提交地址：</w:t>
            </w:r>
            <w:r>
              <w:rPr>
                <w:rFonts w:hint="eastAsia" w:ascii="宋体" w:hAnsi="宋体"/>
                <w:color w:val="auto"/>
                <w:szCs w:val="21"/>
                <w:highlight w:val="none"/>
                <w:u w:val="single"/>
              </w:rPr>
              <w:t>广西壮族自治区桂林市临桂区西城北路2号耀辉•美好家园2幢12层1号房</w:t>
            </w:r>
            <w:r>
              <w:rPr>
                <w:rFonts w:hint="eastAsia" w:ascii="宋体" w:hAnsi="宋体"/>
                <w:color w:val="auto"/>
                <w:szCs w:val="21"/>
                <w:highlight w:val="none"/>
              </w:rPr>
              <w:t>；邮寄地址：</w:t>
            </w:r>
            <w:r>
              <w:rPr>
                <w:rFonts w:hint="eastAsia" w:ascii="宋体" w:hAnsi="宋体"/>
                <w:color w:val="auto"/>
                <w:szCs w:val="21"/>
                <w:highlight w:val="none"/>
                <w:u w:val="single"/>
              </w:rPr>
              <w:t>广西壮族自治区桂林市临桂区西城北路2号耀辉•美好家园2幢12层1号房</w:t>
            </w:r>
            <w:r>
              <w:rPr>
                <w:rFonts w:hint="eastAsia" w:ascii="宋体" w:hAnsi="宋体"/>
                <w:color w:val="auto"/>
                <w:szCs w:val="21"/>
                <w:highlight w:val="none"/>
              </w:rPr>
              <w:t>，收件人：</w:t>
            </w:r>
            <w:r>
              <w:rPr>
                <w:rFonts w:hint="eastAsia" w:ascii="宋体" w:hAnsi="宋体"/>
                <w:color w:val="auto"/>
                <w:szCs w:val="21"/>
                <w:highlight w:val="none"/>
                <w:u w:val="single"/>
              </w:rPr>
              <w:t>李贞</w:t>
            </w:r>
            <w:r>
              <w:rPr>
                <w:rFonts w:hint="eastAsia" w:ascii="宋体" w:hAnsi="宋体"/>
                <w:color w:val="auto"/>
                <w:szCs w:val="21"/>
                <w:highlight w:val="none"/>
              </w:rPr>
              <w:t>，联系方式：</w:t>
            </w:r>
            <w:r>
              <w:rPr>
                <w:rFonts w:hint="eastAsia" w:ascii="宋体" w:hAnsi="宋体"/>
                <w:color w:val="auto"/>
                <w:szCs w:val="21"/>
                <w:highlight w:val="none"/>
                <w:u w:val="single"/>
              </w:rPr>
              <w:t xml:space="preserve"> </w:t>
            </w:r>
            <w:r>
              <w:rPr>
                <w:rFonts w:ascii="宋体" w:hAnsi="宋体"/>
                <w:color w:val="auto"/>
                <w:szCs w:val="21"/>
                <w:highlight w:val="none"/>
                <w:u w:val="single"/>
              </w:rPr>
              <w:t>0773-2887388</w:t>
            </w:r>
            <w:r>
              <w:rPr>
                <w:rFonts w:hint="eastAsia" w:ascii="宋体" w:hAnsi="宋体"/>
                <w:color w:val="auto"/>
                <w:szCs w:val="21"/>
                <w:highlight w:val="none"/>
                <w:u w:val="single"/>
              </w:rPr>
              <w:t>、2</w:t>
            </w:r>
            <w:r>
              <w:rPr>
                <w:rFonts w:ascii="宋体" w:hAnsi="宋体"/>
                <w:color w:val="auto"/>
                <w:szCs w:val="21"/>
                <w:highlight w:val="none"/>
                <w:u w:val="single"/>
              </w:rPr>
              <w:t>887399</w:t>
            </w:r>
            <w:r>
              <w:rPr>
                <w:rFonts w:hint="eastAsia" w:ascii="宋体" w:hAnsi="宋体"/>
                <w:color w:val="auto"/>
                <w:szCs w:val="21"/>
                <w:highlight w:val="none"/>
                <w:u w:val="single"/>
              </w:rPr>
              <w:t xml:space="preserve"> </w:t>
            </w:r>
            <w:r>
              <w:rPr>
                <w:rFonts w:hint="eastAsia" w:ascii="宋体" w:hAnsi="宋体"/>
                <w:color w:val="auto"/>
                <w:szCs w:val="21"/>
                <w:highlight w:val="none"/>
              </w:rPr>
              <w:t>）将</w:t>
            </w:r>
            <w:r>
              <w:rPr>
                <w:rFonts w:hint="eastAsia" w:ascii="宋体" w:hAnsi="宋体" w:cs="宋体"/>
                <w:color w:val="auto"/>
                <w:kern w:val="0"/>
                <w:szCs w:val="21"/>
                <w:highlight w:val="none"/>
              </w:rPr>
              <w:t>单独密封的</w:t>
            </w:r>
            <w:r>
              <w:rPr>
                <w:rFonts w:hint="eastAsia" w:ascii="宋体" w:hAnsi="宋体"/>
                <w:color w:val="auto"/>
                <w:szCs w:val="21"/>
                <w:highlight w:val="none"/>
              </w:rPr>
              <w:t>支票、汇票、本票或者金融机构、担保机构出具的保函原件提交给采购人或者采购代理机构，由采购人或者采购代理机构向供应商出具回执（邮寄方式的除外），并妥善保管。</w:t>
            </w:r>
          </w:p>
          <w:p w14:paraId="3B747D48">
            <w:pPr>
              <w:snapToGrid w:val="0"/>
              <w:spacing w:line="340" w:lineRule="exact"/>
              <w:rPr>
                <w:rFonts w:ascii="宋体" w:hAnsi="宋体" w:cs="宋体"/>
                <w:b/>
                <w:color w:val="auto"/>
                <w:szCs w:val="21"/>
                <w:highlight w:val="none"/>
              </w:rPr>
            </w:pPr>
            <w:r>
              <w:rPr>
                <w:rFonts w:hint="eastAsia" w:ascii="宋体" w:hAnsi="宋体" w:cs="宋体"/>
                <w:color w:val="auto"/>
                <w:szCs w:val="21"/>
                <w:highlight w:val="none"/>
              </w:rPr>
              <w:t>3.供应商为联合体的，可以由联合体中的一方或者多方共同交纳磋商保证金，其交纳的保证金对联合体各方均具有约束力。</w:t>
            </w:r>
          </w:p>
          <w:p w14:paraId="29F6964D">
            <w:pPr>
              <w:snapToGrid w:val="0"/>
              <w:spacing w:line="340" w:lineRule="exact"/>
              <w:rPr>
                <w:rFonts w:ascii="宋体" w:hAnsi="宋体" w:cs="宋体"/>
                <w:b/>
                <w:color w:val="auto"/>
                <w:szCs w:val="21"/>
                <w:highlight w:val="none"/>
              </w:rPr>
            </w:pPr>
            <w:r>
              <w:rPr>
                <w:rFonts w:hint="eastAsia" w:ascii="宋体" w:hAnsi="宋体" w:cs="宋体"/>
                <w:b/>
                <w:color w:val="auto"/>
                <w:szCs w:val="21"/>
                <w:highlight w:val="none"/>
              </w:rPr>
              <w:t xml:space="preserve">注： </w:t>
            </w:r>
          </w:p>
          <w:p w14:paraId="53575BCE">
            <w:pPr>
              <w:snapToGrid w:val="0"/>
              <w:spacing w:line="340" w:lineRule="exact"/>
              <w:rPr>
                <w:rFonts w:ascii="宋体" w:hAnsi="宋体" w:cs="宋体"/>
                <w:b/>
                <w:color w:val="auto"/>
                <w:szCs w:val="21"/>
                <w:highlight w:val="none"/>
              </w:rPr>
            </w:pPr>
            <w:r>
              <w:rPr>
                <w:rFonts w:hint="eastAsia" w:ascii="宋体" w:hAnsi="宋体" w:cs="宋体"/>
                <w:b/>
                <w:color w:val="auto"/>
                <w:szCs w:val="21"/>
                <w:highlight w:val="none"/>
              </w:rPr>
              <w:t>（1）磋商保证金在响应文件提交截止时间后提交的，或者不按规定交纳方式交纳的，或者未足额交纳的（包含保函额度不足的），视为无效磋商保证金。</w:t>
            </w:r>
          </w:p>
          <w:p w14:paraId="183DE53E">
            <w:pPr>
              <w:snapToGrid w:val="0"/>
              <w:spacing w:line="340" w:lineRule="exact"/>
              <w:rPr>
                <w:rFonts w:ascii="宋体" w:hAnsi="宋体" w:cs="宋体"/>
                <w:b/>
                <w:color w:val="auto"/>
                <w:szCs w:val="21"/>
                <w:highlight w:val="none"/>
              </w:rPr>
            </w:pPr>
            <w:r>
              <w:rPr>
                <w:rFonts w:hint="eastAsia" w:ascii="宋体" w:hAnsi="宋体" w:cs="宋体"/>
                <w:b/>
                <w:color w:val="auto"/>
                <w:szCs w:val="21"/>
                <w:highlight w:val="none"/>
              </w:rPr>
              <w:t>（2）供应商采用现钞方式或者从个人账户（自然人竞标除外）转出的磋商保证金，视为无效磋商保证金。</w:t>
            </w:r>
          </w:p>
          <w:p w14:paraId="39795FAE">
            <w:pPr>
              <w:snapToGrid w:val="0"/>
              <w:spacing w:line="340" w:lineRule="exact"/>
              <w:rPr>
                <w:rFonts w:ascii="宋体" w:hAnsi="宋体" w:cs="宋体"/>
                <w:b/>
                <w:color w:val="auto"/>
                <w:szCs w:val="21"/>
                <w:highlight w:val="none"/>
              </w:rPr>
            </w:pPr>
            <w:r>
              <w:rPr>
                <w:rFonts w:hint="eastAsia" w:ascii="宋体" w:hAnsi="宋体" w:cs="宋体"/>
                <w:b/>
                <w:color w:val="auto"/>
                <w:szCs w:val="21"/>
                <w:highlight w:val="none"/>
              </w:rPr>
              <w:t>（3）支票、汇票或者本票出现无效或者背书情形的，视为无效磋商保证金。</w:t>
            </w:r>
          </w:p>
          <w:p w14:paraId="5F90BA31">
            <w:pPr>
              <w:snapToGrid w:val="0"/>
              <w:spacing w:line="340" w:lineRule="exact"/>
              <w:rPr>
                <w:rFonts w:ascii="宋体" w:hAnsi="宋体" w:cs="宋体"/>
                <w:color w:val="auto"/>
                <w:szCs w:val="21"/>
                <w:highlight w:val="none"/>
              </w:rPr>
            </w:pPr>
            <w:r>
              <w:rPr>
                <w:rFonts w:hint="eastAsia" w:ascii="宋体" w:hAnsi="宋体" w:cs="宋体"/>
                <w:b/>
                <w:color w:val="auto"/>
                <w:szCs w:val="21"/>
                <w:highlight w:val="none"/>
              </w:rPr>
              <w:t>（4）保函（包含电子保函）有效期低于竞标有效期的，视为无效磋商保证金。</w:t>
            </w:r>
          </w:p>
        </w:tc>
      </w:tr>
      <w:tr w14:paraId="3FF9E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F8A1399">
            <w:pPr>
              <w:spacing w:line="360" w:lineRule="exact"/>
              <w:jc w:val="center"/>
              <w:rPr>
                <w:rFonts w:ascii="宋体" w:hAnsi="宋体" w:cs="宋体"/>
                <w:color w:val="auto"/>
                <w:szCs w:val="21"/>
                <w:highlight w:val="none"/>
              </w:rPr>
            </w:pPr>
            <w:r>
              <w:rPr>
                <w:rFonts w:ascii="宋体" w:hAnsi="宋体" w:cs="宋体"/>
                <w:color w:val="auto"/>
                <w:szCs w:val="21"/>
                <w:highlight w:val="none"/>
              </w:rPr>
              <w:t>19</w:t>
            </w:r>
          </w:p>
        </w:tc>
        <w:tc>
          <w:tcPr>
            <w:tcW w:w="7912" w:type="dxa"/>
            <w:vAlign w:val="center"/>
          </w:tcPr>
          <w:p w14:paraId="46DA0935">
            <w:pPr>
              <w:autoSpaceDE w:val="0"/>
              <w:autoSpaceDN w:val="0"/>
              <w:adjustRightInd w:val="0"/>
              <w:spacing w:line="340" w:lineRule="exact"/>
              <w:textAlignment w:val="bottom"/>
              <w:rPr>
                <w:rFonts w:ascii="宋体" w:hAnsi="宋体" w:cs="宋体"/>
                <w:color w:val="auto"/>
                <w:szCs w:val="21"/>
                <w:highlight w:val="none"/>
              </w:rPr>
            </w:pPr>
            <w:r>
              <w:rPr>
                <w:rFonts w:hint="eastAsia" w:ascii="宋体" w:hAnsi="宋体"/>
                <w:color w:val="auto"/>
                <w:szCs w:val="21"/>
                <w:highlight w:val="none"/>
              </w:rPr>
              <w:t>本项目不接受电子备份响应文件。</w:t>
            </w:r>
          </w:p>
        </w:tc>
      </w:tr>
      <w:tr w14:paraId="5B193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759E50D">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20.1</w:t>
            </w:r>
          </w:p>
        </w:tc>
        <w:tc>
          <w:tcPr>
            <w:tcW w:w="7912" w:type="dxa"/>
            <w:vAlign w:val="center"/>
          </w:tcPr>
          <w:p w14:paraId="6BFBA714">
            <w:pPr>
              <w:spacing w:line="340" w:lineRule="exact"/>
              <w:contextualSpacing/>
              <w:jc w:val="left"/>
              <w:rPr>
                <w:rFonts w:ascii="宋体" w:hAnsi="宋体" w:cs="宋体"/>
                <w:color w:val="auto"/>
                <w:szCs w:val="21"/>
                <w:highlight w:val="none"/>
                <w:u w:val="single"/>
              </w:rPr>
            </w:pPr>
            <w:r>
              <w:rPr>
                <w:rFonts w:hint="eastAsia" w:ascii="宋体" w:hAnsi="宋体" w:cs="宋体"/>
                <w:color w:val="auto"/>
                <w:szCs w:val="21"/>
                <w:highlight w:val="none"/>
              </w:rPr>
              <w:t>响应文件提交截止时间：详见竞争性磋商公告。</w:t>
            </w:r>
          </w:p>
          <w:p w14:paraId="4C5AD574">
            <w:pPr>
              <w:spacing w:line="340" w:lineRule="exact"/>
              <w:contextualSpacing/>
              <w:jc w:val="left"/>
              <w:rPr>
                <w:rFonts w:ascii="宋体" w:hAnsi="宋体" w:cs="宋体"/>
                <w:color w:val="auto"/>
                <w:szCs w:val="21"/>
                <w:highlight w:val="none"/>
              </w:rPr>
            </w:pPr>
            <w:r>
              <w:rPr>
                <w:rFonts w:hint="eastAsia" w:ascii="宋体" w:hAnsi="宋体" w:cs="宋体"/>
                <w:color w:val="auto"/>
                <w:szCs w:val="21"/>
                <w:highlight w:val="none"/>
              </w:rPr>
              <w:t>响应文件提交地点：详见竞争性磋商公告。</w:t>
            </w:r>
          </w:p>
        </w:tc>
      </w:tr>
      <w:tr w14:paraId="0FA4B3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A6F7C07">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4.1</w:t>
            </w:r>
          </w:p>
        </w:tc>
        <w:tc>
          <w:tcPr>
            <w:tcW w:w="7912" w:type="dxa"/>
            <w:vAlign w:val="center"/>
          </w:tcPr>
          <w:p w14:paraId="6F878076">
            <w:pPr>
              <w:spacing w:line="340" w:lineRule="exact"/>
              <w:contextualSpacing/>
              <w:jc w:val="left"/>
              <w:rPr>
                <w:rFonts w:ascii="宋体" w:hAnsi="宋体" w:cs="宋体"/>
                <w:color w:val="auto"/>
                <w:szCs w:val="21"/>
                <w:highlight w:val="none"/>
              </w:rPr>
            </w:pPr>
            <w:r>
              <w:rPr>
                <w:rFonts w:hint="eastAsia" w:ascii="宋体" w:hAnsi="宋体" w:cs="宋体"/>
                <w:color w:val="auto"/>
                <w:szCs w:val="21"/>
                <w:highlight w:val="none"/>
              </w:rPr>
              <w:t>磋商小组的人数：3人。</w:t>
            </w:r>
          </w:p>
        </w:tc>
      </w:tr>
      <w:tr w14:paraId="4EC3D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A0BA0B6">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p>
        </w:tc>
        <w:tc>
          <w:tcPr>
            <w:tcW w:w="7912" w:type="dxa"/>
            <w:vAlign w:val="center"/>
          </w:tcPr>
          <w:p w14:paraId="1C81943C">
            <w:pPr>
              <w:snapToGrid w:val="0"/>
              <w:spacing w:line="340" w:lineRule="exact"/>
              <w:jc w:val="left"/>
              <w:rPr>
                <w:rFonts w:ascii="宋体" w:hAnsi="宋体" w:cs="宋体"/>
                <w:color w:val="auto"/>
                <w:szCs w:val="21"/>
                <w:highlight w:val="none"/>
              </w:rPr>
            </w:pPr>
            <w:r>
              <w:rPr>
                <w:rFonts w:hint="eastAsia" w:ascii="宋体" w:hAnsi="宋体" w:cs="宋体"/>
                <w:color w:val="auto"/>
                <w:szCs w:val="21"/>
                <w:highlight w:val="none"/>
              </w:rPr>
              <w:t>首次响应文件开启时间详见竞争性磋商公告</w:t>
            </w:r>
          </w:p>
          <w:p w14:paraId="0770DDCF">
            <w:pPr>
              <w:snapToGrid w:val="0"/>
              <w:spacing w:line="340" w:lineRule="exact"/>
              <w:jc w:val="left"/>
              <w:rPr>
                <w:rFonts w:ascii="宋体" w:hAnsi="宋体" w:cs="宋体"/>
                <w:color w:val="auto"/>
                <w:szCs w:val="21"/>
                <w:highlight w:val="none"/>
              </w:rPr>
            </w:pPr>
            <w:r>
              <w:rPr>
                <w:rFonts w:hint="eastAsia" w:ascii="宋体" w:hAnsi="宋体" w:cs="宋体"/>
                <w:color w:val="auto"/>
                <w:szCs w:val="21"/>
                <w:highlight w:val="none"/>
              </w:rPr>
              <w:t>首次响应文件解密时间：</w:t>
            </w:r>
            <w:r>
              <w:rPr>
                <w:rFonts w:ascii="宋体" w:hAnsi="宋体"/>
                <w:color w:val="auto"/>
                <w:szCs w:val="21"/>
                <w:highlight w:val="none"/>
                <w:u w:val="single"/>
              </w:rPr>
              <w:t xml:space="preserve"> 30 </w:t>
            </w:r>
            <w:r>
              <w:rPr>
                <w:rFonts w:hint="eastAsia" w:ascii="宋体" w:hAnsi="宋体"/>
                <w:color w:val="auto"/>
                <w:szCs w:val="21"/>
                <w:highlight w:val="none"/>
              </w:rPr>
              <w:t>分钟</w:t>
            </w:r>
          </w:p>
        </w:tc>
      </w:tr>
      <w:tr w14:paraId="7C050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Align w:val="center"/>
          </w:tcPr>
          <w:p w14:paraId="77E657B4">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6.3</w:t>
            </w:r>
          </w:p>
        </w:tc>
        <w:tc>
          <w:tcPr>
            <w:tcW w:w="7912" w:type="dxa"/>
            <w:vAlign w:val="center"/>
          </w:tcPr>
          <w:p w14:paraId="06EC02F5">
            <w:pPr>
              <w:snapToGrid w:val="0"/>
              <w:spacing w:line="340" w:lineRule="exact"/>
              <w:rPr>
                <w:rFonts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w:t>
            </w:r>
          </w:p>
          <w:p w14:paraId="537A7D45">
            <w:pPr>
              <w:snapToGrid w:val="0"/>
              <w:spacing w:line="340" w:lineRule="exact"/>
              <w:rPr>
                <w:rFonts w:ascii="宋体" w:hAnsi="宋体" w:cs="宋体"/>
                <w:color w:val="auto"/>
                <w:szCs w:val="21"/>
                <w:highlight w:val="none"/>
              </w:rPr>
            </w:pPr>
            <w:r>
              <w:rPr>
                <w:rFonts w:hint="eastAsia" w:ascii="宋体" w:hAnsi="宋体" w:cs="宋体"/>
                <w:color w:val="auto"/>
                <w:szCs w:val="21"/>
                <w:highlight w:val="none"/>
              </w:rPr>
              <w:t>技术要求评审中允许负偏离的条款数</w:t>
            </w:r>
            <w:r>
              <w:rPr>
                <w:rFonts w:hint="eastAsia" w:ascii="宋体" w:hAnsi="宋体" w:cs="宋体"/>
                <w:color w:val="auto"/>
                <w:szCs w:val="21"/>
                <w:highlight w:val="none"/>
                <w:lang w:eastAsia="zh-CN"/>
              </w:rPr>
              <w:t>详见“第三章</w:t>
            </w:r>
            <w:r>
              <w:rPr>
                <w:rFonts w:hint="eastAsia" w:ascii="宋体" w:hAnsi="宋体" w:cs="宋体"/>
                <w:color w:val="auto"/>
                <w:szCs w:val="21"/>
                <w:highlight w:val="none"/>
                <w:lang w:val="en-US" w:eastAsia="zh-CN"/>
              </w:rPr>
              <w:t xml:space="preserve"> 采购需求”</w:t>
            </w:r>
            <w:r>
              <w:rPr>
                <w:rFonts w:hint="eastAsia" w:ascii="宋体" w:hAnsi="宋体" w:cs="宋体"/>
                <w:color w:val="auto"/>
                <w:szCs w:val="21"/>
                <w:highlight w:val="none"/>
              </w:rPr>
              <w:t>。</w:t>
            </w:r>
          </w:p>
        </w:tc>
      </w:tr>
      <w:tr w14:paraId="12868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7F968DC">
            <w:pPr>
              <w:spacing w:line="360" w:lineRule="exact"/>
              <w:jc w:val="center"/>
              <w:rPr>
                <w:rFonts w:ascii="宋体" w:hAnsi="宋体" w:cs="宋体"/>
                <w:color w:val="auto"/>
                <w:szCs w:val="21"/>
                <w:highlight w:val="none"/>
              </w:rPr>
            </w:pPr>
            <w:r>
              <w:rPr>
                <w:rFonts w:ascii="宋体" w:hAnsi="宋体" w:cs="宋体"/>
                <w:color w:val="auto"/>
                <w:szCs w:val="21"/>
                <w:highlight w:val="none"/>
              </w:rPr>
              <w:t>28.1</w:t>
            </w:r>
          </w:p>
        </w:tc>
        <w:tc>
          <w:tcPr>
            <w:tcW w:w="7912" w:type="dxa"/>
            <w:vAlign w:val="center"/>
          </w:tcPr>
          <w:p w14:paraId="558CCAD4">
            <w:pPr>
              <w:autoSpaceDE w:val="0"/>
              <w:autoSpaceDN w:val="0"/>
              <w:snapToGrid w:val="0"/>
              <w:spacing w:line="340" w:lineRule="exact"/>
              <w:textAlignment w:val="bottom"/>
              <w:rPr>
                <w:rFonts w:ascii="宋体" w:hAnsi="宋体"/>
                <w:color w:val="auto"/>
                <w:szCs w:val="21"/>
                <w:highlight w:val="none"/>
              </w:rPr>
            </w:pPr>
            <w:r>
              <w:rPr>
                <w:rFonts w:hint="eastAsia" w:ascii="宋体" w:hAnsi="宋体"/>
                <w:color w:val="auto"/>
                <w:szCs w:val="21"/>
                <w:highlight w:val="none"/>
              </w:rPr>
              <w:t>□本项目不收取履约保证金。</w:t>
            </w:r>
          </w:p>
          <w:p w14:paraId="1FE07E83">
            <w:pPr>
              <w:snapToGrid w:val="0"/>
              <w:spacing w:line="340" w:lineRule="exact"/>
              <w:rPr>
                <w:rFonts w:ascii="宋体" w:hAnsi="宋体" w:cs="宋体"/>
                <w:color w:val="auto"/>
                <w:szCs w:val="21"/>
                <w:highlight w:val="none"/>
              </w:rPr>
            </w:pPr>
            <w:r>
              <w:rPr>
                <w:rFonts w:ascii="Segoe UI Symbol" w:hAnsi="Segoe UI Symbol" w:cs="Segoe UI Symbol"/>
                <w:color w:val="auto"/>
                <w:szCs w:val="21"/>
                <w:highlight w:val="none"/>
              </w:rPr>
              <w:t>☑</w:t>
            </w:r>
            <w:r>
              <w:rPr>
                <w:rFonts w:hint="eastAsia" w:ascii="宋体" w:hAnsi="宋体" w:cs="宋体"/>
                <w:color w:val="auto"/>
                <w:szCs w:val="21"/>
                <w:highlight w:val="none"/>
              </w:rPr>
              <w:t>本项目收取履约保证金，具体规定如下：</w:t>
            </w:r>
          </w:p>
          <w:p w14:paraId="691BAA7F">
            <w:pPr>
              <w:snapToGrid w:val="0"/>
              <w:spacing w:line="340" w:lineRule="exact"/>
              <w:rPr>
                <w:rFonts w:ascii="宋体" w:hAnsi="宋体" w:cs="宋体"/>
                <w:color w:val="auto"/>
                <w:szCs w:val="21"/>
                <w:highlight w:val="none"/>
              </w:rPr>
            </w:pPr>
            <w:r>
              <w:rPr>
                <w:rFonts w:hint="eastAsia" w:ascii="宋体" w:hAnsi="宋体" w:cs="宋体"/>
                <w:color w:val="auto"/>
                <w:szCs w:val="21"/>
                <w:highlight w:val="none"/>
              </w:rPr>
              <w:t>履约保证金金额：按成交金额的5%收取（如成交供应商为中小微型企业的，按成交金额的2%收取）。</w:t>
            </w:r>
          </w:p>
          <w:p w14:paraId="335749B5">
            <w:pPr>
              <w:snapToGrid w:val="0"/>
              <w:spacing w:line="340" w:lineRule="exact"/>
              <w:rPr>
                <w:rFonts w:ascii="宋体" w:hAnsi="宋体" w:cs="宋体"/>
                <w:color w:val="auto"/>
                <w:szCs w:val="21"/>
                <w:highlight w:val="none"/>
              </w:rPr>
            </w:pPr>
            <w:r>
              <w:rPr>
                <w:rFonts w:hint="eastAsia" w:ascii="宋体" w:hAnsi="宋体" w:cs="宋体"/>
                <w:color w:val="auto"/>
                <w:szCs w:val="21"/>
                <w:highlight w:val="none"/>
              </w:rPr>
              <w:t>履约保证金提交方式：银行转账、支票、汇票、本票或者金融机构、担保机构出具的保函（包含电子保函）等非现金方式。</w:t>
            </w:r>
          </w:p>
          <w:p w14:paraId="2E28ED51">
            <w:pPr>
              <w:snapToGrid w:val="0"/>
              <w:spacing w:line="340" w:lineRule="exact"/>
              <w:rPr>
                <w:rFonts w:ascii="宋体" w:hAnsi="宋体" w:cs="宋体"/>
                <w:color w:val="auto"/>
                <w:szCs w:val="21"/>
                <w:highlight w:val="none"/>
              </w:rPr>
            </w:pPr>
            <w:r>
              <w:rPr>
                <w:rFonts w:hint="eastAsia" w:ascii="宋体" w:hAnsi="宋体" w:cs="宋体"/>
                <w:color w:val="auto"/>
                <w:szCs w:val="21"/>
                <w:highlight w:val="none"/>
              </w:rPr>
              <w:t>履约保证金缴纳期限：自成交通知书发出之日起25日内（但必须在签订合同前）。</w:t>
            </w:r>
          </w:p>
          <w:p w14:paraId="0752E2FA">
            <w:pPr>
              <w:snapToGrid w:val="0"/>
              <w:spacing w:line="340" w:lineRule="exact"/>
              <w:rPr>
                <w:rFonts w:ascii="宋体" w:hAnsi="宋体" w:cs="宋体"/>
                <w:color w:val="auto"/>
                <w:szCs w:val="21"/>
                <w:highlight w:val="none"/>
              </w:rPr>
            </w:pPr>
            <w:r>
              <w:rPr>
                <w:rFonts w:hint="eastAsia" w:ascii="宋体" w:hAnsi="宋体" w:cs="宋体"/>
                <w:color w:val="auto"/>
                <w:szCs w:val="21"/>
                <w:highlight w:val="none"/>
              </w:rPr>
              <w:t>履约保证金退付方式、时间及条件：</w:t>
            </w:r>
          </w:p>
          <w:p w14:paraId="3E82403B">
            <w:pPr>
              <w:snapToGrid w:val="0"/>
              <w:spacing w:line="340" w:lineRule="exact"/>
              <w:rPr>
                <w:rFonts w:ascii="宋体" w:hAnsi="宋体" w:cs="宋体"/>
                <w:color w:val="auto"/>
                <w:szCs w:val="21"/>
                <w:highlight w:val="none"/>
              </w:rPr>
            </w:pPr>
            <w:r>
              <w:rPr>
                <w:rFonts w:hint="eastAsia" w:ascii="宋体" w:hAnsi="宋体" w:cs="宋体"/>
                <w:color w:val="auto"/>
                <w:szCs w:val="21"/>
                <w:highlight w:val="none"/>
              </w:rPr>
              <w:t>（1）成交供应商履行完合同约定权利义务事项且服务期限满后无违约情况，凭《广西壮族自治区政府采购项目合同验收书》（详见桂财采〔2015〕22号） 和履约保证金交纳凭证向采购人申请办理退还手续，采购人不得额外要求成交供应商提交其他证明材料，并应当自收到退还资料之日起5个工作日内退还其履约保证金（无息）。如成交供应商不按双方签订的合同规定履约，则没收其全部履约保证金，履约保证金不足以赔偿损失的，按实际损失赔偿。</w:t>
            </w:r>
          </w:p>
          <w:p w14:paraId="2273B9AD">
            <w:pPr>
              <w:snapToGrid w:val="0"/>
              <w:spacing w:line="340" w:lineRule="exact"/>
              <w:rPr>
                <w:rFonts w:ascii="宋体" w:hAnsi="宋体" w:cs="宋体"/>
                <w:color w:val="auto"/>
                <w:szCs w:val="21"/>
                <w:highlight w:val="none"/>
              </w:rPr>
            </w:pPr>
            <w:r>
              <w:rPr>
                <w:rFonts w:hint="eastAsia" w:ascii="宋体" w:hAnsi="宋体" w:cs="宋体"/>
                <w:color w:val="auto"/>
                <w:szCs w:val="21"/>
                <w:highlight w:val="none"/>
              </w:rPr>
              <w:t>（2）在履约保证金退还日期前，若成交供应商的开户名称、开户银行、账号有变动的，请以书面形式通知履约保证金收取单位，否则由此产生的后果由成交供应商自负。</w:t>
            </w:r>
          </w:p>
          <w:p w14:paraId="5BE11042">
            <w:pPr>
              <w:snapToGrid w:val="0"/>
              <w:spacing w:line="340" w:lineRule="exact"/>
              <w:rPr>
                <w:rFonts w:ascii="宋体" w:hAnsi="宋体" w:cs="宋体"/>
                <w:color w:val="auto"/>
                <w:szCs w:val="21"/>
                <w:highlight w:val="none"/>
              </w:rPr>
            </w:pPr>
            <w:r>
              <w:rPr>
                <w:rFonts w:hint="eastAsia" w:ascii="宋体" w:hAnsi="宋体" w:cs="宋体"/>
                <w:color w:val="auto"/>
                <w:szCs w:val="21"/>
                <w:highlight w:val="none"/>
              </w:rPr>
              <w:t>履约保证金指定账户：</w:t>
            </w:r>
          </w:p>
          <w:p w14:paraId="3AC5330D">
            <w:pPr>
              <w:snapToGrid w:val="0"/>
              <w:spacing w:line="340" w:lineRule="exact"/>
              <w:rPr>
                <w:rFonts w:ascii="宋体" w:hAnsi="宋体" w:cs="宋体"/>
                <w:color w:val="auto"/>
                <w:szCs w:val="21"/>
                <w:highlight w:val="none"/>
              </w:rPr>
            </w:pPr>
            <w:r>
              <w:rPr>
                <w:rFonts w:hint="eastAsia" w:ascii="宋体" w:hAnsi="宋体" w:cs="宋体"/>
                <w:color w:val="auto"/>
                <w:szCs w:val="21"/>
                <w:highlight w:val="none"/>
              </w:rPr>
              <w:t>开户名称：桂林电子科技大学</w:t>
            </w:r>
          </w:p>
          <w:p w14:paraId="47EBF247">
            <w:pPr>
              <w:snapToGrid w:val="0"/>
              <w:spacing w:line="340" w:lineRule="exact"/>
              <w:rPr>
                <w:rFonts w:ascii="宋体" w:hAnsi="宋体" w:cs="宋体"/>
                <w:color w:val="auto"/>
                <w:szCs w:val="21"/>
                <w:highlight w:val="none"/>
              </w:rPr>
            </w:pPr>
            <w:r>
              <w:rPr>
                <w:rFonts w:hint="eastAsia" w:ascii="宋体" w:hAnsi="宋体" w:cs="宋体"/>
                <w:color w:val="auto"/>
                <w:szCs w:val="21"/>
                <w:highlight w:val="none"/>
              </w:rPr>
              <w:t>开户银行：桂林市工行屏风支行</w:t>
            </w:r>
          </w:p>
          <w:p w14:paraId="79D393D4">
            <w:pPr>
              <w:snapToGrid w:val="0"/>
              <w:spacing w:line="340" w:lineRule="exact"/>
              <w:rPr>
                <w:rFonts w:ascii="宋体" w:hAnsi="宋体" w:cs="宋体"/>
                <w:color w:val="auto"/>
                <w:szCs w:val="21"/>
                <w:highlight w:val="none"/>
              </w:rPr>
            </w:pPr>
            <w:r>
              <w:rPr>
                <w:rFonts w:hint="eastAsia" w:ascii="宋体" w:hAnsi="宋体" w:cs="宋体"/>
                <w:color w:val="auto"/>
                <w:szCs w:val="21"/>
                <w:highlight w:val="none"/>
              </w:rPr>
              <w:t>银行账号：2103 2152 0924 9017 694</w:t>
            </w:r>
          </w:p>
          <w:p w14:paraId="3CDC5F2D">
            <w:pPr>
              <w:spacing w:line="340" w:lineRule="exact"/>
              <w:contextualSpacing/>
              <w:rPr>
                <w:rFonts w:ascii="宋体" w:hAnsi="宋体" w:cs="宋体"/>
                <w:b/>
                <w:color w:val="auto"/>
                <w:szCs w:val="21"/>
                <w:highlight w:val="none"/>
              </w:rPr>
            </w:pPr>
            <w:r>
              <w:rPr>
                <w:rFonts w:hint="eastAsia" w:ascii="宋体" w:hAnsi="宋体" w:cs="宋体"/>
                <w:b/>
                <w:color w:val="auto"/>
                <w:szCs w:val="21"/>
                <w:highlight w:val="none"/>
              </w:rPr>
              <w:t>注：</w:t>
            </w:r>
          </w:p>
          <w:p w14:paraId="264B7448">
            <w:pPr>
              <w:spacing w:line="340" w:lineRule="exact"/>
              <w:contextualSpacing/>
              <w:rPr>
                <w:rFonts w:ascii="宋体" w:hAnsi="宋体"/>
                <w:b/>
                <w:color w:val="auto"/>
                <w:szCs w:val="21"/>
                <w:highlight w:val="none"/>
              </w:rPr>
            </w:pPr>
            <w:r>
              <w:rPr>
                <w:rFonts w:hint="eastAsia" w:ascii="宋体" w:hAnsi="宋体"/>
                <w:b/>
                <w:color w:val="auto"/>
                <w:szCs w:val="21"/>
                <w:highlight w:val="none"/>
              </w:rPr>
              <w:t>（1）履约保证金不足额缴纳的（包含保函额度不足的），或者不按规定提交方式提交的，或者</w:t>
            </w:r>
            <w:r>
              <w:rPr>
                <w:rFonts w:ascii="宋体" w:hAnsi="宋体"/>
                <w:b/>
                <w:color w:val="auto"/>
                <w:szCs w:val="21"/>
                <w:highlight w:val="none"/>
              </w:rPr>
              <w:t>未在规定</w:t>
            </w:r>
            <w:r>
              <w:rPr>
                <w:rFonts w:hint="eastAsia" w:ascii="宋体" w:hAnsi="宋体"/>
                <w:b/>
                <w:color w:val="auto"/>
                <w:szCs w:val="21"/>
                <w:highlight w:val="none"/>
              </w:rPr>
              <w:t>缴纳期限缴纳</w:t>
            </w:r>
            <w:r>
              <w:rPr>
                <w:rFonts w:ascii="宋体" w:hAnsi="宋体"/>
                <w:b/>
                <w:color w:val="auto"/>
                <w:szCs w:val="21"/>
                <w:highlight w:val="none"/>
              </w:rPr>
              <w:t>的，</w:t>
            </w:r>
            <w:r>
              <w:rPr>
                <w:rFonts w:hint="eastAsia" w:ascii="宋体" w:hAnsi="宋体"/>
                <w:b/>
                <w:color w:val="auto"/>
                <w:szCs w:val="21"/>
                <w:highlight w:val="none"/>
              </w:rPr>
              <w:t>或者保函有效期低于合同履行期限（即合同中规定的当事人履行自己的义务，如交付标的物、价款或者报酬，履行劳务、完成工作的时间界限）的，不予签订合同。</w:t>
            </w:r>
          </w:p>
          <w:p w14:paraId="2444C86E">
            <w:pPr>
              <w:spacing w:line="340" w:lineRule="exact"/>
              <w:contextualSpacing/>
              <w:rPr>
                <w:rFonts w:ascii="宋体" w:hAnsi="宋体" w:cs="宋体"/>
                <w:color w:val="auto"/>
                <w:szCs w:val="21"/>
                <w:highlight w:val="none"/>
              </w:rPr>
            </w:pPr>
            <w:r>
              <w:rPr>
                <w:rFonts w:hint="eastAsia" w:ascii="宋体" w:hAnsi="宋体" w:cs="宋体"/>
                <w:b/>
                <w:color w:val="auto"/>
                <w:szCs w:val="21"/>
                <w:highlight w:val="none"/>
              </w:rPr>
              <w:t>（2）供应商如为联合体时，由联合体任意一方按规定提交的履约保证金，视为有效履约保证金。</w:t>
            </w:r>
          </w:p>
        </w:tc>
      </w:tr>
      <w:tr w14:paraId="62003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162EA1D">
            <w:pPr>
              <w:spacing w:line="360" w:lineRule="exact"/>
              <w:jc w:val="center"/>
              <w:rPr>
                <w:rFonts w:ascii="宋体" w:hAnsi="宋体" w:cs="宋体"/>
                <w:color w:val="auto"/>
                <w:szCs w:val="21"/>
                <w:highlight w:val="none"/>
              </w:rPr>
            </w:pPr>
            <w:r>
              <w:rPr>
                <w:rFonts w:ascii="宋体" w:hAnsi="宋体" w:cs="宋体"/>
                <w:color w:val="auto"/>
                <w:szCs w:val="21"/>
                <w:highlight w:val="none"/>
              </w:rPr>
              <w:t>29.2</w:t>
            </w:r>
          </w:p>
        </w:tc>
        <w:tc>
          <w:tcPr>
            <w:tcW w:w="7912" w:type="dxa"/>
            <w:vAlign w:val="center"/>
          </w:tcPr>
          <w:p w14:paraId="39A599C5">
            <w:pPr>
              <w:autoSpaceDE w:val="0"/>
              <w:autoSpaceDN w:val="0"/>
              <w:snapToGrid w:val="0"/>
              <w:spacing w:line="340" w:lineRule="exact"/>
              <w:textAlignment w:val="bottom"/>
              <w:rPr>
                <w:rFonts w:ascii="宋体" w:hAnsi="宋体"/>
                <w:color w:val="auto"/>
                <w:szCs w:val="21"/>
                <w:highlight w:val="none"/>
              </w:rPr>
            </w:pPr>
            <w:r>
              <w:rPr>
                <w:rFonts w:hint="eastAsia" w:ascii="宋体" w:hAnsi="宋体"/>
                <w:color w:val="auto"/>
                <w:szCs w:val="21"/>
                <w:highlight w:val="none"/>
              </w:rPr>
              <w:t xml:space="preserve">签订合同携带的证明材料： </w:t>
            </w:r>
          </w:p>
          <w:p w14:paraId="5DE24E9B">
            <w:pPr>
              <w:autoSpaceDE w:val="0"/>
              <w:autoSpaceDN w:val="0"/>
              <w:snapToGrid w:val="0"/>
              <w:spacing w:line="340" w:lineRule="exact"/>
              <w:textAlignment w:val="bottom"/>
              <w:rPr>
                <w:rFonts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0DDBC98E">
            <w:pPr>
              <w:snapToGrid w:val="0"/>
              <w:spacing w:line="340" w:lineRule="exact"/>
              <w:rPr>
                <w:rFonts w:ascii="宋体" w:hAnsi="宋体" w:cs="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6578D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AEE2813">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1.2</w:t>
            </w:r>
          </w:p>
        </w:tc>
        <w:tc>
          <w:tcPr>
            <w:tcW w:w="7912" w:type="dxa"/>
            <w:vAlign w:val="center"/>
          </w:tcPr>
          <w:p w14:paraId="0CDECCB7">
            <w:pPr>
              <w:snapToGrid w:val="0"/>
              <w:spacing w:line="340" w:lineRule="exact"/>
              <w:rPr>
                <w:rFonts w:ascii="宋体" w:hAnsi="宋体" w:cs="宋体"/>
                <w:color w:val="auto"/>
                <w:szCs w:val="21"/>
                <w:highlight w:val="none"/>
              </w:rPr>
            </w:pPr>
            <w:r>
              <w:rPr>
                <w:rFonts w:hint="eastAsia" w:ascii="宋体" w:hAnsi="宋体" w:cs="宋体"/>
                <w:color w:val="auto"/>
                <w:szCs w:val="21"/>
                <w:highlight w:val="none"/>
              </w:rPr>
              <w:t>接收质疑函方式：以书面形式。</w:t>
            </w:r>
          </w:p>
          <w:p w14:paraId="21D526E5">
            <w:pPr>
              <w:pStyle w:val="18"/>
              <w:snapToGrid w:val="0"/>
              <w:spacing w:line="340" w:lineRule="exact"/>
              <w:rPr>
                <w:rFonts w:hAnsi="宋体" w:cs="宋体"/>
                <w:color w:val="auto"/>
                <w:kern w:val="2"/>
                <w:sz w:val="21"/>
                <w:highlight w:val="none"/>
              </w:rPr>
            </w:pPr>
            <w:r>
              <w:rPr>
                <w:rFonts w:hint="eastAsia" w:hAnsi="宋体" w:cs="宋体"/>
                <w:color w:val="auto"/>
                <w:kern w:val="2"/>
                <w:sz w:val="21"/>
                <w:highlight w:val="none"/>
              </w:rPr>
              <w:t>质疑联系部门：云之龙咨询集团有限公司桂林分公司；联系人：李贞；联系电话：</w:t>
            </w:r>
            <w:r>
              <w:rPr>
                <w:rFonts w:hAnsi="宋体" w:cs="宋体"/>
                <w:color w:val="auto"/>
                <w:kern w:val="2"/>
                <w:sz w:val="21"/>
                <w:highlight w:val="none"/>
              </w:rPr>
              <w:t>0773-2887388</w:t>
            </w:r>
            <w:r>
              <w:rPr>
                <w:rFonts w:hint="eastAsia" w:hAnsi="宋体" w:cs="宋体"/>
                <w:color w:val="auto"/>
                <w:kern w:val="2"/>
                <w:sz w:val="21"/>
                <w:highlight w:val="none"/>
              </w:rPr>
              <w:t>、2</w:t>
            </w:r>
            <w:r>
              <w:rPr>
                <w:rFonts w:hAnsi="宋体" w:cs="宋体"/>
                <w:color w:val="auto"/>
                <w:kern w:val="2"/>
                <w:sz w:val="21"/>
                <w:highlight w:val="none"/>
              </w:rPr>
              <w:t>887399</w:t>
            </w:r>
            <w:r>
              <w:rPr>
                <w:rFonts w:hint="eastAsia" w:hAnsi="宋体" w:cs="宋体"/>
                <w:color w:val="auto"/>
                <w:kern w:val="2"/>
                <w:sz w:val="21"/>
                <w:highlight w:val="none"/>
              </w:rPr>
              <w:t>；通讯地址：广西壮族自治区桂林市临桂区西城北路2号耀辉•美好家园2幢12层1号房。</w:t>
            </w:r>
          </w:p>
          <w:p w14:paraId="6777CA3A">
            <w:pPr>
              <w:pStyle w:val="18"/>
              <w:snapToGrid w:val="0"/>
              <w:spacing w:line="340" w:lineRule="exact"/>
              <w:rPr>
                <w:rFonts w:hAnsi="宋体"/>
                <w:color w:val="auto"/>
                <w:sz w:val="21"/>
                <w:highlight w:val="none"/>
              </w:rPr>
            </w:pPr>
            <w:r>
              <w:rPr>
                <w:rFonts w:hint="eastAsia" w:hAnsi="宋体" w:cs="宋体"/>
                <w:color w:val="auto"/>
                <w:kern w:val="2"/>
                <w:sz w:val="21"/>
                <w:highlight w:val="none"/>
              </w:rPr>
              <w:t>业务时间：工作日每天上午8时</w:t>
            </w:r>
            <w:r>
              <w:rPr>
                <w:rFonts w:hAnsi="宋体" w:cs="宋体"/>
                <w:color w:val="auto"/>
                <w:kern w:val="2"/>
                <w:sz w:val="21"/>
                <w:highlight w:val="none"/>
              </w:rPr>
              <w:t>00</w:t>
            </w:r>
            <w:r>
              <w:rPr>
                <w:rFonts w:hint="eastAsia" w:hAnsi="宋体" w:cs="宋体"/>
                <w:color w:val="auto"/>
                <w:kern w:val="2"/>
                <w:sz w:val="21"/>
                <w:highlight w:val="none"/>
              </w:rPr>
              <w:t>分到</w:t>
            </w:r>
            <w:r>
              <w:rPr>
                <w:rFonts w:hAnsi="宋体" w:cs="宋体"/>
                <w:color w:val="auto"/>
                <w:kern w:val="2"/>
                <w:sz w:val="21"/>
                <w:highlight w:val="none"/>
              </w:rPr>
              <w:t>12</w:t>
            </w:r>
            <w:r>
              <w:rPr>
                <w:rFonts w:hint="eastAsia" w:hAnsi="宋体" w:cs="宋体"/>
                <w:color w:val="auto"/>
                <w:kern w:val="2"/>
                <w:sz w:val="21"/>
                <w:highlight w:val="none"/>
              </w:rPr>
              <w:t>时</w:t>
            </w:r>
            <w:r>
              <w:rPr>
                <w:rFonts w:hAnsi="宋体" w:cs="宋体"/>
                <w:color w:val="auto"/>
                <w:kern w:val="2"/>
                <w:sz w:val="21"/>
                <w:highlight w:val="none"/>
              </w:rPr>
              <w:t>00</w:t>
            </w:r>
            <w:r>
              <w:rPr>
                <w:rFonts w:hint="eastAsia" w:hAnsi="宋体" w:cs="宋体"/>
                <w:color w:val="auto"/>
                <w:kern w:val="2"/>
                <w:sz w:val="21"/>
                <w:highlight w:val="none"/>
              </w:rPr>
              <w:t>分，下午3时</w:t>
            </w:r>
            <w:r>
              <w:rPr>
                <w:rFonts w:hAnsi="宋体" w:cs="宋体"/>
                <w:color w:val="auto"/>
                <w:kern w:val="2"/>
                <w:sz w:val="21"/>
                <w:highlight w:val="none"/>
              </w:rPr>
              <w:t>00</w:t>
            </w:r>
            <w:r>
              <w:rPr>
                <w:rFonts w:hint="eastAsia" w:hAnsi="宋体" w:cs="宋体"/>
                <w:color w:val="auto"/>
                <w:kern w:val="2"/>
                <w:sz w:val="21"/>
                <w:highlight w:val="none"/>
              </w:rPr>
              <w:t>分到6时</w:t>
            </w:r>
            <w:r>
              <w:rPr>
                <w:rFonts w:hAnsi="宋体" w:cs="宋体"/>
                <w:color w:val="auto"/>
                <w:kern w:val="2"/>
                <w:sz w:val="21"/>
                <w:highlight w:val="none"/>
              </w:rPr>
              <w:t>00</w:t>
            </w:r>
            <w:r>
              <w:rPr>
                <w:rFonts w:hint="eastAsia" w:hAnsi="宋体" w:cs="宋体"/>
                <w:color w:val="auto"/>
                <w:kern w:val="2"/>
                <w:sz w:val="21"/>
                <w:highlight w:val="none"/>
              </w:rPr>
              <w:t>分（北京时间，双休日和法定节假日不办理业务）。</w:t>
            </w:r>
          </w:p>
        </w:tc>
      </w:tr>
      <w:tr w14:paraId="00DFD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C85D323">
            <w:pPr>
              <w:spacing w:line="360" w:lineRule="exact"/>
              <w:jc w:val="center"/>
              <w:rPr>
                <w:rFonts w:ascii="宋体" w:hAnsi="宋体" w:cs="宋体"/>
                <w:color w:val="auto"/>
                <w:szCs w:val="21"/>
                <w:highlight w:val="none"/>
              </w:rPr>
            </w:pPr>
            <w:r>
              <w:rPr>
                <w:rFonts w:ascii="宋体" w:hAnsi="宋体" w:cs="宋体"/>
                <w:color w:val="auto"/>
                <w:szCs w:val="21"/>
                <w:highlight w:val="none"/>
              </w:rPr>
              <w:t>32.1</w:t>
            </w:r>
          </w:p>
        </w:tc>
        <w:tc>
          <w:tcPr>
            <w:tcW w:w="7912" w:type="dxa"/>
            <w:vAlign w:val="center"/>
          </w:tcPr>
          <w:p w14:paraId="3C7438C7">
            <w:pPr>
              <w:pStyle w:val="18"/>
              <w:snapToGrid w:val="0"/>
              <w:spacing w:line="340" w:lineRule="exact"/>
              <w:rPr>
                <w:rFonts w:hAnsi="宋体" w:cs="宋体"/>
                <w:color w:val="auto"/>
                <w:sz w:val="21"/>
                <w:highlight w:val="none"/>
              </w:rPr>
            </w:pPr>
            <w:r>
              <w:rPr>
                <w:rFonts w:hint="eastAsia" w:hAnsi="宋体" w:cs="宋体"/>
                <w:color w:val="auto"/>
                <w:sz w:val="21"/>
                <w:highlight w:val="none"/>
              </w:rPr>
              <w:t>1.采购代理服务费支付方式：</w:t>
            </w:r>
          </w:p>
          <w:p w14:paraId="260B8E75">
            <w:pPr>
              <w:pStyle w:val="18"/>
              <w:snapToGrid w:val="0"/>
              <w:spacing w:line="340" w:lineRule="exact"/>
              <w:rPr>
                <w:rFonts w:hAnsi="宋体" w:cs="宋体"/>
                <w:color w:val="auto"/>
                <w:sz w:val="21"/>
                <w:highlight w:val="none"/>
              </w:rPr>
            </w:pPr>
            <w:r>
              <w:rPr>
                <w:rFonts w:ascii="Segoe UI Symbol" w:hAnsi="Segoe UI Symbol" w:cs="Segoe UI Symbol"/>
                <w:color w:val="auto"/>
                <w:sz w:val="21"/>
                <w:highlight w:val="none"/>
              </w:rPr>
              <w:t>☑</w:t>
            </w:r>
            <w:r>
              <w:rPr>
                <w:rFonts w:hint="eastAsia" w:hAnsi="宋体" w:cs="宋体"/>
                <w:color w:val="auto"/>
                <w:sz w:val="21"/>
                <w:highlight w:val="none"/>
              </w:rPr>
              <w:t>采购代理服务费由成交供应商于获取成交通知书前向采购代理机构一次性付清。</w:t>
            </w:r>
          </w:p>
          <w:p w14:paraId="1DA8994F">
            <w:pPr>
              <w:pStyle w:val="18"/>
              <w:snapToGrid w:val="0"/>
              <w:spacing w:line="340" w:lineRule="exact"/>
              <w:rPr>
                <w:rFonts w:hAnsi="宋体" w:cs="宋体"/>
                <w:color w:val="auto"/>
                <w:sz w:val="21"/>
                <w:highlight w:val="none"/>
              </w:rPr>
            </w:pPr>
            <w:r>
              <w:rPr>
                <w:rFonts w:hint="eastAsia" w:hAnsi="宋体" w:cs="宋体"/>
                <w:color w:val="auto"/>
                <w:sz w:val="21"/>
                <w:highlight w:val="none"/>
              </w:rPr>
              <w:t>□采购人支付。</w:t>
            </w:r>
          </w:p>
          <w:p w14:paraId="2C84477B">
            <w:pPr>
              <w:pStyle w:val="18"/>
              <w:snapToGrid w:val="0"/>
              <w:spacing w:line="340" w:lineRule="exact"/>
              <w:rPr>
                <w:rFonts w:hAnsi="宋体" w:cs="宋体"/>
                <w:color w:val="auto"/>
                <w:sz w:val="21"/>
                <w:highlight w:val="none"/>
              </w:rPr>
            </w:pPr>
            <w:r>
              <w:rPr>
                <w:rFonts w:hint="eastAsia" w:hAnsi="宋体" w:cs="宋体"/>
                <w:color w:val="auto"/>
                <w:sz w:val="21"/>
                <w:highlight w:val="none"/>
              </w:rPr>
              <w:t>2.采购代理服务费收取标准：</w:t>
            </w:r>
          </w:p>
          <w:p w14:paraId="0A0011A0">
            <w:pPr>
              <w:pStyle w:val="18"/>
              <w:snapToGrid w:val="0"/>
              <w:spacing w:line="340" w:lineRule="exact"/>
              <w:rPr>
                <w:rFonts w:hint="eastAsia" w:hAnsi="宋体" w:cs="宋体"/>
                <w:color w:val="auto"/>
                <w:sz w:val="21"/>
                <w:highlight w:val="none"/>
              </w:rPr>
            </w:pPr>
            <w:r>
              <w:rPr>
                <w:rFonts w:ascii="Segoe UI Symbol" w:hAnsi="Segoe UI Symbol" w:cs="Segoe UI Symbol"/>
                <w:color w:val="auto"/>
                <w:sz w:val="21"/>
                <w:highlight w:val="none"/>
              </w:rPr>
              <w:t>☑</w:t>
            </w:r>
            <w:r>
              <w:rPr>
                <w:rFonts w:hint="eastAsia" w:hAnsi="宋体" w:cs="宋体"/>
                <w:color w:val="auto"/>
                <w:sz w:val="21"/>
                <w:highlight w:val="none"/>
              </w:rPr>
              <w:t>本项目采购代理服务费按本项目成交金额的0.7%收取（不足人民币5000元的，按5000元计）。</w:t>
            </w:r>
          </w:p>
          <w:p w14:paraId="6D0BA731">
            <w:pPr>
              <w:pStyle w:val="18"/>
              <w:snapToGrid w:val="0"/>
              <w:spacing w:line="340" w:lineRule="exact"/>
              <w:rPr>
                <w:rFonts w:hAnsi="宋体" w:cs="宋体"/>
                <w:color w:val="auto"/>
                <w:sz w:val="21"/>
                <w:highlight w:val="none"/>
              </w:rPr>
            </w:pPr>
            <w:r>
              <w:rPr>
                <w:rFonts w:hint="eastAsia" w:hAnsi="宋体" w:cs="宋体"/>
                <w:color w:val="auto"/>
                <w:sz w:val="21"/>
                <w:highlight w:val="none"/>
              </w:rPr>
              <w:t>□固定采购代理收费。</w:t>
            </w:r>
          </w:p>
          <w:p w14:paraId="1CC092EE">
            <w:pPr>
              <w:pStyle w:val="18"/>
              <w:snapToGrid w:val="0"/>
              <w:spacing w:line="340" w:lineRule="exact"/>
              <w:rPr>
                <w:rFonts w:hAnsi="宋体" w:cs="宋体"/>
                <w:color w:val="auto"/>
                <w:sz w:val="21"/>
                <w:highlight w:val="none"/>
              </w:rPr>
            </w:pPr>
            <w:r>
              <w:rPr>
                <w:rFonts w:hint="eastAsia" w:hAnsi="宋体" w:cs="宋体"/>
                <w:color w:val="auto"/>
                <w:sz w:val="21"/>
                <w:highlight w:val="none"/>
              </w:rPr>
              <w:t>3.采购代理费收取银行账户</w:t>
            </w:r>
          </w:p>
          <w:p w14:paraId="483A19D3">
            <w:pPr>
              <w:pStyle w:val="18"/>
              <w:snapToGrid w:val="0"/>
              <w:spacing w:line="340" w:lineRule="exact"/>
              <w:rPr>
                <w:rFonts w:hAnsi="宋体" w:cs="宋体"/>
                <w:color w:val="auto"/>
                <w:sz w:val="21"/>
                <w:highlight w:val="none"/>
              </w:rPr>
            </w:pPr>
            <w:r>
              <w:rPr>
                <w:rFonts w:hint="eastAsia" w:hAnsi="宋体" w:cs="宋体"/>
                <w:color w:val="auto"/>
                <w:sz w:val="21"/>
                <w:highlight w:val="none"/>
              </w:rPr>
              <w:t>开户名称：云之龙咨询集团有限公司桂林分公司；</w:t>
            </w:r>
          </w:p>
          <w:p w14:paraId="6A6018F0">
            <w:pPr>
              <w:pStyle w:val="18"/>
              <w:snapToGrid w:val="0"/>
              <w:spacing w:line="340" w:lineRule="exact"/>
              <w:rPr>
                <w:rFonts w:hAnsi="宋体" w:cs="宋体"/>
                <w:color w:val="auto"/>
                <w:sz w:val="21"/>
                <w:highlight w:val="none"/>
              </w:rPr>
            </w:pPr>
            <w:r>
              <w:rPr>
                <w:rFonts w:hint="eastAsia" w:hAnsi="宋体" w:cs="宋体"/>
                <w:color w:val="auto"/>
                <w:sz w:val="21"/>
                <w:highlight w:val="none"/>
              </w:rPr>
              <w:t>银行账号：</w:t>
            </w:r>
            <w:r>
              <w:rPr>
                <w:rFonts w:hAnsi="宋体" w:cs="宋体"/>
                <w:color w:val="auto"/>
                <w:sz w:val="21"/>
                <w:highlight w:val="none"/>
              </w:rPr>
              <w:t>8113001014300158041</w:t>
            </w:r>
            <w:r>
              <w:rPr>
                <w:rFonts w:hint="eastAsia" w:hAnsi="宋体" w:cs="宋体"/>
                <w:color w:val="auto"/>
                <w:sz w:val="21"/>
                <w:highlight w:val="none"/>
              </w:rPr>
              <w:t>；</w:t>
            </w:r>
          </w:p>
          <w:p w14:paraId="4AA55D56">
            <w:pPr>
              <w:pStyle w:val="18"/>
              <w:snapToGrid w:val="0"/>
              <w:spacing w:line="340" w:lineRule="exact"/>
              <w:rPr>
                <w:rFonts w:hAnsi="宋体" w:cs="宋体"/>
                <w:color w:val="auto"/>
                <w:sz w:val="21"/>
                <w:highlight w:val="none"/>
              </w:rPr>
            </w:pPr>
            <w:r>
              <w:rPr>
                <w:rFonts w:hint="eastAsia" w:hAnsi="宋体" w:cs="宋体"/>
                <w:color w:val="auto"/>
                <w:sz w:val="21"/>
                <w:highlight w:val="none"/>
              </w:rPr>
              <w:t>开户银行：中信银行股份有限公司南宁东葛支行。</w:t>
            </w:r>
          </w:p>
        </w:tc>
      </w:tr>
      <w:tr w14:paraId="4B397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C1ADD09">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3.1</w:t>
            </w:r>
          </w:p>
        </w:tc>
        <w:tc>
          <w:tcPr>
            <w:tcW w:w="7912" w:type="dxa"/>
            <w:vAlign w:val="center"/>
          </w:tcPr>
          <w:p w14:paraId="50EDFB21">
            <w:pPr>
              <w:pStyle w:val="18"/>
              <w:snapToGrid w:val="0"/>
              <w:spacing w:line="340" w:lineRule="exact"/>
              <w:rPr>
                <w:rFonts w:hAnsi="宋体" w:cs="宋体"/>
                <w:color w:val="auto"/>
                <w:sz w:val="21"/>
                <w:highlight w:val="none"/>
              </w:rPr>
            </w:pPr>
            <w:r>
              <w:rPr>
                <w:rFonts w:hint="eastAsia" w:hAnsi="宋体" w:cs="宋体"/>
                <w:color w:val="auto"/>
                <w:sz w:val="21"/>
                <w:highlight w:val="none"/>
              </w:rPr>
              <w:t>解释：</w:t>
            </w:r>
            <w:r>
              <w:rPr>
                <w:rFonts w:hAnsi="宋体" w:cs="宋体"/>
                <w:color w:val="auto"/>
                <w:sz w:val="21"/>
                <w:highlight w:val="none"/>
              </w:rPr>
              <w:t>构成本</w:t>
            </w:r>
            <w:r>
              <w:rPr>
                <w:rFonts w:hint="eastAsia" w:hAnsi="宋体" w:cs="宋体"/>
                <w:color w:val="auto"/>
                <w:sz w:val="21"/>
                <w:highlight w:val="none"/>
              </w:rPr>
              <w:t>磋商文件</w:t>
            </w:r>
            <w:r>
              <w:rPr>
                <w:rFonts w:hAnsi="宋体" w:cs="宋体"/>
                <w:color w:val="auto"/>
                <w:sz w:val="21"/>
                <w:highlight w:val="none"/>
              </w:rPr>
              <w:t>的各个组成文件应互为解释，互为说明；除</w:t>
            </w:r>
            <w:r>
              <w:rPr>
                <w:rFonts w:hint="eastAsia" w:hAnsi="宋体" w:cs="宋体"/>
                <w:color w:val="auto"/>
                <w:sz w:val="21"/>
                <w:highlight w:val="none"/>
              </w:rPr>
              <w:t>磋商文件</w:t>
            </w:r>
            <w:r>
              <w:rPr>
                <w:rFonts w:hAnsi="宋体" w:cs="宋体"/>
                <w:color w:val="auto"/>
                <w:sz w:val="21"/>
                <w:highlight w:val="none"/>
              </w:rPr>
              <w:t>中有特别规定外，仅适用于</w:t>
            </w:r>
            <w:r>
              <w:rPr>
                <w:rFonts w:hint="eastAsia" w:hAnsi="宋体" w:cs="宋体"/>
                <w:color w:val="auto"/>
                <w:sz w:val="21"/>
                <w:highlight w:val="none"/>
              </w:rPr>
              <w:t>竞标</w:t>
            </w:r>
            <w:r>
              <w:rPr>
                <w:rFonts w:hAnsi="宋体" w:cs="宋体"/>
                <w:color w:val="auto"/>
                <w:sz w:val="21"/>
                <w:highlight w:val="none"/>
              </w:rPr>
              <w:t>阶段的规定，按</w:t>
            </w:r>
            <w:r>
              <w:rPr>
                <w:rFonts w:hint="eastAsia" w:hAnsi="宋体" w:cs="宋体"/>
                <w:color w:val="auto"/>
                <w:sz w:val="21"/>
                <w:highlight w:val="none"/>
              </w:rPr>
              <w:t>更正公告（澄清公告）</w:t>
            </w:r>
            <w:r>
              <w:rPr>
                <w:rFonts w:hAnsi="宋体" w:cs="宋体"/>
                <w:color w:val="auto"/>
                <w:sz w:val="21"/>
                <w:highlight w:val="none"/>
              </w:rPr>
              <w:t>、</w:t>
            </w:r>
            <w:r>
              <w:rPr>
                <w:rFonts w:hint="eastAsia" w:hAnsi="宋体" w:cs="宋体"/>
                <w:color w:val="auto"/>
                <w:sz w:val="21"/>
                <w:highlight w:val="none"/>
              </w:rPr>
              <w:t>竞争性磋商</w:t>
            </w:r>
            <w:r>
              <w:rPr>
                <w:rFonts w:hAnsi="宋体" w:cs="宋体"/>
                <w:color w:val="auto"/>
                <w:sz w:val="21"/>
                <w:highlight w:val="none"/>
              </w:rPr>
              <w:t>公告、</w:t>
            </w:r>
            <w:r>
              <w:rPr>
                <w:rFonts w:hint="eastAsia" w:hAnsi="宋体" w:cs="宋体"/>
                <w:color w:val="auto"/>
                <w:sz w:val="21"/>
                <w:highlight w:val="none"/>
              </w:rPr>
              <w:t>供应商</w:t>
            </w:r>
            <w:r>
              <w:rPr>
                <w:rFonts w:hAnsi="宋体" w:cs="宋体"/>
                <w:color w:val="auto"/>
                <w:sz w:val="21"/>
                <w:highlight w:val="none"/>
              </w:rPr>
              <w:t>须知</w:t>
            </w:r>
            <w:r>
              <w:rPr>
                <w:rFonts w:hint="eastAsia" w:hAnsi="宋体" w:cs="宋体"/>
                <w:color w:val="auto"/>
                <w:sz w:val="21"/>
                <w:highlight w:val="none"/>
              </w:rPr>
              <w:t>、采购需求</w:t>
            </w:r>
            <w:r>
              <w:rPr>
                <w:rFonts w:hAnsi="宋体" w:cs="宋体"/>
                <w:color w:val="auto"/>
                <w:sz w:val="21"/>
                <w:highlight w:val="none"/>
              </w:rPr>
              <w:t>、</w:t>
            </w:r>
            <w:r>
              <w:rPr>
                <w:rFonts w:hint="eastAsia" w:hAnsi="宋体" w:cs="宋体"/>
                <w:color w:val="auto"/>
                <w:sz w:val="21"/>
                <w:highlight w:val="none"/>
              </w:rPr>
              <w:t>评审程序、评审方法和评审标准</w:t>
            </w:r>
            <w:r>
              <w:rPr>
                <w:rFonts w:hAnsi="宋体" w:cs="宋体"/>
                <w:color w:val="auto"/>
                <w:sz w:val="21"/>
                <w:highlight w:val="none"/>
              </w:rPr>
              <w:t>、</w:t>
            </w:r>
            <w:r>
              <w:rPr>
                <w:rFonts w:hint="eastAsia" w:hAnsi="宋体" w:cs="宋体"/>
                <w:color w:val="auto"/>
                <w:sz w:val="21"/>
                <w:highlight w:val="none"/>
              </w:rPr>
              <w:t>响应</w:t>
            </w:r>
            <w:r>
              <w:rPr>
                <w:rFonts w:hAnsi="宋体" w:cs="宋体"/>
                <w:color w:val="auto"/>
                <w:sz w:val="21"/>
                <w:highlight w:val="none"/>
              </w:rPr>
              <w:t>文件格式</w:t>
            </w:r>
            <w:r>
              <w:rPr>
                <w:rFonts w:hint="eastAsia" w:hAnsi="宋体" w:cs="宋体"/>
                <w:color w:val="auto"/>
                <w:sz w:val="21"/>
                <w:highlight w:val="none"/>
              </w:rPr>
              <w:t>、合同文本</w:t>
            </w:r>
            <w:r>
              <w:rPr>
                <w:rFonts w:hAnsi="宋体" w:cs="宋体"/>
                <w:color w:val="auto"/>
                <w:sz w:val="21"/>
                <w:highlight w:val="none"/>
              </w:rPr>
              <w:t>的先后顺序解释；同一组成文件中就同一事项的规定或者约定不一致的，以编排顺序在后者为准；同一组成文件不同版本之间有不一致的，以形成时间在后者为准；</w:t>
            </w:r>
            <w:r>
              <w:rPr>
                <w:rFonts w:hint="eastAsia" w:hAnsi="宋体" w:cs="宋体"/>
                <w:color w:val="auto"/>
                <w:sz w:val="21"/>
                <w:highlight w:val="none"/>
              </w:rPr>
              <w:t>更正公告（澄清公告）</w:t>
            </w:r>
            <w:r>
              <w:rPr>
                <w:rFonts w:hAnsi="宋体" w:cs="宋体"/>
                <w:color w:val="auto"/>
                <w:sz w:val="21"/>
                <w:highlight w:val="none"/>
              </w:rPr>
              <w:t>与同步更新的</w:t>
            </w:r>
            <w:r>
              <w:rPr>
                <w:rFonts w:hint="eastAsia" w:hAnsi="宋体" w:cs="宋体"/>
                <w:color w:val="auto"/>
                <w:sz w:val="21"/>
                <w:highlight w:val="none"/>
              </w:rPr>
              <w:t>磋商文件</w:t>
            </w:r>
            <w:r>
              <w:rPr>
                <w:rFonts w:hAnsi="宋体" w:cs="宋体"/>
                <w:color w:val="auto"/>
                <w:sz w:val="21"/>
                <w:highlight w:val="none"/>
              </w:rPr>
              <w:t>不一致时以</w:t>
            </w:r>
            <w:r>
              <w:rPr>
                <w:rFonts w:hint="eastAsia" w:hAnsi="宋体" w:cs="宋体"/>
                <w:color w:val="auto"/>
                <w:sz w:val="21"/>
                <w:highlight w:val="none"/>
              </w:rPr>
              <w:t>更正公告（澄清公告）</w:t>
            </w:r>
            <w:r>
              <w:rPr>
                <w:rFonts w:hAnsi="宋体" w:cs="宋体"/>
                <w:color w:val="auto"/>
                <w:sz w:val="21"/>
                <w:highlight w:val="none"/>
              </w:rPr>
              <w:t>为准。按本款前述规定仍不能形成结论的，由</w:t>
            </w:r>
            <w:r>
              <w:rPr>
                <w:rFonts w:hint="eastAsia" w:hAnsi="宋体" w:cs="宋体"/>
                <w:color w:val="auto"/>
                <w:sz w:val="21"/>
                <w:highlight w:val="none"/>
              </w:rPr>
              <w:t>采购</w:t>
            </w:r>
            <w:r>
              <w:rPr>
                <w:rFonts w:hAnsi="宋体" w:cs="宋体"/>
                <w:color w:val="auto"/>
                <w:sz w:val="21"/>
                <w:highlight w:val="none"/>
              </w:rPr>
              <w:t>人</w:t>
            </w:r>
            <w:r>
              <w:rPr>
                <w:rFonts w:hint="eastAsia" w:hAnsi="宋体" w:cs="宋体"/>
                <w:color w:val="auto"/>
                <w:sz w:val="21"/>
                <w:highlight w:val="none"/>
              </w:rPr>
              <w:t>或者采购代理机构</w:t>
            </w:r>
            <w:r>
              <w:rPr>
                <w:rFonts w:hAnsi="宋体" w:cs="宋体"/>
                <w:color w:val="auto"/>
                <w:sz w:val="21"/>
                <w:highlight w:val="none"/>
              </w:rPr>
              <w:t>负责解释。</w:t>
            </w:r>
          </w:p>
        </w:tc>
      </w:tr>
      <w:tr w14:paraId="319D4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37BD673">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3.2</w:t>
            </w:r>
          </w:p>
        </w:tc>
        <w:tc>
          <w:tcPr>
            <w:tcW w:w="7912" w:type="dxa"/>
            <w:vAlign w:val="center"/>
          </w:tcPr>
          <w:p w14:paraId="4C2BA127">
            <w:pPr>
              <w:pStyle w:val="18"/>
              <w:snapToGrid w:val="0"/>
              <w:spacing w:line="340" w:lineRule="exact"/>
              <w:rPr>
                <w:rFonts w:hAnsi="宋体" w:cs="宋体"/>
                <w:color w:val="auto"/>
                <w:sz w:val="21"/>
                <w:highlight w:val="none"/>
              </w:rPr>
            </w:pPr>
            <w:r>
              <w:rPr>
                <w:rFonts w:hint="eastAsia" w:hAnsi="宋体" w:cs="宋体"/>
                <w:color w:val="auto"/>
                <w:sz w:val="21"/>
                <w:highlight w:val="none"/>
              </w:rPr>
              <w:t>1.本磋商文件中描述供应商的“公章”是指根据我国对公章的管理规定，用供应商法定主体行为名称制作的印章，除本磋商文件有特殊规定外，供应商其他形式印章均不能代替公章。</w:t>
            </w:r>
          </w:p>
          <w:p w14:paraId="371D4E34">
            <w:pPr>
              <w:pStyle w:val="18"/>
              <w:snapToGrid w:val="0"/>
              <w:spacing w:line="340" w:lineRule="exact"/>
              <w:rPr>
                <w:rFonts w:hAnsi="宋体" w:cs="宋体"/>
                <w:color w:val="auto"/>
                <w:sz w:val="21"/>
                <w:highlight w:val="none"/>
              </w:rPr>
            </w:pPr>
            <w:r>
              <w:rPr>
                <w:rFonts w:hint="eastAsia" w:hAnsi="宋体" w:cs="宋体"/>
                <w:bCs/>
                <w:color w:val="auto"/>
                <w:sz w:val="21"/>
                <w:highlight w:val="none"/>
              </w:rPr>
              <w:t>2.本磋商文件所称的“</w:t>
            </w:r>
            <w:r>
              <w:rPr>
                <w:rFonts w:hint="eastAsia" w:hAnsi="宋体"/>
                <w:color w:val="auto"/>
                <w:sz w:val="21"/>
                <w:highlight w:val="none"/>
              </w:rPr>
              <w:t>电子签章</w:t>
            </w:r>
            <w:r>
              <w:rPr>
                <w:rFonts w:hint="eastAsia" w:hAnsi="宋体" w:cs="宋体"/>
                <w:bCs/>
                <w:color w:val="auto"/>
                <w:sz w:val="21"/>
                <w:highlight w:val="none"/>
              </w:rPr>
              <w:t>” “电子签名”</w:t>
            </w:r>
            <w:r>
              <w:rPr>
                <w:rFonts w:hint="eastAsia" w:hAnsi="宋体"/>
                <w:color w:val="auto"/>
                <w:sz w:val="21"/>
                <w:highlight w:val="none"/>
              </w:rPr>
              <w:t>，是指经广西政府采购云平台认可的CA认证的电子签名数据为表现形式的印章，可用于签署电子响应文件，电子印章与实物印章具有同等法律效力，不因其采用电子化表现形式而否定其法律效力。</w:t>
            </w:r>
          </w:p>
          <w:p w14:paraId="02671E01">
            <w:pPr>
              <w:pStyle w:val="18"/>
              <w:snapToGrid w:val="0"/>
              <w:spacing w:line="340" w:lineRule="exact"/>
              <w:rPr>
                <w:rFonts w:hAnsi="宋体" w:cs="宋体"/>
                <w:bCs/>
                <w:color w:val="auto"/>
                <w:sz w:val="21"/>
                <w:highlight w:val="none"/>
              </w:rPr>
            </w:pPr>
            <w:r>
              <w:rPr>
                <w:rFonts w:hAnsi="宋体" w:cs="宋体"/>
                <w:color w:val="auto"/>
                <w:sz w:val="21"/>
                <w:highlight w:val="none"/>
              </w:rPr>
              <w:t>3</w:t>
            </w:r>
            <w:r>
              <w:rPr>
                <w:rFonts w:hint="eastAsia" w:hAnsi="宋体" w:cs="宋体"/>
                <w:color w:val="auto"/>
                <w:sz w:val="21"/>
                <w:highlight w:val="none"/>
              </w:rPr>
              <w:t>.供应商为其他组织或者自然人时，本磋商文件规定的法定代表人指负责人或者自然人。本磋商文件所称负责人是指参加竞标的其他组织</w:t>
            </w:r>
            <w:r>
              <w:rPr>
                <w:rFonts w:hint="eastAsia" w:hAnsi="宋体" w:cs="宋体"/>
                <w:bCs/>
                <w:color w:val="auto"/>
                <w:sz w:val="21"/>
                <w:highlight w:val="none"/>
              </w:rPr>
              <w:t>营业执照或者执业许可证等证照上的</w:t>
            </w:r>
            <w:r>
              <w:rPr>
                <w:rFonts w:hint="eastAsia" w:hAnsi="宋体" w:cs="宋体"/>
                <w:color w:val="auto"/>
                <w:sz w:val="21"/>
                <w:highlight w:val="none"/>
              </w:rPr>
              <w:t>负责人，本磋商文件所称自然人指参与竞标的自然人本人，</w:t>
            </w:r>
            <w:r>
              <w:rPr>
                <w:rFonts w:hint="eastAsia" w:hAnsi="宋体" w:cs="宋体"/>
                <w:bCs/>
                <w:color w:val="auto"/>
                <w:sz w:val="21"/>
                <w:highlight w:val="none"/>
              </w:rPr>
              <w:t>且应具备独立承担民事责任能力，自然人应当为年满18岁以上成年人（十六周岁以上的未成年人，以自己的劳动收入为主要生活来源的，视为完全民事行为能力人）。</w:t>
            </w:r>
          </w:p>
          <w:p w14:paraId="0076A5FD">
            <w:pPr>
              <w:pStyle w:val="18"/>
              <w:snapToGrid w:val="0"/>
              <w:spacing w:line="340" w:lineRule="exact"/>
              <w:rPr>
                <w:rFonts w:hAnsi="宋体" w:cs="宋体"/>
                <w:color w:val="auto"/>
                <w:sz w:val="21"/>
                <w:highlight w:val="none"/>
              </w:rPr>
            </w:pPr>
            <w:r>
              <w:rPr>
                <w:rFonts w:hAnsi="宋体" w:cs="宋体"/>
                <w:color w:val="auto"/>
                <w:sz w:val="21"/>
                <w:highlight w:val="none"/>
              </w:rPr>
              <w:t>4.</w:t>
            </w:r>
            <w:r>
              <w:rPr>
                <w:rFonts w:hint="eastAsia" w:hAnsi="宋体" w:cs="宋体"/>
                <w:color w:val="auto"/>
                <w:sz w:val="21"/>
                <w:highlight w:val="none"/>
              </w:rPr>
              <w:t>本磋商文件中描述供应商的“签字”是指供应商的法定代表人或者委托代理人亲自在文件规定签署处亲笔写上个人的名字的行为，私章、签字章、印鉴、影印等其他形式均不能代替亲笔签字。</w:t>
            </w:r>
          </w:p>
          <w:p w14:paraId="4EB8B69A">
            <w:pPr>
              <w:pStyle w:val="18"/>
              <w:snapToGrid w:val="0"/>
              <w:spacing w:line="340" w:lineRule="exact"/>
              <w:rPr>
                <w:rFonts w:hAnsi="宋体" w:cs="宋体"/>
                <w:color w:val="auto"/>
                <w:sz w:val="21"/>
                <w:highlight w:val="none"/>
              </w:rPr>
            </w:pPr>
            <w:r>
              <w:rPr>
                <w:rFonts w:hint="eastAsia" w:hAnsi="宋体" w:cs="宋体"/>
                <w:color w:val="auto"/>
                <w:sz w:val="21"/>
                <w:highlight w:val="none"/>
              </w:rPr>
              <w:t>5</w:t>
            </w:r>
            <w:r>
              <w:rPr>
                <w:rFonts w:hAnsi="宋体" w:cs="宋体"/>
                <w:color w:val="auto"/>
                <w:sz w:val="21"/>
                <w:highlight w:val="none"/>
              </w:rPr>
              <w:t>.</w:t>
            </w:r>
            <w:r>
              <w:rPr>
                <w:rFonts w:hint="eastAsia" w:hAnsi="宋体" w:cs="宋体"/>
                <w:color w:val="auto"/>
                <w:sz w:val="21"/>
                <w:highlight w:val="none"/>
              </w:rPr>
              <w:t>本磋商文件所称的“以上”“以下”“以内”“届满”，包括本数；所称的“不满”“超过”“以外”，不包括本数。</w:t>
            </w:r>
          </w:p>
        </w:tc>
      </w:tr>
    </w:tbl>
    <w:p w14:paraId="5B09064D">
      <w:pPr>
        <w:spacing w:line="360" w:lineRule="exact"/>
        <w:jc w:val="center"/>
        <w:rPr>
          <w:rFonts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供应商须知正文</w:t>
      </w:r>
    </w:p>
    <w:p w14:paraId="6C5910A4">
      <w:pPr>
        <w:spacing w:line="400" w:lineRule="exact"/>
        <w:jc w:val="center"/>
        <w:rPr>
          <w:rFonts w:ascii="宋体" w:hAnsi="宋体"/>
          <w:b/>
          <w:color w:val="auto"/>
          <w:sz w:val="32"/>
          <w:szCs w:val="32"/>
          <w:highlight w:val="none"/>
        </w:rPr>
      </w:pPr>
    </w:p>
    <w:p w14:paraId="6356B8BA">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一、总则</w:t>
      </w:r>
    </w:p>
    <w:p w14:paraId="6CB6CD46">
      <w:pPr>
        <w:spacing w:line="400" w:lineRule="exact"/>
        <w:rPr>
          <w:rFonts w:ascii="宋体" w:hAnsi="宋体"/>
          <w:color w:val="auto"/>
          <w:szCs w:val="21"/>
          <w:highlight w:val="none"/>
        </w:rPr>
      </w:pPr>
    </w:p>
    <w:p w14:paraId="36B328AE">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1.适用范围</w:t>
      </w:r>
    </w:p>
    <w:p w14:paraId="56843E3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w:t>
      </w:r>
      <w:r>
        <w:rPr>
          <w:rFonts w:hint="eastAsia" w:ascii="宋体" w:hAnsi="宋体"/>
          <w:color w:val="auto"/>
          <w:szCs w:val="21"/>
          <w:highlight w:val="none"/>
        </w:rPr>
        <w:t>《政府采购竞争性磋商采购方式管理暂行办法》《财政部关于政府采购竞争性磋商采购方式管理暂行办法有关问题的补充通知》</w:t>
      </w:r>
      <w:r>
        <w:rPr>
          <w:rFonts w:hint="eastAsia" w:ascii="宋体" w:hAnsi="宋体" w:cs="宋体"/>
          <w:color w:val="auto"/>
          <w:szCs w:val="21"/>
          <w:highlight w:val="none"/>
        </w:rPr>
        <w:t>及本项目本级和上级财政部门政府采购有关规定的约束和保护。</w:t>
      </w:r>
    </w:p>
    <w:p w14:paraId="515E8C4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5F53EDA0">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2.定义</w:t>
      </w:r>
    </w:p>
    <w:p w14:paraId="2A437DF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501FD91E">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29238EA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5C780BB4">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2.4“服务”是指除货物和工程以外的其他政府采购对象。</w:t>
      </w:r>
    </w:p>
    <w:p w14:paraId="6A9933D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r>
        <w:rPr>
          <w:rFonts w:hint="eastAsia" w:ascii="宋体" w:hAnsi="宋体" w:cs="宋体"/>
          <w:color w:val="auto"/>
          <w:szCs w:val="21"/>
          <w:highlight w:val="none"/>
        </w:rPr>
        <w:t>“竞标”是指供应商按照本项目竞争性磋商公告规定的方式获取磋商文件、提交响应文件并希望获得标的的行为。</w:t>
      </w:r>
    </w:p>
    <w:p w14:paraId="3C7A6D04">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2.6“书面形式”是指合同书、信件和数据电文（包括电报、电传、传真、电子数据交换和电子邮件）等可以有形地表现所载内容的形式。</w:t>
      </w:r>
    </w:p>
    <w:p w14:paraId="1CD3BF27">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2.7“响应文件”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2D10A4FC">
      <w:pPr>
        <w:spacing w:line="360" w:lineRule="auto"/>
        <w:ind w:firstLine="422" w:firstLineChars="200"/>
        <w:contextualSpacing/>
        <w:rPr>
          <w:rFonts w:ascii="宋体" w:hAnsi="宋体" w:cs="宋体"/>
          <w:b/>
          <w:color w:val="auto"/>
          <w:szCs w:val="21"/>
          <w:highlight w:val="none"/>
        </w:rPr>
      </w:pPr>
      <w:r>
        <w:rPr>
          <w:rFonts w:hint="eastAsia" w:ascii="宋体" w:hAnsi="宋体" w:cs="宋体"/>
          <w:b/>
          <w:color w:val="auto"/>
          <w:szCs w:val="21"/>
          <w:highlight w:val="none"/>
        </w:rPr>
        <w:t>2.8“实质性要求”是指磋商文件中已经指明不满足则响应文件按无效响应处理的条款，或者不能负偏离的条款，或者采购需求中带“▲”的条款。若有一项负偏离，响应文件按无效处理。</w:t>
      </w:r>
      <w:r>
        <w:rPr>
          <w:rFonts w:hint="eastAsia" w:ascii="宋体" w:hAnsi="宋体"/>
          <w:b/>
          <w:bCs/>
          <w:color w:val="auto"/>
          <w:highlight w:val="none"/>
        </w:rPr>
        <w:t>本项目“采购需求”的“技术要求”中未标注 “▲”号的技术要求允许发生负偏离的条款数累计最多为15项，未标注 “▲”号的技术参数要求竞标响应时存在负偏离数≥16项时，响应文件按无效处理。</w:t>
      </w:r>
    </w:p>
    <w:p w14:paraId="5B67D48D">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2.9“正偏离”，是指响应文件对磋商文件“采购需求”中有关条款作出的响应优于条款要求并有利于采购人的情形。</w:t>
      </w:r>
    </w:p>
    <w:p w14:paraId="3002CA8F">
      <w:pPr>
        <w:spacing w:line="360" w:lineRule="auto"/>
        <w:ind w:firstLine="420" w:firstLineChars="200"/>
        <w:contextualSpacing/>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10“负偏离”，是指响应文件对磋商文件“采购需求”中有关条款作出的响应不满足条款要求，导致采购人要求不能得到满足的情形。</w:t>
      </w:r>
    </w:p>
    <w:p w14:paraId="31942F62">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p>
    <w:p w14:paraId="6CD541D9">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1</w:t>
      </w:r>
      <w:r>
        <w:rPr>
          <w:rFonts w:hint="eastAsia" w:ascii="宋体" w:hAnsi="宋体" w:cs="宋体"/>
          <w:color w:val="auto"/>
          <w:szCs w:val="21"/>
          <w:highlight w:val="none"/>
        </w:rPr>
        <w:t>2“首次报价”是指供应商提交的首次响应文件中的报价。</w:t>
      </w:r>
    </w:p>
    <w:p w14:paraId="220FAF49">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3.供应商的资格条件</w:t>
      </w:r>
    </w:p>
    <w:p w14:paraId="05F260E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54DB2938">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4.竞标费用</w:t>
      </w:r>
    </w:p>
    <w:p w14:paraId="2F0A96C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58DE3947">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14:paraId="26C1B14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0CB9FF9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olor w:val="auto"/>
          <w:highlight w:val="none"/>
        </w:rPr>
        <w:t>如接受联合体竞标，</w:t>
      </w:r>
      <w:r>
        <w:rPr>
          <w:rFonts w:hint="eastAsia" w:ascii="宋体" w:hAnsi="宋体" w:cs="宋体"/>
          <w:color w:val="auto"/>
          <w:szCs w:val="21"/>
          <w:highlight w:val="none"/>
        </w:rPr>
        <w:t>联合体竞标要求详见“供应商须知前附表”。</w:t>
      </w:r>
    </w:p>
    <w:p w14:paraId="73A1BD0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w:t>
      </w:r>
      <w:bookmarkStart w:id="56" w:name="_Hlk66782192"/>
      <w:r>
        <w:rPr>
          <w:rFonts w:hint="eastAsia" w:ascii="宋体" w:hAnsi="宋体"/>
          <w:bCs/>
          <w:color w:val="auto"/>
          <w:szCs w:val="21"/>
          <w:highlight w:val="none"/>
        </w:rPr>
        <w:t>根据《政府采购促进中小企业发展管理办法》（财库〔2020〕46号）及《广西壮族自治区财政厅关于持续优化政府采购营商环境推动高质量发展的通知》（桂财采〔2024〕55号）的规定，如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56"/>
    </w:p>
    <w:p w14:paraId="6D86FD19">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 xml:space="preserve">6.转包与分包             </w:t>
      </w:r>
    </w:p>
    <w:p w14:paraId="02FB8E2A">
      <w:pPr>
        <w:spacing w:line="360" w:lineRule="auto"/>
        <w:ind w:firstLine="420" w:firstLineChars="200"/>
        <w:rPr>
          <w:rFonts w:ascii="宋体" w:hAnsi="宋体" w:cs="宋体"/>
          <w:color w:val="auto"/>
          <w:szCs w:val="21"/>
          <w:highlight w:val="none"/>
        </w:rPr>
      </w:pPr>
      <w:bookmarkStart w:id="57" w:name="_Toc254970532"/>
      <w:bookmarkStart w:id="58" w:name="_Toc254970673"/>
      <w:r>
        <w:rPr>
          <w:rFonts w:hint="eastAsia" w:ascii="宋体" w:hAnsi="宋体" w:cs="宋体"/>
          <w:color w:val="auto"/>
          <w:szCs w:val="21"/>
          <w:highlight w:val="none"/>
        </w:rPr>
        <w:t>6.1本项目不允许转包。</w:t>
      </w:r>
    </w:p>
    <w:p w14:paraId="721CD2C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的行政许可。</w:t>
      </w:r>
    </w:p>
    <w:p w14:paraId="43ED209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14:paraId="7E528383">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7.特别说明</w:t>
      </w:r>
      <w:bookmarkEnd w:id="57"/>
      <w:bookmarkEnd w:id="58"/>
    </w:p>
    <w:p w14:paraId="588F72AB">
      <w:pPr>
        <w:spacing w:line="360" w:lineRule="auto"/>
        <w:ind w:firstLine="420" w:firstLineChars="200"/>
        <w:rPr>
          <w:rFonts w:ascii="宋体" w:hAnsi="宋体" w:cs="宋体"/>
          <w:color w:val="auto"/>
          <w:szCs w:val="21"/>
          <w:highlight w:val="none"/>
        </w:rPr>
      </w:pPr>
      <w:bookmarkStart w:id="59" w:name="_8.1提供相同品牌产品且通过资格审查、符合性审查的不同投标人参加同一合"/>
      <w:bookmarkEnd w:id="59"/>
      <w:r>
        <w:rPr>
          <w:rFonts w:hint="eastAsia" w:ascii="宋体" w:hAnsi="宋体" w:cs="宋体"/>
          <w:color w:val="auto"/>
          <w:szCs w:val="21"/>
          <w:highlight w:val="none"/>
        </w:rPr>
        <w:t>7.</w:t>
      </w:r>
      <w:r>
        <w:rPr>
          <w:rFonts w:ascii="宋体" w:hAnsi="宋体" w:cs="宋体"/>
          <w:color w:val="auto"/>
          <w:szCs w:val="21"/>
          <w:highlight w:val="none"/>
        </w:rPr>
        <w:t>1</w:t>
      </w:r>
      <w:bookmarkStart w:id="60" w:name="_Hlk65832145"/>
      <w:r>
        <w:rPr>
          <w:rFonts w:hint="eastAsia" w:ascii="宋体" w:hAnsi="宋体"/>
          <w:color w:val="auto"/>
          <w:szCs w:val="21"/>
          <w:highlight w:val="none"/>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highlight w:val="none"/>
        </w:rPr>
        <w:t>。</w:t>
      </w:r>
    </w:p>
    <w:bookmarkEnd w:id="60"/>
    <w:p w14:paraId="684C6D4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2</w:t>
      </w:r>
      <w:r>
        <w:rPr>
          <w:rFonts w:hint="eastAsia" w:ascii="宋体" w:hAnsi="宋体" w:cs="宋体"/>
          <w:color w:val="auto"/>
          <w:szCs w:val="21"/>
          <w:highlight w:val="none"/>
        </w:rPr>
        <w:t>供应商应仔细阅读磋商文件的所有内容，按照磋商文件的要求提交响应文件，并对所提供的全部资料的真实性承担法律责任。</w:t>
      </w:r>
    </w:p>
    <w:p w14:paraId="30D9EA3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3</w:t>
      </w:r>
      <w:r>
        <w:rPr>
          <w:rFonts w:hint="eastAsia" w:ascii="宋体" w:hAnsi="宋体" w:cs="宋体"/>
          <w:color w:val="auto"/>
          <w:szCs w:val="21"/>
          <w:highlight w:val="none"/>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362B7C2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4</w:t>
      </w:r>
      <w:r>
        <w:rPr>
          <w:rFonts w:hint="eastAsia" w:ascii="宋体" w:hAnsi="宋体" w:cs="宋体"/>
          <w:color w:val="auto"/>
          <w:szCs w:val="21"/>
          <w:highlight w:val="none"/>
        </w:rPr>
        <w:t>在政府采购活动中，采购人员及相关人员与供应商有下列利害关系之一的，应当回避：</w:t>
      </w:r>
    </w:p>
    <w:p w14:paraId="3BF9CDA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41A9278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711B940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3B8FF8D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625FD8D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29325C4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D6B5DD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5</w:t>
      </w:r>
      <w:r>
        <w:rPr>
          <w:rFonts w:hint="eastAsia"/>
          <w:color w:val="auto"/>
          <w:highlight w:val="none"/>
        </w:rPr>
        <w:t>供应商</w:t>
      </w:r>
      <w:r>
        <w:rPr>
          <w:rFonts w:hint="eastAsia" w:ascii="宋体" w:hAnsi="宋体" w:cs="宋体"/>
          <w:color w:val="auto"/>
          <w:szCs w:val="21"/>
          <w:highlight w:val="none"/>
        </w:rPr>
        <w:t>有下列情形之一的视为供应商相互串通竞标，响应文件将被视为无效：</w:t>
      </w:r>
    </w:p>
    <w:p w14:paraId="7E5A08E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 </w:t>
      </w:r>
    </w:p>
    <w:p w14:paraId="0B61425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7E9B46A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2BBC8B2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50F29D4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1828CD24">
      <w:pPr>
        <w:tabs>
          <w:tab w:val="left" w:pos="6931"/>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ascii="宋体" w:hAnsi="宋体" w:cs="宋体"/>
          <w:color w:val="auto"/>
          <w:szCs w:val="21"/>
          <w:highlight w:val="none"/>
        </w:rPr>
        <w:tab/>
      </w:r>
    </w:p>
    <w:p w14:paraId="2DD4A30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6</w:t>
      </w:r>
      <w:r>
        <w:rPr>
          <w:rFonts w:hint="eastAsia" w:ascii="宋体" w:hAnsi="宋体" w:cs="宋体"/>
          <w:color w:val="auto"/>
          <w:szCs w:val="21"/>
          <w:highlight w:val="none"/>
        </w:rPr>
        <w:t>供应商有下列情形之一的，属于恶意串通行为，将报同级监督管理部门：</w:t>
      </w:r>
    </w:p>
    <w:p w14:paraId="6F25C9A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7910B33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61DDD3F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6DF40A3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07B9A4C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24CC593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6DEC856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6E877527">
      <w:pPr>
        <w:spacing w:line="360" w:lineRule="auto"/>
        <w:ind w:firstLine="420" w:firstLineChars="200"/>
        <w:rPr>
          <w:rFonts w:ascii="宋体" w:hAnsi="宋体" w:cs="宋体"/>
          <w:color w:val="auto"/>
          <w:szCs w:val="21"/>
          <w:highlight w:val="none"/>
        </w:rPr>
      </w:pPr>
    </w:p>
    <w:p w14:paraId="55AF2B04">
      <w:pPr>
        <w:spacing w:line="360" w:lineRule="auto"/>
        <w:jc w:val="center"/>
        <w:rPr>
          <w:rFonts w:ascii="宋体" w:hAnsi="宋体"/>
          <w:b/>
          <w:bCs/>
          <w:color w:val="auto"/>
          <w:sz w:val="32"/>
          <w:szCs w:val="32"/>
          <w:highlight w:val="none"/>
        </w:rPr>
      </w:pPr>
      <w:bookmarkStart w:id="61" w:name="_Toc254970675"/>
      <w:bookmarkStart w:id="62" w:name="_Toc254970534"/>
      <w:r>
        <w:rPr>
          <w:rFonts w:hint="eastAsia" w:ascii="宋体" w:hAnsi="宋体"/>
          <w:b/>
          <w:bCs/>
          <w:color w:val="auto"/>
          <w:sz w:val="32"/>
          <w:szCs w:val="32"/>
          <w:highlight w:val="none"/>
        </w:rPr>
        <w:t>二、磋商文件</w:t>
      </w:r>
      <w:bookmarkEnd w:id="61"/>
      <w:bookmarkEnd w:id="62"/>
    </w:p>
    <w:p w14:paraId="68AC2DCC">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8.磋商文件的构成</w:t>
      </w:r>
    </w:p>
    <w:p w14:paraId="6114633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（1）竞争性磋商公告；</w:t>
      </w:r>
    </w:p>
    <w:p w14:paraId="61CDCF1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（2）供应商须知； </w:t>
      </w:r>
    </w:p>
    <w:p w14:paraId="3945E7E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（3）采购需求；</w:t>
      </w:r>
    </w:p>
    <w:p w14:paraId="5BD20EE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（4）评审程序、评审方法和评审标准；</w:t>
      </w:r>
    </w:p>
    <w:p w14:paraId="3174E87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（5）响应文件格式；</w:t>
      </w:r>
    </w:p>
    <w:p w14:paraId="0F66A67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（6）合同文本。</w:t>
      </w:r>
    </w:p>
    <w:p w14:paraId="3C2D9985">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14:paraId="29757C4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供应商应认真阅读磋商文件的采购需求，如供应商对磋商文件有疑问的，如要求采购人作出澄清或者修改的，供应商应在</w:t>
      </w:r>
      <w:r>
        <w:rPr>
          <w:rFonts w:ascii="宋体" w:hAnsi="宋体"/>
          <w:color w:val="auto"/>
          <w:szCs w:val="21"/>
          <w:highlight w:val="none"/>
        </w:rPr>
        <w:t>提交首次响应文件截止之日前</w:t>
      </w:r>
      <w:r>
        <w:rPr>
          <w:rFonts w:hint="eastAsia" w:ascii="宋体" w:hAnsi="宋体"/>
          <w:color w:val="auto"/>
          <w:szCs w:val="21"/>
          <w:highlight w:val="none"/>
        </w:rPr>
        <w:t>，以书面形式向</w:t>
      </w:r>
      <w:r>
        <w:rPr>
          <w:rFonts w:ascii="宋体" w:hAnsi="宋体"/>
          <w:color w:val="auto"/>
          <w:szCs w:val="21"/>
          <w:highlight w:val="none"/>
        </w:rPr>
        <w:t>采购人、采购代理机构</w:t>
      </w:r>
      <w:r>
        <w:rPr>
          <w:rFonts w:hint="eastAsia" w:ascii="宋体" w:hAnsi="宋体"/>
          <w:color w:val="auto"/>
          <w:szCs w:val="21"/>
          <w:highlight w:val="none"/>
        </w:rPr>
        <w:t>提出。</w:t>
      </w:r>
    </w:p>
    <w:p w14:paraId="3B5981C5">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10.磋商文件的澄清和修改</w:t>
      </w:r>
    </w:p>
    <w:p w14:paraId="113D7B41">
      <w:pPr>
        <w:spacing w:line="360" w:lineRule="auto"/>
        <w:ind w:firstLine="420" w:firstLineChars="200"/>
        <w:rPr>
          <w:rFonts w:ascii="宋体" w:hAnsi="宋体"/>
          <w:color w:val="auto"/>
          <w:szCs w:val="21"/>
          <w:highlight w:val="none"/>
        </w:rPr>
      </w:pPr>
      <w:r>
        <w:rPr>
          <w:rFonts w:ascii="宋体" w:hAnsi="宋体"/>
          <w:color w:val="auto"/>
          <w:szCs w:val="21"/>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w:t>
      </w:r>
      <w:r>
        <w:rPr>
          <w:rFonts w:hint="eastAsia" w:ascii="宋体" w:hAnsi="宋体"/>
          <w:color w:val="auto"/>
          <w:szCs w:val="21"/>
          <w:highlight w:val="none"/>
        </w:rPr>
        <w:t>获取</w:t>
      </w:r>
      <w:r>
        <w:rPr>
          <w:rFonts w:ascii="宋体" w:hAnsi="宋体"/>
          <w:color w:val="auto"/>
          <w:szCs w:val="21"/>
          <w:highlight w:val="none"/>
        </w:rPr>
        <w:t>磋商文件的供应商，不足3个工作日的，应当顺延提交首次响应文件截止之日。</w:t>
      </w:r>
    </w:p>
    <w:p w14:paraId="498F369C">
      <w:pPr>
        <w:spacing w:line="360" w:lineRule="auto"/>
        <w:rPr>
          <w:rFonts w:ascii="宋体" w:hAnsi="宋体"/>
          <w:color w:val="auto"/>
          <w:szCs w:val="21"/>
          <w:highlight w:val="none"/>
        </w:rPr>
      </w:pPr>
    </w:p>
    <w:p w14:paraId="5F81E0D1">
      <w:pPr>
        <w:spacing w:line="360" w:lineRule="auto"/>
        <w:jc w:val="center"/>
        <w:rPr>
          <w:rFonts w:ascii="宋体" w:hAnsi="宋体"/>
          <w:b/>
          <w:bCs/>
          <w:color w:val="auto"/>
          <w:szCs w:val="21"/>
          <w:highlight w:val="none"/>
        </w:rPr>
      </w:pPr>
      <w:r>
        <w:rPr>
          <w:rFonts w:hint="eastAsia" w:ascii="宋体" w:hAnsi="宋体"/>
          <w:b/>
          <w:bCs/>
          <w:color w:val="auto"/>
          <w:sz w:val="32"/>
          <w:szCs w:val="32"/>
          <w:highlight w:val="none"/>
        </w:rPr>
        <w:t>三、响应文件的编制</w:t>
      </w:r>
    </w:p>
    <w:p w14:paraId="36A62040">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14:paraId="73E235C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w:t>
      </w:r>
      <w:r>
        <w:rPr>
          <w:rFonts w:hint="eastAsia" w:ascii="宋体" w:hAnsi="宋体"/>
          <w:color w:val="auto"/>
          <w:szCs w:val="21"/>
          <w:highlight w:val="none"/>
        </w:rPr>
        <w:t>提出的要求和条件作出明确响应</w:t>
      </w:r>
      <w:r>
        <w:rPr>
          <w:rFonts w:hint="eastAsia" w:ascii="宋体" w:hAnsi="宋体" w:cs="宋体"/>
          <w:color w:val="auto"/>
          <w:szCs w:val="21"/>
          <w:highlight w:val="none"/>
        </w:rPr>
        <w:t>。</w:t>
      </w:r>
    </w:p>
    <w:p w14:paraId="0CFFD04C">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14:paraId="3A6AA88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12.1响应文件由资格证明文件、报价文件、商务技术文件三部分组成。</w:t>
      </w:r>
    </w:p>
    <w:p w14:paraId="6FC7D768">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12.1.1资格证明文件：详见“供应商须知前附表”</w:t>
      </w:r>
    </w:p>
    <w:p w14:paraId="626F27D0">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12.1.2报价文件：详见“供应商须知前附表”</w:t>
      </w:r>
    </w:p>
    <w:p w14:paraId="35FFA33A">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12.1.3商务技术文件：详见“供应商须知前附表”</w:t>
      </w:r>
    </w:p>
    <w:p w14:paraId="2D7436FD">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14:paraId="7CDAC5C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10FE3C91">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14:paraId="0CD20DD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63A82564">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15.竞标报价</w:t>
      </w:r>
    </w:p>
    <w:p w14:paraId="772EF3B8">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15.1竞标报价应按磋商文件中“竞标报价表”格式填写。</w:t>
      </w:r>
    </w:p>
    <w:p w14:paraId="09A8DA9D">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15.2竞标报价的内容见“供应商须知前附表”。</w:t>
      </w:r>
    </w:p>
    <w:p w14:paraId="37D70EE6">
      <w:pPr>
        <w:spacing w:line="360" w:lineRule="auto"/>
        <w:ind w:left="426" w:leftChars="203"/>
        <w:rPr>
          <w:rFonts w:ascii="宋体" w:hAnsi="宋体" w:cs="宋体"/>
          <w:color w:val="auto"/>
          <w:szCs w:val="21"/>
          <w:highlight w:val="none"/>
        </w:rPr>
      </w:pPr>
      <w:r>
        <w:rPr>
          <w:rFonts w:hint="eastAsia" w:ascii="宋体" w:hAnsi="宋体" w:cs="宋体"/>
          <w:color w:val="auto"/>
          <w:szCs w:val="21"/>
          <w:highlight w:val="none"/>
        </w:rPr>
        <w:t>15.3竞标报价要求</w:t>
      </w:r>
    </w:p>
    <w:p w14:paraId="41040FCA">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5.3.1</w:t>
      </w:r>
      <w:r>
        <w:rPr>
          <w:rFonts w:hint="eastAsia" w:ascii="宋体" w:hAnsi="宋体" w:cs="宋体"/>
          <w:color w:val="auto"/>
          <w:szCs w:val="21"/>
          <w:highlight w:val="none"/>
        </w:rPr>
        <w:t>供应商的竞标报价应符合以下要求，否则响应文件按无效响应处理：</w:t>
      </w:r>
    </w:p>
    <w:p w14:paraId="7D00F584">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（1）供应商必须就“采购需求”中的全部内容分别作完整唯一总价报价，不得存在漏项报价；</w:t>
      </w:r>
    </w:p>
    <w:p w14:paraId="0DC1F1F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）供应商必须就所竞标的单项内容作唯一报价。</w:t>
      </w:r>
    </w:p>
    <w:p w14:paraId="4902A77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2</w:t>
      </w:r>
      <w:r>
        <w:rPr>
          <w:rFonts w:hint="eastAsia" w:ascii="宋体" w:hAnsi="宋体" w:cs="宋体"/>
          <w:color w:val="auto"/>
          <w:szCs w:val="21"/>
          <w:highlight w:val="none"/>
        </w:rPr>
        <w:t>竞标报价（包含首次报价、最后报价）超过规定的采购预算金额或者最高限价（如本项目公布了最高限价）的，其响应文件将按无效处理。</w:t>
      </w:r>
    </w:p>
    <w:p w14:paraId="2D5DE0C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3</w:t>
      </w:r>
      <w:bookmarkStart w:id="63" w:name="_Hlk42592874"/>
      <w:r>
        <w:rPr>
          <w:rFonts w:hint="eastAsia" w:ascii="宋体" w:hAnsi="宋体" w:cs="宋体"/>
          <w:color w:val="auto"/>
          <w:szCs w:val="21"/>
          <w:highlight w:val="none"/>
        </w:rPr>
        <w:t>竞标报价（包含首次报价、最后报价）超过分项采购预算金额或者最高限价（如本项目公布了最高限价）的，其响应文件将按无效处理。</w:t>
      </w:r>
    </w:p>
    <w:bookmarkEnd w:id="63"/>
    <w:p w14:paraId="7DA18E56">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14:paraId="36A861E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592E9D5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r>
        <w:rPr>
          <w:rFonts w:hint="eastAsia" w:ascii="宋体" w:hAnsi="宋体"/>
          <w:color w:val="auto"/>
          <w:szCs w:val="21"/>
          <w:highlight w:val="none"/>
        </w:rPr>
        <w:t>承诺的竞标有效期低于采购文件规定期限的，供应商的响应文件作无效处理。</w:t>
      </w:r>
    </w:p>
    <w:p w14:paraId="1149E18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468EF8EA">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17.磋商保证金</w:t>
      </w:r>
    </w:p>
    <w:p w14:paraId="23F113C2">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17.1供应商须按“供应商须知前附表”的规定提交磋商保证金。</w:t>
      </w:r>
    </w:p>
    <w:p w14:paraId="75C8E1DF">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17.2磋商保证金的退还</w:t>
      </w:r>
    </w:p>
    <w:p w14:paraId="627755FB">
      <w:pPr>
        <w:spacing w:line="360" w:lineRule="auto"/>
        <w:ind w:firstLine="420" w:firstLineChars="200"/>
        <w:rPr>
          <w:rFonts w:ascii="宋体" w:hAnsi="宋体" w:cs="宋体"/>
          <w:color w:val="auto"/>
          <w:szCs w:val="21"/>
          <w:highlight w:val="none"/>
        </w:rPr>
      </w:pPr>
      <w:bookmarkStart w:id="64" w:name="_Hlk66782243"/>
      <w:r>
        <w:rPr>
          <w:rFonts w:hint="eastAsia" w:ascii="宋体" w:hAnsi="宋体" w:cs="宋体"/>
          <w:color w:val="auto"/>
          <w:szCs w:val="21"/>
          <w:highlight w:val="none"/>
        </w:rPr>
        <w:t>未</w:t>
      </w:r>
      <w:r>
        <w:rPr>
          <w:rFonts w:hint="eastAsia" w:ascii="宋体" w:hAnsi="宋体" w:cs="宋体"/>
          <w:color w:val="auto"/>
          <w:spacing w:val="-6"/>
          <w:szCs w:val="21"/>
          <w:highlight w:val="none"/>
        </w:rPr>
        <w:t>成交供应商的竞标保证金自成交通知书发出之日起5个工作日内退还；</w:t>
      </w:r>
      <w:r>
        <w:rPr>
          <w:rFonts w:hint="eastAsia" w:ascii="宋体" w:hAnsi="宋体" w:cs="宋体"/>
          <w:color w:val="auto"/>
          <w:szCs w:val="21"/>
          <w:highlight w:val="none"/>
        </w:rPr>
        <w:t>成交供应商的磋商保证金自签订合同之日起5个工作日内退还。</w:t>
      </w:r>
      <w:bookmarkEnd w:id="64"/>
      <w:r>
        <w:rPr>
          <w:rFonts w:hint="eastAsia" w:ascii="宋体" w:hAnsi="宋体" w:cs="宋体"/>
          <w:color w:val="auto"/>
          <w:szCs w:val="21"/>
          <w:highlight w:val="none"/>
        </w:rPr>
        <w:t xml:space="preserve"> </w:t>
      </w:r>
    </w:p>
    <w:p w14:paraId="2E2906E8">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17.3除逾期退还磋商保证金和终止采购的情形以外，磋商保证金不计息。</w:t>
      </w:r>
    </w:p>
    <w:p w14:paraId="783678E1">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 xml:space="preserve">17.4供应商有下列情形之一的，磋商保证金将不予退还： </w:t>
      </w:r>
    </w:p>
    <w:p w14:paraId="18AC77FB">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（1）供应商在响应文件提交截止时间后撤回响应文件的；</w:t>
      </w:r>
    </w:p>
    <w:p w14:paraId="45BED309">
      <w:pPr>
        <w:spacing w:line="360" w:lineRule="auto"/>
        <w:ind w:left="420" w:leftChars="200"/>
        <w:rPr>
          <w:rFonts w:ascii="宋体" w:hAnsi="宋体" w:cs="宋体"/>
          <w:color w:val="auto"/>
          <w:szCs w:val="21"/>
          <w:highlight w:val="none"/>
        </w:rPr>
      </w:pPr>
      <w:r>
        <w:rPr>
          <w:rFonts w:hint="eastAsia" w:ascii="宋体" w:hAnsi="宋体"/>
          <w:color w:val="auto"/>
          <w:szCs w:val="21"/>
          <w:highlight w:val="none"/>
        </w:rPr>
        <w:t>（2）未按规定提交履约保证金的；</w:t>
      </w:r>
    </w:p>
    <w:p w14:paraId="46C6A351">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（3）供应商在响应文件中提供虚假材料的；</w:t>
      </w:r>
    </w:p>
    <w:p w14:paraId="681E1DA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（4）除因不可抗力或者磋商文件认可的情形以外，成交供应商不与采购人签订合同的；</w:t>
      </w:r>
    </w:p>
    <w:p w14:paraId="2B149E74">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（5）供应商与采购人、其他供应商或者采购代理机构恶意串通的；</w:t>
      </w:r>
    </w:p>
    <w:p w14:paraId="731151F1">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（6）法律法规规定的其他情形。</w:t>
      </w:r>
    </w:p>
    <w:p w14:paraId="75EA4401">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18.响应文件编制的要求</w:t>
      </w:r>
    </w:p>
    <w:p w14:paraId="777FF84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供应商应按照本项目磋商文件规定的格式和顺序和广西政府采购云平台的要求编制响应文件并加密。响应文件内容不完整、编排混乱导致响应文件被误读、漏读或者查找不到相关内容的，由此引发的后果由供应商承担。</w:t>
      </w:r>
    </w:p>
    <w:p w14:paraId="7DC58F6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18.2为确保网上操作合法、有效和安全，供应商应当在响应文件提交截止时间前完成在广西政府采购云平台的身份认证，确保在电子竞标过程中能够对相关数据电文进行加密和使用电子签章。</w:t>
      </w:r>
    </w:p>
    <w:p w14:paraId="1EA5F6D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18.3响应文件须由供应商在规定位置签字、盖章（具体以供应商须知前附表或响应文件格式规定为准），否则按无效响应处理。</w:t>
      </w:r>
    </w:p>
    <w:p w14:paraId="75290A0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18.4响应文件中标注的供应商名称应与主体资格证明（如营业执照或者事业单位法人证书或者执业许可证或者登记证书等）及公章一致，</w:t>
      </w:r>
      <w:r>
        <w:rPr>
          <w:rFonts w:hint="eastAsia" w:ascii="宋体" w:hAnsi="宋体"/>
          <w:color w:val="auto"/>
          <w:szCs w:val="21"/>
          <w:highlight w:val="none"/>
        </w:rPr>
        <w:t>并与广西政府采购云平台中获取采购文件的供应商名称一致，</w:t>
      </w:r>
      <w:r>
        <w:rPr>
          <w:rFonts w:hint="eastAsia" w:ascii="宋体" w:hAnsi="宋体" w:cs="宋体"/>
          <w:color w:val="auto"/>
          <w:szCs w:val="21"/>
          <w:highlight w:val="none"/>
        </w:rPr>
        <w:t>供应商为自然人的，标注的供应商名称应与身份证姓名及签名一致，否则其响应文件按无效响应处理。</w:t>
      </w:r>
    </w:p>
    <w:p w14:paraId="64DCE1C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6F259CA0">
      <w:pPr>
        <w:spacing w:line="360" w:lineRule="auto"/>
        <w:ind w:firstLine="482" w:firstLineChars="200"/>
        <w:rPr>
          <w:rFonts w:ascii="黑体" w:hAnsi="黑体" w:eastAsia="黑体"/>
          <w:color w:val="auto"/>
          <w:sz w:val="24"/>
          <w:highlight w:val="none"/>
        </w:rPr>
      </w:pPr>
      <w:r>
        <w:rPr>
          <w:rFonts w:hint="eastAsia" w:ascii="黑体" w:hAnsi="黑体" w:eastAsia="黑体" w:cs="宋体"/>
          <w:b/>
          <w:bCs/>
          <w:color w:val="auto"/>
          <w:sz w:val="24"/>
          <w:highlight w:val="none"/>
        </w:rPr>
        <w:t>19.电子</w:t>
      </w:r>
      <w:r>
        <w:rPr>
          <w:rFonts w:hint="eastAsia" w:ascii="黑体" w:hAnsi="黑体" w:eastAsia="黑体"/>
          <w:b/>
          <w:color w:val="auto"/>
          <w:sz w:val="24"/>
          <w:highlight w:val="none"/>
        </w:rPr>
        <w:t>备份响应文件</w:t>
      </w:r>
    </w:p>
    <w:p w14:paraId="1A159201">
      <w:pPr>
        <w:spacing w:line="360" w:lineRule="auto"/>
        <w:ind w:firstLine="420" w:firstLineChars="200"/>
        <w:rPr>
          <w:rFonts w:ascii="宋体" w:hAnsi="宋体" w:cs="宋体"/>
          <w:color w:val="auto"/>
          <w:szCs w:val="21"/>
          <w:highlight w:val="none"/>
        </w:rPr>
      </w:pPr>
      <w:r>
        <w:rPr>
          <w:rFonts w:hint="eastAsia"/>
          <w:color w:val="auto"/>
          <w:highlight w:val="none"/>
        </w:rPr>
        <w:t>电子备份响应文件是指通过“广西政府采购云平台客户端”在线编制生成且后缀名为“</w:t>
      </w:r>
      <w:r>
        <w:rPr>
          <w:color w:val="auto"/>
          <w:highlight w:val="none"/>
        </w:rPr>
        <w:t>bfbs</w:t>
      </w:r>
      <w:r>
        <w:rPr>
          <w:rFonts w:hint="eastAsia"/>
          <w:color w:val="auto"/>
          <w:highlight w:val="none"/>
        </w:rPr>
        <w:t>”的文件，是否接受电子备份响应文件</w:t>
      </w:r>
      <w:r>
        <w:rPr>
          <w:rFonts w:hint="eastAsia" w:hAnsi="宋体"/>
          <w:bCs/>
          <w:color w:val="auto"/>
          <w:szCs w:val="21"/>
          <w:highlight w:val="none"/>
        </w:rPr>
        <w:t>详见“供应商须知前附表”。</w:t>
      </w:r>
    </w:p>
    <w:p w14:paraId="7F40B1D0">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14:paraId="0F3BB500">
      <w:pPr>
        <w:spacing w:line="360" w:lineRule="auto"/>
        <w:ind w:firstLine="420" w:firstLineChars="200"/>
        <w:rPr>
          <w:rFonts w:ascii="宋体" w:hAnsi="宋体"/>
          <w:b/>
          <w:color w:val="auto"/>
          <w:highlight w:val="none"/>
        </w:rPr>
      </w:pPr>
      <w:r>
        <w:rPr>
          <w:rFonts w:hint="eastAsia" w:ascii="宋体" w:hAnsi="宋体"/>
          <w:bCs/>
          <w:color w:val="auto"/>
          <w:szCs w:val="21"/>
          <w:highlight w:val="none"/>
        </w:rPr>
        <w:t>20.1供应商必须按“供应商须知前附表”规定的</w:t>
      </w:r>
      <w:r>
        <w:rPr>
          <w:rFonts w:hint="eastAsia" w:ascii="宋体" w:hAnsi="宋体" w:cs="宋体"/>
          <w:color w:val="auto"/>
          <w:szCs w:val="21"/>
          <w:highlight w:val="none"/>
        </w:rPr>
        <w:t>时间</w:t>
      </w:r>
      <w:r>
        <w:rPr>
          <w:rFonts w:hint="eastAsia" w:ascii="宋体" w:hAnsi="宋体"/>
          <w:color w:val="auto"/>
          <w:szCs w:val="21"/>
          <w:highlight w:val="none"/>
        </w:rPr>
        <w:t>及</w:t>
      </w:r>
      <w:r>
        <w:rPr>
          <w:rFonts w:hint="eastAsia" w:ascii="宋体" w:hAnsi="宋体"/>
          <w:bCs/>
          <w:color w:val="auto"/>
          <w:szCs w:val="21"/>
          <w:highlight w:val="none"/>
        </w:rPr>
        <w:t>地点提交响应文件。电子响应文件应在制作完成后，</w:t>
      </w:r>
      <w:r>
        <w:rPr>
          <w:rFonts w:ascii="宋体" w:hAnsi="宋体"/>
          <w:bCs/>
          <w:color w:val="auto"/>
          <w:szCs w:val="21"/>
          <w:highlight w:val="none"/>
        </w:rPr>
        <w:t>在</w:t>
      </w:r>
      <w:r>
        <w:rPr>
          <w:rFonts w:hint="eastAsia" w:ascii="宋体" w:hAnsi="宋体"/>
          <w:bCs/>
          <w:color w:val="auto"/>
          <w:szCs w:val="21"/>
          <w:highlight w:val="none"/>
        </w:rPr>
        <w:t>响应文件提交截止时间</w:t>
      </w:r>
      <w:r>
        <w:rPr>
          <w:rFonts w:ascii="宋体" w:hAnsi="宋体"/>
          <w:bCs/>
          <w:color w:val="auto"/>
          <w:szCs w:val="21"/>
          <w:highlight w:val="none"/>
        </w:rPr>
        <w:t>前</w:t>
      </w:r>
      <w:r>
        <w:rPr>
          <w:rFonts w:hint="eastAsia" w:ascii="宋体" w:hAnsi="宋体"/>
          <w:bCs/>
          <w:color w:val="auto"/>
          <w:szCs w:val="21"/>
          <w:highlight w:val="none"/>
        </w:rPr>
        <w:t>通过有效数字证书（CA认证锁）进行电子签章、加密，然后通过网络将加密的电子响应文件提交至</w:t>
      </w:r>
      <w:r>
        <w:rPr>
          <w:rFonts w:hint="eastAsia" w:ascii="宋体" w:hAnsi="宋体"/>
          <w:color w:val="auto"/>
          <w:szCs w:val="21"/>
          <w:highlight w:val="none"/>
        </w:rPr>
        <w:t>广西政府采购云平台</w:t>
      </w:r>
      <w:r>
        <w:rPr>
          <w:rFonts w:hint="eastAsia" w:ascii="宋体" w:hAnsi="宋体"/>
          <w:bCs/>
          <w:color w:val="auto"/>
          <w:szCs w:val="21"/>
          <w:highlight w:val="none"/>
        </w:rPr>
        <w:t xml:space="preserve">。 </w:t>
      </w:r>
      <w:r>
        <w:rPr>
          <w:rFonts w:hint="eastAsia" w:ascii="宋体" w:hAnsi="宋体"/>
          <w:b/>
          <w:color w:val="auto"/>
          <w:highlight w:val="none"/>
        </w:rPr>
        <w:t xml:space="preserve"> </w:t>
      </w:r>
    </w:p>
    <w:p w14:paraId="6D3E863E">
      <w:pPr>
        <w:spacing w:line="360" w:lineRule="auto"/>
        <w:ind w:firstLine="422" w:firstLineChars="200"/>
        <w:rPr>
          <w:rFonts w:ascii="宋体" w:hAnsi="宋体" w:cs="宋体"/>
          <w:color w:val="auto"/>
          <w:szCs w:val="21"/>
          <w:highlight w:val="none"/>
        </w:rPr>
      </w:pPr>
      <w:r>
        <w:rPr>
          <w:rFonts w:hint="eastAsia" w:ascii="宋体" w:hAnsi="宋体"/>
          <w:b/>
          <w:color w:val="auto"/>
          <w:szCs w:val="21"/>
          <w:highlight w:val="none"/>
        </w:rPr>
        <w:t>20.</w:t>
      </w:r>
      <w:r>
        <w:rPr>
          <w:rFonts w:ascii="宋体" w:hAnsi="宋体"/>
          <w:b/>
          <w:color w:val="auto"/>
          <w:szCs w:val="21"/>
          <w:highlight w:val="none"/>
        </w:rPr>
        <w:t>2</w:t>
      </w:r>
      <w:r>
        <w:rPr>
          <w:rFonts w:hint="eastAsia" w:ascii="宋体" w:hAnsi="宋体"/>
          <w:b/>
          <w:color w:val="auto"/>
          <w:szCs w:val="21"/>
          <w:highlight w:val="none"/>
        </w:rPr>
        <w:t>未在规定时间内提交或者未按照磋商文件要求加密的电子响应文件，广西政府采购云平台将拒收。</w:t>
      </w:r>
    </w:p>
    <w:p w14:paraId="3943D646">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14:paraId="267C9A8B">
      <w:pPr>
        <w:snapToGrid w:val="0"/>
        <w:spacing w:line="360" w:lineRule="auto"/>
        <w:ind w:firstLine="420"/>
        <w:jc w:val="left"/>
        <w:rPr>
          <w:rFonts w:ascii="宋体" w:hAnsi="宋体"/>
          <w:color w:val="auto"/>
          <w:szCs w:val="21"/>
          <w:highlight w:val="none"/>
        </w:rPr>
      </w:pPr>
      <w:bookmarkStart w:id="65" w:name="_Toc254970543"/>
      <w:bookmarkStart w:id="66" w:name="_Toc254970684"/>
      <w:r>
        <w:rPr>
          <w:rFonts w:ascii="宋体" w:hAnsi="宋体" w:cs="宋体"/>
          <w:color w:val="auto"/>
          <w:szCs w:val="21"/>
          <w:highlight w:val="none"/>
        </w:rPr>
        <w:t>2</w:t>
      </w:r>
      <w:r>
        <w:rPr>
          <w:rFonts w:hint="eastAsia" w:ascii="宋体" w:hAnsi="宋体" w:cs="宋体"/>
          <w:color w:val="auto"/>
          <w:szCs w:val="21"/>
          <w:highlight w:val="none"/>
        </w:rPr>
        <w:t>1.1</w:t>
      </w:r>
      <w:r>
        <w:rPr>
          <w:rFonts w:hint="eastAsia" w:ascii="宋体" w:hAnsi="宋体"/>
          <w:bCs/>
          <w:color w:val="auto"/>
          <w:szCs w:val="21"/>
          <w:highlight w:val="none"/>
        </w:rPr>
        <w:t>供应商应当在</w:t>
      </w:r>
      <w:r>
        <w:rPr>
          <w:rFonts w:hint="eastAsia" w:hAnsi="宋体"/>
          <w:bCs/>
          <w:color w:val="auto"/>
          <w:szCs w:val="21"/>
          <w:highlight w:val="none"/>
        </w:rPr>
        <w:t>响应文件提交截止时间</w:t>
      </w:r>
      <w:r>
        <w:rPr>
          <w:rFonts w:hint="eastAsia" w:ascii="宋体" w:hAnsi="宋体"/>
          <w:bCs/>
          <w:color w:val="auto"/>
          <w:szCs w:val="21"/>
          <w:highlight w:val="none"/>
        </w:rPr>
        <w:t>前完成电子响应文件的提交（上传），</w:t>
      </w:r>
      <w:r>
        <w:rPr>
          <w:rFonts w:hint="eastAsia" w:hAnsi="宋体"/>
          <w:bCs/>
          <w:color w:val="auto"/>
          <w:szCs w:val="21"/>
          <w:highlight w:val="none"/>
        </w:rPr>
        <w:t>响应文件提交截止时间前</w:t>
      </w:r>
      <w:r>
        <w:rPr>
          <w:rFonts w:hint="eastAsia" w:ascii="宋体" w:hAnsi="宋体"/>
          <w:bCs/>
          <w:color w:val="auto"/>
          <w:szCs w:val="21"/>
          <w:highlight w:val="none"/>
        </w:rPr>
        <w:t>可以补充、修改或者撤回响应文件。补充或者修改响应文件的，应当先行撤回原响应文件，补充、修改后重新提交（上传），</w:t>
      </w:r>
      <w:r>
        <w:rPr>
          <w:rFonts w:hint="eastAsia" w:hAnsi="宋体"/>
          <w:bCs/>
          <w:color w:val="auto"/>
          <w:szCs w:val="21"/>
          <w:highlight w:val="none"/>
        </w:rPr>
        <w:t>响应文件提交截止时间前</w:t>
      </w:r>
      <w:r>
        <w:rPr>
          <w:rFonts w:hint="eastAsia" w:ascii="宋体" w:hAnsi="宋体"/>
          <w:bCs/>
          <w:color w:val="auto"/>
          <w:szCs w:val="21"/>
          <w:highlight w:val="none"/>
        </w:rPr>
        <w:t>未完成提交（上传）的，视为撤回响应文件。</w:t>
      </w:r>
      <w:r>
        <w:rPr>
          <w:rFonts w:hint="eastAsia" w:hAnsi="宋体"/>
          <w:bCs/>
          <w:color w:val="auto"/>
          <w:szCs w:val="21"/>
          <w:highlight w:val="none"/>
        </w:rPr>
        <w:t>响应文件提交截止时间</w:t>
      </w:r>
      <w:r>
        <w:rPr>
          <w:rFonts w:hint="eastAsia" w:ascii="宋体" w:hAnsi="宋体"/>
          <w:bCs/>
          <w:color w:val="auto"/>
          <w:szCs w:val="21"/>
          <w:highlight w:val="none"/>
        </w:rPr>
        <w:t>以后提交（上传）的响应文件，广西政府采购云平台将予以拒收。</w:t>
      </w:r>
      <w:r>
        <w:rPr>
          <w:rFonts w:hint="eastAsia" w:ascii="宋体" w:hAnsi="宋体" w:cs="宋体"/>
          <w:color w:val="auto"/>
          <w:szCs w:val="21"/>
          <w:highlight w:val="none"/>
        </w:rPr>
        <w:t>（补充、修改或者撤回方式可</w:t>
      </w:r>
      <w:r>
        <w:rPr>
          <w:rFonts w:hint="eastAsia" w:ascii="宋体" w:hAnsi="宋体"/>
          <w:color w:val="auto"/>
          <w:szCs w:val="21"/>
          <w:highlight w:val="none"/>
        </w:rPr>
        <w:t>登录</w:t>
      </w:r>
      <w:r>
        <w:rPr>
          <w:rFonts w:hint="eastAsia" w:ascii="宋体" w:hAnsi="宋体" w:cs="宋体"/>
          <w:color w:val="auto"/>
          <w:kern w:val="0"/>
          <w:szCs w:val="21"/>
          <w:highlight w:val="none"/>
        </w:rPr>
        <w:t>广西政府采购云平台，</w:t>
      </w:r>
      <w:r>
        <w:rPr>
          <w:rFonts w:hint="eastAsia" w:ascii="宋体" w:hAnsi="宋体"/>
          <w:color w:val="auto"/>
          <w:szCs w:val="21"/>
          <w:highlight w:val="none"/>
        </w:rPr>
        <w:t>进入“服务中心”中查看相关教程</w:t>
      </w:r>
      <w:r>
        <w:rPr>
          <w:rFonts w:hint="eastAsia" w:ascii="宋体" w:hAnsi="宋体" w:cs="宋体"/>
          <w:color w:val="auto"/>
          <w:szCs w:val="21"/>
          <w:highlight w:val="none"/>
        </w:rPr>
        <w:t>）</w:t>
      </w:r>
    </w:p>
    <w:bookmarkEnd w:id="65"/>
    <w:bookmarkEnd w:id="66"/>
    <w:p w14:paraId="61B60E32">
      <w:pPr>
        <w:pStyle w:val="77"/>
        <w:spacing w:before="0"/>
        <w:ind w:firstLine="420"/>
        <w:rPr>
          <w:rFonts w:ascii="宋体" w:hAnsi="宋体" w:cs="宋体"/>
          <w:color w:val="auto"/>
          <w:sz w:val="21"/>
          <w:szCs w:val="21"/>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1</w:t>
      </w:r>
      <w:r>
        <w:rPr>
          <w:rFonts w:ascii="宋体" w:hAnsi="宋体" w:cs="宋体"/>
          <w:color w:val="auto"/>
          <w:sz w:val="21"/>
          <w:szCs w:val="21"/>
          <w:highlight w:val="none"/>
        </w:rPr>
        <w:t>.</w:t>
      </w:r>
      <w:r>
        <w:rPr>
          <w:rFonts w:hint="eastAsia" w:ascii="宋体" w:hAnsi="宋体" w:cs="宋体"/>
          <w:color w:val="auto"/>
          <w:sz w:val="21"/>
          <w:szCs w:val="21"/>
          <w:highlight w:val="none"/>
        </w:rPr>
        <w:t>2在响应文件提交截止时间前，除供应商补充、修改或者撤回响应文件外，任何单位和个人不得解密或提取响应文件。</w:t>
      </w:r>
    </w:p>
    <w:p w14:paraId="382C1C64">
      <w:pPr>
        <w:spacing w:line="360" w:lineRule="auto"/>
        <w:ind w:firstLine="482" w:firstLineChars="200"/>
        <w:rPr>
          <w:rFonts w:ascii="黑体" w:hAnsi="黑体" w:eastAsia="黑体" w:cs="宋体"/>
          <w:b/>
          <w:bCs/>
          <w:color w:val="auto"/>
          <w:sz w:val="24"/>
          <w:highlight w:val="none"/>
        </w:rPr>
      </w:pPr>
      <w:bookmarkStart w:id="67" w:name="_Hlk45702405"/>
      <w:r>
        <w:rPr>
          <w:rFonts w:hint="eastAsia" w:ascii="黑体" w:hAnsi="黑体" w:eastAsia="黑体" w:cs="宋体"/>
          <w:b/>
          <w:bCs/>
          <w:color w:val="auto"/>
          <w:sz w:val="24"/>
          <w:highlight w:val="none"/>
        </w:rPr>
        <w:t>22.响应文件的退回</w:t>
      </w:r>
    </w:p>
    <w:p w14:paraId="0500522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14:paraId="63FEB4DF">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23.截止时间后的撤回</w:t>
      </w:r>
    </w:p>
    <w:p w14:paraId="3552BB6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供应商在响应文件提交截止时间后向采购人、采购代理机构书面申请撤回响应文件的，将根据本须知正文17.4的规定不予退还其磋商保证金。</w:t>
      </w:r>
    </w:p>
    <w:bookmarkEnd w:id="67"/>
    <w:p w14:paraId="5D41645A">
      <w:pPr>
        <w:spacing w:line="360" w:lineRule="auto"/>
        <w:rPr>
          <w:rFonts w:ascii="宋体" w:hAnsi="宋体"/>
          <w:color w:val="auto"/>
          <w:szCs w:val="21"/>
          <w:highlight w:val="none"/>
        </w:rPr>
      </w:pPr>
    </w:p>
    <w:p w14:paraId="571B3B8A">
      <w:pPr>
        <w:spacing w:line="360" w:lineRule="auto"/>
        <w:ind w:left="420" w:firstLine="420"/>
        <w:jc w:val="center"/>
        <w:rPr>
          <w:rFonts w:ascii="宋体" w:hAnsi="宋体"/>
          <w:b/>
          <w:bCs/>
          <w:color w:val="auto"/>
          <w:sz w:val="32"/>
          <w:szCs w:val="32"/>
          <w:highlight w:val="none"/>
        </w:rPr>
      </w:pPr>
      <w:r>
        <w:rPr>
          <w:rFonts w:hint="eastAsia" w:ascii="宋体" w:hAnsi="宋体"/>
          <w:b/>
          <w:bCs/>
          <w:color w:val="auto"/>
          <w:sz w:val="32"/>
          <w:szCs w:val="32"/>
          <w:highlight w:val="none"/>
        </w:rPr>
        <w:t>四、评审及磋商</w:t>
      </w:r>
    </w:p>
    <w:p w14:paraId="4E50179E">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24.磋商小组成立</w:t>
      </w:r>
    </w:p>
    <w:p w14:paraId="5E02A1E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及以上单数组成。</w:t>
      </w:r>
    </w:p>
    <w:p w14:paraId="6EB38FF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25BAF7C5">
      <w:pPr>
        <w:spacing w:line="360" w:lineRule="auto"/>
        <w:ind w:firstLine="420" w:firstLineChars="200"/>
        <w:rPr>
          <w:rFonts w:hAnsi="宋体"/>
          <w:bCs/>
          <w:color w:val="auto"/>
          <w:szCs w:val="21"/>
          <w:highlight w:val="none"/>
        </w:rPr>
      </w:pPr>
      <w:r>
        <w:rPr>
          <w:rFonts w:hint="eastAsia" w:ascii="宋体" w:hAnsi="宋体" w:cs="宋体"/>
          <w:color w:val="auto"/>
          <w:szCs w:val="21"/>
          <w:highlight w:val="none"/>
        </w:rPr>
        <w:t>24.3</w:t>
      </w:r>
      <w:r>
        <w:rPr>
          <w:rFonts w:hint="eastAsia" w:hAnsi="宋体"/>
          <w:bCs/>
          <w:color w:val="auto"/>
          <w:szCs w:val="21"/>
          <w:highlight w:val="none"/>
        </w:rPr>
        <w:t>采购代理机构</w:t>
      </w:r>
      <w:r>
        <w:rPr>
          <w:rFonts w:hint="eastAsia" w:hAnsi="宋体"/>
          <w:bCs/>
          <w:color w:val="auto"/>
          <w:highlight w:val="none"/>
        </w:rPr>
        <w:t>应当</w:t>
      </w:r>
      <w:r>
        <w:rPr>
          <w:rFonts w:hint="eastAsia" w:hAnsi="宋体"/>
          <w:bCs/>
          <w:color w:val="auto"/>
          <w:szCs w:val="21"/>
          <w:highlight w:val="none"/>
        </w:rPr>
        <w:t>基于广西政府采购云平台</w:t>
      </w:r>
      <w:r>
        <w:rPr>
          <w:rFonts w:hint="eastAsia" w:hAnsi="宋体"/>
          <w:bCs/>
          <w:color w:val="auto"/>
          <w:highlight w:val="none"/>
        </w:rPr>
        <w:t>抽（选）取</w:t>
      </w:r>
      <w:r>
        <w:rPr>
          <w:rFonts w:hint="eastAsia" w:hAnsi="宋体"/>
          <w:bCs/>
          <w:color w:val="auto"/>
          <w:szCs w:val="21"/>
          <w:highlight w:val="none"/>
        </w:rPr>
        <w:t>评审专家。</w:t>
      </w:r>
    </w:p>
    <w:p w14:paraId="3BDED8E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24.4参加过采购项目前期咨询论证的专家，不得参加该采购项目的评审活动。</w:t>
      </w:r>
    </w:p>
    <w:p w14:paraId="08CEC431">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25.</w:t>
      </w:r>
      <w:r>
        <w:rPr>
          <w:rFonts w:hint="eastAsia" w:ascii="黑体" w:hAnsi="黑体" w:eastAsia="黑体" w:cs="宋体"/>
          <w:b/>
          <w:bCs/>
          <w:color w:val="auto"/>
          <w:sz w:val="24"/>
          <w:highlight w:val="none"/>
        </w:rPr>
        <w:t>首次响应文件的开启和解密</w:t>
      </w:r>
    </w:p>
    <w:p w14:paraId="302BB4C3">
      <w:pPr>
        <w:spacing w:line="360" w:lineRule="auto"/>
        <w:ind w:firstLine="420" w:firstLineChars="200"/>
        <w:rPr>
          <w:rFonts w:ascii="宋体" w:hAnsi="宋体" w:cs="宋体"/>
          <w:color w:val="auto"/>
          <w:szCs w:val="21"/>
          <w:highlight w:val="none"/>
        </w:rPr>
      </w:pPr>
      <w:r>
        <w:rPr>
          <w:rFonts w:hint="eastAsia" w:hAnsi="宋体"/>
          <w:bCs/>
          <w:color w:val="auto"/>
          <w:highlight w:val="none"/>
        </w:rPr>
        <w:t>采购代理机构将在“供应商须知前附表”规定的时</w:t>
      </w:r>
      <w:r>
        <w:rPr>
          <w:rFonts w:hint="eastAsia" w:hAnsi="宋体"/>
          <w:color w:val="auto"/>
          <w:highlight w:val="none"/>
        </w:rPr>
        <w:t>间通过电子交易平台组织响应文件开启，供应商的法定代表人或其委托代理人须使用加密</w:t>
      </w:r>
      <w:r>
        <w:rPr>
          <w:rFonts w:hint="eastAsia" w:ascii="宋体" w:hAnsi="宋体"/>
          <w:color w:val="auto"/>
          <w:highlight w:val="none"/>
        </w:rPr>
        <w:t>时所用的CA锁，按平台</w:t>
      </w:r>
      <w:r>
        <w:rPr>
          <w:rFonts w:hint="eastAsia" w:hAnsi="宋体"/>
          <w:color w:val="auto"/>
          <w:highlight w:val="none"/>
        </w:rPr>
        <w:t>提示和磋商文件的规定登录到广西政府采购云平台电子开标大厅签到，</w:t>
      </w:r>
      <w:r>
        <w:rPr>
          <w:rFonts w:hint="eastAsia"/>
          <w:color w:val="auto"/>
          <w:highlight w:val="none"/>
        </w:rPr>
        <w:t>采购代理机构依托广西政府采购云平台向各供应商发出电子加密响应文件【开始解密】通知，由供应商按</w:t>
      </w:r>
      <w:r>
        <w:rPr>
          <w:rFonts w:hint="eastAsia" w:hAnsi="宋体"/>
          <w:bCs/>
          <w:color w:val="auto"/>
          <w:szCs w:val="21"/>
          <w:highlight w:val="none"/>
        </w:rPr>
        <w:t>“供应商须知前附表”</w:t>
      </w:r>
      <w:r>
        <w:rPr>
          <w:rFonts w:hint="eastAsia"/>
          <w:color w:val="auto"/>
          <w:highlight w:val="none"/>
        </w:rPr>
        <w:t>规定的时间内自行进行响应文件解密</w:t>
      </w:r>
      <w:r>
        <w:rPr>
          <w:rFonts w:hint="eastAsia" w:hAnsi="宋体"/>
          <w:color w:val="auto"/>
          <w:highlight w:val="none"/>
        </w:rPr>
        <w:t>。</w:t>
      </w:r>
      <w:r>
        <w:rPr>
          <w:rFonts w:hint="eastAsia"/>
          <w:b/>
          <w:color w:val="auto"/>
          <w:highlight w:val="none"/>
        </w:rPr>
        <w:t>供应商未在</w:t>
      </w:r>
      <w:r>
        <w:rPr>
          <w:b/>
          <w:color w:val="auto"/>
          <w:highlight w:val="none"/>
        </w:rPr>
        <w:t>规定的时间内解密</w:t>
      </w:r>
      <w:r>
        <w:rPr>
          <w:rFonts w:hint="eastAsia"/>
          <w:b/>
          <w:color w:val="auto"/>
          <w:highlight w:val="none"/>
        </w:rPr>
        <w:t>响应文件</w:t>
      </w:r>
      <w:r>
        <w:rPr>
          <w:b/>
          <w:color w:val="auto"/>
          <w:highlight w:val="none"/>
        </w:rPr>
        <w:t>或</w:t>
      </w:r>
      <w:r>
        <w:rPr>
          <w:rFonts w:hint="eastAsia"/>
          <w:b/>
          <w:color w:val="auto"/>
          <w:highlight w:val="none"/>
        </w:rPr>
        <w:t>者</w:t>
      </w:r>
      <w:r>
        <w:rPr>
          <w:b/>
          <w:color w:val="auto"/>
          <w:highlight w:val="none"/>
        </w:rPr>
        <w:t>解密失败的</w:t>
      </w:r>
      <w:r>
        <w:rPr>
          <w:rFonts w:hint="eastAsia"/>
          <w:b/>
          <w:color w:val="auto"/>
          <w:highlight w:val="none"/>
        </w:rPr>
        <w:t>，供应商</w:t>
      </w:r>
      <w:r>
        <w:rPr>
          <w:rFonts w:hint="eastAsia" w:ascii="宋体" w:hAnsi="宋体"/>
          <w:b/>
          <w:color w:val="auto"/>
          <w:szCs w:val="21"/>
          <w:highlight w:val="none"/>
        </w:rPr>
        <w:t>的响应文件作无效处理</w:t>
      </w:r>
      <w:r>
        <w:rPr>
          <w:b/>
          <w:color w:val="auto"/>
          <w:highlight w:val="none"/>
        </w:rPr>
        <w:t>。</w:t>
      </w:r>
    </w:p>
    <w:p w14:paraId="134BAD32">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26</w:t>
      </w:r>
      <w:r>
        <w:rPr>
          <w:rFonts w:hint="eastAsia" w:ascii="黑体" w:hAnsi="黑体" w:eastAsia="黑体" w:cs="宋体"/>
          <w:b/>
          <w:bCs/>
          <w:color w:val="auto"/>
          <w:sz w:val="24"/>
          <w:highlight w:val="none"/>
        </w:rPr>
        <w:t>.评审程序、评审方法和评审标准</w:t>
      </w:r>
    </w:p>
    <w:p w14:paraId="1263285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w:t>
      </w:r>
      <w:r>
        <w:rPr>
          <w:rFonts w:hint="eastAsia" w:ascii="宋体" w:hAnsi="宋体" w:cs="宋体"/>
          <w:color w:val="auto"/>
          <w:szCs w:val="21"/>
          <w:highlight w:val="none"/>
        </w:rPr>
        <w:t>.1本项目的评审方法为综合评分法。</w:t>
      </w:r>
    </w:p>
    <w:p w14:paraId="3E8A708D">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26.2</w:t>
      </w:r>
      <w:r>
        <w:rPr>
          <w:rFonts w:hint="eastAsia" w:ascii="宋体" w:hAnsi="宋体" w:cs="宋体"/>
          <w:color w:val="auto"/>
          <w:szCs w:val="21"/>
          <w:highlight w:val="none"/>
        </w:rPr>
        <w:t>磋商小组</w:t>
      </w:r>
      <w:r>
        <w:rPr>
          <w:rFonts w:ascii="宋体" w:hAnsi="宋体" w:cs="宋体"/>
          <w:color w:val="auto"/>
          <w:szCs w:val="21"/>
          <w:highlight w:val="none"/>
        </w:rPr>
        <w:t>按照</w:t>
      </w:r>
      <w:r>
        <w:rPr>
          <w:rFonts w:hint="eastAsia" w:ascii="宋体" w:hAnsi="宋体" w:cs="宋体"/>
          <w:color w:val="auto"/>
          <w:szCs w:val="21"/>
          <w:highlight w:val="none"/>
        </w:rPr>
        <w:t>“第四章 评审程序、评审方法和评审标准”</w:t>
      </w:r>
      <w:r>
        <w:rPr>
          <w:rFonts w:ascii="宋体" w:hAnsi="宋体" w:cs="宋体"/>
          <w:color w:val="auto"/>
          <w:szCs w:val="21"/>
          <w:highlight w:val="none"/>
        </w:rPr>
        <w:t>规定的方法、评审因素、标准和程序对</w:t>
      </w:r>
      <w:r>
        <w:rPr>
          <w:rFonts w:hint="eastAsia" w:ascii="宋体" w:hAnsi="宋体" w:cs="宋体"/>
          <w:color w:val="auto"/>
          <w:szCs w:val="21"/>
          <w:highlight w:val="none"/>
        </w:rPr>
        <w:t>响应</w:t>
      </w:r>
      <w:r>
        <w:rPr>
          <w:rFonts w:ascii="宋体" w:hAnsi="宋体" w:cs="宋体"/>
          <w:color w:val="auto"/>
          <w:szCs w:val="21"/>
          <w:highlight w:val="none"/>
        </w:rPr>
        <w:t>文件进行评审。</w:t>
      </w:r>
    </w:p>
    <w:p w14:paraId="6DAB0BE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 xml:space="preserve">6.3 </w:t>
      </w:r>
      <w:r>
        <w:rPr>
          <w:rFonts w:hint="eastAsia" w:ascii="宋体" w:hAnsi="宋体"/>
          <w:color w:val="auto"/>
          <w:szCs w:val="21"/>
          <w:highlight w:val="none"/>
        </w:rPr>
        <w:t>商务/技术要求允许负偏离的条款数详见“供应商须知前附表”。</w:t>
      </w:r>
    </w:p>
    <w:p w14:paraId="45A73943">
      <w:pPr>
        <w:spacing w:line="360" w:lineRule="auto"/>
        <w:ind w:firstLine="420" w:firstLineChars="200"/>
        <w:rPr>
          <w:rFonts w:ascii="宋体" w:hAnsi="宋体"/>
          <w:color w:val="auto"/>
          <w:szCs w:val="21"/>
          <w:highlight w:val="none"/>
        </w:rPr>
      </w:pPr>
      <w:r>
        <w:rPr>
          <w:rFonts w:hint="eastAsia" w:ascii="宋体" w:hAnsi="宋体" w:cs="宋体"/>
          <w:color w:val="auto"/>
          <w:highlight w:val="none"/>
        </w:rPr>
        <w:t>26.</w:t>
      </w:r>
      <w:r>
        <w:rPr>
          <w:rFonts w:ascii="宋体" w:hAnsi="宋体" w:cs="宋体"/>
          <w:color w:val="auto"/>
          <w:highlight w:val="none"/>
        </w:rPr>
        <w:t>4</w:t>
      </w:r>
      <w:r>
        <w:rPr>
          <w:rFonts w:hint="eastAsia" w:ascii="宋体" w:hAnsi="宋体" w:cs="宋体"/>
          <w:color w:val="auto"/>
          <w:highlight w:val="none"/>
        </w:rPr>
        <w:t>磋商小组成员要依法独立评审，并对评审意见承担个人责任。磋商小组成员对需要共同认定的事项存在争议的，按照少数服从多数的原则作出结论。持不同意见的磋商小组成员应当在评审报告上签署不同意见并说明理由，否则视为同意。</w:t>
      </w:r>
    </w:p>
    <w:p w14:paraId="2BF4C31F">
      <w:pPr>
        <w:spacing w:line="360" w:lineRule="auto"/>
        <w:ind w:firstLine="420" w:firstLineChars="200"/>
        <w:rPr>
          <w:rFonts w:hAnsi="宋体"/>
          <w:color w:val="auto"/>
          <w:highlight w:val="none"/>
        </w:rPr>
      </w:pPr>
      <w:r>
        <w:rPr>
          <w:rFonts w:hint="eastAsia" w:ascii="宋体" w:hAnsi="宋体" w:cs="宋体"/>
          <w:color w:val="auto"/>
          <w:highlight w:val="none"/>
        </w:rPr>
        <w:t>2</w:t>
      </w:r>
      <w:r>
        <w:rPr>
          <w:rFonts w:ascii="宋体" w:hAnsi="宋体" w:cs="宋体"/>
          <w:color w:val="auto"/>
          <w:highlight w:val="none"/>
        </w:rPr>
        <w:t>6.5</w:t>
      </w:r>
      <w:r>
        <w:rPr>
          <w:rFonts w:hint="eastAsia" w:hAnsi="宋体"/>
          <w:color w:val="auto"/>
          <w:highlight w:val="none"/>
        </w:rPr>
        <w:t>电子交易活动的中止。采购过程中出现以下情形，导致电子交易平台无法正常运行，或者无法保证电子交易的公平、公正和安全时，采购机构可中止电子交易活动：</w:t>
      </w:r>
    </w:p>
    <w:p w14:paraId="60793343">
      <w:pPr>
        <w:spacing w:line="360" w:lineRule="auto"/>
        <w:ind w:firstLine="420" w:firstLineChars="200"/>
        <w:rPr>
          <w:rFonts w:ascii="宋体" w:hAnsi="宋体"/>
          <w:color w:val="auto"/>
          <w:highlight w:val="none"/>
        </w:rPr>
      </w:pPr>
      <w:r>
        <w:rPr>
          <w:rFonts w:hint="eastAsia" w:ascii="宋体" w:hAnsi="宋体"/>
          <w:color w:val="auto"/>
          <w:highlight w:val="none"/>
        </w:rPr>
        <w:t xml:space="preserve">（1）电子交易平台发生故障而无法登录访问的； </w:t>
      </w:r>
    </w:p>
    <w:p w14:paraId="671FF954">
      <w:pPr>
        <w:spacing w:line="360" w:lineRule="auto"/>
        <w:ind w:firstLine="420" w:firstLineChars="200"/>
        <w:rPr>
          <w:rFonts w:ascii="宋体" w:hAnsi="宋体"/>
          <w:color w:val="auto"/>
          <w:highlight w:val="none"/>
        </w:rPr>
      </w:pPr>
      <w:r>
        <w:rPr>
          <w:rFonts w:hint="eastAsia" w:ascii="宋体" w:hAnsi="宋体"/>
          <w:color w:val="auto"/>
          <w:highlight w:val="none"/>
        </w:rPr>
        <w:t>（2）电子交易平台应用或数据库出现错误，不能进行正常操作的；</w:t>
      </w:r>
    </w:p>
    <w:p w14:paraId="1261F5D2">
      <w:pPr>
        <w:spacing w:line="360" w:lineRule="auto"/>
        <w:ind w:firstLine="420" w:firstLineChars="200"/>
        <w:rPr>
          <w:rFonts w:ascii="宋体" w:hAnsi="宋体"/>
          <w:color w:val="auto"/>
          <w:highlight w:val="none"/>
        </w:rPr>
      </w:pPr>
      <w:r>
        <w:rPr>
          <w:rFonts w:hint="eastAsia" w:ascii="宋体" w:hAnsi="宋体"/>
          <w:color w:val="auto"/>
          <w:highlight w:val="none"/>
        </w:rPr>
        <w:t>（3）电子交易平台发现严重安全漏洞，有潜在泄密危险的；</w:t>
      </w:r>
    </w:p>
    <w:p w14:paraId="7E7299E1">
      <w:pPr>
        <w:spacing w:line="360" w:lineRule="auto"/>
        <w:ind w:firstLine="420" w:firstLineChars="200"/>
        <w:rPr>
          <w:rFonts w:ascii="宋体" w:hAnsi="宋体"/>
          <w:color w:val="auto"/>
          <w:highlight w:val="none"/>
        </w:rPr>
      </w:pPr>
      <w:r>
        <w:rPr>
          <w:rFonts w:hint="eastAsia" w:ascii="宋体" w:hAnsi="宋体"/>
          <w:color w:val="auto"/>
          <w:highlight w:val="none"/>
        </w:rPr>
        <w:t xml:space="preserve">（4）病毒发作导致不能进行正常操作的； </w:t>
      </w:r>
    </w:p>
    <w:p w14:paraId="2CF8266B">
      <w:pPr>
        <w:spacing w:line="360" w:lineRule="auto"/>
        <w:ind w:firstLine="420" w:firstLineChars="200"/>
        <w:rPr>
          <w:rFonts w:hAnsi="宋体"/>
          <w:color w:val="auto"/>
          <w:highlight w:val="none"/>
        </w:rPr>
      </w:pPr>
      <w:r>
        <w:rPr>
          <w:rFonts w:hint="eastAsia" w:ascii="宋体" w:hAnsi="宋体"/>
          <w:color w:val="auto"/>
          <w:highlight w:val="none"/>
        </w:rPr>
        <w:t>（5）</w:t>
      </w:r>
      <w:r>
        <w:rPr>
          <w:rFonts w:hint="eastAsia" w:hAnsi="宋体"/>
          <w:color w:val="auto"/>
          <w:highlight w:val="none"/>
        </w:rPr>
        <w:t>其他无法保证电子交易的公平、公正和安全的情况。</w:t>
      </w:r>
    </w:p>
    <w:p w14:paraId="2D121310">
      <w:pPr>
        <w:spacing w:line="360" w:lineRule="auto"/>
        <w:ind w:firstLine="420" w:firstLineChars="200"/>
        <w:rPr>
          <w:rFonts w:ascii="宋体" w:hAnsi="宋体" w:cs="宋体"/>
          <w:color w:val="auto"/>
          <w:szCs w:val="21"/>
          <w:highlight w:val="none"/>
        </w:rPr>
      </w:pPr>
      <w:r>
        <w:rPr>
          <w:rFonts w:hint="eastAsia" w:ascii="宋体" w:hAnsi="宋体"/>
          <w:color w:val="auto"/>
          <w:highlight w:val="none"/>
        </w:rPr>
        <w:t>26.</w:t>
      </w:r>
      <w:r>
        <w:rPr>
          <w:rFonts w:ascii="宋体" w:hAnsi="宋体"/>
          <w:color w:val="auto"/>
          <w:highlight w:val="none"/>
        </w:rPr>
        <w:t>6</w:t>
      </w:r>
      <w:r>
        <w:rPr>
          <w:rFonts w:hint="eastAsia" w:hAnsi="宋体"/>
          <w:color w:val="auto"/>
          <w:highlight w:val="none"/>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做出妥善保密处理，并报财政部门备案。</w:t>
      </w:r>
    </w:p>
    <w:p w14:paraId="569DA0A7">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27</w:t>
      </w:r>
      <w:r>
        <w:rPr>
          <w:rFonts w:hint="eastAsia" w:ascii="黑体" w:hAnsi="黑体" w:eastAsia="黑体" w:cs="宋体"/>
          <w:b/>
          <w:bCs/>
          <w:color w:val="auto"/>
          <w:sz w:val="24"/>
          <w:highlight w:val="none"/>
        </w:rPr>
        <w:t>.确定成交供应商及结果公告</w:t>
      </w:r>
    </w:p>
    <w:p w14:paraId="2B3DEF6A">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.1</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4E0998D5">
      <w:pPr>
        <w:spacing w:line="360" w:lineRule="auto"/>
        <w:ind w:firstLine="420" w:firstLineChars="200"/>
        <w:rPr>
          <w:rFonts w:ascii="宋体" w:hAnsi="宋体" w:cs="Courier New"/>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.2采购代理机构应当在</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68" w:name="_Hlk66782294"/>
      <w:r>
        <w:rPr>
          <w:rFonts w:hint="eastAsia" w:ascii="宋体" w:hAnsi="宋体" w:cs="Courier New"/>
          <w:color w:val="auto"/>
          <w:szCs w:val="21"/>
          <w:highlight w:val="none"/>
        </w:rPr>
        <w:t>成交供应商享受</w:t>
      </w:r>
      <w:r>
        <w:rPr>
          <w:rFonts w:hint="eastAsia" w:ascii="宋体" w:hAnsi="宋体"/>
          <w:color w:val="auto"/>
          <w:szCs w:val="21"/>
          <w:highlight w:val="none"/>
        </w:rPr>
        <w:t>《政府采购促进中小企业发展管理办法》（财库〔2020〕46号）规定的中小企业扶持</w:t>
      </w:r>
      <w:r>
        <w:rPr>
          <w:rFonts w:hint="eastAsia" w:ascii="宋体" w:hAnsi="宋体" w:cs="Courier New"/>
          <w:color w:val="auto"/>
          <w:szCs w:val="21"/>
          <w:highlight w:val="none"/>
        </w:rPr>
        <w:t>政策的，采购人、采购代理机构应当随成交结果公开成交供应商的《中小企业声明函》。</w:t>
      </w:r>
      <w:bookmarkEnd w:id="68"/>
    </w:p>
    <w:p w14:paraId="3141E601">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27.3出现下列情形之一的，采购人或者采购代理机构应当终止竞争性磋商采购活动，发布项目终止公告并说明原因，重新开展采购活动：</w:t>
      </w:r>
    </w:p>
    <w:p w14:paraId="1699A233">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（1）因情况变化，不再符合规定的竞争性磋商采购方式适用情形的；</w:t>
      </w:r>
    </w:p>
    <w:p w14:paraId="47B6D644">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（2）出现影响采购公正的违法、违规行为的；</w:t>
      </w:r>
    </w:p>
    <w:p w14:paraId="1B936964">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（3）除“第四章 评审程序、评审方法和评审标准”第4.3条规定的情形外，在采购过程中符合要求的供应商或者报价未超过采购预算的供应商不足3家的。</w:t>
      </w:r>
    </w:p>
    <w:p w14:paraId="4792E5CF">
      <w:pPr>
        <w:spacing w:line="360" w:lineRule="auto"/>
        <w:ind w:firstLine="420" w:firstLineChars="200"/>
        <w:rPr>
          <w:rFonts w:ascii="宋体" w:hAnsi="宋体" w:cs="宋体"/>
          <w:color w:val="auto"/>
          <w:szCs w:val="21"/>
          <w:highlight w:val="none"/>
        </w:rPr>
      </w:pPr>
      <w:r>
        <w:rPr>
          <w:rFonts w:hint="eastAsia" w:ascii="宋体" w:hAnsi="宋体" w:cs="Courier New"/>
          <w:color w:val="auto"/>
          <w:szCs w:val="21"/>
          <w:highlight w:val="none"/>
        </w:rPr>
        <w:t>27.4 在采购活动中因重大变故，采购任务取消的，采购人或者采购代理机构应当终止采购活动，通知所有参加采购活动的供应商，并将项目实施情况和采购任务取消原因报送本级财政部门。</w:t>
      </w:r>
    </w:p>
    <w:p w14:paraId="2266A78A">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28</w:t>
      </w:r>
      <w:r>
        <w:rPr>
          <w:rFonts w:hint="eastAsia" w:ascii="黑体" w:hAnsi="黑体" w:eastAsia="黑体" w:cs="宋体"/>
          <w:b/>
          <w:bCs/>
          <w:color w:val="auto"/>
          <w:sz w:val="24"/>
          <w:highlight w:val="none"/>
        </w:rPr>
        <w:t>.履约保证金</w:t>
      </w:r>
    </w:p>
    <w:p w14:paraId="26C9E386">
      <w:pPr>
        <w:spacing w:line="360" w:lineRule="auto"/>
        <w:ind w:firstLine="424" w:firstLineChars="202"/>
        <w:rPr>
          <w:rFonts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.1</w:t>
      </w:r>
      <w:r>
        <w:rPr>
          <w:rFonts w:ascii="宋体" w:hAnsi="宋体" w:cs="宋体"/>
          <w:color w:val="auto"/>
          <w:szCs w:val="21"/>
          <w:highlight w:val="none"/>
        </w:rPr>
        <w:t xml:space="preserve"> </w:t>
      </w:r>
      <w:r>
        <w:rPr>
          <w:rFonts w:hint="eastAsia" w:ascii="宋体" w:hAnsi="宋体" w:cs="宋体"/>
          <w:color w:val="auto"/>
          <w:szCs w:val="21"/>
          <w:highlight w:val="none"/>
        </w:rPr>
        <w:t>履约保证金的金额、提交方式、缴纳期限、履约保证金退付方式、时间及条件详见“供应商须知前附表”。成交供应商未按规定提交履约保证金的，视为拒绝</w:t>
      </w:r>
      <w:r>
        <w:rPr>
          <w:rFonts w:ascii="宋体" w:hAnsi="宋体"/>
          <w:color w:val="auto"/>
          <w:highlight w:val="none"/>
        </w:rPr>
        <w:t>与采购人</w:t>
      </w:r>
      <w:r>
        <w:rPr>
          <w:rFonts w:hint="eastAsia" w:ascii="宋体" w:hAnsi="宋体" w:cs="宋体"/>
          <w:color w:val="auto"/>
          <w:szCs w:val="21"/>
          <w:highlight w:val="none"/>
        </w:rPr>
        <w:t>签订合同。</w:t>
      </w:r>
    </w:p>
    <w:p w14:paraId="73A7BA7E">
      <w:pPr>
        <w:spacing w:line="360" w:lineRule="auto"/>
        <w:ind w:firstLine="424" w:firstLineChars="202"/>
        <w:rPr>
          <w:rFonts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.2在履约保证金退还日期前，若成交供应商的开户名称、开户银行、账号有变动的，请以书面形式通知履约保证金收取单位，否则由此产生的后果由成交供应商自行承担。</w:t>
      </w:r>
    </w:p>
    <w:p w14:paraId="1645E52C">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29</w:t>
      </w:r>
      <w:r>
        <w:rPr>
          <w:rFonts w:hint="eastAsia" w:ascii="黑体" w:hAnsi="黑体" w:eastAsia="黑体" w:cs="宋体"/>
          <w:b/>
          <w:bCs/>
          <w:color w:val="auto"/>
          <w:sz w:val="24"/>
          <w:highlight w:val="none"/>
        </w:rPr>
        <w:t>.签订合同</w:t>
      </w:r>
    </w:p>
    <w:p w14:paraId="1B5080BF">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29.1签订电子采购合同：成交供应商获取电子成交通知书后，在</w:t>
      </w:r>
      <w:r>
        <w:rPr>
          <w:rFonts w:hint="eastAsia" w:ascii="宋体" w:hAnsi="宋体" w:cs="宋体"/>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3DCDAAAC">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线下签订纸质合同：供应商获取成交通知书后，按“供应商须知前附表”规定向采购人出示相关证明材料，经采购人核验合格后方可签订合同。</w:t>
      </w:r>
    </w:p>
    <w:p w14:paraId="6906BDBF">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14:paraId="037F22FB">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w:t>
      </w:r>
      <w:r>
        <w:rPr>
          <w:rFonts w:ascii="宋体" w:hAnsi="宋体" w:cs="宋体"/>
          <w:color w:val="auto"/>
          <w:szCs w:val="21"/>
          <w:highlight w:val="none"/>
        </w:rPr>
        <w:t>3</w:t>
      </w:r>
      <w:r>
        <w:rPr>
          <w:rFonts w:hint="eastAsia" w:ascii="宋体" w:hAnsi="宋体" w:cs="宋体"/>
          <w:color w:val="auto"/>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20E96FA2">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126B143E">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6F96E975">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14:paraId="3A6AC05E">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30</w:t>
      </w:r>
      <w:r>
        <w:rPr>
          <w:rFonts w:hint="eastAsia" w:ascii="黑体" w:hAnsi="黑体" w:eastAsia="黑体" w:cs="宋体"/>
          <w:b/>
          <w:bCs/>
          <w:color w:val="auto"/>
          <w:sz w:val="24"/>
          <w:highlight w:val="none"/>
        </w:rPr>
        <w:t>.政府采购合同公告</w:t>
      </w:r>
    </w:p>
    <w:p w14:paraId="27F569D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2B11B1D1">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31</w:t>
      </w:r>
      <w:r>
        <w:rPr>
          <w:rFonts w:hint="eastAsia" w:ascii="黑体" w:hAnsi="黑体" w:eastAsia="黑体" w:cs="宋体"/>
          <w:b/>
          <w:bCs/>
          <w:color w:val="auto"/>
          <w:sz w:val="24"/>
          <w:highlight w:val="none"/>
        </w:rPr>
        <w:t>.询问、质疑和投诉</w:t>
      </w:r>
    </w:p>
    <w:p w14:paraId="214D44C5">
      <w:pPr>
        <w:pStyle w:val="7"/>
        <w:spacing w:line="360" w:lineRule="auto"/>
        <w:rPr>
          <w:rFonts w:ascii="宋体" w:hAnsi="宋体"/>
          <w:color w:val="auto"/>
          <w:szCs w:val="21"/>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highlight w:val="none"/>
        </w:rPr>
        <w:t>但答复的内容不得涉及商业秘密</w:t>
      </w:r>
      <w:r>
        <w:rPr>
          <w:rFonts w:hint="eastAsia" w:ascii="宋体" w:hAnsi="宋体" w:cs="宋体"/>
          <w:color w:val="auto"/>
          <w:highlight w:val="none"/>
        </w:rPr>
        <w:t>。</w:t>
      </w:r>
    </w:p>
    <w:p w14:paraId="7720D1F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color w:val="auto"/>
          <w:highlight w:val="none"/>
          <w:shd w:val="clear" w:color="auto" w:fill="FFFFFF"/>
        </w:rPr>
        <w:t>接收质疑函的方式、联系部门、联系电话和通讯地址等信息</w:t>
      </w:r>
      <w:r>
        <w:rPr>
          <w:rFonts w:hint="eastAsia" w:ascii="宋体" w:hAnsi="宋体" w:cs="Arial"/>
          <w:color w:val="auto"/>
          <w:highlight w:val="none"/>
          <w:shd w:val="clear" w:color="auto" w:fill="FFFFFF"/>
        </w:rPr>
        <w:t>详见</w:t>
      </w:r>
      <w:r>
        <w:rPr>
          <w:rFonts w:hint="eastAsia" w:ascii="宋体" w:hAnsi="宋体" w:cs="宋体"/>
          <w:color w:val="auto"/>
          <w:szCs w:val="21"/>
          <w:highlight w:val="none"/>
        </w:rPr>
        <w:t>“供应商须知前附表”</w:t>
      </w:r>
      <w:r>
        <w:rPr>
          <w:rFonts w:hint="eastAsia" w:ascii="宋体" w:hAnsi="宋体" w:cs="宋体"/>
          <w:color w:val="auto"/>
          <w:highlight w:val="none"/>
        </w:rPr>
        <w:t>。具体质疑起算时间如下：</w:t>
      </w:r>
    </w:p>
    <w:p w14:paraId="7AB8D9F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（1）对可以质疑的磋商文件提出质疑的，为收到磋商文件之日或者</w:t>
      </w:r>
      <w:r>
        <w:rPr>
          <w:rFonts w:hint="eastAsia" w:ascii="宋体" w:hAnsi="宋体"/>
          <w:color w:val="auto"/>
          <w:highlight w:val="none"/>
        </w:rPr>
        <w:t>竞争性磋商公告期限届满之日</w:t>
      </w:r>
      <w:r>
        <w:rPr>
          <w:rFonts w:hint="eastAsia" w:ascii="宋体" w:hAnsi="宋体" w:cs="宋体"/>
          <w:color w:val="auto"/>
          <w:highlight w:val="none"/>
        </w:rPr>
        <w:t>；</w:t>
      </w:r>
    </w:p>
    <w:p w14:paraId="3D739ED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183E253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1BB9D08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77FA44A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.4 供应商提出质疑应当提交质疑函和必要的证明材料，针对同一采购程序环节的质疑必须在法定质疑期内一次性提出。质疑函应当包括下列内容</w:t>
      </w:r>
      <w:r>
        <w:rPr>
          <w:rFonts w:hint="eastAsia" w:hAnsi="宋体"/>
          <w:bCs/>
          <w:color w:val="auto"/>
          <w:highlight w:val="none"/>
        </w:rPr>
        <w:t>（质疑函格式后附）</w:t>
      </w:r>
      <w:r>
        <w:rPr>
          <w:rFonts w:hint="eastAsia" w:ascii="宋体" w:hAnsi="宋体" w:cs="宋体"/>
          <w:color w:val="auto"/>
          <w:highlight w:val="none"/>
        </w:rPr>
        <w:t>：</w:t>
      </w:r>
    </w:p>
    <w:p w14:paraId="6A30592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27075E2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（2）质疑项目的名称、编号；</w:t>
      </w:r>
    </w:p>
    <w:p w14:paraId="46B96A7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（3）具体、明确的质疑事项和与质疑事项相关的请求；</w:t>
      </w:r>
    </w:p>
    <w:p w14:paraId="2B4D6B8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2D6D497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（5）必要的法律依据；</w:t>
      </w:r>
    </w:p>
    <w:p w14:paraId="245293D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（6）提出质疑的日期。</w:t>
      </w:r>
    </w:p>
    <w:p w14:paraId="2C0F622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5590B50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1.5</w:t>
      </w:r>
      <w:r>
        <w:rPr>
          <w:rFonts w:hint="eastAsia" w:ascii="宋体" w:hAnsi="宋体" w:cs="宋体"/>
          <w:color w:val="auto"/>
          <w:highlight w:val="none"/>
        </w:rPr>
        <w:t>采购人、采购代理机构认为供应商质疑不成立，或者成立但未对成交结果构成影响的，继续开展采购活动；认为供应商质疑成立且影响或者可能影响成交结果的，按照下列情况处理：</w:t>
      </w:r>
    </w:p>
    <w:p w14:paraId="796438E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131D67B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37975F9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0B7B888C">
      <w:pPr>
        <w:spacing w:line="360" w:lineRule="auto"/>
        <w:ind w:firstLine="420" w:firstLineChars="200"/>
        <w:rPr>
          <w:rFonts w:ascii="宋体" w:hAnsi="宋体" w:cs="宋体"/>
          <w:color w:val="auto"/>
          <w:szCs w:val="21"/>
          <w:highlight w:val="none"/>
        </w:rPr>
      </w:pPr>
      <w:r>
        <w:rPr>
          <w:rFonts w:ascii="宋体" w:hAnsi="宋体" w:cs="宋体"/>
          <w:color w:val="auto"/>
          <w:highlight w:val="none"/>
        </w:rPr>
        <w:t>31</w:t>
      </w: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732292AC">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32</w:t>
      </w:r>
      <w:r>
        <w:rPr>
          <w:rFonts w:hint="eastAsia" w:ascii="黑体" w:hAnsi="黑体" w:eastAsia="黑体" w:cs="宋体"/>
          <w:b/>
          <w:bCs/>
          <w:color w:val="auto"/>
          <w:sz w:val="24"/>
          <w:highlight w:val="none"/>
        </w:rPr>
        <w:t>.其他内容</w:t>
      </w:r>
    </w:p>
    <w:p w14:paraId="6AFDCC2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采购代理服务费支付方式、收取标准及收取账户详见“供应商须知前附表”。</w:t>
      </w:r>
    </w:p>
    <w:p w14:paraId="4D3BB148">
      <w:pPr>
        <w:tabs>
          <w:tab w:val="left" w:pos="2835"/>
        </w:tabs>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ascii="黑体" w:hAnsi="黑体" w:eastAsia="黑体" w:cs="宋体"/>
          <w:b/>
          <w:bCs/>
          <w:color w:val="auto"/>
          <w:sz w:val="24"/>
          <w:highlight w:val="none"/>
        </w:rPr>
        <w:t>3.需要补充的其他内容</w:t>
      </w:r>
    </w:p>
    <w:p w14:paraId="0326C7A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3.1</w:t>
      </w:r>
      <w:r>
        <w:rPr>
          <w:rFonts w:hint="eastAsia" w:ascii="宋体" w:hAnsi="宋体" w:cs="宋体"/>
          <w:color w:val="auto"/>
          <w:highlight w:val="none"/>
        </w:rPr>
        <w:t>本磋商文件解释规则详见“供应商须知前附表”。</w:t>
      </w:r>
    </w:p>
    <w:p w14:paraId="1B44E3FB">
      <w:pPr>
        <w:spacing w:line="360" w:lineRule="auto"/>
        <w:ind w:firstLine="420" w:firstLineChars="200"/>
        <w:rPr>
          <w:rFonts w:ascii="宋体" w:hAnsi="宋体" w:cs="宋体"/>
          <w:color w:val="auto"/>
          <w:highlight w:val="none"/>
        </w:rPr>
      </w:pPr>
      <w:r>
        <w:rPr>
          <w:rFonts w:ascii="宋体" w:hAnsi="宋体" w:cs="宋体"/>
          <w:color w:val="auto"/>
          <w:highlight w:val="none"/>
        </w:rPr>
        <w:t>33.2</w:t>
      </w:r>
      <w:r>
        <w:rPr>
          <w:rFonts w:hint="eastAsia" w:ascii="宋体" w:hAnsi="宋体" w:cs="宋体"/>
          <w:color w:val="auto"/>
          <w:highlight w:val="none"/>
        </w:rPr>
        <w:t xml:space="preserve"> 其他事项详见“供应商须知前附表”。</w:t>
      </w:r>
    </w:p>
    <w:p w14:paraId="1202688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3.3</w:t>
      </w:r>
      <w:r>
        <w:rPr>
          <w:rFonts w:hint="eastAsia" w:ascii="宋体" w:hAnsi="宋体" w:cs="宋体"/>
          <w:color w:val="auto"/>
          <w:highlight w:val="none"/>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59F3E588">
      <w:pPr>
        <w:pStyle w:val="18"/>
        <w:spacing w:line="360" w:lineRule="auto"/>
        <w:ind w:firstLine="420" w:firstLineChars="200"/>
        <w:contextualSpacing/>
        <w:rPr>
          <w:rFonts w:hAnsi="宋体"/>
          <w:color w:val="auto"/>
          <w:sz w:val="21"/>
          <w:highlight w:val="none"/>
        </w:rPr>
      </w:pPr>
      <w:r>
        <w:rPr>
          <w:rFonts w:hint="eastAsia" w:hAnsi="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7DBA8FD6">
      <w:pPr>
        <w:pStyle w:val="18"/>
        <w:spacing w:line="360" w:lineRule="auto"/>
        <w:ind w:firstLine="420" w:firstLineChars="200"/>
        <w:contextualSpacing/>
        <w:rPr>
          <w:rFonts w:hAnsi="宋体"/>
          <w:color w:val="auto"/>
          <w:sz w:val="21"/>
          <w:highlight w:val="none"/>
        </w:rPr>
      </w:pPr>
      <w:r>
        <w:rPr>
          <w:rFonts w:hint="eastAsia" w:hAnsi="宋体"/>
          <w:color w:val="auto"/>
          <w:sz w:val="21"/>
          <w:highlight w:val="none"/>
        </w:rPr>
        <w:t>（2）在工程采购项目中，工程由中小企业承建，即工程施工单位为中小企业，不对其中涉及的货物的制造商和服务的承接商作出要求；</w:t>
      </w:r>
    </w:p>
    <w:p w14:paraId="170195DA">
      <w:pPr>
        <w:pStyle w:val="18"/>
        <w:spacing w:line="360" w:lineRule="auto"/>
        <w:ind w:firstLine="420" w:firstLineChars="200"/>
        <w:contextualSpacing/>
        <w:rPr>
          <w:rFonts w:hAnsi="宋体"/>
          <w:color w:val="auto"/>
          <w:sz w:val="21"/>
          <w:highlight w:val="none"/>
        </w:rPr>
      </w:pPr>
      <w:r>
        <w:rPr>
          <w:rFonts w:hint="eastAsia" w:hAnsi="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5FF35DF3">
      <w:pPr>
        <w:pStyle w:val="18"/>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51D57502">
      <w:pPr>
        <w:pStyle w:val="18"/>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依据本磋商文件规定享受扶持政策获得政府采购合同的，小微企业不得将合同分包给大中型企业，中型企业不得将合同分包给大型企业。</w:t>
      </w:r>
    </w:p>
    <w:p w14:paraId="44558686">
      <w:pPr>
        <w:pStyle w:val="18"/>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33.4广西线上“政采贷”政策（</w:t>
      </w:r>
      <w:r>
        <w:rPr>
          <w:rFonts w:hint="eastAsia" w:hAnsi="宋体" w:cs="宋体"/>
          <w:color w:val="auto"/>
          <w:kern w:val="2"/>
          <w:sz w:val="21"/>
          <w:highlight w:val="none"/>
          <w:lang w:eastAsia="zh-CN"/>
        </w:rPr>
        <w:t>具体详见</w:t>
      </w:r>
      <w:r>
        <w:rPr>
          <w:rFonts w:hint="eastAsia" w:hAnsi="宋体" w:cs="宋体"/>
          <w:color w:val="auto"/>
          <w:kern w:val="2"/>
          <w:sz w:val="21"/>
          <w:highlight w:val="none"/>
        </w:rPr>
        <w:t>附件）</w:t>
      </w:r>
    </w:p>
    <w:p w14:paraId="2AE56CDB">
      <w:pPr>
        <w:pStyle w:val="18"/>
        <w:spacing w:line="360" w:lineRule="auto"/>
        <w:textAlignment w:val="center"/>
        <w:rPr>
          <w:rFonts w:hAnsi="宋体" w:cs="宋体"/>
          <w:b/>
          <w:bCs/>
          <w:color w:val="auto"/>
          <w:kern w:val="2"/>
          <w:sz w:val="36"/>
          <w:szCs w:val="36"/>
          <w:highlight w:val="none"/>
        </w:rPr>
      </w:pPr>
      <w:r>
        <w:rPr>
          <w:rFonts w:hAnsi="宋体" w:cs="宋体"/>
          <w:color w:val="auto"/>
          <w:kern w:val="2"/>
          <w:sz w:val="21"/>
          <w:highlight w:val="none"/>
        </w:rPr>
        <w:br w:type="page"/>
      </w:r>
      <w:r>
        <w:rPr>
          <w:rFonts w:hint="eastAsia" w:hAnsi="宋体" w:cs="宋体"/>
          <w:b/>
          <w:bCs/>
          <w:color w:val="auto"/>
          <w:kern w:val="2"/>
          <w:sz w:val="36"/>
          <w:szCs w:val="36"/>
          <w:highlight w:val="none"/>
        </w:rPr>
        <w:t>附件：</w:t>
      </w:r>
    </w:p>
    <w:p w14:paraId="7F48EC84">
      <w:pPr>
        <w:pStyle w:val="18"/>
        <w:spacing w:line="360" w:lineRule="auto"/>
        <w:ind w:firstLine="400" w:firstLineChars="200"/>
        <w:textAlignment w:val="center"/>
        <w:rPr>
          <w:rFonts w:hAnsi="宋体" w:cs="宋体"/>
          <w:color w:val="auto"/>
          <w:kern w:val="2"/>
          <w:sz w:val="21"/>
          <w:highlight w:val="none"/>
        </w:rPr>
      </w:pPr>
      <w:r>
        <w:rPr>
          <w:color w:val="auto"/>
          <w:highlight w:val="none"/>
        </w:rPr>
        <w:drawing>
          <wp:inline distT="0" distB="0" distL="114300" distR="114300">
            <wp:extent cx="5576570" cy="7905115"/>
            <wp:effectExtent l="0" t="0" r="5080" b="635"/>
            <wp:docPr id="1" name="图片 1" descr="20220713213524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220713213524288"/>
                    <pic:cNvPicPr>
                      <a:picLocks noChangeAspect="1"/>
                    </pic:cNvPicPr>
                  </pic:nvPicPr>
                  <pic:blipFill>
                    <a:blip r:embed="rId9"/>
                    <a:stretch>
                      <a:fillRect/>
                    </a:stretch>
                  </pic:blipFill>
                  <pic:spPr>
                    <a:xfrm>
                      <a:off x="0" y="0"/>
                      <a:ext cx="5576570" cy="7905115"/>
                    </a:xfrm>
                    <a:prstGeom prst="rect">
                      <a:avLst/>
                    </a:prstGeom>
                    <a:noFill/>
                    <a:ln>
                      <a:noFill/>
                    </a:ln>
                  </pic:spPr>
                </pic:pic>
              </a:graphicData>
            </a:graphic>
          </wp:inline>
        </w:drawing>
      </w:r>
    </w:p>
    <w:p w14:paraId="25E50056">
      <w:pPr>
        <w:pStyle w:val="2"/>
        <w:spacing w:before="0" w:after="0"/>
        <w:jc w:val="center"/>
        <w:rPr>
          <w:color w:val="auto"/>
          <w:highlight w:val="none"/>
        </w:rPr>
      </w:pPr>
      <w:r>
        <w:rPr>
          <w:rFonts w:hAnsi="宋体" w:cs="宋体"/>
          <w:color w:val="auto"/>
          <w:kern w:val="2"/>
          <w:sz w:val="21"/>
          <w:highlight w:val="none"/>
        </w:rPr>
        <w:br w:type="page"/>
      </w:r>
      <w:bookmarkStart w:id="69" w:name="_Toc182816499"/>
      <w:r>
        <w:rPr>
          <w:rFonts w:hint="eastAsia"/>
          <w:color w:val="auto"/>
          <w:highlight w:val="none"/>
        </w:rPr>
        <w:t>第三章 采购需求</w:t>
      </w:r>
      <w:bookmarkEnd w:id="69"/>
    </w:p>
    <w:p w14:paraId="24AFEECC">
      <w:pPr>
        <w:spacing w:line="440" w:lineRule="exact"/>
        <w:jc w:val="left"/>
        <w:rPr>
          <w:rFonts w:ascii="宋体" w:hAnsi="宋体" w:cs="宋体"/>
          <w:b/>
          <w:color w:val="auto"/>
          <w:szCs w:val="21"/>
          <w:highlight w:val="none"/>
        </w:rPr>
      </w:pPr>
      <w:r>
        <w:rPr>
          <w:rFonts w:hint="eastAsia" w:ascii="宋体" w:hAnsi="宋体" w:cs="宋体"/>
          <w:b/>
          <w:color w:val="auto"/>
          <w:szCs w:val="21"/>
          <w:highlight w:val="none"/>
        </w:rPr>
        <w:t>I</w:t>
      </w:r>
      <w:r>
        <w:rPr>
          <w:rFonts w:ascii="宋体" w:hAnsi="宋体" w:cs="宋体"/>
          <w:b/>
          <w:color w:val="auto"/>
          <w:szCs w:val="21"/>
          <w:highlight w:val="none"/>
        </w:rPr>
        <w:t>.</w:t>
      </w:r>
      <w:r>
        <w:rPr>
          <w:rFonts w:hint="eastAsia" w:ascii="宋体" w:hAnsi="宋体" w:cs="宋体"/>
          <w:b/>
          <w:color w:val="auto"/>
          <w:szCs w:val="21"/>
          <w:highlight w:val="none"/>
        </w:rPr>
        <w:t>说明：</w:t>
      </w:r>
    </w:p>
    <w:p w14:paraId="548764D8">
      <w:pPr>
        <w:spacing w:line="440" w:lineRule="exact"/>
        <w:ind w:firstLine="420" w:firstLineChars="200"/>
        <w:jc w:val="left"/>
        <w:rPr>
          <w:rFonts w:ascii="宋体" w:hAnsi="宋体"/>
          <w:color w:val="auto"/>
          <w:highlight w:val="none"/>
        </w:rPr>
      </w:pPr>
      <w:r>
        <w:rPr>
          <w:rFonts w:hint="eastAsia" w:ascii="宋体" w:hAnsi="宋体"/>
          <w:color w:val="auto"/>
          <w:highlight w:val="none"/>
        </w:rPr>
        <w:t>1.</w:t>
      </w:r>
      <w:r>
        <w:rPr>
          <w:rFonts w:hint="eastAsia" w:ascii="宋体" w:hAnsi="宋体" w:cs="宋体"/>
          <w:color w:val="auto"/>
          <w:szCs w:val="21"/>
          <w:highlight w:val="none"/>
        </w:rPr>
        <w:t>为落实政府采购政策需满足的要求</w:t>
      </w:r>
    </w:p>
    <w:p w14:paraId="2C3384A2">
      <w:pPr>
        <w:spacing w:line="440" w:lineRule="exact"/>
        <w:ind w:firstLine="420" w:firstLineChars="200"/>
        <w:jc w:val="left"/>
        <w:rPr>
          <w:rFonts w:ascii="宋体" w:hAnsi="宋体"/>
          <w:color w:val="auto"/>
          <w:highlight w:val="none"/>
        </w:rPr>
      </w:pPr>
      <w:r>
        <w:rPr>
          <w:rFonts w:hint="eastAsia" w:ascii="宋体" w:hAnsi="宋体" w:cs="宋体"/>
          <w:color w:val="auto"/>
          <w:szCs w:val="21"/>
          <w:highlight w:val="none"/>
        </w:rPr>
        <w:t>（1）本竞争性磋商文件所称中小企业必须符合《政府采购促进中小企业发展管理办法》（财库〔</w:t>
      </w:r>
      <w:r>
        <w:rPr>
          <w:rFonts w:ascii="宋体" w:hAnsi="宋体" w:cs="宋体"/>
          <w:color w:val="auto"/>
          <w:szCs w:val="21"/>
          <w:highlight w:val="none"/>
        </w:rPr>
        <w:t>2020</w:t>
      </w:r>
      <w:r>
        <w:rPr>
          <w:rFonts w:hint="eastAsia" w:ascii="宋体" w:hAnsi="宋体" w:cs="宋体"/>
          <w:color w:val="auto"/>
          <w:szCs w:val="21"/>
          <w:highlight w:val="none"/>
        </w:rPr>
        <w:t>〕</w:t>
      </w:r>
      <w:r>
        <w:rPr>
          <w:rFonts w:ascii="宋体" w:hAnsi="宋体" w:cs="宋体"/>
          <w:color w:val="auto"/>
          <w:szCs w:val="21"/>
          <w:highlight w:val="none"/>
        </w:rPr>
        <w:t>46</w:t>
      </w:r>
      <w:r>
        <w:rPr>
          <w:rFonts w:hint="eastAsia" w:ascii="宋体" w:hAnsi="宋体" w:cs="宋体"/>
          <w:color w:val="auto"/>
          <w:szCs w:val="21"/>
          <w:highlight w:val="none"/>
        </w:rPr>
        <w:t>号）及</w:t>
      </w:r>
      <w:r>
        <w:rPr>
          <w:rFonts w:hint="eastAsia" w:ascii="宋体" w:hAnsi="宋体" w:cs="宋体"/>
          <w:color w:val="auto"/>
          <w:kern w:val="0"/>
          <w:szCs w:val="21"/>
          <w:highlight w:val="none"/>
        </w:rPr>
        <w:t>《广西壮族自治区财政厅关于持续优化政府采购营商环境推动高质量发展的通知》（桂财采〔2024〕55号）</w:t>
      </w:r>
      <w:r>
        <w:rPr>
          <w:rFonts w:hint="eastAsia" w:ascii="宋体" w:hAnsi="宋体" w:cs="宋体"/>
          <w:color w:val="auto"/>
          <w:szCs w:val="21"/>
          <w:highlight w:val="none"/>
        </w:rPr>
        <w:t>的规定（具体型型标准详见“附件  中小企业划型标准规定”）。供应商提供的服务全部由符合政策要求的小微企业承接，响应文件中提供《中小企业声明函》的，其最后报价给予</w:t>
      </w:r>
      <w:r>
        <w:rPr>
          <w:rFonts w:hint="eastAsia" w:ascii="宋体" w:hAnsi="宋体" w:cs="宋体"/>
          <w:color w:val="auto"/>
          <w:szCs w:val="21"/>
          <w:highlight w:val="none"/>
          <w:lang w:val="en-US" w:eastAsia="zh-CN"/>
        </w:rPr>
        <w:t>10</w:t>
      </w:r>
      <w:r>
        <w:rPr>
          <w:rFonts w:ascii="宋体" w:hAnsi="宋体" w:cs="宋体"/>
          <w:color w:val="auto"/>
          <w:szCs w:val="21"/>
          <w:highlight w:val="none"/>
        </w:rPr>
        <w:t>%</w:t>
      </w:r>
      <w:r>
        <w:rPr>
          <w:rFonts w:hint="eastAsia" w:ascii="宋体" w:hAnsi="宋体" w:cs="宋体"/>
          <w:color w:val="auto"/>
          <w:szCs w:val="21"/>
          <w:highlight w:val="none"/>
        </w:rPr>
        <w:t>的扣除。本项目非专门面向中小微企业采购</w:t>
      </w:r>
      <w:r>
        <w:rPr>
          <w:rFonts w:hint="eastAsia" w:ascii="宋体" w:hAnsi="宋体"/>
          <w:color w:val="auto"/>
          <w:highlight w:val="none"/>
        </w:rPr>
        <w:t>。</w:t>
      </w:r>
    </w:p>
    <w:p w14:paraId="7C5AA821">
      <w:pPr>
        <w:spacing w:line="380" w:lineRule="exact"/>
        <w:ind w:firstLine="424" w:firstLineChars="202"/>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）根据财政部、司法部关于政府采购支持监狱企业发展有关问题的通知（财库</w:t>
      </w:r>
      <w:r>
        <w:rPr>
          <w:rFonts w:ascii="宋体" w:hAnsi="宋体" w:cs="宋体"/>
          <w:color w:val="auto"/>
          <w:szCs w:val="21"/>
          <w:highlight w:val="none"/>
        </w:rPr>
        <w:t>[2014]68</w:t>
      </w:r>
      <w:r>
        <w:rPr>
          <w:rFonts w:hint="eastAsia" w:ascii="宋体" w:hAnsi="宋体" w:cs="宋体"/>
          <w:color w:val="auto"/>
          <w:szCs w:val="21"/>
          <w:highlight w:val="none"/>
        </w:rPr>
        <w:t>号），监狱企业视同小型、微型企业，享受预留份额等政府采购政策。</w:t>
      </w:r>
      <w:r>
        <w:rPr>
          <w:rFonts w:hint="eastAsia" w:ascii="宋体" w:hAnsi="宋体"/>
          <w:color w:val="auto"/>
          <w:szCs w:val="21"/>
          <w:highlight w:val="none"/>
        </w:rPr>
        <w:t>监狱企业</w:t>
      </w:r>
      <w:r>
        <w:rPr>
          <w:rFonts w:hint="eastAsia" w:ascii="宋体" w:hAnsi="宋体"/>
          <w:bCs/>
          <w:color w:val="auto"/>
          <w:highlight w:val="none"/>
        </w:rPr>
        <w:t>属于小型、微型企业的，不重复享受政策。</w:t>
      </w:r>
    </w:p>
    <w:p w14:paraId="1747F0D1">
      <w:pPr>
        <w:spacing w:line="380" w:lineRule="exact"/>
        <w:ind w:firstLine="424" w:firstLineChars="202"/>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）按照《关于促进残疾人就业政府采购政策的通知》（财库〔</w:t>
      </w:r>
      <w:r>
        <w:rPr>
          <w:rFonts w:ascii="宋体" w:hAnsi="宋体" w:cs="宋体"/>
          <w:color w:val="auto"/>
          <w:szCs w:val="21"/>
          <w:highlight w:val="none"/>
        </w:rPr>
        <w:t>2017</w:t>
      </w:r>
      <w:r>
        <w:rPr>
          <w:rFonts w:hint="eastAsia" w:ascii="宋体" w:hAnsi="宋体" w:cs="宋体"/>
          <w:color w:val="auto"/>
          <w:szCs w:val="21"/>
          <w:highlight w:val="none"/>
        </w:rPr>
        <w:t>〕</w:t>
      </w:r>
      <w:r>
        <w:rPr>
          <w:rFonts w:ascii="宋体" w:hAnsi="宋体" w:cs="宋体"/>
          <w:color w:val="auto"/>
          <w:szCs w:val="21"/>
          <w:highlight w:val="none"/>
        </w:rPr>
        <w:t>141</w:t>
      </w:r>
      <w:r>
        <w:rPr>
          <w:rFonts w:hint="eastAsia" w:ascii="宋体" w:hAnsi="宋体" w:cs="宋体"/>
          <w:color w:val="auto"/>
          <w:szCs w:val="21"/>
          <w:highlight w:val="none"/>
        </w:rPr>
        <w:t>号）的规定，残疾人福利性单位视同小型、微型企业，享受预留份额等促进中小企业发展的政府采购政策。残疾人福利性单位属于小型、微型企业的，不重复享受政策。</w:t>
      </w:r>
    </w:p>
    <w:p w14:paraId="1F1A19A7">
      <w:pPr>
        <w:spacing w:line="440" w:lineRule="exact"/>
        <w:ind w:firstLine="420" w:firstLineChars="200"/>
        <w:jc w:val="left"/>
        <w:rPr>
          <w:rFonts w:ascii="宋体" w:hAnsi="宋体"/>
          <w:color w:val="auto"/>
          <w:highlight w:val="none"/>
        </w:rPr>
      </w:pPr>
      <w:r>
        <w:rPr>
          <w:rFonts w:hint="eastAsia" w:ascii="宋体" w:hAnsi="宋体"/>
          <w:color w:val="auto"/>
          <w:highlight w:val="none"/>
        </w:rPr>
        <w:t>2.供应商必须自行为其竞标产品（或服务）侵犯他人的知识产权或者专利成果或其他合法权益的行为承担相应法律责任。</w:t>
      </w:r>
    </w:p>
    <w:p w14:paraId="3C936108">
      <w:pPr>
        <w:spacing w:line="440" w:lineRule="exact"/>
        <w:ind w:firstLine="422" w:firstLineChars="200"/>
        <w:jc w:val="left"/>
        <w:rPr>
          <w:rFonts w:ascii="宋体" w:hAnsi="宋体"/>
          <w:b/>
          <w:bCs/>
          <w:color w:val="auto"/>
          <w:highlight w:val="none"/>
        </w:rPr>
      </w:pPr>
      <w:r>
        <w:rPr>
          <w:rFonts w:ascii="宋体" w:hAnsi="宋体"/>
          <w:b/>
          <w:color w:val="auto"/>
          <w:highlight w:val="none"/>
        </w:rPr>
        <w:t>3.</w:t>
      </w:r>
      <w:r>
        <w:rPr>
          <w:rFonts w:hint="eastAsia" w:ascii="宋体" w:hAnsi="宋体"/>
          <w:b/>
          <w:color w:val="auto"/>
          <w:highlight w:val="none"/>
        </w:rPr>
        <w:t>“实质性要求”是指磋商文件中已经指明不满足则响应文件按无效响应处理的条款，或者不能负偏离的条款，或者采购需求中带“▲”的条款。若有一项负偏离，响应文件按无效处理。</w:t>
      </w:r>
      <w:r>
        <w:rPr>
          <w:rFonts w:hint="eastAsia" w:ascii="宋体" w:hAnsi="宋体"/>
          <w:b/>
          <w:bCs/>
          <w:color w:val="auto"/>
          <w:highlight w:val="none"/>
        </w:rPr>
        <w:t>本项目“采购需求”的“技术要求”中未标注 “▲”号的技术要求允许发生负偏离的条款数累计最多为15项，未标注 “▲”号的技术参数要求竞标响应时存在负偏离数≥16项时，响应文件按无效处理。</w:t>
      </w:r>
    </w:p>
    <w:p w14:paraId="774F2565">
      <w:pPr>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I</w:t>
      </w:r>
      <w:r>
        <w:rPr>
          <w:rFonts w:ascii="宋体" w:hAnsi="宋体" w:cs="宋体"/>
          <w:b/>
          <w:color w:val="auto"/>
          <w:szCs w:val="21"/>
          <w:highlight w:val="none"/>
        </w:rPr>
        <w:t>I.</w:t>
      </w:r>
      <w:r>
        <w:rPr>
          <w:rFonts w:hint="eastAsia" w:ascii="宋体" w:hAnsi="宋体" w:cs="宋体"/>
          <w:b/>
          <w:color w:val="auto"/>
          <w:szCs w:val="21"/>
          <w:highlight w:val="none"/>
        </w:rPr>
        <w:t>采购需求一览表：</w:t>
      </w:r>
    </w:p>
    <w:p w14:paraId="2A74954C">
      <w:pPr>
        <w:spacing w:line="360" w:lineRule="auto"/>
        <w:jc w:val="left"/>
        <w:rPr>
          <w:rFonts w:ascii="宋体" w:hAnsi="宋体"/>
          <w:b/>
          <w:color w:val="auto"/>
          <w:sz w:val="24"/>
          <w:highlight w:val="none"/>
        </w:rPr>
      </w:pPr>
      <w:r>
        <w:rPr>
          <w:rFonts w:hint="eastAsia" w:ascii="宋体" w:hAnsi="宋体"/>
          <w:b/>
          <w:color w:val="auto"/>
          <w:sz w:val="24"/>
          <w:highlight w:val="none"/>
        </w:rPr>
        <w:t>用途:本次采购标的用于教学科研使用</w:t>
      </w:r>
    </w:p>
    <w:tbl>
      <w:tblPr>
        <w:tblStyle w:val="28"/>
        <w:tblW w:w="893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75"/>
        <w:gridCol w:w="992"/>
        <w:gridCol w:w="1073"/>
        <w:gridCol w:w="5091"/>
      </w:tblGrid>
      <w:tr w14:paraId="3E05F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8931" w:type="dxa"/>
            <w:gridSpan w:val="4"/>
          </w:tcPr>
          <w:p w14:paraId="5C841A2E">
            <w:pPr>
              <w:tabs>
                <w:tab w:val="left" w:pos="180"/>
                <w:tab w:val="left" w:pos="1620"/>
              </w:tabs>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一、采购需求</w:t>
            </w:r>
          </w:p>
        </w:tc>
      </w:tr>
      <w:tr w14:paraId="6D66C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trPr>
        <w:tc>
          <w:tcPr>
            <w:tcW w:w="1775" w:type="dxa"/>
            <w:vAlign w:val="center"/>
          </w:tcPr>
          <w:p w14:paraId="29E392FE">
            <w:pPr>
              <w:tabs>
                <w:tab w:val="left" w:pos="180"/>
                <w:tab w:val="left" w:pos="1620"/>
              </w:tabs>
              <w:spacing w:line="400" w:lineRule="exact"/>
              <w:jc w:val="center"/>
              <w:rPr>
                <w:rFonts w:ascii="宋体" w:hAnsi="宋体" w:cs="宋体"/>
                <w:color w:val="auto"/>
                <w:szCs w:val="21"/>
                <w:highlight w:val="none"/>
              </w:rPr>
            </w:pPr>
            <w:r>
              <w:rPr>
                <w:rFonts w:hint="eastAsia" w:ascii="宋体" w:hAnsi="宋体" w:cs="宋体"/>
                <w:color w:val="auto"/>
                <w:szCs w:val="21"/>
                <w:highlight w:val="none"/>
              </w:rPr>
              <w:t>采购标的名称</w:t>
            </w:r>
          </w:p>
        </w:tc>
        <w:tc>
          <w:tcPr>
            <w:tcW w:w="992" w:type="dxa"/>
            <w:vAlign w:val="center"/>
          </w:tcPr>
          <w:p w14:paraId="597F6A09">
            <w:pPr>
              <w:tabs>
                <w:tab w:val="left" w:pos="180"/>
                <w:tab w:val="left" w:pos="1620"/>
              </w:tabs>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数量及单位</w:t>
            </w:r>
          </w:p>
        </w:tc>
        <w:tc>
          <w:tcPr>
            <w:tcW w:w="1073" w:type="dxa"/>
            <w:vAlign w:val="center"/>
          </w:tcPr>
          <w:p w14:paraId="54BEB82B">
            <w:pPr>
              <w:tabs>
                <w:tab w:val="left" w:pos="180"/>
                <w:tab w:val="left" w:pos="1620"/>
              </w:tabs>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所属</w:t>
            </w:r>
          </w:p>
          <w:p w14:paraId="7EC7FC81">
            <w:pPr>
              <w:tabs>
                <w:tab w:val="left" w:pos="180"/>
                <w:tab w:val="left" w:pos="1620"/>
              </w:tabs>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行业</w:t>
            </w:r>
          </w:p>
        </w:tc>
        <w:tc>
          <w:tcPr>
            <w:tcW w:w="5091" w:type="dxa"/>
            <w:vAlign w:val="center"/>
          </w:tcPr>
          <w:p w14:paraId="1DBB918E">
            <w:pPr>
              <w:tabs>
                <w:tab w:val="left" w:pos="180"/>
                <w:tab w:val="left" w:pos="1620"/>
              </w:tabs>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技术要求</w:t>
            </w:r>
          </w:p>
        </w:tc>
      </w:tr>
      <w:tr w14:paraId="0AE97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1775" w:type="dxa"/>
            <w:vAlign w:val="center"/>
          </w:tcPr>
          <w:p w14:paraId="199648A1">
            <w:pPr>
              <w:tabs>
                <w:tab w:val="left" w:pos="180"/>
                <w:tab w:val="left" w:pos="1620"/>
              </w:tabs>
              <w:spacing w:line="400" w:lineRule="exact"/>
              <w:jc w:val="center"/>
              <w:rPr>
                <w:rFonts w:ascii="宋体" w:hAnsi="宋体" w:cs="宋体"/>
                <w:color w:val="auto"/>
                <w:szCs w:val="21"/>
                <w:highlight w:val="none"/>
              </w:rPr>
            </w:pPr>
            <w:r>
              <w:rPr>
                <w:rFonts w:hint="eastAsia" w:ascii="宋体" w:hAnsi="宋体"/>
                <w:color w:val="auto"/>
                <w:szCs w:val="21"/>
                <w:highlight w:val="none"/>
              </w:rPr>
              <w:t>校园管理AI服务平台建设</w:t>
            </w:r>
          </w:p>
        </w:tc>
        <w:tc>
          <w:tcPr>
            <w:tcW w:w="992" w:type="dxa"/>
            <w:vAlign w:val="center"/>
          </w:tcPr>
          <w:p w14:paraId="11867F0E">
            <w:pPr>
              <w:tabs>
                <w:tab w:val="left" w:pos="180"/>
                <w:tab w:val="left" w:pos="1620"/>
              </w:tabs>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1项</w:t>
            </w:r>
          </w:p>
        </w:tc>
        <w:tc>
          <w:tcPr>
            <w:tcW w:w="1073" w:type="dxa"/>
            <w:vAlign w:val="center"/>
          </w:tcPr>
          <w:p w14:paraId="598B2D83">
            <w:pPr>
              <w:tabs>
                <w:tab w:val="left" w:pos="180"/>
                <w:tab w:val="left" w:pos="1620"/>
              </w:tabs>
              <w:spacing w:line="400" w:lineRule="exact"/>
              <w:jc w:val="center"/>
              <w:rPr>
                <w:rFonts w:ascii="宋体" w:hAnsi="宋体" w:cs="宋体"/>
                <w:color w:val="auto"/>
                <w:szCs w:val="21"/>
                <w:highlight w:val="none"/>
              </w:rPr>
            </w:pPr>
            <w:r>
              <w:rPr>
                <w:rFonts w:hint="eastAsia" w:ascii="宋体" w:hAnsi="宋体" w:cs="宋体"/>
                <w:bCs/>
                <w:color w:val="auto"/>
                <w:szCs w:val="21"/>
                <w:highlight w:val="none"/>
              </w:rPr>
              <w:t>软件和信息技术服务业</w:t>
            </w:r>
          </w:p>
        </w:tc>
        <w:tc>
          <w:tcPr>
            <w:tcW w:w="5091" w:type="dxa"/>
            <w:vAlign w:val="center"/>
          </w:tcPr>
          <w:p w14:paraId="7DA51649">
            <w:pPr>
              <w:snapToGrid w:val="0"/>
              <w:spacing w:line="320" w:lineRule="exact"/>
              <w:jc w:val="left"/>
              <w:rPr>
                <w:rFonts w:ascii="宋体" w:hAnsi="宋体" w:cs="宋体"/>
                <w:color w:val="auto"/>
                <w:szCs w:val="21"/>
                <w:highlight w:val="none"/>
              </w:rPr>
            </w:pPr>
            <w:r>
              <w:rPr>
                <w:rFonts w:hint="eastAsia" w:ascii="宋体" w:hAnsi="宋体" w:cs="宋体"/>
                <w:color w:val="auto"/>
                <w:szCs w:val="21"/>
                <w:highlight w:val="none"/>
              </w:rPr>
              <w:t>一、校园管理AI服务平台1套</w:t>
            </w:r>
          </w:p>
          <w:p w14:paraId="572A2210">
            <w:pPr>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（一）GPU服务器技术需求</w:t>
            </w:r>
          </w:p>
          <w:p w14:paraId="368DB90E">
            <w:pPr>
              <w:snapToGrid w:val="0"/>
              <w:spacing w:line="320" w:lineRule="exact"/>
              <w:rPr>
                <w:rFonts w:ascii="宋体" w:hAnsi="宋体" w:cs="宋体"/>
                <w:b/>
                <w:bCs/>
                <w:color w:val="auto"/>
                <w:szCs w:val="21"/>
                <w:highlight w:val="none"/>
              </w:rPr>
            </w:pPr>
            <w:r>
              <w:rPr>
                <w:rFonts w:hint="eastAsia" w:ascii="宋体" w:hAnsi="宋体" w:cs="宋体"/>
                <w:b/>
                <w:bCs/>
                <w:color w:val="auto"/>
                <w:szCs w:val="21"/>
                <w:highlight w:val="none"/>
              </w:rPr>
              <w:t>▲1.数量：GPU服务器配备8台。</w:t>
            </w:r>
          </w:p>
          <w:p w14:paraId="69EAA6A6">
            <w:pPr>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2.每台GPU服务器技术需求如下：</w:t>
            </w:r>
          </w:p>
          <w:p w14:paraId="0DBAA2D1">
            <w:pPr>
              <w:snapToGrid w:val="0"/>
              <w:spacing w:line="320" w:lineRule="exact"/>
              <w:rPr>
                <w:rFonts w:ascii="宋体" w:hAnsi="宋体" w:cs="宋体"/>
                <w:color w:val="auto"/>
                <w:kern w:val="0"/>
                <w:sz w:val="22"/>
                <w:szCs w:val="22"/>
                <w:highlight w:val="none"/>
                <w:lang w:bidi="ar"/>
              </w:rPr>
            </w:pPr>
            <w:r>
              <w:rPr>
                <w:rFonts w:hint="eastAsia" w:ascii="宋体" w:hAnsi="宋体" w:cs="宋体"/>
                <w:color w:val="auto"/>
                <w:szCs w:val="21"/>
                <w:highlight w:val="none"/>
              </w:rPr>
              <w:t>（1）机架服务器，</w:t>
            </w:r>
            <w:r>
              <w:rPr>
                <w:rFonts w:hint="eastAsia" w:ascii="宋体" w:hAnsi="宋体" w:cs="宋体"/>
                <w:color w:val="auto"/>
                <w:kern w:val="0"/>
                <w:sz w:val="22"/>
                <w:szCs w:val="22"/>
                <w:highlight w:val="none"/>
                <w:lang w:bidi="ar"/>
              </w:rPr>
              <w:t>国产产品，具有自主知识产权。</w:t>
            </w:r>
          </w:p>
          <w:p w14:paraId="0924C8D1">
            <w:pPr>
              <w:snapToGrid w:val="0"/>
              <w:spacing w:line="320" w:lineRule="exac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Theme="minorEastAsia" w:hAnsiTheme="minorEastAsia" w:eastAsiaTheme="minorEastAsia"/>
                <w:b/>
                <w:bCs/>
                <w:color w:val="auto"/>
                <w:highlight w:val="none"/>
              </w:rPr>
              <w:t>配置≥2颗国产ARM架构处理器，处理器应符合安全测评要求，单颗处理器核数≥48核，基础频率≥2.6GHz。</w:t>
            </w:r>
          </w:p>
          <w:p w14:paraId="3CA78114">
            <w:pPr>
              <w:snapToGrid w:val="0"/>
              <w:spacing w:line="320" w:lineRule="exact"/>
              <w:rPr>
                <w:rFonts w:ascii="宋体" w:hAnsi="宋体" w:cs="宋体"/>
                <w:b/>
                <w:bCs/>
                <w:color w:val="auto"/>
                <w:szCs w:val="21"/>
                <w:highlight w:val="none"/>
              </w:rPr>
            </w:pPr>
            <w:r>
              <w:rPr>
                <w:rFonts w:hint="eastAsia" w:ascii="宋体" w:hAnsi="宋体" w:cs="宋体"/>
                <w:b/>
                <w:bCs/>
                <w:color w:val="auto"/>
                <w:szCs w:val="21"/>
                <w:highlight w:val="none"/>
              </w:rPr>
              <w:t>▲（3）支持内存类型：配置≥512G且≥3200MHz内存。</w:t>
            </w:r>
          </w:p>
          <w:p w14:paraId="6336B3A5">
            <w:pPr>
              <w:snapToGrid w:val="0"/>
              <w:spacing w:line="320" w:lineRule="exact"/>
              <w:rPr>
                <w:rFonts w:ascii="宋体" w:hAnsi="宋体" w:cs="宋体"/>
                <w:b/>
                <w:bCs/>
                <w:color w:val="auto"/>
                <w:szCs w:val="21"/>
                <w:highlight w:val="none"/>
              </w:rPr>
            </w:pPr>
            <w:r>
              <w:rPr>
                <w:rFonts w:hint="eastAsia" w:ascii="宋体" w:hAnsi="宋体" w:cs="宋体"/>
                <w:b/>
                <w:bCs/>
                <w:color w:val="auto"/>
                <w:szCs w:val="21"/>
                <w:highlight w:val="none"/>
              </w:rPr>
              <w:t>▲（4）配置≥2块且≥960GB  SSD硬盘，≥4块且≥3.84TB SSD硬盘。</w:t>
            </w:r>
          </w:p>
          <w:p w14:paraId="4EC913B2">
            <w:pPr>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（5）配置≥1块独立RAID卡，≥4G缓存，含超级电容，支持RAID 0/1/5/6/10/50/60。</w:t>
            </w:r>
          </w:p>
          <w:p w14:paraId="2E3B1FBC">
            <w:pPr>
              <w:snapToGrid w:val="0"/>
              <w:spacing w:line="320" w:lineRule="exact"/>
              <w:rPr>
                <w:rFonts w:ascii="宋体" w:hAnsi="宋体" w:cs="宋体"/>
                <w:b/>
                <w:bCs/>
                <w:color w:val="auto"/>
                <w:szCs w:val="21"/>
                <w:highlight w:val="none"/>
              </w:rPr>
            </w:pPr>
            <w:r>
              <w:rPr>
                <w:rFonts w:hint="eastAsia" w:ascii="宋体" w:hAnsi="宋体" w:cs="宋体"/>
                <w:b/>
                <w:bCs/>
                <w:color w:val="auto"/>
                <w:szCs w:val="21"/>
                <w:highlight w:val="none"/>
              </w:rPr>
              <w:t>▲（6）</w:t>
            </w:r>
            <w:r>
              <w:rPr>
                <w:rFonts w:hint="eastAsia" w:asciiTheme="minorEastAsia" w:hAnsiTheme="minorEastAsia" w:eastAsiaTheme="minorEastAsia"/>
                <w:b/>
                <w:bCs/>
                <w:color w:val="auto"/>
                <w:highlight w:val="none"/>
              </w:rPr>
              <w:t>GPU：配置≥4张算力卡，单卡内存≥96GB，单卡算力≥280 TOPS INT8，≥140 TFLOPS FP16，</w:t>
            </w:r>
            <w:r>
              <w:rPr>
                <w:rFonts w:asciiTheme="minorEastAsia" w:hAnsiTheme="minorEastAsia" w:eastAsiaTheme="minorEastAsia"/>
                <w:b/>
                <w:bCs/>
                <w:color w:val="auto"/>
                <w:highlight w:val="none"/>
              </w:rPr>
              <w:t>最大功耗≤150W</w:t>
            </w:r>
            <w:r>
              <w:rPr>
                <w:rFonts w:hint="eastAsia" w:ascii="宋体" w:hAnsi="宋体" w:cs="宋体"/>
                <w:b/>
                <w:bCs/>
                <w:color w:val="auto"/>
                <w:szCs w:val="21"/>
                <w:highlight w:val="none"/>
              </w:rPr>
              <w:t>。</w:t>
            </w:r>
          </w:p>
          <w:p w14:paraId="7052E02B">
            <w:pPr>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（7）配置≥4×25GE光口（满配多模光模块），≥4×GE电口。</w:t>
            </w:r>
          </w:p>
          <w:p w14:paraId="430DDFBD">
            <w:pPr>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（8）配置≥2个电源模块，</w:t>
            </w:r>
            <w:r>
              <w:rPr>
                <w:rFonts w:hint="eastAsia" w:asciiTheme="minorEastAsia" w:hAnsiTheme="minorEastAsia" w:eastAsiaTheme="minorEastAsia"/>
                <w:color w:val="auto"/>
                <w:highlight w:val="none"/>
              </w:rPr>
              <w:t>风扇：最大支持4个，支持N+1冗余</w:t>
            </w:r>
            <w:r>
              <w:rPr>
                <w:rFonts w:hint="eastAsia" w:ascii="宋体" w:hAnsi="宋体" w:cs="宋体"/>
                <w:color w:val="auto"/>
                <w:szCs w:val="21"/>
                <w:highlight w:val="none"/>
              </w:rPr>
              <w:t>。</w:t>
            </w:r>
          </w:p>
          <w:p w14:paraId="0E4AA2F5">
            <w:pPr>
              <w:snapToGrid w:val="0"/>
              <w:spacing w:line="320" w:lineRule="exact"/>
              <w:rPr>
                <w:rFonts w:ascii="宋体" w:hAnsi="宋体" w:cs="宋体" w:eastAsiaTheme="minorEastAsia"/>
                <w:color w:val="auto"/>
                <w:szCs w:val="21"/>
                <w:highlight w:val="none"/>
              </w:rPr>
            </w:pPr>
            <w:r>
              <w:rPr>
                <w:rFonts w:hint="eastAsia" w:ascii="宋体" w:hAnsi="宋体" w:cs="宋体"/>
                <w:color w:val="auto"/>
                <w:szCs w:val="21"/>
                <w:highlight w:val="none"/>
              </w:rPr>
              <w:t>（9）</w:t>
            </w:r>
            <w:r>
              <w:rPr>
                <w:rFonts w:hint="eastAsia" w:asciiTheme="minorEastAsia" w:hAnsiTheme="minorEastAsia" w:eastAsiaTheme="minorEastAsia"/>
                <w:color w:val="auto"/>
                <w:highlight w:val="none"/>
              </w:rPr>
              <w:t>环境温度：长期工作环境温度支持5-40度。</w:t>
            </w:r>
          </w:p>
          <w:p w14:paraId="0C6D97EB">
            <w:pPr>
              <w:snapToGrid w:val="0"/>
              <w:spacing w:line="320" w:lineRule="exact"/>
              <w:rPr>
                <w:rFonts w:hint="eastAsia" w:cs="Times New Roman" w:asciiTheme="minorEastAsia" w:hAnsiTheme="minorEastAsia" w:eastAsiaTheme="minorEastAsia"/>
                <w:color w:val="auto"/>
                <w:highlight w:val="none"/>
              </w:rPr>
            </w:pPr>
            <w:r>
              <w:rPr>
                <w:rFonts w:hint="eastAsia" w:ascii="宋体" w:hAnsi="宋体" w:cs="宋体"/>
                <w:color w:val="auto"/>
                <w:szCs w:val="21"/>
                <w:highlight w:val="none"/>
              </w:rPr>
              <w:t>（10）</w:t>
            </w:r>
            <w:r>
              <w:rPr>
                <w:rFonts w:hint="eastAsia" w:asciiTheme="minorEastAsia" w:hAnsiTheme="minorEastAsia" w:eastAsiaTheme="minorEastAsia"/>
                <w:color w:val="auto"/>
                <w:highlight w:val="none"/>
              </w:rPr>
              <w:t>BIOS：所竞产品BIOS支持图形化界面，支持鼠标操作，支持中文BIOS。</w:t>
            </w:r>
          </w:p>
          <w:p w14:paraId="06BCEC11">
            <w:pPr>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w:t>
            </w:r>
            <w:r>
              <w:rPr>
                <w:rFonts w:hint="eastAsia" w:asciiTheme="minorEastAsia" w:hAnsiTheme="minorEastAsia" w:eastAsiaTheme="minorEastAsia"/>
                <w:color w:val="auto"/>
                <w:highlight w:val="none"/>
              </w:rPr>
              <w:t>服务器管理软件采用在中华人民共和国境内登记注册的厂商的芯片</w:t>
            </w:r>
            <w:r>
              <w:rPr>
                <w:rFonts w:hint="eastAsia" w:asciiTheme="minorEastAsia" w:hAnsiTheme="minorEastAsia" w:eastAsiaTheme="minorEastAsia"/>
                <w:b/>
                <w:bCs/>
                <w:color w:val="auto"/>
                <w:highlight w:val="none"/>
              </w:rPr>
              <w:t>（供应商于响应文件中提供所竞芯片生产厂商的国产化证明材料，要求芯片厂商为中华人民共和国境内注册厂商，加盖供应商电子签章）</w:t>
            </w:r>
            <w:r>
              <w:rPr>
                <w:rFonts w:hint="eastAsia" w:asciiTheme="minorEastAsia" w:hAnsiTheme="minorEastAsia" w:eastAsiaTheme="minorEastAsia"/>
                <w:color w:val="auto"/>
                <w:highlight w:val="none"/>
              </w:rPr>
              <w:t>。</w:t>
            </w:r>
          </w:p>
          <w:p w14:paraId="06AB5F2E">
            <w:pPr>
              <w:snapToGrid w:val="0"/>
              <w:spacing w:line="320" w:lineRule="exact"/>
              <w:rPr>
                <w:rFonts w:asciiTheme="minorEastAsia" w:hAnsiTheme="minorEastAsia" w:eastAsiaTheme="minorEastAsia"/>
                <w:color w:val="auto"/>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r>
              <w:rPr>
                <w:rFonts w:hint="eastAsia" w:asciiTheme="minorEastAsia" w:hAnsiTheme="minorEastAsia" w:eastAsiaTheme="minorEastAsia"/>
                <w:color w:val="auto"/>
                <w:highlight w:val="none"/>
              </w:rPr>
              <w:t>服务器管理软件支持内存UCE Non-Fatal故障精准告警功能，要求包含故障内存的具体槽位信息</w:t>
            </w:r>
            <w:r>
              <w:rPr>
                <w:rFonts w:hint="eastAsia" w:asciiTheme="minorEastAsia" w:hAnsiTheme="minorEastAsia" w:eastAsiaTheme="minorEastAsia"/>
                <w:b/>
                <w:bCs/>
                <w:color w:val="auto"/>
                <w:highlight w:val="none"/>
              </w:rPr>
              <w:t>（供应商于响应文件中提供所竞产品满足本项功能的产品彩页或技术白皮书复印件证明，加盖供应商电子签章）</w:t>
            </w:r>
            <w:r>
              <w:rPr>
                <w:rFonts w:hint="eastAsia" w:asciiTheme="minorEastAsia" w:hAnsiTheme="minorEastAsia" w:eastAsiaTheme="minorEastAsia"/>
                <w:color w:val="auto"/>
                <w:highlight w:val="none"/>
              </w:rPr>
              <w:t>。</w:t>
            </w:r>
          </w:p>
          <w:p w14:paraId="5D4240F2">
            <w:pPr>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Theme="minorEastAsia" w:hAnsiTheme="minorEastAsia" w:eastAsiaTheme="minorEastAsia"/>
                <w:color w:val="auto"/>
                <w:highlight w:val="none"/>
              </w:rPr>
              <w:t>服务器管理软件支持内存故障隔离功能</w:t>
            </w:r>
            <w:r>
              <w:rPr>
                <w:rFonts w:hint="eastAsia" w:asciiTheme="minorEastAsia" w:hAnsiTheme="minorEastAsia" w:eastAsiaTheme="minorEastAsia"/>
                <w:b/>
                <w:bCs/>
                <w:color w:val="auto"/>
                <w:highlight w:val="none"/>
              </w:rPr>
              <w:t>（供应商于响应文件中提供所竞产品满足本项功能的产品彩页或技术白皮书复印件证明，加盖供应商电子签章）</w:t>
            </w:r>
            <w:r>
              <w:rPr>
                <w:rFonts w:hint="eastAsia" w:asciiTheme="minorEastAsia" w:hAnsiTheme="minorEastAsia" w:eastAsiaTheme="minorEastAsia"/>
                <w:color w:val="auto"/>
                <w:highlight w:val="none"/>
              </w:rPr>
              <w:t>。</w:t>
            </w:r>
          </w:p>
          <w:p w14:paraId="792FD6B8">
            <w:pPr>
              <w:snapToGrid w:val="0"/>
              <w:spacing w:line="320" w:lineRule="exact"/>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w:t>
            </w:r>
            <w:r>
              <w:rPr>
                <w:rFonts w:hint="eastAsia" w:asciiTheme="minorEastAsia" w:hAnsiTheme="minorEastAsia" w:eastAsiaTheme="minorEastAsia"/>
                <w:color w:val="auto"/>
                <w:highlight w:val="none"/>
              </w:rPr>
              <w:t>服务器管理软件支持基于Kerberos协议的用户认证管理机制，基于芯片可信根实现固件启动前的完整性校验，支持TLS 1.2、TLS 1.3版本（参考或相当于），支持SNMP功能及SHA256/SHA384/SHA512鉴权和AES256加密算法。</w:t>
            </w:r>
          </w:p>
          <w:p w14:paraId="4180F2F1">
            <w:pPr>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r>
              <w:rPr>
                <w:rFonts w:hint="eastAsia" w:asciiTheme="minorEastAsia" w:hAnsiTheme="minorEastAsia" w:eastAsiaTheme="minorEastAsia"/>
                <w:color w:val="auto"/>
                <w:highlight w:val="none"/>
              </w:rPr>
              <w:t>服务器管理软件支持硬盘告警精细化，可以区分硬盘固件、配置、物理故障三类告警</w:t>
            </w:r>
            <w:r>
              <w:rPr>
                <w:rFonts w:hint="eastAsia" w:asciiTheme="minorEastAsia" w:hAnsiTheme="minorEastAsia" w:eastAsiaTheme="minorEastAsia"/>
                <w:b/>
                <w:bCs/>
                <w:color w:val="auto"/>
                <w:highlight w:val="none"/>
              </w:rPr>
              <w:t>（供应商于响应文件中提供所竞产品满足本项功能的产品彩页或技术白皮书复印件证明，加盖供应商电子签章）</w:t>
            </w:r>
            <w:r>
              <w:rPr>
                <w:rFonts w:hint="eastAsia" w:asciiTheme="minorEastAsia" w:hAnsiTheme="minorEastAsia" w:eastAsiaTheme="minorEastAsia"/>
                <w:color w:val="auto"/>
                <w:highlight w:val="none"/>
              </w:rPr>
              <w:t>。</w:t>
            </w:r>
          </w:p>
          <w:p w14:paraId="49491B72">
            <w:pPr>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hint="eastAsia" w:asciiTheme="minorEastAsia" w:hAnsiTheme="minorEastAsia" w:eastAsiaTheme="minorEastAsia"/>
                <w:color w:val="auto"/>
                <w:highlight w:val="none"/>
              </w:rPr>
              <w:t>服务器管理软件支持BMC系统锁定模式，除允许范围内的操作可执行外，其他配置/设置类操作均不允许下发。</w:t>
            </w:r>
          </w:p>
          <w:p w14:paraId="31109C4B">
            <w:pPr>
              <w:snapToGrid w:val="0"/>
              <w:spacing w:line="320" w:lineRule="exact"/>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w:t>
            </w:r>
            <w:r>
              <w:rPr>
                <w:rFonts w:hint="eastAsia" w:asciiTheme="minorEastAsia" w:hAnsiTheme="minorEastAsia" w:eastAsiaTheme="minorEastAsia"/>
                <w:color w:val="auto"/>
                <w:highlight w:val="none"/>
              </w:rPr>
              <w:t>BMC支持Redfish接口自定义调速策略中CPU、出风口、硬盘、内存、PCH、VRD、VDDQ温度的目标温度。</w:t>
            </w:r>
          </w:p>
          <w:p w14:paraId="653587CF">
            <w:pPr>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w:t>
            </w:r>
            <w:r>
              <w:rPr>
                <w:rFonts w:hint="eastAsia" w:asciiTheme="minorEastAsia" w:hAnsiTheme="minorEastAsia" w:eastAsiaTheme="minorEastAsia"/>
                <w:color w:val="auto"/>
                <w:highlight w:val="none"/>
              </w:rPr>
              <w:t>具备与服务器同品牌的操作系统，产品为自研国产操作系统或基于国内开源社区衍生的商业发行版</w:t>
            </w:r>
            <w:r>
              <w:rPr>
                <w:rFonts w:hint="eastAsia" w:asciiTheme="minorEastAsia" w:hAnsiTheme="minorEastAsia" w:eastAsiaTheme="minorEastAsia"/>
                <w:b/>
                <w:bCs/>
                <w:color w:val="auto"/>
                <w:highlight w:val="none"/>
                <w:lang w:eastAsia="zh-CN"/>
              </w:rPr>
              <w:t>（供应商于响应文件中</w:t>
            </w:r>
            <w:r>
              <w:rPr>
                <w:rFonts w:hint="eastAsia" w:asciiTheme="minorEastAsia" w:hAnsiTheme="minorEastAsia" w:eastAsiaTheme="minorEastAsia"/>
                <w:b/>
                <w:bCs/>
                <w:color w:val="auto"/>
                <w:highlight w:val="none"/>
              </w:rPr>
              <w:t>提供</w:t>
            </w:r>
            <w:r>
              <w:rPr>
                <w:rFonts w:hint="eastAsia" w:asciiTheme="minorEastAsia" w:hAnsiTheme="minorEastAsia" w:eastAsiaTheme="minorEastAsia"/>
                <w:b/>
                <w:bCs/>
                <w:color w:val="auto"/>
                <w:highlight w:val="none"/>
                <w:lang w:eastAsia="zh-CN"/>
              </w:rPr>
              <w:t>满足本项要求的</w:t>
            </w:r>
            <w:r>
              <w:rPr>
                <w:rFonts w:hint="eastAsia" w:asciiTheme="minorEastAsia" w:hAnsiTheme="minorEastAsia" w:eastAsiaTheme="minorEastAsia"/>
                <w:b/>
                <w:bCs/>
                <w:color w:val="auto"/>
                <w:highlight w:val="none"/>
              </w:rPr>
              <w:t>产品官网截图证明</w:t>
            </w:r>
            <w:r>
              <w:rPr>
                <w:rFonts w:hint="eastAsia" w:asciiTheme="minorEastAsia" w:hAnsiTheme="minorEastAsia" w:eastAsiaTheme="minorEastAsia"/>
                <w:b/>
                <w:bCs/>
                <w:color w:val="auto"/>
                <w:highlight w:val="none"/>
                <w:lang w:eastAsia="zh-CN"/>
              </w:rPr>
              <w:t>，加盖供应商电子签章）</w:t>
            </w:r>
            <w:r>
              <w:rPr>
                <w:rFonts w:hint="eastAsia" w:asciiTheme="minorEastAsia" w:hAnsiTheme="minorEastAsia" w:eastAsiaTheme="minorEastAsia"/>
                <w:color w:val="auto"/>
                <w:highlight w:val="none"/>
              </w:rPr>
              <w:t>。</w:t>
            </w:r>
          </w:p>
          <w:p w14:paraId="7D60BF88">
            <w:pPr>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19</w:t>
            </w:r>
            <w:r>
              <w:rPr>
                <w:rFonts w:hint="eastAsia" w:ascii="宋体" w:hAnsi="宋体" w:cs="宋体"/>
                <w:color w:val="auto"/>
                <w:szCs w:val="21"/>
                <w:highlight w:val="none"/>
              </w:rPr>
              <w:t>）</w:t>
            </w:r>
            <w:r>
              <w:rPr>
                <w:rFonts w:hint="eastAsia" w:asciiTheme="minorEastAsia" w:hAnsiTheme="minorEastAsia" w:eastAsiaTheme="minorEastAsia"/>
                <w:color w:val="auto"/>
                <w:highlight w:val="none"/>
              </w:rPr>
              <w:t>具备与服务器同品牌的集中管理软件</w:t>
            </w:r>
            <w:r>
              <w:rPr>
                <w:rFonts w:hint="eastAsia" w:asciiTheme="minorEastAsia" w:hAnsiTheme="minorEastAsia" w:eastAsiaTheme="minorEastAsia"/>
                <w:b/>
                <w:bCs/>
                <w:color w:val="auto"/>
                <w:highlight w:val="none"/>
                <w:lang w:eastAsia="zh-CN"/>
              </w:rPr>
              <w:t>（供应商于响应文件中</w:t>
            </w:r>
            <w:r>
              <w:rPr>
                <w:rFonts w:hint="eastAsia" w:asciiTheme="minorEastAsia" w:hAnsiTheme="minorEastAsia" w:eastAsiaTheme="minorEastAsia"/>
                <w:b/>
                <w:bCs/>
                <w:color w:val="auto"/>
                <w:highlight w:val="none"/>
              </w:rPr>
              <w:t>提供</w:t>
            </w:r>
            <w:r>
              <w:rPr>
                <w:rFonts w:hint="eastAsia" w:asciiTheme="minorEastAsia" w:hAnsiTheme="minorEastAsia" w:eastAsiaTheme="minorEastAsia"/>
                <w:b/>
                <w:bCs/>
                <w:color w:val="auto"/>
                <w:highlight w:val="none"/>
                <w:lang w:eastAsia="zh-CN"/>
              </w:rPr>
              <w:t>满足本项要求的</w:t>
            </w:r>
            <w:r>
              <w:rPr>
                <w:rFonts w:hint="eastAsia" w:asciiTheme="minorEastAsia" w:hAnsiTheme="minorEastAsia" w:eastAsiaTheme="minorEastAsia"/>
                <w:b/>
                <w:bCs/>
                <w:color w:val="auto"/>
                <w:highlight w:val="none"/>
              </w:rPr>
              <w:t>产品官网截图证明</w:t>
            </w:r>
            <w:r>
              <w:rPr>
                <w:rFonts w:hint="eastAsia" w:asciiTheme="minorEastAsia" w:hAnsiTheme="minorEastAsia" w:eastAsiaTheme="minorEastAsia"/>
                <w:b/>
                <w:bCs/>
                <w:color w:val="auto"/>
                <w:highlight w:val="none"/>
                <w:lang w:eastAsia="zh-CN"/>
              </w:rPr>
              <w:t>，加盖供应商电子签章）</w:t>
            </w:r>
            <w:r>
              <w:rPr>
                <w:rFonts w:hint="eastAsia" w:asciiTheme="minorEastAsia" w:hAnsiTheme="minorEastAsia" w:eastAsiaTheme="minorEastAsia"/>
                <w:color w:val="auto"/>
                <w:highlight w:val="none"/>
              </w:rPr>
              <w:t>。</w:t>
            </w:r>
          </w:p>
          <w:p w14:paraId="07F162D1">
            <w:pPr>
              <w:snapToGrid w:val="0"/>
              <w:spacing w:line="320" w:lineRule="exact"/>
              <w:rPr>
                <w:rFonts w:ascii="宋体" w:hAnsi="宋体" w:cs="宋体"/>
                <w:b/>
                <w:bCs/>
                <w:color w:val="auto"/>
                <w:szCs w:val="21"/>
                <w:highlight w:val="none"/>
              </w:rPr>
            </w:pP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21</w:t>
            </w:r>
            <w:r>
              <w:rPr>
                <w:rFonts w:hint="eastAsia" w:ascii="宋体" w:hAnsi="宋体" w:cs="宋体"/>
                <w:b/>
                <w:bCs/>
                <w:color w:val="auto"/>
                <w:szCs w:val="21"/>
                <w:highlight w:val="none"/>
              </w:rPr>
              <w:t>）供应商于响应文件中必须</w:t>
            </w:r>
            <w:r>
              <w:rPr>
                <w:rFonts w:hint="eastAsia" w:ascii="宋体" w:hAnsi="宋体" w:cs="宋体"/>
                <w:b/>
                <w:bCs/>
                <w:color w:val="auto"/>
                <w:highlight w:val="none"/>
              </w:rPr>
              <w:t>提供有效可行的CPU服务器供应保障方案</w:t>
            </w:r>
            <w:r>
              <w:rPr>
                <w:rFonts w:hint="eastAsia" w:asciiTheme="minorEastAsia" w:hAnsiTheme="minorEastAsia" w:eastAsiaTheme="minorEastAsia"/>
                <w:b/>
                <w:bCs/>
                <w:color w:val="auto"/>
                <w:highlight w:val="none"/>
              </w:rPr>
              <w:t>，加盖供应商电子签章。</w:t>
            </w:r>
          </w:p>
          <w:p w14:paraId="6405223B">
            <w:pPr>
              <w:snapToGrid w:val="0"/>
              <w:spacing w:line="320" w:lineRule="exact"/>
              <w:rPr>
                <w:rFonts w:ascii="宋体" w:hAnsi="宋体" w:cs="宋体"/>
                <w:b/>
                <w:bCs/>
                <w:color w:val="auto"/>
                <w:szCs w:val="21"/>
                <w:highlight w:val="none"/>
              </w:rPr>
            </w:pP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22</w:t>
            </w:r>
            <w:r>
              <w:rPr>
                <w:rFonts w:hint="eastAsia" w:ascii="宋体" w:hAnsi="宋体" w:cs="宋体"/>
                <w:b/>
                <w:bCs/>
                <w:color w:val="auto"/>
                <w:szCs w:val="21"/>
                <w:highlight w:val="none"/>
              </w:rPr>
              <w:t>）提供≥3年7×24小时原厂维保服务。</w:t>
            </w:r>
          </w:p>
          <w:p w14:paraId="68947149">
            <w:pPr>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（二）校园服务管理平台功能要求</w:t>
            </w:r>
          </w:p>
          <w:p w14:paraId="3F2FD87B">
            <w:pPr>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1.基本功能要求</w:t>
            </w:r>
          </w:p>
          <w:p w14:paraId="25818BFE">
            <w:pPr>
              <w:snapToGrid w:val="0"/>
              <w:spacing w:line="320" w:lineRule="exact"/>
              <w:jc w:val="left"/>
              <w:rPr>
                <w:rFonts w:ascii="宋体" w:hAnsi="宋体" w:cs="宋体"/>
                <w:color w:val="auto"/>
                <w:szCs w:val="21"/>
                <w:highlight w:val="none"/>
              </w:rPr>
            </w:pPr>
            <w:r>
              <w:rPr>
                <w:rFonts w:hint="eastAsia" w:ascii="宋体" w:hAnsi="宋体" w:cs="宋体"/>
                <w:color w:val="auto"/>
                <w:szCs w:val="21"/>
                <w:highlight w:val="none"/>
              </w:rPr>
              <w:t>（1）支持对GPU进行切分，包括对算力进行切分，支持对显存进行切分最小切分粒度≤1GB。</w:t>
            </w:r>
          </w:p>
          <w:p w14:paraId="63C14D2F">
            <w:pPr>
              <w:snapToGrid w:val="0"/>
              <w:spacing w:line="320" w:lineRule="exact"/>
              <w:jc w:val="left"/>
              <w:rPr>
                <w:rFonts w:ascii="宋体" w:hAnsi="宋体" w:cs="宋体"/>
                <w:color w:val="auto"/>
                <w:szCs w:val="21"/>
                <w:highlight w:val="none"/>
              </w:rPr>
            </w:pPr>
            <w:r>
              <w:rPr>
                <w:rFonts w:hint="eastAsia" w:ascii="宋体" w:hAnsi="宋体" w:cs="宋体"/>
                <w:color w:val="auto"/>
                <w:szCs w:val="21"/>
                <w:highlight w:val="none"/>
              </w:rPr>
              <w:t>（2）支持远程调用GPU的能力，AI业务部署在没有GPU卡节点上，可以通过TCP、RDMA等网络远程的方式实现跨物理服务器上的GPU资源调用。</w:t>
            </w:r>
          </w:p>
          <w:p w14:paraId="0ABD91F9">
            <w:pPr>
              <w:snapToGrid w:val="0"/>
              <w:spacing w:line="320" w:lineRule="exact"/>
              <w:jc w:val="left"/>
              <w:rPr>
                <w:rFonts w:ascii="宋体" w:hAnsi="宋体" w:cs="宋体"/>
                <w:color w:val="auto"/>
                <w:szCs w:val="21"/>
                <w:highlight w:val="none"/>
              </w:rPr>
            </w:pPr>
            <w:r>
              <w:rPr>
                <w:rFonts w:hint="eastAsia" w:ascii="宋体" w:hAnsi="宋体" w:cs="宋体"/>
                <w:color w:val="auto"/>
                <w:szCs w:val="21"/>
                <w:highlight w:val="none"/>
              </w:rPr>
              <w:t>（3）</w:t>
            </w:r>
            <w:r>
              <w:rPr>
                <w:rFonts w:hint="eastAsia" w:asciiTheme="minorEastAsia" w:hAnsiTheme="minorEastAsia" w:eastAsiaTheme="minorEastAsia"/>
                <w:color w:val="auto"/>
                <w:highlight w:val="none"/>
              </w:rPr>
              <w:t>支持跨机GPU资源聚合能力，支持对多台GPU节点跨机资源聚合，为单一容器提供多卡vGPU资源</w:t>
            </w:r>
            <w:r>
              <w:rPr>
                <w:rFonts w:hint="eastAsia" w:ascii="宋体" w:hAnsi="宋体" w:cs="宋体"/>
                <w:color w:val="auto"/>
                <w:szCs w:val="21"/>
                <w:highlight w:val="none"/>
              </w:rPr>
              <w:t>。</w:t>
            </w:r>
          </w:p>
          <w:p w14:paraId="20C87DA3">
            <w:pPr>
              <w:snapToGrid w:val="0"/>
              <w:spacing w:line="320" w:lineRule="exact"/>
              <w:jc w:val="left"/>
              <w:rPr>
                <w:rFonts w:ascii="宋体" w:hAnsi="宋体" w:cs="宋体"/>
                <w:color w:val="auto"/>
                <w:szCs w:val="21"/>
                <w:highlight w:val="none"/>
              </w:rPr>
            </w:pPr>
            <w:r>
              <w:rPr>
                <w:rFonts w:hint="eastAsia" w:ascii="宋体" w:hAnsi="宋体" w:cs="宋体"/>
                <w:color w:val="auto"/>
                <w:szCs w:val="21"/>
                <w:highlight w:val="none"/>
              </w:rPr>
              <w:t>（4）支持物理GPU上多个vGPU并发运行，多任务共享同一个物理GPU。</w:t>
            </w:r>
          </w:p>
          <w:p w14:paraId="13AD624C">
            <w:pPr>
              <w:snapToGrid w:val="0"/>
              <w:spacing w:line="320" w:lineRule="exact"/>
              <w:jc w:val="left"/>
              <w:rPr>
                <w:rFonts w:ascii="宋体" w:hAnsi="宋体" w:cs="宋体"/>
                <w:color w:val="auto"/>
                <w:szCs w:val="21"/>
                <w:highlight w:val="none"/>
              </w:rPr>
            </w:pPr>
            <w:r>
              <w:rPr>
                <w:rFonts w:hint="eastAsia" w:ascii="宋体" w:hAnsi="宋体" w:cs="宋体"/>
                <w:color w:val="auto"/>
                <w:szCs w:val="21"/>
                <w:highlight w:val="none"/>
              </w:rPr>
              <w:t>（5）支持虚拟GPU多任务隔离保护能力，其中一个异常虚拟GPU任务不影响其他任务正常运行。</w:t>
            </w:r>
          </w:p>
          <w:p w14:paraId="6E662EC8">
            <w:pPr>
              <w:snapToGrid w:val="0"/>
              <w:spacing w:line="320" w:lineRule="exact"/>
              <w:jc w:val="left"/>
              <w:rPr>
                <w:rFonts w:ascii="宋体" w:hAnsi="宋体" w:cs="宋体" w:eastAsiaTheme="minorEastAsia"/>
                <w:color w:val="auto"/>
                <w:szCs w:val="21"/>
                <w:highlight w:val="none"/>
              </w:rPr>
            </w:pPr>
            <w:r>
              <w:rPr>
                <w:rFonts w:hint="eastAsia" w:ascii="宋体" w:hAnsi="宋体" w:cs="宋体"/>
                <w:color w:val="auto"/>
                <w:szCs w:val="21"/>
                <w:highlight w:val="none"/>
              </w:rPr>
              <w:t>（6）</w:t>
            </w:r>
            <w:r>
              <w:rPr>
                <w:rFonts w:hint="eastAsia" w:asciiTheme="minorEastAsia" w:hAnsiTheme="minorEastAsia" w:eastAsiaTheme="minorEastAsia"/>
                <w:color w:val="auto"/>
                <w:highlight w:val="none"/>
              </w:rPr>
              <w:t>支持对集群内节点的管理与维护，包括：按需添加节点、维护、上线、下线、变更节点属性等。</w:t>
            </w:r>
          </w:p>
          <w:p w14:paraId="6111B1E7">
            <w:pPr>
              <w:snapToGrid w:val="0"/>
              <w:spacing w:line="320" w:lineRule="exact"/>
              <w:jc w:val="left"/>
              <w:rPr>
                <w:rFonts w:ascii="宋体" w:hAnsi="宋体" w:cs="宋体"/>
                <w:color w:val="auto"/>
                <w:szCs w:val="21"/>
                <w:highlight w:val="none"/>
              </w:rPr>
            </w:pPr>
            <w:r>
              <w:rPr>
                <w:rFonts w:hint="eastAsia" w:ascii="宋体" w:hAnsi="宋体" w:cs="宋体"/>
                <w:color w:val="auto"/>
                <w:szCs w:val="21"/>
                <w:highlight w:val="none"/>
              </w:rPr>
              <w:t>（7）</w:t>
            </w:r>
            <w:r>
              <w:rPr>
                <w:rFonts w:hint="eastAsia" w:asciiTheme="minorEastAsia" w:hAnsiTheme="minorEastAsia" w:eastAsiaTheme="minorEastAsia"/>
                <w:color w:val="auto"/>
                <w:highlight w:val="none"/>
              </w:rPr>
              <w:t>支持对节点资源监控的能力，包括：CPU、内存、物理GPU/虚拟GPU、显存的使用情况、存储读写速率、网络I/O情况。</w:t>
            </w:r>
          </w:p>
          <w:p w14:paraId="4F10D869">
            <w:pPr>
              <w:snapToGrid w:val="0"/>
              <w:spacing w:line="320" w:lineRule="exact"/>
              <w:jc w:val="left"/>
              <w:rPr>
                <w:rFonts w:ascii="宋体" w:hAnsi="宋体" w:cs="宋体"/>
                <w:color w:val="auto"/>
                <w:szCs w:val="21"/>
                <w:highlight w:val="none"/>
              </w:rPr>
            </w:pPr>
            <w:r>
              <w:rPr>
                <w:rFonts w:hint="eastAsia" w:ascii="宋体" w:hAnsi="宋体"/>
                <w:b/>
                <w:bCs/>
                <w:color w:val="auto"/>
                <w:szCs w:val="21"/>
                <w:highlight w:val="none"/>
              </w:rPr>
              <w:t>◆</w:t>
            </w:r>
            <w:r>
              <w:rPr>
                <w:rFonts w:hint="eastAsia" w:ascii="宋体" w:hAnsi="宋体" w:cs="宋体"/>
                <w:b/>
                <w:bCs/>
                <w:color w:val="auto"/>
                <w:szCs w:val="21"/>
                <w:highlight w:val="none"/>
              </w:rPr>
              <w:t>（8）支持卡级别（非整台服务器级别）的虚拟化，同一台GPU服务器内，支持虚拟卡和物理卡同时并存。</w:t>
            </w:r>
          </w:p>
          <w:p w14:paraId="5DAADE06">
            <w:pPr>
              <w:snapToGrid w:val="0"/>
              <w:spacing w:line="320" w:lineRule="exact"/>
              <w:jc w:val="left"/>
              <w:rPr>
                <w:rFonts w:ascii="宋体" w:hAnsi="宋体" w:cs="宋体" w:eastAsiaTheme="minorEastAsia"/>
                <w:b/>
                <w:bCs/>
                <w:color w:val="auto"/>
                <w:szCs w:val="21"/>
                <w:highlight w:val="none"/>
              </w:rPr>
            </w:pPr>
            <w:r>
              <w:rPr>
                <w:rFonts w:hint="eastAsia" w:ascii="宋体" w:hAnsi="宋体"/>
                <w:b/>
                <w:bCs/>
                <w:color w:val="auto"/>
                <w:szCs w:val="21"/>
                <w:highlight w:val="none"/>
              </w:rPr>
              <w:t>◆</w:t>
            </w:r>
            <w:r>
              <w:rPr>
                <w:rFonts w:hint="eastAsia" w:ascii="宋体" w:hAnsi="宋体" w:cs="宋体"/>
                <w:b/>
                <w:bCs/>
                <w:color w:val="auto"/>
                <w:szCs w:val="21"/>
                <w:highlight w:val="none"/>
              </w:rPr>
              <w:t>（9）支持开发与训练共享同一资源池，开发任务和训练任务可以同时运行在同一块GPU卡上</w:t>
            </w:r>
            <w:r>
              <w:rPr>
                <w:rFonts w:hint="eastAsia" w:asciiTheme="minorEastAsia" w:hAnsiTheme="minorEastAsia" w:eastAsiaTheme="minorEastAsia"/>
                <w:b/>
                <w:bCs/>
                <w:color w:val="auto"/>
                <w:highlight w:val="none"/>
              </w:rPr>
              <w:t>。</w:t>
            </w:r>
          </w:p>
          <w:p w14:paraId="3A1E0203">
            <w:pPr>
              <w:snapToGrid w:val="0"/>
              <w:spacing w:line="320" w:lineRule="exact"/>
              <w:jc w:val="left"/>
              <w:rPr>
                <w:rFonts w:ascii="宋体" w:hAnsi="宋体" w:cs="宋体"/>
                <w:color w:val="auto"/>
                <w:szCs w:val="21"/>
                <w:highlight w:val="none"/>
              </w:rPr>
            </w:pPr>
            <w:r>
              <w:rPr>
                <w:rFonts w:hint="eastAsia" w:ascii="宋体" w:hAnsi="宋体" w:cs="宋体"/>
                <w:color w:val="auto"/>
                <w:szCs w:val="21"/>
                <w:highlight w:val="none"/>
              </w:rPr>
              <w:t>（10）</w:t>
            </w:r>
            <w:r>
              <w:rPr>
                <w:rFonts w:hint="eastAsia" w:asciiTheme="minorEastAsia" w:hAnsiTheme="minorEastAsia" w:eastAsiaTheme="minorEastAsia"/>
                <w:color w:val="auto"/>
                <w:highlight w:val="none"/>
              </w:rPr>
              <w:t>支持查看空间配额分配策略、并对空间拥有的资源进行超分比例的设置</w:t>
            </w:r>
            <w:r>
              <w:rPr>
                <w:rFonts w:hint="eastAsia" w:ascii="宋体" w:hAnsi="宋体" w:cs="宋体"/>
                <w:color w:val="auto"/>
                <w:szCs w:val="21"/>
                <w:highlight w:val="none"/>
              </w:rPr>
              <w:t>。</w:t>
            </w:r>
          </w:p>
          <w:p w14:paraId="49ED14D3">
            <w:pPr>
              <w:snapToGrid w:val="0"/>
              <w:spacing w:line="320" w:lineRule="exact"/>
              <w:jc w:val="left"/>
              <w:rPr>
                <w:rFonts w:ascii="宋体" w:hAnsi="宋体" w:cs="宋体"/>
                <w:color w:val="auto"/>
                <w:szCs w:val="21"/>
                <w:highlight w:val="none"/>
              </w:rPr>
            </w:pPr>
            <w:r>
              <w:rPr>
                <w:rFonts w:hint="eastAsia" w:ascii="宋体" w:hAnsi="宋体" w:cs="宋体"/>
                <w:color w:val="auto"/>
                <w:szCs w:val="21"/>
                <w:highlight w:val="none"/>
              </w:rPr>
              <w:t>（11）支持管理内置存储、外接存储以及存储容量监控、性能监控。</w:t>
            </w:r>
          </w:p>
          <w:p w14:paraId="73AA0EC6">
            <w:pPr>
              <w:snapToGrid w:val="0"/>
              <w:spacing w:line="320" w:lineRule="exact"/>
              <w:jc w:val="left"/>
              <w:rPr>
                <w:rFonts w:ascii="宋体" w:hAnsi="宋体" w:cs="宋体"/>
                <w:b/>
                <w:bCs/>
                <w:color w:val="auto"/>
                <w:szCs w:val="21"/>
                <w:highlight w:val="none"/>
              </w:rPr>
            </w:pPr>
            <w:r>
              <w:rPr>
                <w:rFonts w:hint="eastAsia" w:ascii="宋体" w:hAnsi="宋体"/>
                <w:b/>
                <w:bCs/>
                <w:color w:val="auto"/>
                <w:szCs w:val="21"/>
                <w:highlight w:val="none"/>
              </w:rPr>
              <w:t>◆</w:t>
            </w:r>
            <w:r>
              <w:rPr>
                <w:rFonts w:hint="eastAsia" w:ascii="宋体" w:hAnsi="宋体" w:cs="宋体"/>
                <w:b/>
                <w:bCs/>
                <w:color w:val="auto"/>
                <w:szCs w:val="21"/>
                <w:highlight w:val="none"/>
              </w:rPr>
              <w:t>（12）</w:t>
            </w:r>
            <w:r>
              <w:rPr>
                <w:rFonts w:hint="eastAsia" w:asciiTheme="minorEastAsia" w:hAnsiTheme="minorEastAsia" w:eastAsiaTheme="minorEastAsia"/>
                <w:b/>
                <w:bCs/>
                <w:color w:val="auto"/>
                <w:highlight w:val="none"/>
              </w:rPr>
              <w:t>支持空间用量管理，包括：空间配额的拥有和使用信息、高活跃用户空间的使用统计</w:t>
            </w:r>
            <w:r>
              <w:rPr>
                <w:rFonts w:hint="eastAsia" w:ascii="宋体" w:hAnsi="宋体" w:cs="宋体"/>
                <w:b/>
                <w:bCs/>
                <w:color w:val="auto"/>
                <w:szCs w:val="21"/>
                <w:highlight w:val="none"/>
              </w:rPr>
              <w:t>。</w:t>
            </w:r>
          </w:p>
          <w:p w14:paraId="0736E7ED">
            <w:pPr>
              <w:snapToGrid w:val="0"/>
              <w:spacing w:line="320" w:lineRule="exact"/>
              <w:jc w:val="left"/>
              <w:rPr>
                <w:rFonts w:ascii="宋体" w:hAnsi="宋体" w:cs="宋体"/>
                <w:color w:val="auto"/>
                <w:szCs w:val="21"/>
                <w:highlight w:val="none"/>
              </w:rPr>
            </w:pPr>
            <w:r>
              <w:rPr>
                <w:rFonts w:hint="eastAsia" w:ascii="宋体" w:hAnsi="宋体" w:cs="宋体"/>
                <w:color w:val="auto"/>
                <w:szCs w:val="21"/>
                <w:highlight w:val="none"/>
              </w:rPr>
              <w:t>（13）</w:t>
            </w:r>
            <w:r>
              <w:rPr>
                <w:rFonts w:hint="eastAsia" w:asciiTheme="minorEastAsia" w:hAnsiTheme="minorEastAsia" w:eastAsiaTheme="minorEastAsia"/>
                <w:color w:val="auto"/>
                <w:highlight w:val="none"/>
              </w:rPr>
              <w:t>支持对平台内任务排队管理的能力，当资源或配额不足时，任务自动排队等待只有当配额足够、资源足够的时候才会开始调度。管理员可查看所有排队任务的状态及信息，可将某一任务调成紧急</w:t>
            </w:r>
            <w:r>
              <w:rPr>
                <w:rFonts w:hint="eastAsia" w:ascii="宋体" w:hAnsi="宋体" w:cs="宋体"/>
                <w:color w:val="auto"/>
                <w:szCs w:val="21"/>
                <w:highlight w:val="none"/>
              </w:rPr>
              <w:t>。</w:t>
            </w:r>
          </w:p>
          <w:p w14:paraId="2BE9AD83">
            <w:pPr>
              <w:snapToGrid w:val="0"/>
              <w:spacing w:line="320" w:lineRule="exact"/>
              <w:jc w:val="left"/>
              <w:rPr>
                <w:rFonts w:ascii="宋体" w:hAnsi="宋体" w:cs="宋体"/>
                <w:b/>
                <w:bCs/>
                <w:color w:val="auto"/>
                <w:szCs w:val="21"/>
                <w:highlight w:val="none"/>
              </w:rPr>
            </w:pPr>
            <w:r>
              <w:rPr>
                <w:rFonts w:hint="eastAsia" w:ascii="宋体" w:hAnsi="宋体" w:cs="宋体"/>
                <w:color w:val="auto"/>
                <w:szCs w:val="21"/>
                <w:highlight w:val="none"/>
              </w:rPr>
              <w:t>（14）AI模型管理：支持如DeepSeek、Qwen（参考或相当于）等开源模型的灵活部署，并能提供包括API在内的安全访问及访问控制、访问统计；支持对所运行AI模型的资源使用监控，包括：可在调试模型的过程中，实时观察环境的运行状态，包括环境的 CPU 使用率、内存使用率及网络I/O吞吐量。</w:t>
            </w:r>
          </w:p>
          <w:p w14:paraId="68D02A74">
            <w:pPr>
              <w:snapToGrid w:val="0"/>
              <w:spacing w:line="320" w:lineRule="exact"/>
              <w:rPr>
                <w:rFonts w:ascii="宋体" w:hAnsi="宋体" w:cs="宋体"/>
                <w:b/>
                <w:bCs/>
                <w:color w:val="auto"/>
                <w:szCs w:val="21"/>
                <w:highlight w:val="none"/>
              </w:rPr>
            </w:pPr>
            <w:r>
              <w:rPr>
                <w:rFonts w:hint="eastAsia" w:ascii="宋体" w:hAnsi="宋体" w:cs="宋体"/>
                <w:b/>
                <w:bCs/>
                <w:color w:val="auto"/>
                <w:szCs w:val="21"/>
                <w:highlight w:val="none"/>
              </w:rPr>
              <w:t>▲（15）平台软件授权方式为永久买断授权，授权用户数无限制，授权设备数量应至少包含本次采购参数中所有硬件设施的使用授权数量。</w:t>
            </w:r>
          </w:p>
          <w:p w14:paraId="479DF77C">
            <w:pPr>
              <w:snapToGrid w:val="0"/>
              <w:spacing w:line="320" w:lineRule="exact"/>
              <w:rPr>
                <w:rFonts w:ascii="宋体" w:hAnsi="宋体" w:cs="宋体"/>
                <w:b/>
                <w:bCs/>
                <w:color w:val="auto"/>
                <w:szCs w:val="21"/>
                <w:highlight w:val="none"/>
              </w:rPr>
            </w:pPr>
            <w:r>
              <w:rPr>
                <w:rFonts w:hint="eastAsia" w:ascii="宋体" w:hAnsi="宋体" w:cs="宋体"/>
                <w:color w:val="auto"/>
                <w:szCs w:val="21"/>
                <w:highlight w:val="none"/>
              </w:rPr>
              <w:t>2.校园AI服务管理平台资源池化功能</w:t>
            </w:r>
          </w:p>
          <w:p w14:paraId="1ECBA1AD">
            <w:pPr>
              <w:snapToGrid w:val="0"/>
              <w:spacing w:line="320" w:lineRule="exact"/>
              <w:jc w:val="left"/>
              <w:rPr>
                <w:rFonts w:ascii="宋体" w:hAnsi="宋体" w:cs="宋体"/>
                <w:color w:val="auto"/>
                <w:szCs w:val="21"/>
                <w:highlight w:val="none"/>
              </w:rPr>
            </w:pPr>
            <w:r>
              <w:rPr>
                <w:rFonts w:hint="eastAsia" w:ascii="宋体" w:hAnsi="宋体" w:cs="宋体"/>
                <w:color w:val="auto"/>
                <w:szCs w:val="21"/>
                <w:highlight w:val="none"/>
              </w:rPr>
              <w:t>（1）支持AI应用与物理GPU资源解耦合，AI应用向资源池软件调取vGPU资源；资源池软件再匹配物理GPU资源。</w:t>
            </w:r>
          </w:p>
          <w:p w14:paraId="6AE7968B">
            <w:pPr>
              <w:snapToGrid w:val="0"/>
              <w:spacing w:line="320" w:lineRule="exact"/>
              <w:jc w:val="left"/>
              <w:rPr>
                <w:rFonts w:ascii="宋体" w:hAnsi="宋体" w:cs="宋体"/>
                <w:color w:val="auto"/>
                <w:szCs w:val="21"/>
                <w:highlight w:val="none"/>
              </w:rPr>
            </w:pPr>
            <w:r>
              <w:rPr>
                <w:rFonts w:hint="eastAsia" w:ascii="宋体" w:hAnsi="宋体" w:cs="宋体"/>
                <w:color w:val="auto"/>
                <w:szCs w:val="21"/>
                <w:highlight w:val="none"/>
              </w:rPr>
              <w:t>（2）支持多台GPU节点（</w:t>
            </w:r>
            <w:r>
              <w:rPr>
                <w:rFonts w:hint="eastAsia"/>
                <w:color w:val="auto"/>
                <w:highlight w:val="none"/>
              </w:rPr>
              <w:t>≥</w:t>
            </w:r>
            <w:r>
              <w:rPr>
                <w:rFonts w:hint="eastAsia" w:ascii="宋体" w:hAnsi="宋体" w:cs="宋体"/>
                <w:color w:val="auto"/>
                <w:szCs w:val="21"/>
                <w:highlight w:val="none"/>
              </w:rPr>
              <w:t>2）跨机资源聚合，为单一容器/虚拟机提供多卡vGPU资源。</w:t>
            </w:r>
          </w:p>
          <w:p w14:paraId="233F4B0D">
            <w:pPr>
              <w:snapToGrid w:val="0"/>
              <w:spacing w:line="320" w:lineRule="exact"/>
              <w:jc w:val="left"/>
              <w:rPr>
                <w:rFonts w:ascii="宋体" w:hAnsi="宋体" w:cs="宋体"/>
                <w:color w:val="auto"/>
                <w:szCs w:val="21"/>
                <w:highlight w:val="none"/>
              </w:rPr>
            </w:pPr>
            <w:r>
              <w:rPr>
                <w:rFonts w:hint="eastAsia" w:ascii="宋体" w:hAnsi="宋体" w:cs="宋体"/>
                <w:color w:val="auto"/>
                <w:szCs w:val="21"/>
                <w:highlight w:val="none"/>
              </w:rPr>
              <w:t>（3）支持远程调用GPU的能力，AI业务部署在没有GPU卡节点上，可以通过TCP网络远程的方式实现跨物理服务器上的GPU资源调用；并支持vGPU资源动态调整，无需重新加载/重置/重启容器/虚拟机等运行环境。</w:t>
            </w:r>
          </w:p>
          <w:p w14:paraId="43096526">
            <w:pPr>
              <w:snapToGrid w:val="0"/>
              <w:spacing w:line="320" w:lineRule="exact"/>
              <w:jc w:val="left"/>
              <w:rPr>
                <w:rFonts w:ascii="宋体" w:hAnsi="宋体" w:cs="宋体"/>
                <w:color w:val="auto"/>
                <w:szCs w:val="21"/>
                <w:highlight w:val="none"/>
              </w:rPr>
            </w:pPr>
            <w:r>
              <w:rPr>
                <w:rFonts w:hint="eastAsia" w:ascii="宋体" w:hAnsi="宋体" w:cs="宋体"/>
                <w:color w:val="auto"/>
                <w:szCs w:val="21"/>
                <w:highlight w:val="none"/>
              </w:rPr>
              <w:t>（4）支持GPU按照双维度申请vGPU，包括算力维度和显存维度；支持GPU按照显存大小切分为多个vGPU</w:t>
            </w:r>
            <w:r>
              <w:rPr>
                <w:rFonts w:hint="eastAsia" w:asciiTheme="minorEastAsia" w:hAnsiTheme="minorEastAsia" w:eastAsiaTheme="minorEastAsia"/>
                <w:color w:val="auto"/>
                <w:highlight w:val="none"/>
              </w:rPr>
              <w:t>，最小颗粒度1MB；</w:t>
            </w:r>
            <w:r>
              <w:rPr>
                <w:rFonts w:hint="eastAsia" w:ascii="宋体" w:hAnsi="宋体" w:cs="宋体"/>
                <w:color w:val="auto"/>
                <w:szCs w:val="21"/>
                <w:highlight w:val="none"/>
              </w:rPr>
              <w:t>支持GPU按照算力进行切分为多个vGPU</w:t>
            </w:r>
            <w:r>
              <w:rPr>
                <w:rFonts w:hint="eastAsia" w:asciiTheme="minorEastAsia" w:hAnsiTheme="minorEastAsia" w:eastAsiaTheme="minorEastAsia"/>
                <w:color w:val="auto"/>
                <w:highlight w:val="none"/>
              </w:rPr>
              <w:t>，切分范围1%~100%</w:t>
            </w:r>
            <w:r>
              <w:rPr>
                <w:rFonts w:hint="eastAsia" w:ascii="宋体" w:hAnsi="宋体" w:cs="宋体"/>
                <w:color w:val="auto"/>
                <w:szCs w:val="21"/>
                <w:highlight w:val="none"/>
              </w:rPr>
              <w:t>。</w:t>
            </w:r>
          </w:p>
          <w:p w14:paraId="79DD8BBD">
            <w:pPr>
              <w:snapToGrid w:val="0"/>
              <w:spacing w:line="320" w:lineRule="exact"/>
              <w:jc w:val="left"/>
              <w:rPr>
                <w:rFonts w:ascii="宋体" w:hAnsi="宋体" w:cs="宋体"/>
                <w:color w:val="auto"/>
                <w:szCs w:val="21"/>
                <w:highlight w:val="none"/>
              </w:rPr>
            </w:pPr>
            <w:r>
              <w:rPr>
                <w:rFonts w:hint="eastAsia" w:ascii="宋体" w:hAnsi="宋体" w:cs="宋体"/>
                <w:color w:val="auto"/>
                <w:szCs w:val="21"/>
                <w:highlight w:val="none"/>
              </w:rPr>
              <w:t>（5）支持配置包括本地调度、本地优先，支持GPU卡级别或服务器级别的资源紧凑、资源均衡等多种GPU资源池调度策略；支持不同AI任务采用不同的调度策略；支持远程调度vGPU时指定特定物理GPU芯片型号。</w:t>
            </w:r>
          </w:p>
          <w:p w14:paraId="2003801C">
            <w:pPr>
              <w:snapToGrid w:val="0"/>
              <w:spacing w:line="320" w:lineRule="exact"/>
              <w:jc w:val="left"/>
              <w:rPr>
                <w:rFonts w:ascii="宋体" w:hAnsi="宋体" w:cs="宋体"/>
                <w:color w:val="auto"/>
                <w:szCs w:val="21"/>
                <w:highlight w:val="none"/>
              </w:rPr>
            </w:pPr>
            <w:r>
              <w:rPr>
                <w:rFonts w:hint="eastAsia" w:ascii="宋体" w:hAnsi="宋体" w:cs="宋体"/>
                <w:color w:val="auto"/>
                <w:szCs w:val="21"/>
                <w:highlight w:val="none"/>
              </w:rPr>
              <w:t>（6）支持参考或相当于Kubernetes架构、Docker架构等原生容器架构，提供完善的vGPU调度插件。</w:t>
            </w:r>
          </w:p>
          <w:p w14:paraId="3059A298">
            <w:pPr>
              <w:snapToGrid w:val="0"/>
              <w:spacing w:line="320" w:lineRule="exact"/>
              <w:jc w:val="left"/>
              <w:rPr>
                <w:rFonts w:ascii="宋体" w:hAnsi="宋体" w:cs="宋体"/>
                <w:color w:val="auto"/>
                <w:szCs w:val="21"/>
                <w:highlight w:val="none"/>
              </w:rPr>
            </w:pPr>
            <w:r>
              <w:rPr>
                <w:rFonts w:hint="eastAsia" w:ascii="宋体" w:hAnsi="宋体" w:cs="宋体"/>
                <w:color w:val="auto"/>
                <w:szCs w:val="21"/>
                <w:highlight w:val="none"/>
              </w:rPr>
              <w:t>（7）支持物理GPU上多任务vGPU并发运行；同时，支持vGPU多任务隔离保护，提供故障隔离，异常vGPU任务不影响其他正常任务。</w:t>
            </w:r>
          </w:p>
          <w:p w14:paraId="5129BBF2">
            <w:pPr>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（8）支持对不同的对象，划分不同的GPU资源使用限额，限制该对象的GPU资源使用量；同时，支持vGPU资源动态申请和释放。</w:t>
            </w:r>
          </w:p>
          <w:p w14:paraId="508D5686">
            <w:pPr>
              <w:snapToGrid w:val="0"/>
              <w:spacing w:line="320" w:lineRule="exact"/>
              <w:jc w:val="left"/>
              <w:rPr>
                <w:rFonts w:ascii="宋体" w:hAnsi="宋体" w:cs="宋体"/>
                <w:color w:val="auto"/>
                <w:szCs w:val="21"/>
                <w:highlight w:val="none"/>
              </w:rPr>
            </w:pPr>
            <w:r>
              <w:rPr>
                <w:rFonts w:hint="eastAsia" w:ascii="宋体" w:hAnsi="宋体" w:cs="宋体"/>
                <w:color w:val="auto"/>
                <w:szCs w:val="21"/>
                <w:highlight w:val="none"/>
              </w:rPr>
              <w:t>（9）</w:t>
            </w:r>
            <w:r>
              <w:rPr>
                <w:rFonts w:hint="eastAsia" w:asciiTheme="minorEastAsia" w:hAnsiTheme="minorEastAsia" w:eastAsiaTheme="minorEastAsia"/>
                <w:color w:val="auto"/>
                <w:highlight w:val="none"/>
              </w:rPr>
              <w:t>支持国产芯片可以是：昇腾 Ascend 910系列、华为 Atlas 300系列、寒武纪MLU270/370系列，中科海光DCU Z100系列等（参考或相当于）。</w:t>
            </w:r>
          </w:p>
          <w:p w14:paraId="5CAFAC52">
            <w:pPr>
              <w:snapToGrid w:val="0"/>
              <w:spacing w:line="320" w:lineRule="exact"/>
              <w:rPr>
                <w:rFonts w:ascii="宋体" w:hAnsi="宋体" w:cs="宋体"/>
                <w:color w:val="auto"/>
                <w:szCs w:val="21"/>
                <w:highlight w:val="none"/>
              </w:rPr>
            </w:pPr>
            <w:r>
              <w:rPr>
                <w:rFonts w:hint="eastAsia" w:ascii="宋体" w:hAnsi="宋体" w:cs="宋体"/>
                <w:b/>
                <w:bCs/>
                <w:color w:val="auto"/>
                <w:szCs w:val="21"/>
                <w:highlight w:val="none"/>
              </w:rPr>
              <w:t>▲3.包含至少3年软件平台的运维及软件平台升级服务。</w:t>
            </w:r>
            <w:r>
              <w:rPr>
                <w:rFonts w:hint="eastAsia" w:ascii="宋体" w:hAnsi="宋体" w:cs="宋体"/>
                <w:color w:val="auto"/>
                <w:szCs w:val="21"/>
                <w:highlight w:val="none"/>
              </w:rPr>
              <w:t xml:space="preserve"> </w:t>
            </w:r>
          </w:p>
          <w:p w14:paraId="6868942D">
            <w:pPr>
              <w:snapToGrid w:val="0"/>
              <w:spacing w:line="320" w:lineRule="exact"/>
              <w:jc w:val="left"/>
              <w:rPr>
                <w:rFonts w:ascii="宋体" w:hAnsi="宋体" w:cs="宋体"/>
                <w:color w:val="auto"/>
                <w:szCs w:val="21"/>
                <w:highlight w:val="none"/>
              </w:rPr>
            </w:pPr>
            <w:r>
              <w:rPr>
                <w:rFonts w:hint="eastAsia" w:ascii="宋体" w:hAnsi="宋体" w:cs="宋体"/>
                <w:b/>
                <w:color w:val="auto"/>
                <w:szCs w:val="21"/>
                <w:highlight w:val="none"/>
              </w:rPr>
              <w:t>二、</w:t>
            </w:r>
            <w:r>
              <w:rPr>
                <w:rFonts w:hint="eastAsia" w:ascii="宋体" w:hAnsi="宋体" w:cs="宋体"/>
                <w:color w:val="auto"/>
                <w:szCs w:val="21"/>
                <w:highlight w:val="none"/>
              </w:rPr>
              <w:t>存储系统</w:t>
            </w:r>
          </w:p>
          <w:p w14:paraId="4F1F247B">
            <w:pPr>
              <w:snapToGrid w:val="0"/>
              <w:spacing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▲（一）数量：1台</w:t>
            </w:r>
          </w:p>
          <w:p w14:paraId="70706B98">
            <w:pPr>
              <w:snapToGrid w:val="0"/>
              <w:spacing w:line="320" w:lineRule="exact"/>
              <w:jc w:val="left"/>
              <w:rPr>
                <w:rFonts w:ascii="宋体" w:hAnsi="宋体" w:cs="宋体"/>
                <w:color w:val="auto"/>
                <w:szCs w:val="21"/>
                <w:highlight w:val="none"/>
              </w:rPr>
            </w:pPr>
            <w:r>
              <w:rPr>
                <w:rFonts w:hint="eastAsia" w:ascii="宋体" w:hAnsi="宋体" w:cs="宋体"/>
                <w:b/>
                <w:bCs/>
                <w:color w:val="auto"/>
                <w:szCs w:val="21"/>
                <w:highlight w:val="none"/>
              </w:rPr>
              <w:t>▲（二）要求可用存储≥200TB； 高速闪存可用存储≥20TB，并且非QLC SSD，磁盘接口及协议采用参考或相当于 SAS或NVMe；存储网络带宽≥25Gb。</w:t>
            </w:r>
          </w:p>
          <w:p w14:paraId="12E78A9D">
            <w:pPr>
              <w:snapToGrid w:val="0"/>
              <w:spacing w:line="320" w:lineRule="exact"/>
              <w:jc w:val="left"/>
              <w:rPr>
                <w:rFonts w:ascii="宋体" w:hAnsi="宋体" w:cs="宋体"/>
                <w:color w:val="auto"/>
                <w:szCs w:val="21"/>
                <w:highlight w:val="none"/>
              </w:rPr>
            </w:pPr>
            <w:r>
              <w:rPr>
                <w:rFonts w:hint="eastAsia" w:ascii="宋体" w:hAnsi="宋体" w:cs="宋体"/>
                <w:color w:val="auto"/>
                <w:szCs w:val="21"/>
                <w:highlight w:val="none"/>
              </w:rPr>
              <w:t>（三）功能及配置如下：</w:t>
            </w:r>
          </w:p>
          <w:p w14:paraId="0EC8F1A3">
            <w:pPr>
              <w:snapToGrid w:val="0"/>
              <w:spacing w:line="320" w:lineRule="exact"/>
              <w:jc w:val="left"/>
              <w:rPr>
                <w:rFonts w:ascii="宋体" w:hAnsi="宋体" w:cs="宋体"/>
                <w:b/>
                <w:bCs/>
                <w:color w:val="auto"/>
                <w:szCs w:val="21"/>
                <w:highlight w:val="none"/>
              </w:rPr>
            </w:pPr>
            <w:r>
              <w:rPr>
                <w:rFonts w:hint="eastAsia" w:asciiTheme="minorEastAsia" w:hAnsiTheme="minorEastAsia" w:eastAsiaTheme="minorEastAsia"/>
                <w:b/>
                <w:bCs/>
                <w:color w:val="auto"/>
                <w:highlight w:val="none"/>
              </w:rPr>
              <w:t>▲</w:t>
            </w:r>
            <w:r>
              <w:rPr>
                <w:rFonts w:hint="eastAsia" w:ascii="宋体" w:hAnsi="宋体" w:cs="宋体"/>
                <w:b/>
                <w:bCs/>
                <w:color w:val="auto"/>
                <w:szCs w:val="21"/>
                <w:highlight w:val="none"/>
              </w:rPr>
              <w:t>1.存储产品使用国产品牌自主研发CPU（响应文件中必须提供所竞产品使用CPU型号、主频等证明材料</w:t>
            </w:r>
            <w:r>
              <w:rPr>
                <w:rFonts w:hint="eastAsia" w:ascii="宋体" w:hAnsi="宋体" w:cs="宋体"/>
                <w:b/>
                <w:bCs/>
                <w:color w:val="auto"/>
                <w:highlight w:val="none"/>
              </w:rPr>
              <w:t>，</w:t>
            </w:r>
            <w:r>
              <w:rPr>
                <w:rFonts w:hint="eastAsia" w:ascii="宋体" w:hAnsi="宋体" w:cs="宋体"/>
                <w:b/>
                <w:bCs/>
                <w:color w:val="auto"/>
                <w:szCs w:val="21"/>
                <w:highlight w:val="none"/>
              </w:rPr>
              <w:t>并加盖供应商电子签章）。</w:t>
            </w:r>
          </w:p>
          <w:p w14:paraId="14A0DCF2">
            <w:pPr>
              <w:snapToGrid w:val="0"/>
              <w:spacing w:line="320" w:lineRule="exact"/>
              <w:jc w:val="left"/>
              <w:rPr>
                <w:rFonts w:ascii="宋体" w:hAnsi="宋体" w:cs="宋体"/>
                <w:color w:val="auto"/>
                <w:szCs w:val="21"/>
                <w:highlight w:val="none"/>
              </w:rPr>
            </w:pPr>
            <w:r>
              <w:rPr>
                <w:rFonts w:hint="eastAsia" w:ascii="宋体" w:hAnsi="宋体" w:cs="宋体"/>
                <w:color w:val="auto"/>
                <w:szCs w:val="21"/>
                <w:highlight w:val="none"/>
              </w:rPr>
              <w:t>2.主机接口卡、磁盘框扩展接口卡、磁盘框级联芯片以及SSD盘控制芯片、BMC管理芯片均采用国产品牌产品</w:t>
            </w:r>
            <w:r>
              <w:rPr>
                <w:rFonts w:hint="eastAsia" w:ascii="宋体" w:hAnsi="宋体" w:cs="宋体"/>
                <w:b/>
                <w:bCs/>
                <w:color w:val="auto"/>
                <w:szCs w:val="21"/>
                <w:highlight w:val="none"/>
              </w:rPr>
              <w:t>（响应文件中必须提供所竞产品满足本项要求的证明材料</w:t>
            </w:r>
            <w:r>
              <w:rPr>
                <w:rFonts w:hint="eastAsia" w:ascii="宋体" w:hAnsi="宋体" w:cs="宋体"/>
                <w:b/>
                <w:bCs/>
                <w:color w:val="auto"/>
                <w:highlight w:val="none"/>
              </w:rPr>
              <w:t>，</w:t>
            </w:r>
            <w:r>
              <w:rPr>
                <w:rFonts w:hint="eastAsia" w:ascii="宋体" w:hAnsi="宋体" w:cs="宋体"/>
                <w:b/>
                <w:bCs/>
                <w:color w:val="auto"/>
                <w:szCs w:val="21"/>
                <w:highlight w:val="none"/>
              </w:rPr>
              <w:t>并加盖供应商电子签章）</w:t>
            </w:r>
            <w:r>
              <w:rPr>
                <w:rFonts w:hint="eastAsia" w:ascii="宋体" w:hAnsi="宋体" w:cs="宋体"/>
                <w:color w:val="auto"/>
                <w:szCs w:val="21"/>
                <w:highlight w:val="none"/>
              </w:rPr>
              <w:t>。</w:t>
            </w:r>
          </w:p>
          <w:p w14:paraId="243B6414">
            <w:pPr>
              <w:snapToGrid w:val="0"/>
              <w:spacing w:line="320" w:lineRule="exact"/>
              <w:jc w:val="left"/>
              <w:rPr>
                <w:rFonts w:ascii="宋体" w:hAnsi="宋体" w:cs="宋体"/>
                <w:color w:val="auto"/>
                <w:szCs w:val="21"/>
                <w:highlight w:val="none"/>
              </w:rPr>
            </w:pPr>
            <w:r>
              <w:rPr>
                <w:rFonts w:hint="eastAsia" w:ascii="宋体" w:hAnsi="宋体" w:cs="宋体"/>
                <w:color w:val="auto"/>
                <w:szCs w:val="21"/>
                <w:highlight w:val="none"/>
              </w:rPr>
              <w:t>3.控制器采用Active-Active架构，LUN不归属于某一个控制器，业务负载均衡到≥2个控制器，业务运行过程中，每个控制器的IOPS和CPU利用率差异不超过10%</w:t>
            </w:r>
            <w:r>
              <w:rPr>
                <w:rFonts w:hint="eastAsia" w:ascii="宋体" w:hAnsi="宋体" w:cs="宋体"/>
                <w:b/>
                <w:bCs/>
                <w:color w:val="auto"/>
                <w:szCs w:val="21"/>
                <w:highlight w:val="none"/>
              </w:rPr>
              <w:t>【供应商于响应文件中提供所竞产品满足“IOPS和CPU利用率”的由通过CMA认证或CNAS认证的国家认可的第三方检测机构出具的测试（检测）报告复印件，加盖供应商电子签章】。</w:t>
            </w:r>
          </w:p>
          <w:p w14:paraId="59CC1E18">
            <w:pPr>
              <w:snapToGrid w:val="0"/>
              <w:spacing w:line="320" w:lineRule="exact"/>
              <w:jc w:val="left"/>
              <w:rPr>
                <w:rFonts w:ascii="宋体" w:hAnsi="宋体" w:cs="宋体"/>
                <w:color w:val="auto"/>
                <w:szCs w:val="21"/>
                <w:highlight w:val="none"/>
              </w:rPr>
            </w:pPr>
            <w:r>
              <w:rPr>
                <w:rFonts w:hint="eastAsia" w:ascii="宋体" w:hAnsi="宋体" w:cs="宋体"/>
                <w:color w:val="auto"/>
                <w:szCs w:val="21"/>
                <w:highlight w:val="none"/>
              </w:rPr>
              <w:t>4.采用2U盘控一体架构，控制器框提供≥24个硬盘槽位。</w:t>
            </w:r>
          </w:p>
          <w:p w14:paraId="12C012DD">
            <w:pPr>
              <w:snapToGrid w:val="0"/>
              <w:spacing w:line="320" w:lineRule="exact"/>
              <w:jc w:val="left"/>
              <w:rPr>
                <w:rFonts w:ascii="宋体" w:hAnsi="宋体" w:cs="宋体"/>
                <w:color w:val="auto"/>
                <w:szCs w:val="21"/>
                <w:highlight w:val="none"/>
              </w:rPr>
            </w:pPr>
            <w:r>
              <w:rPr>
                <w:rFonts w:hint="eastAsia" w:ascii="宋体" w:hAnsi="宋体" w:cs="宋体"/>
                <w:color w:val="auto"/>
                <w:szCs w:val="21"/>
                <w:highlight w:val="none"/>
              </w:rPr>
              <w:t>5.采用多控（所有控制器）高速互联架构，所有控制器互联协议采用PCI-E</w:t>
            </w:r>
            <w:r>
              <w:rPr>
                <w:rFonts w:hint="eastAsia" w:ascii="宋体" w:hAnsi="宋体" w:cs="宋体"/>
                <w:color w:val="auto"/>
                <w:kern w:val="0"/>
                <w:szCs w:val="21"/>
                <w:highlight w:val="none"/>
              </w:rPr>
              <w:t>/IB/RDMA</w:t>
            </w:r>
            <w:r>
              <w:rPr>
                <w:rFonts w:hint="eastAsia" w:ascii="宋体" w:hAnsi="宋体" w:cs="宋体"/>
                <w:color w:val="auto"/>
                <w:szCs w:val="21"/>
                <w:highlight w:val="none"/>
              </w:rPr>
              <w:t>等协议。</w:t>
            </w:r>
          </w:p>
          <w:p w14:paraId="56A29E66">
            <w:pPr>
              <w:snapToGrid w:val="0"/>
              <w:spacing w:line="320" w:lineRule="exact"/>
              <w:jc w:val="left"/>
              <w:rPr>
                <w:rFonts w:ascii="宋体" w:hAnsi="宋体" w:cs="宋体"/>
                <w:color w:val="auto"/>
                <w:szCs w:val="21"/>
                <w:highlight w:val="none"/>
              </w:rPr>
            </w:pPr>
            <w:r>
              <w:rPr>
                <w:rFonts w:hint="eastAsia" w:ascii="宋体" w:hAnsi="宋体" w:cs="宋体"/>
                <w:color w:val="auto"/>
                <w:szCs w:val="21"/>
                <w:highlight w:val="none"/>
              </w:rPr>
              <w:t>6.支持控制器扩展，最大支持≥8控。</w:t>
            </w:r>
          </w:p>
          <w:p w14:paraId="1BF3FADE">
            <w:pPr>
              <w:snapToGrid w:val="0"/>
              <w:spacing w:line="320" w:lineRule="exact"/>
              <w:jc w:val="left"/>
              <w:rPr>
                <w:rFonts w:ascii="宋体" w:hAnsi="宋体" w:cs="宋体"/>
                <w:color w:val="auto"/>
                <w:szCs w:val="21"/>
                <w:highlight w:val="none"/>
              </w:rPr>
            </w:pPr>
            <w:r>
              <w:rPr>
                <w:rFonts w:hint="eastAsia" w:ascii="宋体" w:hAnsi="宋体" w:cs="宋体"/>
                <w:color w:val="auto"/>
                <w:szCs w:val="21"/>
                <w:highlight w:val="none"/>
              </w:rPr>
              <w:t>7.支持无中断升级，采用模块化软件架构设计，超过90%的组件用户态，升级无需重启控制器。</w:t>
            </w:r>
          </w:p>
          <w:p w14:paraId="15DE1A09">
            <w:pPr>
              <w:snapToGrid w:val="0"/>
              <w:spacing w:line="320" w:lineRule="exact"/>
              <w:jc w:val="left"/>
              <w:rPr>
                <w:rFonts w:ascii="宋体" w:hAnsi="宋体" w:cs="宋体"/>
                <w:color w:val="auto"/>
                <w:szCs w:val="21"/>
                <w:highlight w:val="none"/>
              </w:rPr>
            </w:pPr>
            <w:r>
              <w:rPr>
                <w:rFonts w:hint="eastAsia" w:ascii="宋体" w:hAnsi="宋体" w:cs="宋体"/>
                <w:color w:val="auto"/>
                <w:szCs w:val="21"/>
                <w:highlight w:val="none"/>
              </w:rPr>
              <w:t>8.支持单链路软件升级，升级过程IO跌零≤1s</w:t>
            </w:r>
            <w:r>
              <w:rPr>
                <w:rFonts w:hint="eastAsia" w:ascii="宋体" w:hAnsi="宋体" w:cs="宋体"/>
                <w:b/>
                <w:bCs/>
                <w:color w:val="auto"/>
                <w:szCs w:val="21"/>
                <w:highlight w:val="none"/>
              </w:rPr>
              <w:t>【供应商于响应文件中提供所竞产品满足本项技术要求的由通过CMA认证或CNAS认证的国家认可的第三方检测机构出具的测试（检测）报告复印件，加盖供应商电子签章】</w:t>
            </w:r>
            <w:r>
              <w:rPr>
                <w:rFonts w:hint="eastAsia" w:ascii="宋体" w:hAnsi="宋体" w:cs="宋体"/>
                <w:color w:val="auto"/>
                <w:szCs w:val="21"/>
                <w:highlight w:val="none"/>
              </w:rPr>
              <w:t>。</w:t>
            </w:r>
          </w:p>
          <w:p w14:paraId="77907C19">
            <w:pPr>
              <w:snapToGrid w:val="0"/>
              <w:spacing w:line="320" w:lineRule="exact"/>
              <w:jc w:val="left"/>
              <w:rPr>
                <w:rFonts w:ascii="宋体" w:hAnsi="宋体" w:cs="宋体"/>
                <w:color w:val="auto"/>
                <w:szCs w:val="21"/>
                <w:highlight w:val="none"/>
              </w:rPr>
            </w:pPr>
            <w:r>
              <w:rPr>
                <w:rFonts w:hint="eastAsia" w:ascii="宋体" w:hAnsi="宋体" w:cs="宋体"/>
                <w:color w:val="auto"/>
                <w:szCs w:val="21"/>
                <w:highlight w:val="none"/>
              </w:rPr>
              <w:t>9.稳定时延≤0.5ms，包括开启增值功能（不少于3个，包括开启快照）的情况下。</w:t>
            </w:r>
          </w:p>
          <w:p w14:paraId="3D5AE5BD">
            <w:pPr>
              <w:keepNext w:val="0"/>
              <w:keepLines w:val="0"/>
              <w:pageBreakBefore w:val="0"/>
              <w:widowControl w:val="0"/>
              <w:kinsoku/>
              <w:wordWrap w:val="0"/>
              <w:overflowPunct/>
              <w:topLinePunct w:val="0"/>
              <w:autoSpaceDE/>
              <w:autoSpaceDN/>
              <w:bidi w:val="0"/>
              <w:adjustRightInd/>
              <w:snapToGrid w:val="0"/>
              <w:spacing w:line="32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10.配置至少2个控制器，控制器采用多核处理器，且单控控制器处理器核心数≥24核，CPU主频率≥2.6GHz，系统内一级缓存容量配置≥128GB（缓存不包括SCM、SSD盘、闪存、NAS机头的内存等），且任意控制器一级缓存容量≥64GB（不含任何性能加速模块、FlashCache、PAM卡，SSD Cache、SCM等）</w:t>
            </w:r>
            <w:r>
              <w:rPr>
                <w:rFonts w:hint="eastAsia" w:asciiTheme="minorEastAsia" w:hAnsiTheme="minorEastAsia" w:eastAsiaTheme="minorEastAsia"/>
                <w:color w:val="auto"/>
                <w:highlight w:val="none"/>
              </w:rPr>
              <w:t>；支持选配8/16/32G FC、1/10/25G ROCe接口，最大支持硬盘数量≥400</w:t>
            </w:r>
            <w:r>
              <w:rPr>
                <w:rFonts w:hint="eastAsia" w:ascii="宋体" w:hAnsi="宋体" w:cs="宋体"/>
                <w:color w:val="auto"/>
                <w:szCs w:val="21"/>
                <w:highlight w:val="none"/>
              </w:rPr>
              <w:t>。</w:t>
            </w:r>
          </w:p>
          <w:p w14:paraId="62619874">
            <w:pPr>
              <w:snapToGrid w:val="0"/>
              <w:spacing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▲11.</w:t>
            </w:r>
            <w:r>
              <w:rPr>
                <w:rFonts w:hint="eastAsia" w:asciiTheme="minorEastAsia" w:hAnsiTheme="minorEastAsia" w:eastAsiaTheme="minorEastAsia"/>
                <w:b/>
                <w:bCs/>
                <w:color w:val="auto"/>
                <w:highlight w:val="none"/>
              </w:rPr>
              <w:t>本次配置≥8*1Gb ETH、≥4*10Gb ETH(含光模块)、≥4*25Gb ETH接口(含光模块)、≥4*SAS3.0端口，配置≥1个硬盘框</w:t>
            </w:r>
            <w:r>
              <w:rPr>
                <w:rFonts w:hint="eastAsia" w:ascii="宋体" w:hAnsi="宋体" w:cs="宋体"/>
                <w:b/>
                <w:bCs/>
                <w:color w:val="auto"/>
                <w:szCs w:val="21"/>
                <w:highlight w:val="none"/>
              </w:rPr>
              <w:t xml:space="preserve">。 </w:t>
            </w:r>
          </w:p>
          <w:p w14:paraId="37B2E332">
            <w:pPr>
              <w:snapToGrid w:val="0"/>
              <w:spacing w:line="320" w:lineRule="exact"/>
              <w:jc w:val="left"/>
              <w:rPr>
                <w:rFonts w:ascii="宋体" w:hAnsi="宋体" w:cs="宋体"/>
                <w:b/>
                <w:bCs/>
                <w:color w:val="auto"/>
                <w:szCs w:val="21"/>
                <w:highlight w:val="none"/>
              </w:rPr>
            </w:pPr>
            <w:r>
              <w:rPr>
                <w:rFonts w:hint="eastAsia" w:ascii="宋体" w:hAnsi="宋体" w:cs="宋体"/>
                <w:color w:val="auto"/>
                <w:szCs w:val="21"/>
                <w:highlight w:val="none"/>
              </w:rPr>
              <w:t>12.支持RAID 5、RAID 6、RAID三盘失效；RAID三盘失效在同一个RAID组内容忍任意3盘同时失效</w:t>
            </w:r>
            <w:r>
              <w:rPr>
                <w:rFonts w:hint="eastAsia" w:ascii="宋体" w:hAnsi="宋体" w:cs="宋体"/>
                <w:b/>
                <w:bCs/>
                <w:color w:val="auto"/>
                <w:szCs w:val="21"/>
                <w:highlight w:val="none"/>
              </w:rPr>
              <w:t>（供应商于响应文件中提供所竞产品满足本项功能的官网或功能截图，加盖供应商电子签章）。</w:t>
            </w:r>
          </w:p>
          <w:p w14:paraId="1BC22F55">
            <w:pPr>
              <w:snapToGrid w:val="0"/>
              <w:spacing w:line="320" w:lineRule="exact"/>
              <w:jc w:val="left"/>
              <w:rPr>
                <w:rFonts w:ascii="宋体" w:hAnsi="宋体" w:cs="宋体"/>
                <w:color w:val="auto"/>
                <w:szCs w:val="21"/>
                <w:highlight w:val="none"/>
              </w:rPr>
            </w:pPr>
            <w:r>
              <w:rPr>
                <w:rFonts w:hint="eastAsia" w:ascii="宋体" w:hAnsi="宋体" w:cs="宋体"/>
                <w:b/>
                <w:bCs/>
                <w:color w:val="auto"/>
                <w:szCs w:val="21"/>
                <w:highlight w:val="none"/>
              </w:rPr>
              <w:t>13.支持连续数据保护功能，单LUN支持≥3万个快照；系统提供不大于10秒做一次快照【供应商于响应文件中提供所竞产品满足本项技术要求的由通过CMA认证或CNAS认证的国家认可的第三方检测机构出具的测试（检测）报告复印件，加盖供应商电子签章】。</w:t>
            </w:r>
          </w:p>
          <w:p w14:paraId="17A3CAB3">
            <w:pPr>
              <w:snapToGrid w:val="0"/>
              <w:spacing w:line="320" w:lineRule="exact"/>
              <w:jc w:val="left"/>
              <w:rPr>
                <w:rFonts w:ascii="宋体" w:hAnsi="宋体" w:cs="宋体"/>
                <w:color w:val="auto"/>
                <w:szCs w:val="21"/>
                <w:highlight w:val="none"/>
              </w:rPr>
            </w:pPr>
            <w:r>
              <w:rPr>
                <w:rFonts w:hint="eastAsia" w:ascii="宋体" w:hAnsi="宋体" w:cs="宋体"/>
                <w:color w:val="auto"/>
                <w:szCs w:val="21"/>
                <w:highlight w:val="none"/>
              </w:rPr>
              <w:t>14.</w:t>
            </w:r>
            <w:r>
              <w:rPr>
                <w:rFonts w:hint="eastAsia" w:asciiTheme="minorEastAsia" w:hAnsiTheme="minorEastAsia" w:eastAsiaTheme="minorEastAsia"/>
                <w:color w:val="auto"/>
                <w:highlight w:val="none"/>
              </w:rPr>
              <w:t>提供专有多路径（非操作系统自带多路径）软件，支持参考或相当于Windows、Linux</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中标麒麟、银河麒麟、凝思磐石等国产操作系统</w:t>
            </w:r>
            <w:r>
              <w:rPr>
                <w:rFonts w:hint="eastAsia" w:asciiTheme="minorEastAsia" w:hAnsiTheme="minorEastAsia" w:eastAsiaTheme="minorEastAsia"/>
                <w:b/>
                <w:bCs/>
                <w:color w:val="auto"/>
                <w:highlight w:val="none"/>
              </w:rPr>
              <w:t>（供应商于响应文件中提供所竞产品满足本项要求的证明材料，并加盖供应商公章</w:t>
            </w:r>
            <w:r>
              <w:rPr>
                <w:rFonts w:hint="eastAsia" w:ascii="宋体" w:hAnsi="宋体" w:cs="宋体"/>
                <w:b/>
                <w:bCs/>
                <w:color w:val="auto"/>
                <w:szCs w:val="21"/>
                <w:highlight w:val="none"/>
              </w:rPr>
              <w:t>）。</w:t>
            </w:r>
          </w:p>
          <w:p w14:paraId="0AFCC2B4">
            <w:pPr>
              <w:snapToGrid w:val="0"/>
              <w:spacing w:line="320" w:lineRule="exact"/>
              <w:jc w:val="left"/>
              <w:rPr>
                <w:rFonts w:hAnsi="宋体"/>
                <w:b/>
                <w:color w:val="auto"/>
                <w:szCs w:val="21"/>
                <w:highlight w:val="none"/>
              </w:rPr>
            </w:pPr>
            <w:r>
              <w:rPr>
                <w:rFonts w:hint="eastAsia" w:ascii="宋体" w:hAnsi="宋体" w:cs="宋体"/>
                <w:b/>
                <w:bCs/>
                <w:color w:val="auto"/>
                <w:szCs w:val="21"/>
                <w:highlight w:val="none"/>
              </w:rPr>
              <w:t>▲1</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.≥3年原厂7×24小时现场服务，提供≥3年原厂服务且设备生产商需在国内设有技术服务热线</w:t>
            </w:r>
            <w:r>
              <w:rPr>
                <w:rFonts w:hint="eastAsia" w:ascii="宋体" w:hAnsi="宋体" w:cs="宋体"/>
                <w:color w:val="auto"/>
                <w:szCs w:val="21"/>
                <w:highlight w:val="none"/>
              </w:rPr>
              <w:t>。</w:t>
            </w:r>
          </w:p>
          <w:p w14:paraId="1DE3025A">
            <w:pPr>
              <w:snapToGrid w:val="0"/>
              <w:spacing w:line="320" w:lineRule="exact"/>
              <w:jc w:val="left"/>
              <w:rPr>
                <w:rFonts w:hAnsi="宋体"/>
                <w:b/>
                <w:color w:val="auto"/>
                <w:szCs w:val="21"/>
                <w:highlight w:val="none"/>
              </w:rPr>
            </w:pPr>
            <w:r>
              <w:rPr>
                <w:rFonts w:hint="eastAsia" w:hAnsi="宋体"/>
                <w:b/>
                <w:color w:val="auto"/>
                <w:szCs w:val="21"/>
                <w:highlight w:val="none"/>
              </w:rPr>
              <w:t>▲三、技术要求（以下技术要求包含在竞标报价中，采购人不再另行支付）</w:t>
            </w:r>
          </w:p>
          <w:p w14:paraId="5AFA6616">
            <w:pPr>
              <w:snapToGrid w:val="0"/>
              <w:spacing w:line="320" w:lineRule="exact"/>
              <w:rPr>
                <w:rFonts w:hAnsi="宋体"/>
                <w:b/>
                <w:color w:val="auto"/>
                <w:szCs w:val="21"/>
                <w:highlight w:val="none"/>
              </w:rPr>
            </w:pPr>
            <w:r>
              <w:rPr>
                <w:rFonts w:hint="eastAsia" w:hAnsi="宋体"/>
                <w:b/>
                <w:color w:val="auto"/>
                <w:szCs w:val="21"/>
                <w:highlight w:val="none"/>
              </w:rPr>
              <w:t>（一）许可要求</w:t>
            </w:r>
          </w:p>
          <w:p w14:paraId="20EB59FE">
            <w:pPr>
              <w:snapToGrid w:val="0"/>
              <w:spacing w:line="320" w:lineRule="exact"/>
              <w:rPr>
                <w:rFonts w:hAnsi="宋体"/>
                <w:b/>
                <w:color w:val="auto"/>
                <w:szCs w:val="21"/>
                <w:highlight w:val="none"/>
              </w:rPr>
            </w:pPr>
            <w:r>
              <w:rPr>
                <w:rFonts w:hint="eastAsia" w:ascii="宋体" w:hAnsi="宋体"/>
                <w:b/>
                <w:color w:val="auto"/>
                <w:highlight w:val="none"/>
              </w:rPr>
              <w:t>1.本次采购竞标</w:t>
            </w:r>
            <w:r>
              <w:rPr>
                <w:rFonts w:hint="eastAsia" w:hAnsi="宋体"/>
                <w:b/>
                <w:color w:val="auto"/>
                <w:szCs w:val="21"/>
                <w:highlight w:val="none"/>
              </w:rPr>
              <w:t>报价中已经包含系统所有组件的永久授权，不为用户数量及接口数量设置额外限制。</w:t>
            </w:r>
          </w:p>
          <w:p w14:paraId="54A48CF0">
            <w:pPr>
              <w:snapToGrid w:val="0"/>
              <w:spacing w:line="320" w:lineRule="exact"/>
              <w:rPr>
                <w:rFonts w:hAnsi="宋体"/>
                <w:b/>
                <w:color w:val="auto"/>
                <w:szCs w:val="21"/>
                <w:highlight w:val="none"/>
              </w:rPr>
            </w:pPr>
            <w:r>
              <w:rPr>
                <w:rFonts w:hint="eastAsia" w:ascii="宋体" w:hAnsi="宋体"/>
                <w:b/>
                <w:color w:val="auto"/>
                <w:highlight w:val="none"/>
              </w:rPr>
              <w:t>2.</w:t>
            </w:r>
            <w:r>
              <w:rPr>
                <w:rFonts w:hint="eastAsia" w:hAnsi="宋体"/>
                <w:b/>
                <w:color w:val="auto"/>
                <w:szCs w:val="21"/>
                <w:highlight w:val="none"/>
              </w:rPr>
              <w:t>为保证用户权益不受侵害，供应商于响应文件中必须提供所提供软件产品相关自主知识产权证明复印件，加盖供应商公章。</w:t>
            </w:r>
          </w:p>
          <w:p w14:paraId="6AEB1CBB">
            <w:pPr>
              <w:snapToGrid w:val="0"/>
              <w:spacing w:line="320" w:lineRule="exact"/>
              <w:rPr>
                <w:rFonts w:hAnsi="宋体"/>
                <w:bCs/>
                <w:color w:val="auto"/>
                <w:szCs w:val="21"/>
                <w:highlight w:val="none"/>
              </w:rPr>
            </w:pPr>
            <w:r>
              <w:rPr>
                <w:rFonts w:hint="eastAsia" w:hAnsi="宋体"/>
                <w:b/>
                <w:color w:val="auto"/>
                <w:szCs w:val="21"/>
                <w:highlight w:val="none"/>
              </w:rPr>
              <w:t>3.供应商所提供的软件系统产品软件版权产生的任何纠纷以及造成的各项损失，由供应商负责赔偿。</w:t>
            </w:r>
          </w:p>
          <w:p w14:paraId="0AAAEECF">
            <w:pPr>
              <w:snapToGrid w:val="0"/>
              <w:spacing w:line="320" w:lineRule="exact"/>
              <w:jc w:val="left"/>
              <w:rPr>
                <w:rFonts w:ascii="宋体" w:hAnsi="宋体" w:cs="宋体"/>
                <w:b/>
                <w:color w:val="auto"/>
                <w:szCs w:val="21"/>
                <w:highlight w:val="none"/>
              </w:rPr>
            </w:pPr>
            <w:r>
              <w:rPr>
                <w:rFonts w:hint="eastAsia" w:ascii="宋体" w:hAnsi="宋体" w:cs="宋体"/>
                <w:b/>
                <w:color w:val="auto"/>
                <w:szCs w:val="21"/>
                <w:highlight w:val="none"/>
              </w:rPr>
              <w:t>（二）系统安全要求</w:t>
            </w:r>
          </w:p>
          <w:p w14:paraId="68363FBC">
            <w:pPr>
              <w:snapToGrid w:val="0"/>
              <w:spacing w:line="320" w:lineRule="exact"/>
              <w:jc w:val="left"/>
              <w:rPr>
                <w:rFonts w:ascii="宋体" w:hAnsi="宋体" w:cs="宋体"/>
                <w:b/>
                <w:color w:val="auto"/>
                <w:szCs w:val="21"/>
                <w:highlight w:val="none"/>
              </w:rPr>
            </w:pPr>
            <w:r>
              <w:rPr>
                <w:rFonts w:hint="eastAsia" w:ascii="宋体" w:hAnsi="宋体" w:cs="宋体"/>
                <w:b/>
                <w:color w:val="auto"/>
                <w:szCs w:val="21"/>
                <w:highlight w:val="none"/>
              </w:rPr>
              <w:t>1.系统需符合《GB/T 22240-2020信息安全技术 网络安全等级保护定级指南》中三级以及上系统定级的要求。</w:t>
            </w:r>
          </w:p>
          <w:p w14:paraId="21F46849">
            <w:pPr>
              <w:snapToGrid w:val="0"/>
              <w:spacing w:line="320" w:lineRule="exact"/>
              <w:jc w:val="left"/>
              <w:rPr>
                <w:rFonts w:ascii="宋体" w:hAnsi="宋体" w:cs="宋体"/>
                <w:b/>
                <w:color w:val="auto"/>
                <w:szCs w:val="21"/>
                <w:highlight w:val="none"/>
              </w:rPr>
            </w:pPr>
            <w:r>
              <w:rPr>
                <w:rFonts w:hint="eastAsia" w:ascii="宋体" w:hAnsi="宋体" w:cs="宋体"/>
                <w:b/>
                <w:color w:val="auto"/>
                <w:szCs w:val="21"/>
                <w:highlight w:val="none"/>
              </w:rPr>
              <w:t>2.严格按照国家网络信息安全等级保护制度要求和标准实施本项目，符合采购人网络安全及系统等级保护三级及以上的相关技术规范和要求；若不满足，供应商负责升级优化，直至满足为止，相关费用均包含在报价中。</w:t>
            </w:r>
          </w:p>
          <w:p w14:paraId="390767B3">
            <w:pPr>
              <w:snapToGrid w:val="0"/>
              <w:spacing w:line="320" w:lineRule="exact"/>
              <w:jc w:val="left"/>
              <w:rPr>
                <w:rFonts w:ascii="宋体" w:hAnsi="宋体" w:cs="宋体"/>
                <w:b/>
                <w:color w:val="auto"/>
                <w:szCs w:val="21"/>
                <w:highlight w:val="none"/>
              </w:rPr>
            </w:pPr>
            <w:r>
              <w:rPr>
                <w:rFonts w:hint="eastAsia" w:ascii="宋体" w:hAnsi="宋体" w:cs="宋体"/>
                <w:b/>
                <w:color w:val="auto"/>
                <w:szCs w:val="21"/>
                <w:highlight w:val="none"/>
              </w:rPr>
              <w:t>3.严格依照《</w:t>
            </w:r>
            <w:r>
              <w:rPr>
                <w:rFonts w:ascii="宋体" w:hAnsi="宋体" w:cs="宋体"/>
                <w:b/>
                <w:color w:val="auto"/>
                <w:szCs w:val="21"/>
                <w:highlight w:val="none"/>
              </w:rPr>
              <w:t>信息安全技术 信息系统密码应用基本要求</w:t>
            </w:r>
            <w:r>
              <w:rPr>
                <w:rFonts w:hint="eastAsia" w:ascii="宋体" w:hAnsi="宋体" w:cs="宋体"/>
                <w:b/>
                <w:color w:val="auto"/>
                <w:szCs w:val="21"/>
                <w:highlight w:val="none"/>
              </w:rPr>
              <w:t>》( GB/T39786-2021 )、《中华人民共和国密码法》及相关商用密码应用要求和标准实施项目。若采购系统为三级及以上信息系统，需在系统真实运行环境下进行密评，保障密码安全有效、使用合规、使用正确。若采购的系统不满足相关商用密码应用要求，供应商负责升级优化，直至满足为止，相关费用均包含在报价中。</w:t>
            </w:r>
          </w:p>
          <w:p w14:paraId="682B78ED">
            <w:pPr>
              <w:snapToGrid w:val="0"/>
              <w:spacing w:line="320" w:lineRule="exact"/>
              <w:jc w:val="left"/>
              <w:rPr>
                <w:rFonts w:ascii="宋体" w:hAnsi="宋体" w:cs="宋体"/>
                <w:b/>
                <w:color w:val="auto"/>
                <w:szCs w:val="21"/>
                <w:highlight w:val="none"/>
              </w:rPr>
            </w:pPr>
            <w:r>
              <w:rPr>
                <w:rFonts w:hint="eastAsia" w:ascii="宋体" w:hAnsi="宋体" w:cs="宋体"/>
                <w:b/>
                <w:color w:val="auto"/>
                <w:szCs w:val="21"/>
                <w:highlight w:val="none"/>
              </w:rPr>
              <w:t>4.具有完整的系统平台运行日志，操作日志、访问日志等审计管理功能，具有包含数据库在内的自身功能健康、系统资源使用率定时检测功能。</w:t>
            </w:r>
          </w:p>
          <w:p w14:paraId="15EF3257">
            <w:pPr>
              <w:snapToGrid w:val="0"/>
              <w:spacing w:line="320" w:lineRule="exact"/>
              <w:jc w:val="left"/>
              <w:rPr>
                <w:rFonts w:hAnsi="宋体"/>
                <w:b/>
                <w:color w:val="auto"/>
                <w:szCs w:val="21"/>
                <w:highlight w:val="none"/>
              </w:rPr>
            </w:pPr>
            <w:r>
              <w:rPr>
                <w:rFonts w:hint="eastAsia" w:hAnsi="宋体"/>
                <w:b/>
                <w:color w:val="auto"/>
                <w:szCs w:val="21"/>
                <w:highlight w:val="none"/>
              </w:rPr>
              <w:t>（三）宣传推广要求</w:t>
            </w:r>
          </w:p>
          <w:p w14:paraId="311B4AF8">
            <w:pPr>
              <w:snapToGrid w:val="0"/>
              <w:spacing w:line="320" w:lineRule="exact"/>
              <w:jc w:val="left"/>
              <w:rPr>
                <w:rFonts w:hAnsi="宋体"/>
                <w:b/>
                <w:color w:val="auto"/>
                <w:szCs w:val="21"/>
                <w:highlight w:val="none"/>
              </w:rPr>
            </w:pPr>
            <w:r>
              <w:rPr>
                <w:rFonts w:hint="eastAsia" w:hAnsi="宋体"/>
                <w:b/>
                <w:color w:val="auto"/>
                <w:szCs w:val="21"/>
                <w:highlight w:val="none"/>
              </w:rPr>
              <w:t>供应商需配合采购人进行信息系统的宣传推广工作，完成微信公众号软文≥2篇，完成宣</w:t>
            </w:r>
            <w:r>
              <w:rPr>
                <w:rFonts w:hint="eastAsia" w:hAnsi="宋体"/>
                <w:b/>
                <w:color w:val="auto"/>
                <w:szCs w:val="21"/>
                <w:highlight w:val="none"/>
                <w:lang w:eastAsia="zh-CN"/>
              </w:rPr>
              <w:t>传</w:t>
            </w:r>
            <w:r>
              <w:rPr>
                <w:rFonts w:hint="eastAsia" w:hAnsi="宋体"/>
                <w:b/>
                <w:color w:val="auto"/>
                <w:szCs w:val="21"/>
                <w:highlight w:val="none"/>
              </w:rPr>
              <w:t>视频≥2个。</w:t>
            </w:r>
          </w:p>
          <w:p w14:paraId="7FC90B1A">
            <w:pPr>
              <w:snapToGrid w:val="0"/>
              <w:spacing w:line="320" w:lineRule="exact"/>
              <w:jc w:val="left"/>
              <w:rPr>
                <w:rFonts w:hAnsi="宋体"/>
                <w:b/>
                <w:color w:val="auto"/>
                <w:szCs w:val="21"/>
                <w:highlight w:val="none"/>
              </w:rPr>
            </w:pPr>
            <w:r>
              <w:rPr>
                <w:rFonts w:hint="eastAsia" w:hAnsi="宋体"/>
                <w:b/>
                <w:color w:val="auto"/>
                <w:szCs w:val="21"/>
                <w:highlight w:val="none"/>
              </w:rPr>
              <w:t>（四）其他要求</w:t>
            </w:r>
          </w:p>
          <w:p w14:paraId="0963C276">
            <w:pPr>
              <w:snapToGrid w:val="0"/>
              <w:spacing w:line="320" w:lineRule="exact"/>
              <w:jc w:val="left"/>
              <w:rPr>
                <w:rFonts w:hAnsi="宋体"/>
                <w:b/>
                <w:bCs/>
                <w:color w:val="auto"/>
                <w:szCs w:val="21"/>
                <w:highlight w:val="none"/>
              </w:rPr>
            </w:pPr>
            <w:r>
              <w:rPr>
                <w:rFonts w:hint="eastAsia" w:ascii="宋体" w:hAnsi="宋体"/>
                <w:b/>
                <w:bCs/>
                <w:color w:val="auto"/>
                <w:highlight w:val="none"/>
              </w:rPr>
              <w:t>1.</w:t>
            </w:r>
            <w:r>
              <w:rPr>
                <w:rFonts w:hint="eastAsia" w:hAnsi="宋体"/>
                <w:b/>
                <w:bCs/>
                <w:color w:val="auto"/>
                <w:szCs w:val="21"/>
                <w:highlight w:val="none"/>
              </w:rPr>
              <w:t>系统和数据统一存放于桂林电子科技大学网络与信息技术中心的数据中心。</w:t>
            </w:r>
          </w:p>
          <w:p w14:paraId="6E0B23BF">
            <w:pPr>
              <w:snapToGrid w:val="0"/>
              <w:spacing w:line="320" w:lineRule="exact"/>
              <w:jc w:val="left"/>
              <w:rPr>
                <w:rFonts w:hAnsi="宋体"/>
                <w:b/>
                <w:bCs/>
                <w:color w:val="auto"/>
                <w:szCs w:val="21"/>
                <w:highlight w:val="none"/>
              </w:rPr>
            </w:pPr>
            <w:r>
              <w:rPr>
                <w:rFonts w:hint="eastAsia" w:ascii="宋体" w:hAnsi="宋体"/>
                <w:b/>
                <w:bCs/>
                <w:color w:val="auto"/>
                <w:highlight w:val="none"/>
              </w:rPr>
              <w:t>2.</w:t>
            </w:r>
            <w:r>
              <w:rPr>
                <w:rFonts w:hint="eastAsia" w:hAnsi="宋体"/>
                <w:b/>
                <w:bCs/>
                <w:color w:val="auto"/>
                <w:szCs w:val="21"/>
                <w:highlight w:val="none"/>
              </w:rPr>
              <w:t>提供全量技术文档，必须完全开放所有数据、软件、功能等接口，交付全部接口文档给采购人。</w:t>
            </w:r>
          </w:p>
          <w:p w14:paraId="2AE072A7">
            <w:pPr>
              <w:snapToGrid w:val="0"/>
              <w:spacing w:line="320" w:lineRule="exact"/>
              <w:jc w:val="left"/>
              <w:rPr>
                <w:rFonts w:hAnsi="宋体"/>
                <w:b/>
                <w:bCs/>
                <w:color w:val="auto"/>
                <w:szCs w:val="21"/>
                <w:highlight w:val="none"/>
              </w:rPr>
            </w:pPr>
            <w:r>
              <w:rPr>
                <w:rFonts w:hint="eastAsia" w:ascii="宋体" w:hAnsi="宋体"/>
                <w:b/>
                <w:bCs/>
                <w:color w:val="auto"/>
                <w:highlight w:val="none"/>
              </w:rPr>
              <w:t>3.</w:t>
            </w:r>
            <w:r>
              <w:rPr>
                <w:rFonts w:hint="eastAsia" w:hAnsi="宋体"/>
                <w:b/>
                <w:bCs/>
                <w:color w:val="auto"/>
                <w:szCs w:val="21"/>
                <w:highlight w:val="none"/>
              </w:rPr>
              <w:t>具有完善的用户管理操作界面，采用分级管理模式，对不同级别用户的操作权限和数据访问范围有严格的限制，系统管理员可以根据采购人情况设置安全策略和人员调整策略。</w:t>
            </w:r>
          </w:p>
          <w:p w14:paraId="7FA0E5E8">
            <w:pPr>
              <w:snapToGrid w:val="0"/>
              <w:spacing w:line="320" w:lineRule="exact"/>
              <w:jc w:val="left"/>
              <w:rPr>
                <w:rFonts w:hAnsi="宋体"/>
                <w:b/>
                <w:bCs/>
                <w:color w:val="auto"/>
                <w:szCs w:val="21"/>
                <w:highlight w:val="none"/>
              </w:rPr>
            </w:pPr>
            <w:r>
              <w:rPr>
                <w:rFonts w:hint="eastAsia" w:ascii="宋体" w:hAnsi="宋体"/>
                <w:b/>
                <w:bCs/>
                <w:color w:val="auto"/>
                <w:highlight w:val="none"/>
              </w:rPr>
              <w:t>4.</w:t>
            </w:r>
            <w:r>
              <w:rPr>
                <w:rFonts w:hint="eastAsia" w:hAnsi="宋体"/>
                <w:b/>
                <w:bCs/>
                <w:color w:val="auto"/>
                <w:szCs w:val="21"/>
                <w:highlight w:val="none"/>
              </w:rPr>
              <w:t>具有统一的系统资源监控、平台接口管理操作界面与故障提醒管理界面，提醒消息能提供接口与采购人现有消息平台（采购人现有消息平台品牌：苏迪）对接。具有详细完整的日志管理功能。</w:t>
            </w:r>
          </w:p>
          <w:p w14:paraId="2D4858B7">
            <w:pPr>
              <w:snapToGrid w:val="0"/>
              <w:spacing w:line="320" w:lineRule="exact"/>
              <w:jc w:val="left"/>
              <w:rPr>
                <w:rFonts w:ascii="宋体" w:hAnsi="宋体"/>
                <w:b/>
                <w:bCs/>
                <w:color w:val="auto"/>
                <w:highlight w:val="none"/>
              </w:rPr>
            </w:pPr>
            <w:r>
              <w:rPr>
                <w:rFonts w:hint="eastAsia" w:ascii="宋体" w:hAnsi="宋体"/>
                <w:b/>
                <w:bCs/>
                <w:color w:val="auto"/>
                <w:highlight w:val="none"/>
              </w:rPr>
              <w:t>5.配合</w:t>
            </w:r>
            <w:r>
              <w:rPr>
                <w:rFonts w:hint="eastAsia" w:hAnsi="宋体"/>
                <w:b/>
                <w:bCs/>
                <w:color w:val="auto"/>
                <w:szCs w:val="21"/>
                <w:highlight w:val="none"/>
              </w:rPr>
              <w:t>采购人</w:t>
            </w:r>
            <w:r>
              <w:rPr>
                <w:rFonts w:hint="eastAsia" w:ascii="宋体" w:hAnsi="宋体"/>
                <w:b/>
                <w:bCs/>
                <w:color w:val="auto"/>
                <w:highlight w:val="none"/>
              </w:rPr>
              <w:t xml:space="preserve">完成本次采购包含的软硬件使用率统计，提供必要使用率指标数据。 </w:t>
            </w:r>
          </w:p>
          <w:p w14:paraId="6E3D70A6">
            <w:pPr>
              <w:snapToGrid w:val="0"/>
              <w:spacing w:line="320" w:lineRule="exact"/>
              <w:jc w:val="left"/>
              <w:rPr>
                <w:rFonts w:ascii="宋体" w:hAnsi="宋体"/>
                <w:b/>
                <w:bCs/>
                <w:color w:val="auto"/>
                <w:highlight w:val="none"/>
              </w:rPr>
            </w:pPr>
            <w:r>
              <w:rPr>
                <w:rFonts w:hint="eastAsia" w:ascii="宋体" w:hAnsi="宋体"/>
                <w:b/>
                <w:bCs/>
                <w:color w:val="auto"/>
                <w:highlight w:val="none"/>
              </w:rPr>
              <w:t>6.</w:t>
            </w:r>
            <w:r>
              <w:rPr>
                <w:rFonts w:hint="eastAsia" w:asciiTheme="minorEastAsia" w:hAnsiTheme="minorEastAsia" w:eastAsiaTheme="minorEastAsia" w:cstheme="minorEastAsia"/>
                <w:b/>
                <w:bCs/>
                <w:color w:val="auto"/>
                <w:highlight w:val="none"/>
              </w:rPr>
              <w:t>供应商须针对本项目投入至少6人的项目实施团队人员，负责安装、部署环境、培训、技术支持、后期维护（保修）及落实安全策略、配合处置安全事件等相关工作，其中项目经理、技术负责人各配备1人，其他人员配备至少4人（以上人员均不可重复担任多个岗位的职务）。</w:t>
            </w:r>
          </w:p>
        </w:tc>
      </w:tr>
      <w:tr w14:paraId="23DA3B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31" w:type="dxa"/>
            <w:gridSpan w:val="4"/>
            <w:tcBorders>
              <w:top w:val="single" w:color="auto" w:sz="4" w:space="0"/>
              <w:left w:val="single" w:color="auto" w:sz="4" w:space="0"/>
              <w:bottom w:val="single" w:color="auto" w:sz="4" w:space="0"/>
              <w:right w:val="single" w:color="auto" w:sz="4" w:space="0"/>
            </w:tcBorders>
          </w:tcPr>
          <w:p w14:paraId="071F7BE7">
            <w:pPr>
              <w:spacing w:line="400" w:lineRule="exact"/>
              <w:rPr>
                <w:rFonts w:ascii="宋体" w:hAnsi="宋体"/>
                <w:b/>
                <w:color w:val="auto"/>
                <w:szCs w:val="21"/>
                <w:highlight w:val="none"/>
              </w:rPr>
            </w:pPr>
            <w:r>
              <w:rPr>
                <w:rFonts w:hint="eastAsia" w:ascii="宋体" w:hAnsi="宋体"/>
                <w:b/>
                <w:color w:val="auto"/>
                <w:szCs w:val="21"/>
                <w:highlight w:val="none"/>
              </w:rPr>
              <w:t>▲二、商务要求</w:t>
            </w:r>
          </w:p>
        </w:tc>
      </w:tr>
      <w:tr w14:paraId="279652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767" w:type="dxa"/>
            <w:gridSpan w:val="2"/>
            <w:tcBorders>
              <w:top w:val="single" w:color="auto" w:sz="4" w:space="0"/>
              <w:left w:val="single" w:color="auto" w:sz="4" w:space="0"/>
              <w:bottom w:val="single" w:color="auto" w:sz="4" w:space="0"/>
              <w:right w:val="single" w:color="auto" w:sz="4" w:space="0"/>
            </w:tcBorders>
            <w:vAlign w:val="center"/>
          </w:tcPr>
          <w:p w14:paraId="2C560A26">
            <w:pPr>
              <w:snapToGrid w:val="0"/>
              <w:spacing w:line="360" w:lineRule="exact"/>
              <w:jc w:val="center"/>
              <w:rPr>
                <w:rFonts w:ascii="宋体" w:hAnsi="宋体" w:cs="Calibri"/>
                <w:b/>
                <w:color w:val="auto"/>
                <w:szCs w:val="21"/>
                <w:highlight w:val="none"/>
              </w:rPr>
            </w:pPr>
            <w:r>
              <w:rPr>
                <w:rFonts w:hint="eastAsia" w:ascii="宋体" w:hAnsi="宋体" w:cs="Calibri"/>
                <w:b/>
                <w:color w:val="auto"/>
                <w:szCs w:val="21"/>
                <w:highlight w:val="none"/>
              </w:rPr>
              <w:t>（一）售后服务要求</w:t>
            </w:r>
          </w:p>
        </w:tc>
        <w:tc>
          <w:tcPr>
            <w:tcW w:w="6164" w:type="dxa"/>
            <w:gridSpan w:val="2"/>
            <w:tcBorders>
              <w:top w:val="single" w:color="auto" w:sz="4" w:space="0"/>
              <w:left w:val="single" w:color="auto" w:sz="4" w:space="0"/>
              <w:bottom w:val="single" w:color="auto" w:sz="4" w:space="0"/>
              <w:right w:val="single" w:color="auto" w:sz="4" w:space="0"/>
            </w:tcBorders>
            <w:vAlign w:val="center"/>
          </w:tcPr>
          <w:p w14:paraId="6C733265">
            <w:pPr>
              <w:tabs>
                <w:tab w:val="left" w:pos="180"/>
                <w:tab w:val="left" w:pos="1620"/>
              </w:tabs>
              <w:spacing w:line="360" w:lineRule="exact"/>
              <w:jc w:val="left"/>
              <w:rPr>
                <w:rFonts w:ascii="宋体" w:hAnsi="宋体" w:cs="宋体"/>
                <w:b/>
                <w:color w:val="auto"/>
                <w:szCs w:val="21"/>
                <w:highlight w:val="none"/>
              </w:rPr>
            </w:pPr>
            <w:r>
              <w:rPr>
                <w:rFonts w:hint="eastAsia" w:ascii="宋体" w:hAnsi="宋体"/>
                <w:b/>
                <w:color w:val="auto"/>
                <w:szCs w:val="21"/>
                <w:highlight w:val="none"/>
              </w:rPr>
              <w:t>1</w:t>
            </w:r>
            <w:r>
              <w:rPr>
                <w:rFonts w:hint="eastAsia" w:ascii="宋体" w:hAnsi="宋体" w:cs="宋体"/>
                <w:b/>
                <w:color w:val="auto"/>
                <w:szCs w:val="21"/>
                <w:highlight w:val="none"/>
              </w:rPr>
              <w:t>.维护（保修）期内的售后服务要求（以下费用包含在竞标报价中，采购人不再另行支付）</w:t>
            </w:r>
          </w:p>
          <w:p w14:paraId="17581F53">
            <w:pPr>
              <w:tabs>
                <w:tab w:val="left" w:pos="180"/>
                <w:tab w:val="left" w:pos="1620"/>
              </w:tabs>
              <w:spacing w:line="360" w:lineRule="exact"/>
              <w:jc w:val="left"/>
              <w:rPr>
                <w:rFonts w:ascii="宋体" w:hAnsi="宋体" w:cs="宋体"/>
                <w:b/>
                <w:color w:val="auto"/>
                <w:szCs w:val="21"/>
                <w:highlight w:val="none"/>
              </w:rPr>
            </w:pPr>
            <w:r>
              <w:rPr>
                <w:rFonts w:hint="eastAsia" w:ascii="宋体" w:hAnsi="宋体" w:cs="宋体"/>
                <w:b/>
                <w:color w:val="auto"/>
                <w:szCs w:val="21"/>
                <w:highlight w:val="none"/>
              </w:rPr>
              <w:t>（1）按国家有关产品“三包”规定执行“三包”，维护（保修）期不得少于3年，维护（保修）期内负责上门维修（包含维修和元器件）。</w:t>
            </w:r>
          </w:p>
          <w:p w14:paraId="790FFA94">
            <w:pPr>
              <w:tabs>
                <w:tab w:val="left" w:pos="180"/>
                <w:tab w:val="left" w:pos="1620"/>
              </w:tabs>
              <w:spacing w:line="360" w:lineRule="exact"/>
              <w:jc w:val="left"/>
              <w:rPr>
                <w:rFonts w:ascii="宋体" w:hAnsi="宋体" w:cs="宋体"/>
                <w:b/>
                <w:color w:val="auto"/>
                <w:szCs w:val="21"/>
                <w:highlight w:val="none"/>
              </w:rPr>
            </w:pPr>
            <w:r>
              <w:rPr>
                <w:rFonts w:hint="eastAsia" w:ascii="宋体" w:hAnsi="宋体" w:cs="宋体"/>
                <w:b/>
                <w:color w:val="auto"/>
                <w:szCs w:val="21"/>
                <w:highlight w:val="none"/>
              </w:rPr>
              <w:t>（2）技术服务</w:t>
            </w:r>
          </w:p>
          <w:p w14:paraId="2C6A25B0">
            <w:pPr>
              <w:tabs>
                <w:tab w:val="left" w:pos="180"/>
                <w:tab w:val="left" w:pos="1620"/>
              </w:tabs>
              <w:spacing w:line="360" w:lineRule="exact"/>
              <w:jc w:val="left"/>
              <w:rPr>
                <w:rFonts w:ascii="宋体" w:hAnsi="宋体" w:cs="宋体"/>
                <w:b/>
                <w:color w:val="auto"/>
                <w:szCs w:val="21"/>
                <w:highlight w:val="none"/>
              </w:rPr>
            </w:pPr>
            <w:r>
              <w:rPr>
                <w:rFonts w:hint="eastAsia" w:ascii="宋体" w:hAnsi="宋体" w:cs="宋体"/>
                <w:b/>
                <w:color w:val="auto"/>
                <w:szCs w:val="21"/>
                <w:highlight w:val="none"/>
              </w:rPr>
              <w:t>①负责送货上门、安装、调试。</w:t>
            </w:r>
          </w:p>
          <w:p w14:paraId="113A85D3">
            <w:pPr>
              <w:tabs>
                <w:tab w:val="left" w:pos="180"/>
                <w:tab w:val="left" w:pos="1620"/>
              </w:tabs>
              <w:spacing w:line="360" w:lineRule="exact"/>
              <w:jc w:val="left"/>
              <w:rPr>
                <w:rFonts w:ascii="宋体" w:hAnsi="宋体" w:cs="宋体"/>
                <w:b/>
                <w:color w:val="auto"/>
                <w:szCs w:val="21"/>
                <w:highlight w:val="none"/>
              </w:rPr>
            </w:pPr>
            <w:r>
              <w:rPr>
                <w:rFonts w:hint="eastAsia" w:ascii="宋体" w:hAnsi="宋体" w:cs="宋体"/>
                <w:b/>
                <w:color w:val="auto"/>
                <w:szCs w:val="21"/>
                <w:highlight w:val="none"/>
              </w:rPr>
              <w:t>②负责提供现场技术培训，保证使用人员正常操作设备的各种功能；成交供应商负责对采购人指定的技术人员进行技术培训，培训内容包括设备操作、维护、简单维修和其他采购人要求的内容，经培训应能进行日常运行维护工作：能熟练地排除简单故障、管理设备、分析故障等。</w:t>
            </w:r>
          </w:p>
          <w:p w14:paraId="64CC6C35">
            <w:pPr>
              <w:tabs>
                <w:tab w:val="left" w:pos="180"/>
                <w:tab w:val="left" w:pos="1620"/>
              </w:tabs>
              <w:spacing w:line="360" w:lineRule="exact"/>
              <w:jc w:val="left"/>
              <w:rPr>
                <w:rFonts w:ascii="宋体" w:hAnsi="宋体" w:cs="宋体"/>
                <w:b/>
                <w:color w:val="auto"/>
                <w:szCs w:val="21"/>
                <w:highlight w:val="none"/>
              </w:rPr>
            </w:pPr>
            <w:r>
              <w:rPr>
                <w:rFonts w:hint="eastAsia" w:ascii="宋体" w:hAnsi="宋体" w:cs="宋体"/>
                <w:b/>
                <w:color w:val="auto"/>
                <w:szCs w:val="21"/>
                <w:highlight w:val="none"/>
              </w:rPr>
              <w:t>③若</w:t>
            </w:r>
            <w:r>
              <w:rPr>
                <w:rFonts w:hint="eastAsia" w:ascii="宋体" w:hAnsi="宋体" w:cs="宋体"/>
                <w:b/>
                <w:color w:val="auto"/>
                <w:szCs w:val="21"/>
                <w:highlight w:val="none"/>
                <w:lang w:val="zh-CN"/>
              </w:rPr>
              <w:t>设备自带</w:t>
            </w:r>
            <w:r>
              <w:rPr>
                <w:rFonts w:hint="eastAsia" w:ascii="宋体" w:hAnsi="宋体" w:cs="宋体"/>
                <w:b/>
                <w:color w:val="auto"/>
                <w:szCs w:val="21"/>
                <w:highlight w:val="none"/>
              </w:rPr>
              <w:t>软件，则在维护（保修）期负责升级；产品升级服务：维护（保修）期内所提供的产品功能提供持续版本和补丁包更新服务，保证所采购软件产品与成交供应商发布最新版本保持一致，产品永远保持最新版本，采购人合理建议和需求能够在新版本或紧急补丁中体现。</w:t>
            </w:r>
          </w:p>
          <w:p w14:paraId="7B555E24">
            <w:pPr>
              <w:tabs>
                <w:tab w:val="left" w:pos="180"/>
                <w:tab w:val="left" w:pos="1620"/>
              </w:tabs>
              <w:spacing w:line="360" w:lineRule="exact"/>
              <w:jc w:val="left"/>
              <w:rPr>
                <w:rFonts w:ascii="宋体" w:hAnsi="宋体" w:cs="宋体"/>
                <w:b/>
                <w:color w:val="auto"/>
                <w:szCs w:val="21"/>
                <w:highlight w:val="none"/>
              </w:rPr>
            </w:pPr>
            <w:r>
              <w:rPr>
                <w:rFonts w:hint="eastAsia" w:ascii="宋体" w:hAnsi="宋体" w:cs="宋体"/>
                <w:b/>
                <w:color w:val="auto"/>
                <w:szCs w:val="21"/>
                <w:highlight w:val="none"/>
              </w:rPr>
              <w:t>④供应商必须对所有软件进行集成，且达到采购人使用要求为止。</w:t>
            </w:r>
          </w:p>
          <w:p w14:paraId="471E7D25">
            <w:pPr>
              <w:tabs>
                <w:tab w:val="left" w:pos="180"/>
                <w:tab w:val="left" w:pos="1620"/>
              </w:tabs>
              <w:spacing w:line="360" w:lineRule="exact"/>
              <w:jc w:val="left"/>
              <w:rPr>
                <w:rFonts w:ascii="宋体" w:hAnsi="宋体" w:cs="宋体"/>
                <w:b/>
                <w:color w:val="auto"/>
                <w:highlight w:val="none"/>
              </w:rPr>
            </w:pPr>
            <w:r>
              <w:rPr>
                <w:rFonts w:hint="eastAsia" w:ascii="宋体" w:hAnsi="宋体" w:cs="宋体"/>
                <w:b/>
                <w:color w:val="auto"/>
                <w:szCs w:val="21"/>
                <w:highlight w:val="none"/>
              </w:rPr>
              <w:t>⑤所有软件，必须本地化部署。</w:t>
            </w:r>
          </w:p>
          <w:p w14:paraId="678EF4C1">
            <w:pPr>
              <w:tabs>
                <w:tab w:val="left" w:pos="180"/>
                <w:tab w:val="left" w:pos="1620"/>
              </w:tabs>
              <w:spacing w:line="360" w:lineRule="exact"/>
              <w:jc w:val="left"/>
              <w:rPr>
                <w:rFonts w:ascii="宋体" w:hAnsi="宋体" w:cs="宋体"/>
                <w:b/>
                <w:color w:val="auto"/>
                <w:szCs w:val="21"/>
                <w:highlight w:val="none"/>
              </w:rPr>
            </w:pPr>
            <w:r>
              <w:rPr>
                <w:rFonts w:hint="eastAsia" w:ascii="宋体" w:hAnsi="宋体" w:cs="宋体"/>
                <w:b/>
                <w:color w:val="auto"/>
                <w:szCs w:val="21"/>
                <w:highlight w:val="none"/>
              </w:rPr>
              <w:t>⑥其余按供应商承诺进行。</w:t>
            </w:r>
          </w:p>
          <w:p w14:paraId="770DB6AE">
            <w:pPr>
              <w:spacing w:line="320" w:lineRule="exact"/>
              <w:rPr>
                <w:rFonts w:ascii="宋体" w:hAnsi="宋体" w:cs="宋体"/>
                <w:b/>
                <w:color w:val="auto"/>
                <w:szCs w:val="21"/>
                <w:highlight w:val="none"/>
              </w:rPr>
            </w:pPr>
            <w:r>
              <w:rPr>
                <w:rFonts w:hint="eastAsia" w:ascii="宋体" w:hAnsi="宋体" w:cs="宋体"/>
                <w:b/>
                <w:color w:val="auto"/>
                <w:szCs w:val="21"/>
                <w:highlight w:val="none"/>
              </w:rPr>
              <w:t>（3）操作维修手册：供应商必须提供完善的产品使用手册、操作培训手册、维护手册。</w:t>
            </w:r>
          </w:p>
          <w:p w14:paraId="39A3E226">
            <w:pPr>
              <w:snapToGrid w:val="0"/>
              <w:spacing w:line="320" w:lineRule="exact"/>
              <w:jc w:val="left"/>
              <w:rPr>
                <w:rFonts w:ascii="宋体" w:hAnsi="宋体"/>
                <w:b/>
                <w:color w:val="auto"/>
                <w:szCs w:val="21"/>
                <w:highlight w:val="none"/>
              </w:rPr>
            </w:pPr>
            <w:r>
              <w:rPr>
                <w:rFonts w:hint="eastAsia" w:ascii="宋体" w:hAnsi="宋体"/>
                <w:b/>
                <w:color w:val="auto"/>
                <w:szCs w:val="21"/>
                <w:highlight w:val="none"/>
              </w:rPr>
              <w:t>（4）提供售后服务联系电话及联系人，维护（保修）</w:t>
            </w:r>
            <w:r>
              <w:rPr>
                <w:rFonts w:ascii="宋体" w:hAnsi="宋体"/>
                <w:b/>
                <w:color w:val="auto"/>
                <w:szCs w:val="21"/>
                <w:highlight w:val="none"/>
              </w:rPr>
              <w:t>期</w:t>
            </w:r>
            <w:r>
              <w:rPr>
                <w:rFonts w:hint="eastAsia" w:ascii="宋体" w:hAnsi="宋体"/>
                <w:b/>
                <w:color w:val="auto"/>
                <w:szCs w:val="21"/>
                <w:highlight w:val="none"/>
              </w:rPr>
              <w:t>内，接到报障电话在承诺时间内派工程技术人员上门维修解决问题。如果需要更换配件的，要求更换的配件应跟被更换的品牌、类型相一致或者是同类同档次的替代品，后者需征得采购人管理人员同意。</w:t>
            </w:r>
          </w:p>
          <w:p w14:paraId="7C31EB38">
            <w:pPr>
              <w:snapToGrid w:val="0"/>
              <w:spacing w:line="320" w:lineRule="exact"/>
              <w:jc w:val="left"/>
              <w:rPr>
                <w:rFonts w:ascii="宋体" w:hAnsi="宋体"/>
                <w:b/>
                <w:color w:val="auto"/>
                <w:szCs w:val="21"/>
                <w:highlight w:val="none"/>
              </w:rPr>
            </w:pPr>
            <w:r>
              <w:rPr>
                <w:rFonts w:hint="eastAsia" w:ascii="宋体" w:hAnsi="宋体"/>
                <w:b/>
                <w:color w:val="auto"/>
                <w:szCs w:val="21"/>
                <w:highlight w:val="none"/>
              </w:rPr>
              <w:t>（5）其他售后服务要求：</w:t>
            </w:r>
          </w:p>
          <w:p w14:paraId="756EB879">
            <w:pPr>
              <w:tabs>
                <w:tab w:val="left" w:pos="180"/>
                <w:tab w:val="left" w:pos="1620"/>
              </w:tabs>
              <w:spacing w:line="360" w:lineRule="exact"/>
              <w:jc w:val="left"/>
              <w:rPr>
                <w:rFonts w:ascii="宋体" w:hAnsi="宋体"/>
                <w:b/>
                <w:color w:val="auto"/>
                <w:szCs w:val="21"/>
                <w:highlight w:val="none"/>
              </w:rPr>
            </w:pPr>
            <w:r>
              <w:rPr>
                <w:rFonts w:hint="eastAsia" w:ascii="宋体" w:hAnsi="宋体"/>
                <w:b/>
                <w:color w:val="auto"/>
                <w:szCs w:val="21"/>
                <w:highlight w:val="none"/>
              </w:rPr>
              <w:t>①BUG处理：如供应商交付的业务系统存在BUG，供应商须提供修正与消缺服务，如有修复BUG的补丁，应提供升级服务。</w:t>
            </w:r>
            <w:r>
              <w:rPr>
                <w:rFonts w:hint="eastAsia" w:ascii="宋体" w:hAnsi="宋体"/>
                <w:b/>
                <w:color w:val="auto"/>
                <w:szCs w:val="21"/>
                <w:highlight w:val="none"/>
              </w:rPr>
              <w:br w:type="textWrapping"/>
            </w:r>
            <w:r>
              <w:rPr>
                <w:rFonts w:hint="eastAsia" w:ascii="宋体" w:hAnsi="宋体"/>
                <w:b/>
                <w:color w:val="auto"/>
                <w:szCs w:val="21"/>
                <w:highlight w:val="none"/>
              </w:rPr>
              <w:t>②故障处理：如供应商交付的系统上线运行时，出现问题导致业务中断时，供应商应对故障进行处理。由于非计划掉电导致系统故障时，供应商应配合系统恢复。由于系统资源不足导致系统故障时，供应商应配合采购人系统恢复。由于硬件故障时，供应商应在采购人数据还原后，配合采购人系统恢复。</w:t>
            </w:r>
            <w:r>
              <w:rPr>
                <w:rFonts w:hint="eastAsia" w:ascii="宋体" w:hAnsi="宋体"/>
                <w:b/>
                <w:color w:val="auto"/>
                <w:szCs w:val="21"/>
                <w:highlight w:val="none"/>
              </w:rPr>
              <w:br w:type="textWrapping"/>
            </w:r>
            <w:r>
              <w:rPr>
                <w:rFonts w:hint="eastAsia" w:ascii="宋体" w:hAnsi="宋体"/>
                <w:b/>
                <w:color w:val="auto"/>
                <w:szCs w:val="21"/>
                <w:highlight w:val="none"/>
              </w:rPr>
              <w:t>③运行支持：供应商应对系统运行过程中系统管理员及业务管理员的问题提供解答和问题解决跟踪。</w:t>
            </w:r>
            <w:r>
              <w:rPr>
                <w:rFonts w:hint="eastAsia" w:ascii="宋体" w:hAnsi="宋体"/>
                <w:b/>
                <w:color w:val="auto"/>
                <w:szCs w:val="21"/>
                <w:highlight w:val="none"/>
              </w:rPr>
              <w:br w:type="textWrapping"/>
            </w:r>
            <w:r>
              <w:rPr>
                <w:rFonts w:hint="eastAsia" w:ascii="宋体" w:hAnsi="宋体"/>
                <w:b/>
                <w:color w:val="auto"/>
                <w:szCs w:val="21"/>
                <w:highlight w:val="none"/>
              </w:rPr>
              <w:t>④在项目维护（保修）期内，因为软件系统本身原因导致系统不可用，供应商应全程跟踪解决，确保问题快速解决，因为操作系统、服务器、网络设备及其他硬件设备导致系统不可用时，供应商应配合采购人排查故障，提供解决方法供采购人选择，配合采购人解决问题。</w:t>
            </w:r>
          </w:p>
          <w:p w14:paraId="5D2FE1C3">
            <w:pPr>
              <w:tabs>
                <w:tab w:val="left" w:pos="180"/>
                <w:tab w:val="left" w:pos="1620"/>
              </w:tabs>
              <w:spacing w:line="360" w:lineRule="exact"/>
              <w:jc w:val="left"/>
              <w:rPr>
                <w:rFonts w:ascii="宋体" w:hAnsi="宋体"/>
                <w:b/>
                <w:color w:val="auto"/>
                <w:szCs w:val="21"/>
                <w:highlight w:val="none"/>
              </w:rPr>
            </w:pPr>
            <w:r>
              <w:rPr>
                <w:rFonts w:hint="eastAsia" w:ascii="宋体" w:hAnsi="宋体"/>
                <w:b/>
                <w:color w:val="auto"/>
                <w:szCs w:val="21"/>
                <w:highlight w:val="none"/>
              </w:rPr>
              <w:t>2.维护（保修）期外的售后服务要求</w:t>
            </w:r>
          </w:p>
          <w:p w14:paraId="7289390C">
            <w:pPr>
              <w:tabs>
                <w:tab w:val="left" w:pos="180"/>
                <w:tab w:val="left" w:pos="1620"/>
              </w:tabs>
              <w:spacing w:line="360" w:lineRule="exact"/>
              <w:jc w:val="left"/>
              <w:rPr>
                <w:rFonts w:ascii="宋体" w:hAnsi="宋体"/>
                <w:b/>
                <w:color w:val="auto"/>
                <w:szCs w:val="21"/>
                <w:highlight w:val="none"/>
              </w:rPr>
            </w:pPr>
            <w:r>
              <w:rPr>
                <w:rFonts w:hint="eastAsia" w:ascii="宋体" w:hAnsi="宋体"/>
                <w:b/>
                <w:color w:val="auto"/>
                <w:szCs w:val="21"/>
                <w:highlight w:val="none"/>
              </w:rPr>
              <w:t>（1）提供终身维修服务。维护（保修）期到期后，采购人与供应商双方根据设备或信息系统使用情况协商延保费用。</w:t>
            </w:r>
          </w:p>
          <w:p w14:paraId="49BA50F8">
            <w:pPr>
              <w:tabs>
                <w:tab w:val="left" w:pos="180"/>
                <w:tab w:val="left" w:pos="1620"/>
              </w:tabs>
              <w:spacing w:line="360" w:lineRule="exact"/>
              <w:jc w:val="left"/>
              <w:rPr>
                <w:rFonts w:hAnsi="宋体"/>
                <w:b/>
                <w:color w:val="auto"/>
                <w:highlight w:val="none"/>
              </w:rPr>
            </w:pPr>
            <w:r>
              <w:rPr>
                <w:rFonts w:hint="eastAsia" w:ascii="宋体" w:hAnsi="宋体"/>
                <w:b/>
                <w:color w:val="auto"/>
                <w:szCs w:val="21"/>
                <w:highlight w:val="none"/>
              </w:rPr>
              <w:t>（2）提供维护（保修）期外零配件优惠供应方案</w:t>
            </w:r>
            <w:r>
              <w:rPr>
                <w:rFonts w:hint="eastAsia" w:hAnsi="宋体"/>
                <w:b/>
                <w:color w:val="auto"/>
                <w:highlight w:val="none"/>
              </w:rPr>
              <w:t>。</w:t>
            </w:r>
          </w:p>
        </w:tc>
      </w:tr>
      <w:tr w14:paraId="4939A9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7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6DEEFD">
            <w:pPr>
              <w:snapToGrid w:val="0"/>
              <w:spacing w:line="360" w:lineRule="exact"/>
              <w:jc w:val="center"/>
              <w:rPr>
                <w:rFonts w:ascii="宋体" w:hAnsi="宋体" w:cs="Calibri"/>
                <w:b/>
                <w:color w:val="auto"/>
                <w:szCs w:val="21"/>
                <w:highlight w:val="none"/>
              </w:rPr>
            </w:pPr>
            <w:r>
              <w:rPr>
                <w:rFonts w:hint="eastAsia" w:ascii="宋体" w:hAnsi="宋体" w:cs="Calibri"/>
                <w:b/>
                <w:color w:val="auto"/>
                <w:szCs w:val="21"/>
                <w:highlight w:val="none"/>
              </w:rPr>
              <w:t>（二）</w:t>
            </w:r>
            <w:r>
              <w:rPr>
                <w:rFonts w:hint="eastAsia" w:ascii="宋体" w:hAnsi="宋体"/>
                <w:b/>
                <w:color w:val="auto"/>
                <w:highlight w:val="none"/>
              </w:rPr>
              <w:t>交付时间及地点</w:t>
            </w:r>
          </w:p>
        </w:tc>
        <w:tc>
          <w:tcPr>
            <w:tcW w:w="61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0FA02D">
            <w:pPr>
              <w:tabs>
                <w:tab w:val="left" w:pos="180"/>
                <w:tab w:val="left" w:pos="1620"/>
              </w:tabs>
              <w:spacing w:line="360" w:lineRule="exact"/>
              <w:jc w:val="left"/>
              <w:rPr>
                <w:rFonts w:ascii="宋体" w:hAnsi="宋体" w:cs="宋体"/>
                <w:b/>
                <w:color w:val="auto"/>
                <w:szCs w:val="21"/>
                <w:highlight w:val="none"/>
              </w:rPr>
            </w:pPr>
            <w:r>
              <w:rPr>
                <w:rFonts w:hint="eastAsia" w:ascii="宋体" w:hAnsi="宋体" w:cs="宋体"/>
                <w:b/>
                <w:color w:val="auto"/>
                <w:szCs w:val="21"/>
                <w:highlight w:val="none"/>
              </w:rPr>
              <w:t>1.交付时间：自签订合同之日起7个日历日内必须全部安装调试合格完毕。</w:t>
            </w:r>
          </w:p>
          <w:p w14:paraId="7C8D6F77">
            <w:pPr>
              <w:tabs>
                <w:tab w:val="left" w:pos="180"/>
                <w:tab w:val="left" w:pos="1620"/>
              </w:tabs>
              <w:spacing w:line="360" w:lineRule="exact"/>
              <w:jc w:val="left"/>
              <w:rPr>
                <w:rFonts w:ascii="宋体" w:hAnsi="宋体" w:cs="Calibri"/>
                <w:b/>
                <w:color w:val="auto"/>
                <w:szCs w:val="21"/>
                <w:highlight w:val="none"/>
              </w:rPr>
            </w:pPr>
            <w:r>
              <w:rPr>
                <w:rFonts w:hint="eastAsia" w:ascii="宋体" w:hAnsi="宋体" w:cs="宋体"/>
                <w:b/>
                <w:color w:val="auto"/>
                <w:szCs w:val="21"/>
                <w:highlight w:val="none"/>
              </w:rPr>
              <w:t>2.交付地点：广西桂林市采购人指定地点（桂林电子科技大学）。</w:t>
            </w:r>
          </w:p>
        </w:tc>
      </w:tr>
      <w:tr w14:paraId="27DE19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2767" w:type="dxa"/>
            <w:gridSpan w:val="2"/>
            <w:tcBorders>
              <w:top w:val="single" w:color="auto" w:sz="4" w:space="0"/>
              <w:left w:val="single" w:color="auto" w:sz="4" w:space="0"/>
              <w:bottom w:val="single" w:color="auto" w:sz="4" w:space="0"/>
              <w:right w:val="single" w:color="auto" w:sz="4" w:space="0"/>
            </w:tcBorders>
          </w:tcPr>
          <w:p w14:paraId="2FBA4C7C">
            <w:pPr>
              <w:spacing w:line="360" w:lineRule="exact"/>
              <w:jc w:val="center"/>
              <w:rPr>
                <w:rFonts w:ascii="宋体" w:hAnsi="宋体"/>
                <w:b/>
                <w:color w:val="auto"/>
                <w:szCs w:val="21"/>
                <w:highlight w:val="none"/>
              </w:rPr>
            </w:pPr>
            <w:r>
              <w:rPr>
                <w:rFonts w:hint="eastAsia" w:ascii="宋体" w:hAnsi="宋体"/>
                <w:b/>
                <w:color w:val="auto"/>
                <w:szCs w:val="21"/>
                <w:highlight w:val="none"/>
              </w:rPr>
              <w:t>（三）保险</w:t>
            </w:r>
          </w:p>
        </w:tc>
        <w:tc>
          <w:tcPr>
            <w:tcW w:w="6164" w:type="dxa"/>
            <w:gridSpan w:val="2"/>
            <w:tcBorders>
              <w:top w:val="single" w:color="auto" w:sz="4" w:space="0"/>
              <w:left w:val="single" w:color="auto" w:sz="4" w:space="0"/>
              <w:bottom w:val="single" w:color="auto" w:sz="4" w:space="0"/>
              <w:right w:val="single" w:color="auto" w:sz="4" w:space="0"/>
            </w:tcBorders>
            <w:vAlign w:val="center"/>
          </w:tcPr>
          <w:p w14:paraId="6F85FDCE">
            <w:pPr>
              <w:spacing w:line="360" w:lineRule="exact"/>
              <w:rPr>
                <w:rFonts w:ascii="宋体" w:hAnsi="宋体"/>
                <w:b/>
                <w:color w:val="auto"/>
                <w:szCs w:val="21"/>
                <w:highlight w:val="none"/>
              </w:rPr>
            </w:pPr>
            <w:r>
              <w:rPr>
                <w:rFonts w:hint="eastAsia" w:ascii="宋体" w:hAnsi="宋体"/>
                <w:b/>
                <w:color w:val="auto"/>
                <w:szCs w:val="21"/>
                <w:highlight w:val="none"/>
              </w:rPr>
              <w:t>采购标的涉及的相关保险费用由供应商自行承担。</w:t>
            </w:r>
          </w:p>
        </w:tc>
      </w:tr>
      <w:tr w14:paraId="1121DB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767" w:type="dxa"/>
            <w:gridSpan w:val="2"/>
            <w:tcBorders>
              <w:top w:val="single" w:color="auto" w:sz="4" w:space="0"/>
              <w:left w:val="single" w:color="auto" w:sz="4" w:space="0"/>
              <w:bottom w:val="single" w:color="auto" w:sz="4" w:space="0"/>
              <w:right w:val="single" w:color="auto" w:sz="4" w:space="0"/>
            </w:tcBorders>
            <w:vAlign w:val="center"/>
          </w:tcPr>
          <w:p w14:paraId="64559EFD">
            <w:pPr>
              <w:snapToGrid w:val="0"/>
              <w:spacing w:line="360" w:lineRule="exact"/>
              <w:jc w:val="center"/>
              <w:rPr>
                <w:rFonts w:ascii="宋体" w:hAnsi="宋体" w:cs="Calibri"/>
                <w:b/>
                <w:color w:val="auto"/>
                <w:szCs w:val="21"/>
                <w:highlight w:val="none"/>
              </w:rPr>
            </w:pPr>
            <w:r>
              <w:rPr>
                <w:rFonts w:hint="eastAsia" w:ascii="宋体" w:hAnsi="宋体"/>
                <w:b/>
                <w:color w:val="auto"/>
                <w:highlight w:val="none"/>
              </w:rPr>
              <w:t>（四）验收标准</w:t>
            </w:r>
          </w:p>
        </w:tc>
        <w:tc>
          <w:tcPr>
            <w:tcW w:w="6164" w:type="dxa"/>
            <w:gridSpan w:val="2"/>
            <w:tcBorders>
              <w:top w:val="single" w:color="auto" w:sz="4" w:space="0"/>
              <w:left w:val="single" w:color="auto" w:sz="4" w:space="0"/>
              <w:bottom w:val="single" w:color="auto" w:sz="4" w:space="0"/>
              <w:right w:val="single" w:color="auto" w:sz="4" w:space="0"/>
            </w:tcBorders>
            <w:vAlign w:val="center"/>
          </w:tcPr>
          <w:p w14:paraId="3EACF7E9">
            <w:pPr>
              <w:spacing w:line="360" w:lineRule="exact"/>
              <w:rPr>
                <w:rFonts w:ascii="宋体" w:hAnsi="宋体"/>
                <w:b/>
                <w:bCs/>
                <w:color w:val="auto"/>
                <w:highlight w:val="none"/>
              </w:rPr>
            </w:pPr>
            <w:r>
              <w:rPr>
                <w:rFonts w:hint="eastAsia" w:ascii="宋体" w:hAnsi="宋体"/>
                <w:b/>
                <w:bCs/>
                <w:color w:val="auto"/>
                <w:highlight w:val="none"/>
              </w:rPr>
              <w:t>1.产品全新、完好、无破损，按照竞争性磋商文件及响应文件的各项指标进行验收，所供产品上线时必须实质性满足采购人所要求的产品的所有参数的要求。</w:t>
            </w:r>
          </w:p>
          <w:p w14:paraId="4A391947">
            <w:pPr>
              <w:spacing w:line="360" w:lineRule="exact"/>
              <w:rPr>
                <w:rStyle w:val="114"/>
                <w:rFonts w:ascii="宋体" w:hAnsi="宋体"/>
                <w:b/>
                <w:bCs/>
                <w:color w:val="auto"/>
                <w:szCs w:val="21"/>
                <w:highlight w:val="none"/>
              </w:rPr>
            </w:pPr>
            <w:r>
              <w:rPr>
                <w:rFonts w:hint="eastAsia" w:ascii="宋体" w:hAnsi="宋体"/>
                <w:b/>
                <w:bCs/>
                <w:color w:val="auto"/>
                <w:szCs w:val="21"/>
                <w:highlight w:val="none"/>
              </w:rPr>
              <w:t>2.质量标准：产品</w:t>
            </w:r>
            <w:r>
              <w:rPr>
                <w:rStyle w:val="114"/>
                <w:rFonts w:ascii="宋体" w:hAnsi="宋体"/>
                <w:b/>
                <w:bCs/>
                <w:color w:val="auto"/>
                <w:szCs w:val="21"/>
                <w:highlight w:val="none"/>
              </w:rPr>
              <w:t>符合国家相关标准及制造厂家合格产品的出厂质量标准。</w:t>
            </w:r>
            <w:r>
              <w:rPr>
                <w:rStyle w:val="114"/>
                <w:rFonts w:hint="eastAsia" w:ascii="宋体" w:hAnsi="宋体"/>
                <w:b/>
                <w:bCs/>
                <w:color w:val="auto"/>
                <w:szCs w:val="21"/>
                <w:highlight w:val="none"/>
              </w:rPr>
              <w:t>本项目执行国家相关标准、行业标准、地方标准或者其他标准、规范。如具体采购需求与标准、规范不一致的，高于标准、规范的按具体采购需求执行；低于标准、规范的按标准、规范执行。成交</w:t>
            </w:r>
            <w:r>
              <w:rPr>
                <w:rFonts w:hint="eastAsia" w:ascii="宋体" w:hAnsi="宋体"/>
                <w:b/>
                <w:bCs/>
                <w:color w:val="auto"/>
                <w:szCs w:val="21"/>
                <w:highlight w:val="none"/>
              </w:rPr>
              <w:t>供应商所提供的产品必须是全新、完好、无破损、未经使用的原装产品，并且实质性满足本项目磋商文件的所有技术要求。产品在正常安装、使用和保养条件下，其使用寿命期内各项指标均达到质量要求。</w:t>
            </w:r>
          </w:p>
          <w:p w14:paraId="00BDDEFA">
            <w:pPr>
              <w:spacing w:line="360" w:lineRule="exact"/>
              <w:rPr>
                <w:rFonts w:ascii="宋体" w:hAnsi="宋体"/>
                <w:b/>
                <w:bCs/>
                <w:color w:val="auto"/>
                <w:szCs w:val="21"/>
                <w:highlight w:val="none"/>
              </w:rPr>
            </w:pPr>
            <w:r>
              <w:rPr>
                <w:rFonts w:hint="eastAsia" w:ascii="宋体" w:hAnsi="宋体"/>
                <w:b/>
                <w:bCs/>
                <w:color w:val="auto"/>
                <w:szCs w:val="21"/>
                <w:highlight w:val="none"/>
              </w:rPr>
              <w:t>3.采购人测试系统的技术性能指标，确认各项功能正常运行。成交供应商提供软件系统的关键性的文档，包括必要的接口数据库字典、系统架构文档、平台部署架构及过程文档、测试文档、培训文档、安装手册和操作手册等各个阶段产生的全面、规范的成果和文档资料等交付给采购人，采购人根据最终的验收报告，确认各项功能正常运行，同时检查随机文件应齐整，即可验收。</w:t>
            </w:r>
          </w:p>
          <w:p w14:paraId="3C581910">
            <w:pPr>
              <w:spacing w:line="360" w:lineRule="exact"/>
              <w:rPr>
                <w:rFonts w:ascii="宋体" w:hAnsi="宋体"/>
                <w:b/>
                <w:bCs/>
                <w:color w:val="auto"/>
                <w:szCs w:val="21"/>
                <w:highlight w:val="none"/>
              </w:rPr>
            </w:pPr>
            <w:r>
              <w:rPr>
                <w:rFonts w:hint="eastAsia" w:ascii="宋体" w:hAnsi="宋体"/>
                <w:b/>
                <w:bCs/>
                <w:color w:val="auto"/>
                <w:szCs w:val="21"/>
                <w:highlight w:val="none"/>
              </w:rPr>
              <w:t>4.本项目所有系统功能模块，有权要求成交供应商</w:t>
            </w:r>
            <w:r>
              <w:rPr>
                <w:rFonts w:hint="eastAsia" w:ascii="宋体" w:hAnsi="宋体" w:cs="宋体"/>
                <w:b/>
                <w:bCs/>
                <w:color w:val="auto"/>
                <w:szCs w:val="21"/>
                <w:highlight w:val="none"/>
              </w:rPr>
              <w:t>提供本项系统软件功能的测试环境试用或进行相关的功能演示（或</w:t>
            </w:r>
            <w:r>
              <w:rPr>
                <w:rFonts w:hint="eastAsia" w:ascii="宋体" w:hAnsi="宋体"/>
                <w:b/>
                <w:bCs/>
                <w:color w:val="auto"/>
                <w:szCs w:val="21"/>
                <w:highlight w:val="none"/>
              </w:rPr>
              <w:t>试运行测评），试运行测评完成后，不通过或功能无法按响应实现的，将不予验收。成交供应商须退回采购人已经支付的所有款项，并须承担无法验收给采购人造成的损失。</w:t>
            </w:r>
            <w:r>
              <w:rPr>
                <w:rFonts w:hint="eastAsia" w:ascii="宋体" w:hAnsi="宋体" w:cs="宋体"/>
                <w:b/>
                <w:bCs/>
                <w:color w:val="auto"/>
                <w:szCs w:val="21"/>
                <w:highlight w:val="none"/>
              </w:rPr>
              <w:t>对于存在虚假响应行为的供应商，采购人将依法依规将其违规行为上报至相关监督管理机构，并追究其因此给采购人造成的全部责任及损失。</w:t>
            </w:r>
          </w:p>
          <w:p w14:paraId="402A8260">
            <w:pPr>
              <w:spacing w:line="360" w:lineRule="exact"/>
              <w:rPr>
                <w:rFonts w:ascii="宋体" w:hAnsi="宋体"/>
                <w:color w:val="auto"/>
                <w:szCs w:val="21"/>
                <w:highlight w:val="none"/>
              </w:rPr>
            </w:pPr>
            <w:r>
              <w:rPr>
                <w:rFonts w:hint="eastAsia" w:ascii="宋体" w:hAnsi="宋体"/>
                <w:b/>
                <w:bCs/>
                <w:color w:val="auto"/>
                <w:szCs w:val="21"/>
                <w:highlight w:val="none"/>
              </w:rPr>
              <w:t>5.</w:t>
            </w:r>
            <w:r>
              <w:rPr>
                <w:b/>
                <w:bCs/>
                <w:color w:val="auto"/>
                <w:szCs w:val="21"/>
                <w:highlight w:val="none"/>
              </w:rPr>
              <w:t>供货时成交供应商必须向采购人提供</w:t>
            </w:r>
            <w:r>
              <w:rPr>
                <w:rFonts w:hint="eastAsia"/>
                <w:b/>
                <w:bCs/>
                <w:color w:val="auto"/>
                <w:szCs w:val="21"/>
                <w:highlight w:val="none"/>
              </w:rPr>
              <w:t>所竞“</w:t>
            </w:r>
            <w:r>
              <w:rPr>
                <w:rFonts w:hint="eastAsia" w:ascii="宋体" w:hAnsi="宋体" w:cs="宋体"/>
                <w:b/>
                <w:bCs/>
                <w:color w:val="auto"/>
                <w:szCs w:val="21"/>
                <w:highlight w:val="none"/>
              </w:rPr>
              <w:t>存储系统</w:t>
            </w:r>
            <w:r>
              <w:rPr>
                <w:rFonts w:hint="eastAsia"/>
                <w:b/>
                <w:bCs/>
                <w:color w:val="auto"/>
                <w:szCs w:val="21"/>
                <w:highlight w:val="none"/>
              </w:rPr>
              <w:t>”</w:t>
            </w:r>
            <w:r>
              <w:rPr>
                <w:b/>
                <w:bCs/>
                <w:color w:val="auto"/>
                <w:szCs w:val="21"/>
                <w:highlight w:val="none"/>
              </w:rPr>
              <w:t>生产厂家出具的售后服务承诺</w:t>
            </w:r>
            <w:r>
              <w:rPr>
                <w:rFonts w:hint="eastAsia" w:ascii="宋体" w:hAnsi="宋体" w:cs="宋体"/>
                <w:b/>
                <w:bCs/>
                <w:color w:val="auto"/>
                <w:szCs w:val="21"/>
                <w:highlight w:val="none"/>
              </w:rPr>
              <w:t>函和授权书</w:t>
            </w:r>
            <w:r>
              <w:rPr>
                <w:b/>
                <w:bCs/>
                <w:color w:val="auto"/>
                <w:szCs w:val="21"/>
                <w:highlight w:val="none"/>
              </w:rPr>
              <w:t>原件</w:t>
            </w:r>
            <w:r>
              <w:rPr>
                <w:rFonts w:hint="eastAsia"/>
                <w:b/>
                <w:bCs/>
                <w:color w:val="auto"/>
                <w:szCs w:val="21"/>
                <w:highlight w:val="none"/>
              </w:rPr>
              <w:t>（加盖生产厂家公章），</w:t>
            </w:r>
            <w:r>
              <w:rPr>
                <w:b/>
                <w:bCs/>
                <w:color w:val="auto"/>
                <w:szCs w:val="21"/>
                <w:highlight w:val="none"/>
              </w:rPr>
              <w:t>否则，不予验收。</w:t>
            </w:r>
          </w:p>
        </w:tc>
      </w:tr>
      <w:tr w14:paraId="29985A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767" w:type="dxa"/>
            <w:gridSpan w:val="2"/>
            <w:tcBorders>
              <w:top w:val="single" w:color="auto" w:sz="4" w:space="0"/>
              <w:left w:val="single" w:color="auto" w:sz="4" w:space="0"/>
              <w:bottom w:val="single" w:color="auto" w:sz="4" w:space="0"/>
              <w:right w:val="single" w:color="auto" w:sz="4" w:space="0"/>
            </w:tcBorders>
            <w:vAlign w:val="center"/>
          </w:tcPr>
          <w:p w14:paraId="51E8BE28">
            <w:pPr>
              <w:snapToGrid w:val="0"/>
              <w:spacing w:line="360" w:lineRule="exact"/>
              <w:jc w:val="center"/>
              <w:rPr>
                <w:rFonts w:ascii="宋体" w:hAnsi="宋体"/>
                <w:b/>
                <w:color w:val="auto"/>
                <w:highlight w:val="none"/>
              </w:rPr>
            </w:pPr>
            <w:r>
              <w:rPr>
                <w:rFonts w:hint="eastAsia" w:ascii="宋体" w:hAnsi="宋体"/>
                <w:b/>
                <w:color w:val="auto"/>
                <w:highlight w:val="none"/>
              </w:rPr>
              <w:t>（五）</w:t>
            </w:r>
            <w:r>
              <w:rPr>
                <w:rFonts w:hint="eastAsia" w:ascii="宋体" w:hAnsi="宋体"/>
                <w:b/>
                <w:color w:val="auto"/>
                <w:szCs w:val="21"/>
                <w:highlight w:val="none"/>
              </w:rPr>
              <w:t>权力保证</w:t>
            </w:r>
          </w:p>
        </w:tc>
        <w:tc>
          <w:tcPr>
            <w:tcW w:w="6164" w:type="dxa"/>
            <w:gridSpan w:val="2"/>
            <w:tcBorders>
              <w:top w:val="single" w:color="auto" w:sz="4" w:space="0"/>
              <w:left w:val="single" w:color="auto" w:sz="4" w:space="0"/>
              <w:bottom w:val="single" w:color="auto" w:sz="4" w:space="0"/>
              <w:right w:val="single" w:color="auto" w:sz="4" w:space="0"/>
            </w:tcBorders>
            <w:vAlign w:val="center"/>
          </w:tcPr>
          <w:p w14:paraId="573BB610">
            <w:pPr>
              <w:spacing w:line="360" w:lineRule="exact"/>
              <w:rPr>
                <w:rFonts w:ascii="宋体" w:hAnsi="宋体"/>
                <w:b/>
                <w:color w:val="auto"/>
                <w:highlight w:val="none"/>
              </w:rPr>
            </w:pPr>
            <w:r>
              <w:rPr>
                <w:rFonts w:hint="eastAsia" w:ascii="宋体" w:hAnsi="宋体"/>
                <w:b/>
                <w:color w:val="auto"/>
                <w:highlight w:val="none"/>
              </w:rPr>
              <w:t>1.成交供应商应保证所提供服务及相关的设备设施在使用时不会侵犯任何第三方的专利权、商标权、工业设计权或其他权利。</w:t>
            </w:r>
          </w:p>
          <w:p w14:paraId="5CC088BC">
            <w:pPr>
              <w:spacing w:line="360" w:lineRule="exact"/>
              <w:rPr>
                <w:rFonts w:ascii="宋体" w:hAnsi="宋体"/>
                <w:b/>
                <w:color w:val="auto"/>
                <w:highlight w:val="none"/>
              </w:rPr>
            </w:pPr>
            <w:r>
              <w:rPr>
                <w:rFonts w:hint="eastAsia" w:ascii="宋体" w:hAnsi="宋体"/>
                <w:b/>
                <w:color w:val="auto"/>
                <w:highlight w:val="none"/>
              </w:rPr>
              <w:t>2.成交供应商保证所使用的设备设施无任何抵押、质押、查封等产权瑕疵。</w:t>
            </w:r>
          </w:p>
          <w:p w14:paraId="7176B4C8">
            <w:pPr>
              <w:spacing w:line="360" w:lineRule="exact"/>
              <w:rPr>
                <w:rFonts w:ascii="宋体" w:hAnsi="宋体"/>
                <w:b/>
                <w:color w:val="auto"/>
                <w:highlight w:val="none"/>
              </w:rPr>
            </w:pPr>
            <w:r>
              <w:rPr>
                <w:rFonts w:hint="eastAsia" w:ascii="宋体" w:hAnsi="宋体"/>
                <w:b/>
                <w:color w:val="auto"/>
                <w:highlight w:val="none"/>
              </w:rPr>
              <w:t>3.为保证采购人权益不受侵害，成交供应商所提供的软件系统产品软件版权产生的任何纠纷以及造成的各项损失，由成交供应商负责赔偿。</w:t>
            </w:r>
          </w:p>
        </w:tc>
      </w:tr>
      <w:tr w14:paraId="383A12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767" w:type="dxa"/>
            <w:gridSpan w:val="2"/>
            <w:tcBorders>
              <w:top w:val="single" w:color="auto" w:sz="4" w:space="0"/>
              <w:left w:val="single" w:color="auto" w:sz="4" w:space="0"/>
              <w:bottom w:val="single" w:color="auto" w:sz="4" w:space="0"/>
              <w:right w:val="single" w:color="auto" w:sz="4" w:space="0"/>
            </w:tcBorders>
            <w:vAlign w:val="center"/>
          </w:tcPr>
          <w:p w14:paraId="1C763259">
            <w:pPr>
              <w:spacing w:line="360" w:lineRule="exact"/>
              <w:jc w:val="center"/>
              <w:rPr>
                <w:rFonts w:ascii="宋体" w:hAnsi="宋体"/>
                <w:b/>
                <w:color w:val="auto"/>
                <w:szCs w:val="21"/>
                <w:highlight w:val="none"/>
              </w:rPr>
            </w:pPr>
            <w:r>
              <w:rPr>
                <w:rFonts w:hint="eastAsia" w:ascii="宋体" w:hAnsi="宋体"/>
                <w:b/>
                <w:color w:val="auto"/>
                <w:szCs w:val="21"/>
                <w:highlight w:val="none"/>
              </w:rPr>
              <w:t>（六）采购预算</w:t>
            </w:r>
          </w:p>
        </w:tc>
        <w:tc>
          <w:tcPr>
            <w:tcW w:w="6164" w:type="dxa"/>
            <w:gridSpan w:val="2"/>
            <w:tcBorders>
              <w:top w:val="single" w:color="auto" w:sz="4" w:space="0"/>
              <w:left w:val="single" w:color="auto" w:sz="4" w:space="0"/>
              <w:bottom w:val="single" w:color="auto" w:sz="4" w:space="0"/>
              <w:right w:val="single" w:color="auto" w:sz="4" w:space="0"/>
            </w:tcBorders>
            <w:vAlign w:val="center"/>
          </w:tcPr>
          <w:p w14:paraId="07CDA3F0">
            <w:pPr>
              <w:spacing w:line="360" w:lineRule="exact"/>
              <w:rPr>
                <w:rFonts w:ascii="宋体" w:hAnsi="宋体"/>
                <w:b/>
                <w:color w:val="auto"/>
                <w:szCs w:val="21"/>
                <w:highlight w:val="none"/>
              </w:rPr>
            </w:pPr>
            <w:r>
              <w:rPr>
                <w:rFonts w:hint="eastAsia" w:ascii="宋体" w:hAnsi="宋体"/>
                <w:b/>
                <w:bCs/>
                <w:color w:val="auto"/>
                <w:szCs w:val="21"/>
                <w:highlight w:val="none"/>
              </w:rPr>
              <w:t>本项目采购预算金额为人民币贰佰伍拾万元整（¥2500000.00），供应商报价超出采购预算金额的，响应文件按无效处理。</w:t>
            </w:r>
          </w:p>
        </w:tc>
      </w:tr>
      <w:tr w14:paraId="49034A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767" w:type="dxa"/>
            <w:gridSpan w:val="2"/>
            <w:tcBorders>
              <w:top w:val="single" w:color="auto" w:sz="4" w:space="0"/>
              <w:left w:val="single" w:color="auto" w:sz="4" w:space="0"/>
              <w:bottom w:val="single" w:color="auto" w:sz="4" w:space="0"/>
              <w:right w:val="single" w:color="auto" w:sz="4" w:space="0"/>
            </w:tcBorders>
            <w:vAlign w:val="center"/>
          </w:tcPr>
          <w:p w14:paraId="7E1A6388">
            <w:pPr>
              <w:spacing w:line="360" w:lineRule="exact"/>
              <w:jc w:val="center"/>
              <w:rPr>
                <w:rFonts w:ascii="宋体" w:hAnsi="宋体"/>
                <w:b/>
                <w:color w:val="auto"/>
                <w:highlight w:val="none"/>
              </w:rPr>
            </w:pPr>
            <w:r>
              <w:rPr>
                <w:rFonts w:hint="eastAsia" w:ascii="宋体" w:hAnsi="宋体"/>
                <w:b/>
                <w:color w:val="auto"/>
                <w:highlight w:val="none"/>
              </w:rPr>
              <w:t>（七）付款方式</w:t>
            </w:r>
          </w:p>
        </w:tc>
        <w:tc>
          <w:tcPr>
            <w:tcW w:w="6164" w:type="dxa"/>
            <w:gridSpan w:val="2"/>
            <w:tcBorders>
              <w:top w:val="single" w:color="auto" w:sz="4" w:space="0"/>
              <w:left w:val="single" w:color="auto" w:sz="4" w:space="0"/>
              <w:bottom w:val="single" w:color="auto" w:sz="4" w:space="0"/>
              <w:right w:val="single" w:color="auto" w:sz="4" w:space="0"/>
            </w:tcBorders>
            <w:vAlign w:val="center"/>
          </w:tcPr>
          <w:p w14:paraId="3ABCFF70">
            <w:pPr>
              <w:spacing w:line="360" w:lineRule="exact"/>
              <w:rPr>
                <w:rFonts w:ascii="宋体" w:hAnsi="宋体"/>
                <w:b/>
                <w:color w:val="auto"/>
                <w:highlight w:val="none"/>
              </w:rPr>
            </w:pPr>
            <w:r>
              <w:rPr>
                <w:rFonts w:hint="eastAsia" w:ascii="宋体" w:hAnsi="宋体"/>
                <w:b/>
                <w:bCs/>
                <w:color w:val="auto"/>
                <w:szCs w:val="21"/>
                <w:highlight w:val="none"/>
              </w:rPr>
              <w:t>在交付验收合格、培训指导完成及设备正常使用后，成交供应商在3日内开具发票给采购</w:t>
            </w:r>
            <w:r>
              <w:rPr>
                <w:rFonts w:hint="eastAsia" w:ascii="宋体" w:hAnsi="宋体"/>
                <w:b/>
                <w:bCs/>
                <w:color w:val="auto"/>
                <w:szCs w:val="21"/>
                <w:highlight w:val="none"/>
                <w:lang w:eastAsia="zh-CN"/>
              </w:rPr>
              <w:t>人</w:t>
            </w:r>
            <w:r>
              <w:rPr>
                <w:rFonts w:hint="eastAsia" w:ascii="宋体" w:hAnsi="宋体"/>
                <w:b/>
                <w:bCs/>
                <w:color w:val="auto"/>
                <w:szCs w:val="21"/>
                <w:highlight w:val="none"/>
              </w:rPr>
              <w:t>，采购人在</w:t>
            </w:r>
            <w:r>
              <w:rPr>
                <w:rFonts w:hint="eastAsia" w:ascii="宋体" w:hAnsi="宋体"/>
                <w:b/>
                <w:bCs/>
                <w:color w:val="auto"/>
                <w:szCs w:val="21"/>
                <w:highlight w:val="none"/>
                <w:lang w:val="en-US" w:eastAsia="zh-CN"/>
              </w:rPr>
              <w:t>10</w:t>
            </w:r>
            <w:r>
              <w:rPr>
                <w:rFonts w:hint="eastAsia" w:ascii="宋体" w:hAnsi="宋体"/>
                <w:b/>
                <w:bCs/>
                <w:color w:val="auto"/>
                <w:szCs w:val="21"/>
                <w:highlight w:val="none"/>
              </w:rPr>
              <w:t>个工作日内支付100％的合同金额（无预付款</w:t>
            </w:r>
            <w:r>
              <w:rPr>
                <w:rFonts w:hint="eastAsia" w:ascii="宋体" w:hAnsi="宋体"/>
                <w:b/>
                <w:bCs/>
                <w:color w:val="auto"/>
                <w:szCs w:val="21"/>
                <w:highlight w:val="none"/>
                <w:lang w:eastAsia="zh-CN"/>
              </w:rPr>
              <w:t>，无息</w:t>
            </w:r>
            <w:r>
              <w:rPr>
                <w:rFonts w:hint="eastAsia" w:ascii="宋体" w:hAnsi="宋体"/>
                <w:b/>
                <w:bCs/>
                <w:color w:val="auto"/>
                <w:szCs w:val="21"/>
                <w:highlight w:val="none"/>
              </w:rPr>
              <w:t>）</w:t>
            </w:r>
            <w:r>
              <w:rPr>
                <w:rFonts w:hint="eastAsia" w:ascii="宋体" w:hAnsi="宋体"/>
                <w:b/>
                <w:bCs/>
                <w:color w:val="auto"/>
                <w:highlight w:val="none"/>
              </w:rPr>
              <w:t>。</w:t>
            </w:r>
          </w:p>
        </w:tc>
      </w:tr>
      <w:tr w14:paraId="5E02E6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2767" w:type="dxa"/>
            <w:gridSpan w:val="2"/>
            <w:tcBorders>
              <w:top w:val="single" w:color="auto" w:sz="4" w:space="0"/>
              <w:left w:val="single" w:color="auto" w:sz="4" w:space="0"/>
              <w:bottom w:val="single" w:color="auto" w:sz="4" w:space="0"/>
              <w:right w:val="single" w:color="auto" w:sz="4" w:space="0"/>
            </w:tcBorders>
          </w:tcPr>
          <w:p w14:paraId="2796E6A4">
            <w:pPr>
              <w:spacing w:line="360" w:lineRule="exact"/>
              <w:jc w:val="center"/>
              <w:rPr>
                <w:rFonts w:ascii="宋体" w:hAnsi="宋体"/>
                <w:b/>
                <w:color w:val="auto"/>
                <w:szCs w:val="21"/>
                <w:highlight w:val="none"/>
              </w:rPr>
            </w:pPr>
            <w:r>
              <w:rPr>
                <w:rFonts w:hint="eastAsia" w:ascii="宋体" w:hAnsi="宋体"/>
                <w:b/>
                <w:color w:val="auto"/>
                <w:szCs w:val="21"/>
                <w:highlight w:val="none"/>
              </w:rPr>
              <w:t>（八）合同签订时间</w:t>
            </w:r>
          </w:p>
        </w:tc>
        <w:tc>
          <w:tcPr>
            <w:tcW w:w="6164" w:type="dxa"/>
            <w:gridSpan w:val="2"/>
            <w:tcBorders>
              <w:top w:val="single" w:color="auto" w:sz="4" w:space="0"/>
              <w:left w:val="single" w:color="auto" w:sz="4" w:space="0"/>
              <w:bottom w:val="single" w:color="auto" w:sz="4" w:space="0"/>
              <w:right w:val="single" w:color="auto" w:sz="4" w:space="0"/>
            </w:tcBorders>
            <w:vAlign w:val="center"/>
          </w:tcPr>
          <w:p w14:paraId="0C81A91B">
            <w:pPr>
              <w:spacing w:line="360" w:lineRule="exact"/>
              <w:rPr>
                <w:rFonts w:ascii="宋体" w:hAnsi="宋体"/>
                <w:b/>
                <w:color w:val="auto"/>
                <w:szCs w:val="21"/>
                <w:highlight w:val="none"/>
              </w:rPr>
            </w:pPr>
            <w:r>
              <w:rPr>
                <w:rFonts w:hint="eastAsia" w:ascii="宋体" w:hAnsi="宋体"/>
                <w:b/>
                <w:color w:val="auto"/>
                <w:szCs w:val="21"/>
                <w:highlight w:val="none"/>
              </w:rPr>
              <w:t>成交供应商在成交通知书发出后25天内与采购人签订合同。</w:t>
            </w:r>
          </w:p>
        </w:tc>
      </w:tr>
      <w:tr w14:paraId="38E421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2767" w:type="dxa"/>
            <w:gridSpan w:val="2"/>
            <w:tcBorders>
              <w:top w:val="single" w:color="auto" w:sz="4" w:space="0"/>
              <w:left w:val="single" w:color="auto" w:sz="4" w:space="0"/>
              <w:bottom w:val="single" w:color="auto" w:sz="4" w:space="0"/>
              <w:right w:val="single" w:color="auto" w:sz="4" w:space="0"/>
            </w:tcBorders>
            <w:vAlign w:val="center"/>
          </w:tcPr>
          <w:p w14:paraId="688CFD35">
            <w:pPr>
              <w:spacing w:line="360" w:lineRule="exact"/>
              <w:jc w:val="center"/>
              <w:rPr>
                <w:rFonts w:hint="eastAsia" w:ascii="宋体" w:hAnsi="宋体"/>
                <w:b/>
                <w:color w:val="auto"/>
                <w:szCs w:val="21"/>
                <w:highlight w:val="none"/>
              </w:rPr>
            </w:pPr>
            <w:r>
              <w:rPr>
                <w:rFonts w:hint="eastAsia" w:ascii="宋体" w:hAnsi="宋体" w:cs="宋体"/>
                <w:b/>
                <w:bCs/>
                <w:color w:val="auto"/>
                <w:szCs w:val="21"/>
                <w:highlight w:val="none"/>
              </w:rPr>
              <w:t>（</w:t>
            </w:r>
            <w:r>
              <w:rPr>
                <w:rFonts w:hint="eastAsia" w:ascii="宋体" w:hAnsi="宋体" w:cs="宋体"/>
                <w:b/>
                <w:bCs/>
                <w:color w:val="auto"/>
                <w:szCs w:val="21"/>
                <w:highlight w:val="none"/>
                <w:lang w:eastAsia="zh-CN"/>
              </w:rPr>
              <w:t>九</w:t>
            </w:r>
            <w:r>
              <w:rPr>
                <w:rFonts w:hint="eastAsia" w:ascii="宋体" w:hAnsi="宋体" w:cs="宋体"/>
                <w:b/>
                <w:bCs/>
                <w:color w:val="auto"/>
                <w:szCs w:val="21"/>
                <w:highlight w:val="none"/>
              </w:rPr>
              <w:t>）进口产品说明</w:t>
            </w:r>
          </w:p>
        </w:tc>
        <w:tc>
          <w:tcPr>
            <w:tcW w:w="6164" w:type="dxa"/>
            <w:gridSpan w:val="2"/>
            <w:tcBorders>
              <w:top w:val="single" w:color="auto" w:sz="4" w:space="0"/>
              <w:left w:val="single" w:color="auto" w:sz="4" w:space="0"/>
              <w:bottom w:val="single" w:color="auto" w:sz="4" w:space="0"/>
              <w:right w:val="single" w:color="auto" w:sz="4" w:space="0"/>
            </w:tcBorders>
            <w:vAlign w:val="center"/>
          </w:tcPr>
          <w:p w14:paraId="0F8FBE1E">
            <w:pPr>
              <w:spacing w:line="360" w:lineRule="exact"/>
              <w:jc w:val="left"/>
              <w:rPr>
                <w:rFonts w:hint="eastAsia" w:ascii="宋体" w:hAnsi="宋体"/>
                <w:b/>
                <w:color w:val="auto"/>
                <w:szCs w:val="21"/>
                <w:highlight w:val="none"/>
              </w:rPr>
            </w:pPr>
            <w:r>
              <w:rPr>
                <w:rFonts w:hint="eastAsia" w:ascii="宋体" w:hAnsi="宋体" w:cs="宋体"/>
                <w:b/>
                <w:bCs/>
                <w:color w:val="auto"/>
                <w:szCs w:val="21"/>
                <w:highlight w:val="none"/>
              </w:rPr>
              <w:t>本项目不接受进口产品参与竞标，如供应商选用进口产品竞标的，响应文件按无效处理。</w:t>
            </w:r>
          </w:p>
        </w:tc>
      </w:tr>
      <w:tr w14:paraId="14265D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2767" w:type="dxa"/>
            <w:gridSpan w:val="2"/>
            <w:tcBorders>
              <w:top w:val="single" w:color="auto" w:sz="4" w:space="0"/>
              <w:left w:val="single" w:color="auto" w:sz="4" w:space="0"/>
              <w:bottom w:val="single" w:color="auto" w:sz="4" w:space="0"/>
              <w:right w:val="single" w:color="auto" w:sz="4" w:space="0"/>
            </w:tcBorders>
            <w:vAlign w:val="center"/>
          </w:tcPr>
          <w:p w14:paraId="66AD71D1">
            <w:pPr>
              <w:spacing w:line="360" w:lineRule="exact"/>
              <w:jc w:val="center"/>
              <w:rPr>
                <w:rFonts w:hint="eastAsia" w:ascii="宋体" w:hAnsi="宋体"/>
                <w:b/>
                <w:color w:val="auto"/>
                <w:szCs w:val="21"/>
                <w:highlight w:val="none"/>
              </w:rPr>
            </w:pPr>
            <w:r>
              <w:rPr>
                <w:rFonts w:hint="eastAsia" w:ascii="宋体" w:hAnsi="宋体" w:cs="宋体"/>
                <w:b/>
                <w:bCs/>
                <w:color w:val="auto"/>
                <w:szCs w:val="21"/>
                <w:highlight w:val="none"/>
              </w:rPr>
              <w:t>（</w:t>
            </w:r>
            <w:r>
              <w:rPr>
                <w:rFonts w:hint="eastAsia" w:ascii="宋体" w:hAnsi="宋体" w:cs="宋体"/>
                <w:b/>
                <w:bCs/>
                <w:color w:val="auto"/>
                <w:szCs w:val="21"/>
                <w:highlight w:val="none"/>
                <w:lang w:eastAsia="zh-CN"/>
              </w:rPr>
              <w:t>十</w:t>
            </w:r>
            <w:r>
              <w:rPr>
                <w:rFonts w:hint="eastAsia" w:ascii="宋体" w:hAnsi="宋体" w:cs="宋体"/>
                <w:b/>
                <w:bCs/>
                <w:color w:val="auto"/>
                <w:szCs w:val="21"/>
                <w:highlight w:val="none"/>
              </w:rPr>
              <w:t>）响应材料真实性承诺函</w:t>
            </w:r>
          </w:p>
        </w:tc>
        <w:tc>
          <w:tcPr>
            <w:tcW w:w="6164" w:type="dxa"/>
            <w:gridSpan w:val="2"/>
            <w:tcBorders>
              <w:top w:val="single" w:color="auto" w:sz="4" w:space="0"/>
              <w:left w:val="single" w:color="auto" w:sz="4" w:space="0"/>
              <w:bottom w:val="single" w:color="auto" w:sz="4" w:space="0"/>
              <w:right w:val="single" w:color="auto" w:sz="4" w:space="0"/>
            </w:tcBorders>
            <w:vAlign w:val="center"/>
          </w:tcPr>
          <w:p w14:paraId="324FF167">
            <w:pPr>
              <w:spacing w:line="360" w:lineRule="exact"/>
              <w:jc w:val="left"/>
              <w:rPr>
                <w:rFonts w:hint="eastAsia" w:ascii="宋体" w:hAnsi="宋体"/>
                <w:b/>
                <w:color w:val="auto"/>
                <w:szCs w:val="21"/>
                <w:highlight w:val="none"/>
              </w:rPr>
            </w:pPr>
            <w:r>
              <w:rPr>
                <w:rFonts w:hint="eastAsia" w:ascii="宋体" w:hAnsi="宋体" w:cs="宋体"/>
                <w:b/>
                <w:bCs/>
                <w:color w:val="auto"/>
                <w:szCs w:val="21"/>
                <w:highlight w:val="none"/>
              </w:rPr>
              <w:t>供应商所提供响应文件中涉及证明材料部分，供应商须对其真实性承担对应责任，如提供虚假材料，供应商需无条件承担其相应的后果，供应商于响应文件中必须提供相应承诺函，否则按响应文件无效。</w:t>
            </w:r>
          </w:p>
        </w:tc>
      </w:tr>
      <w:tr w14:paraId="27B902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8931" w:type="dxa"/>
            <w:gridSpan w:val="4"/>
            <w:tcBorders>
              <w:top w:val="single" w:color="auto" w:sz="4" w:space="0"/>
              <w:left w:val="single" w:color="auto" w:sz="4" w:space="0"/>
              <w:bottom w:val="single" w:color="auto" w:sz="4" w:space="0"/>
              <w:right w:val="single" w:color="auto" w:sz="4" w:space="0"/>
            </w:tcBorders>
          </w:tcPr>
          <w:p w14:paraId="51F12B73">
            <w:pPr>
              <w:spacing w:line="360" w:lineRule="exact"/>
              <w:rPr>
                <w:rFonts w:ascii="宋体" w:hAnsi="宋体"/>
                <w:b/>
                <w:color w:val="auto"/>
                <w:szCs w:val="21"/>
                <w:highlight w:val="none"/>
              </w:rPr>
            </w:pPr>
            <w:r>
              <w:rPr>
                <w:rFonts w:hint="eastAsia" w:ascii="宋体" w:hAnsi="宋体"/>
                <w:b/>
                <w:color w:val="auto"/>
                <w:szCs w:val="21"/>
                <w:highlight w:val="none"/>
              </w:rPr>
              <w:t>三、其他要求</w:t>
            </w:r>
          </w:p>
        </w:tc>
      </w:tr>
      <w:tr w14:paraId="7C01A2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27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E1FA47">
            <w:pPr>
              <w:spacing w:line="360" w:lineRule="exact"/>
              <w:jc w:val="center"/>
              <w:rPr>
                <w:rFonts w:ascii="宋体" w:hAnsi="宋体"/>
                <w:b w:val="0"/>
                <w:bCs/>
                <w:color w:val="auto"/>
                <w:szCs w:val="21"/>
                <w:highlight w:val="none"/>
              </w:rPr>
            </w:pPr>
            <w:r>
              <w:rPr>
                <w:rFonts w:hint="eastAsia" w:ascii="宋体" w:hAnsi="宋体" w:cs="宋体"/>
                <w:b w:val="0"/>
                <w:bCs/>
                <w:color w:val="auto"/>
                <w:szCs w:val="21"/>
                <w:highlight w:val="none"/>
              </w:rPr>
              <w:t>系统功能演示要求</w:t>
            </w:r>
          </w:p>
        </w:tc>
        <w:tc>
          <w:tcPr>
            <w:tcW w:w="61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1FACFAD">
            <w:pPr>
              <w:adjustRightInd w:val="0"/>
              <w:snapToGrid w:val="0"/>
              <w:spacing w:line="320" w:lineRule="exact"/>
              <w:rPr>
                <w:rFonts w:ascii="宋体" w:hAnsi="宋体" w:cs="宋体"/>
                <w:b w:val="0"/>
                <w:bCs/>
                <w:color w:val="auto"/>
                <w:szCs w:val="21"/>
                <w:highlight w:val="none"/>
              </w:rPr>
            </w:pPr>
            <w:r>
              <w:rPr>
                <w:rFonts w:hint="eastAsia" w:ascii="宋体" w:hAnsi="宋体" w:cs="宋体"/>
                <w:b w:val="0"/>
                <w:bCs/>
                <w:color w:val="auto"/>
                <w:szCs w:val="21"/>
                <w:highlight w:val="none"/>
              </w:rPr>
              <w:t>1.供应商可视自身情况提供所竞本项目产品针对上述“技术要求”中标注“</w:t>
            </w:r>
            <w:r>
              <w:rPr>
                <w:rFonts w:hint="eastAsia" w:ascii="宋体" w:hAnsi="宋体"/>
                <w:b w:val="0"/>
                <w:bCs/>
                <w:color w:val="auto"/>
                <w:szCs w:val="21"/>
                <w:highlight w:val="none"/>
              </w:rPr>
              <w:t>◆</w:t>
            </w:r>
            <w:r>
              <w:rPr>
                <w:rFonts w:hint="eastAsia" w:ascii="宋体" w:hAnsi="宋体" w:cs="宋体"/>
                <w:b w:val="0"/>
                <w:bCs/>
                <w:color w:val="auto"/>
                <w:szCs w:val="21"/>
                <w:highlight w:val="none"/>
              </w:rPr>
              <w:t>”号项的功能在本项目响应文件递交截止时间后（具体时间以本项目磋商小组或采购代理机构通知为准）向磋商小组进行系统功能演示。</w:t>
            </w:r>
          </w:p>
          <w:p w14:paraId="5A4CC7E9">
            <w:pPr>
              <w:adjustRightInd w:val="0"/>
              <w:snapToGrid w:val="0"/>
              <w:spacing w:line="320" w:lineRule="exact"/>
              <w:rPr>
                <w:rFonts w:ascii="宋体" w:hAnsi="宋体" w:cs="宋体"/>
                <w:b w:val="0"/>
                <w:bCs/>
                <w:color w:val="auto"/>
                <w:szCs w:val="21"/>
                <w:highlight w:val="none"/>
              </w:rPr>
            </w:pPr>
            <w:r>
              <w:rPr>
                <w:rFonts w:hint="eastAsia" w:ascii="宋体" w:hAnsi="宋体" w:cs="宋体"/>
                <w:b w:val="0"/>
                <w:bCs/>
                <w:color w:val="auto"/>
                <w:szCs w:val="21"/>
                <w:highlight w:val="none"/>
              </w:rPr>
              <w:t>2.系统功能演示方式：供应商基于平台真实环境下在广西政府采购云平台在线进行系统功能演示（本项目接受基于平台真实环境下的视频演示，供应商应实时保持在线并自行准备演示相关设备及网络等演示工具）。</w:t>
            </w:r>
          </w:p>
          <w:p w14:paraId="2EB7D7C4">
            <w:pPr>
              <w:adjustRightInd w:val="0"/>
              <w:snapToGrid w:val="0"/>
              <w:spacing w:line="320" w:lineRule="exact"/>
              <w:rPr>
                <w:rFonts w:ascii="宋体" w:hAnsi="宋体" w:cs="宋体"/>
                <w:b w:val="0"/>
                <w:bCs/>
                <w:color w:val="auto"/>
                <w:szCs w:val="21"/>
                <w:highlight w:val="none"/>
              </w:rPr>
            </w:pPr>
            <w:r>
              <w:rPr>
                <w:rFonts w:hint="eastAsia" w:ascii="宋体" w:hAnsi="宋体" w:cs="宋体"/>
                <w:b w:val="0"/>
                <w:bCs/>
                <w:color w:val="auto"/>
                <w:szCs w:val="21"/>
                <w:highlight w:val="none"/>
              </w:rPr>
              <w:t>3.供应商未做系统功能演示的，或对未完整演示相应项的系统功能或所演示的，系统功能无法证明相应技术要求的，相应技术指标均视为负偏离。</w:t>
            </w:r>
          </w:p>
          <w:p w14:paraId="10381163">
            <w:pPr>
              <w:spacing w:line="360" w:lineRule="exact"/>
              <w:jc w:val="left"/>
              <w:rPr>
                <w:rFonts w:ascii="宋体" w:hAnsi="宋体" w:cs="宋体"/>
                <w:b w:val="0"/>
                <w:bCs/>
                <w:color w:val="auto"/>
                <w:szCs w:val="21"/>
                <w:highlight w:val="none"/>
              </w:rPr>
            </w:pPr>
            <w:r>
              <w:rPr>
                <w:rFonts w:hint="eastAsia" w:ascii="宋体" w:hAnsi="宋体" w:cs="宋体"/>
                <w:b w:val="0"/>
                <w:bCs/>
                <w:color w:val="auto"/>
                <w:szCs w:val="21"/>
                <w:highlight w:val="none"/>
              </w:rPr>
              <w:t>4.因供应商准备不足等自身原因导致未能完成演示的，不利后果由供应商自行承担。</w:t>
            </w:r>
          </w:p>
        </w:tc>
      </w:tr>
      <w:tr w14:paraId="3D7526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8931" w:type="dxa"/>
            <w:gridSpan w:val="4"/>
            <w:tcBorders>
              <w:top w:val="single" w:color="auto" w:sz="4" w:space="0"/>
              <w:left w:val="single" w:color="auto" w:sz="4" w:space="0"/>
              <w:bottom w:val="single" w:color="auto" w:sz="4" w:space="0"/>
              <w:right w:val="single" w:color="auto" w:sz="4" w:space="0"/>
            </w:tcBorders>
          </w:tcPr>
          <w:p w14:paraId="67858D47">
            <w:pPr>
              <w:spacing w:line="360" w:lineRule="exact"/>
              <w:rPr>
                <w:rFonts w:ascii="宋体" w:hAnsi="宋体"/>
                <w:color w:val="auto"/>
                <w:szCs w:val="21"/>
                <w:highlight w:val="none"/>
              </w:rPr>
            </w:pPr>
            <w:r>
              <w:rPr>
                <w:rFonts w:hint="eastAsia" w:ascii="宋体" w:hAnsi="宋体"/>
                <w:b/>
                <w:bCs/>
                <w:color w:val="auto"/>
                <w:szCs w:val="21"/>
                <w:highlight w:val="none"/>
              </w:rPr>
              <w:t>四、与实现服务目标相关的其他要求</w:t>
            </w:r>
          </w:p>
        </w:tc>
      </w:tr>
      <w:tr w14:paraId="188DF1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767" w:type="dxa"/>
            <w:gridSpan w:val="2"/>
            <w:tcBorders>
              <w:top w:val="single" w:color="auto" w:sz="4" w:space="0"/>
              <w:left w:val="single" w:color="auto" w:sz="4" w:space="0"/>
              <w:bottom w:val="single" w:color="auto" w:sz="4" w:space="0"/>
              <w:right w:val="single" w:color="auto" w:sz="4" w:space="0"/>
            </w:tcBorders>
            <w:vAlign w:val="center"/>
          </w:tcPr>
          <w:p w14:paraId="368E5FA6">
            <w:pPr>
              <w:spacing w:line="360" w:lineRule="exact"/>
              <w:jc w:val="center"/>
              <w:rPr>
                <w:rFonts w:ascii="宋体" w:hAnsi="宋体"/>
                <w:color w:val="auto"/>
                <w:szCs w:val="21"/>
                <w:highlight w:val="none"/>
              </w:rPr>
            </w:pPr>
            <w:r>
              <w:rPr>
                <w:rFonts w:hint="eastAsia" w:ascii="宋体" w:hAnsi="宋体"/>
                <w:color w:val="auto"/>
                <w:szCs w:val="21"/>
                <w:highlight w:val="none"/>
              </w:rPr>
              <w:t>（一）项目实施方案</w:t>
            </w:r>
          </w:p>
        </w:tc>
        <w:tc>
          <w:tcPr>
            <w:tcW w:w="6164" w:type="dxa"/>
            <w:gridSpan w:val="2"/>
            <w:tcBorders>
              <w:top w:val="single" w:color="auto" w:sz="4" w:space="0"/>
              <w:left w:val="single" w:color="auto" w:sz="4" w:space="0"/>
              <w:bottom w:val="single" w:color="auto" w:sz="4" w:space="0"/>
              <w:right w:val="single" w:color="auto" w:sz="4" w:space="0"/>
            </w:tcBorders>
          </w:tcPr>
          <w:p w14:paraId="41887F7A">
            <w:pPr>
              <w:spacing w:line="360" w:lineRule="exact"/>
              <w:rPr>
                <w:rFonts w:ascii="宋体" w:hAnsi="宋体"/>
                <w:color w:val="auto"/>
                <w:szCs w:val="21"/>
                <w:highlight w:val="none"/>
              </w:rPr>
            </w:pPr>
            <w:r>
              <w:rPr>
                <w:rFonts w:hint="eastAsia" w:ascii="宋体" w:hAnsi="宋体"/>
                <w:color w:val="auto"/>
                <w:szCs w:val="21"/>
                <w:highlight w:val="none"/>
              </w:rPr>
              <w:t>供应商根据项目要求和自身情况，于响应文件中提供项目实施方案，包括但不限于：</w:t>
            </w:r>
          </w:p>
          <w:p w14:paraId="4DA88A38">
            <w:pPr>
              <w:spacing w:line="360" w:lineRule="exact"/>
              <w:rPr>
                <w:rFonts w:hAnsi="宋体"/>
                <w:color w:val="auto"/>
                <w:szCs w:val="21"/>
                <w:highlight w:val="none"/>
              </w:rPr>
            </w:pPr>
            <w:r>
              <w:rPr>
                <w:rFonts w:hint="eastAsia" w:hAnsi="宋体"/>
                <w:color w:val="auto"/>
                <w:szCs w:val="21"/>
                <w:highlight w:val="none"/>
              </w:rPr>
              <w:t>①项目分析方案；②技术功能方案与架构；③项目实施与管理方案等。</w:t>
            </w:r>
          </w:p>
          <w:p w14:paraId="5CE6BBA6">
            <w:pPr>
              <w:spacing w:line="360" w:lineRule="exact"/>
              <w:rPr>
                <w:rFonts w:ascii="宋体" w:hAnsi="宋体"/>
                <w:color w:val="auto"/>
                <w:szCs w:val="21"/>
                <w:highlight w:val="none"/>
              </w:rPr>
            </w:pPr>
            <w:r>
              <w:rPr>
                <w:rFonts w:hint="eastAsia" w:ascii="宋体" w:hAnsi="宋体"/>
                <w:b/>
                <w:bCs/>
                <w:color w:val="auto"/>
                <w:szCs w:val="21"/>
                <w:highlight w:val="none"/>
              </w:rPr>
              <w:t>注：项目实施方案评分详见“第四章 评审办法”。</w:t>
            </w:r>
          </w:p>
        </w:tc>
      </w:tr>
      <w:tr w14:paraId="16A943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767" w:type="dxa"/>
            <w:gridSpan w:val="2"/>
            <w:tcBorders>
              <w:top w:val="single" w:color="auto" w:sz="4" w:space="0"/>
              <w:left w:val="single" w:color="auto" w:sz="4" w:space="0"/>
              <w:bottom w:val="single" w:color="auto" w:sz="4" w:space="0"/>
              <w:right w:val="single" w:color="auto" w:sz="4" w:space="0"/>
            </w:tcBorders>
            <w:vAlign w:val="center"/>
          </w:tcPr>
          <w:p w14:paraId="065E5FAB">
            <w:pPr>
              <w:spacing w:line="360" w:lineRule="exact"/>
              <w:jc w:val="center"/>
              <w:rPr>
                <w:rFonts w:ascii="宋体" w:hAnsi="宋体"/>
                <w:color w:val="auto"/>
                <w:szCs w:val="21"/>
                <w:highlight w:val="none"/>
              </w:rPr>
            </w:pPr>
            <w:r>
              <w:rPr>
                <w:rFonts w:hint="eastAsia" w:ascii="宋体" w:hAnsi="宋体" w:cs="宋体"/>
                <w:color w:val="auto"/>
                <w:szCs w:val="21"/>
                <w:highlight w:val="none"/>
              </w:rPr>
              <w:t>（二）售后服务方案</w:t>
            </w:r>
          </w:p>
        </w:tc>
        <w:tc>
          <w:tcPr>
            <w:tcW w:w="6164" w:type="dxa"/>
            <w:gridSpan w:val="2"/>
            <w:tcBorders>
              <w:top w:val="single" w:color="auto" w:sz="4" w:space="0"/>
              <w:left w:val="single" w:color="auto" w:sz="4" w:space="0"/>
              <w:bottom w:val="single" w:color="auto" w:sz="4" w:space="0"/>
              <w:right w:val="single" w:color="auto" w:sz="4" w:space="0"/>
            </w:tcBorders>
          </w:tcPr>
          <w:p w14:paraId="2B6EAB60">
            <w:pPr>
              <w:spacing w:line="360" w:lineRule="exact"/>
              <w:rPr>
                <w:rFonts w:ascii="宋体" w:hAnsi="宋体"/>
                <w:color w:val="auto"/>
                <w:szCs w:val="21"/>
                <w:highlight w:val="none"/>
              </w:rPr>
            </w:pPr>
            <w:r>
              <w:rPr>
                <w:rFonts w:hint="eastAsia" w:ascii="宋体" w:hAnsi="宋体"/>
                <w:color w:val="auto"/>
                <w:szCs w:val="21"/>
                <w:highlight w:val="none"/>
              </w:rPr>
              <w:t>供应商根据项目要求和自身情况，于响应文件中提供</w:t>
            </w:r>
            <w:r>
              <w:rPr>
                <w:rFonts w:hint="eastAsia" w:ascii="宋体" w:hAnsi="宋体" w:cs="宋体"/>
                <w:color w:val="auto"/>
                <w:szCs w:val="21"/>
                <w:highlight w:val="none"/>
              </w:rPr>
              <w:t>售后服务方案</w:t>
            </w:r>
            <w:r>
              <w:rPr>
                <w:rFonts w:hint="eastAsia" w:ascii="宋体" w:hAnsi="宋体"/>
                <w:color w:val="auto"/>
                <w:szCs w:val="21"/>
                <w:highlight w:val="none"/>
              </w:rPr>
              <w:t>，包括但不限于：</w:t>
            </w:r>
          </w:p>
          <w:p w14:paraId="34118271">
            <w:pPr>
              <w:spacing w:line="360" w:lineRule="exact"/>
              <w:rPr>
                <w:rFonts w:hAnsi="宋体"/>
                <w:color w:val="auto"/>
                <w:szCs w:val="21"/>
                <w:highlight w:val="none"/>
              </w:rPr>
            </w:pPr>
            <w:r>
              <w:rPr>
                <w:rFonts w:hint="eastAsia" w:ascii="宋体" w:hAnsi="宋体" w:cs="宋体"/>
                <w:bCs/>
                <w:color w:val="auto"/>
                <w:szCs w:val="21"/>
                <w:highlight w:val="none"/>
              </w:rPr>
              <w:t>①</w:t>
            </w:r>
            <w:r>
              <w:rPr>
                <w:rFonts w:hint="eastAsia" w:cs="宋体" w:asciiTheme="minorEastAsia" w:hAnsiTheme="minorEastAsia" w:eastAsiaTheme="minorEastAsia"/>
                <w:color w:val="auto"/>
                <w:highlight w:val="none"/>
              </w:rPr>
              <w:t>售后服务内容及措施；</w:t>
            </w:r>
            <w:r>
              <w:rPr>
                <w:rFonts w:hint="eastAsia" w:ascii="宋体" w:hAnsi="宋体" w:cs="宋体"/>
                <w:bCs/>
                <w:color w:val="auto"/>
                <w:szCs w:val="21"/>
                <w:highlight w:val="none"/>
              </w:rPr>
              <w:t>②故障出现解决方案；③定期维护方案；④技术培训方案；⑤维护（保修）期外</w:t>
            </w:r>
            <w:r>
              <w:rPr>
                <w:rFonts w:hint="eastAsia" w:ascii="宋体" w:hAnsi="宋体" w:cs="宋体"/>
                <w:bCs/>
                <w:color w:val="auto"/>
                <w:szCs w:val="21"/>
                <w:highlight w:val="none"/>
                <w:lang w:eastAsia="zh-CN"/>
              </w:rPr>
              <w:t>售后服务</w:t>
            </w:r>
            <w:r>
              <w:rPr>
                <w:rFonts w:hint="eastAsia" w:ascii="宋体" w:hAnsi="宋体" w:cs="宋体"/>
                <w:bCs/>
                <w:color w:val="auto"/>
                <w:szCs w:val="21"/>
                <w:highlight w:val="none"/>
              </w:rPr>
              <w:t>方案</w:t>
            </w:r>
            <w:r>
              <w:rPr>
                <w:rFonts w:hint="eastAsia" w:ascii="宋体" w:hAnsi="宋体" w:cs="宋体"/>
                <w:color w:val="auto"/>
                <w:kern w:val="0"/>
                <w:szCs w:val="21"/>
                <w:highlight w:val="none"/>
              </w:rPr>
              <w:t>等</w:t>
            </w:r>
            <w:r>
              <w:rPr>
                <w:rFonts w:hint="eastAsia" w:hAnsi="宋体"/>
                <w:color w:val="auto"/>
                <w:szCs w:val="21"/>
                <w:highlight w:val="none"/>
              </w:rPr>
              <w:t>。</w:t>
            </w:r>
          </w:p>
          <w:p w14:paraId="53BFAD28">
            <w:pPr>
              <w:spacing w:line="360" w:lineRule="exact"/>
              <w:rPr>
                <w:rFonts w:hAnsi="宋体"/>
                <w:color w:val="auto"/>
                <w:szCs w:val="21"/>
                <w:highlight w:val="none"/>
              </w:rPr>
            </w:pPr>
            <w:r>
              <w:rPr>
                <w:rFonts w:hint="eastAsia" w:ascii="宋体" w:hAnsi="宋体"/>
                <w:b/>
                <w:bCs/>
                <w:color w:val="auto"/>
                <w:szCs w:val="21"/>
                <w:highlight w:val="none"/>
              </w:rPr>
              <w:t>注：</w:t>
            </w:r>
            <w:r>
              <w:rPr>
                <w:rFonts w:hint="eastAsia" w:ascii="宋体" w:hAnsi="宋体" w:cs="宋体"/>
                <w:b/>
                <w:bCs/>
                <w:color w:val="auto"/>
                <w:szCs w:val="21"/>
                <w:highlight w:val="none"/>
              </w:rPr>
              <w:t>售后服务方案</w:t>
            </w:r>
            <w:r>
              <w:rPr>
                <w:rFonts w:hint="eastAsia" w:ascii="宋体" w:hAnsi="宋体"/>
                <w:b/>
                <w:bCs/>
                <w:color w:val="auto"/>
                <w:szCs w:val="21"/>
                <w:highlight w:val="none"/>
              </w:rPr>
              <w:t>评分详见“第四章 评审办法”。</w:t>
            </w:r>
          </w:p>
        </w:tc>
      </w:tr>
      <w:tr w14:paraId="3917F9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767" w:type="dxa"/>
            <w:gridSpan w:val="2"/>
            <w:tcBorders>
              <w:top w:val="single" w:color="auto" w:sz="4" w:space="0"/>
              <w:left w:val="single" w:color="auto" w:sz="4" w:space="0"/>
              <w:bottom w:val="single" w:color="auto" w:sz="4" w:space="0"/>
              <w:right w:val="single" w:color="auto" w:sz="4" w:space="0"/>
            </w:tcBorders>
            <w:vAlign w:val="center"/>
          </w:tcPr>
          <w:p w14:paraId="5488E02F">
            <w:pPr>
              <w:spacing w:line="360" w:lineRule="exact"/>
              <w:jc w:val="center"/>
              <w:rPr>
                <w:rFonts w:ascii="宋体" w:hAnsi="宋体"/>
                <w:color w:val="auto"/>
                <w:szCs w:val="21"/>
                <w:highlight w:val="none"/>
              </w:rPr>
            </w:pPr>
            <w:r>
              <w:rPr>
                <w:rFonts w:hint="eastAsia" w:ascii="宋体" w:hAnsi="宋体"/>
                <w:color w:val="auto"/>
                <w:szCs w:val="21"/>
                <w:highlight w:val="none"/>
              </w:rPr>
              <w:t>（三）履约能力</w:t>
            </w:r>
          </w:p>
        </w:tc>
        <w:tc>
          <w:tcPr>
            <w:tcW w:w="6164" w:type="dxa"/>
            <w:gridSpan w:val="2"/>
            <w:tcBorders>
              <w:top w:val="single" w:color="auto" w:sz="4" w:space="0"/>
              <w:left w:val="single" w:color="auto" w:sz="4" w:space="0"/>
              <w:bottom w:val="single" w:color="auto" w:sz="4" w:space="0"/>
              <w:right w:val="single" w:color="auto" w:sz="4" w:space="0"/>
            </w:tcBorders>
          </w:tcPr>
          <w:p w14:paraId="0842D2AC">
            <w:pPr>
              <w:spacing w:line="36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项目实施人员配备</w:t>
            </w:r>
            <w:r>
              <w:rPr>
                <w:rFonts w:hint="eastAsia" w:ascii="宋体" w:hAnsi="宋体" w:eastAsia="宋体" w:cs="宋体"/>
                <w:color w:val="auto"/>
                <w:szCs w:val="21"/>
                <w:highlight w:val="none"/>
                <w:lang w:eastAsia="zh-CN"/>
              </w:rPr>
              <w:t>：供应商根据</w:t>
            </w:r>
            <w:r>
              <w:rPr>
                <w:rFonts w:hint="eastAsia" w:ascii="宋体" w:hAnsi="宋体" w:eastAsia="宋体" w:cs="宋体"/>
                <w:color w:val="auto"/>
                <w:szCs w:val="21"/>
                <w:highlight w:val="none"/>
              </w:rPr>
              <w:t>自身情况</w:t>
            </w:r>
            <w:r>
              <w:rPr>
                <w:rFonts w:hint="eastAsia" w:ascii="宋体" w:hAnsi="宋体" w:eastAsia="宋体" w:cs="宋体"/>
                <w:color w:val="auto"/>
                <w:szCs w:val="21"/>
                <w:highlight w:val="none"/>
                <w:lang w:eastAsia="zh-CN"/>
              </w:rPr>
              <w:t>，于响应文件中提供</w:t>
            </w:r>
            <w:r>
              <w:rPr>
                <w:rFonts w:hint="eastAsia" w:ascii="宋体" w:hAnsi="宋体" w:eastAsia="宋体" w:cs="宋体"/>
                <w:color w:val="auto"/>
                <w:szCs w:val="21"/>
                <w:highlight w:val="none"/>
              </w:rPr>
              <w:t>项目经理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技术负责人</w:t>
            </w:r>
            <w:r>
              <w:rPr>
                <w:rFonts w:hint="eastAsia" w:ascii="宋体" w:hAnsi="宋体" w:eastAsia="宋体" w:cs="宋体"/>
                <w:color w:val="auto"/>
                <w:szCs w:val="21"/>
                <w:highlight w:val="none"/>
                <w:lang w:eastAsia="zh-CN"/>
              </w:rPr>
              <w:t>以及其他人员</w:t>
            </w:r>
            <w:r>
              <w:rPr>
                <w:rFonts w:hint="eastAsia" w:ascii="宋体" w:hAnsi="宋体" w:cs="宋体"/>
                <w:color w:val="auto"/>
                <w:szCs w:val="21"/>
                <w:highlight w:val="none"/>
                <w:lang w:eastAsia="zh-CN"/>
              </w:rPr>
              <w:t>的</w:t>
            </w:r>
            <w:r>
              <w:rPr>
                <w:rFonts w:hint="eastAsia" w:ascii="宋体" w:hAnsi="宋体" w:eastAsia="宋体" w:cs="宋体"/>
                <w:color w:val="auto"/>
                <w:szCs w:val="21"/>
                <w:highlight w:val="none"/>
              </w:rPr>
              <w:t>职称</w:t>
            </w:r>
            <w:r>
              <w:rPr>
                <w:rFonts w:hint="eastAsia" w:ascii="宋体" w:hAnsi="宋体" w:cs="宋体"/>
                <w:color w:val="auto"/>
                <w:szCs w:val="21"/>
                <w:highlight w:val="none"/>
                <w:lang w:eastAsia="zh-CN"/>
              </w:rPr>
              <w:t>证书，</w:t>
            </w:r>
            <w:r>
              <w:rPr>
                <w:rFonts w:hint="eastAsia" w:ascii="宋体" w:hAnsi="宋体" w:eastAsia="宋体" w:cs="宋体"/>
                <w:color w:val="auto"/>
                <w:szCs w:val="21"/>
                <w:highlight w:val="none"/>
              </w:rPr>
              <w:t>项目经理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技术负责人</w:t>
            </w:r>
            <w:r>
              <w:rPr>
                <w:rFonts w:hint="eastAsia" w:ascii="宋体" w:hAnsi="宋体" w:cs="宋体"/>
                <w:color w:val="auto"/>
                <w:szCs w:val="21"/>
                <w:highlight w:val="none"/>
                <w:lang w:eastAsia="zh-CN"/>
              </w:rPr>
              <w:t>的</w:t>
            </w:r>
            <w:r>
              <w:rPr>
                <w:rFonts w:hint="eastAsia" w:ascii="宋体" w:hAnsi="宋体" w:eastAsia="宋体" w:cs="宋体"/>
                <w:color w:val="auto"/>
                <w:szCs w:val="21"/>
                <w:highlight w:val="none"/>
              </w:rPr>
              <w:t>中国信息安全测评中心颁发的注册信息安全专业人员认证（CISP）</w:t>
            </w:r>
            <w:r>
              <w:rPr>
                <w:rFonts w:hint="eastAsia" w:ascii="宋体" w:hAnsi="宋体" w:eastAsia="宋体" w:cs="宋体"/>
                <w:color w:val="auto"/>
                <w:szCs w:val="21"/>
                <w:highlight w:val="none"/>
                <w:lang w:eastAsia="zh-CN"/>
              </w:rPr>
              <w:t>证书</w:t>
            </w:r>
            <w:r>
              <w:rPr>
                <w:rFonts w:hint="eastAsia" w:ascii="宋体" w:hAnsi="宋体" w:cs="宋体"/>
                <w:color w:val="auto"/>
                <w:szCs w:val="21"/>
                <w:highlight w:val="none"/>
                <w:lang w:eastAsia="zh-CN"/>
              </w:rPr>
              <w:t>等相关证明材料</w:t>
            </w:r>
            <w:r>
              <w:rPr>
                <w:rFonts w:hint="eastAsia" w:ascii="宋体" w:hAnsi="宋体" w:eastAsia="宋体" w:cs="宋体"/>
                <w:color w:val="auto"/>
                <w:szCs w:val="21"/>
                <w:highlight w:val="none"/>
                <w:lang w:eastAsia="zh-CN"/>
              </w:rPr>
              <w:t>。</w:t>
            </w:r>
          </w:p>
          <w:p w14:paraId="70069216">
            <w:pPr>
              <w:spacing w:line="360" w:lineRule="exact"/>
              <w:rPr>
                <w:rFonts w:hint="eastAsia" w:ascii="宋体" w:hAnsi="宋体" w:eastAsia="宋体"/>
                <w:color w:val="auto"/>
                <w:spacing w:val="-4"/>
                <w:highlight w:val="none"/>
                <w:lang w:val="en-US" w:eastAsia="zh-CN"/>
              </w:rPr>
            </w:pPr>
            <w:r>
              <w:rPr>
                <w:rFonts w:hint="eastAsia" w:ascii="宋体" w:hAnsi="宋体"/>
                <w:color w:val="auto"/>
                <w:spacing w:val="-4"/>
                <w:highlight w:val="none"/>
                <w:lang w:val="en-US" w:eastAsia="zh-CN"/>
              </w:rPr>
              <w:t>2.</w:t>
            </w:r>
            <w:r>
              <w:rPr>
                <w:rFonts w:hint="eastAsia" w:ascii="宋体" w:hAnsi="宋体" w:eastAsia="宋体" w:cs="宋体"/>
                <w:color w:val="auto"/>
                <w:sz w:val="21"/>
                <w:szCs w:val="21"/>
                <w:highlight w:val="none"/>
              </w:rPr>
              <w:t>供应商通过ISO27001信息安全管理体系认证、ISO9001质量管理体系认证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ISO14001环境管理体系认证、ISO45001职业健康安全管理体系认证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包含“信息系统集成、软件设计与开发”</w:t>
            </w:r>
            <w:r>
              <w:rPr>
                <w:rFonts w:hint="eastAsia" w:ascii="宋体" w:hAnsi="宋体" w:eastAsia="宋体" w:cs="宋体"/>
                <w:color w:val="auto"/>
                <w:sz w:val="21"/>
                <w:szCs w:val="21"/>
                <w:highlight w:val="none"/>
                <w:lang w:eastAsia="zh-CN"/>
              </w:rPr>
              <w:t>）。</w:t>
            </w:r>
          </w:p>
          <w:p w14:paraId="25FB4719">
            <w:pPr>
              <w:spacing w:line="360" w:lineRule="exact"/>
              <w:rPr>
                <w:rFonts w:ascii="宋体" w:hAnsi="宋体"/>
                <w:color w:val="auto"/>
                <w:szCs w:val="21"/>
                <w:highlight w:val="none"/>
              </w:rPr>
            </w:pPr>
            <w:r>
              <w:rPr>
                <w:rFonts w:hint="eastAsia" w:ascii="宋体" w:hAnsi="宋体"/>
                <w:b/>
                <w:bCs/>
                <w:color w:val="auto"/>
                <w:szCs w:val="21"/>
                <w:highlight w:val="none"/>
              </w:rPr>
              <w:t>注：履约能力评分详见“第四章 评审办法”。</w:t>
            </w:r>
          </w:p>
        </w:tc>
      </w:tr>
      <w:tr w14:paraId="1029AC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767" w:type="dxa"/>
            <w:gridSpan w:val="2"/>
            <w:tcBorders>
              <w:top w:val="single" w:color="auto" w:sz="4" w:space="0"/>
              <w:left w:val="single" w:color="auto" w:sz="4" w:space="0"/>
              <w:bottom w:val="single" w:color="auto" w:sz="4" w:space="0"/>
              <w:right w:val="single" w:color="auto" w:sz="4" w:space="0"/>
            </w:tcBorders>
            <w:vAlign w:val="center"/>
          </w:tcPr>
          <w:p w14:paraId="4D5F2AF7">
            <w:pPr>
              <w:spacing w:line="360" w:lineRule="exact"/>
              <w:jc w:val="center"/>
              <w:rPr>
                <w:rFonts w:ascii="宋体" w:hAnsi="宋体"/>
                <w:color w:val="auto"/>
                <w:szCs w:val="21"/>
                <w:highlight w:val="none"/>
              </w:rPr>
            </w:pPr>
            <w:r>
              <w:rPr>
                <w:rFonts w:hint="eastAsia" w:ascii="宋体" w:hAnsi="宋体"/>
                <w:color w:val="auto"/>
                <w:szCs w:val="21"/>
                <w:highlight w:val="none"/>
              </w:rPr>
              <w:t>（四）政策性加分条件</w:t>
            </w:r>
          </w:p>
        </w:tc>
        <w:tc>
          <w:tcPr>
            <w:tcW w:w="6164" w:type="dxa"/>
            <w:gridSpan w:val="2"/>
            <w:tcBorders>
              <w:top w:val="single" w:color="auto" w:sz="4" w:space="0"/>
              <w:left w:val="single" w:color="auto" w:sz="4" w:space="0"/>
              <w:bottom w:val="single" w:color="auto" w:sz="4" w:space="0"/>
              <w:right w:val="single" w:color="auto" w:sz="4" w:space="0"/>
            </w:tcBorders>
          </w:tcPr>
          <w:p w14:paraId="4AA676B8">
            <w:pPr>
              <w:wordWrap w:val="0"/>
              <w:adjustRightInd w:val="0"/>
              <w:snapToGrid w:val="0"/>
              <w:spacing w:line="340" w:lineRule="exact"/>
              <w:rPr>
                <w:rFonts w:ascii="宋体" w:hAnsi="宋体"/>
                <w:color w:val="auto"/>
                <w:highlight w:val="none"/>
              </w:rPr>
            </w:pPr>
            <w:r>
              <w:rPr>
                <w:rFonts w:hint="eastAsia" w:ascii="宋体" w:hAnsi="宋体"/>
                <w:color w:val="auto"/>
                <w:highlight w:val="none"/>
              </w:rPr>
              <w:t>1.节能产品加分：属于财政部《节能产品政府采购品目清单》内优先采购（清单内未标注“★”的品目）的产品（响应文件中提供有效的认证证书复印件，并加盖供应商</w:t>
            </w:r>
            <w:r>
              <w:rPr>
                <w:rFonts w:hint="eastAsia" w:hAnsi="宋体"/>
                <w:color w:val="auto"/>
                <w:highlight w:val="none"/>
              </w:rPr>
              <w:t>电子签章</w:t>
            </w:r>
            <w:r>
              <w:rPr>
                <w:rFonts w:hint="eastAsia" w:ascii="宋体" w:hAnsi="宋体"/>
                <w:color w:val="auto"/>
                <w:highlight w:val="none"/>
              </w:rPr>
              <w:t>），相应予以加分。</w:t>
            </w:r>
          </w:p>
          <w:p w14:paraId="235021D2">
            <w:pPr>
              <w:wordWrap w:val="0"/>
              <w:adjustRightInd w:val="0"/>
              <w:snapToGrid w:val="0"/>
              <w:spacing w:line="340" w:lineRule="exact"/>
              <w:rPr>
                <w:rFonts w:ascii="宋体" w:hAnsi="宋体"/>
                <w:color w:val="auto"/>
                <w:highlight w:val="none"/>
              </w:rPr>
            </w:pPr>
            <w:r>
              <w:rPr>
                <w:rFonts w:hint="eastAsia" w:ascii="宋体" w:hAnsi="宋体"/>
                <w:color w:val="auto"/>
                <w:highlight w:val="none"/>
              </w:rPr>
              <w:t>2.环境标志产品加分：属于财政部《环境标志产品政府采购品目清单》内的产品（响应文件中提供有效的认证证书复印件，并加盖供应商</w:t>
            </w:r>
            <w:r>
              <w:rPr>
                <w:rFonts w:hint="eastAsia" w:hAnsi="宋体"/>
                <w:color w:val="auto"/>
                <w:highlight w:val="none"/>
              </w:rPr>
              <w:t>电子签章</w:t>
            </w:r>
            <w:r>
              <w:rPr>
                <w:rFonts w:hint="eastAsia" w:ascii="宋体" w:hAnsi="宋体"/>
                <w:color w:val="auto"/>
                <w:highlight w:val="none"/>
              </w:rPr>
              <w:t>），相应予以加分。</w:t>
            </w:r>
          </w:p>
          <w:p w14:paraId="2E3E61B5">
            <w:pPr>
              <w:spacing w:line="360" w:lineRule="exact"/>
              <w:rPr>
                <w:rFonts w:ascii="宋体" w:hAnsi="宋体"/>
                <w:color w:val="auto"/>
                <w:szCs w:val="21"/>
                <w:highlight w:val="none"/>
              </w:rPr>
            </w:pPr>
            <w:r>
              <w:rPr>
                <w:rFonts w:hint="eastAsia" w:ascii="宋体" w:hAnsi="宋体"/>
                <w:b/>
                <w:color w:val="auto"/>
                <w:highlight w:val="none"/>
              </w:rPr>
              <w:t>注：上述政策性加分详见“第四章 评审办法”。</w:t>
            </w:r>
          </w:p>
        </w:tc>
      </w:tr>
    </w:tbl>
    <w:p w14:paraId="21A9F011">
      <w:pPr>
        <w:tabs>
          <w:tab w:val="left" w:pos="180"/>
          <w:tab w:val="left" w:pos="1620"/>
        </w:tabs>
        <w:spacing w:line="360" w:lineRule="auto"/>
        <w:rPr>
          <w:rFonts w:ascii="宋体" w:hAnsi="宋体" w:cs="宋体"/>
          <w:b/>
          <w:bCs/>
          <w:color w:val="auto"/>
          <w:szCs w:val="21"/>
          <w:highlight w:val="none"/>
        </w:rPr>
      </w:pPr>
      <w:r>
        <w:rPr>
          <w:rFonts w:hint="eastAsia" w:ascii="宋体" w:hAnsi="宋体" w:cs="宋体"/>
          <w:b/>
          <w:bCs/>
          <w:color w:val="auto"/>
          <w:szCs w:val="21"/>
          <w:highlight w:val="none"/>
        </w:rPr>
        <w:t xml:space="preserve"> </w:t>
      </w:r>
    </w:p>
    <w:p w14:paraId="6F269CA4">
      <w:pPr>
        <w:snapToGrid w:val="0"/>
        <w:spacing w:line="360" w:lineRule="exact"/>
        <w:jc w:val="left"/>
        <w:rPr>
          <w:rFonts w:ascii="宋体" w:hAnsi="宋体" w:cs="宋体"/>
          <w:b/>
          <w:bCs/>
          <w:color w:val="auto"/>
          <w:szCs w:val="21"/>
          <w:highlight w:val="none"/>
        </w:rPr>
      </w:pPr>
      <w:r>
        <w:rPr>
          <w:rFonts w:ascii="宋体" w:hAnsi="宋体" w:cs="宋体"/>
          <w:b/>
          <w:bCs/>
          <w:color w:val="auto"/>
          <w:szCs w:val="21"/>
          <w:highlight w:val="none"/>
        </w:rPr>
        <w:br w:type="page"/>
      </w:r>
    </w:p>
    <w:p w14:paraId="0DA7CAD7">
      <w:pPr>
        <w:snapToGrid w:val="0"/>
        <w:spacing w:line="360" w:lineRule="auto"/>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附件：</w:t>
      </w:r>
    </w:p>
    <w:p w14:paraId="05556F8B">
      <w:pPr>
        <w:pStyle w:val="14"/>
        <w:jc w:val="center"/>
        <w:rPr>
          <w:b/>
          <w:color w:val="auto"/>
          <w:sz w:val="28"/>
          <w:szCs w:val="28"/>
          <w:highlight w:val="none"/>
        </w:rPr>
      </w:pPr>
      <w:r>
        <w:rPr>
          <w:rFonts w:hint="eastAsia"/>
          <w:b/>
          <w:color w:val="auto"/>
          <w:sz w:val="28"/>
          <w:szCs w:val="28"/>
          <w:highlight w:val="none"/>
        </w:rPr>
        <w:t>中小企业划型标准规定</w:t>
      </w:r>
    </w:p>
    <w:p w14:paraId="1C560D5B">
      <w:pPr>
        <w:pStyle w:val="14"/>
        <w:jc w:val="center"/>
        <w:rPr>
          <w:rFonts w:ascii="宋体" w:hAnsi="宋体"/>
          <w:color w:val="auto"/>
          <w:szCs w:val="21"/>
          <w:highlight w:val="none"/>
        </w:rPr>
      </w:pPr>
      <w:r>
        <w:rPr>
          <w:rFonts w:hint="eastAsia" w:ascii="宋体" w:hAnsi="宋体"/>
          <w:color w:val="auto"/>
          <w:szCs w:val="21"/>
          <w:highlight w:val="none"/>
        </w:rPr>
        <w:t>工信部联企业〔2011〕300号</w:t>
      </w:r>
    </w:p>
    <w:p w14:paraId="4172736F">
      <w:pPr>
        <w:pStyle w:val="14"/>
        <w:rPr>
          <w:color w:val="auto"/>
          <w:sz w:val="24"/>
          <w:szCs w:val="21"/>
          <w:highlight w:val="none"/>
        </w:rPr>
      </w:pPr>
    </w:p>
    <w:p w14:paraId="71D59AF3">
      <w:pPr>
        <w:pStyle w:val="14"/>
        <w:spacing w:after="0" w:line="360" w:lineRule="exact"/>
        <w:ind w:firstLine="420" w:firstLineChars="200"/>
        <w:rPr>
          <w:rFonts w:ascii="宋体" w:hAnsi="宋体"/>
          <w:color w:val="auto"/>
          <w:szCs w:val="21"/>
          <w:highlight w:val="none"/>
        </w:rPr>
      </w:pPr>
      <w:r>
        <w:rPr>
          <w:rFonts w:hint="eastAsia" w:ascii="宋体" w:hAnsi="宋体"/>
          <w:color w:val="auto"/>
          <w:szCs w:val="21"/>
          <w:highlight w:val="none"/>
        </w:rPr>
        <w:t>一、根据《中华人民共和国中小企业促进法》和《国务院关于进一步促进中小企业发展的若干意见》（国发〔</w:t>
      </w:r>
      <w:r>
        <w:rPr>
          <w:rFonts w:ascii="宋体" w:hAnsi="宋体"/>
          <w:color w:val="auto"/>
          <w:szCs w:val="21"/>
          <w:highlight w:val="none"/>
        </w:rPr>
        <w:t>2009</w:t>
      </w:r>
      <w:r>
        <w:rPr>
          <w:rFonts w:hint="eastAsia" w:ascii="宋体" w:hAnsi="宋体"/>
          <w:color w:val="auto"/>
          <w:szCs w:val="21"/>
          <w:highlight w:val="none"/>
        </w:rPr>
        <w:t>〕</w:t>
      </w:r>
      <w:r>
        <w:rPr>
          <w:rFonts w:ascii="宋体" w:hAnsi="宋体"/>
          <w:color w:val="auto"/>
          <w:szCs w:val="21"/>
          <w:highlight w:val="none"/>
        </w:rPr>
        <w:t>36</w:t>
      </w:r>
      <w:r>
        <w:rPr>
          <w:rFonts w:hint="eastAsia" w:ascii="宋体" w:hAnsi="宋体"/>
          <w:color w:val="auto"/>
          <w:szCs w:val="21"/>
          <w:highlight w:val="none"/>
        </w:rPr>
        <w:t>号），制定本规定。</w:t>
      </w:r>
    </w:p>
    <w:p w14:paraId="43FEECC7">
      <w:pPr>
        <w:pStyle w:val="14"/>
        <w:spacing w:after="0" w:line="360" w:lineRule="exact"/>
        <w:ind w:firstLine="420" w:firstLineChars="200"/>
        <w:rPr>
          <w:rFonts w:ascii="宋体" w:hAnsi="宋体"/>
          <w:color w:val="auto"/>
          <w:szCs w:val="21"/>
          <w:highlight w:val="none"/>
        </w:rPr>
      </w:pPr>
      <w:r>
        <w:rPr>
          <w:rFonts w:hint="eastAsia" w:ascii="宋体" w:hAnsi="宋体"/>
          <w:color w:val="auto"/>
          <w:szCs w:val="21"/>
          <w:highlight w:val="none"/>
        </w:rPr>
        <w:t>二、中小企业划分为中型、小型、微型三种类型，具体标准根据企业从业人员、营业收入、资产总额等指标，结合行业特点制定。</w:t>
      </w:r>
    </w:p>
    <w:p w14:paraId="6132B9BD">
      <w:pPr>
        <w:pStyle w:val="14"/>
        <w:spacing w:after="0" w:line="360" w:lineRule="exact"/>
        <w:ind w:firstLine="420" w:firstLineChars="200"/>
        <w:rPr>
          <w:rFonts w:ascii="宋体" w:hAnsi="宋体"/>
          <w:color w:val="auto"/>
          <w:szCs w:val="21"/>
          <w:highlight w:val="none"/>
        </w:rPr>
      </w:pPr>
      <w:r>
        <w:rPr>
          <w:rFonts w:hint="eastAsia" w:ascii="宋体" w:hAnsi="宋体"/>
          <w:color w:val="auto"/>
          <w:szCs w:val="21"/>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C246273">
      <w:pPr>
        <w:pStyle w:val="14"/>
        <w:spacing w:after="0" w:line="360" w:lineRule="exact"/>
        <w:ind w:firstLine="420" w:firstLineChars="200"/>
        <w:rPr>
          <w:rFonts w:ascii="宋体" w:hAnsi="宋体"/>
          <w:color w:val="auto"/>
          <w:szCs w:val="21"/>
          <w:highlight w:val="none"/>
        </w:rPr>
      </w:pPr>
      <w:r>
        <w:rPr>
          <w:rFonts w:hint="eastAsia" w:ascii="宋体" w:hAnsi="宋体"/>
          <w:color w:val="auto"/>
          <w:szCs w:val="21"/>
          <w:highlight w:val="none"/>
        </w:rPr>
        <w:t>四、各行业划型标准为：</w:t>
      </w:r>
    </w:p>
    <w:p w14:paraId="6AC6AFD4">
      <w:pPr>
        <w:pStyle w:val="14"/>
        <w:spacing w:after="0" w:line="360" w:lineRule="exact"/>
        <w:ind w:firstLine="420" w:firstLineChars="200"/>
        <w:rPr>
          <w:rFonts w:ascii="宋体" w:hAnsi="宋体"/>
          <w:color w:val="auto"/>
          <w:szCs w:val="21"/>
          <w:highlight w:val="none"/>
        </w:rPr>
      </w:pPr>
      <w:r>
        <w:rPr>
          <w:rFonts w:hint="eastAsia" w:ascii="宋体" w:hAnsi="宋体"/>
          <w:color w:val="auto"/>
          <w:szCs w:val="21"/>
          <w:highlight w:val="none"/>
        </w:rPr>
        <w:t>（一）农、林、牧、渔业。营业收入</w:t>
      </w:r>
      <w:r>
        <w:rPr>
          <w:rFonts w:ascii="宋体" w:hAnsi="宋体"/>
          <w:color w:val="auto"/>
          <w:szCs w:val="21"/>
          <w:highlight w:val="none"/>
        </w:rPr>
        <w:t>20000</w:t>
      </w:r>
      <w:r>
        <w:rPr>
          <w:rFonts w:hint="eastAsia" w:ascii="宋体" w:hAnsi="宋体"/>
          <w:color w:val="auto"/>
          <w:szCs w:val="21"/>
          <w:highlight w:val="none"/>
        </w:rPr>
        <w:t>万元以下的为中小微型企业。其中，营业收入</w:t>
      </w:r>
      <w:r>
        <w:rPr>
          <w:rFonts w:ascii="宋体" w:hAnsi="宋体"/>
          <w:color w:val="auto"/>
          <w:szCs w:val="21"/>
          <w:highlight w:val="none"/>
        </w:rPr>
        <w:t>500</w:t>
      </w:r>
      <w:r>
        <w:rPr>
          <w:rFonts w:hint="eastAsia" w:ascii="宋体" w:hAnsi="宋体"/>
          <w:color w:val="auto"/>
          <w:szCs w:val="21"/>
          <w:highlight w:val="none"/>
        </w:rPr>
        <w:t>万元及以上的为中型企业，营业收入</w:t>
      </w:r>
      <w:r>
        <w:rPr>
          <w:rFonts w:ascii="宋体" w:hAnsi="宋体"/>
          <w:color w:val="auto"/>
          <w:szCs w:val="21"/>
          <w:highlight w:val="none"/>
        </w:rPr>
        <w:t>50</w:t>
      </w:r>
      <w:r>
        <w:rPr>
          <w:rFonts w:hint="eastAsia" w:ascii="宋体" w:hAnsi="宋体"/>
          <w:color w:val="auto"/>
          <w:szCs w:val="21"/>
          <w:highlight w:val="none"/>
        </w:rPr>
        <w:t>万元及以上的为小型企业，营业收入</w:t>
      </w:r>
      <w:r>
        <w:rPr>
          <w:rFonts w:ascii="宋体" w:hAnsi="宋体"/>
          <w:color w:val="auto"/>
          <w:szCs w:val="21"/>
          <w:highlight w:val="none"/>
        </w:rPr>
        <w:t>50</w:t>
      </w:r>
      <w:r>
        <w:rPr>
          <w:rFonts w:hint="eastAsia" w:ascii="宋体" w:hAnsi="宋体"/>
          <w:color w:val="auto"/>
          <w:szCs w:val="21"/>
          <w:highlight w:val="none"/>
        </w:rPr>
        <w:t>万元以下的为微型企业。</w:t>
      </w:r>
    </w:p>
    <w:p w14:paraId="47670F47">
      <w:pPr>
        <w:pStyle w:val="14"/>
        <w:spacing w:after="0" w:line="360" w:lineRule="exact"/>
        <w:ind w:firstLine="420" w:firstLineChars="200"/>
        <w:rPr>
          <w:rFonts w:ascii="宋体" w:hAnsi="宋体"/>
          <w:color w:val="auto"/>
          <w:szCs w:val="21"/>
          <w:highlight w:val="none"/>
        </w:rPr>
      </w:pPr>
      <w:r>
        <w:rPr>
          <w:rFonts w:hint="eastAsia" w:ascii="宋体" w:hAnsi="宋体"/>
          <w:color w:val="auto"/>
          <w:szCs w:val="21"/>
          <w:highlight w:val="none"/>
        </w:rPr>
        <w:t>（二）工业。从业人员</w:t>
      </w:r>
      <w:r>
        <w:rPr>
          <w:rFonts w:ascii="宋体" w:hAnsi="宋体"/>
          <w:color w:val="auto"/>
          <w:szCs w:val="21"/>
          <w:highlight w:val="none"/>
        </w:rPr>
        <w:t>1000</w:t>
      </w:r>
      <w:r>
        <w:rPr>
          <w:rFonts w:hint="eastAsia" w:ascii="宋体" w:hAnsi="宋体"/>
          <w:color w:val="auto"/>
          <w:szCs w:val="21"/>
          <w:highlight w:val="none"/>
        </w:rPr>
        <w:t>人以下或营业收入</w:t>
      </w:r>
      <w:r>
        <w:rPr>
          <w:rFonts w:ascii="宋体" w:hAnsi="宋体"/>
          <w:color w:val="auto"/>
          <w:szCs w:val="21"/>
          <w:highlight w:val="none"/>
        </w:rPr>
        <w:t>40000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300</w:t>
      </w:r>
      <w:r>
        <w:rPr>
          <w:rFonts w:hint="eastAsia" w:ascii="宋体" w:hAnsi="宋体"/>
          <w:color w:val="auto"/>
          <w:szCs w:val="21"/>
          <w:highlight w:val="none"/>
        </w:rPr>
        <w:t>人及以上，且营业收入</w:t>
      </w:r>
      <w:r>
        <w:rPr>
          <w:rFonts w:ascii="宋体" w:hAnsi="宋体"/>
          <w:color w:val="auto"/>
          <w:szCs w:val="21"/>
          <w:highlight w:val="none"/>
        </w:rPr>
        <w:t>2000</w:t>
      </w:r>
      <w:r>
        <w:rPr>
          <w:rFonts w:hint="eastAsia" w:ascii="宋体" w:hAnsi="宋体"/>
          <w:color w:val="auto"/>
          <w:szCs w:val="21"/>
          <w:highlight w:val="none"/>
        </w:rPr>
        <w:t>万元及以上的为中型企业；从业人员</w:t>
      </w:r>
      <w:r>
        <w:rPr>
          <w:rFonts w:ascii="宋体" w:hAnsi="宋体"/>
          <w:color w:val="auto"/>
          <w:szCs w:val="21"/>
          <w:highlight w:val="none"/>
        </w:rPr>
        <w:t>20</w:t>
      </w:r>
      <w:r>
        <w:rPr>
          <w:rFonts w:hint="eastAsia" w:ascii="宋体" w:hAnsi="宋体"/>
          <w:color w:val="auto"/>
          <w:szCs w:val="21"/>
          <w:highlight w:val="none"/>
        </w:rPr>
        <w:t>人及以上，且营业收入</w:t>
      </w:r>
      <w:r>
        <w:rPr>
          <w:rFonts w:ascii="宋体" w:hAnsi="宋体"/>
          <w:color w:val="auto"/>
          <w:szCs w:val="21"/>
          <w:highlight w:val="none"/>
        </w:rPr>
        <w:t>300</w:t>
      </w:r>
      <w:r>
        <w:rPr>
          <w:rFonts w:hint="eastAsia" w:ascii="宋体" w:hAnsi="宋体"/>
          <w:color w:val="auto"/>
          <w:szCs w:val="21"/>
          <w:highlight w:val="none"/>
        </w:rPr>
        <w:t>万元及以上的为小型企业；从业人员</w:t>
      </w:r>
      <w:r>
        <w:rPr>
          <w:rFonts w:ascii="宋体" w:hAnsi="宋体"/>
          <w:color w:val="auto"/>
          <w:szCs w:val="21"/>
          <w:highlight w:val="none"/>
        </w:rPr>
        <w:t>20</w:t>
      </w:r>
      <w:r>
        <w:rPr>
          <w:rFonts w:hint="eastAsia" w:ascii="宋体" w:hAnsi="宋体"/>
          <w:color w:val="auto"/>
          <w:szCs w:val="21"/>
          <w:highlight w:val="none"/>
        </w:rPr>
        <w:t>人以下或营业收入</w:t>
      </w:r>
      <w:r>
        <w:rPr>
          <w:rFonts w:ascii="宋体" w:hAnsi="宋体"/>
          <w:color w:val="auto"/>
          <w:szCs w:val="21"/>
          <w:highlight w:val="none"/>
        </w:rPr>
        <w:t>300</w:t>
      </w:r>
      <w:r>
        <w:rPr>
          <w:rFonts w:hint="eastAsia" w:ascii="宋体" w:hAnsi="宋体"/>
          <w:color w:val="auto"/>
          <w:szCs w:val="21"/>
          <w:highlight w:val="none"/>
        </w:rPr>
        <w:t>万元以下的为微型企业。</w:t>
      </w:r>
    </w:p>
    <w:p w14:paraId="0F9CD75A">
      <w:pPr>
        <w:pStyle w:val="14"/>
        <w:spacing w:after="0" w:line="360" w:lineRule="exact"/>
        <w:ind w:firstLine="420" w:firstLineChars="200"/>
        <w:rPr>
          <w:rFonts w:ascii="宋体" w:hAnsi="宋体"/>
          <w:color w:val="auto"/>
          <w:szCs w:val="21"/>
          <w:highlight w:val="none"/>
        </w:rPr>
      </w:pPr>
      <w:r>
        <w:rPr>
          <w:rFonts w:hint="eastAsia" w:ascii="宋体" w:hAnsi="宋体"/>
          <w:color w:val="auto"/>
          <w:szCs w:val="21"/>
          <w:highlight w:val="none"/>
        </w:rPr>
        <w:t>（三）建筑业。营业收入</w:t>
      </w:r>
      <w:r>
        <w:rPr>
          <w:rFonts w:ascii="宋体" w:hAnsi="宋体"/>
          <w:color w:val="auto"/>
          <w:szCs w:val="21"/>
          <w:highlight w:val="none"/>
        </w:rPr>
        <w:t>80000</w:t>
      </w:r>
      <w:r>
        <w:rPr>
          <w:rFonts w:hint="eastAsia" w:ascii="宋体" w:hAnsi="宋体"/>
          <w:color w:val="auto"/>
          <w:szCs w:val="21"/>
          <w:highlight w:val="none"/>
        </w:rPr>
        <w:t>万元以下或资产总额</w:t>
      </w:r>
      <w:r>
        <w:rPr>
          <w:rFonts w:ascii="宋体" w:hAnsi="宋体"/>
          <w:color w:val="auto"/>
          <w:szCs w:val="21"/>
          <w:highlight w:val="none"/>
        </w:rPr>
        <w:t>80000</w:t>
      </w:r>
      <w:r>
        <w:rPr>
          <w:rFonts w:hint="eastAsia" w:ascii="宋体" w:hAnsi="宋体"/>
          <w:color w:val="auto"/>
          <w:szCs w:val="21"/>
          <w:highlight w:val="none"/>
        </w:rPr>
        <w:t>万元以下的为中小微型企业。其中，营业收入</w:t>
      </w:r>
      <w:r>
        <w:rPr>
          <w:rFonts w:ascii="宋体" w:hAnsi="宋体"/>
          <w:color w:val="auto"/>
          <w:szCs w:val="21"/>
          <w:highlight w:val="none"/>
        </w:rPr>
        <w:t>6000</w:t>
      </w:r>
      <w:r>
        <w:rPr>
          <w:rFonts w:hint="eastAsia" w:ascii="宋体" w:hAnsi="宋体"/>
          <w:color w:val="auto"/>
          <w:szCs w:val="21"/>
          <w:highlight w:val="none"/>
        </w:rPr>
        <w:t>万元及以上，且资产总额</w:t>
      </w:r>
      <w:r>
        <w:rPr>
          <w:rFonts w:ascii="宋体" w:hAnsi="宋体"/>
          <w:color w:val="auto"/>
          <w:szCs w:val="21"/>
          <w:highlight w:val="none"/>
        </w:rPr>
        <w:t>5000</w:t>
      </w:r>
      <w:r>
        <w:rPr>
          <w:rFonts w:hint="eastAsia" w:ascii="宋体" w:hAnsi="宋体"/>
          <w:color w:val="auto"/>
          <w:szCs w:val="21"/>
          <w:highlight w:val="none"/>
        </w:rPr>
        <w:t>万元及以上的为中型企业；营业收入</w:t>
      </w:r>
      <w:r>
        <w:rPr>
          <w:rFonts w:ascii="宋体" w:hAnsi="宋体"/>
          <w:color w:val="auto"/>
          <w:szCs w:val="21"/>
          <w:highlight w:val="none"/>
        </w:rPr>
        <w:t>300</w:t>
      </w:r>
      <w:r>
        <w:rPr>
          <w:rFonts w:hint="eastAsia" w:ascii="宋体" w:hAnsi="宋体"/>
          <w:color w:val="auto"/>
          <w:szCs w:val="21"/>
          <w:highlight w:val="none"/>
        </w:rPr>
        <w:t>万元及以上，且资产总额</w:t>
      </w:r>
      <w:r>
        <w:rPr>
          <w:rFonts w:ascii="宋体" w:hAnsi="宋体"/>
          <w:color w:val="auto"/>
          <w:szCs w:val="21"/>
          <w:highlight w:val="none"/>
        </w:rPr>
        <w:t>300</w:t>
      </w:r>
      <w:r>
        <w:rPr>
          <w:rFonts w:hint="eastAsia" w:ascii="宋体" w:hAnsi="宋体"/>
          <w:color w:val="auto"/>
          <w:szCs w:val="21"/>
          <w:highlight w:val="none"/>
        </w:rPr>
        <w:t>万元及以上的为小型企业；营业收入</w:t>
      </w:r>
      <w:r>
        <w:rPr>
          <w:rFonts w:ascii="宋体" w:hAnsi="宋体"/>
          <w:color w:val="auto"/>
          <w:szCs w:val="21"/>
          <w:highlight w:val="none"/>
        </w:rPr>
        <w:t>300</w:t>
      </w:r>
      <w:r>
        <w:rPr>
          <w:rFonts w:hint="eastAsia" w:ascii="宋体" w:hAnsi="宋体"/>
          <w:color w:val="auto"/>
          <w:szCs w:val="21"/>
          <w:highlight w:val="none"/>
        </w:rPr>
        <w:t>万元以下或资产总额</w:t>
      </w:r>
      <w:r>
        <w:rPr>
          <w:rFonts w:ascii="宋体" w:hAnsi="宋体"/>
          <w:color w:val="auto"/>
          <w:szCs w:val="21"/>
          <w:highlight w:val="none"/>
        </w:rPr>
        <w:t>300</w:t>
      </w:r>
      <w:r>
        <w:rPr>
          <w:rFonts w:hint="eastAsia" w:ascii="宋体" w:hAnsi="宋体"/>
          <w:color w:val="auto"/>
          <w:szCs w:val="21"/>
          <w:highlight w:val="none"/>
        </w:rPr>
        <w:t>万元以下的为微型企业。</w:t>
      </w:r>
    </w:p>
    <w:p w14:paraId="1F65CE49">
      <w:pPr>
        <w:pStyle w:val="14"/>
        <w:spacing w:after="0" w:line="360" w:lineRule="exact"/>
        <w:ind w:firstLine="420" w:firstLineChars="200"/>
        <w:rPr>
          <w:rFonts w:ascii="宋体" w:hAnsi="宋体"/>
          <w:color w:val="auto"/>
          <w:szCs w:val="21"/>
          <w:highlight w:val="none"/>
        </w:rPr>
      </w:pPr>
      <w:r>
        <w:rPr>
          <w:rFonts w:hint="eastAsia" w:ascii="宋体" w:hAnsi="宋体"/>
          <w:color w:val="auto"/>
          <w:szCs w:val="21"/>
          <w:highlight w:val="none"/>
        </w:rPr>
        <w:t>（四）批发业。从业人员</w:t>
      </w:r>
      <w:r>
        <w:rPr>
          <w:rFonts w:ascii="宋体" w:hAnsi="宋体"/>
          <w:color w:val="auto"/>
          <w:szCs w:val="21"/>
          <w:highlight w:val="none"/>
        </w:rPr>
        <w:t>200</w:t>
      </w:r>
      <w:r>
        <w:rPr>
          <w:rFonts w:hint="eastAsia" w:ascii="宋体" w:hAnsi="宋体"/>
          <w:color w:val="auto"/>
          <w:szCs w:val="21"/>
          <w:highlight w:val="none"/>
        </w:rPr>
        <w:t>人以下或营业收入</w:t>
      </w:r>
      <w:r>
        <w:rPr>
          <w:rFonts w:ascii="宋体" w:hAnsi="宋体"/>
          <w:color w:val="auto"/>
          <w:szCs w:val="21"/>
          <w:highlight w:val="none"/>
        </w:rPr>
        <w:t>40000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20</w:t>
      </w:r>
      <w:r>
        <w:rPr>
          <w:rFonts w:hint="eastAsia" w:ascii="宋体" w:hAnsi="宋体"/>
          <w:color w:val="auto"/>
          <w:szCs w:val="21"/>
          <w:highlight w:val="none"/>
        </w:rPr>
        <w:t>人及以上，且营业收入</w:t>
      </w:r>
      <w:r>
        <w:rPr>
          <w:rFonts w:ascii="宋体" w:hAnsi="宋体"/>
          <w:color w:val="auto"/>
          <w:szCs w:val="21"/>
          <w:highlight w:val="none"/>
        </w:rPr>
        <w:t>5000</w:t>
      </w:r>
      <w:r>
        <w:rPr>
          <w:rFonts w:hint="eastAsia" w:ascii="宋体" w:hAnsi="宋体"/>
          <w:color w:val="auto"/>
          <w:szCs w:val="21"/>
          <w:highlight w:val="none"/>
        </w:rPr>
        <w:t>万元及以上的为中型企业；从业人员</w:t>
      </w:r>
      <w:r>
        <w:rPr>
          <w:rFonts w:ascii="宋体" w:hAnsi="宋体"/>
          <w:color w:val="auto"/>
          <w:szCs w:val="21"/>
          <w:highlight w:val="none"/>
        </w:rPr>
        <w:t>5</w:t>
      </w:r>
      <w:r>
        <w:rPr>
          <w:rFonts w:hint="eastAsia" w:ascii="宋体" w:hAnsi="宋体"/>
          <w:color w:val="auto"/>
          <w:szCs w:val="21"/>
          <w:highlight w:val="none"/>
        </w:rPr>
        <w:t>人及以上，且营业收入</w:t>
      </w:r>
      <w:r>
        <w:rPr>
          <w:rFonts w:ascii="宋体" w:hAnsi="宋体"/>
          <w:color w:val="auto"/>
          <w:szCs w:val="21"/>
          <w:highlight w:val="none"/>
        </w:rPr>
        <w:t>1000</w:t>
      </w:r>
      <w:r>
        <w:rPr>
          <w:rFonts w:hint="eastAsia" w:ascii="宋体" w:hAnsi="宋体"/>
          <w:color w:val="auto"/>
          <w:szCs w:val="21"/>
          <w:highlight w:val="none"/>
        </w:rPr>
        <w:t>万元及以上的为小型企业；从业人员</w:t>
      </w:r>
      <w:r>
        <w:rPr>
          <w:rFonts w:ascii="宋体" w:hAnsi="宋体"/>
          <w:color w:val="auto"/>
          <w:szCs w:val="21"/>
          <w:highlight w:val="none"/>
        </w:rPr>
        <w:t>5</w:t>
      </w:r>
      <w:r>
        <w:rPr>
          <w:rFonts w:hint="eastAsia" w:ascii="宋体" w:hAnsi="宋体"/>
          <w:color w:val="auto"/>
          <w:szCs w:val="21"/>
          <w:highlight w:val="none"/>
        </w:rPr>
        <w:t>人以下或营业收入</w:t>
      </w:r>
      <w:r>
        <w:rPr>
          <w:rFonts w:ascii="宋体" w:hAnsi="宋体"/>
          <w:color w:val="auto"/>
          <w:szCs w:val="21"/>
          <w:highlight w:val="none"/>
        </w:rPr>
        <w:t>1000</w:t>
      </w:r>
      <w:r>
        <w:rPr>
          <w:rFonts w:hint="eastAsia" w:ascii="宋体" w:hAnsi="宋体"/>
          <w:color w:val="auto"/>
          <w:szCs w:val="21"/>
          <w:highlight w:val="none"/>
        </w:rPr>
        <w:t>万元以下的为微型企业。</w:t>
      </w:r>
    </w:p>
    <w:p w14:paraId="656CED7C">
      <w:pPr>
        <w:pStyle w:val="14"/>
        <w:spacing w:after="0" w:line="360" w:lineRule="exact"/>
        <w:ind w:firstLine="420" w:firstLineChars="200"/>
        <w:rPr>
          <w:rFonts w:ascii="宋体" w:hAnsi="宋体"/>
          <w:color w:val="auto"/>
          <w:szCs w:val="21"/>
          <w:highlight w:val="none"/>
        </w:rPr>
      </w:pPr>
      <w:r>
        <w:rPr>
          <w:rFonts w:hint="eastAsia" w:ascii="宋体" w:hAnsi="宋体"/>
          <w:color w:val="auto"/>
          <w:szCs w:val="21"/>
          <w:highlight w:val="none"/>
        </w:rPr>
        <w:t>（五）零售业。从业人员</w:t>
      </w:r>
      <w:r>
        <w:rPr>
          <w:rFonts w:ascii="宋体" w:hAnsi="宋体"/>
          <w:color w:val="auto"/>
          <w:szCs w:val="21"/>
          <w:highlight w:val="none"/>
        </w:rPr>
        <w:t>300</w:t>
      </w:r>
      <w:r>
        <w:rPr>
          <w:rFonts w:hint="eastAsia" w:ascii="宋体" w:hAnsi="宋体"/>
          <w:color w:val="auto"/>
          <w:szCs w:val="21"/>
          <w:highlight w:val="none"/>
        </w:rPr>
        <w:t>人以下或营业收入</w:t>
      </w:r>
      <w:r>
        <w:rPr>
          <w:rFonts w:ascii="宋体" w:hAnsi="宋体"/>
          <w:color w:val="auto"/>
          <w:szCs w:val="21"/>
          <w:highlight w:val="none"/>
        </w:rPr>
        <w:t>20000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50</w:t>
      </w:r>
      <w:r>
        <w:rPr>
          <w:rFonts w:hint="eastAsia" w:ascii="宋体" w:hAnsi="宋体"/>
          <w:color w:val="auto"/>
          <w:szCs w:val="21"/>
          <w:highlight w:val="none"/>
        </w:rPr>
        <w:t>人及以上，且营业收入</w:t>
      </w:r>
      <w:r>
        <w:rPr>
          <w:rFonts w:ascii="宋体" w:hAnsi="宋体"/>
          <w:color w:val="auto"/>
          <w:szCs w:val="21"/>
          <w:highlight w:val="none"/>
        </w:rPr>
        <w:t>500</w:t>
      </w:r>
      <w:r>
        <w:rPr>
          <w:rFonts w:hint="eastAsia" w:ascii="宋体" w:hAnsi="宋体"/>
          <w:color w:val="auto"/>
          <w:szCs w:val="21"/>
          <w:highlight w:val="none"/>
        </w:rPr>
        <w:t>万元及以上的为中型企业；从业人员</w:t>
      </w:r>
      <w:r>
        <w:rPr>
          <w:rFonts w:ascii="宋体" w:hAnsi="宋体"/>
          <w:color w:val="auto"/>
          <w:szCs w:val="21"/>
          <w:highlight w:val="none"/>
        </w:rPr>
        <w:t>10</w:t>
      </w:r>
      <w:r>
        <w:rPr>
          <w:rFonts w:hint="eastAsia" w:ascii="宋体" w:hAnsi="宋体"/>
          <w:color w:val="auto"/>
          <w:szCs w:val="21"/>
          <w:highlight w:val="none"/>
        </w:rPr>
        <w:t>人及以上，且营业收入</w:t>
      </w:r>
      <w:r>
        <w:rPr>
          <w:rFonts w:ascii="宋体" w:hAnsi="宋体"/>
          <w:color w:val="auto"/>
          <w:szCs w:val="21"/>
          <w:highlight w:val="none"/>
        </w:rPr>
        <w:t>100</w:t>
      </w:r>
      <w:r>
        <w:rPr>
          <w:rFonts w:hint="eastAsia" w:ascii="宋体" w:hAnsi="宋体"/>
          <w:color w:val="auto"/>
          <w:szCs w:val="21"/>
          <w:highlight w:val="none"/>
        </w:rPr>
        <w:t>万元及以上的为小型企业；从业人员</w:t>
      </w:r>
      <w:r>
        <w:rPr>
          <w:rFonts w:ascii="宋体" w:hAnsi="宋体"/>
          <w:color w:val="auto"/>
          <w:szCs w:val="21"/>
          <w:highlight w:val="none"/>
        </w:rPr>
        <w:t>10</w:t>
      </w:r>
      <w:r>
        <w:rPr>
          <w:rFonts w:hint="eastAsia" w:ascii="宋体" w:hAnsi="宋体"/>
          <w:color w:val="auto"/>
          <w:szCs w:val="21"/>
          <w:highlight w:val="none"/>
        </w:rPr>
        <w:t>人以下或营业收入</w:t>
      </w:r>
      <w:r>
        <w:rPr>
          <w:rFonts w:ascii="宋体" w:hAnsi="宋体"/>
          <w:color w:val="auto"/>
          <w:szCs w:val="21"/>
          <w:highlight w:val="none"/>
        </w:rPr>
        <w:t>100</w:t>
      </w:r>
      <w:r>
        <w:rPr>
          <w:rFonts w:hint="eastAsia" w:ascii="宋体" w:hAnsi="宋体"/>
          <w:color w:val="auto"/>
          <w:szCs w:val="21"/>
          <w:highlight w:val="none"/>
        </w:rPr>
        <w:t>万元以下的为微型企业。</w:t>
      </w:r>
    </w:p>
    <w:p w14:paraId="5BC93F3E">
      <w:pPr>
        <w:pStyle w:val="14"/>
        <w:spacing w:after="0" w:line="360" w:lineRule="exact"/>
        <w:ind w:firstLine="420" w:firstLineChars="200"/>
        <w:rPr>
          <w:rFonts w:ascii="宋体" w:hAnsi="宋体"/>
          <w:color w:val="auto"/>
          <w:szCs w:val="21"/>
          <w:highlight w:val="none"/>
        </w:rPr>
      </w:pPr>
      <w:r>
        <w:rPr>
          <w:rFonts w:hint="eastAsia" w:ascii="宋体" w:hAnsi="宋体"/>
          <w:color w:val="auto"/>
          <w:szCs w:val="21"/>
          <w:highlight w:val="none"/>
        </w:rPr>
        <w:t>（六）交通运输业。从业人员</w:t>
      </w:r>
      <w:r>
        <w:rPr>
          <w:rFonts w:ascii="宋体" w:hAnsi="宋体"/>
          <w:color w:val="auto"/>
          <w:szCs w:val="21"/>
          <w:highlight w:val="none"/>
        </w:rPr>
        <w:t>1000</w:t>
      </w:r>
      <w:r>
        <w:rPr>
          <w:rFonts w:hint="eastAsia" w:ascii="宋体" w:hAnsi="宋体"/>
          <w:color w:val="auto"/>
          <w:szCs w:val="21"/>
          <w:highlight w:val="none"/>
        </w:rPr>
        <w:t>人以下或营业收入</w:t>
      </w:r>
      <w:r>
        <w:rPr>
          <w:rFonts w:ascii="宋体" w:hAnsi="宋体"/>
          <w:color w:val="auto"/>
          <w:szCs w:val="21"/>
          <w:highlight w:val="none"/>
        </w:rPr>
        <w:t>30000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300</w:t>
      </w:r>
      <w:r>
        <w:rPr>
          <w:rFonts w:hint="eastAsia" w:ascii="宋体" w:hAnsi="宋体"/>
          <w:color w:val="auto"/>
          <w:szCs w:val="21"/>
          <w:highlight w:val="none"/>
        </w:rPr>
        <w:t>人及以上，且营业收入</w:t>
      </w:r>
      <w:r>
        <w:rPr>
          <w:rFonts w:ascii="宋体" w:hAnsi="宋体"/>
          <w:color w:val="auto"/>
          <w:szCs w:val="21"/>
          <w:highlight w:val="none"/>
        </w:rPr>
        <w:t>3000</w:t>
      </w:r>
      <w:r>
        <w:rPr>
          <w:rFonts w:hint="eastAsia" w:ascii="宋体" w:hAnsi="宋体"/>
          <w:color w:val="auto"/>
          <w:szCs w:val="21"/>
          <w:highlight w:val="none"/>
        </w:rPr>
        <w:t>万元及以上的为中型企业；从业人员</w:t>
      </w:r>
      <w:r>
        <w:rPr>
          <w:rFonts w:ascii="宋体" w:hAnsi="宋体"/>
          <w:color w:val="auto"/>
          <w:szCs w:val="21"/>
          <w:highlight w:val="none"/>
        </w:rPr>
        <w:t>20</w:t>
      </w:r>
      <w:r>
        <w:rPr>
          <w:rFonts w:hint="eastAsia" w:ascii="宋体" w:hAnsi="宋体"/>
          <w:color w:val="auto"/>
          <w:szCs w:val="21"/>
          <w:highlight w:val="none"/>
        </w:rPr>
        <w:t>人及以上，且营业收入</w:t>
      </w:r>
      <w:r>
        <w:rPr>
          <w:rFonts w:ascii="宋体" w:hAnsi="宋体"/>
          <w:color w:val="auto"/>
          <w:szCs w:val="21"/>
          <w:highlight w:val="none"/>
        </w:rPr>
        <w:t>200</w:t>
      </w:r>
      <w:r>
        <w:rPr>
          <w:rFonts w:hint="eastAsia" w:ascii="宋体" w:hAnsi="宋体"/>
          <w:color w:val="auto"/>
          <w:szCs w:val="21"/>
          <w:highlight w:val="none"/>
        </w:rPr>
        <w:t>万元及以上的为小型企业；从业人员</w:t>
      </w:r>
      <w:r>
        <w:rPr>
          <w:rFonts w:ascii="宋体" w:hAnsi="宋体"/>
          <w:color w:val="auto"/>
          <w:szCs w:val="21"/>
          <w:highlight w:val="none"/>
        </w:rPr>
        <w:t>20</w:t>
      </w:r>
      <w:r>
        <w:rPr>
          <w:rFonts w:hint="eastAsia" w:ascii="宋体" w:hAnsi="宋体"/>
          <w:color w:val="auto"/>
          <w:szCs w:val="21"/>
          <w:highlight w:val="none"/>
        </w:rPr>
        <w:t>人以下或营业收入</w:t>
      </w:r>
      <w:r>
        <w:rPr>
          <w:rFonts w:ascii="宋体" w:hAnsi="宋体"/>
          <w:color w:val="auto"/>
          <w:szCs w:val="21"/>
          <w:highlight w:val="none"/>
        </w:rPr>
        <w:t>200</w:t>
      </w:r>
      <w:r>
        <w:rPr>
          <w:rFonts w:hint="eastAsia" w:ascii="宋体" w:hAnsi="宋体"/>
          <w:color w:val="auto"/>
          <w:szCs w:val="21"/>
          <w:highlight w:val="none"/>
        </w:rPr>
        <w:t>万元以下的为微型企业。</w:t>
      </w:r>
    </w:p>
    <w:p w14:paraId="1C23F80C">
      <w:pPr>
        <w:pStyle w:val="14"/>
        <w:spacing w:after="0" w:line="360" w:lineRule="exact"/>
        <w:ind w:firstLine="420" w:firstLineChars="200"/>
        <w:rPr>
          <w:rFonts w:ascii="宋体" w:hAnsi="宋体"/>
          <w:color w:val="auto"/>
          <w:szCs w:val="21"/>
          <w:highlight w:val="none"/>
        </w:rPr>
      </w:pPr>
      <w:r>
        <w:rPr>
          <w:rFonts w:hint="eastAsia" w:ascii="宋体" w:hAnsi="宋体"/>
          <w:color w:val="auto"/>
          <w:szCs w:val="21"/>
          <w:highlight w:val="none"/>
        </w:rPr>
        <w:t>（七）仓储业。从业人员</w:t>
      </w:r>
      <w:r>
        <w:rPr>
          <w:rFonts w:ascii="宋体" w:hAnsi="宋体"/>
          <w:color w:val="auto"/>
          <w:szCs w:val="21"/>
          <w:highlight w:val="none"/>
        </w:rPr>
        <w:t>200</w:t>
      </w:r>
      <w:r>
        <w:rPr>
          <w:rFonts w:hint="eastAsia" w:ascii="宋体" w:hAnsi="宋体"/>
          <w:color w:val="auto"/>
          <w:szCs w:val="21"/>
          <w:highlight w:val="none"/>
        </w:rPr>
        <w:t>人以下或营业收入</w:t>
      </w:r>
      <w:r>
        <w:rPr>
          <w:rFonts w:ascii="宋体" w:hAnsi="宋体"/>
          <w:color w:val="auto"/>
          <w:szCs w:val="21"/>
          <w:highlight w:val="none"/>
        </w:rPr>
        <w:t>30000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100</w:t>
      </w:r>
      <w:r>
        <w:rPr>
          <w:rFonts w:hint="eastAsia" w:ascii="宋体" w:hAnsi="宋体"/>
          <w:color w:val="auto"/>
          <w:szCs w:val="21"/>
          <w:highlight w:val="none"/>
        </w:rPr>
        <w:t>人及以上，且营业收入</w:t>
      </w:r>
      <w:r>
        <w:rPr>
          <w:rFonts w:ascii="宋体" w:hAnsi="宋体"/>
          <w:color w:val="auto"/>
          <w:szCs w:val="21"/>
          <w:highlight w:val="none"/>
        </w:rPr>
        <w:t>1000</w:t>
      </w:r>
      <w:r>
        <w:rPr>
          <w:rFonts w:hint="eastAsia" w:ascii="宋体" w:hAnsi="宋体"/>
          <w:color w:val="auto"/>
          <w:szCs w:val="21"/>
          <w:highlight w:val="none"/>
        </w:rPr>
        <w:t>万元及以上的为中型企业；从业人员</w:t>
      </w:r>
      <w:r>
        <w:rPr>
          <w:rFonts w:ascii="宋体" w:hAnsi="宋体"/>
          <w:color w:val="auto"/>
          <w:szCs w:val="21"/>
          <w:highlight w:val="none"/>
        </w:rPr>
        <w:t>20</w:t>
      </w:r>
      <w:r>
        <w:rPr>
          <w:rFonts w:hint="eastAsia" w:ascii="宋体" w:hAnsi="宋体"/>
          <w:color w:val="auto"/>
          <w:szCs w:val="21"/>
          <w:highlight w:val="none"/>
        </w:rPr>
        <w:t>人及以上，且营业收入</w:t>
      </w:r>
      <w:r>
        <w:rPr>
          <w:rFonts w:ascii="宋体" w:hAnsi="宋体"/>
          <w:color w:val="auto"/>
          <w:szCs w:val="21"/>
          <w:highlight w:val="none"/>
        </w:rPr>
        <w:t>100</w:t>
      </w:r>
      <w:r>
        <w:rPr>
          <w:rFonts w:hint="eastAsia" w:ascii="宋体" w:hAnsi="宋体"/>
          <w:color w:val="auto"/>
          <w:szCs w:val="21"/>
          <w:highlight w:val="none"/>
        </w:rPr>
        <w:t>万元及以上的为小型企业；从业人员</w:t>
      </w:r>
      <w:r>
        <w:rPr>
          <w:rFonts w:ascii="宋体" w:hAnsi="宋体"/>
          <w:color w:val="auto"/>
          <w:szCs w:val="21"/>
          <w:highlight w:val="none"/>
        </w:rPr>
        <w:t>20</w:t>
      </w:r>
      <w:r>
        <w:rPr>
          <w:rFonts w:hint="eastAsia" w:ascii="宋体" w:hAnsi="宋体"/>
          <w:color w:val="auto"/>
          <w:szCs w:val="21"/>
          <w:highlight w:val="none"/>
        </w:rPr>
        <w:t>人以下或营业收入</w:t>
      </w:r>
      <w:r>
        <w:rPr>
          <w:rFonts w:ascii="宋体" w:hAnsi="宋体"/>
          <w:color w:val="auto"/>
          <w:szCs w:val="21"/>
          <w:highlight w:val="none"/>
        </w:rPr>
        <w:t>100</w:t>
      </w:r>
      <w:r>
        <w:rPr>
          <w:rFonts w:hint="eastAsia" w:ascii="宋体" w:hAnsi="宋体"/>
          <w:color w:val="auto"/>
          <w:szCs w:val="21"/>
          <w:highlight w:val="none"/>
        </w:rPr>
        <w:t>万元以下的为微型企业。</w:t>
      </w:r>
    </w:p>
    <w:p w14:paraId="1C3B49CA">
      <w:pPr>
        <w:pStyle w:val="14"/>
        <w:spacing w:after="0" w:line="360" w:lineRule="exact"/>
        <w:ind w:firstLine="420" w:firstLineChars="200"/>
        <w:rPr>
          <w:rFonts w:ascii="宋体" w:hAnsi="宋体"/>
          <w:color w:val="auto"/>
          <w:szCs w:val="21"/>
          <w:highlight w:val="none"/>
        </w:rPr>
      </w:pPr>
      <w:r>
        <w:rPr>
          <w:rFonts w:hint="eastAsia" w:ascii="宋体" w:hAnsi="宋体"/>
          <w:color w:val="auto"/>
          <w:szCs w:val="21"/>
          <w:highlight w:val="none"/>
        </w:rPr>
        <w:t>（八）邮政业。从业人员</w:t>
      </w:r>
      <w:r>
        <w:rPr>
          <w:rFonts w:ascii="宋体" w:hAnsi="宋体"/>
          <w:color w:val="auto"/>
          <w:szCs w:val="21"/>
          <w:highlight w:val="none"/>
        </w:rPr>
        <w:t>1000</w:t>
      </w:r>
      <w:r>
        <w:rPr>
          <w:rFonts w:hint="eastAsia" w:ascii="宋体" w:hAnsi="宋体"/>
          <w:color w:val="auto"/>
          <w:szCs w:val="21"/>
          <w:highlight w:val="none"/>
        </w:rPr>
        <w:t>人以下或营业收入</w:t>
      </w:r>
      <w:r>
        <w:rPr>
          <w:rFonts w:ascii="宋体" w:hAnsi="宋体"/>
          <w:color w:val="auto"/>
          <w:szCs w:val="21"/>
          <w:highlight w:val="none"/>
        </w:rPr>
        <w:t>30000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300</w:t>
      </w:r>
      <w:r>
        <w:rPr>
          <w:rFonts w:hint="eastAsia" w:ascii="宋体" w:hAnsi="宋体"/>
          <w:color w:val="auto"/>
          <w:szCs w:val="21"/>
          <w:highlight w:val="none"/>
        </w:rPr>
        <w:t>人及以上，且营业收入</w:t>
      </w:r>
      <w:r>
        <w:rPr>
          <w:rFonts w:ascii="宋体" w:hAnsi="宋体"/>
          <w:color w:val="auto"/>
          <w:szCs w:val="21"/>
          <w:highlight w:val="none"/>
        </w:rPr>
        <w:t>2000</w:t>
      </w:r>
      <w:r>
        <w:rPr>
          <w:rFonts w:hint="eastAsia" w:ascii="宋体" w:hAnsi="宋体"/>
          <w:color w:val="auto"/>
          <w:szCs w:val="21"/>
          <w:highlight w:val="none"/>
        </w:rPr>
        <w:t>万元及以上的为中型企业；从业人员</w:t>
      </w:r>
      <w:r>
        <w:rPr>
          <w:rFonts w:ascii="宋体" w:hAnsi="宋体"/>
          <w:color w:val="auto"/>
          <w:szCs w:val="21"/>
          <w:highlight w:val="none"/>
        </w:rPr>
        <w:t>20</w:t>
      </w:r>
      <w:r>
        <w:rPr>
          <w:rFonts w:hint="eastAsia" w:ascii="宋体" w:hAnsi="宋体"/>
          <w:color w:val="auto"/>
          <w:szCs w:val="21"/>
          <w:highlight w:val="none"/>
        </w:rPr>
        <w:t>人及以上，且营业收入</w:t>
      </w:r>
      <w:r>
        <w:rPr>
          <w:rFonts w:ascii="宋体" w:hAnsi="宋体"/>
          <w:color w:val="auto"/>
          <w:szCs w:val="21"/>
          <w:highlight w:val="none"/>
        </w:rPr>
        <w:t>100</w:t>
      </w:r>
      <w:r>
        <w:rPr>
          <w:rFonts w:hint="eastAsia" w:ascii="宋体" w:hAnsi="宋体"/>
          <w:color w:val="auto"/>
          <w:szCs w:val="21"/>
          <w:highlight w:val="none"/>
        </w:rPr>
        <w:t>万元及以上的为小型企业；从业人员</w:t>
      </w:r>
      <w:r>
        <w:rPr>
          <w:rFonts w:ascii="宋体" w:hAnsi="宋体"/>
          <w:color w:val="auto"/>
          <w:szCs w:val="21"/>
          <w:highlight w:val="none"/>
        </w:rPr>
        <w:t>20</w:t>
      </w:r>
      <w:r>
        <w:rPr>
          <w:rFonts w:hint="eastAsia" w:ascii="宋体" w:hAnsi="宋体"/>
          <w:color w:val="auto"/>
          <w:szCs w:val="21"/>
          <w:highlight w:val="none"/>
        </w:rPr>
        <w:t>人以下或营业收入</w:t>
      </w:r>
      <w:r>
        <w:rPr>
          <w:rFonts w:ascii="宋体" w:hAnsi="宋体"/>
          <w:color w:val="auto"/>
          <w:szCs w:val="21"/>
          <w:highlight w:val="none"/>
        </w:rPr>
        <w:t>100</w:t>
      </w:r>
      <w:r>
        <w:rPr>
          <w:rFonts w:hint="eastAsia" w:ascii="宋体" w:hAnsi="宋体"/>
          <w:color w:val="auto"/>
          <w:szCs w:val="21"/>
          <w:highlight w:val="none"/>
        </w:rPr>
        <w:t>万元以下的为微型企业。</w:t>
      </w:r>
    </w:p>
    <w:p w14:paraId="66705E1F">
      <w:pPr>
        <w:pStyle w:val="14"/>
        <w:spacing w:after="0" w:line="360" w:lineRule="exact"/>
        <w:ind w:firstLine="420" w:firstLineChars="200"/>
        <w:rPr>
          <w:rFonts w:ascii="宋体" w:hAnsi="宋体"/>
          <w:color w:val="auto"/>
          <w:szCs w:val="21"/>
          <w:highlight w:val="none"/>
        </w:rPr>
      </w:pPr>
      <w:r>
        <w:rPr>
          <w:rFonts w:hint="eastAsia" w:ascii="宋体" w:hAnsi="宋体"/>
          <w:color w:val="auto"/>
          <w:szCs w:val="21"/>
          <w:highlight w:val="none"/>
        </w:rPr>
        <w:t>（九）住宿业。从业人员</w:t>
      </w:r>
      <w:r>
        <w:rPr>
          <w:rFonts w:ascii="宋体" w:hAnsi="宋体"/>
          <w:color w:val="auto"/>
          <w:szCs w:val="21"/>
          <w:highlight w:val="none"/>
        </w:rPr>
        <w:t>300</w:t>
      </w:r>
      <w:r>
        <w:rPr>
          <w:rFonts w:hint="eastAsia" w:ascii="宋体" w:hAnsi="宋体"/>
          <w:color w:val="auto"/>
          <w:szCs w:val="21"/>
          <w:highlight w:val="none"/>
        </w:rPr>
        <w:t>人以下或营业收入</w:t>
      </w:r>
      <w:r>
        <w:rPr>
          <w:rFonts w:ascii="宋体" w:hAnsi="宋体"/>
          <w:color w:val="auto"/>
          <w:szCs w:val="21"/>
          <w:highlight w:val="none"/>
        </w:rPr>
        <w:t>10000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100</w:t>
      </w:r>
      <w:r>
        <w:rPr>
          <w:rFonts w:hint="eastAsia" w:ascii="宋体" w:hAnsi="宋体"/>
          <w:color w:val="auto"/>
          <w:szCs w:val="21"/>
          <w:highlight w:val="none"/>
        </w:rPr>
        <w:t>人及以上，且营业收入</w:t>
      </w:r>
      <w:r>
        <w:rPr>
          <w:rFonts w:ascii="宋体" w:hAnsi="宋体"/>
          <w:color w:val="auto"/>
          <w:szCs w:val="21"/>
          <w:highlight w:val="none"/>
        </w:rPr>
        <w:t>2000</w:t>
      </w:r>
      <w:r>
        <w:rPr>
          <w:rFonts w:hint="eastAsia" w:ascii="宋体" w:hAnsi="宋体"/>
          <w:color w:val="auto"/>
          <w:szCs w:val="21"/>
          <w:highlight w:val="none"/>
        </w:rPr>
        <w:t>万元及以上的为中型企业；从业人员</w:t>
      </w:r>
      <w:r>
        <w:rPr>
          <w:rFonts w:ascii="宋体" w:hAnsi="宋体"/>
          <w:color w:val="auto"/>
          <w:szCs w:val="21"/>
          <w:highlight w:val="none"/>
        </w:rPr>
        <w:t>10</w:t>
      </w:r>
      <w:r>
        <w:rPr>
          <w:rFonts w:hint="eastAsia" w:ascii="宋体" w:hAnsi="宋体"/>
          <w:color w:val="auto"/>
          <w:szCs w:val="21"/>
          <w:highlight w:val="none"/>
        </w:rPr>
        <w:t>人及以上，且营业收入</w:t>
      </w:r>
      <w:r>
        <w:rPr>
          <w:rFonts w:ascii="宋体" w:hAnsi="宋体"/>
          <w:color w:val="auto"/>
          <w:szCs w:val="21"/>
          <w:highlight w:val="none"/>
        </w:rPr>
        <w:t>100</w:t>
      </w:r>
      <w:r>
        <w:rPr>
          <w:rFonts w:hint="eastAsia" w:ascii="宋体" w:hAnsi="宋体"/>
          <w:color w:val="auto"/>
          <w:szCs w:val="21"/>
          <w:highlight w:val="none"/>
        </w:rPr>
        <w:t>万元及以上的为小型企业；从业人员</w:t>
      </w:r>
      <w:r>
        <w:rPr>
          <w:rFonts w:ascii="宋体" w:hAnsi="宋体"/>
          <w:color w:val="auto"/>
          <w:szCs w:val="21"/>
          <w:highlight w:val="none"/>
        </w:rPr>
        <w:t>10</w:t>
      </w:r>
      <w:r>
        <w:rPr>
          <w:rFonts w:hint="eastAsia" w:ascii="宋体" w:hAnsi="宋体"/>
          <w:color w:val="auto"/>
          <w:szCs w:val="21"/>
          <w:highlight w:val="none"/>
        </w:rPr>
        <w:t>人以下或营业收入</w:t>
      </w:r>
      <w:r>
        <w:rPr>
          <w:rFonts w:ascii="宋体" w:hAnsi="宋体"/>
          <w:color w:val="auto"/>
          <w:szCs w:val="21"/>
          <w:highlight w:val="none"/>
        </w:rPr>
        <w:t>100</w:t>
      </w:r>
      <w:r>
        <w:rPr>
          <w:rFonts w:hint="eastAsia" w:ascii="宋体" w:hAnsi="宋体"/>
          <w:color w:val="auto"/>
          <w:szCs w:val="21"/>
          <w:highlight w:val="none"/>
        </w:rPr>
        <w:t>万元以下的为微型企业。</w:t>
      </w:r>
    </w:p>
    <w:p w14:paraId="3AD764F0">
      <w:pPr>
        <w:pStyle w:val="14"/>
        <w:spacing w:after="0" w:line="360" w:lineRule="exact"/>
        <w:rPr>
          <w:rFonts w:ascii="宋体" w:hAnsi="宋体"/>
          <w:color w:val="auto"/>
          <w:szCs w:val="21"/>
          <w:highlight w:val="none"/>
        </w:rPr>
      </w:pPr>
      <w:r>
        <w:rPr>
          <w:rFonts w:hint="eastAsia" w:ascii="宋体" w:hAnsi="宋体"/>
          <w:color w:val="auto"/>
          <w:szCs w:val="21"/>
          <w:highlight w:val="none"/>
        </w:rPr>
        <w:t>　（十）餐饮业。从业人员</w:t>
      </w:r>
      <w:r>
        <w:rPr>
          <w:rFonts w:ascii="宋体" w:hAnsi="宋体"/>
          <w:color w:val="auto"/>
          <w:szCs w:val="21"/>
          <w:highlight w:val="none"/>
        </w:rPr>
        <w:t>300</w:t>
      </w:r>
      <w:r>
        <w:rPr>
          <w:rFonts w:hint="eastAsia" w:ascii="宋体" w:hAnsi="宋体"/>
          <w:color w:val="auto"/>
          <w:szCs w:val="21"/>
          <w:highlight w:val="none"/>
        </w:rPr>
        <w:t>人以下或营业收入</w:t>
      </w:r>
      <w:r>
        <w:rPr>
          <w:rFonts w:ascii="宋体" w:hAnsi="宋体"/>
          <w:color w:val="auto"/>
          <w:szCs w:val="21"/>
          <w:highlight w:val="none"/>
        </w:rPr>
        <w:t>10000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100</w:t>
      </w:r>
      <w:r>
        <w:rPr>
          <w:rFonts w:hint="eastAsia" w:ascii="宋体" w:hAnsi="宋体"/>
          <w:color w:val="auto"/>
          <w:szCs w:val="21"/>
          <w:highlight w:val="none"/>
        </w:rPr>
        <w:t>人及以上，且营业收入</w:t>
      </w:r>
      <w:r>
        <w:rPr>
          <w:rFonts w:ascii="宋体" w:hAnsi="宋体"/>
          <w:color w:val="auto"/>
          <w:szCs w:val="21"/>
          <w:highlight w:val="none"/>
        </w:rPr>
        <w:t>2000</w:t>
      </w:r>
      <w:r>
        <w:rPr>
          <w:rFonts w:hint="eastAsia" w:ascii="宋体" w:hAnsi="宋体"/>
          <w:color w:val="auto"/>
          <w:szCs w:val="21"/>
          <w:highlight w:val="none"/>
        </w:rPr>
        <w:t>万元及以上的为中型企业；从业人员</w:t>
      </w:r>
      <w:r>
        <w:rPr>
          <w:rFonts w:ascii="宋体" w:hAnsi="宋体"/>
          <w:color w:val="auto"/>
          <w:szCs w:val="21"/>
          <w:highlight w:val="none"/>
        </w:rPr>
        <w:t>10</w:t>
      </w:r>
      <w:r>
        <w:rPr>
          <w:rFonts w:hint="eastAsia" w:ascii="宋体" w:hAnsi="宋体"/>
          <w:color w:val="auto"/>
          <w:szCs w:val="21"/>
          <w:highlight w:val="none"/>
        </w:rPr>
        <w:t>人及以上，且营业收入</w:t>
      </w:r>
      <w:r>
        <w:rPr>
          <w:rFonts w:ascii="宋体" w:hAnsi="宋体"/>
          <w:color w:val="auto"/>
          <w:szCs w:val="21"/>
          <w:highlight w:val="none"/>
        </w:rPr>
        <w:t>100</w:t>
      </w:r>
      <w:r>
        <w:rPr>
          <w:rFonts w:hint="eastAsia" w:ascii="宋体" w:hAnsi="宋体"/>
          <w:color w:val="auto"/>
          <w:szCs w:val="21"/>
          <w:highlight w:val="none"/>
        </w:rPr>
        <w:t>万元及以上的为小型企业；从业人员</w:t>
      </w:r>
      <w:r>
        <w:rPr>
          <w:rFonts w:ascii="宋体" w:hAnsi="宋体"/>
          <w:color w:val="auto"/>
          <w:szCs w:val="21"/>
          <w:highlight w:val="none"/>
        </w:rPr>
        <w:t>10</w:t>
      </w:r>
      <w:r>
        <w:rPr>
          <w:rFonts w:hint="eastAsia" w:ascii="宋体" w:hAnsi="宋体"/>
          <w:color w:val="auto"/>
          <w:szCs w:val="21"/>
          <w:highlight w:val="none"/>
        </w:rPr>
        <w:t>人以下或营业收入</w:t>
      </w:r>
      <w:r>
        <w:rPr>
          <w:rFonts w:ascii="宋体" w:hAnsi="宋体"/>
          <w:color w:val="auto"/>
          <w:szCs w:val="21"/>
          <w:highlight w:val="none"/>
        </w:rPr>
        <w:t>100</w:t>
      </w:r>
      <w:r>
        <w:rPr>
          <w:rFonts w:hint="eastAsia" w:ascii="宋体" w:hAnsi="宋体"/>
          <w:color w:val="auto"/>
          <w:szCs w:val="21"/>
          <w:highlight w:val="none"/>
        </w:rPr>
        <w:t>万元以下的为微型企业。</w:t>
      </w:r>
    </w:p>
    <w:p w14:paraId="1492EA65">
      <w:pPr>
        <w:pStyle w:val="14"/>
        <w:spacing w:after="0" w:line="360" w:lineRule="exact"/>
        <w:ind w:firstLine="420" w:firstLineChars="200"/>
        <w:rPr>
          <w:rFonts w:ascii="宋体" w:hAnsi="宋体"/>
          <w:color w:val="auto"/>
          <w:szCs w:val="21"/>
          <w:highlight w:val="none"/>
        </w:rPr>
      </w:pPr>
      <w:r>
        <w:rPr>
          <w:rFonts w:hint="eastAsia" w:ascii="宋体" w:hAnsi="宋体"/>
          <w:color w:val="auto"/>
          <w:szCs w:val="21"/>
          <w:highlight w:val="none"/>
        </w:rPr>
        <w:t>（十一）信息传输业。从业人员</w:t>
      </w:r>
      <w:r>
        <w:rPr>
          <w:rFonts w:ascii="宋体" w:hAnsi="宋体"/>
          <w:color w:val="auto"/>
          <w:szCs w:val="21"/>
          <w:highlight w:val="none"/>
        </w:rPr>
        <w:t>2000</w:t>
      </w:r>
      <w:r>
        <w:rPr>
          <w:rFonts w:hint="eastAsia" w:ascii="宋体" w:hAnsi="宋体"/>
          <w:color w:val="auto"/>
          <w:szCs w:val="21"/>
          <w:highlight w:val="none"/>
        </w:rPr>
        <w:t>人以下或营业收入</w:t>
      </w:r>
      <w:r>
        <w:rPr>
          <w:rFonts w:ascii="宋体" w:hAnsi="宋体"/>
          <w:color w:val="auto"/>
          <w:szCs w:val="21"/>
          <w:highlight w:val="none"/>
        </w:rPr>
        <w:t>100000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100</w:t>
      </w:r>
      <w:r>
        <w:rPr>
          <w:rFonts w:hint="eastAsia" w:ascii="宋体" w:hAnsi="宋体"/>
          <w:color w:val="auto"/>
          <w:szCs w:val="21"/>
          <w:highlight w:val="none"/>
        </w:rPr>
        <w:t>人及以上，且营业收入</w:t>
      </w:r>
      <w:r>
        <w:rPr>
          <w:rFonts w:ascii="宋体" w:hAnsi="宋体"/>
          <w:color w:val="auto"/>
          <w:szCs w:val="21"/>
          <w:highlight w:val="none"/>
        </w:rPr>
        <w:t>1000</w:t>
      </w:r>
      <w:r>
        <w:rPr>
          <w:rFonts w:hint="eastAsia" w:ascii="宋体" w:hAnsi="宋体"/>
          <w:color w:val="auto"/>
          <w:szCs w:val="21"/>
          <w:highlight w:val="none"/>
        </w:rPr>
        <w:t>万元及以上的为中型企业；从业人员</w:t>
      </w:r>
      <w:r>
        <w:rPr>
          <w:rFonts w:ascii="宋体" w:hAnsi="宋体"/>
          <w:color w:val="auto"/>
          <w:szCs w:val="21"/>
          <w:highlight w:val="none"/>
        </w:rPr>
        <w:t>10</w:t>
      </w:r>
      <w:r>
        <w:rPr>
          <w:rFonts w:hint="eastAsia" w:ascii="宋体" w:hAnsi="宋体"/>
          <w:color w:val="auto"/>
          <w:szCs w:val="21"/>
          <w:highlight w:val="none"/>
        </w:rPr>
        <w:t>人及以上，且营业收入</w:t>
      </w:r>
      <w:r>
        <w:rPr>
          <w:rFonts w:ascii="宋体" w:hAnsi="宋体"/>
          <w:color w:val="auto"/>
          <w:szCs w:val="21"/>
          <w:highlight w:val="none"/>
        </w:rPr>
        <w:t>100</w:t>
      </w:r>
      <w:r>
        <w:rPr>
          <w:rFonts w:hint="eastAsia" w:ascii="宋体" w:hAnsi="宋体"/>
          <w:color w:val="auto"/>
          <w:szCs w:val="21"/>
          <w:highlight w:val="none"/>
        </w:rPr>
        <w:t>万元及以上的为小型企业；从业人员</w:t>
      </w:r>
      <w:r>
        <w:rPr>
          <w:rFonts w:ascii="宋体" w:hAnsi="宋体"/>
          <w:color w:val="auto"/>
          <w:szCs w:val="21"/>
          <w:highlight w:val="none"/>
        </w:rPr>
        <w:t>10</w:t>
      </w:r>
      <w:r>
        <w:rPr>
          <w:rFonts w:hint="eastAsia" w:ascii="宋体" w:hAnsi="宋体"/>
          <w:color w:val="auto"/>
          <w:szCs w:val="21"/>
          <w:highlight w:val="none"/>
        </w:rPr>
        <w:t>人以下或营业收入</w:t>
      </w:r>
      <w:r>
        <w:rPr>
          <w:rFonts w:ascii="宋体" w:hAnsi="宋体"/>
          <w:color w:val="auto"/>
          <w:szCs w:val="21"/>
          <w:highlight w:val="none"/>
        </w:rPr>
        <w:t>100</w:t>
      </w:r>
      <w:r>
        <w:rPr>
          <w:rFonts w:hint="eastAsia" w:ascii="宋体" w:hAnsi="宋体"/>
          <w:color w:val="auto"/>
          <w:szCs w:val="21"/>
          <w:highlight w:val="none"/>
        </w:rPr>
        <w:t>万元以下的为微型企业。</w:t>
      </w:r>
    </w:p>
    <w:p w14:paraId="189630B4">
      <w:pPr>
        <w:pStyle w:val="14"/>
        <w:spacing w:after="0" w:line="360" w:lineRule="exact"/>
        <w:ind w:firstLine="420" w:firstLineChars="200"/>
        <w:rPr>
          <w:rFonts w:ascii="宋体" w:hAnsi="宋体"/>
          <w:color w:val="auto"/>
          <w:szCs w:val="21"/>
          <w:highlight w:val="none"/>
        </w:rPr>
      </w:pPr>
      <w:r>
        <w:rPr>
          <w:rFonts w:hint="eastAsia" w:ascii="宋体" w:hAnsi="宋体"/>
          <w:color w:val="auto"/>
          <w:szCs w:val="21"/>
          <w:highlight w:val="none"/>
        </w:rPr>
        <w:t>（十二）软件和信息技术服务业。从业人员</w:t>
      </w:r>
      <w:r>
        <w:rPr>
          <w:rFonts w:ascii="宋体" w:hAnsi="宋体"/>
          <w:color w:val="auto"/>
          <w:szCs w:val="21"/>
          <w:highlight w:val="none"/>
        </w:rPr>
        <w:t>300</w:t>
      </w:r>
      <w:r>
        <w:rPr>
          <w:rFonts w:hint="eastAsia" w:ascii="宋体" w:hAnsi="宋体"/>
          <w:color w:val="auto"/>
          <w:szCs w:val="21"/>
          <w:highlight w:val="none"/>
        </w:rPr>
        <w:t>人以下或营业收入</w:t>
      </w:r>
      <w:r>
        <w:rPr>
          <w:rFonts w:ascii="宋体" w:hAnsi="宋体"/>
          <w:color w:val="auto"/>
          <w:szCs w:val="21"/>
          <w:highlight w:val="none"/>
        </w:rPr>
        <w:t>10000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100</w:t>
      </w:r>
      <w:r>
        <w:rPr>
          <w:rFonts w:hint="eastAsia" w:ascii="宋体" w:hAnsi="宋体"/>
          <w:color w:val="auto"/>
          <w:szCs w:val="21"/>
          <w:highlight w:val="none"/>
        </w:rPr>
        <w:t>人及以上，且营业收入</w:t>
      </w:r>
      <w:r>
        <w:rPr>
          <w:rFonts w:ascii="宋体" w:hAnsi="宋体"/>
          <w:color w:val="auto"/>
          <w:szCs w:val="21"/>
          <w:highlight w:val="none"/>
        </w:rPr>
        <w:t>1000</w:t>
      </w:r>
      <w:r>
        <w:rPr>
          <w:rFonts w:hint="eastAsia" w:ascii="宋体" w:hAnsi="宋体"/>
          <w:color w:val="auto"/>
          <w:szCs w:val="21"/>
          <w:highlight w:val="none"/>
        </w:rPr>
        <w:t>万元及以上的为中型企业；从业人员</w:t>
      </w:r>
      <w:r>
        <w:rPr>
          <w:rFonts w:ascii="宋体" w:hAnsi="宋体"/>
          <w:color w:val="auto"/>
          <w:szCs w:val="21"/>
          <w:highlight w:val="none"/>
        </w:rPr>
        <w:t>10</w:t>
      </w:r>
      <w:r>
        <w:rPr>
          <w:rFonts w:hint="eastAsia" w:ascii="宋体" w:hAnsi="宋体"/>
          <w:color w:val="auto"/>
          <w:szCs w:val="21"/>
          <w:highlight w:val="none"/>
        </w:rPr>
        <w:t>人及以上，且营业收入</w:t>
      </w:r>
      <w:r>
        <w:rPr>
          <w:rFonts w:ascii="宋体" w:hAnsi="宋体"/>
          <w:color w:val="auto"/>
          <w:szCs w:val="21"/>
          <w:highlight w:val="none"/>
        </w:rPr>
        <w:t>50</w:t>
      </w:r>
      <w:r>
        <w:rPr>
          <w:rFonts w:hint="eastAsia" w:ascii="宋体" w:hAnsi="宋体"/>
          <w:color w:val="auto"/>
          <w:szCs w:val="21"/>
          <w:highlight w:val="none"/>
        </w:rPr>
        <w:t>万元及以上的为小型企业；从业人员</w:t>
      </w:r>
      <w:r>
        <w:rPr>
          <w:rFonts w:ascii="宋体" w:hAnsi="宋体"/>
          <w:color w:val="auto"/>
          <w:szCs w:val="21"/>
          <w:highlight w:val="none"/>
        </w:rPr>
        <w:t>10</w:t>
      </w:r>
      <w:r>
        <w:rPr>
          <w:rFonts w:hint="eastAsia" w:ascii="宋体" w:hAnsi="宋体"/>
          <w:color w:val="auto"/>
          <w:szCs w:val="21"/>
          <w:highlight w:val="none"/>
        </w:rPr>
        <w:t>人以下或营业收入</w:t>
      </w:r>
      <w:r>
        <w:rPr>
          <w:rFonts w:ascii="宋体" w:hAnsi="宋体"/>
          <w:color w:val="auto"/>
          <w:szCs w:val="21"/>
          <w:highlight w:val="none"/>
        </w:rPr>
        <w:t>50</w:t>
      </w:r>
      <w:r>
        <w:rPr>
          <w:rFonts w:hint="eastAsia" w:ascii="宋体" w:hAnsi="宋体"/>
          <w:color w:val="auto"/>
          <w:szCs w:val="21"/>
          <w:highlight w:val="none"/>
        </w:rPr>
        <w:t>万元以下的为微型企业。</w:t>
      </w:r>
    </w:p>
    <w:p w14:paraId="3A5A6E12">
      <w:pPr>
        <w:pStyle w:val="14"/>
        <w:spacing w:after="0" w:line="360" w:lineRule="exact"/>
        <w:ind w:firstLine="420" w:firstLineChars="200"/>
        <w:rPr>
          <w:rFonts w:ascii="宋体" w:hAnsi="宋体"/>
          <w:color w:val="auto"/>
          <w:szCs w:val="21"/>
          <w:highlight w:val="none"/>
        </w:rPr>
      </w:pPr>
      <w:r>
        <w:rPr>
          <w:rFonts w:hint="eastAsia" w:ascii="宋体" w:hAnsi="宋体"/>
          <w:color w:val="auto"/>
          <w:szCs w:val="21"/>
          <w:highlight w:val="none"/>
        </w:rPr>
        <w:t>（十三）房地产开发经营。营业收入</w:t>
      </w:r>
      <w:r>
        <w:rPr>
          <w:rFonts w:ascii="宋体" w:hAnsi="宋体"/>
          <w:color w:val="auto"/>
          <w:szCs w:val="21"/>
          <w:highlight w:val="none"/>
        </w:rPr>
        <w:t>200000</w:t>
      </w:r>
      <w:r>
        <w:rPr>
          <w:rFonts w:hint="eastAsia" w:ascii="宋体" w:hAnsi="宋体"/>
          <w:color w:val="auto"/>
          <w:szCs w:val="21"/>
          <w:highlight w:val="none"/>
        </w:rPr>
        <w:t>万元以下或资产总额</w:t>
      </w:r>
      <w:r>
        <w:rPr>
          <w:rFonts w:ascii="宋体" w:hAnsi="宋体"/>
          <w:color w:val="auto"/>
          <w:szCs w:val="21"/>
          <w:highlight w:val="none"/>
        </w:rPr>
        <w:t>10000</w:t>
      </w:r>
      <w:r>
        <w:rPr>
          <w:rFonts w:hint="eastAsia" w:ascii="宋体" w:hAnsi="宋体"/>
          <w:color w:val="auto"/>
          <w:szCs w:val="21"/>
          <w:highlight w:val="none"/>
        </w:rPr>
        <w:t>万元以下的为中小微型企业。其中，营业收入</w:t>
      </w:r>
      <w:r>
        <w:rPr>
          <w:rFonts w:ascii="宋体" w:hAnsi="宋体"/>
          <w:color w:val="auto"/>
          <w:szCs w:val="21"/>
          <w:highlight w:val="none"/>
        </w:rPr>
        <w:t>1000</w:t>
      </w:r>
      <w:r>
        <w:rPr>
          <w:rFonts w:hint="eastAsia" w:ascii="宋体" w:hAnsi="宋体"/>
          <w:color w:val="auto"/>
          <w:szCs w:val="21"/>
          <w:highlight w:val="none"/>
        </w:rPr>
        <w:t>万元及以上，且资产总额</w:t>
      </w:r>
      <w:r>
        <w:rPr>
          <w:rFonts w:ascii="宋体" w:hAnsi="宋体"/>
          <w:color w:val="auto"/>
          <w:szCs w:val="21"/>
          <w:highlight w:val="none"/>
        </w:rPr>
        <w:t>5000</w:t>
      </w:r>
      <w:r>
        <w:rPr>
          <w:rFonts w:hint="eastAsia" w:ascii="宋体" w:hAnsi="宋体"/>
          <w:color w:val="auto"/>
          <w:szCs w:val="21"/>
          <w:highlight w:val="none"/>
        </w:rPr>
        <w:t>万元及以上的为中型企业；营业收入</w:t>
      </w:r>
      <w:r>
        <w:rPr>
          <w:rFonts w:ascii="宋体" w:hAnsi="宋体"/>
          <w:color w:val="auto"/>
          <w:szCs w:val="21"/>
          <w:highlight w:val="none"/>
        </w:rPr>
        <w:t>100</w:t>
      </w:r>
      <w:r>
        <w:rPr>
          <w:rFonts w:hint="eastAsia" w:ascii="宋体" w:hAnsi="宋体"/>
          <w:color w:val="auto"/>
          <w:szCs w:val="21"/>
          <w:highlight w:val="none"/>
        </w:rPr>
        <w:t>万元及以上，且资产总额</w:t>
      </w:r>
      <w:r>
        <w:rPr>
          <w:rFonts w:ascii="宋体" w:hAnsi="宋体"/>
          <w:color w:val="auto"/>
          <w:szCs w:val="21"/>
          <w:highlight w:val="none"/>
        </w:rPr>
        <w:t>2000</w:t>
      </w:r>
      <w:r>
        <w:rPr>
          <w:rFonts w:hint="eastAsia" w:ascii="宋体" w:hAnsi="宋体"/>
          <w:color w:val="auto"/>
          <w:szCs w:val="21"/>
          <w:highlight w:val="none"/>
        </w:rPr>
        <w:t>万元及以上的为小型企业；营业收入</w:t>
      </w:r>
      <w:r>
        <w:rPr>
          <w:rFonts w:ascii="宋体" w:hAnsi="宋体"/>
          <w:color w:val="auto"/>
          <w:szCs w:val="21"/>
          <w:highlight w:val="none"/>
        </w:rPr>
        <w:t>100</w:t>
      </w:r>
      <w:r>
        <w:rPr>
          <w:rFonts w:hint="eastAsia" w:ascii="宋体" w:hAnsi="宋体"/>
          <w:color w:val="auto"/>
          <w:szCs w:val="21"/>
          <w:highlight w:val="none"/>
        </w:rPr>
        <w:t>万元以下或资产总额</w:t>
      </w:r>
      <w:r>
        <w:rPr>
          <w:rFonts w:ascii="宋体" w:hAnsi="宋体"/>
          <w:color w:val="auto"/>
          <w:szCs w:val="21"/>
          <w:highlight w:val="none"/>
        </w:rPr>
        <w:t>2000</w:t>
      </w:r>
      <w:r>
        <w:rPr>
          <w:rFonts w:hint="eastAsia" w:ascii="宋体" w:hAnsi="宋体"/>
          <w:color w:val="auto"/>
          <w:szCs w:val="21"/>
          <w:highlight w:val="none"/>
        </w:rPr>
        <w:t>万元以下的为微型企业。</w:t>
      </w:r>
    </w:p>
    <w:p w14:paraId="63226517">
      <w:pPr>
        <w:pStyle w:val="14"/>
        <w:spacing w:after="0" w:line="360" w:lineRule="exact"/>
        <w:ind w:firstLine="420" w:firstLineChars="200"/>
        <w:rPr>
          <w:rFonts w:ascii="宋体" w:hAnsi="宋体"/>
          <w:color w:val="auto"/>
          <w:szCs w:val="21"/>
          <w:highlight w:val="none"/>
        </w:rPr>
      </w:pPr>
      <w:r>
        <w:rPr>
          <w:rFonts w:hint="eastAsia" w:ascii="宋体" w:hAnsi="宋体"/>
          <w:color w:val="auto"/>
          <w:szCs w:val="21"/>
          <w:highlight w:val="none"/>
        </w:rPr>
        <w:t>（十四）物业管理。从业人员</w:t>
      </w:r>
      <w:r>
        <w:rPr>
          <w:rFonts w:ascii="宋体" w:hAnsi="宋体"/>
          <w:color w:val="auto"/>
          <w:szCs w:val="21"/>
          <w:highlight w:val="none"/>
        </w:rPr>
        <w:t>1000</w:t>
      </w:r>
      <w:r>
        <w:rPr>
          <w:rFonts w:hint="eastAsia" w:ascii="宋体" w:hAnsi="宋体"/>
          <w:color w:val="auto"/>
          <w:szCs w:val="21"/>
          <w:highlight w:val="none"/>
        </w:rPr>
        <w:t>人以下或营业收入</w:t>
      </w:r>
      <w:r>
        <w:rPr>
          <w:rFonts w:ascii="宋体" w:hAnsi="宋体"/>
          <w:color w:val="auto"/>
          <w:szCs w:val="21"/>
          <w:highlight w:val="none"/>
        </w:rPr>
        <w:t>5000</w:t>
      </w:r>
      <w:r>
        <w:rPr>
          <w:rFonts w:hint="eastAsia" w:ascii="宋体" w:hAnsi="宋体"/>
          <w:color w:val="auto"/>
          <w:szCs w:val="21"/>
          <w:highlight w:val="none"/>
        </w:rPr>
        <w:t>万元以下的为中小微型企业。其中，从业人员</w:t>
      </w:r>
      <w:r>
        <w:rPr>
          <w:rFonts w:ascii="宋体" w:hAnsi="宋体"/>
          <w:color w:val="auto"/>
          <w:szCs w:val="21"/>
          <w:highlight w:val="none"/>
        </w:rPr>
        <w:t>300</w:t>
      </w:r>
      <w:r>
        <w:rPr>
          <w:rFonts w:hint="eastAsia" w:ascii="宋体" w:hAnsi="宋体"/>
          <w:color w:val="auto"/>
          <w:szCs w:val="21"/>
          <w:highlight w:val="none"/>
        </w:rPr>
        <w:t>人及以上，且营业收入</w:t>
      </w:r>
      <w:r>
        <w:rPr>
          <w:rFonts w:ascii="宋体" w:hAnsi="宋体"/>
          <w:color w:val="auto"/>
          <w:szCs w:val="21"/>
          <w:highlight w:val="none"/>
        </w:rPr>
        <w:t>1000</w:t>
      </w:r>
      <w:r>
        <w:rPr>
          <w:rFonts w:hint="eastAsia" w:ascii="宋体" w:hAnsi="宋体"/>
          <w:color w:val="auto"/>
          <w:szCs w:val="21"/>
          <w:highlight w:val="none"/>
        </w:rPr>
        <w:t>万元及以上的为中型企业；从业人员</w:t>
      </w:r>
      <w:r>
        <w:rPr>
          <w:rFonts w:ascii="宋体" w:hAnsi="宋体"/>
          <w:color w:val="auto"/>
          <w:szCs w:val="21"/>
          <w:highlight w:val="none"/>
        </w:rPr>
        <w:t>100</w:t>
      </w:r>
      <w:r>
        <w:rPr>
          <w:rFonts w:hint="eastAsia" w:ascii="宋体" w:hAnsi="宋体"/>
          <w:color w:val="auto"/>
          <w:szCs w:val="21"/>
          <w:highlight w:val="none"/>
        </w:rPr>
        <w:t>人及以上，且营业收入</w:t>
      </w:r>
      <w:r>
        <w:rPr>
          <w:rFonts w:ascii="宋体" w:hAnsi="宋体"/>
          <w:color w:val="auto"/>
          <w:szCs w:val="21"/>
          <w:highlight w:val="none"/>
        </w:rPr>
        <w:t>500</w:t>
      </w:r>
      <w:r>
        <w:rPr>
          <w:rFonts w:hint="eastAsia" w:ascii="宋体" w:hAnsi="宋体"/>
          <w:color w:val="auto"/>
          <w:szCs w:val="21"/>
          <w:highlight w:val="none"/>
        </w:rPr>
        <w:t>万元及以上的为小型企业；从业人员</w:t>
      </w:r>
      <w:r>
        <w:rPr>
          <w:rFonts w:ascii="宋体" w:hAnsi="宋体"/>
          <w:color w:val="auto"/>
          <w:szCs w:val="21"/>
          <w:highlight w:val="none"/>
        </w:rPr>
        <w:t>100</w:t>
      </w:r>
      <w:r>
        <w:rPr>
          <w:rFonts w:hint="eastAsia" w:ascii="宋体" w:hAnsi="宋体"/>
          <w:color w:val="auto"/>
          <w:szCs w:val="21"/>
          <w:highlight w:val="none"/>
        </w:rPr>
        <w:t>人以下或营业收入</w:t>
      </w:r>
      <w:r>
        <w:rPr>
          <w:rFonts w:ascii="宋体" w:hAnsi="宋体"/>
          <w:color w:val="auto"/>
          <w:szCs w:val="21"/>
          <w:highlight w:val="none"/>
        </w:rPr>
        <w:t>500</w:t>
      </w:r>
      <w:r>
        <w:rPr>
          <w:rFonts w:hint="eastAsia" w:ascii="宋体" w:hAnsi="宋体"/>
          <w:color w:val="auto"/>
          <w:szCs w:val="21"/>
          <w:highlight w:val="none"/>
        </w:rPr>
        <w:t>万元以下的为微型企业。</w:t>
      </w:r>
    </w:p>
    <w:p w14:paraId="2987DD51">
      <w:pPr>
        <w:pStyle w:val="14"/>
        <w:spacing w:after="0" w:line="360" w:lineRule="exact"/>
        <w:ind w:firstLine="420" w:firstLineChars="200"/>
        <w:rPr>
          <w:rFonts w:ascii="宋体" w:hAnsi="宋体"/>
          <w:color w:val="auto"/>
          <w:szCs w:val="21"/>
          <w:highlight w:val="none"/>
        </w:rPr>
      </w:pPr>
      <w:r>
        <w:rPr>
          <w:rFonts w:hint="eastAsia" w:ascii="宋体" w:hAnsi="宋体"/>
          <w:color w:val="auto"/>
          <w:szCs w:val="21"/>
          <w:highlight w:val="none"/>
        </w:rPr>
        <w:t>（十五）租赁和商务服务业。从业人员</w:t>
      </w:r>
      <w:r>
        <w:rPr>
          <w:rFonts w:ascii="宋体" w:hAnsi="宋体"/>
          <w:color w:val="auto"/>
          <w:szCs w:val="21"/>
          <w:highlight w:val="none"/>
        </w:rPr>
        <w:t>300</w:t>
      </w:r>
      <w:r>
        <w:rPr>
          <w:rFonts w:hint="eastAsia" w:ascii="宋体" w:hAnsi="宋体"/>
          <w:color w:val="auto"/>
          <w:szCs w:val="21"/>
          <w:highlight w:val="none"/>
        </w:rPr>
        <w:t>人以下或资产总额</w:t>
      </w:r>
      <w:r>
        <w:rPr>
          <w:rFonts w:ascii="宋体" w:hAnsi="宋体"/>
          <w:color w:val="auto"/>
          <w:szCs w:val="21"/>
          <w:highlight w:val="none"/>
        </w:rPr>
        <w:t>120000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100</w:t>
      </w:r>
      <w:r>
        <w:rPr>
          <w:rFonts w:hint="eastAsia" w:ascii="宋体" w:hAnsi="宋体"/>
          <w:color w:val="auto"/>
          <w:szCs w:val="21"/>
          <w:highlight w:val="none"/>
        </w:rPr>
        <w:t>人及以上，且资产总额</w:t>
      </w:r>
      <w:r>
        <w:rPr>
          <w:rFonts w:ascii="宋体" w:hAnsi="宋体"/>
          <w:color w:val="auto"/>
          <w:szCs w:val="21"/>
          <w:highlight w:val="none"/>
        </w:rPr>
        <w:t>8000</w:t>
      </w:r>
      <w:r>
        <w:rPr>
          <w:rFonts w:hint="eastAsia" w:ascii="宋体" w:hAnsi="宋体"/>
          <w:color w:val="auto"/>
          <w:szCs w:val="21"/>
          <w:highlight w:val="none"/>
        </w:rPr>
        <w:t>万元及以上的为中型企业；从业人员</w:t>
      </w:r>
      <w:r>
        <w:rPr>
          <w:rFonts w:ascii="宋体" w:hAnsi="宋体"/>
          <w:color w:val="auto"/>
          <w:szCs w:val="21"/>
          <w:highlight w:val="none"/>
        </w:rPr>
        <w:t>10</w:t>
      </w:r>
      <w:r>
        <w:rPr>
          <w:rFonts w:hint="eastAsia" w:ascii="宋体" w:hAnsi="宋体"/>
          <w:color w:val="auto"/>
          <w:szCs w:val="21"/>
          <w:highlight w:val="none"/>
        </w:rPr>
        <w:t>人及以上，且资产总额</w:t>
      </w:r>
      <w:r>
        <w:rPr>
          <w:rFonts w:ascii="宋体" w:hAnsi="宋体"/>
          <w:color w:val="auto"/>
          <w:szCs w:val="21"/>
          <w:highlight w:val="none"/>
        </w:rPr>
        <w:t>100</w:t>
      </w:r>
      <w:r>
        <w:rPr>
          <w:rFonts w:hint="eastAsia" w:ascii="宋体" w:hAnsi="宋体"/>
          <w:color w:val="auto"/>
          <w:szCs w:val="21"/>
          <w:highlight w:val="none"/>
        </w:rPr>
        <w:t>万元及以上的为小型企业；从业人员</w:t>
      </w:r>
      <w:r>
        <w:rPr>
          <w:rFonts w:ascii="宋体" w:hAnsi="宋体"/>
          <w:color w:val="auto"/>
          <w:szCs w:val="21"/>
          <w:highlight w:val="none"/>
        </w:rPr>
        <w:t>10</w:t>
      </w:r>
      <w:r>
        <w:rPr>
          <w:rFonts w:hint="eastAsia" w:ascii="宋体" w:hAnsi="宋体"/>
          <w:color w:val="auto"/>
          <w:szCs w:val="21"/>
          <w:highlight w:val="none"/>
        </w:rPr>
        <w:t>人以下或资产总额</w:t>
      </w:r>
      <w:r>
        <w:rPr>
          <w:rFonts w:ascii="宋体" w:hAnsi="宋体"/>
          <w:color w:val="auto"/>
          <w:szCs w:val="21"/>
          <w:highlight w:val="none"/>
        </w:rPr>
        <w:t>100</w:t>
      </w:r>
      <w:r>
        <w:rPr>
          <w:rFonts w:hint="eastAsia" w:ascii="宋体" w:hAnsi="宋体"/>
          <w:color w:val="auto"/>
          <w:szCs w:val="21"/>
          <w:highlight w:val="none"/>
        </w:rPr>
        <w:t>万元以下的为微型企业。</w:t>
      </w:r>
    </w:p>
    <w:p w14:paraId="1FD942B8">
      <w:pPr>
        <w:pStyle w:val="14"/>
        <w:spacing w:after="0" w:line="360" w:lineRule="exact"/>
        <w:ind w:firstLine="420" w:firstLineChars="200"/>
        <w:rPr>
          <w:rFonts w:ascii="宋体" w:hAnsi="宋体"/>
          <w:color w:val="auto"/>
          <w:szCs w:val="21"/>
          <w:highlight w:val="none"/>
        </w:rPr>
      </w:pPr>
      <w:r>
        <w:rPr>
          <w:rFonts w:hint="eastAsia" w:ascii="宋体" w:hAnsi="宋体"/>
          <w:color w:val="auto"/>
          <w:szCs w:val="21"/>
          <w:highlight w:val="none"/>
        </w:rPr>
        <w:t>（十六）其他未列明行业。从业人员</w:t>
      </w:r>
      <w:r>
        <w:rPr>
          <w:rFonts w:ascii="宋体" w:hAnsi="宋体"/>
          <w:color w:val="auto"/>
          <w:szCs w:val="21"/>
          <w:highlight w:val="none"/>
        </w:rPr>
        <w:t>300</w:t>
      </w:r>
      <w:r>
        <w:rPr>
          <w:rFonts w:hint="eastAsia" w:ascii="宋体" w:hAnsi="宋体"/>
          <w:color w:val="auto"/>
          <w:szCs w:val="21"/>
          <w:highlight w:val="none"/>
        </w:rPr>
        <w:t>人以下的为中小微型企业。其中，从业人员</w:t>
      </w:r>
      <w:r>
        <w:rPr>
          <w:rFonts w:ascii="宋体" w:hAnsi="宋体"/>
          <w:color w:val="auto"/>
          <w:szCs w:val="21"/>
          <w:highlight w:val="none"/>
        </w:rPr>
        <w:t>100</w:t>
      </w:r>
      <w:r>
        <w:rPr>
          <w:rFonts w:hint="eastAsia" w:ascii="宋体" w:hAnsi="宋体"/>
          <w:color w:val="auto"/>
          <w:szCs w:val="21"/>
          <w:highlight w:val="none"/>
        </w:rPr>
        <w:t>人及以上的为中型企业；从业人员</w:t>
      </w:r>
      <w:r>
        <w:rPr>
          <w:rFonts w:ascii="宋体" w:hAnsi="宋体"/>
          <w:color w:val="auto"/>
          <w:szCs w:val="21"/>
          <w:highlight w:val="none"/>
        </w:rPr>
        <w:t>10</w:t>
      </w:r>
      <w:r>
        <w:rPr>
          <w:rFonts w:hint="eastAsia" w:ascii="宋体" w:hAnsi="宋体"/>
          <w:color w:val="auto"/>
          <w:szCs w:val="21"/>
          <w:highlight w:val="none"/>
        </w:rPr>
        <w:t>人及以上的为小型企业；从业人员</w:t>
      </w:r>
      <w:r>
        <w:rPr>
          <w:rFonts w:ascii="宋体" w:hAnsi="宋体"/>
          <w:color w:val="auto"/>
          <w:szCs w:val="21"/>
          <w:highlight w:val="none"/>
        </w:rPr>
        <w:t>10</w:t>
      </w:r>
      <w:r>
        <w:rPr>
          <w:rFonts w:hint="eastAsia" w:ascii="宋体" w:hAnsi="宋体"/>
          <w:color w:val="auto"/>
          <w:szCs w:val="21"/>
          <w:highlight w:val="none"/>
        </w:rPr>
        <w:t>人以下的为微型企业。</w:t>
      </w:r>
    </w:p>
    <w:p w14:paraId="08FD3445">
      <w:pPr>
        <w:pStyle w:val="14"/>
        <w:spacing w:after="0" w:line="360" w:lineRule="exact"/>
        <w:ind w:firstLine="420" w:firstLineChars="200"/>
        <w:rPr>
          <w:rFonts w:ascii="宋体" w:hAnsi="宋体"/>
          <w:color w:val="auto"/>
          <w:szCs w:val="21"/>
          <w:highlight w:val="none"/>
        </w:rPr>
      </w:pPr>
      <w:r>
        <w:rPr>
          <w:rFonts w:hint="eastAsia" w:ascii="宋体" w:hAnsi="宋体"/>
          <w:color w:val="auto"/>
          <w:szCs w:val="21"/>
          <w:highlight w:val="none"/>
        </w:rPr>
        <w:t>五、企业类型的划分以统计部门的统计数据为依据。</w:t>
      </w:r>
    </w:p>
    <w:p w14:paraId="3390C205">
      <w:pPr>
        <w:pStyle w:val="14"/>
        <w:spacing w:after="0" w:line="360" w:lineRule="exact"/>
        <w:ind w:firstLine="420" w:firstLineChars="200"/>
        <w:rPr>
          <w:rFonts w:ascii="宋体" w:hAnsi="宋体"/>
          <w:color w:val="auto"/>
          <w:szCs w:val="21"/>
          <w:highlight w:val="none"/>
        </w:rPr>
      </w:pPr>
      <w:r>
        <w:rPr>
          <w:rFonts w:hint="eastAsia" w:ascii="宋体" w:hAnsi="宋体"/>
          <w:color w:val="auto"/>
          <w:szCs w:val="21"/>
          <w:highlight w:val="none"/>
        </w:rPr>
        <w:t>六、本规定适用于在中华人民共和国境内依法设立的各类所有制和各种组织形式的企业。个体工商户和本规定以外的行业，参照本规定进行划型。</w:t>
      </w:r>
    </w:p>
    <w:p w14:paraId="403B582A">
      <w:pPr>
        <w:pStyle w:val="14"/>
        <w:spacing w:after="0" w:line="360" w:lineRule="exact"/>
        <w:ind w:firstLine="420" w:firstLineChars="200"/>
        <w:rPr>
          <w:rFonts w:ascii="宋体" w:hAnsi="宋体"/>
          <w:color w:val="auto"/>
          <w:szCs w:val="21"/>
          <w:highlight w:val="none"/>
        </w:rPr>
      </w:pPr>
      <w:r>
        <w:rPr>
          <w:rFonts w:hint="eastAsia" w:ascii="宋体" w:hAnsi="宋体"/>
          <w:color w:val="auto"/>
          <w:szCs w:val="21"/>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4A65D21B">
      <w:pPr>
        <w:pStyle w:val="14"/>
        <w:spacing w:after="0" w:line="360" w:lineRule="exact"/>
        <w:ind w:firstLine="420" w:firstLineChars="200"/>
        <w:rPr>
          <w:rFonts w:ascii="宋体" w:hAnsi="宋体"/>
          <w:color w:val="auto"/>
          <w:szCs w:val="21"/>
          <w:highlight w:val="none"/>
        </w:rPr>
      </w:pPr>
      <w:r>
        <w:rPr>
          <w:rFonts w:hint="eastAsia" w:ascii="宋体" w:hAnsi="宋体"/>
          <w:color w:val="auto"/>
          <w:szCs w:val="21"/>
          <w:highlight w:val="none"/>
        </w:rPr>
        <w:t>八、本规定由工业和信息化部、国家统计局会同有关部门根据《国民经济行业分类》修订情况和企业发展变化情况适时修订。</w:t>
      </w:r>
    </w:p>
    <w:p w14:paraId="71E7DE83">
      <w:pPr>
        <w:pStyle w:val="14"/>
        <w:spacing w:after="0" w:line="360" w:lineRule="exact"/>
        <w:ind w:firstLine="420" w:firstLineChars="200"/>
        <w:rPr>
          <w:rFonts w:ascii="宋体" w:hAnsi="宋体"/>
          <w:color w:val="auto"/>
          <w:szCs w:val="21"/>
          <w:highlight w:val="none"/>
        </w:rPr>
      </w:pPr>
      <w:r>
        <w:rPr>
          <w:rFonts w:hint="eastAsia" w:ascii="宋体" w:hAnsi="宋体"/>
          <w:color w:val="auto"/>
          <w:szCs w:val="21"/>
          <w:highlight w:val="none"/>
        </w:rPr>
        <w:t>九、本规定由工业和信息化部、国家统计局会同有关部门负责解释。</w:t>
      </w:r>
    </w:p>
    <w:p w14:paraId="2940A28C">
      <w:pPr>
        <w:pStyle w:val="14"/>
        <w:spacing w:after="0" w:line="360" w:lineRule="exact"/>
        <w:ind w:firstLine="420" w:firstLineChars="200"/>
        <w:rPr>
          <w:color w:val="auto"/>
          <w:szCs w:val="21"/>
          <w:highlight w:val="none"/>
        </w:rPr>
      </w:pPr>
      <w:r>
        <w:rPr>
          <w:rFonts w:hint="eastAsia" w:ascii="宋体" w:hAnsi="宋体"/>
          <w:color w:val="auto"/>
          <w:szCs w:val="21"/>
          <w:highlight w:val="none"/>
        </w:rPr>
        <w:t>十、本规定自发布之日起执行，原国家经贸委、原国家计委、财政部和国家统计局</w:t>
      </w:r>
      <w:r>
        <w:rPr>
          <w:rFonts w:ascii="宋体" w:hAnsi="宋体"/>
          <w:color w:val="auto"/>
          <w:szCs w:val="21"/>
          <w:highlight w:val="none"/>
        </w:rPr>
        <w:t>2003</w:t>
      </w:r>
      <w:r>
        <w:rPr>
          <w:rFonts w:hint="eastAsia" w:ascii="宋体" w:hAnsi="宋体"/>
          <w:color w:val="auto"/>
          <w:szCs w:val="21"/>
          <w:highlight w:val="none"/>
        </w:rPr>
        <w:t>年颁布的《中小企业标准暂行规定》同时废止。</w:t>
      </w:r>
    </w:p>
    <w:p w14:paraId="5A8E9222">
      <w:pPr>
        <w:tabs>
          <w:tab w:val="left" w:pos="180"/>
          <w:tab w:val="left" w:pos="1620"/>
        </w:tabs>
        <w:spacing w:line="360" w:lineRule="auto"/>
        <w:ind w:firstLine="422" w:firstLineChars="200"/>
        <w:rPr>
          <w:rFonts w:ascii="宋体" w:hAnsi="宋体" w:cs="宋体"/>
          <w:b/>
          <w:bCs/>
          <w:color w:val="auto"/>
          <w:szCs w:val="21"/>
          <w:highlight w:val="none"/>
        </w:rPr>
      </w:pPr>
    </w:p>
    <w:p w14:paraId="21A779D0">
      <w:pPr>
        <w:pStyle w:val="2"/>
        <w:jc w:val="center"/>
        <w:rPr>
          <w:color w:val="auto"/>
          <w:highlight w:val="none"/>
        </w:rPr>
      </w:pPr>
      <w:r>
        <w:rPr>
          <w:color w:val="auto"/>
          <w:highlight w:val="none"/>
        </w:rPr>
        <w:br w:type="page"/>
      </w:r>
      <w:bookmarkStart w:id="70" w:name="_Toc182816500"/>
      <w:r>
        <w:rPr>
          <w:rFonts w:hint="eastAsia"/>
          <w:color w:val="auto"/>
          <w:highlight w:val="none"/>
        </w:rPr>
        <w:t>第四章 评审程序、评审方法和评审标准</w:t>
      </w:r>
      <w:bookmarkEnd w:id="70"/>
    </w:p>
    <w:p w14:paraId="10D7B668">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一、评审程序和评审方法</w:t>
      </w:r>
    </w:p>
    <w:p w14:paraId="7A84B466">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.资格审查</w:t>
      </w:r>
    </w:p>
    <w:p w14:paraId="3F934C9B">
      <w:pPr>
        <w:snapToGrid w:val="0"/>
        <w:spacing w:line="360" w:lineRule="auto"/>
        <w:ind w:firstLine="420" w:firstLineChars="200"/>
        <w:rPr>
          <w:rFonts w:ascii="宋体" w:hAnsi="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hint="eastAsia" w:ascii="宋体" w:hAnsi="宋体"/>
          <w:color w:val="auto"/>
          <w:szCs w:val="21"/>
          <w:highlight w:val="none"/>
        </w:rPr>
        <w:t>响应文件开启后，磋商小组依法对供应商的资格证明文件进行审查。</w:t>
      </w:r>
    </w:p>
    <w:p w14:paraId="4131C9B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w:t>
      </w:r>
      <w:r>
        <w:rPr>
          <w:rFonts w:hint="eastAsia"/>
          <w:color w:val="auto"/>
          <w:highlight w:val="none"/>
        </w:rPr>
        <w:t>磋商小组</w:t>
      </w:r>
      <w:r>
        <w:rPr>
          <w:rFonts w:hint="eastAsia" w:ascii="宋体" w:hAnsi="宋体" w:cs="宋体"/>
          <w:color w:val="auto"/>
          <w:szCs w:val="21"/>
          <w:highlight w:val="none"/>
        </w:rPr>
        <w:t>在资格审查结束前，对供应商进行信用查询。</w:t>
      </w:r>
    </w:p>
    <w:p w14:paraId="097FC34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（1）查询渠道： “信用中国”网站（www.creditchina.gov.cn）、中国政府采购网（www.ccgp.gov.cn）。</w:t>
      </w:r>
    </w:p>
    <w:p w14:paraId="5B24C97D">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1B03EBF5">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（3）查询记录和证据留存方式：在查询网站中直接查询，截图另存为电子文档作为评审资料保存。</w:t>
      </w:r>
    </w:p>
    <w:p w14:paraId="149E7885">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color w:val="auto"/>
          <w:szCs w:val="21"/>
          <w:highlight w:val="none"/>
        </w:rPr>
        <w:t>。</w:t>
      </w:r>
    </w:p>
    <w:p w14:paraId="5B0B43A9">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.2资格审查标准为本磋商文件中载明对供应商资格要求的条件。资格审查采用合格制，凡符合磋商文件规定的供应商资格要求的响应文件均通过资格审查。</w:t>
      </w:r>
    </w:p>
    <w:p w14:paraId="769ADAEB">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.3供应商有下列情形之一的，资格审查不通过，其响应文件按无效响应处理：</w:t>
      </w:r>
    </w:p>
    <w:p w14:paraId="7C091F4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）不具备磋商文件中规定的资格要求的；</w:t>
      </w:r>
    </w:p>
    <w:p w14:paraId="4BB2A28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（2）未按磋商文件规定的方式获取本磋商文件的供应商；</w:t>
      </w:r>
    </w:p>
    <w:p w14:paraId="460DC5C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）响应文件的资格证明文件缺少任一项“供应商须知前附表”资格证明文件规定的“必须提供”的文件资料的；</w:t>
      </w:r>
    </w:p>
    <w:p w14:paraId="7A3CCDC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）响应文件中的资格证明文件出现任一项不符合“供应商须知前附表”资格证明文件规定的“必须提供”的文件资料要求或者无效的；</w:t>
      </w:r>
    </w:p>
    <w:p w14:paraId="18B7124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）同一合同项下的不同供应商，单位负责人为同一人或者存在直接控股、管理关系的；为本项目提供过整体设计、规范编制或者项目管理、监理、检测等服务的供应商，再参加该采购项目的其他采购活动的。</w:t>
      </w:r>
    </w:p>
    <w:p w14:paraId="3096570D">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.4通过资格审查的合格供应商不足3家的，不得进入符合性审查环节，</w:t>
      </w:r>
      <w:r>
        <w:rPr>
          <w:rFonts w:hint="eastAsia" w:ascii="宋体" w:hAnsi="宋体"/>
          <w:color w:val="auto"/>
          <w:szCs w:val="21"/>
          <w:highlight w:val="none"/>
        </w:rPr>
        <w:t>采购人或者采购代理机构应当重新开展采购活动。</w:t>
      </w:r>
    </w:p>
    <w:p w14:paraId="2E854E5A">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.符合性审查</w:t>
      </w:r>
    </w:p>
    <w:p w14:paraId="4F0A9E3D">
      <w:pPr>
        <w:spacing w:line="360" w:lineRule="auto"/>
        <w:ind w:firstLine="420" w:firstLineChars="200"/>
        <w:rPr>
          <w:rFonts w:ascii="宋体" w:hAnsi="宋体" w:cs="宋体"/>
          <w:color w:val="auto"/>
          <w:szCs w:val="21"/>
          <w:highlight w:val="none"/>
        </w:rPr>
      </w:pPr>
      <w:bookmarkStart w:id="71" w:name="_Hlk42528882"/>
      <w:r>
        <w:rPr>
          <w:rFonts w:ascii="宋体" w:hAnsi="宋体" w:cs="宋体"/>
          <w:color w:val="auto"/>
          <w:szCs w:val="21"/>
          <w:highlight w:val="none"/>
        </w:rPr>
        <w:t>2.1</w:t>
      </w:r>
      <w:r>
        <w:rPr>
          <w:rFonts w:hint="eastAsia" w:ascii="宋体" w:hAnsi="宋体" w:cs="宋体"/>
          <w:color w:val="auto"/>
          <w:szCs w:val="21"/>
          <w:highlight w:val="none"/>
        </w:rPr>
        <w:t>由磋商小组对</w:t>
      </w:r>
      <w:r>
        <w:rPr>
          <w:rFonts w:hint="eastAsia" w:ascii="宋体" w:hAnsi="宋体"/>
          <w:color w:val="auto"/>
          <w:szCs w:val="21"/>
          <w:highlight w:val="none"/>
        </w:rPr>
        <w:t>通过资格审查的合格供应商</w:t>
      </w:r>
      <w:r>
        <w:rPr>
          <w:rFonts w:hint="eastAsia" w:ascii="宋体" w:hAnsi="宋体" w:cs="宋体"/>
          <w:color w:val="auto"/>
          <w:szCs w:val="21"/>
          <w:highlight w:val="none"/>
        </w:rPr>
        <w:t>的响应文件的竞标报价、商务、技术等实质性要求进行符合性审查，以确定其是否满足磋商文件的实质性要求。</w:t>
      </w:r>
    </w:p>
    <w:bookmarkEnd w:id="71"/>
    <w:p w14:paraId="61D55CF7">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2.2</w:t>
      </w:r>
      <w:r>
        <w:rPr>
          <w:rFonts w:hint="eastAsia" w:ascii="宋体" w:hAnsi="宋体" w:cs="宋体"/>
          <w:color w:val="auto"/>
          <w:szCs w:val="21"/>
          <w:highlight w:val="none"/>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6B8A470">
      <w:pPr>
        <w:spacing w:line="360" w:lineRule="auto"/>
        <w:ind w:firstLine="420" w:firstLineChars="200"/>
        <w:rPr>
          <w:rFonts w:ascii="宋体" w:hAnsi="宋体" w:cs="宋体"/>
          <w:color w:val="auto"/>
          <w:spacing w:val="-6"/>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hAnsi="宋体"/>
          <w:color w:val="auto"/>
          <w:highlight w:val="none"/>
        </w:rPr>
        <w:t>签章</w:t>
      </w:r>
      <w:r>
        <w:rPr>
          <w:rFonts w:hint="eastAsia" w:ascii="宋体" w:hAnsi="宋体" w:cs="宋体"/>
          <w:color w:val="auto"/>
          <w:spacing w:val="-6"/>
          <w:szCs w:val="21"/>
          <w:highlight w:val="none"/>
        </w:rPr>
        <w:t>。</w:t>
      </w:r>
    </w:p>
    <w:p w14:paraId="7B8D4EB5">
      <w:pPr>
        <w:spacing w:line="360" w:lineRule="auto"/>
        <w:ind w:firstLine="420" w:firstLineChars="200"/>
        <w:rPr>
          <w:rFonts w:ascii="宋体" w:hAnsi="宋体" w:cs="宋体"/>
          <w:color w:val="auto"/>
          <w:spacing w:val="-6"/>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10EE3FB7">
      <w:pPr>
        <w:spacing w:line="360" w:lineRule="auto"/>
        <w:ind w:firstLine="396" w:firstLineChars="200"/>
        <w:rPr>
          <w:rFonts w:ascii="宋体" w:hAnsi="宋体" w:cs="宋体"/>
          <w:color w:val="auto"/>
          <w:szCs w:val="21"/>
          <w:highlight w:val="none"/>
        </w:rPr>
      </w:pPr>
      <w:r>
        <w:rPr>
          <w:rFonts w:ascii="宋体" w:hAnsi="宋体" w:cs="宋体"/>
          <w:color w:val="auto"/>
          <w:spacing w:val="-6"/>
          <w:szCs w:val="21"/>
          <w:highlight w:val="none"/>
        </w:rPr>
        <w:t>2.4</w:t>
      </w:r>
      <w:r>
        <w:rPr>
          <w:rFonts w:hint="eastAsia" w:ascii="宋体" w:hAnsi="宋体" w:cs="宋体"/>
          <w:color w:val="auto"/>
          <w:szCs w:val="21"/>
          <w:highlight w:val="none"/>
        </w:rPr>
        <w:t xml:space="preserve">首次响应文件报价出现前后不一致的，按照下列规定修正： </w:t>
      </w:r>
    </w:p>
    <w:p w14:paraId="6D4B15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4D70973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1F60938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038D29E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548F423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1639494A">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商务技术报价评审</w:t>
      </w:r>
    </w:p>
    <w:p w14:paraId="01D3022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5A281B5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29D51CE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14:paraId="3A4CED6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2）委托代理人未能出具有效身份证或者出具的身份证与授权委托书中的信息不符的； </w:t>
      </w:r>
    </w:p>
    <w:p w14:paraId="1B686C9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3）提交的磋商保证金无效的或者未按照磋商文件的规定提交磋商保证金；</w:t>
      </w:r>
    </w:p>
    <w:p w14:paraId="2A01A70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51BD7F6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5）商务、技术要求允许负偏离的条款数超过“供应商须知前附表”规定项数的；</w:t>
      </w:r>
    </w:p>
    <w:p w14:paraId="4767BAF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6）未对竞标有效期作出响应或者响应文件承诺的竞标有效期不满足磋商文件要求；</w:t>
      </w:r>
    </w:p>
    <w:p w14:paraId="059A778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7）响应文件的实质性内容未使用中文表述、使用计量单位不符合磋商文件要求；</w:t>
      </w:r>
    </w:p>
    <w:p w14:paraId="1BAE9CD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8）响应文件中的文件资料因填写不齐全或者内容虚假或者出现其他情形而导致被磋商小组认定无效；</w:t>
      </w:r>
    </w:p>
    <w:p w14:paraId="4826A6B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9）响应文件含有采购人不能接受的附加条件；</w:t>
      </w:r>
    </w:p>
    <w:p w14:paraId="0F7F325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10）属于“供应商须知正文”第7.</w:t>
      </w:r>
      <w:r>
        <w:rPr>
          <w:rFonts w:ascii="宋体" w:hAnsi="宋体" w:cs="宋体"/>
          <w:color w:val="auto"/>
          <w:szCs w:val="21"/>
          <w:highlight w:val="none"/>
        </w:rPr>
        <w:t>5</w:t>
      </w:r>
      <w:r>
        <w:rPr>
          <w:rFonts w:hint="eastAsia" w:ascii="宋体" w:hAnsi="宋体" w:cs="宋体"/>
          <w:color w:val="auto"/>
          <w:szCs w:val="21"/>
          <w:highlight w:val="none"/>
        </w:rPr>
        <w:t>条情形；</w:t>
      </w:r>
    </w:p>
    <w:p w14:paraId="5DCFC7F6">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1）虚假竞标，或者出现其他情形而导致被磋商小组认定无效；</w:t>
      </w:r>
    </w:p>
    <w:p w14:paraId="0C54CF8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w:t>
      </w:r>
      <w:bookmarkStart w:id="72" w:name="_Hlk71704147"/>
      <w:r>
        <w:rPr>
          <w:rFonts w:hint="eastAsia" w:ascii="宋体" w:hAnsi="宋体" w:cs="宋体"/>
          <w:color w:val="auto"/>
          <w:szCs w:val="21"/>
          <w:highlight w:val="none"/>
        </w:rPr>
        <w:t>磋商文件未载明允许提供备选（替代）竞标方案或明确不允许提供备选（替代）竞标方案时，供应商提供了备选（替代）竞标方案的；</w:t>
      </w:r>
      <w:bookmarkEnd w:id="72"/>
    </w:p>
    <w:p w14:paraId="2B6E8D7B">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w:t>
      </w:r>
      <w:r>
        <w:rPr>
          <w:rFonts w:hint="eastAsia" w:ascii="宋体" w:hAnsi="宋体"/>
          <w:color w:val="auto"/>
          <w:szCs w:val="21"/>
          <w:highlight w:val="none"/>
        </w:rPr>
        <w:t>磋商文件明确不允许分包，响应文件拟分包的；</w:t>
      </w:r>
    </w:p>
    <w:p w14:paraId="4626C6BB">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4）未响应磋商文件实质性要求；</w:t>
      </w:r>
    </w:p>
    <w:p w14:paraId="24D26F1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15）法律、法规和磋商文件规定的其他无效情形。</w:t>
      </w:r>
    </w:p>
    <w:p w14:paraId="75DBDF3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）报价评审</w:t>
      </w:r>
    </w:p>
    <w:p w14:paraId="4DDD8C8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 xml:space="preserve"> </w:t>
      </w:r>
      <w:r>
        <w:rPr>
          <w:rFonts w:hint="eastAsia" w:ascii="宋体" w:hAnsi="宋体" w:cs="宋体"/>
          <w:color w:val="auto"/>
          <w:szCs w:val="21"/>
          <w:highlight w:val="none"/>
        </w:rPr>
        <w:t>响应文件未提供“供应商须知前附表” 报价文件中规定的“竞标报价表”；</w:t>
      </w:r>
    </w:p>
    <w:p w14:paraId="21FCD47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4F0A492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未就所竞标的进行报价或者存在漏项报价；供应商未就所竞标的单项内容作唯一报价；供应商未就所竞标的全部内容作完整唯一总价报价；供应商响应文件中存在有选择、有条件报价的（磋商文件允许有备选方案或者其他约定的除外）；</w:t>
      </w:r>
    </w:p>
    <w:p w14:paraId="74911BE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4）竞标报价（包含首次报价、最后报价）超过所竞标标的规定的采购预算金额或者最高限价（如本项目公布了最高限价）的；</w:t>
      </w:r>
      <w:bookmarkStart w:id="73" w:name="_Hlk42596405"/>
      <w:r>
        <w:rPr>
          <w:rFonts w:hint="eastAsia" w:ascii="宋体" w:hAnsi="宋体" w:cs="宋体"/>
          <w:color w:val="auto"/>
          <w:szCs w:val="21"/>
          <w:highlight w:val="none"/>
        </w:rPr>
        <w:t>分项竞标报价（包含首次报价、最后报价）</w:t>
      </w:r>
      <w:bookmarkEnd w:id="73"/>
      <w:bookmarkStart w:id="74" w:name="_Hlk42596276"/>
      <w:r>
        <w:rPr>
          <w:rFonts w:hint="eastAsia" w:ascii="宋体" w:hAnsi="宋体" w:cs="宋体"/>
          <w:color w:val="auto"/>
          <w:szCs w:val="21"/>
          <w:highlight w:val="none"/>
        </w:rPr>
        <w:t>超过磋商文件分项采购预算金额或者</w:t>
      </w:r>
      <w:bookmarkEnd w:id="74"/>
      <w:r>
        <w:rPr>
          <w:rFonts w:hint="eastAsia" w:ascii="宋体" w:hAnsi="宋体" w:cs="宋体"/>
          <w:color w:val="auto"/>
          <w:szCs w:val="21"/>
          <w:highlight w:val="none"/>
        </w:rPr>
        <w:t>最高限价（如本项目公布了最高限价）的；</w:t>
      </w:r>
    </w:p>
    <w:p w14:paraId="7CBF5AC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竞标报价（包含首次报价、最后报价）超过所竞标标的规定的采购预算金额或者最高限价（如本项目公布了最高限价）的；或者经供应商确认修正后分项竞标报价（包含首次报价、最后报价）超过磋商文件分项采购预算金额或者最高限价（如本项目公布了最高限价）的。</w:t>
      </w:r>
    </w:p>
    <w:p w14:paraId="7AED726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olor w:val="auto"/>
          <w:szCs w:val="21"/>
          <w:highlight w:val="none"/>
        </w:rPr>
        <w:t>响应文件响应的标的数量及单位与竞争性磋商采购文件要求实质性不一致的。</w:t>
      </w:r>
    </w:p>
    <w:p w14:paraId="7BFE7D96">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2.6</w:t>
      </w:r>
      <w:r>
        <w:rPr>
          <w:rFonts w:hint="eastAsia" w:ascii="宋体" w:hAnsi="宋体" w:cs="宋体"/>
          <w:color w:val="auto"/>
          <w:szCs w:val="21"/>
          <w:highlight w:val="none"/>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277DE0DF">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2.7</w:t>
      </w:r>
      <w:r>
        <w:rPr>
          <w:rFonts w:hint="eastAsia" w:ascii="宋体" w:hAnsi="宋体"/>
          <w:color w:val="auto"/>
          <w:szCs w:val="21"/>
          <w:highlight w:val="none"/>
        </w:rPr>
        <w:t>通过符合性审查的合格供应商不足3家的，不得进入磋商环节，采购人或者采购代理机构应当重新开展采购活动。</w:t>
      </w:r>
    </w:p>
    <w:p w14:paraId="520DA408">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.磋商程序</w:t>
      </w:r>
    </w:p>
    <w:p w14:paraId="022C22A9">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w:t>
      </w:r>
      <w:r>
        <w:rPr>
          <w:rFonts w:ascii="宋体" w:hAnsi="宋体" w:cs="宋体"/>
          <w:color w:val="auto"/>
          <w:kern w:val="0"/>
          <w:szCs w:val="21"/>
          <w:highlight w:val="none"/>
        </w:rPr>
        <w:t>.1</w:t>
      </w:r>
      <w:r>
        <w:rPr>
          <w:rFonts w:hint="eastAsia" w:ascii="宋体" w:hAnsi="宋体" w:cs="宋体"/>
          <w:color w:val="auto"/>
          <w:kern w:val="0"/>
          <w:szCs w:val="21"/>
          <w:highlight w:val="none"/>
        </w:rPr>
        <w:t>磋商小组</w:t>
      </w:r>
      <w:r>
        <w:rPr>
          <w:rFonts w:hint="eastAsia" w:ascii="宋体" w:hAnsi="宋体" w:cs="宋体"/>
          <w:color w:val="auto"/>
          <w:szCs w:val="21"/>
          <w:highlight w:val="none"/>
        </w:rPr>
        <w:t>集中与单一供应商分别进行磋商，并给予所有参加磋商的供应商平等的磋商机会。符合磋商资格的供应商必须在接到磋商通知后</w:t>
      </w:r>
      <w:r>
        <w:rPr>
          <w:color w:val="auto"/>
          <w:highlight w:val="none"/>
        </w:rPr>
        <w:t>在规定时间内在广西政府采购云平台上参加</w:t>
      </w:r>
      <w:r>
        <w:rPr>
          <w:rFonts w:hint="eastAsia"/>
          <w:color w:val="auto"/>
          <w:highlight w:val="none"/>
        </w:rPr>
        <w:t>磋商</w:t>
      </w:r>
      <w:r>
        <w:rPr>
          <w:rFonts w:hint="eastAsia" w:ascii="宋体" w:hAnsi="宋体" w:cs="宋体"/>
          <w:color w:val="auto"/>
          <w:szCs w:val="21"/>
          <w:highlight w:val="none"/>
        </w:rPr>
        <w:t>，未在规定时间内参加磋商的视同放弃参加磋商权利，其响应文件按无效响应处理。</w:t>
      </w:r>
    </w:p>
    <w:p w14:paraId="2D73EF51">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06143FB4">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3.3</w:t>
      </w:r>
      <w:r>
        <w:rPr>
          <w:rFonts w:hint="eastAsia" w:ascii="宋体" w:hAnsi="宋体" w:cs="宋体"/>
          <w:color w:val="auto"/>
          <w:szCs w:val="21"/>
          <w:highlight w:val="none"/>
        </w:rPr>
        <w:t>对磋商文件作出的实质性变动是磋商文件的有效组成部分，由磋商小组及时以电子澄清函形式同时通知所有参加磋商的供应商。</w:t>
      </w:r>
    </w:p>
    <w:p w14:paraId="48B05BA7">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3.4</w:t>
      </w:r>
      <w:r>
        <w:rPr>
          <w:rFonts w:hint="eastAsia" w:ascii="宋体" w:hAnsi="宋体" w:cs="宋体"/>
          <w:color w:val="auto"/>
          <w:szCs w:val="21"/>
          <w:highlight w:val="none"/>
        </w:rPr>
        <w:t>供应商必须按照磋商文件的变动情况和磋商小组的要求以回函的形式重新提交响应文件，并加盖电子签章。参加磋商的供应商未在规定时间内重新提交响应文件的，视同退出磋商，其响应文件按无效处理。</w:t>
      </w:r>
    </w:p>
    <w:p w14:paraId="39F37459">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3.5</w:t>
      </w:r>
      <w:r>
        <w:rPr>
          <w:rFonts w:hint="eastAsia" w:ascii="宋体" w:hAnsi="宋体" w:cs="宋体"/>
          <w:color w:val="auto"/>
          <w:szCs w:val="21"/>
          <w:highlight w:val="none"/>
        </w:rPr>
        <w:t>磋商中，</w:t>
      </w:r>
      <w:r>
        <w:rPr>
          <w:rFonts w:hint="eastAsia" w:ascii="宋体" w:hAnsi="宋体" w:cs="宋体"/>
          <w:color w:val="auto"/>
          <w:spacing w:val="-6"/>
          <w:szCs w:val="21"/>
          <w:highlight w:val="none"/>
        </w:rPr>
        <w:t>磋商的任何一方不得透露与磋商有关的其他供应商的技术资料、价格和其他信息。</w:t>
      </w:r>
    </w:p>
    <w:p w14:paraId="46D7A659">
      <w:pPr>
        <w:widowControl/>
        <w:tabs>
          <w:tab w:val="left" w:pos="540"/>
        </w:tabs>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3.6</w:t>
      </w:r>
      <w:r>
        <w:rPr>
          <w:rFonts w:hint="eastAsia" w:ascii="宋体" w:hAnsi="宋体" w:cs="宋体"/>
          <w:color w:val="auto"/>
          <w:szCs w:val="21"/>
          <w:highlight w:val="none"/>
        </w:rPr>
        <w:t>采购代理机构对磋商过程和重要磋商内容进行记录。</w:t>
      </w:r>
    </w:p>
    <w:p w14:paraId="3A940386">
      <w:pPr>
        <w:tabs>
          <w:tab w:val="left" w:pos="2835"/>
        </w:tabs>
        <w:spacing w:line="360" w:lineRule="auto"/>
        <w:ind w:firstLine="420" w:firstLineChars="200"/>
        <w:rPr>
          <w:color w:val="auto"/>
          <w:highlight w:val="none"/>
        </w:rPr>
      </w:pPr>
      <w:r>
        <w:rPr>
          <w:rFonts w:hint="eastAsia" w:ascii="宋体" w:hAnsi="宋体" w:cs="宋体"/>
          <w:color w:val="auto"/>
          <w:szCs w:val="21"/>
          <w:highlight w:val="none"/>
        </w:rPr>
        <w:t>3</w:t>
      </w:r>
      <w:r>
        <w:rPr>
          <w:rFonts w:ascii="宋体" w:hAnsi="宋体" w:cs="宋体"/>
          <w:color w:val="auto"/>
          <w:szCs w:val="21"/>
          <w:highlight w:val="none"/>
        </w:rPr>
        <w:t>.7</w:t>
      </w:r>
      <w:r>
        <w:rPr>
          <w:rFonts w:ascii="宋体" w:hAnsi="宋体"/>
          <w:color w:val="auto"/>
          <w:highlight w:val="none"/>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w:t>
      </w:r>
      <w:r>
        <w:rPr>
          <w:color w:val="auto"/>
          <w:highlight w:val="none"/>
        </w:rPr>
        <w:t>符合要求的供应商（社会资本）只有1家的，采购人（项目实施机构）或者采购代理机构应当终止竞争性磋商采购活动，发布项目终止公告并说明原因，重新开展采购活动。</w:t>
      </w:r>
    </w:p>
    <w:p w14:paraId="7E93C1B1">
      <w:pPr>
        <w:tabs>
          <w:tab w:val="left" w:pos="2835"/>
        </w:tabs>
        <w:spacing w:line="360" w:lineRule="auto"/>
        <w:ind w:firstLine="420" w:firstLineChars="200"/>
        <w:rPr>
          <w:rFonts w:ascii="宋体" w:hAnsi="宋体" w:cs="宋体"/>
          <w:color w:val="auto"/>
          <w:szCs w:val="21"/>
          <w:highlight w:val="none"/>
        </w:rPr>
      </w:pPr>
      <w:r>
        <w:rPr>
          <w:rFonts w:ascii="宋体" w:hAnsi="宋体"/>
          <w:color w:val="auto"/>
          <w:highlight w:val="none"/>
        </w:rPr>
        <w:t>3.8除本章第3.7</w:t>
      </w:r>
      <w:r>
        <w:rPr>
          <w:color w:val="auto"/>
          <w:highlight w:val="none"/>
        </w:rPr>
        <w:t>条情形</w:t>
      </w:r>
      <w:r>
        <w:rPr>
          <w:rFonts w:hint="eastAsia"/>
          <w:color w:val="auto"/>
          <w:highlight w:val="none"/>
        </w:rPr>
        <w:t>外，</w:t>
      </w:r>
      <w:r>
        <w:rPr>
          <w:rFonts w:hint="eastAsia" w:ascii="宋体" w:hAnsi="宋体"/>
          <w:color w:val="auto"/>
          <w:szCs w:val="21"/>
          <w:highlight w:val="none"/>
        </w:rPr>
        <w:t>对磋商过程提交的响应文件进行有效性、完整性和响应程度审查，通过审查的合格供应商不足3家的，采购人或者采购代理机构应当重新开展采购活动。</w:t>
      </w:r>
    </w:p>
    <w:p w14:paraId="4C4EA32D">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4.</w:t>
      </w:r>
      <w:r>
        <w:rPr>
          <w:rFonts w:hint="eastAsia" w:ascii="黑体" w:hAnsi="黑体" w:eastAsia="黑体" w:cs="宋体"/>
          <w:b/>
          <w:bCs/>
          <w:color w:val="auto"/>
          <w:sz w:val="24"/>
          <w:highlight w:val="none"/>
        </w:rPr>
        <w:t>最后报价</w:t>
      </w:r>
    </w:p>
    <w:p w14:paraId="67604A9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磋商文件能够详细列明采购标的的技术、服务要求的，磋商结束后，磋商小组应当要求所有继续参加磋商的供应商在规定时间内在广西政府采购云平台开标大厅提交最后报价，除本章第</w:t>
      </w:r>
      <w:r>
        <w:rPr>
          <w:rFonts w:ascii="宋体" w:hAnsi="宋体" w:cs="宋体"/>
          <w:color w:val="auto"/>
          <w:szCs w:val="21"/>
          <w:highlight w:val="none"/>
        </w:rPr>
        <w:t>4.3</w:t>
      </w:r>
      <w:r>
        <w:rPr>
          <w:rFonts w:hint="eastAsia" w:ascii="宋体" w:hAnsi="宋体" w:cs="宋体"/>
          <w:color w:val="auto"/>
          <w:szCs w:val="21"/>
          <w:highlight w:val="none"/>
        </w:rPr>
        <w:t>条外，提交最后报价的供应商不得少于3家，否则必须重新采购。</w:t>
      </w:r>
    </w:p>
    <w:p w14:paraId="62966DD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开标大厅提交最后报价。</w:t>
      </w:r>
    </w:p>
    <w:p w14:paraId="5132C269">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 xml:space="preserve"> 最后报价是供应商响应文件的有效组成部分。符合《政府采购竞争性磋商采购方式管理暂行办法》（财库〔2014〕214号）第三条第四项“市场竞争不充分的科研项目，以及需要扶持的科技成果转化项目”和</w:t>
      </w:r>
      <w:r>
        <w:rPr>
          <w:color w:val="auto"/>
          <w:highlight w:val="none"/>
        </w:rPr>
        <w:t>本</w:t>
      </w:r>
      <w:r>
        <w:rPr>
          <w:rFonts w:ascii="宋体" w:hAnsi="宋体" w:cs="宋体"/>
          <w:color w:val="auto"/>
          <w:szCs w:val="21"/>
          <w:highlight w:val="none"/>
        </w:rPr>
        <w:t>章第3.7条情</w:t>
      </w:r>
      <w:r>
        <w:rPr>
          <w:color w:val="auto"/>
          <w:highlight w:val="none"/>
        </w:rPr>
        <w:t>形的，</w:t>
      </w:r>
      <w:r>
        <w:rPr>
          <w:rFonts w:hint="eastAsia" w:ascii="宋体" w:hAnsi="宋体" w:cs="宋体"/>
          <w:color w:val="auto"/>
          <w:szCs w:val="21"/>
          <w:highlight w:val="none"/>
        </w:rPr>
        <w:t>提交最后报价的供应商可以为2家。</w:t>
      </w:r>
    </w:p>
    <w:p w14:paraId="78251DC6">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已经提交响应文件的供应商，在提交最后报价之前，可以根据磋商情况退出磋商，退出磋商的供应商的响应文件按无效响应处理。采购人、采购代理机构将退还退出磋商的供应商的保证金。</w:t>
      </w:r>
    </w:p>
    <w:p w14:paraId="3F5A6B38">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供应商未在规定时间内提交最后报价的，视同退出磋商，其响应文件按无效处理。</w:t>
      </w:r>
    </w:p>
    <w:p w14:paraId="420257C4">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4.6</w:t>
      </w:r>
      <w:r>
        <w:rPr>
          <w:rFonts w:hint="eastAsia" w:ascii="宋体" w:hAnsi="宋体" w:cs="宋体"/>
          <w:color w:val="auto"/>
          <w:szCs w:val="21"/>
          <w:highlight w:val="none"/>
        </w:rPr>
        <w:t>最后报价统一开启后，磋商小组对最后报价进行有效性、完整性和响应程度的审查。</w:t>
      </w:r>
    </w:p>
    <w:p w14:paraId="4A340F06">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4.7</w:t>
      </w:r>
      <w:r>
        <w:rPr>
          <w:rFonts w:hint="eastAsia" w:ascii="宋体" w:hAnsi="宋体" w:cs="宋体"/>
          <w:color w:val="auto"/>
          <w:szCs w:val="21"/>
          <w:highlight w:val="none"/>
        </w:rPr>
        <w:t>最后报价出现前后不一致的，按照本章第</w:t>
      </w:r>
      <w:r>
        <w:rPr>
          <w:rFonts w:ascii="宋体" w:hAnsi="宋体" w:cs="宋体"/>
          <w:color w:val="auto"/>
          <w:szCs w:val="21"/>
          <w:highlight w:val="none"/>
        </w:rPr>
        <w:t>2.4</w:t>
      </w:r>
      <w:r>
        <w:rPr>
          <w:rFonts w:hint="eastAsia" w:ascii="宋体" w:hAnsi="宋体" w:cs="宋体"/>
          <w:color w:val="auto"/>
          <w:szCs w:val="21"/>
          <w:highlight w:val="none"/>
        </w:rPr>
        <w:t xml:space="preserve">条的规定修正。 </w:t>
      </w:r>
    </w:p>
    <w:p w14:paraId="6EE47821">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4.8</w:t>
      </w:r>
      <w:r>
        <w:rPr>
          <w:rFonts w:hint="eastAsia" w:ascii="宋体" w:hAnsi="宋体" w:cs="宋体"/>
          <w:color w:val="auto"/>
          <w:szCs w:val="21"/>
          <w:highlight w:val="none"/>
        </w:rPr>
        <w:t>修正后的报价出现下列情形的，按无效响应处理：</w:t>
      </w:r>
    </w:p>
    <w:p w14:paraId="1CE1FF5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63498D9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（2）经供应商确认修正后的竞标报价（包含首次报价、最后报价）超过所竞标的规定的采购预算金额或者最高限价（如本项目公布了最高限价）的；</w:t>
      </w:r>
    </w:p>
    <w:p w14:paraId="637220A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（3）经供应商确认修正后的分项竞标报价（包含首次报价、最后报价）超过分项采购预算金额或者最高限价（如本项目公布了最高限价）的。</w:t>
      </w:r>
    </w:p>
    <w:p w14:paraId="36A759F9">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4.9</w:t>
      </w:r>
      <w:r>
        <w:rPr>
          <w:rFonts w:hint="eastAsia" w:ascii="宋体" w:hAnsi="宋体" w:cs="宋体"/>
          <w:color w:val="auto"/>
          <w:szCs w:val="21"/>
          <w:highlight w:val="none"/>
        </w:rPr>
        <w:t>经供应商确认修正后的最后报价作为评审及签订合同的依据。</w:t>
      </w:r>
    </w:p>
    <w:p w14:paraId="4925A48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4.10供应商出现最后报价按无效响应处理或者响应文件按无效处理时</w:t>
      </w:r>
      <w:r>
        <w:rPr>
          <w:rFonts w:hint="eastAsia" w:ascii="宋体" w:hAnsi="宋体"/>
          <w:color w:val="auto"/>
          <w:sz w:val="22"/>
          <w:szCs w:val="22"/>
          <w:highlight w:val="none"/>
        </w:rPr>
        <w:t>，磋商小组应当告知有关供应商</w:t>
      </w:r>
      <w:r>
        <w:rPr>
          <w:rFonts w:hint="eastAsia" w:ascii="宋体" w:hAnsi="宋体" w:cs="宋体"/>
          <w:color w:val="auto"/>
          <w:szCs w:val="21"/>
          <w:highlight w:val="none"/>
        </w:rPr>
        <w:t>。</w:t>
      </w:r>
    </w:p>
    <w:p w14:paraId="23F964C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1最后报价结束后，磋商小组不得再与供应商进行任何形式的商谈。</w:t>
      </w:r>
    </w:p>
    <w:p w14:paraId="63C5428C">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5</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比较与评价</w:t>
      </w:r>
    </w:p>
    <w:p w14:paraId="1E78EDE0">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评审方法：综合评分法。</w:t>
      </w:r>
    </w:p>
    <w:p w14:paraId="1D9E93C8">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经磋商确定最终采购需求和提交最后报价的供应商后，由磋商小组采用综合评分法对提交最后报价的供应商的响应文件和最后报价进行综合评分。</w:t>
      </w:r>
    </w:p>
    <w:p w14:paraId="61C7D531">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评审时，磋商小组各成员应当独立对每个有效响应的文件进行评价、打分，然后汇总每个供应商每项评分因素的得分。</w:t>
      </w:r>
    </w:p>
    <w:p w14:paraId="5C0E479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7749FC2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1D9D6587">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5.4</w:t>
      </w:r>
      <w:r>
        <w:rPr>
          <w:rFonts w:hint="eastAsia" w:ascii="宋体" w:hAnsi="宋体" w:cs="宋体"/>
          <w:color w:val="auto"/>
          <w:szCs w:val="21"/>
          <w:highlight w:val="none"/>
        </w:rPr>
        <w:t>如进行政府采购政策性价格扣除时，评审价为供应商的最后报价进行政策性扣除后的价格，评审价只是作为评审时使用。最终成交供应商的成交金额等于最后报价（如有修正，以确认修正后的最后报价为准）。</w:t>
      </w:r>
    </w:p>
    <w:p w14:paraId="6C41F28B">
      <w:pPr>
        <w:spacing w:line="360" w:lineRule="auto"/>
        <w:ind w:firstLine="420" w:firstLineChars="200"/>
        <w:rPr>
          <w:rFonts w:ascii="宋体" w:hAnsi="宋体"/>
          <w:color w:val="auto"/>
          <w:kern w:val="0"/>
          <w:szCs w:val="21"/>
          <w:highlight w:val="none"/>
        </w:rPr>
      </w:pPr>
      <w:r>
        <w:rPr>
          <w:rFonts w:ascii="宋体" w:hAnsi="宋体" w:cs="宋体"/>
          <w:color w:val="auto"/>
          <w:szCs w:val="21"/>
          <w:highlight w:val="none"/>
        </w:rPr>
        <w:t>5.5</w:t>
      </w:r>
      <w:r>
        <w:rPr>
          <w:rFonts w:hint="eastAsia" w:ascii="宋体" w:hAnsi="宋体" w:cs="宋体"/>
          <w:color w:val="auto"/>
          <w:szCs w:val="21"/>
          <w:highlight w:val="none"/>
        </w:rPr>
        <w:t>由磋商小组根据综合评分情况，按照评审得分由高到低顺序推荐3名以上成交候选供应商，并编写评</w:t>
      </w:r>
      <w:r>
        <w:rPr>
          <w:rFonts w:hint="eastAsia" w:ascii="宋体" w:hAnsi="宋体"/>
          <w:color w:val="auto"/>
          <w:kern w:val="0"/>
          <w:szCs w:val="21"/>
          <w:highlight w:val="none"/>
        </w:rPr>
        <w:t>审报告。符合本章第</w:t>
      </w:r>
      <w:r>
        <w:rPr>
          <w:rFonts w:ascii="宋体" w:hAnsi="宋体"/>
          <w:color w:val="auto"/>
          <w:kern w:val="0"/>
          <w:szCs w:val="21"/>
          <w:highlight w:val="none"/>
        </w:rPr>
        <w:t>4.3</w:t>
      </w:r>
      <w:r>
        <w:rPr>
          <w:rFonts w:hint="eastAsia" w:ascii="宋体" w:hAnsi="宋体"/>
          <w:color w:val="auto"/>
          <w:kern w:val="0"/>
          <w:szCs w:val="21"/>
          <w:highlight w:val="none"/>
        </w:rPr>
        <w:t>条情形的，可以推荐2家成交候选供应商。评审得分相同的，按照最后报价由低到高的顺序推荐。评审得分且最后报价相同的，按照技术指标优劣顺序推荐。</w:t>
      </w:r>
    </w:p>
    <w:p w14:paraId="36CE6E6B">
      <w:pPr>
        <w:spacing w:line="360" w:lineRule="auto"/>
        <w:ind w:firstLine="420" w:firstLineChars="200"/>
        <w:rPr>
          <w:rFonts w:ascii="宋体" w:hAnsi="宋体" w:cs="宋体"/>
          <w:color w:val="auto"/>
          <w:szCs w:val="21"/>
          <w:highlight w:val="none"/>
        </w:rPr>
      </w:pPr>
      <w:r>
        <w:rPr>
          <w:rFonts w:ascii="宋体" w:hAnsi="宋体"/>
          <w:color w:val="auto"/>
          <w:kern w:val="0"/>
          <w:szCs w:val="21"/>
          <w:highlight w:val="none"/>
        </w:rPr>
        <w:t>5.6</w:t>
      </w:r>
      <w:r>
        <w:rPr>
          <w:rFonts w:hint="eastAsia" w:ascii="宋体" w:hAnsi="宋体"/>
          <w:color w:val="auto"/>
          <w:kern w:val="0"/>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472DA96">
      <w:pPr>
        <w:spacing w:line="360" w:lineRule="auto"/>
        <w:jc w:val="center"/>
        <w:rPr>
          <w:rFonts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二、评审标准</w:t>
      </w:r>
    </w:p>
    <w:p w14:paraId="5FC8278E">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w:t>
      </w:r>
      <w:r>
        <w:rPr>
          <w:rFonts w:ascii="宋体" w:hAnsi="宋体"/>
          <w:bCs/>
          <w:color w:val="auto"/>
          <w:szCs w:val="21"/>
          <w:highlight w:val="none"/>
        </w:rPr>
        <w:t>.</w:t>
      </w:r>
      <w:r>
        <w:rPr>
          <w:rFonts w:hint="eastAsia" w:ascii="宋体" w:hAnsi="宋体"/>
          <w:bCs/>
          <w:color w:val="auto"/>
          <w:szCs w:val="21"/>
          <w:highlight w:val="none"/>
        </w:rPr>
        <w:t>评审依据：磋商小组将以磋商响应文件为评审依据，对供应商的报价、技术分、项目实施方案、</w:t>
      </w:r>
      <w:r>
        <w:rPr>
          <w:rFonts w:hint="eastAsia" w:ascii="宋体" w:hAnsi="宋体" w:cs="宋体"/>
          <w:color w:val="auto"/>
          <w:szCs w:val="21"/>
          <w:highlight w:val="none"/>
        </w:rPr>
        <w:t>售后服务方案、</w:t>
      </w:r>
      <w:r>
        <w:rPr>
          <w:rFonts w:hint="eastAsia" w:ascii="宋体" w:hAnsi="宋体"/>
          <w:bCs/>
          <w:color w:val="auto"/>
          <w:szCs w:val="21"/>
          <w:highlight w:val="none"/>
        </w:rPr>
        <w:t>履约能力、</w:t>
      </w:r>
      <w:r>
        <w:rPr>
          <w:rFonts w:hint="eastAsia" w:hAnsi="宋体"/>
          <w:bCs/>
          <w:color w:val="auto"/>
          <w:highlight w:val="none"/>
        </w:rPr>
        <w:t>政策功能分（节能、环保）</w:t>
      </w:r>
      <w:r>
        <w:rPr>
          <w:rFonts w:hint="eastAsia" w:ascii="宋体" w:hAnsi="宋体"/>
          <w:bCs/>
          <w:color w:val="auto"/>
          <w:szCs w:val="21"/>
          <w:highlight w:val="none"/>
        </w:rPr>
        <w:t>等方面内容按百分制打分（计分方法按四舍五入取至百分位）。</w:t>
      </w:r>
    </w:p>
    <w:tbl>
      <w:tblPr>
        <w:tblStyle w:val="28"/>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275"/>
        <w:gridCol w:w="1160"/>
        <w:gridCol w:w="5128"/>
        <w:gridCol w:w="851"/>
      </w:tblGrid>
      <w:tr w14:paraId="1DE9B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76" w:type="dxa"/>
            <w:vAlign w:val="center"/>
          </w:tcPr>
          <w:p w14:paraId="235587D6">
            <w:pPr>
              <w:widowControl/>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1275" w:type="dxa"/>
            <w:vAlign w:val="center"/>
          </w:tcPr>
          <w:p w14:paraId="15BDDCBB">
            <w:pPr>
              <w:widowControl/>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6288" w:type="dxa"/>
            <w:gridSpan w:val="2"/>
            <w:vAlign w:val="center"/>
          </w:tcPr>
          <w:p w14:paraId="5C92FE00">
            <w:pPr>
              <w:widowControl/>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评审因素具体内容</w:t>
            </w:r>
          </w:p>
        </w:tc>
        <w:tc>
          <w:tcPr>
            <w:tcW w:w="851" w:type="dxa"/>
            <w:vAlign w:val="center"/>
          </w:tcPr>
          <w:p w14:paraId="5403B951">
            <w:pPr>
              <w:widowControl/>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分值</w:t>
            </w:r>
          </w:p>
        </w:tc>
      </w:tr>
      <w:tr w14:paraId="59098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76" w:type="dxa"/>
            <w:vAlign w:val="center"/>
          </w:tcPr>
          <w:p w14:paraId="0C1B89E3">
            <w:pPr>
              <w:widowControl/>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275" w:type="dxa"/>
            <w:vAlign w:val="center"/>
          </w:tcPr>
          <w:p w14:paraId="499FBED1">
            <w:pPr>
              <w:widowControl/>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价格分</w:t>
            </w:r>
          </w:p>
        </w:tc>
        <w:tc>
          <w:tcPr>
            <w:tcW w:w="6288" w:type="dxa"/>
            <w:gridSpan w:val="2"/>
          </w:tcPr>
          <w:p w14:paraId="2F599C7A">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根据《政府采购促进中小企业发展管理办法》（财库〔2020〕46号）的规定、《广西壮族自治区财政厅关于持续优化政府采购营商环境推动高质量发展的通知》（桂财采〔2024〕55号）的规定，供应商在其响应文件中提供《中小企业声明函》，供应商提供的服务全部由符合政策要求的小微企业承接，对其最后报价给予10%的扣除，扣除后的价格为评标报价，即评标报价=最后报价×（1-10%）；</w:t>
            </w:r>
          </w:p>
          <w:p w14:paraId="70F17CCF">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（2）除上述情况外，评标报价=最后报价。</w:t>
            </w:r>
          </w:p>
          <w:p w14:paraId="365E5AF2">
            <w:pPr>
              <w:pStyle w:val="18"/>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注：评标报价为供应商的最后报价进行政策性扣除后的价格，评标报价只是作为评标时使用。</w:t>
            </w:r>
          </w:p>
          <w:p w14:paraId="04E50C83">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根据《关于政府采购支持监狱企业发展有关问题的通知》（财库[2014]68号）和《关于促进残疾人就业政府采购政策的通知》（财库[2017]141号），监狱企业和符合条件的残疾人福利性单位视同小型、微型企业，享受小型、微型企业评审中价格扣除的政府采购政策。监狱企业和残疾人福利性单位属于小型、微型企业的，不重复享受政策。</w:t>
            </w:r>
          </w:p>
          <w:p w14:paraId="2CD36DA8">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（4）以进入比较与评价环节的最低的最后报价为基准价，基准价得分为20分。</w:t>
            </w:r>
          </w:p>
          <w:p w14:paraId="19422B39">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（5）价格分计算公式：报价得分=（基准价/最后报价）×20分</w:t>
            </w:r>
          </w:p>
        </w:tc>
        <w:tc>
          <w:tcPr>
            <w:tcW w:w="851" w:type="dxa"/>
            <w:vAlign w:val="center"/>
          </w:tcPr>
          <w:p w14:paraId="77E09970">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20分</w:t>
            </w:r>
          </w:p>
        </w:tc>
      </w:tr>
      <w:tr w14:paraId="250EB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76" w:type="dxa"/>
            <w:vAlign w:val="center"/>
          </w:tcPr>
          <w:p w14:paraId="77502462">
            <w:pPr>
              <w:widowControl/>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275" w:type="dxa"/>
            <w:vAlign w:val="center"/>
          </w:tcPr>
          <w:p w14:paraId="0B1B508C">
            <w:pPr>
              <w:widowControl/>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技术分</w:t>
            </w:r>
          </w:p>
        </w:tc>
        <w:tc>
          <w:tcPr>
            <w:tcW w:w="6288" w:type="dxa"/>
            <w:gridSpan w:val="2"/>
          </w:tcPr>
          <w:p w14:paraId="0655D5EF">
            <w:pPr>
              <w:spacing w:line="400" w:lineRule="exact"/>
              <w:jc w:val="left"/>
              <w:rPr>
                <w:rFonts w:hint="eastAsia" w:ascii="宋体" w:hAnsi="宋体" w:eastAsia="宋体" w:cs="宋体"/>
                <w:color w:val="auto"/>
                <w:sz w:val="21"/>
                <w:szCs w:val="21"/>
                <w:highlight w:val="none"/>
              </w:rPr>
            </w:pPr>
            <w:bookmarkStart w:id="114" w:name="_GoBack"/>
            <w:bookmarkEnd w:id="114"/>
            <w:r>
              <w:rPr>
                <w:rFonts w:hint="eastAsia" w:ascii="宋体" w:hAnsi="宋体" w:eastAsia="宋体" w:cs="宋体"/>
                <w:color w:val="auto"/>
                <w:sz w:val="21"/>
                <w:szCs w:val="21"/>
                <w:highlight w:val="none"/>
              </w:rPr>
              <w:t>评委根据竞争性磋商文件要求，对满足竞争性磋商文件全部实质性要求进入详评的各供应商响应文件“技术要求”的响应情况进行独立评审，供应商响应文件中满足竞争性磋商文件全部实质性要求的，得基本分42分，供应商对竞争性磋商文件第三章“采购需求”的“技术要求”中未标注“▲”号的技术要求响应存在负偏离的，按以下情形进行评审：</w:t>
            </w:r>
          </w:p>
          <w:p w14:paraId="0C5BE61C">
            <w:pPr>
              <w:pStyle w:val="18"/>
              <w:spacing w:line="400" w:lineRule="exac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1）对于标注“◆”号项的技术要求，供应商在“技术要求响应表”中的响应为负偏离的或供应商未按竞争性磋商文件第三章“采购需求”要求对涉及标注“◆”号项的技术要求进行系统功能演示的（包含未完整演示相应项的系统功能或所演示的系统功能无法证明符合相应技术要求的，相应技术指标均视为负偏离），每有1项负偏离扣基本分3分，最多扣9分。</w:t>
            </w:r>
          </w:p>
          <w:p w14:paraId="627DB726">
            <w:pPr>
              <w:pStyle w:val="18"/>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于未标注“▲”或“◆”号项的技术要求，供应商在“技术要求响应表”中的响应每有1项负偏离的（涉及要求提供产品技术要求证明材料的技术要求，供应商未按要求提供相应证明材料或证明材料无法证明相应项的技术要求的，相应技术指标均视为负偏离），扣基本分2分，最多扣</w:t>
            </w:r>
            <w:r>
              <w:rPr>
                <w:rFonts w:hint="eastAsia" w:hAnsi="宋体" w:cs="宋体"/>
                <w:color w:val="auto"/>
                <w:sz w:val="21"/>
                <w:szCs w:val="21"/>
                <w:highlight w:val="none"/>
                <w:lang w:val="en-US" w:eastAsia="zh-CN"/>
              </w:rPr>
              <w:t>24</w:t>
            </w:r>
            <w:r>
              <w:rPr>
                <w:rFonts w:hint="eastAsia" w:ascii="宋体" w:hAnsi="宋体" w:eastAsia="宋体" w:cs="宋体"/>
                <w:color w:val="auto"/>
                <w:sz w:val="21"/>
                <w:szCs w:val="21"/>
                <w:highlight w:val="none"/>
              </w:rPr>
              <w:t>分。</w:t>
            </w:r>
          </w:p>
        </w:tc>
        <w:tc>
          <w:tcPr>
            <w:tcW w:w="851" w:type="dxa"/>
            <w:vAlign w:val="center"/>
          </w:tcPr>
          <w:p w14:paraId="51EF068C">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42分</w:t>
            </w:r>
          </w:p>
        </w:tc>
      </w:tr>
      <w:tr w14:paraId="0B045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6" w:type="dxa"/>
            <w:vAlign w:val="center"/>
          </w:tcPr>
          <w:p w14:paraId="59F84909">
            <w:pPr>
              <w:spacing w:line="400" w:lineRule="exact"/>
              <w:ind w:left="-105" w:leftChars="-50" w:right="-105" w:rightChars="-50"/>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w:t>
            </w:r>
          </w:p>
        </w:tc>
        <w:tc>
          <w:tcPr>
            <w:tcW w:w="1275" w:type="dxa"/>
            <w:vAlign w:val="center"/>
          </w:tcPr>
          <w:p w14:paraId="7EC7BF6A">
            <w:pPr>
              <w:spacing w:line="400" w:lineRule="exact"/>
              <w:jc w:val="center"/>
              <w:rPr>
                <w:rFonts w:hint="eastAsia" w:ascii="宋体" w:hAnsi="宋体" w:eastAsia="宋体" w:cs="宋体"/>
                <w:bCs/>
                <w:color w:val="auto"/>
                <w:kern w:val="0"/>
                <w:sz w:val="21"/>
                <w:szCs w:val="21"/>
                <w:highlight w:val="none"/>
              </w:rPr>
            </w:pPr>
            <w:r>
              <w:rPr>
                <w:rFonts w:hint="eastAsia" w:ascii="宋体" w:hAnsi="宋体" w:eastAsia="宋体" w:cs="宋体"/>
                <w:color w:val="auto"/>
                <w:sz w:val="21"/>
                <w:szCs w:val="21"/>
                <w:highlight w:val="none"/>
              </w:rPr>
              <w:t>项目实施方案</w:t>
            </w:r>
            <w:r>
              <w:rPr>
                <w:rFonts w:hint="eastAsia" w:ascii="宋体" w:hAnsi="宋体" w:eastAsia="宋体" w:cs="宋体"/>
                <w:bCs/>
                <w:color w:val="auto"/>
                <w:kern w:val="0"/>
                <w:sz w:val="21"/>
                <w:szCs w:val="21"/>
                <w:highlight w:val="none"/>
              </w:rPr>
              <w:t>分</w:t>
            </w:r>
          </w:p>
        </w:tc>
        <w:tc>
          <w:tcPr>
            <w:tcW w:w="6288" w:type="dxa"/>
            <w:gridSpan w:val="2"/>
            <w:vAlign w:val="center"/>
          </w:tcPr>
          <w:p w14:paraId="4D4CB601">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评委根据供应商提供的项目实施方案（包括但不限于：①项目分析方案；②技术功能方案与架构；③项目实施与管理方案等）内容的合理性、可行性、针对性进行独立评审并按以下规则独立打分：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一档（3分）：项目实施方案包含项目分析方案、技术功能方案与架构、项目实施与管理方案，整体构思含糊不明确，方案重点内容不全或不突出对项目需求分析不全面，缺乏针对性，针对本项目有组织措施及安排。</w:t>
            </w:r>
          </w:p>
          <w:p w14:paraId="588850D9">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6分）：在满足一档的基础上，项目实施方案包含项目分析方案、技术功能方案与架构、项目实施与管理方案，整体构思、项目整体安排明确，符合本项目采购需求。方案对项目需求分析及流程规划合理、可行，组织措施及安排有序、合理、可行，有技术服务保证措施及基本的服务流程，有一定的针对性。</w:t>
            </w:r>
          </w:p>
          <w:p w14:paraId="6528BB7E">
            <w:pPr>
              <w:spacing w:line="400" w:lineRule="exact"/>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三档（9分）：在满足二档的基础上，项目实施方案包含项目分析方案、技术功能方案与架构、项目实施与管理方案，整体构思目标明确、完善，充分满足采购需求，方案对项目需求分析理解深刻、有延展性，流程规划措述及规划合理、可行，充分切合本项目采购需求。有细化的项目进度计划流程；组织管理措施有具体的时间、质量、进度控制及项目组织安排、流程完善、可行且针对性强。</w:t>
            </w:r>
            <w:r>
              <w:rPr>
                <w:rFonts w:hint="eastAsia" w:ascii="宋体" w:hAnsi="宋体" w:eastAsia="宋体" w:cs="宋体"/>
                <w:bCs/>
                <w:color w:val="auto"/>
                <w:sz w:val="21"/>
                <w:szCs w:val="21"/>
                <w:highlight w:val="none"/>
              </w:rPr>
              <w:t xml:space="preserve">                                                                                                                                                                                                                                                                                                                                                                                                                                                                                                      </w:t>
            </w:r>
            <w:r>
              <w:rPr>
                <w:rFonts w:hint="eastAsia" w:ascii="宋体" w:hAnsi="宋体" w:eastAsia="宋体" w:cs="宋体"/>
                <w:b/>
                <w:color w:val="auto"/>
                <w:sz w:val="21"/>
                <w:szCs w:val="21"/>
                <w:highlight w:val="none"/>
              </w:rPr>
              <w:t>备注：供应商响应文件中提供的项目实施方案相应内容未达到相应评审档次全部标准的，相应降低一个档次；未提供项目实施方案相应内容或未达到相应“一档”标准的，均不予计分。</w:t>
            </w:r>
          </w:p>
        </w:tc>
        <w:tc>
          <w:tcPr>
            <w:tcW w:w="851" w:type="dxa"/>
            <w:vAlign w:val="center"/>
          </w:tcPr>
          <w:p w14:paraId="08A256E8">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9分</w:t>
            </w:r>
          </w:p>
        </w:tc>
      </w:tr>
      <w:tr w14:paraId="4C713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6" w:type="dxa"/>
            <w:vAlign w:val="center"/>
          </w:tcPr>
          <w:p w14:paraId="237F502E">
            <w:pPr>
              <w:spacing w:line="400" w:lineRule="exact"/>
              <w:ind w:left="-105" w:leftChars="-50" w:right="-105" w:rightChars="-50"/>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4</w:t>
            </w:r>
          </w:p>
        </w:tc>
        <w:tc>
          <w:tcPr>
            <w:tcW w:w="1275" w:type="dxa"/>
            <w:vAlign w:val="center"/>
          </w:tcPr>
          <w:p w14:paraId="4CA30D3F">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售后服务方案分</w:t>
            </w:r>
          </w:p>
        </w:tc>
        <w:tc>
          <w:tcPr>
            <w:tcW w:w="6288" w:type="dxa"/>
            <w:gridSpan w:val="2"/>
            <w:vAlign w:val="center"/>
          </w:tcPr>
          <w:p w14:paraId="23DEE424">
            <w:pPr>
              <w:spacing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评委根据供应商提供的售后服务方案【包含但不限于：①</w:t>
            </w:r>
            <w:r>
              <w:rPr>
                <w:rFonts w:hint="eastAsia" w:ascii="宋体" w:hAnsi="宋体" w:eastAsia="宋体" w:cs="宋体"/>
                <w:color w:val="auto"/>
                <w:sz w:val="21"/>
                <w:szCs w:val="21"/>
                <w:highlight w:val="none"/>
              </w:rPr>
              <w:t>售后服务内容及措施；</w:t>
            </w:r>
            <w:r>
              <w:rPr>
                <w:rFonts w:hint="eastAsia" w:ascii="宋体" w:hAnsi="宋体" w:eastAsia="宋体" w:cs="宋体"/>
                <w:bCs/>
                <w:color w:val="auto"/>
                <w:sz w:val="21"/>
                <w:szCs w:val="21"/>
                <w:highlight w:val="none"/>
              </w:rPr>
              <w:t>②故障出现解决方案；③定期维护方案；④技术培训方案；⑤维护（保修）期外</w:t>
            </w:r>
            <w:r>
              <w:rPr>
                <w:rFonts w:hint="eastAsia" w:ascii="宋体" w:hAnsi="宋体" w:cs="宋体"/>
                <w:bCs/>
                <w:color w:val="auto"/>
                <w:szCs w:val="21"/>
                <w:highlight w:val="none"/>
                <w:lang w:eastAsia="zh-CN"/>
              </w:rPr>
              <w:t>售后服务</w:t>
            </w:r>
            <w:r>
              <w:rPr>
                <w:rFonts w:hint="eastAsia" w:ascii="宋体" w:hAnsi="宋体" w:eastAsia="宋体" w:cs="宋体"/>
                <w:bCs/>
                <w:color w:val="auto"/>
                <w:sz w:val="21"/>
                <w:szCs w:val="21"/>
                <w:highlight w:val="none"/>
              </w:rPr>
              <w:t>方案等】内容的合理性、可行性、针对性进行独立评审并按以下规则独立打分：</w:t>
            </w:r>
            <w:r>
              <w:rPr>
                <w:rFonts w:hint="eastAsia" w:ascii="宋体" w:hAnsi="宋体" w:eastAsia="宋体" w:cs="宋体"/>
                <w:bCs/>
                <w:color w:val="auto"/>
                <w:sz w:val="21"/>
                <w:szCs w:val="21"/>
                <w:highlight w:val="none"/>
              </w:rPr>
              <w:br w:type="textWrapping"/>
            </w:r>
            <w:r>
              <w:rPr>
                <w:rFonts w:hint="eastAsia" w:ascii="宋体" w:hAnsi="宋体" w:eastAsia="宋体" w:cs="宋体"/>
                <w:bCs/>
                <w:color w:val="auto"/>
                <w:sz w:val="21"/>
                <w:szCs w:val="21"/>
                <w:highlight w:val="none"/>
              </w:rPr>
              <w:t>一档（3分）：</w:t>
            </w:r>
            <w:r>
              <w:rPr>
                <w:rFonts w:hint="eastAsia" w:ascii="宋体" w:hAnsi="宋体" w:eastAsia="宋体" w:cs="宋体"/>
                <w:color w:val="auto"/>
                <w:sz w:val="21"/>
                <w:szCs w:val="21"/>
                <w:highlight w:val="none"/>
              </w:rPr>
              <w:t>提供售后服务内容及措施、</w:t>
            </w:r>
            <w:r>
              <w:rPr>
                <w:rFonts w:hint="eastAsia" w:ascii="宋体" w:hAnsi="宋体" w:eastAsia="宋体" w:cs="宋体"/>
                <w:bCs/>
                <w:color w:val="auto"/>
                <w:sz w:val="21"/>
                <w:szCs w:val="21"/>
                <w:highlight w:val="none"/>
              </w:rPr>
              <w:t>故障出现解决方案、定期维护方案、技术培训方案、维护（保修）期外</w:t>
            </w:r>
            <w:r>
              <w:rPr>
                <w:rFonts w:hint="eastAsia" w:ascii="宋体" w:hAnsi="宋体" w:cs="宋体"/>
                <w:bCs/>
                <w:color w:val="auto"/>
                <w:szCs w:val="21"/>
                <w:highlight w:val="none"/>
                <w:lang w:eastAsia="zh-CN"/>
              </w:rPr>
              <w:t>售后服务</w:t>
            </w:r>
            <w:r>
              <w:rPr>
                <w:rFonts w:hint="eastAsia" w:ascii="宋体" w:hAnsi="宋体" w:eastAsia="宋体" w:cs="宋体"/>
                <w:bCs/>
                <w:color w:val="auto"/>
                <w:sz w:val="21"/>
                <w:szCs w:val="21"/>
                <w:highlight w:val="none"/>
              </w:rPr>
              <w:t>方案</w:t>
            </w:r>
            <w:r>
              <w:rPr>
                <w:rFonts w:hint="eastAsia" w:ascii="宋体" w:hAnsi="宋体" w:eastAsia="宋体" w:cs="宋体"/>
                <w:color w:val="auto"/>
                <w:sz w:val="21"/>
                <w:szCs w:val="21"/>
                <w:highlight w:val="none"/>
              </w:rPr>
              <w:t>，方案缺乏针对性及可行性，基本满足采购需求。</w:t>
            </w:r>
          </w:p>
          <w:p w14:paraId="5FCBBE92">
            <w:pPr>
              <w:spacing w:line="400" w:lineRule="exact"/>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二档（6分）：</w:t>
            </w:r>
            <w:r>
              <w:rPr>
                <w:rFonts w:hint="eastAsia" w:ascii="宋体" w:hAnsi="宋体" w:eastAsia="宋体" w:cs="宋体"/>
                <w:color w:val="auto"/>
                <w:sz w:val="21"/>
                <w:szCs w:val="21"/>
                <w:highlight w:val="none"/>
              </w:rPr>
              <w:t>在满足一档的基础上，提供售后服务内容及措施、</w:t>
            </w:r>
            <w:r>
              <w:rPr>
                <w:rFonts w:hint="eastAsia" w:ascii="宋体" w:hAnsi="宋体" w:eastAsia="宋体" w:cs="宋体"/>
                <w:bCs/>
                <w:color w:val="auto"/>
                <w:sz w:val="21"/>
                <w:szCs w:val="21"/>
                <w:highlight w:val="none"/>
              </w:rPr>
              <w:t>故障出现解决方案、定期维护方案、技术培训方案、维护（保修）期外</w:t>
            </w:r>
            <w:r>
              <w:rPr>
                <w:rFonts w:hint="eastAsia" w:ascii="宋体" w:hAnsi="宋体" w:cs="宋体"/>
                <w:bCs/>
                <w:color w:val="auto"/>
                <w:szCs w:val="21"/>
                <w:highlight w:val="none"/>
                <w:lang w:eastAsia="zh-CN"/>
              </w:rPr>
              <w:t>售后服务</w:t>
            </w:r>
            <w:r>
              <w:rPr>
                <w:rFonts w:hint="eastAsia" w:ascii="宋体" w:hAnsi="宋体" w:eastAsia="宋体" w:cs="宋体"/>
                <w:bCs/>
                <w:color w:val="auto"/>
                <w:sz w:val="21"/>
                <w:szCs w:val="21"/>
                <w:highlight w:val="none"/>
              </w:rPr>
              <w:t>方案、安装方案</w:t>
            </w:r>
            <w:r>
              <w:rPr>
                <w:rFonts w:hint="eastAsia" w:ascii="宋体" w:hAnsi="宋体" w:eastAsia="宋体" w:cs="宋体"/>
                <w:color w:val="auto"/>
                <w:sz w:val="21"/>
                <w:szCs w:val="21"/>
                <w:highlight w:val="none"/>
              </w:rPr>
              <w:t>，方案有一定的针对性及可行性，</w:t>
            </w:r>
            <w:r>
              <w:rPr>
                <w:rFonts w:hint="eastAsia" w:ascii="宋体" w:hAnsi="宋体" w:cs="宋体"/>
                <w:color w:val="auto"/>
                <w:sz w:val="21"/>
                <w:szCs w:val="21"/>
                <w:highlight w:val="none"/>
                <w:lang w:eastAsia="zh-CN"/>
              </w:rPr>
              <w:t>满足采购需求。</w:t>
            </w:r>
          </w:p>
          <w:p w14:paraId="325618E9">
            <w:pPr>
              <w:spacing w:line="400" w:lineRule="exact"/>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三档（9分）：</w:t>
            </w:r>
            <w:r>
              <w:rPr>
                <w:rFonts w:hint="eastAsia" w:ascii="宋体" w:hAnsi="宋体" w:eastAsia="宋体" w:cs="宋体"/>
                <w:color w:val="auto"/>
                <w:sz w:val="21"/>
                <w:szCs w:val="21"/>
                <w:highlight w:val="none"/>
              </w:rPr>
              <w:t>在满足</w:t>
            </w:r>
            <w:r>
              <w:rPr>
                <w:rFonts w:hint="eastAsia" w:ascii="宋体" w:hAnsi="宋体" w:cs="宋体"/>
                <w:color w:val="auto"/>
                <w:sz w:val="21"/>
                <w:szCs w:val="21"/>
                <w:highlight w:val="none"/>
                <w:lang w:eastAsia="zh-CN"/>
              </w:rPr>
              <w:t>二</w:t>
            </w:r>
            <w:r>
              <w:rPr>
                <w:rFonts w:hint="eastAsia" w:ascii="宋体" w:hAnsi="宋体" w:eastAsia="宋体" w:cs="宋体"/>
                <w:color w:val="auto"/>
                <w:sz w:val="21"/>
                <w:szCs w:val="21"/>
                <w:highlight w:val="none"/>
              </w:rPr>
              <w:t>档的基础上，提供售后服务内容及措施、</w:t>
            </w:r>
            <w:r>
              <w:rPr>
                <w:rFonts w:hint="eastAsia" w:ascii="宋体" w:hAnsi="宋体" w:eastAsia="宋体" w:cs="宋体"/>
                <w:bCs/>
                <w:color w:val="auto"/>
                <w:sz w:val="21"/>
                <w:szCs w:val="21"/>
                <w:highlight w:val="none"/>
              </w:rPr>
              <w:t>故障出现解决方案、定期维护方案、技术培训方案、维护（保修）期外</w:t>
            </w:r>
            <w:r>
              <w:rPr>
                <w:rFonts w:hint="eastAsia" w:ascii="宋体" w:hAnsi="宋体" w:cs="宋体"/>
                <w:bCs/>
                <w:color w:val="auto"/>
                <w:szCs w:val="21"/>
                <w:highlight w:val="none"/>
                <w:lang w:eastAsia="zh-CN"/>
              </w:rPr>
              <w:t>售后服务</w:t>
            </w:r>
            <w:r>
              <w:rPr>
                <w:rFonts w:hint="eastAsia" w:ascii="宋体" w:hAnsi="宋体" w:eastAsia="宋体" w:cs="宋体"/>
                <w:bCs/>
                <w:color w:val="auto"/>
                <w:sz w:val="21"/>
                <w:szCs w:val="21"/>
                <w:highlight w:val="none"/>
              </w:rPr>
              <w:t>方案、安装方案，能针对本项目提供周期性</w:t>
            </w:r>
            <w:r>
              <w:rPr>
                <w:rFonts w:hint="eastAsia" w:ascii="宋体" w:hAnsi="宋体" w:eastAsia="宋体" w:cs="宋体"/>
                <w:color w:val="auto"/>
                <w:sz w:val="21"/>
                <w:szCs w:val="21"/>
                <w:highlight w:val="none"/>
              </w:rPr>
              <w:t>巡检服务、有明确的原厂维保技术支持</w:t>
            </w:r>
            <w:r>
              <w:rPr>
                <w:rFonts w:hint="eastAsia" w:ascii="宋体" w:hAnsi="宋体" w:eastAsia="宋体" w:cs="宋体"/>
                <w:bCs/>
                <w:color w:val="auto"/>
                <w:sz w:val="21"/>
                <w:szCs w:val="21"/>
                <w:highlight w:val="none"/>
              </w:rPr>
              <w:t>的，方案完善且针对性、可行性强。</w:t>
            </w:r>
          </w:p>
          <w:p w14:paraId="5797FE4D">
            <w:pPr>
              <w:spacing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备注：供应商响应文件中提供的售后服务方案相应内容未达到相应评审档次全部标准的，相应降低一个档次；未提供售后服务方案相应内容或未达到相应“一档”标准的，均不予计分。</w:t>
            </w:r>
          </w:p>
        </w:tc>
        <w:tc>
          <w:tcPr>
            <w:tcW w:w="851" w:type="dxa"/>
            <w:vAlign w:val="center"/>
          </w:tcPr>
          <w:p w14:paraId="3E25F69C">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9分</w:t>
            </w:r>
          </w:p>
        </w:tc>
      </w:tr>
      <w:tr w14:paraId="04C86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676" w:type="dxa"/>
            <w:vMerge w:val="restart"/>
            <w:vAlign w:val="center"/>
          </w:tcPr>
          <w:p w14:paraId="0E4FAC3B">
            <w:pPr>
              <w:spacing w:line="400" w:lineRule="exact"/>
              <w:ind w:left="-105" w:leftChars="-50" w:right="-105" w:rightChars="-50"/>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5</w:t>
            </w:r>
          </w:p>
        </w:tc>
        <w:tc>
          <w:tcPr>
            <w:tcW w:w="1275" w:type="dxa"/>
            <w:vMerge w:val="restart"/>
            <w:vAlign w:val="center"/>
          </w:tcPr>
          <w:p w14:paraId="0C88563B">
            <w:pPr>
              <w:spacing w:line="400" w:lineRule="exact"/>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履约能力分</w:t>
            </w:r>
          </w:p>
        </w:tc>
        <w:tc>
          <w:tcPr>
            <w:tcW w:w="1160" w:type="dxa"/>
            <w:vAlign w:val="center"/>
          </w:tcPr>
          <w:p w14:paraId="01E4D5B8">
            <w:pPr>
              <w:spacing w:line="400" w:lineRule="exact"/>
              <w:jc w:val="center"/>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项目实施人员配备分</w:t>
            </w:r>
          </w:p>
        </w:tc>
        <w:tc>
          <w:tcPr>
            <w:tcW w:w="5128" w:type="dxa"/>
            <w:vAlign w:val="center"/>
          </w:tcPr>
          <w:p w14:paraId="349AEB57">
            <w:pPr>
              <w:spacing w:line="400" w:lineRule="exac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1）项目经理：供应商拟投入本项目的项目经理具备与本项目相关专业（可以是信息与通信工程、通信工程等）高级工程师及以上职称、中国信息安全测评中心颁发的注册信息安全专业人员认证（CISP）的，每具备1项得1分，最多得2分。</w:t>
            </w:r>
          </w:p>
          <w:p w14:paraId="19C260D0">
            <w:pPr>
              <w:spacing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（2）核心团队人员（不含项目经理）：</w:t>
            </w:r>
          </w:p>
          <w:p w14:paraId="54F8A3F5">
            <w:pPr>
              <w:spacing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①技术负责人：供应商拟投入本项目技术负责人具备与本项目相关专业（可以是信息与通信工程、通信工程等）高级工程师及以上职称、中国信息安全测评中心颁发的注册信息安全专业人员认证（CISP）的，每具备1项得1分，最多得2分。</w:t>
            </w:r>
          </w:p>
          <w:p w14:paraId="202473BE">
            <w:pPr>
              <w:spacing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②其他人员：供应商拟投入本项目其他人员中每有1名具备与本项目相关专业（可以是信息与通信工程、通信工程等）高级工程师及以上职称的得1分，最多得4分。</w:t>
            </w:r>
          </w:p>
          <w:p w14:paraId="549B512A">
            <w:pPr>
              <w:spacing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说明：</w:t>
            </w:r>
            <w:r>
              <w:rPr>
                <w:rFonts w:hint="eastAsia" w:ascii="宋体" w:hAnsi="宋体" w:eastAsia="宋体" w:cs="宋体"/>
                <w:b/>
                <w:bCs/>
                <w:color w:val="auto"/>
                <w:sz w:val="21"/>
                <w:szCs w:val="21"/>
                <w:highlight w:val="none"/>
              </w:rPr>
              <w:t>以上人员均不可重复担任多个岗位的职务，供应商于响应文件中提供以上拟投入人员身份证复印件、人员相应证书复印件以及2025年</w:t>
            </w:r>
            <w:r>
              <w:rPr>
                <w:rFonts w:hint="eastAsia" w:ascii="宋体" w:hAnsi="宋体" w:cs="宋体"/>
                <w:b/>
                <w:bCs/>
                <w:color w:val="auto"/>
                <w:sz w:val="21"/>
                <w:szCs w:val="21"/>
                <w:highlight w:val="none"/>
                <w:lang w:val="en-US" w:eastAsia="zh-CN"/>
              </w:rPr>
              <w:t>9</w:t>
            </w:r>
            <w:r>
              <w:rPr>
                <w:rFonts w:hint="eastAsia" w:ascii="宋体" w:hAnsi="宋体" w:eastAsia="宋体" w:cs="宋体"/>
                <w:b/>
                <w:bCs/>
                <w:color w:val="auto"/>
                <w:sz w:val="21"/>
                <w:szCs w:val="21"/>
                <w:highlight w:val="none"/>
              </w:rPr>
              <w:t>月以来任意1个月的社保证明（新入职不足1个月的员工提供相应的正式劳动合同），并加盖供应商电子签章，否则相应不予计分</w:t>
            </w:r>
            <w:r>
              <w:rPr>
                <w:rFonts w:hint="eastAsia" w:ascii="宋体" w:hAnsi="宋体" w:eastAsia="宋体" w:cs="宋体"/>
                <w:bCs/>
                <w:color w:val="auto"/>
                <w:sz w:val="21"/>
                <w:szCs w:val="21"/>
                <w:highlight w:val="none"/>
              </w:rPr>
              <w:t>。</w:t>
            </w:r>
          </w:p>
        </w:tc>
        <w:tc>
          <w:tcPr>
            <w:tcW w:w="851" w:type="dxa"/>
            <w:vAlign w:val="center"/>
          </w:tcPr>
          <w:p w14:paraId="5E11E9AA">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8分</w:t>
            </w:r>
          </w:p>
        </w:tc>
      </w:tr>
      <w:tr w14:paraId="1CDAD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676" w:type="dxa"/>
            <w:vMerge w:val="continue"/>
            <w:vAlign w:val="center"/>
          </w:tcPr>
          <w:p w14:paraId="34A0A36B">
            <w:pPr>
              <w:spacing w:line="400" w:lineRule="exact"/>
              <w:ind w:left="-105" w:leftChars="-50" w:right="-105" w:rightChars="-50"/>
              <w:jc w:val="center"/>
              <w:rPr>
                <w:rFonts w:hint="eastAsia" w:ascii="宋体" w:hAnsi="宋体" w:eastAsia="宋体" w:cs="宋体"/>
                <w:bCs/>
                <w:color w:val="auto"/>
                <w:kern w:val="0"/>
                <w:sz w:val="21"/>
                <w:szCs w:val="21"/>
                <w:highlight w:val="none"/>
              </w:rPr>
            </w:pPr>
          </w:p>
        </w:tc>
        <w:tc>
          <w:tcPr>
            <w:tcW w:w="1275" w:type="dxa"/>
            <w:vMerge w:val="continue"/>
            <w:vAlign w:val="center"/>
          </w:tcPr>
          <w:p w14:paraId="654B5D02">
            <w:pPr>
              <w:spacing w:line="400" w:lineRule="exact"/>
              <w:jc w:val="center"/>
              <w:rPr>
                <w:rFonts w:hint="eastAsia" w:ascii="宋体" w:hAnsi="宋体" w:eastAsia="宋体" w:cs="宋体"/>
                <w:bCs/>
                <w:color w:val="auto"/>
                <w:kern w:val="0"/>
                <w:sz w:val="21"/>
                <w:szCs w:val="21"/>
                <w:highlight w:val="none"/>
              </w:rPr>
            </w:pPr>
          </w:p>
        </w:tc>
        <w:tc>
          <w:tcPr>
            <w:tcW w:w="1160" w:type="dxa"/>
            <w:vAlign w:val="center"/>
          </w:tcPr>
          <w:p w14:paraId="6E24CF4B">
            <w:pPr>
              <w:spacing w:line="400" w:lineRule="exact"/>
              <w:jc w:val="center"/>
              <w:rPr>
                <w:rFonts w:hint="eastAsia" w:ascii="宋体" w:hAnsi="宋体" w:eastAsia="宋体" w:cs="宋体"/>
                <w:color w:val="auto"/>
                <w:spacing w:val="-4"/>
                <w:sz w:val="21"/>
                <w:szCs w:val="21"/>
                <w:highlight w:val="none"/>
              </w:rPr>
            </w:pPr>
            <w:r>
              <w:rPr>
                <w:rFonts w:hint="eastAsia" w:ascii="宋体" w:hAnsi="宋体" w:eastAsia="宋体" w:cs="宋体"/>
                <w:bCs/>
                <w:color w:val="auto"/>
                <w:sz w:val="21"/>
                <w:szCs w:val="21"/>
                <w:highlight w:val="none"/>
              </w:rPr>
              <w:t>企业认证分</w:t>
            </w:r>
          </w:p>
        </w:tc>
        <w:tc>
          <w:tcPr>
            <w:tcW w:w="5128" w:type="dxa"/>
            <w:vAlign w:val="center"/>
          </w:tcPr>
          <w:p w14:paraId="54D20C26">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通过ISO27001信息安全管理体系认证、ISO9001质量管理体系认证（以上认证范围包含“信息系统集成、软件设计与开发”）的（供应商于响应文件中提供相应有效认证证书复印件，并加盖供应商电子签章，否则不予认可），每有1项认证得3分，最多得6分。</w:t>
            </w:r>
          </w:p>
          <w:p w14:paraId="1A4929ED">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eastAsia"/>
                <w:color w:val="auto"/>
                <w:highlight w:val="none"/>
              </w:rPr>
            </w:pPr>
            <w:r>
              <w:rPr>
                <w:rFonts w:hint="eastAsia" w:ascii="宋体" w:hAnsi="宋体" w:eastAsia="宋体" w:cs="宋体"/>
                <w:color w:val="auto"/>
                <w:sz w:val="21"/>
                <w:szCs w:val="21"/>
                <w:highlight w:val="none"/>
              </w:rPr>
              <w:t>（2）供应商通过ISO14001环境管理体系认证、ISO45001职业健康安全管理体系认证，且认证范围包含“信息系统集成、软件设计与开发”的（供应商于响应文件中提供相应有效认证证书复印件，并加盖供应商电子签章，否则不予认可），每有1项认证得2分，最多得4分。</w:t>
            </w:r>
          </w:p>
        </w:tc>
        <w:tc>
          <w:tcPr>
            <w:tcW w:w="851" w:type="dxa"/>
            <w:vAlign w:val="center"/>
          </w:tcPr>
          <w:p w14:paraId="02A4D21A">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10分</w:t>
            </w:r>
          </w:p>
        </w:tc>
      </w:tr>
      <w:tr w14:paraId="04BAB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jc w:val="center"/>
        </w:trPr>
        <w:tc>
          <w:tcPr>
            <w:tcW w:w="676" w:type="dxa"/>
            <w:vAlign w:val="center"/>
          </w:tcPr>
          <w:p w14:paraId="225E91F4">
            <w:pPr>
              <w:spacing w:line="400" w:lineRule="exact"/>
              <w:ind w:left="-105" w:leftChars="-50" w:right="-105" w:rightChars="-50"/>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6</w:t>
            </w:r>
          </w:p>
        </w:tc>
        <w:tc>
          <w:tcPr>
            <w:tcW w:w="1275" w:type="dxa"/>
            <w:vAlign w:val="center"/>
          </w:tcPr>
          <w:p w14:paraId="478E6078">
            <w:pPr>
              <w:spacing w:line="400" w:lineRule="exact"/>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sz w:val="21"/>
                <w:szCs w:val="21"/>
                <w:highlight w:val="none"/>
              </w:rPr>
              <w:t>政策功能分（节能、环保）</w:t>
            </w:r>
          </w:p>
        </w:tc>
        <w:tc>
          <w:tcPr>
            <w:tcW w:w="6288" w:type="dxa"/>
            <w:gridSpan w:val="2"/>
            <w:vAlign w:val="center"/>
          </w:tcPr>
          <w:p w14:paraId="61427DE1">
            <w:pPr>
              <w:pStyle w:val="18"/>
              <w:spacing w:line="400" w:lineRule="exact"/>
              <w:rPr>
                <w:rFonts w:hint="eastAsia" w:hAnsi="宋体" w:cs="宋体"/>
                <w:bCs/>
                <w:color w:val="auto"/>
                <w:sz w:val="21"/>
                <w:szCs w:val="21"/>
                <w:highlight w:val="none"/>
                <w:lang w:eastAsia="zh-CN"/>
              </w:rPr>
            </w:pPr>
            <w:r>
              <w:rPr>
                <w:rFonts w:hint="eastAsia" w:ascii="宋体" w:hAnsi="宋体" w:eastAsia="宋体" w:cs="宋体"/>
                <w:bCs/>
                <w:color w:val="auto"/>
                <w:sz w:val="21"/>
                <w:szCs w:val="21"/>
                <w:highlight w:val="none"/>
              </w:rPr>
              <w:t>（1）</w:t>
            </w:r>
            <w:r>
              <w:rPr>
                <w:rFonts w:hint="eastAsia" w:hAnsi="宋体" w:cs="宋体"/>
                <w:bCs/>
                <w:color w:val="auto"/>
                <w:sz w:val="21"/>
                <w:szCs w:val="21"/>
                <w:highlight w:val="none"/>
                <w:lang w:eastAsia="zh-CN"/>
              </w:rPr>
              <w:t>供应商所竞硬件产品（GPU服务器、存储系统）属于财政部《节能产品政府采购品目清单》内优先采购（清单内未标注“★”的品目）的产品（响应文件中提供有效的认证证书复印件，并加盖供应商电子签章，否则不予计分），每个硬件产品得</w:t>
            </w:r>
            <w:r>
              <w:rPr>
                <w:rFonts w:hint="eastAsia" w:hAnsi="宋体" w:cs="宋体"/>
                <w:bCs/>
                <w:color w:val="auto"/>
                <w:sz w:val="21"/>
                <w:szCs w:val="21"/>
                <w:highlight w:val="none"/>
                <w:lang w:val="en-US" w:eastAsia="zh-CN"/>
              </w:rPr>
              <w:t>0.5</w:t>
            </w:r>
            <w:r>
              <w:rPr>
                <w:rFonts w:hint="eastAsia" w:hAnsi="宋体" w:cs="宋体"/>
                <w:bCs/>
                <w:color w:val="auto"/>
                <w:sz w:val="21"/>
                <w:szCs w:val="21"/>
                <w:highlight w:val="none"/>
                <w:lang w:eastAsia="zh-CN"/>
              </w:rPr>
              <w:t>分，最多得</w:t>
            </w:r>
            <w:r>
              <w:rPr>
                <w:rFonts w:hint="eastAsia" w:hAnsi="宋体" w:cs="宋体"/>
                <w:bCs/>
                <w:color w:val="auto"/>
                <w:sz w:val="21"/>
                <w:szCs w:val="21"/>
                <w:highlight w:val="none"/>
                <w:lang w:val="en-US" w:eastAsia="zh-CN"/>
              </w:rPr>
              <w:t>1分</w:t>
            </w:r>
            <w:r>
              <w:rPr>
                <w:rFonts w:hint="eastAsia" w:hAnsi="宋体" w:cs="宋体"/>
                <w:bCs/>
                <w:color w:val="auto"/>
                <w:sz w:val="21"/>
                <w:szCs w:val="21"/>
                <w:highlight w:val="none"/>
                <w:lang w:eastAsia="zh-CN"/>
              </w:rPr>
              <w:t>。</w:t>
            </w:r>
          </w:p>
          <w:p w14:paraId="74B3F36F">
            <w:pPr>
              <w:spacing w:line="400" w:lineRule="exact"/>
              <w:rPr>
                <w:rFonts w:hint="eastAsia" w:ascii="宋体" w:hAnsi="宋体" w:eastAsia="宋体" w:cs="宋体"/>
                <w:color w:val="auto"/>
                <w:spacing w:val="-4"/>
                <w:sz w:val="21"/>
                <w:szCs w:val="21"/>
                <w:highlight w:val="none"/>
              </w:rPr>
            </w:pPr>
            <w:r>
              <w:rPr>
                <w:rFonts w:hint="eastAsia" w:ascii="宋体" w:hAnsi="宋体" w:eastAsia="宋体" w:cs="宋体"/>
                <w:bCs/>
                <w:color w:val="auto"/>
                <w:sz w:val="21"/>
                <w:szCs w:val="21"/>
                <w:highlight w:val="none"/>
              </w:rPr>
              <w:t>（2）</w:t>
            </w:r>
            <w:r>
              <w:rPr>
                <w:rFonts w:hint="eastAsia" w:hAnsi="宋体" w:cs="宋体"/>
                <w:bCs/>
                <w:color w:val="auto"/>
                <w:sz w:val="21"/>
                <w:szCs w:val="21"/>
                <w:highlight w:val="none"/>
                <w:lang w:eastAsia="zh-CN"/>
              </w:rPr>
              <w:t>供应商所竞硬件产品（</w:t>
            </w:r>
            <w:r>
              <w:rPr>
                <w:rFonts w:hint="eastAsia" w:ascii="宋体" w:hAnsi="宋体" w:cs="宋体"/>
                <w:color w:val="auto"/>
                <w:szCs w:val="21"/>
                <w:highlight w:val="none"/>
              </w:rPr>
              <w:t>GPU服务器</w:t>
            </w:r>
            <w:r>
              <w:rPr>
                <w:rFonts w:hint="eastAsia" w:ascii="宋体" w:hAnsi="宋体" w:cs="宋体"/>
                <w:color w:val="auto"/>
                <w:szCs w:val="21"/>
                <w:highlight w:val="none"/>
                <w:lang w:eastAsia="zh-CN"/>
              </w:rPr>
              <w:t>、存储系统</w:t>
            </w:r>
            <w:r>
              <w:rPr>
                <w:rFonts w:hint="eastAsia" w:hAnsi="宋体" w:cs="宋体"/>
                <w:bCs/>
                <w:color w:val="auto"/>
                <w:sz w:val="21"/>
                <w:szCs w:val="21"/>
                <w:highlight w:val="none"/>
                <w:lang w:eastAsia="zh-CN"/>
              </w:rPr>
              <w:t>）</w:t>
            </w:r>
            <w:r>
              <w:rPr>
                <w:rFonts w:hint="eastAsia" w:ascii="宋体" w:hAnsi="宋体" w:eastAsia="宋体" w:cs="宋体"/>
                <w:bCs/>
                <w:color w:val="auto"/>
                <w:sz w:val="21"/>
                <w:szCs w:val="21"/>
                <w:highlight w:val="none"/>
              </w:rPr>
              <w:t>属于财政部《环境标志产品政府采购品目清单》内的产品</w:t>
            </w:r>
            <w:r>
              <w:rPr>
                <w:rFonts w:hint="eastAsia" w:ascii="宋体" w:hAnsi="宋体" w:eastAsia="宋体" w:cs="宋体"/>
                <w:color w:val="auto"/>
                <w:sz w:val="21"/>
                <w:szCs w:val="21"/>
                <w:highlight w:val="none"/>
              </w:rPr>
              <w:t>（响应文件中提供有效的认证证书复印件，并加盖供应商电子签章，否则不予计分）</w:t>
            </w:r>
            <w:r>
              <w:rPr>
                <w:rFonts w:hint="eastAsia" w:ascii="宋体" w:hAnsi="宋体" w:eastAsia="宋体" w:cs="宋体"/>
                <w:bCs/>
                <w:color w:val="auto"/>
                <w:sz w:val="21"/>
                <w:szCs w:val="21"/>
                <w:highlight w:val="none"/>
              </w:rPr>
              <w:t>，</w:t>
            </w:r>
            <w:r>
              <w:rPr>
                <w:rFonts w:hint="eastAsia" w:hAnsi="宋体" w:cs="宋体"/>
                <w:bCs/>
                <w:color w:val="auto"/>
                <w:sz w:val="21"/>
                <w:szCs w:val="21"/>
                <w:highlight w:val="none"/>
                <w:lang w:eastAsia="zh-CN"/>
              </w:rPr>
              <w:t>每个硬件产品得</w:t>
            </w:r>
            <w:r>
              <w:rPr>
                <w:rFonts w:hint="eastAsia" w:hAnsi="宋体" w:cs="宋体"/>
                <w:bCs/>
                <w:color w:val="auto"/>
                <w:sz w:val="21"/>
                <w:szCs w:val="21"/>
                <w:highlight w:val="none"/>
                <w:lang w:val="en-US" w:eastAsia="zh-CN"/>
              </w:rPr>
              <w:t>0.5</w:t>
            </w:r>
            <w:r>
              <w:rPr>
                <w:rFonts w:hint="eastAsia" w:ascii="宋体" w:hAnsi="宋体" w:eastAsia="宋体" w:cs="宋体"/>
                <w:bCs/>
                <w:color w:val="auto"/>
                <w:sz w:val="21"/>
                <w:szCs w:val="21"/>
                <w:highlight w:val="none"/>
              </w:rPr>
              <w:t>分</w:t>
            </w:r>
            <w:r>
              <w:rPr>
                <w:rFonts w:hint="eastAsia" w:hAnsi="宋体" w:cs="宋体"/>
                <w:bCs/>
                <w:color w:val="auto"/>
                <w:sz w:val="21"/>
                <w:szCs w:val="21"/>
                <w:highlight w:val="none"/>
                <w:lang w:eastAsia="zh-CN"/>
              </w:rPr>
              <w:t>，最多得</w:t>
            </w:r>
            <w:r>
              <w:rPr>
                <w:rFonts w:hint="eastAsia" w:hAnsi="宋体" w:cs="宋体"/>
                <w:bCs/>
                <w:color w:val="auto"/>
                <w:sz w:val="21"/>
                <w:szCs w:val="21"/>
                <w:highlight w:val="none"/>
                <w:lang w:val="en-US" w:eastAsia="zh-CN"/>
              </w:rPr>
              <w:t>1分</w:t>
            </w:r>
            <w:r>
              <w:rPr>
                <w:rFonts w:hint="eastAsia" w:ascii="宋体" w:hAnsi="宋体" w:eastAsia="宋体" w:cs="宋体"/>
                <w:bCs/>
                <w:color w:val="auto"/>
                <w:sz w:val="21"/>
                <w:szCs w:val="21"/>
                <w:highlight w:val="none"/>
              </w:rPr>
              <w:t>。</w:t>
            </w:r>
          </w:p>
        </w:tc>
        <w:tc>
          <w:tcPr>
            <w:tcW w:w="851" w:type="dxa"/>
            <w:vAlign w:val="center"/>
          </w:tcPr>
          <w:p w14:paraId="3FA456EB">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2分</w:t>
            </w:r>
          </w:p>
        </w:tc>
      </w:tr>
      <w:tr w14:paraId="301C7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090" w:type="dxa"/>
            <w:gridSpan w:val="5"/>
          </w:tcPr>
          <w:p w14:paraId="5488E43A">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综合得分为以上各项评审因素得分合计。</w:t>
            </w:r>
          </w:p>
        </w:tc>
      </w:tr>
    </w:tbl>
    <w:p w14:paraId="5F3CED55">
      <w:pPr>
        <w:spacing w:line="360" w:lineRule="auto"/>
        <w:ind w:firstLine="420" w:firstLineChars="200"/>
        <w:rPr>
          <w:color w:val="auto"/>
          <w:highlight w:val="none"/>
        </w:rPr>
      </w:pPr>
      <w:r>
        <w:rPr>
          <w:rFonts w:ascii="宋体" w:hAnsi="宋体"/>
          <w:bCs/>
          <w:color w:val="auto"/>
          <w:szCs w:val="21"/>
          <w:highlight w:val="none"/>
        </w:rPr>
        <w:t>7.</w:t>
      </w:r>
      <w:r>
        <w:rPr>
          <w:rFonts w:hint="eastAsia" w:ascii="宋体" w:hAnsi="宋体"/>
          <w:bCs/>
          <w:color w:val="auto"/>
          <w:szCs w:val="21"/>
          <w:highlight w:val="none"/>
        </w:rPr>
        <w:t>由磋商小组根据综合评分情况，按照评审得分由高到低顺序推荐3名以上成交候选供应商，并编写评审报告，评审报告通过电子交易平台向采购人、采购代理机构提交。符合本章第4.3条情形的，可以推荐2家成交候选供应商。评审得分相同的，按照最后报价由低到高的顺序推荐；若仍相同的，依次按照技术分、项目实施方案分、</w:t>
      </w:r>
      <w:r>
        <w:rPr>
          <w:rFonts w:hint="eastAsia" w:ascii="宋体" w:hAnsi="宋体" w:cs="宋体"/>
          <w:color w:val="auto"/>
          <w:szCs w:val="21"/>
          <w:highlight w:val="none"/>
        </w:rPr>
        <w:t>售后服务方案分、</w:t>
      </w:r>
      <w:r>
        <w:rPr>
          <w:rFonts w:hint="eastAsia" w:ascii="宋体" w:hAnsi="宋体"/>
          <w:bCs/>
          <w:color w:val="auto"/>
          <w:szCs w:val="21"/>
          <w:highlight w:val="none"/>
        </w:rPr>
        <w:t>履约能力分、</w:t>
      </w:r>
      <w:r>
        <w:rPr>
          <w:rFonts w:hint="eastAsia" w:hAnsi="宋体"/>
          <w:bCs/>
          <w:color w:val="auto"/>
          <w:highlight w:val="none"/>
        </w:rPr>
        <w:t>政策功能分（节能、环保）分</w:t>
      </w:r>
      <w:r>
        <w:rPr>
          <w:rFonts w:hint="eastAsia" w:ascii="宋体" w:hAnsi="宋体"/>
          <w:bCs/>
          <w:color w:val="auto"/>
          <w:szCs w:val="21"/>
          <w:highlight w:val="none"/>
        </w:rPr>
        <w:t>顺序推荐，上述得分均相同的由磋商小组随机抽取推荐。</w:t>
      </w:r>
      <w:r>
        <w:rPr>
          <w:color w:val="auto"/>
          <w:highlight w:val="none"/>
        </w:rPr>
        <w:br w:type="page"/>
      </w:r>
    </w:p>
    <w:p w14:paraId="34A577E4">
      <w:pPr>
        <w:spacing w:line="360" w:lineRule="auto"/>
        <w:ind w:firstLine="420" w:firstLineChars="200"/>
        <w:rPr>
          <w:color w:val="auto"/>
          <w:highlight w:val="none"/>
        </w:rPr>
      </w:pPr>
    </w:p>
    <w:p w14:paraId="0B7DD8BF">
      <w:pPr>
        <w:spacing w:line="360" w:lineRule="auto"/>
        <w:ind w:firstLine="420" w:firstLineChars="200"/>
        <w:rPr>
          <w:color w:val="auto"/>
          <w:highlight w:val="none"/>
        </w:rPr>
      </w:pPr>
    </w:p>
    <w:p w14:paraId="65635B3E">
      <w:pPr>
        <w:spacing w:line="360" w:lineRule="auto"/>
        <w:ind w:firstLine="420" w:firstLineChars="200"/>
        <w:rPr>
          <w:color w:val="auto"/>
          <w:highlight w:val="none"/>
        </w:rPr>
      </w:pPr>
    </w:p>
    <w:p w14:paraId="77670E98">
      <w:pPr>
        <w:spacing w:line="360" w:lineRule="auto"/>
        <w:ind w:firstLine="420" w:firstLineChars="200"/>
        <w:rPr>
          <w:color w:val="auto"/>
          <w:highlight w:val="none"/>
        </w:rPr>
      </w:pPr>
    </w:p>
    <w:p w14:paraId="71C3423C">
      <w:pPr>
        <w:spacing w:line="360" w:lineRule="auto"/>
        <w:ind w:firstLine="420" w:firstLineChars="200"/>
        <w:rPr>
          <w:color w:val="auto"/>
          <w:highlight w:val="none"/>
        </w:rPr>
      </w:pPr>
    </w:p>
    <w:p w14:paraId="3333156C">
      <w:pPr>
        <w:spacing w:line="360" w:lineRule="auto"/>
        <w:ind w:firstLine="420" w:firstLineChars="200"/>
        <w:rPr>
          <w:color w:val="auto"/>
          <w:highlight w:val="none"/>
        </w:rPr>
      </w:pPr>
    </w:p>
    <w:p w14:paraId="5CDF0E2E">
      <w:pPr>
        <w:rPr>
          <w:color w:val="auto"/>
          <w:highlight w:val="none"/>
        </w:rPr>
      </w:pPr>
    </w:p>
    <w:p w14:paraId="47A2C1B8">
      <w:pPr>
        <w:rPr>
          <w:color w:val="auto"/>
          <w:highlight w:val="none"/>
        </w:rPr>
      </w:pPr>
    </w:p>
    <w:p w14:paraId="227F3F24">
      <w:pPr>
        <w:rPr>
          <w:color w:val="auto"/>
          <w:highlight w:val="none"/>
        </w:rPr>
      </w:pPr>
    </w:p>
    <w:p w14:paraId="678D924F">
      <w:pPr>
        <w:rPr>
          <w:color w:val="auto"/>
          <w:highlight w:val="none"/>
        </w:rPr>
      </w:pPr>
    </w:p>
    <w:p w14:paraId="3FAD1DAD">
      <w:pPr>
        <w:rPr>
          <w:color w:val="auto"/>
          <w:highlight w:val="none"/>
        </w:rPr>
      </w:pPr>
    </w:p>
    <w:p w14:paraId="0F1C49F1">
      <w:pPr>
        <w:rPr>
          <w:color w:val="auto"/>
          <w:highlight w:val="none"/>
        </w:rPr>
      </w:pPr>
    </w:p>
    <w:p w14:paraId="4B26D10B">
      <w:pPr>
        <w:rPr>
          <w:color w:val="auto"/>
          <w:highlight w:val="none"/>
        </w:rPr>
      </w:pPr>
    </w:p>
    <w:p w14:paraId="07524A29">
      <w:pPr>
        <w:pStyle w:val="2"/>
        <w:jc w:val="center"/>
        <w:rPr>
          <w:color w:val="auto"/>
          <w:highlight w:val="none"/>
        </w:rPr>
      </w:pPr>
      <w:bookmarkStart w:id="75" w:name="_Toc182816501"/>
      <w:r>
        <w:rPr>
          <w:rFonts w:hint="eastAsia"/>
          <w:color w:val="auto"/>
          <w:highlight w:val="none"/>
        </w:rPr>
        <w:t>第五章 响应文件格式</w:t>
      </w:r>
      <w:bookmarkEnd w:id="75"/>
    </w:p>
    <w:p w14:paraId="4F3FBD69">
      <w:pPr>
        <w:spacing w:line="240" w:lineRule="atLeast"/>
        <w:rPr>
          <w:rFonts w:ascii="宋体" w:hAnsi="宋体"/>
          <w:b/>
          <w:color w:val="auto"/>
          <w:sz w:val="32"/>
          <w:szCs w:val="32"/>
          <w:highlight w:val="none"/>
        </w:rPr>
      </w:pPr>
    </w:p>
    <w:p w14:paraId="33B2D2D0">
      <w:pPr>
        <w:spacing w:line="240" w:lineRule="atLeast"/>
        <w:rPr>
          <w:rFonts w:ascii="宋体" w:hAnsi="宋体"/>
          <w:b/>
          <w:color w:val="auto"/>
          <w:sz w:val="32"/>
          <w:szCs w:val="32"/>
          <w:highlight w:val="none"/>
        </w:rPr>
      </w:pPr>
    </w:p>
    <w:p w14:paraId="61C6B5EB">
      <w:pPr>
        <w:spacing w:line="240" w:lineRule="atLeast"/>
        <w:rPr>
          <w:rFonts w:ascii="宋体" w:hAnsi="宋体"/>
          <w:b/>
          <w:color w:val="auto"/>
          <w:sz w:val="32"/>
          <w:szCs w:val="32"/>
          <w:highlight w:val="none"/>
        </w:rPr>
      </w:pPr>
    </w:p>
    <w:p w14:paraId="153F262B">
      <w:pPr>
        <w:spacing w:line="240" w:lineRule="atLeast"/>
        <w:rPr>
          <w:rFonts w:ascii="宋体" w:hAnsi="宋体"/>
          <w:b/>
          <w:color w:val="auto"/>
          <w:sz w:val="32"/>
          <w:szCs w:val="32"/>
          <w:highlight w:val="none"/>
        </w:rPr>
      </w:pPr>
    </w:p>
    <w:p w14:paraId="255D631F">
      <w:pPr>
        <w:spacing w:line="240" w:lineRule="atLeast"/>
        <w:rPr>
          <w:rFonts w:ascii="宋体" w:hAnsi="宋体"/>
          <w:b/>
          <w:color w:val="auto"/>
          <w:sz w:val="32"/>
          <w:szCs w:val="32"/>
          <w:highlight w:val="none"/>
        </w:rPr>
      </w:pPr>
    </w:p>
    <w:p w14:paraId="3B376F5D">
      <w:pPr>
        <w:spacing w:line="240" w:lineRule="atLeast"/>
        <w:rPr>
          <w:rFonts w:ascii="宋体" w:hAnsi="宋体"/>
          <w:b/>
          <w:color w:val="auto"/>
          <w:sz w:val="32"/>
          <w:szCs w:val="32"/>
          <w:highlight w:val="none"/>
        </w:rPr>
      </w:pPr>
    </w:p>
    <w:p w14:paraId="66CB7C67">
      <w:pPr>
        <w:spacing w:line="240" w:lineRule="atLeast"/>
        <w:rPr>
          <w:rFonts w:ascii="宋体" w:hAnsi="宋体"/>
          <w:b/>
          <w:color w:val="auto"/>
          <w:sz w:val="32"/>
          <w:szCs w:val="32"/>
          <w:highlight w:val="none"/>
        </w:rPr>
      </w:pPr>
    </w:p>
    <w:p w14:paraId="14DE2911">
      <w:pPr>
        <w:spacing w:line="240" w:lineRule="atLeast"/>
        <w:rPr>
          <w:rFonts w:ascii="宋体" w:hAnsi="宋体"/>
          <w:b/>
          <w:color w:val="auto"/>
          <w:sz w:val="32"/>
          <w:szCs w:val="32"/>
          <w:highlight w:val="none"/>
        </w:rPr>
      </w:pPr>
    </w:p>
    <w:p w14:paraId="6F73CAFB">
      <w:pPr>
        <w:snapToGrid w:val="0"/>
        <w:spacing w:before="156" w:beforeLines="50" w:after="50"/>
        <w:jc w:val="center"/>
        <w:rPr>
          <w:rFonts w:ascii="仿宋_GB2312" w:hAnsi="仿宋_GB2312" w:eastAsia="仿宋_GB2312" w:cs="仿宋_GB2312"/>
          <w:bCs/>
          <w:color w:val="auto"/>
          <w:sz w:val="32"/>
          <w:szCs w:val="32"/>
          <w:highlight w:val="none"/>
        </w:rPr>
      </w:pPr>
    </w:p>
    <w:p w14:paraId="3634CBD9">
      <w:pPr>
        <w:rPr>
          <w:b/>
          <w:color w:val="auto"/>
          <w:sz w:val="32"/>
          <w:szCs w:val="32"/>
          <w:highlight w:val="none"/>
        </w:rPr>
      </w:pPr>
      <w:bookmarkStart w:id="76" w:name="_Toc31723070"/>
      <w:bookmarkStart w:id="77" w:name="_Toc31728084"/>
      <w:bookmarkStart w:id="78" w:name="_Toc35611438"/>
      <w:bookmarkStart w:id="79" w:name="_Toc44229899"/>
      <w:bookmarkStart w:id="80" w:name="_Toc35611516"/>
      <w:bookmarkStart w:id="81" w:name="_Toc71366186"/>
      <w:r>
        <w:rPr>
          <w:b/>
          <w:color w:val="auto"/>
          <w:sz w:val="32"/>
          <w:szCs w:val="32"/>
          <w:highlight w:val="none"/>
        </w:rPr>
        <w:br w:type="page"/>
      </w:r>
      <w:r>
        <w:rPr>
          <w:rFonts w:hint="eastAsia"/>
          <w:b/>
          <w:color w:val="auto"/>
          <w:sz w:val="32"/>
          <w:szCs w:val="32"/>
          <w:highlight w:val="none"/>
        </w:rPr>
        <w:t>一、资格证明文件格式</w:t>
      </w:r>
      <w:bookmarkEnd w:id="76"/>
      <w:bookmarkEnd w:id="77"/>
      <w:bookmarkEnd w:id="78"/>
      <w:bookmarkEnd w:id="79"/>
      <w:bookmarkEnd w:id="80"/>
      <w:bookmarkEnd w:id="81"/>
    </w:p>
    <w:p w14:paraId="0C14609A">
      <w:pPr>
        <w:snapToGrid w:val="0"/>
        <w:spacing w:before="156" w:beforeLines="50" w:after="50" w:line="360" w:lineRule="auto"/>
        <w:jc w:val="left"/>
        <w:rPr>
          <w:rFonts w:ascii="宋体" w:hAnsi="宋体"/>
          <w:b/>
          <w:color w:val="auto"/>
          <w:sz w:val="24"/>
          <w:highlight w:val="none"/>
        </w:rPr>
      </w:pPr>
      <w:r>
        <w:rPr>
          <w:rFonts w:hint="eastAsia" w:ascii="宋体" w:hAnsi="宋体"/>
          <w:b/>
          <w:color w:val="auto"/>
          <w:sz w:val="32"/>
          <w:szCs w:val="32"/>
          <w:highlight w:val="none"/>
        </w:rPr>
        <w:t>1.资格证明文件封面格式：</w:t>
      </w:r>
      <w:r>
        <w:rPr>
          <w:rFonts w:hint="eastAsia" w:ascii="宋体" w:hAnsi="宋体"/>
          <w:b/>
          <w:color w:val="auto"/>
          <w:sz w:val="24"/>
          <w:highlight w:val="none"/>
        </w:rPr>
        <w:t xml:space="preserve"> </w:t>
      </w:r>
    </w:p>
    <w:p w14:paraId="545170CF">
      <w:pPr>
        <w:snapToGrid w:val="0"/>
        <w:spacing w:before="156" w:beforeLines="50" w:after="50"/>
        <w:jc w:val="center"/>
        <w:rPr>
          <w:rFonts w:ascii="宋体" w:hAnsi="宋体"/>
          <w:color w:val="auto"/>
          <w:sz w:val="44"/>
          <w:szCs w:val="44"/>
          <w:highlight w:val="none"/>
        </w:rPr>
      </w:pPr>
    </w:p>
    <w:p w14:paraId="13077F86">
      <w:pPr>
        <w:snapToGrid w:val="0"/>
        <w:spacing w:before="156" w:beforeLines="50" w:after="50"/>
        <w:jc w:val="center"/>
        <w:rPr>
          <w:rFonts w:ascii="宋体" w:hAnsi="宋体"/>
          <w:color w:val="auto"/>
          <w:sz w:val="44"/>
          <w:szCs w:val="44"/>
          <w:highlight w:val="none"/>
        </w:rPr>
      </w:pPr>
      <w:r>
        <w:rPr>
          <w:rFonts w:hint="eastAsia" w:ascii="宋体" w:hAnsi="宋体"/>
          <w:color w:val="auto"/>
          <w:sz w:val="44"/>
          <w:szCs w:val="44"/>
          <w:highlight w:val="none"/>
        </w:rPr>
        <w:t>电 子 响 应 文 件</w:t>
      </w:r>
    </w:p>
    <w:p w14:paraId="38FC492B">
      <w:pPr>
        <w:snapToGrid w:val="0"/>
        <w:spacing w:before="156" w:beforeLines="50" w:after="50"/>
        <w:rPr>
          <w:rFonts w:ascii="宋体" w:hAnsi="宋体"/>
          <w:color w:val="auto"/>
          <w:sz w:val="24"/>
          <w:szCs w:val="20"/>
          <w:highlight w:val="none"/>
        </w:rPr>
      </w:pPr>
    </w:p>
    <w:p w14:paraId="3EA301EC">
      <w:pPr>
        <w:snapToGrid w:val="0"/>
        <w:spacing w:before="156"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w:t>
      </w:r>
    </w:p>
    <w:p w14:paraId="3E28A386">
      <w:pPr>
        <w:snapToGrid w:val="0"/>
        <w:spacing w:before="156" w:beforeLines="50" w:after="50"/>
        <w:rPr>
          <w:rFonts w:ascii="宋体" w:hAnsi="宋体"/>
          <w:bCs/>
          <w:color w:val="auto"/>
          <w:sz w:val="24"/>
          <w:szCs w:val="20"/>
          <w:highlight w:val="none"/>
        </w:rPr>
      </w:pPr>
    </w:p>
    <w:p w14:paraId="4C6186F8">
      <w:pPr>
        <w:snapToGrid w:val="0"/>
        <w:spacing w:before="156" w:beforeLines="50" w:after="50"/>
        <w:rPr>
          <w:rFonts w:ascii="宋体" w:hAnsi="宋体"/>
          <w:bCs/>
          <w:color w:val="auto"/>
          <w:sz w:val="24"/>
          <w:szCs w:val="20"/>
          <w:highlight w:val="none"/>
        </w:rPr>
      </w:pPr>
    </w:p>
    <w:p w14:paraId="2F04EFF0">
      <w:pPr>
        <w:snapToGrid w:val="0"/>
        <w:spacing w:before="156" w:beforeLines="50" w:after="50"/>
        <w:rPr>
          <w:rFonts w:ascii="宋体" w:hAnsi="宋体"/>
          <w:bCs/>
          <w:color w:val="auto"/>
          <w:sz w:val="24"/>
          <w:szCs w:val="20"/>
          <w:highlight w:val="none"/>
        </w:rPr>
      </w:pPr>
    </w:p>
    <w:p w14:paraId="0E904BEE">
      <w:pPr>
        <w:snapToGrid w:val="0"/>
        <w:spacing w:before="156" w:beforeLines="50" w:after="50"/>
        <w:rPr>
          <w:rFonts w:ascii="宋体" w:hAnsi="宋体"/>
          <w:bCs/>
          <w:color w:val="auto"/>
          <w:sz w:val="24"/>
          <w:szCs w:val="20"/>
          <w:highlight w:val="none"/>
        </w:rPr>
      </w:pPr>
    </w:p>
    <w:p w14:paraId="56D44004">
      <w:pPr>
        <w:snapToGrid w:val="0"/>
        <w:spacing w:before="156" w:beforeLines="50" w:after="50"/>
        <w:rPr>
          <w:rFonts w:ascii="宋体" w:hAnsi="宋体"/>
          <w:bCs/>
          <w:color w:val="auto"/>
          <w:sz w:val="24"/>
          <w:szCs w:val="20"/>
          <w:highlight w:val="none"/>
        </w:rPr>
      </w:pPr>
    </w:p>
    <w:p w14:paraId="40A810E4">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572B74D4">
      <w:pPr>
        <w:snapToGrid w:val="0"/>
        <w:spacing w:before="156" w:beforeLines="50" w:after="50"/>
        <w:ind w:firstLine="720" w:firstLineChars="225"/>
        <w:rPr>
          <w:rFonts w:ascii="宋体" w:hAnsi="宋体" w:cs="仿宋_GB2312"/>
          <w:bCs/>
          <w:color w:val="auto"/>
          <w:sz w:val="32"/>
          <w:szCs w:val="32"/>
          <w:highlight w:val="none"/>
        </w:rPr>
      </w:pPr>
    </w:p>
    <w:p w14:paraId="7935EFF4">
      <w:pPr>
        <w:snapToGrid w:val="0"/>
        <w:spacing w:before="156"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74DFE30D">
      <w:pPr>
        <w:snapToGrid w:val="0"/>
        <w:spacing w:before="156"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3BA281DB">
      <w:pPr>
        <w:snapToGrid w:val="0"/>
        <w:spacing w:before="156"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3223A7D0">
      <w:pPr>
        <w:snapToGrid w:val="0"/>
        <w:spacing w:before="156" w:beforeLines="50" w:after="50"/>
        <w:ind w:firstLine="720" w:firstLineChars="225"/>
        <w:rPr>
          <w:rFonts w:ascii="宋体" w:hAnsi="宋体" w:cs="仿宋_GB2312"/>
          <w:bCs/>
          <w:color w:val="auto"/>
          <w:sz w:val="32"/>
          <w:szCs w:val="32"/>
          <w:highlight w:val="none"/>
        </w:rPr>
      </w:pPr>
    </w:p>
    <w:p w14:paraId="384ECB32">
      <w:pPr>
        <w:pStyle w:val="7"/>
        <w:snapToGrid w:val="0"/>
        <w:spacing w:before="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165EB9D8">
      <w:pPr>
        <w:snapToGrid w:val="0"/>
        <w:spacing w:before="156" w:beforeLines="50" w:after="50"/>
        <w:ind w:firstLine="640" w:firstLineChars="200"/>
        <w:rPr>
          <w:rFonts w:ascii="宋体" w:hAnsi="宋体" w:cs="仿宋_GB2312"/>
          <w:bCs/>
          <w:color w:val="auto"/>
          <w:sz w:val="32"/>
          <w:szCs w:val="32"/>
          <w:highlight w:val="none"/>
        </w:rPr>
      </w:pPr>
    </w:p>
    <w:p w14:paraId="0F7674B2">
      <w:pPr>
        <w:pStyle w:val="7"/>
        <w:snapToGrid w:val="0"/>
        <w:spacing w:before="50" w:after="50"/>
        <w:ind w:firstLine="720" w:firstLineChars="225"/>
        <w:rPr>
          <w:rFonts w:ascii="宋体" w:hAnsi="宋体" w:cs="仿宋_GB2312"/>
          <w:bCs/>
          <w:color w:val="auto"/>
          <w:sz w:val="32"/>
          <w:szCs w:val="32"/>
          <w:highlight w:val="none"/>
        </w:rPr>
      </w:pPr>
    </w:p>
    <w:p w14:paraId="7A2F268C">
      <w:pPr>
        <w:pStyle w:val="7"/>
        <w:snapToGrid w:val="0"/>
        <w:spacing w:before="50" w:after="50"/>
        <w:ind w:firstLine="720" w:firstLineChars="225"/>
        <w:rPr>
          <w:rFonts w:ascii="宋体" w:hAnsi="宋体" w:cs="仿宋_GB2312"/>
          <w:bCs/>
          <w:color w:val="auto"/>
          <w:sz w:val="32"/>
          <w:szCs w:val="32"/>
          <w:highlight w:val="none"/>
        </w:rPr>
      </w:pPr>
    </w:p>
    <w:p w14:paraId="277C0BC3">
      <w:pPr>
        <w:pStyle w:val="7"/>
        <w:snapToGrid w:val="0"/>
        <w:spacing w:before="50" w:after="50"/>
        <w:ind w:firstLine="1280" w:firstLineChars="400"/>
        <w:rPr>
          <w:rFonts w:ascii="宋体" w:hAnsi="宋体" w:cs="仿宋_GB2312"/>
          <w:bCs/>
          <w:color w:val="auto"/>
          <w:sz w:val="32"/>
          <w:szCs w:val="32"/>
          <w:highlight w:val="none"/>
        </w:rPr>
      </w:pPr>
    </w:p>
    <w:p w14:paraId="74741299">
      <w:pPr>
        <w:snapToGrid w:val="0"/>
        <w:spacing w:before="156"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6BEC8195">
      <w:pPr>
        <w:snapToGrid w:val="0"/>
        <w:spacing w:before="156" w:beforeLines="50" w:after="50" w:line="360" w:lineRule="auto"/>
        <w:ind w:left="142"/>
        <w:jc w:val="left"/>
        <w:rPr>
          <w:rFonts w:ascii="宋体" w:hAnsi="宋体"/>
          <w:b/>
          <w:bCs/>
          <w:color w:val="auto"/>
          <w:sz w:val="32"/>
          <w:szCs w:val="32"/>
          <w:highlight w:val="none"/>
        </w:rPr>
      </w:pPr>
      <w:r>
        <w:rPr>
          <w:rFonts w:ascii="宋体" w:hAnsi="宋体"/>
          <w:color w:val="auto"/>
          <w:sz w:val="24"/>
          <w:highlight w:val="none"/>
        </w:rPr>
        <w:br w:type="page"/>
      </w:r>
      <w:r>
        <w:rPr>
          <w:rFonts w:hint="eastAsia" w:ascii="宋体" w:hAnsi="宋体"/>
          <w:b/>
          <w:bCs/>
          <w:color w:val="auto"/>
          <w:sz w:val="32"/>
          <w:szCs w:val="32"/>
          <w:highlight w:val="none"/>
        </w:rPr>
        <w:t>2.资格证明文件目录</w:t>
      </w:r>
    </w:p>
    <w:p w14:paraId="3FAF0422">
      <w:pPr>
        <w:snapToGrid w:val="0"/>
        <w:spacing w:before="156" w:beforeLines="50" w:after="50" w:line="360" w:lineRule="auto"/>
        <w:ind w:firstLine="645"/>
        <w:rPr>
          <w:rFonts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1755F131">
      <w:pPr>
        <w:snapToGrid w:val="0"/>
        <w:spacing w:before="156" w:beforeLines="50" w:after="50"/>
        <w:rPr>
          <w:rFonts w:ascii="宋体" w:hAnsi="宋体"/>
          <w:color w:val="auto"/>
          <w:sz w:val="24"/>
          <w:szCs w:val="20"/>
          <w:highlight w:val="none"/>
        </w:rPr>
      </w:pPr>
      <w:r>
        <w:rPr>
          <w:rFonts w:ascii="宋体" w:hAnsi="宋体"/>
          <w:color w:val="auto"/>
          <w:sz w:val="24"/>
          <w:szCs w:val="20"/>
          <w:highlight w:val="none"/>
        </w:rPr>
        <w:t xml:space="preserve"> </w:t>
      </w:r>
    </w:p>
    <w:p w14:paraId="31156397">
      <w:pPr>
        <w:spacing w:line="300" w:lineRule="auto"/>
        <w:rPr>
          <w:rFonts w:ascii="宋体" w:hAnsi="宋体"/>
          <w:color w:val="auto"/>
          <w:szCs w:val="21"/>
          <w:highlight w:val="none"/>
        </w:rPr>
      </w:pPr>
    </w:p>
    <w:p w14:paraId="4DEA3A1C">
      <w:pPr>
        <w:spacing w:line="300" w:lineRule="auto"/>
        <w:rPr>
          <w:rFonts w:ascii="宋体" w:hAnsi="宋体"/>
          <w:color w:val="auto"/>
          <w:szCs w:val="21"/>
          <w:highlight w:val="none"/>
        </w:rPr>
      </w:pPr>
    </w:p>
    <w:p w14:paraId="0269EF5D">
      <w:pPr>
        <w:spacing w:line="300" w:lineRule="auto"/>
        <w:rPr>
          <w:rFonts w:ascii="宋体" w:hAnsi="宋体"/>
          <w:color w:val="auto"/>
          <w:szCs w:val="21"/>
          <w:highlight w:val="none"/>
        </w:rPr>
      </w:pPr>
    </w:p>
    <w:p w14:paraId="352390C8">
      <w:pPr>
        <w:spacing w:line="300" w:lineRule="auto"/>
        <w:rPr>
          <w:rFonts w:ascii="宋体" w:hAnsi="宋体"/>
          <w:color w:val="auto"/>
          <w:szCs w:val="21"/>
          <w:highlight w:val="none"/>
        </w:rPr>
      </w:pPr>
    </w:p>
    <w:p w14:paraId="05900867">
      <w:pPr>
        <w:spacing w:line="300" w:lineRule="auto"/>
        <w:rPr>
          <w:rFonts w:ascii="宋体" w:hAnsi="宋体"/>
          <w:color w:val="auto"/>
          <w:szCs w:val="21"/>
          <w:highlight w:val="none"/>
        </w:rPr>
      </w:pPr>
    </w:p>
    <w:p w14:paraId="6009B95E">
      <w:pPr>
        <w:spacing w:line="300" w:lineRule="auto"/>
        <w:rPr>
          <w:rFonts w:ascii="宋体" w:hAnsi="宋体"/>
          <w:color w:val="auto"/>
          <w:szCs w:val="21"/>
          <w:highlight w:val="none"/>
        </w:rPr>
      </w:pPr>
    </w:p>
    <w:p w14:paraId="7E829AAB">
      <w:pPr>
        <w:spacing w:line="300" w:lineRule="auto"/>
        <w:rPr>
          <w:rFonts w:ascii="宋体" w:hAnsi="宋体"/>
          <w:color w:val="auto"/>
          <w:szCs w:val="21"/>
          <w:highlight w:val="none"/>
        </w:rPr>
      </w:pPr>
    </w:p>
    <w:p w14:paraId="7508AB82">
      <w:pPr>
        <w:spacing w:line="300" w:lineRule="auto"/>
        <w:rPr>
          <w:rFonts w:ascii="宋体" w:hAnsi="宋体"/>
          <w:color w:val="auto"/>
          <w:szCs w:val="21"/>
          <w:highlight w:val="none"/>
        </w:rPr>
      </w:pPr>
    </w:p>
    <w:p w14:paraId="1A9555D3">
      <w:pPr>
        <w:spacing w:line="300" w:lineRule="auto"/>
        <w:rPr>
          <w:rFonts w:ascii="宋体" w:hAnsi="宋体"/>
          <w:color w:val="auto"/>
          <w:szCs w:val="21"/>
          <w:highlight w:val="none"/>
        </w:rPr>
      </w:pPr>
    </w:p>
    <w:p w14:paraId="5106103C">
      <w:pPr>
        <w:spacing w:line="300" w:lineRule="auto"/>
        <w:rPr>
          <w:rFonts w:ascii="宋体" w:hAnsi="宋体"/>
          <w:color w:val="auto"/>
          <w:szCs w:val="21"/>
          <w:highlight w:val="none"/>
        </w:rPr>
      </w:pPr>
    </w:p>
    <w:p w14:paraId="64684CC6">
      <w:pPr>
        <w:spacing w:line="300" w:lineRule="auto"/>
        <w:rPr>
          <w:rFonts w:ascii="宋体" w:hAnsi="宋体"/>
          <w:color w:val="auto"/>
          <w:szCs w:val="21"/>
          <w:highlight w:val="none"/>
        </w:rPr>
      </w:pPr>
    </w:p>
    <w:p w14:paraId="18FC4816">
      <w:pPr>
        <w:spacing w:line="300" w:lineRule="auto"/>
        <w:rPr>
          <w:rFonts w:ascii="宋体" w:hAnsi="宋体"/>
          <w:color w:val="auto"/>
          <w:szCs w:val="21"/>
          <w:highlight w:val="none"/>
        </w:rPr>
      </w:pPr>
    </w:p>
    <w:p w14:paraId="72FF855F">
      <w:pPr>
        <w:spacing w:line="300" w:lineRule="auto"/>
        <w:rPr>
          <w:rFonts w:ascii="宋体" w:hAnsi="宋体"/>
          <w:color w:val="auto"/>
          <w:szCs w:val="21"/>
          <w:highlight w:val="none"/>
        </w:rPr>
      </w:pPr>
    </w:p>
    <w:p w14:paraId="71830FDD">
      <w:pPr>
        <w:spacing w:line="300" w:lineRule="auto"/>
        <w:rPr>
          <w:rFonts w:ascii="宋体" w:hAnsi="宋体"/>
          <w:color w:val="auto"/>
          <w:szCs w:val="21"/>
          <w:highlight w:val="none"/>
        </w:rPr>
      </w:pPr>
    </w:p>
    <w:p w14:paraId="3B901C98">
      <w:pPr>
        <w:spacing w:line="300" w:lineRule="auto"/>
        <w:rPr>
          <w:rFonts w:ascii="宋体" w:hAnsi="宋体"/>
          <w:color w:val="auto"/>
          <w:szCs w:val="21"/>
          <w:highlight w:val="none"/>
        </w:rPr>
      </w:pPr>
    </w:p>
    <w:p w14:paraId="03B6E9F4">
      <w:pPr>
        <w:spacing w:line="320" w:lineRule="exact"/>
        <w:jc w:val="left"/>
        <w:rPr>
          <w:rFonts w:ascii="方正小标宋简体" w:hAnsi="方正小标宋简体" w:eastAsia="方正小标宋简体" w:cs="方正小标宋简体"/>
          <w:color w:val="auto"/>
          <w:sz w:val="44"/>
          <w:szCs w:val="44"/>
          <w:highlight w:val="none"/>
        </w:rPr>
      </w:pPr>
      <w:r>
        <w:rPr>
          <w:rFonts w:ascii="宋体" w:hAnsi="宋体"/>
          <w:color w:val="auto"/>
          <w:szCs w:val="21"/>
          <w:highlight w:val="none"/>
        </w:rPr>
        <w:br w:type="page"/>
      </w:r>
      <w:bookmarkStart w:id="82" w:name="_Toc71365926"/>
    </w:p>
    <w:bookmarkEnd w:id="82"/>
    <w:p w14:paraId="38B30FFC">
      <w:pPr>
        <w:spacing w:line="52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供应商直接控股股东信息表</w:t>
      </w:r>
    </w:p>
    <w:tbl>
      <w:tblPr>
        <w:tblStyle w:val="28"/>
        <w:tblW w:w="93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8"/>
        <w:gridCol w:w="2269"/>
        <w:gridCol w:w="1239"/>
        <w:gridCol w:w="3864"/>
        <w:gridCol w:w="1134"/>
      </w:tblGrid>
      <w:tr w14:paraId="15A30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828" w:type="dxa"/>
            <w:tcMar>
              <w:top w:w="120" w:type="dxa"/>
              <w:left w:w="120" w:type="dxa"/>
              <w:bottom w:w="120" w:type="dxa"/>
              <w:right w:w="120" w:type="dxa"/>
            </w:tcMar>
            <w:vAlign w:val="center"/>
          </w:tcPr>
          <w:p w14:paraId="22EF6736">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Mar>
              <w:top w:w="120" w:type="dxa"/>
              <w:left w:w="120" w:type="dxa"/>
              <w:bottom w:w="120" w:type="dxa"/>
              <w:right w:w="120" w:type="dxa"/>
            </w:tcMar>
            <w:vAlign w:val="center"/>
          </w:tcPr>
          <w:p w14:paraId="1060AD63">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Mar>
              <w:top w:w="120" w:type="dxa"/>
              <w:left w:w="120" w:type="dxa"/>
              <w:bottom w:w="120" w:type="dxa"/>
              <w:right w:w="120" w:type="dxa"/>
            </w:tcMar>
            <w:vAlign w:val="center"/>
          </w:tcPr>
          <w:p w14:paraId="2A9F2983">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864" w:type="dxa"/>
            <w:tcMar>
              <w:top w:w="120" w:type="dxa"/>
              <w:left w:w="120" w:type="dxa"/>
              <w:bottom w:w="120" w:type="dxa"/>
              <w:right w:w="120" w:type="dxa"/>
            </w:tcMar>
            <w:vAlign w:val="center"/>
          </w:tcPr>
          <w:p w14:paraId="294B9239">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134" w:type="dxa"/>
            <w:tcMar>
              <w:top w:w="120" w:type="dxa"/>
              <w:left w:w="120" w:type="dxa"/>
              <w:bottom w:w="120" w:type="dxa"/>
              <w:right w:w="120" w:type="dxa"/>
            </w:tcMar>
            <w:vAlign w:val="center"/>
          </w:tcPr>
          <w:p w14:paraId="71D27EC7">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2DC60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tcMar>
              <w:top w:w="120" w:type="dxa"/>
              <w:left w:w="120" w:type="dxa"/>
              <w:bottom w:w="120" w:type="dxa"/>
              <w:right w:w="120" w:type="dxa"/>
            </w:tcMar>
            <w:vAlign w:val="center"/>
          </w:tcPr>
          <w:p w14:paraId="075D0D68">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Mar>
              <w:top w:w="120" w:type="dxa"/>
              <w:left w:w="120" w:type="dxa"/>
              <w:bottom w:w="120" w:type="dxa"/>
              <w:right w:w="120" w:type="dxa"/>
            </w:tcMar>
            <w:vAlign w:val="center"/>
          </w:tcPr>
          <w:p w14:paraId="50BF0497">
            <w:pPr>
              <w:spacing w:line="360" w:lineRule="auto"/>
              <w:jc w:val="center"/>
              <w:rPr>
                <w:rFonts w:ascii="宋体" w:hAnsi="宋体" w:cs="宋体"/>
                <w:color w:val="auto"/>
                <w:kern w:val="0"/>
                <w:sz w:val="24"/>
                <w:highlight w:val="none"/>
              </w:rPr>
            </w:pPr>
          </w:p>
        </w:tc>
        <w:tc>
          <w:tcPr>
            <w:tcW w:w="1239" w:type="dxa"/>
            <w:tcMar>
              <w:top w:w="120" w:type="dxa"/>
              <w:left w:w="120" w:type="dxa"/>
              <w:bottom w:w="120" w:type="dxa"/>
              <w:right w:w="120" w:type="dxa"/>
            </w:tcMar>
            <w:vAlign w:val="center"/>
          </w:tcPr>
          <w:p w14:paraId="0B670DBF">
            <w:pPr>
              <w:spacing w:line="360" w:lineRule="auto"/>
              <w:jc w:val="center"/>
              <w:rPr>
                <w:rFonts w:ascii="宋体" w:hAnsi="宋体" w:cs="宋体"/>
                <w:color w:val="auto"/>
                <w:kern w:val="0"/>
                <w:sz w:val="24"/>
                <w:highlight w:val="none"/>
              </w:rPr>
            </w:pPr>
          </w:p>
        </w:tc>
        <w:tc>
          <w:tcPr>
            <w:tcW w:w="3864" w:type="dxa"/>
            <w:tcMar>
              <w:top w:w="120" w:type="dxa"/>
              <w:left w:w="120" w:type="dxa"/>
              <w:bottom w:w="120" w:type="dxa"/>
              <w:right w:w="120" w:type="dxa"/>
            </w:tcMar>
            <w:vAlign w:val="center"/>
          </w:tcPr>
          <w:p w14:paraId="3153839E">
            <w:pPr>
              <w:spacing w:line="360" w:lineRule="auto"/>
              <w:jc w:val="center"/>
              <w:rPr>
                <w:rFonts w:ascii="宋体" w:hAnsi="宋体" w:cs="宋体"/>
                <w:color w:val="auto"/>
                <w:kern w:val="0"/>
                <w:sz w:val="24"/>
                <w:highlight w:val="none"/>
              </w:rPr>
            </w:pPr>
          </w:p>
        </w:tc>
        <w:tc>
          <w:tcPr>
            <w:tcW w:w="1134" w:type="dxa"/>
            <w:tcMar>
              <w:top w:w="120" w:type="dxa"/>
              <w:left w:w="120" w:type="dxa"/>
              <w:bottom w:w="120" w:type="dxa"/>
              <w:right w:w="120" w:type="dxa"/>
            </w:tcMar>
            <w:vAlign w:val="center"/>
          </w:tcPr>
          <w:p w14:paraId="45504B4B">
            <w:pPr>
              <w:spacing w:line="360" w:lineRule="auto"/>
              <w:jc w:val="center"/>
              <w:rPr>
                <w:rFonts w:ascii="宋体" w:hAnsi="宋体" w:cs="宋体"/>
                <w:color w:val="auto"/>
                <w:kern w:val="0"/>
                <w:sz w:val="24"/>
                <w:highlight w:val="none"/>
              </w:rPr>
            </w:pPr>
          </w:p>
        </w:tc>
      </w:tr>
      <w:tr w14:paraId="2D665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tcMar>
              <w:top w:w="120" w:type="dxa"/>
              <w:left w:w="120" w:type="dxa"/>
              <w:bottom w:w="120" w:type="dxa"/>
              <w:right w:w="120" w:type="dxa"/>
            </w:tcMar>
            <w:vAlign w:val="center"/>
          </w:tcPr>
          <w:p w14:paraId="3895EEF0">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Mar>
              <w:top w:w="120" w:type="dxa"/>
              <w:left w:w="120" w:type="dxa"/>
              <w:bottom w:w="120" w:type="dxa"/>
              <w:right w:w="120" w:type="dxa"/>
            </w:tcMar>
            <w:vAlign w:val="center"/>
          </w:tcPr>
          <w:p w14:paraId="50231C02">
            <w:pPr>
              <w:spacing w:line="360" w:lineRule="auto"/>
              <w:jc w:val="center"/>
              <w:rPr>
                <w:rFonts w:ascii="宋体" w:hAnsi="宋体" w:cs="宋体"/>
                <w:color w:val="auto"/>
                <w:kern w:val="0"/>
                <w:sz w:val="24"/>
                <w:highlight w:val="none"/>
              </w:rPr>
            </w:pPr>
          </w:p>
        </w:tc>
        <w:tc>
          <w:tcPr>
            <w:tcW w:w="1239" w:type="dxa"/>
            <w:tcMar>
              <w:top w:w="120" w:type="dxa"/>
              <w:left w:w="120" w:type="dxa"/>
              <w:bottom w:w="120" w:type="dxa"/>
              <w:right w:w="120" w:type="dxa"/>
            </w:tcMar>
            <w:vAlign w:val="center"/>
          </w:tcPr>
          <w:p w14:paraId="09594101">
            <w:pPr>
              <w:spacing w:line="360" w:lineRule="auto"/>
              <w:jc w:val="center"/>
              <w:rPr>
                <w:rFonts w:ascii="宋体" w:hAnsi="宋体" w:cs="宋体"/>
                <w:color w:val="auto"/>
                <w:kern w:val="0"/>
                <w:sz w:val="24"/>
                <w:highlight w:val="none"/>
              </w:rPr>
            </w:pPr>
          </w:p>
        </w:tc>
        <w:tc>
          <w:tcPr>
            <w:tcW w:w="3864" w:type="dxa"/>
            <w:tcMar>
              <w:top w:w="120" w:type="dxa"/>
              <w:left w:w="120" w:type="dxa"/>
              <w:bottom w:w="120" w:type="dxa"/>
              <w:right w:w="120" w:type="dxa"/>
            </w:tcMar>
            <w:vAlign w:val="center"/>
          </w:tcPr>
          <w:p w14:paraId="61B021FF">
            <w:pPr>
              <w:spacing w:line="360" w:lineRule="auto"/>
              <w:jc w:val="center"/>
              <w:rPr>
                <w:rFonts w:ascii="宋体" w:hAnsi="宋体" w:cs="宋体"/>
                <w:color w:val="auto"/>
                <w:kern w:val="0"/>
                <w:sz w:val="24"/>
                <w:highlight w:val="none"/>
              </w:rPr>
            </w:pPr>
          </w:p>
        </w:tc>
        <w:tc>
          <w:tcPr>
            <w:tcW w:w="1134" w:type="dxa"/>
            <w:tcMar>
              <w:top w:w="120" w:type="dxa"/>
              <w:left w:w="120" w:type="dxa"/>
              <w:bottom w:w="120" w:type="dxa"/>
              <w:right w:w="120" w:type="dxa"/>
            </w:tcMar>
            <w:vAlign w:val="center"/>
          </w:tcPr>
          <w:p w14:paraId="678B56C8">
            <w:pPr>
              <w:spacing w:line="360" w:lineRule="auto"/>
              <w:jc w:val="center"/>
              <w:rPr>
                <w:rFonts w:ascii="宋体" w:hAnsi="宋体" w:cs="宋体"/>
                <w:color w:val="auto"/>
                <w:kern w:val="0"/>
                <w:sz w:val="24"/>
                <w:highlight w:val="none"/>
              </w:rPr>
            </w:pPr>
          </w:p>
        </w:tc>
      </w:tr>
      <w:tr w14:paraId="07D36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tcMar>
              <w:top w:w="120" w:type="dxa"/>
              <w:left w:w="120" w:type="dxa"/>
              <w:bottom w:w="120" w:type="dxa"/>
              <w:right w:w="120" w:type="dxa"/>
            </w:tcMar>
            <w:vAlign w:val="center"/>
          </w:tcPr>
          <w:p w14:paraId="1BF5A22E">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Mar>
              <w:top w:w="120" w:type="dxa"/>
              <w:left w:w="120" w:type="dxa"/>
              <w:bottom w:w="120" w:type="dxa"/>
              <w:right w:w="120" w:type="dxa"/>
            </w:tcMar>
            <w:vAlign w:val="center"/>
          </w:tcPr>
          <w:p w14:paraId="4F9082FC">
            <w:pPr>
              <w:spacing w:line="360" w:lineRule="auto"/>
              <w:jc w:val="center"/>
              <w:rPr>
                <w:rFonts w:ascii="宋体" w:hAnsi="宋体" w:cs="宋体"/>
                <w:color w:val="auto"/>
                <w:kern w:val="0"/>
                <w:sz w:val="24"/>
                <w:highlight w:val="none"/>
              </w:rPr>
            </w:pPr>
          </w:p>
        </w:tc>
        <w:tc>
          <w:tcPr>
            <w:tcW w:w="1239" w:type="dxa"/>
            <w:tcMar>
              <w:top w:w="120" w:type="dxa"/>
              <w:left w:w="120" w:type="dxa"/>
              <w:bottom w:w="120" w:type="dxa"/>
              <w:right w:w="120" w:type="dxa"/>
            </w:tcMar>
            <w:vAlign w:val="center"/>
          </w:tcPr>
          <w:p w14:paraId="1FA0CAAD">
            <w:pPr>
              <w:spacing w:line="360" w:lineRule="auto"/>
              <w:jc w:val="center"/>
              <w:rPr>
                <w:rFonts w:ascii="宋体" w:hAnsi="宋体" w:cs="宋体"/>
                <w:color w:val="auto"/>
                <w:kern w:val="0"/>
                <w:sz w:val="24"/>
                <w:highlight w:val="none"/>
              </w:rPr>
            </w:pPr>
          </w:p>
        </w:tc>
        <w:tc>
          <w:tcPr>
            <w:tcW w:w="3864" w:type="dxa"/>
            <w:tcMar>
              <w:top w:w="120" w:type="dxa"/>
              <w:left w:w="120" w:type="dxa"/>
              <w:bottom w:w="120" w:type="dxa"/>
              <w:right w:w="120" w:type="dxa"/>
            </w:tcMar>
            <w:vAlign w:val="center"/>
          </w:tcPr>
          <w:p w14:paraId="148D79A5">
            <w:pPr>
              <w:spacing w:line="360" w:lineRule="auto"/>
              <w:jc w:val="center"/>
              <w:rPr>
                <w:rFonts w:ascii="宋体" w:hAnsi="宋体" w:cs="宋体"/>
                <w:color w:val="auto"/>
                <w:kern w:val="0"/>
                <w:sz w:val="24"/>
                <w:highlight w:val="none"/>
              </w:rPr>
            </w:pPr>
          </w:p>
        </w:tc>
        <w:tc>
          <w:tcPr>
            <w:tcW w:w="1134" w:type="dxa"/>
            <w:tcMar>
              <w:top w:w="120" w:type="dxa"/>
              <w:left w:w="120" w:type="dxa"/>
              <w:bottom w:w="120" w:type="dxa"/>
              <w:right w:w="120" w:type="dxa"/>
            </w:tcMar>
            <w:vAlign w:val="center"/>
          </w:tcPr>
          <w:p w14:paraId="52853C4F">
            <w:pPr>
              <w:spacing w:line="360" w:lineRule="auto"/>
              <w:jc w:val="center"/>
              <w:rPr>
                <w:rFonts w:ascii="宋体" w:hAnsi="宋体" w:cs="宋体"/>
                <w:color w:val="auto"/>
                <w:kern w:val="0"/>
                <w:sz w:val="24"/>
                <w:highlight w:val="none"/>
              </w:rPr>
            </w:pPr>
          </w:p>
        </w:tc>
      </w:tr>
      <w:tr w14:paraId="71F39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tcMar>
              <w:top w:w="120" w:type="dxa"/>
              <w:left w:w="120" w:type="dxa"/>
              <w:bottom w:w="120" w:type="dxa"/>
              <w:right w:w="120" w:type="dxa"/>
            </w:tcMar>
            <w:vAlign w:val="center"/>
          </w:tcPr>
          <w:p w14:paraId="51840A18">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Mar>
              <w:top w:w="120" w:type="dxa"/>
              <w:left w:w="120" w:type="dxa"/>
              <w:bottom w:w="120" w:type="dxa"/>
              <w:right w:w="120" w:type="dxa"/>
            </w:tcMar>
            <w:vAlign w:val="center"/>
          </w:tcPr>
          <w:p w14:paraId="473D6937">
            <w:pPr>
              <w:spacing w:line="360" w:lineRule="auto"/>
              <w:jc w:val="center"/>
              <w:rPr>
                <w:rFonts w:ascii="宋体" w:hAnsi="宋体" w:cs="宋体"/>
                <w:color w:val="auto"/>
                <w:kern w:val="0"/>
                <w:sz w:val="24"/>
                <w:highlight w:val="none"/>
              </w:rPr>
            </w:pPr>
          </w:p>
        </w:tc>
        <w:tc>
          <w:tcPr>
            <w:tcW w:w="1239" w:type="dxa"/>
            <w:tcMar>
              <w:top w:w="120" w:type="dxa"/>
              <w:left w:w="120" w:type="dxa"/>
              <w:bottom w:w="120" w:type="dxa"/>
              <w:right w:w="120" w:type="dxa"/>
            </w:tcMar>
            <w:vAlign w:val="center"/>
          </w:tcPr>
          <w:p w14:paraId="31B3E017">
            <w:pPr>
              <w:spacing w:line="360" w:lineRule="auto"/>
              <w:jc w:val="center"/>
              <w:rPr>
                <w:rFonts w:ascii="宋体" w:hAnsi="宋体" w:cs="宋体"/>
                <w:color w:val="auto"/>
                <w:kern w:val="0"/>
                <w:sz w:val="24"/>
                <w:highlight w:val="none"/>
              </w:rPr>
            </w:pPr>
          </w:p>
        </w:tc>
        <w:tc>
          <w:tcPr>
            <w:tcW w:w="3864" w:type="dxa"/>
            <w:tcMar>
              <w:top w:w="120" w:type="dxa"/>
              <w:left w:w="120" w:type="dxa"/>
              <w:bottom w:w="120" w:type="dxa"/>
              <w:right w:w="120" w:type="dxa"/>
            </w:tcMar>
            <w:vAlign w:val="center"/>
          </w:tcPr>
          <w:p w14:paraId="70591A41">
            <w:pPr>
              <w:spacing w:line="360" w:lineRule="auto"/>
              <w:jc w:val="center"/>
              <w:rPr>
                <w:rFonts w:ascii="宋体" w:hAnsi="宋体" w:cs="宋体"/>
                <w:color w:val="auto"/>
                <w:kern w:val="0"/>
                <w:sz w:val="24"/>
                <w:highlight w:val="none"/>
              </w:rPr>
            </w:pPr>
          </w:p>
        </w:tc>
        <w:tc>
          <w:tcPr>
            <w:tcW w:w="1134" w:type="dxa"/>
            <w:tcMar>
              <w:top w:w="120" w:type="dxa"/>
              <w:left w:w="120" w:type="dxa"/>
              <w:bottom w:w="120" w:type="dxa"/>
              <w:right w:w="120" w:type="dxa"/>
            </w:tcMar>
            <w:vAlign w:val="center"/>
          </w:tcPr>
          <w:p w14:paraId="722C6730">
            <w:pPr>
              <w:spacing w:line="360" w:lineRule="auto"/>
              <w:jc w:val="center"/>
              <w:rPr>
                <w:rFonts w:ascii="宋体" w:hAnsi="宋体" w:cs="宋体"/>
                <w:color w:val="auto"/>
                <w:kern w:val="0"/>
                <w:sz w:val="24"/>
                <w:highlight w:val="none"/>
              </w:rPr>
            </w:pPr>
          </w:p>
        </w:tc>
      </w:tr>
    </w:tbl>
    <w:p w14:paraId="2B161FC5">
      <w:pPr>
        <w:snapToGrid w:val="0"/>
        <w:spacing w:line="360" w:lineRule="auto"/>
        <w:jc w:val="left"/>
        <w:rPr>
          <w:rFonts w:ascii="宋体" w:hAnsi="宋体"/>
          <w:color w:val="auto"/>
          <w:sz w:val="24"/>
          <w:highlight w:val="none"/>
        </w:rPr>
      </w:pPr>
      <w:r>
        <w:rPr>
          <w:rFonts w:hint="eastAsia" w:ascii="宋体" w:hAnsi="宋体"/>
          <w:color w:val="auto"/>
          <w:sz w:val="24"/>
          <w:highlight w:val="none"/>
        </w:rPr>
        <w:t>注：</w:t>
      </w:r>
    </w:p>
    <w:p w14:paraId="3B15F318">
      <w:pPr>
        <w:snapToGrid w:val="0"/>
        <w:spacing w:line="360" w:lineRule="auto"/>
        <w:jc w:val="left"/>
        <w:rPr>
          <w:rFonts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13070D6">
      <w:pPr>
        <w:snapToGrid w:val="0"/>
        <w:spacing w:line="360" w:lineRule="auto"/>
        <w:jc w:val="left"/>
        <w:rPr>
          <w:rFonts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4D77B71A">
      <w:pPr>
        <w:snapToGrid w:val="0"/>
        <w:spacing w:line="360" w:lineRule="auto"/>
        <w:jc w:val="left"/>
        <w:rPr>
          <w:rFonts w:ascii="宋体" w:hAnsi="宋体"/>
          <w:color w:val="auto"/>
          <w:sz w:val="24"/>
          <w:highlight w:val="none"/>
        </w:rPr>
      </w:pPr>
      <w:r>
        <w:rPr>
          <w:rFonts w:hint="eastAsia" w:ascii="宋体" w:hAnsi="宋体"/>
          <w:color w:val="auto"/>
          <w:sz w:val="24"/>
          <w:highlight w:val="none"/>
        </w:rPr>
        <w:t>3.供应商不存在直接控股股东的，则在“</w:t>
      </w:r>
      <w:r>
        <w:rPr>
          <w:rFonts w:hint="eastAsia" w:ascii="宋体" w:hAnsi="宋体" w:cs="宋体"/>
          <w:bCs/>
          <w:color w:val="auto"/>
          <w:kern w:val="0"/>
          <w:sz w:val="24"/>
          <w:highlight w:val="none"/>
        </w:rPr>
        <w:t>直接控股股东名称</w:t>
      </w:r>
      <w:r>
        <w:rPr>
          <w:rFonts w:hint="eastAsia" w:ascii="宋体" w:hAnsi="宋体"/>
          <w:color w:val="auto"/>
          <w:sz w:val="24"/>
          <w:highlight w:val="none"/>
        </w:rPr>
        <w:t>”中填“无”。</w:t>
      </w:r>
    </w:p>
    <w:p w14:paraId="71960537">
      <w:pPr>
        <w:snapToGrid w:val="0"/>
        <w:spacing w:line="360" w:lineRule="auto"/>
        <w:jc w:val="left"/>
        <w:rPr>
          <w:rFonts w:ascii="宋体" w:hAnsi="宋体"/>
          <w:color w:val="auto"/>
          <w:sz w:val="24"/>
          <w:highlight w:val="none"/>
        </w:rPr>
      </w:pPr>
    </w:p>
    <w:p w14:paraId="4510B97D">
      <w:pPr>
        <w:snapToGrid w:val="0"/>
        <w:spacing w:line="360" w:lineRule="auto"/>
        <w:jc w:val="left"/>
        <w:rPr>
          <w:rFonts w:ascii="宋体" w:hAnsi="宋体"/>
          <w:color w:val="auto"/>
          <w:sz w:val="24"/>
          <w:highlight w:val="none"/>
        </w:rPr>
      </w:pPr>
    </w:p>
    <w:p w14:paraId="2FDEFA27">
      <w:pPr>
        <w:snapToGrid w:val="0"/>
        <w:spacing w:line="360" w:lineRule="auto"/>
        <w:jc w:val="left"/>
        <w:rPr>
          <w:rFonts w:ascii="宋体" w:hAnsi="宋体"/>
          <w:color w:val="auto"/>
          <w:sz w:val="24"/>
          <w:highlight w:val="none"/>
        </w:rPr>
      </w:pPr>
    </w:p>
    <w:p w14:paraId="30C4E3AA">
      <w:pPr>
        <w:snapToGrid w:val="0"/>
        <w:spacing w:line="360" w:lineRule="auto"/>
        <w:ind w:left="-2" w:leftChars="-1" w:right="-817" w:rightChars="-389"/>
        <w:rPr>
          <w:rFonts w:ascii="宋体" w:hAnsi="宋体"/>
          <w:color w:val="auto"/>
          <w:sz w:val="24"/>
          <w:highlight w:val="none"/>
        </w:rPr>
      </w:pPr>
      <w:r>
        <w:rPr>
          <w:rFonts w:hint="eastAsia" w:ascii="宋体" w:hAnsi="宋体"/>
          <w:color w:val="auto"/>
          <w:sz w:val="24"/>
          <w:highlight w:val="none"/>
        </w:rPr>
        <w:t xml:space="preserve">             法定代表人或者委托代理人（签字或者电子签名）：</w:t>
      </w:r>
    </w:p>
    <w:p w14:paraId="164C3D03">
      <w:pPr>
        <w:snapToGrid w:val="0"/>
        <w:spacing w:line="360" w:lineRule="auto"/>
        <w:ind w:left="-3" w:leftChars="-15" w:right="-817" w:rightChars="-389" w:hanging="28" w:hangingChars="12"/>
        <w:rPr>
          <w:rFonts w:ascii="宋体" w:hAnsi="宋体"/>
          <w:color w:val="auto"/>
          <w:sz w:val="24"/>
          <w:highlight w:val="none"/>
        </w:rPr>
      </w:pPr>
      <w:r>
        <w:rPr>
          <w:rFonts w:hint="eastAsia" w:ascii="宋体" w:hAnsi="宋体"/>
          <w:color w:val="auto"/>
          <w:sz w:val="24"/>
          <w:highlight w:val="none"/>
        </w:rPr>
        <w:t xml:space="preserve">                                    供应商名称（电子签章）：</w:t>
      </w:r>
    </w:p>
    <w:p w14:paraId="157502F0">
      <w:pPr>
        <w:snapToGrid w:val="0"/>
        <w:spacing w:line="360" w:lineRule="auto"/>
        <w:jc w:val="left"/>
        <w:rPr>
          <w:rFonts w:ascii="宋体" w:hAnsi="宋体"/>
          <w:color w:val="auto"/>
          <w:szCs w:val="21"/>
          <w:highlight w:val="none"/>
        </w:rPr>
      </w:pPr>
      <w:r>
        <w:rPr>
          <w:rFonts w:hint="eastAsia" w:ascii="宋体" w:hAnsi="宋体"/>
          <w:color w:val="auto"/>
          <w:sz w:val="24"/>
          <w:highlight w:val="none"/>
        </w:rPr>
        <w:t xml:space="preserve">                                    日期：    年   月   日</w:t>
      </w:r>
    </w:p>
    <w:p w14:paraId="3687F467">
      <w:pPr>
        <w:snapToGrid w:val="0"/>
        <w:jc w:val="center"/>
        <w:rPr>
          <w:rFonts w:ascii="宋体" w:hAnsi="宋体"/>
          <w:b/>
          <w:color w:val="auto"/>
          <w:sz w:val="28"/>
          <w:szCs w:val="28"/>
          <w:highlight w:val="none"/>
        </w:rPr>
      </w:pPr>
    </w:p>
    <w:p w14:paraId="4F2CAAF2">
      <w:pPr>
        <w:spacing w:line="520" w:lineRule="exact"/>
        <w:jc w:val="center"/>
        <w:rPr>
          <w:rFonts w:ascii="方正小标宋简体" w:hAnsi="方正小标宋简体" w:eastAsia="方正小标宋简体" w:cs="方正小标宋简体"/>
          <w:color w:val="auto"/>
          <w:sz w:val="44"/>
          <w:szCs w:val="44"/>
          <w:highlight w:val="none"/>
        </w:rPr>
      </w:pPr>
      <w:r>
        <w:rPr>
          <w:rFonts w:hint="eastAsia" w:ascii="宋体" w:hAnsi="宋体"/>
          <w:b/>
          <w:color w:val="auto"/>
          <w:sz w:val="32"/>
          <w:szCs w:val="32"/>
          <w:highlight w:val="none"/>
        </w:rPr>
        <w:br w:type="page"/>
      </w:r>
      <w:r>
        <w:rPr>
          <w:rFonts w:hint="eastAsia" w:ascii="方正小标宋简体" w:hAnsi="方正小标宋简体" w:eastAsia="方正小标宋简体" w:cs="方正小标宋简体"/>
          <w:color w:val="auto"/>
          <w:sz w:val="44"/>
          <w:szCs w:val="44"/>
          <w:highlight w:val="none"/>
        </w:rPr>
        <w:t>供应商直接管理关系信息表</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5"/>
        <w:gridCol w:w="2659"/>
        <w:gridCol w:w="3924"/>
        <w:gridCol w:w="2064"/>
      </w:tblGrid>
      <w:tr w14:paraId="436A5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005" w:type="dxa"/>
            <w:tcMar>
              <w:top w:w="120" w:type="dxa"/>
              <w:left w:w="120" w:type="dxa"/>
              <w:bottom w:w="120" w:type="dxa"/>
              <w:right w:w="120" w:type="dxa"/>
            </w:tcMar>
            <w:vAlign w:val="center"/>
          </w:tcPr>
          <w:p w14:paraId="55DF4E8F">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Mar>
              <w:top w:w="120" w:type="dxa"/>
              <w:left w:w="120" w:type="dxa"/>
              <w:bottom w:w="120" w:type="dxa"/>
              <w:right w:w="120" w:type="dxa"/>
            </w:tcMar>
            <w:vAlign w:val="center"/>
          </w:tcPr>
          <w:p w14:paraId="63975676">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Mar>
              <w:top w:w="120" w:type="dxa"/>
              <w:left w:w="120" w:type="dxa"/>
              <w:bottom w:w="120" w:type="dxa"/>
              <w:right w:w="120" w:type="dxa"/>
            </w:tcMar>
            <w:vAlign w:val="center"/>
          </w:tcPr>
          <w:p w14:paraId="7FEC1291">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Mar>
              <w:top w:w="120" w:type="dxa"/>
              <w:left w:w="120" w:type="dxa"/>
              <w:bottom w:w="120" w:type="dxa"/>
              <w:right w:w="120" w:type="dxa"/>
            </w:tcMar>
            <w:vAlign w:val="center"/>
          </w:tcPr>
          <w:p w14:paraId="019CF3B4">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7FEF0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tcMar>
              <w:top w:w="120" w:type="dxa"/>
              <w:left w:w="120" w:type="dxa"/>
              <w:bottom w:w="120" w:type="dxa"/>
              <w:right w:w="120" w:type="dxa"/>
            </w:tcMar>
            <w:vAlign w:val="center"/>
          </w:tcPr>
          <w:p w14:paraId="26D9380E">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Mar>
              <w:top w:w="120" w:type="dxa"/>
              <w:left w:w="120" w:type="dxa"/>
              <w:bottom w:w="120" w:type="dxa"/>
              <w:right w:w="120" w:type="dxa"/>
            </w:tcMar>
            <w:vAlign w:val="center"/>
          </w:tcPr>
          <w:p w14:paraId="133011CC">
            <w:pPr>
              <w:spacing w:line="360" w:lineRule="auto"/>
              <w:jc w:val="center"/>
              <w:rPr>
                <w:rFonts w:ascii="宋体" w:hAnsi="宋体" w:cs="宋体"/>
                <w:color w:val="auto"/>
                <w:kern w:val="0"/>
                <w:sz w:val="24"/>
                <w:highlight w:val="none"/>
              </w:rPr>
            </w:pPr>
          </w:p>
        </w:tc>
        <w:tc>
          <w:tcPr>
            <w:tcW w:w="3924" w:type="dxa"/>
            <w:tcMar>
              <w:top w:w="120" w:type="dxa"/>
              <w:left w:w="120" w:type="dxa"/>
              <w:bottom w:w="120" w:type="dxa"/>
              <w:right w:w="120" w:type="dxa"/>
            </w:tcMar>
            <w:vAlign w:val="center"/>
          </w:tcPr>
          <w:p w14:paraId="197D7265">
            <w:pPr>
              <w:spacing w:line="360" w:lineRule="auto"/>
              <w:jc w:val="center"/>
              <w:rPr>
                <w:rFonts w:ascii="宋体" w:hAnsi="宋体" w:cs="宋体"/>
                <w:color w:val="auto"/>
                <w:kern w:val="0"/>
                <w:sz w:val="24"/>
                <w:highlight w:val="none"/>
              </w:rPr>
            </w:pPr>
          </w:p>
        </w:tc>
        <w:tc>
          <w:tcPr>
            <w:tcW w:w="2064" w:type="dxa"/>
            <w:tcMar>
              <w:top w:w="120" w:type="dxa"/>
              <w:left w:w="120" w:type="dxa"/>
              <w:bottom w:w="120" w:type="dxa"/>
              <w:right w:w="120" w:type="dxa"/>
            </w:tcMar>
            <w:vAlign w:val="center"/>
          </w:tcPr>
          <w:p w14:paraId="6DF5D72B">
            <w:pPr>
              <w:spacing w:line="360" w:lineRule="auto"/>
              <w:jc w:val="center"/>
              <w:rPr>
                <w:rFonts w:ascii="宋体" w:hAnsi="宋体" w:cs="宋体"/>
                <w:color w:val="auto"/>
                <w:kern w:val="0"/>
                <w:sz w:val="24"/>
                <w:highlight w:val="none"/>
              </w:rPr>
            </w:pPr>
          </w:p>
        </w:tc>
      </w:tr>
      <w:tr w14:paraId="4D452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tcMar>
              <w:top w:w="120" w:type="dxa"/>
              <w:left w:w="120" w:type="dxa"/>
              <w:bottom w:w="120" w:type="dxa"/>
              <w:right w:w="120" w:type="dxa"/>
            </w:tcMar>
            <w:vAlign w:val="center"/>
          </w:tcPr>
          <w:p w14:paraId="10F922C3">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Mar>
              <w:top w:w="120" w:type="dxa"/>
              <w:left w:w="120" w:type="dxa"/>
              <w:bottom w:w="120" w:type="dxa"/>
              <w:right w:w="120" w:type="dxa"/>
            </w:tcMar>
            <w:vAlign w:val="center"/>
          </w:tcPr>
          <w:p w14:paraId="34115183">
            <w:pPr>
              <w:spacing w:line="360" w:lineRule="auto"/>
              <w:jc w:val="center"/>
              <w:rPr>
                <w:rFonts w:ascii="宋体" w:hAnsi="宋体" w:cs="宋体"/>
                <w:color w:val="auto"/>
                <w:kern w:val="0"/>
                <w:sz w:val="24"/>
                <w:highlight w:val="none"/>
              </w:rPr>
            </w:pPr>
          </w:p>
        </w:tc>
        <w:tc>
          <w:tcPr>
            <w:tcW w:w="3924" w:type="dxa"/>
            <w:tcMar>
              <w:top w:w="120" w:type="dxa"/>
              <w:left w:w="120" w:type="dxa"/>
              <w:bottom w:w="120" w:type="dxa"/>
              <w:right w:w="120" w:type="dxa"/>
            </w:tcMar>
            <w:vAlign w:val="center"/>
          </w:tcPr>
          <w:p w14:paraId="0A8A6469">
            <w:pPr>
              <w:spacing w:line="360" w:lineRule="auto"/>
              <w:jc w:val="center"/>
              <w:rPr>
                <w:rFonts w:ascii="宋体" w:hAnsi="宋体" w:cs="宋体"/>
                <w:color w:val="auto"/>
                <w:kern w:val="0"/>
                <w:sz w:val="24"/>
                <w:highlight w:val="none"/>
              </w:rPr>
            </w:pPr>
          </w:p>
        </w:tc>
        <w:tc>
          <w:tcPr>
            <w:tcW w:w="2064" w:type="dxa"/>
            <w:tcMar>
              <w:top w:w="120" w:type="dxa"/>
              <w:left w:w="120" w:type="dxa"/>
              <w:bottom w:w="120" w:type="dxa"/>
              <w:right w:w="120" w:type="dxa"/>
            </w:tcMar>
            <w:vAlign w:val="center"/>
          </w:tcPr>
          <w:p w14:paraId="1A451084">
            <w:pPr>
              <w:spacing w:line="360" w:lineRule="auto"/>
              <w:jc w:val="center"/>
              <w:rPr>
                <w:rFonts w:ascii="宋体" w:hAnsi="宋体" w:cs="宋体"/>
                <w:color w:val="auto"/>
                <w:kern w:val="0"/>
                <w:sz w:val="24"/>
                <w:highlight w:val="none"/>
              </w:rPr>
            </w:pPr>
          </w:p>
        </w:tc>
      </w:tr>
      <w:tr w14:paraId="334A8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tcMar>
              <w:top w:w="120" w:type="dxa"/>
              <w:left w:w="120" w:type="dxa"/>
              <w:bottom w:w="120" w:type="dxa"/>
              <w:right w:w="120" w:type="dxa"/>
            </w:tcMar>
            <w:vAlign w:val="center"/>
          </w:tcPr>
          <w:p w14:paraId="66410FC3">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Mar>
              <w:top w:w="120" w:type="dxa"/>
              <w:left w:w="120" w:type="dxa"/>
              <w:bottom w:w="120" w:type="dxa"/>
              <w:right w:w="120" w:type="dxa"/>
            </w:tcMar>
            <w:vAlign w:val="center"/>
          </w:tcPr>
          <w:p w14:paraId="6AD4689F">
            <w:pPr>
              <w:spacing w:line="360" w:lineRule="auto"/>
              <w:jc w:val="center"/>
              <w:rPr>
                <w:rFonts w:ascii="宋体" w:hAnsi="宋体" w:cs="宋体"/>
                <w:color w:val="auto"/>
                <w:kern w:val="0"/>
                <w:sz w:val="24"/>
                <w:highlight w:val="none"/>
              </w:rPr>
            </w:pPr>
          </w:p>
        </w:tc>
        <w:tc>
          <w:tcPr>
            <w:tcW w:w="3924" w:type="dxa"/>
            <w:tcMar>
              <w:top w:w="120" w:type="dxa"/>
              <w:left w:w="120" w:type="dxa"/>
              <w:bottom w:w="120" w:type="dxa"/>
              <w:right w:w="120" w:type="dxa"/>
            </w:tcMar>
            <w:vAlign w:val="center"/>
          </w:tcPr>
          <w:p w14:paraId="22A85C7F">
            <w:pPr>
              <w:spacing w:line="360" w:lineRule="auto"/>
              <w:jc w:val="center"/>
              <w:rPr>
                <w:rFonts w:ascii="宋体" w:hAnsi="宋体" w:cs="宋体"/>
                <w:color w:val="auto"/>
                <w:kern w:val="0"/>
                <w:sz w:val="24"/>
                <w:highlight w:val="none"/>
              </w:rPr>
            </w:pPr>
          </w:p>
        </w:tc>
        <w:tc>
          <w:tcPr>
            <w:tcW w:w="2064" w:type="dxa"/>
            <w:tcMar>
              <w:top w:w="120" w:type="dxa"/>
              <w:left w:w="120" w:type="dxa"/>
              <w:bottom w:w="120" w:type="dxa"/>
              <w:right w:w="120" w:type="dxa"/>
            </w:tcMar>
            <w:vAlign w:val="center"/>
          </w:tcPr>
          <w:p w14:paraId="3AE13D30">
            <w:pPr>
              <w:spacing w:line="360" w:lineRule="auto"/>
              <w:jc w:val="center"/>
              <w:rPr>
                <w:rFonts w:ascii="宋体" w:hAnsi="宋体" w:cs="宋体"/>
                <w:color w:val="auto"/>
                <w:kern w:val="0"/>
                <w:sz w:val="24"/>
                <w:highlight w:val="none"/>
              </w:rPr>
            </w:pPr>
          </w:p>
        </w:tc>
      </w:tr>
      <w:tr w14:paraId="1AA25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tcMar>
              <w:top w:w="120" w:type="dxa"/>
              <w:left w:w="120" w:type="dxa"/>
              <w:bottom w:w="120" w:type="dxa"/>
              <w:right w:w="120" w:type="dxa"/>
            </w:tcMar>
            <w:vAlign w:val="center"/>
          </w:tcPr>
          <w:p w14:paraId="6D01621A">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Mar>
              <w:top w:w="120" w:type="dxa"/>
              <w:left w:w="120" w:type="dxa"/>
              <w:bottom w:w="120" w:type="dxa"/>
              <w:right w:w="120" w:type="dxa"/>
            </w:tcMar>
            <w:vAlign w:val="center"/>
          </w:tcPr>
          <w:p w14:paraId="5BA82A16">
            <w:pPr>
              <w:spacing w:line="360" w:lineRule="auto"/>
              <w:jc w:val="center"/>
              <w:rPr>
                <w:rFonts w:ascii="宋体" w:hAnsi="宋体" w:cs="宋体"/>
                <w:color w:val="auto"/>
                <w:kern w:val="0"/>
                <w:sz w:val="24"/>
                <w:highlight w:val="none"/>
              </w:rPr>
            </w:pPr>
          </w:p>
        </w:tc>
        <w:tc>
          <w:tcPr>
            <w:tcW w:w="3924" w:type="dxa"/>
            <w:tcMar>
              <w:top w:w="120" w:type="dxa"/>
              <w:left w:w="120" w:type="dxa"/>
              <w:bottom w:w="120" w:type="dxa"/>
              <w:right w:w="120" w:type="dxa"/>
            </w:tcMar>
            <w:vAlign w:val="center"/>
          </w:tcPr>
          <w:p w14:paraId="07B1484B">
            <w:pPr>
              <w:spacing w:line="360" w:lineRule="auto"/>
              <w:jc w:val="center"/>
              <w:rPr>
                <w:rFonts w:ascii="宋体" w:hAnsi="宋体" w:cs="宋体"/>
                <w:color w:val="auto"/>
                <w:kern w:val="0"/>
                <w:sz w:val="24"/>
                <w:highlight w:val="none"/>
              </w:rPr>
            </w:pPr>
          </w:p>
        </w:tc>
        <w:tc>
          <w:tcPr>
            <w:tcW w:w="2064" w:type="dxa"/>
            <w:tcMar>
              <w:top w:w="120" w:type="dxa"/>
              <w:left w:w="120" w:type="dxa"/>
              <w:bottom w:w="120" w:type="dxa"/>
              <w:right w:w="120" w:type="dxa"/>
            </w:tcMar>
            <w:vAlign w:val="center"/>
          </w:tcPr>
          <w:p w14:paraId="5335C5AC">
            <w:pPr>
              <w:spacing w:line="360" w:lineRule="auto"/>
              <w:jc w:val="center"/>
              <w:rPr>
                <w:rFonts w:ascii="宋体" w:hAnsi="宋体" w:cs="宋体"/>
                <w:color w:val="auto"/>
                <w:kern w:val="0"/>
                <w:sz w:val="24"/>
                <w:highlight w:val="none"/>
              </w:rPr>
            </w:pPr>
          </w:p>
        </w:tc>
      </w:tr>
    </w:tbl>
    <w:p w14:paraId="6BAA031A">
      <w:pPr>
        <w:snapToGrid w:val="0"/>
        <w:spacing w:line="360" w:lineRule="auto"/>
        <w:jc w:val="left"/>
        <w:rPr>
          <w:rFonts w:ascii="宋体" w:hAnsi="宋体"/>
          <w:color w:val="auto"/>
          <w:sz w:val="24"/>
          <w:highlight w:val="none"/>
        </w:rPr>
      </w:pPr>
      <w:r>
        <w:rPr>
          <w:rFonts w:hint="eastAsia" w:ascii="宋体" w:hAnsi="宋体"/>
          <w:color w:val="auto"/>
          <w:sz w:val="24"/>
          <w:highlight w:val="none"/>
        </w:rPr>
        <w:t>注：</w:t>
      </w:r>
    </w:p>
    <w:p w14:paraId="7C93ED8A">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155C215C">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346A3596">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3.供应商不存在直接管理关系的，则在“</w:t>
      </w:r>
      <w:r>
        <w:rPr>
          <w:rFonts w:hint="eastAsia" w:ascii="宋体" w:hAnsi="宋体" w:cs="宋体"/>
          <w:bCs/>
          <w:color w:val="auto"/>
          <w:kern w:val="0"/>
          <w:sz w:val="24"/>
          <w:highlight w:val="none"/>
        </w:rPr>
        <w:t>直接管理关系单位名称</w:t>
      </w:r>
      <w:r>
        <w:rPr>
          <w:rFonts w:hint="eastAsia" w:ascii="宋体" w:hAnsi="宋体"/>
          <w:color w:val="auto"/>
          <w:sz w:val="24"/>
          <w:highlight w:val="none"/>
        </w:rPr>
        <w:t>”中填“无”。</w:t>
      </w:r>
    </w:p>
    <w:p w14:paraId="3C3FFBF4">
      <w:pPr>
        <w:snapToGrid w:val="0"/>
        <w:spacing w:line="360" w:lineRule="auto"/>
        <w:jc w:val="left"/>
        <w:rPr>
          <w:rFonts w:ascii="宋体" w:hAnsi="宋体"/>
          <w:color w:val="auto"/>
          <w:sz w:val="24"/>
          <w:highlight w:val="none"/>
        </w:rPr>
      </w:pPr>
    </w:p>
    <w:p w14:paraId="1F65054F">
      <w:pPr>
        <w:snapToGrid w:val="0"/>
        <w:spacing w:line="360" w:lineRule="auto"/>
        <w:jc w:val="left"/>
        <w:rPr>
          <w:rFonts w:ascii="宋体" w:hAnsi="宋体"/>
          <w:color w:val="auto"/>
          <w:sz w:val="24"/>
          <w:highlight w:val="none"/>
        </w:rPr>
      </w:pPr>
    </w:p>
    <w:p w14:paraId="569AE462">
      <w:pPr>
        <w:snapToGrid w:val="0"/>
        <w:spacing w:line="360" w:lineRule="auto"/>
        <w:jc w:val="left"/>
        <w:rPr>
          <w:rFonts w:ascii="宋体" w:hAnsi="宋体"/>
          <w:color w:val="auto"/>
          <w:sz w:val="24"/>
          <w:highlight w:val="none"/>
        </w:rPr>
      </w:pPr>
    </w:p>
    <w:p w14:paraId="34CB46C0">
      <w:pPr>
        <w:snapToGrid w:val="0"/>
        <w:spacing w:line="360" w:lineRule="auto"/>
        <w:jc w:val="left"/>
        <w:rPr>
          <w:color w:val="auto"/>
          <w:sz w:val="24"/>
          <w:highlight w:val="none"/>
        </w:rPr>
      </w:pPr>
    </w:p>
    <w:p w14:paraId="091D60CC">
      <w:pPr>
        <w:snapToGrid w:val="0"/>
        <w:spacing w:line="360" w:lineRule="auto"/>
        <w:ind w:left="-2" w:leftChars="-1" w:right="-817" w:rightChars="-389"/>
        <w:rPr>
          <w:rFonts w:ascii="宋体" w:hAnsi="宋体"/>
          <w:color w:val="auto"/>
          <w:sz w:val="24"/>
          <w:highlight w:val="none"/>
        </w:rPr>
      </w:pPr>
      <w:r>
        <w:rPr>
          <w:rFonts w:hint="eastAsia" w:ascii="宋体" w:hAnsi="宋体"/>
          <w:color w:val="auto"/>
          <w:sz w:val="24"/>
          <w:highlight w:val="none"/>
        </w:rPr>
        <w:t xml:space="preserve">            法定代表人或者委托代理人（签字或者电子签名）：</w:t>
      </w:r>
    </w:p>
    <w:p w14:paraId="7B243B06">
      <w:pPr>
        <w:snapToGrid w:val="0"/>
        <w:spacing w:line="360" w:lineRule="auto"/>
        <w:ind w:left="-3" w:leftChars="-15" w:right="-817" w:rightChars="-389" w:hanging="28" w:hangingChars="12"/>
        <w:rPr>
          <w:rFonts w:ascii="宋体" w:hAnsi="宋体"/>
          <w:color w:val="auto"/>
          <w:sz w:val="24"/>
          <w:highlight w:val="none"/>
        </w:rPr>
      </w:pPr>
      <w:r>
        <w:rPr>
          <w:rFonts w:hint="eastAsia" w:ascii="宋体" w:hAnsi="宋体"/>
          <w:color w:val="auto"/>
          <w:sz w:val="24"/>
          <w:highlight w:val="none"/>
        </w:rPr>
        <w:t xml:space="preserve">                                  供应商名称（电子签章）：</w:t>
      </w:r>
    </w:p>
    <w:p w14:paraId="2149E331">
      <w:pPr>
        <w:snapToGrid w:val="0"/>
        <w:spacing w:line="360" w:lineRule="auto"/>
        <w:ind w:right="480" w:firstLine="240" w:firstLineChars="100"/>
        <w:jc w:val="left"/>
        <w:rPr>
          <w:rFonts w:ascii="宋体" w:hAnsi="宋体"/>
          <w:color w:val="auto"/>
          <w:szCs w:val="21"/>
          <w:highlight w:val="none"/>
        </w:rPr>
      </w:pPr>
      <w:r>
        <w:rPr>
          <w:rFonts w:hint="eastAsia" w:ascii="宋体" w:hAnsi="宋体"/>
          <w:color w:val="auto"/>
          <w:sz w:val="24"/>
          <w:highlight w:val="none"/>
        </w:rPr>
        <w:t xml:space="preserve">                                日期：    年   月   日</w:t>
      </w:r>
    </w:p>
    <w:p w14:paraId="7FA1602A">
      <w:pPr>
        <w:snapToGrid w:val="0"/>
        <w:spacing w:before="156" w:beforeLines="50" w:after="50"/>
        <w:jc w:val="left"/>
        <w:rPr>
          <w:rFonts w:ascii="宋体" w:hAnsi="宋体"/>
          <w:color w:val="auto"/>
          <w:sz w:val="24"/>
          <w:highlight w:val="none"/>
        </w:rPr>
      </w:pPr>
    </w:p>
    <w:p w14:paraId="53350902">
      <w:pPr>
        <w:snapToGrid w:val="0"/>
        <w:spacing w:before="50" w:after="156" w:afterLines="50"/>
        <w:jc w:val="left"/>
        <w:rPr>
          <w:rFonts w:ascii="宋体" w:hAnsi="宋体"/>
          <w:color w:val="auto"/>
          <w:szCs w:val="21"/>
          <w:highlight w:val="none"/>
        </w:rPr>
      </w:pPr>
    </w:p>
    <w:p w14:paraId="7E1F1D7C">
      <w:pPr>
        <w:snapToGrid w:val="0"/>
        <w:spacing w:before="156" w:beforeLines="50" w:after="50"/>
        <w:jc w:val="left"/>
        <w:rPr>
          <w:rFonts w:ascii="宋体" w:hAnsi="宋体"/>
          <w:b/>
          <w:color w:val="auto"/>
          <w:sz w:val="24"/>
          <w:szCs w:val="20"/>
          <w:highlight w:val="none"/>
        </w:rPr>
      </w:pPr>
    </w:p>
    <w:p w14:paraId="24D5FBED">
      <w:pPr>
        <w:snapToGrid w:val="0"/>
        <w:spacing w:before="156" w:beforeLines="50" w:after="50"/>
        <w:ind w:left="142"/>
        <w:jc w:val="left"/>
        <w:rPr>
          <w:rFonts w:ascii="宋体" w:hAnsi="宋体"/>
          <w:b/>
          <w:color w:val="auto"/>
          <w:sz w:val="24"/>
          <w:highlight w:val="none"/>
        </w:rPr>
      </w:pPr>
    </w:p>
    <w:p w14:paraId="37922984">
      <w:pPr>
        <w:snapToGrid w:val="0"/>
        <w:spacing w:before="156" w:beforeLines="50" w:after="50"/>
        <w:ind w:left="142"/>
        <w:jc w:val="left"/>
        <w:rPr>
          <w:rFonts w:ascii="宋体" w:hAnsi="宋体"/>
          <w:b/>
          <w:color w:val="auto"/>
          <w:sz w:val="24"/>
          <w:highlight w:val="none"/>
        </w:rPr>
      </w:pPr>
    </w:p>
    <w:p w14:paraId="2DAF40BB">
      <w:pPr>
        <w:snapToGrid w:val="0"/>
        <w:spacing w:before="156" w:beforeLines="50" w:after="50"/>
        <w:ind w:left="142"/>
        <w:jc w:val="left"/>
        <w:rPr>
          <w:rFonts w:ascii="宋体" w:hAnsi="宋体"/>
          <w:b/>
          <w:color w:val="auto"/>
          <w:sz w:val="24"/>
          <w:highlight w:val="none"/>
        </w:rPr>
      </w:pPr>
    </w:p>
    <w:p w14:paraId="76D6A00D">
      <w:pPr>
        <w:snapToGrid w:val="0"/>
        <w:spacing w:before="156" w:beforeLines="50" w:after="50"/>
        <w:ind w:left="142"/>
        <w:jc w:val="left"/>
        <w:rPr>
          <w:rFonts w:ascii="宋体" w:hAnsi="宋体"/>
          <w:b/>
          <w:color w:val="auto"/>
          <w:sz w:val="24"/>
          <w:highlight w:val="none"/>
        </w:rPr>
      </w:pPr>
    </w:p>
    <w:p w14:paraId="6EE90FBA">
      <w:pPr>
        <w:snapToGrid w:val="0"/>
        <w:spacing w:before="156" w:beforeLines="50" w:after="50"/>
        <w:ind w:left="142"/>
        <w:jc w:val="left"/>
        <w:rPr>
          <w:rFonts w:ascii="宋体" w:hAnsi="宋体"/>
          <w:b/>
          <w:color w:val="auto"/>
          <w:sz w:val="24"/>
          <w:highlight w:val="none"/>
        </w:rPr>
      </w:pPr>
    </w:p>
    <w:p w14:paraId="1D6CC3DF">
      <w:pPr>
        <w:spacing w:line="320" w:lineRule="exact"/>
        <w:jc w:val="center"/>
        <w:rPr>
          <w:rFonts w:ascii="宋体" w:hAnsi="宋体"/>
          <w:b/>
          <w:color w:val="auto"/>
          <w:sz w:val="32"/>
          <w:szCs w:val="32"/>
          <w:highlight w:val="none"/>
        </w:rPr>
      </w:pPr>
    </w:p>
    <w:p w14:paraId="4D34D607">
      <w:pPr>
        <w:spacing w:line="52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竞 标 声 明</w:t>
      </w:r>
    </w:p>
    <w:p w14:paraId="51BF182F">
      <w:pPr>
        <w:spacing w:line="320" w:lineRule="exact"/>
        <w:jc w:val="center"/>
        <w:rPr>
          <w:rFonts w:ascii="宋体" w:hAnsi="宋体"/>
          <w:color w:val="auto"/>
          <w:sz w:val="24"/>
          <w:szCs w:val="20"/>
          <w:highlight w:val="none"/>
        </w:rPr>
      </w:pPr>
    </w:p>
    <w:p w14:paraId="1C8BCFE2">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p>
    <w:p w14:paraId="2FABC74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30EDBA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28EE596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4CBF85E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0014075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3.在此，我方宣布同意如下：</w:t>
      </w:r>
    </w:p>
    <w:p w14:paraId="1B4EB96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03D38D6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55B5C00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5D715A6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（4）响应磋商文件规定的竞标有效期。</w:t>
      </w:r>
    </w:p>
    <w:p w14:paraId="1C47E1D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137094A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659FF81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2919B90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64D77D6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07EA22E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2259B01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（6）法律、行政法规规定的其他条件。</w:t>
      </w:r>
    </w:p>
    <w:p w14:paraId="6459FA7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14967EE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5289BC1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05CFB51D">
      <w:pPr>
        <w:spacing w:line="360" w:lineRule="auto"/>
        <w:ind w:firstLine="480" w:firstLineChars="200"/>
        <w:contextualSpacing/>
        <w:rPr>
          <w:rFonts w:ascii="宋体" w:hAnsi="宋体" w:cs="宋体"/>
          <w:color w:val="auto"/>
          <w:kern w:val="0"/>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2BA8A84C">
      <w:pPr>
        <w:pStyle w:val="18"/>
        <w:spacing w:line="360" w:lineRule="auto"/>
        <w:ind w:firstLine="480" w:firstLineChars="200"/>
        <w:contextualSpacing/>
        <w:rPr>
          <w:rFonts w:hAnsi="宋体" w:cs="宋体"/>
          <w:color w:val="auto"/>
          <w:sz w:val="24"/>
          <w:szCs w:val="24"/>
          <w:highlight w:val="none"/>
          <w:u w:val="single"/>
        </w:rPr>
      </w:pPr>
      <w:r>
        <w:rPr>
          <w:rFonts w:hint="eastAsia" w:hAnsi="宋体" w:cs="宋体"/>
          <w:color w:val="auto"/>
          <w:sz w:val="24"/>
          <w:szCs w:val="24"/>
          <w:highlight w:val="none"/>
        </w:rPr>
        <w:t>7.与本磋商有关的一切正式往来信函请寄：</w:t>
      </w:r>
      <w:r>
        <w:rPr>
          <w:rFonts w:hint="eastAsia" w:hAnsi="宋体" w:cs="宋体"/>
          <w:color w:val="auto"/>
          <w:sz w:val="24"/>
          <w:szCs w:val="24"/>
          <w:highlight w:val="none"/>
          <w:u w:val="single"/>
        </w:rPr>
        <w:t xml:space="preserve">                  </w:t>
      </w:r>
    </w:p>
    <w:p w14:paraId="370E91EB">
      <w:pPr>
        <w:pStyle w:val="18"/>
        <w:spacing w:line="360" w:lineRule="auto"/>
        <w:ind w:firstLine="480" w:firstLineChars="200"/>
        <w:contextualSpacing/>
        <w:rPr>
          <w:rFonts w:hAnsi="宋体" w:cs="宋体"/>
          <w:color w:val="auto"/>
          <w:sz w:val="24"/>
          <w:szCs w:val="24"/>
          <w:highlight w:val="none"/>
          <w:u w:val="single"/>
        </w:rPr>
      </w:pP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p>
    <w:p w14:paraId="5794F198">
      <w:pPr>
        <w:pStyle w:val="18"/>
        <w:spacing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电子邮箱：</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1C31AAA4">
      <w:pPr>
        <w:pStyle w:val="17"/>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账号：</w:t>
      </w:r>
      <w:r>
        <w:rPr>
          <w:rFonts w:hint="eastAsia" w:ascii="宋体" w:hAnsi="宋体" w:cs="宋体"/>
          <w:color w:val="auto"/>
          <w:sz w:val="24"/>
          <w:highlight w:val="none"/>
          <w:u w:val="single"/>
        </w:rPr>
        <w:t xml:space="preserve">                               </w:t>
      </w:r>
    </w:p>
    <w:p w14:paraId="6C9443D6">
      <w:pPr>
        <w:pStyle w:val="17"/>
        <w:tabs>
          <w:tab w:val="left" w:pos="939"/>
        </w:tabs>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0666726A">
      <w:pPr>
        <w:pStyle w:val="17"/>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特此承诺。</w:t>
      </w:r>
    </w:p>
    <w:p w14:paraId="56665E85">
      <w:pPr>
        <w:spacing w:line="360" w:lineRule="auto"/>
        <w:contextualSpacing/>
        <w:jc w:val="left"/>
        <w:rPr>
          <w:rFonts w:ascii="宋体" w:hAnsi="宋体"/>
          <w:b/>
          <w:color w:val="auto"/>
          <w:sz w:val="24"/>
          <w:highlight w:val="none"/>
        </w:rPr>
      </w:pPr>
      <w:r>
        <w:rPr>
          <w:rFonts w:hint="eastAsia" w:ascii="宋体" w:hAnsi="宋体" w:cs="宋体"/>
          <w:b/>
          <w:color w:val="auto"/>
          <w:sz w:val="24"/>
          <w:highlight w:val="none"/>
        </w:rPr>
        <w:t>注：</w:t>
      </w:r>
      <w:r>
        <w:rPr>
          <w:rFonts w:hint="eastAsia" w:ascii="宋体" w:hAnsi="宋体"/>
          <w:b/>
          <w:color w:val="auto"/>
          <w:sz w:val="24"/>
          <w:highlight w:val="none"/>
        </w:rPr>
        <w:t>如为联合体竞标，盖章处须加盖联合体牵头人电子签章并由联合体牵头人法定代表人分别签字或者盖章或者电子签名，否则响应文件按无效处理。</w:t>
      </w:r>
    </w:p>
    <w:p w14:paraId="64BC6D2E">
      <w:pPr>
        <w:spacing w:line="360" w:lineRule="auto"/>
        <w:contextualSpacing/>
        <w:jc w:val="left"/>
        <w:rPr>
          <w:rFonts w:ascii="宋体" w:hAnsi="宋体" w:cs="宋体"/>
          <w:color w:val="auto"/>
          <w:szCs w:val="21"/>
          <w:highlight w:val="none"/>
        </w:rPr>
      </w:pPr>
    </w:p>
    <w:p w14:paraId="4BD82F0B">
      <w:pPr>
        <w:spacing w:line="360" w:lineRule="auto"/>
        <w:ind w:firstLine="1575" w:firstLineChars="750"/>
        <w:contextualSpacing/>
        <w:rPr>
          <w:color w:val="auto"/>
          <w:highlight w:val="none"/>
        </w:rPr>
      </w:pPr>
      <w:r>
        <w:rPr>
          <w:rFonts w:hint="eastAsia"/>
          <w:color w:val="auto"/>
          <w:highlight w:val="none"/>
        </w:rPr>
        <w:t>法定代表人或者委托代理人（签字或者电子签名）：</w:t>
      </w:r>
      <w:r>
        <w:rPr>
          <w:rFonts w:hint="eastAsia"/>
          <w:color w:val="auto"/>
          <w:highlight w:val="none"/>
          <w:u w:val="single"/>
        </w:rPr>
        <w:t xml:space="preserve">           </w:t>
      </w:r>
      <w:r>
        <w:rPr>
          <w:rFonts w:hint="eastAsia"/>
          <w:color w:val="auto"/>
          <w:highlight w:val="none"/>
        </w:rPr>
        <w:t xml:space="preserve">                                     </w:t>
      </w:r>
    </w:p>
    <w:p w14:paraId="7E548079">
      <w:pPr>
        <w:spacing w:line="360" w:lineRule="auto"/>
        <w:ind w:firstLine="3780" w:firstLineChars="1800"/>
        <w:contextualSpacing/>
        <w:rPr>
          <w:rFonts w:ascii="宋体" w:hAnsi="宋体" w:cs="宋体"/>
          <w:color w:val="auto"/>
          <w:szCs w:val="21"/>
          <w:highlight w:val="none"/>
          <w:u w:val="single"/>
        </w:rPr>
      </w:pPr>
      <w:r>
        <w:rPr>
          <w:rFonts w:hint="eastAsia"/>
          <w:color w:val="auto"/>
          <w:highlight w:val="none"/>
        </w:rPr>
        <w:t>供应商名称（电子签章）：</w:t>
      </w:r>
      <w:r>
        <w:rPr>
          <w:rFonts w:hint="eastAsia"/>
          <w:color w:val="auto"/>
          <w:highlight w:val="none"/>
          <w:u w:val="single"/>
        </w:rPr>
        <w:t xml:space="preserve">                               </w:t>
      </w:r>
      <w:r>
        <w:rPr>
          <w:rFonts w:hint="eastAsia"/>
          <w:color w:val="auto"/>
          <w:highlight w:val="none"/>
        </w:rPr>
        <w:t xml:space="preserve">       </w:t>
      </w:r>
      <w:r>
        <w:rPr>
          <w:rFonts w:hint="eastAsia" w:ascii="宋体" w:hAnsi="宋体" w:cs="宋体"/>
          <w:color w:val="auto"/>
          <w:szCs w:val="21"/>
          <w:highlight w:val="none"/>
        </w:rPr>
        <w:t xml:space="preserve">    </w:t>
      </w:r>
    </w:p>
    <w:p w14:paraId="12C8B1A0">
      <w:pPr>
        <w:pStyle w:val="17"/>
        <w:tabs>
          <w:tab w:val="left" w:pos="939"/>
        </w:tabs>
        <w:spacing w:line="360" w:lineRule="auto"/>
        <w:ind w:left="0" w:leftChars="0" w:firstLine="420" w:firstLineChars="200"/>
        <w:rPr>
          <w:color w:val="auto"/>
          <w:sz w:val="24"/>
          <w:highlight w:val="none"/>
        </w:rPr>
      </w:pPr>
      <w:r>
        <w:rPr>
          <w:rFonts w:hint="eastAsia" w:ascii="宋体" w:hAnsi="宋体" w:cs="宋体"/>
          <w:color w:val="auto"/>
          <w:szCs w:val="21"/>
          <w:highlight w:val="none"/>
        </w:rPr>
        <w:t xml:space="preserve">                                                        </w:t>
      </w:r>
      <w:r>
        <w:rPr>
          <w:rFonts w:hint="eastAsia"/>
          <w:color w:val="auto"/>
          <w:highlight w:val="none"/>
        </w:rPr>
        <w:t xml:space="preserve"> 年    月    日</w:t>
      </w:r>
    </w:p>
    <w:p w14:paraId="6D4EF974">
      <w:pPr>
        <w:snapToGrid w:val="0"/>
        <w:spacing w:before="156" w:beforeLines="50" w:after="50"/>
        <w:ind w:left="142"/>
        <w:jc w:val="center"/>
        <w:rPr>
          <w:color w:val="auto"/>
          <w:sz w:val="24"/>
          <w:highlight w:val="none"/>
        </w:rPr>
      </w:pPr>
      <w:r>
        <w:rPr>
          <w:rFonts w:hint="eastAsia"/>
          <w:color w:val="auto"/>
          <w:sz w:val="24"/>
          <w:highlight w:val="none"/>
        </w:rPr>
        <w:br w:type="page"/>
      </w:r>
    </w:p>
    <w:p w14:paraId="426B2636">
      <w:pPr>
        <w:spacing w:line="520" w:lineRule="exact"/>
        <w:jc w:val="center"/>
        <w:rPr>
          <w:rFonts w:ascii="方正小标宋简体" w:hAnsi="方正小标宋简体" w:eastAsia="方正小标宋简体" w:cs="方正小标宋简体"/>
          <w:color w:val="auto"/>
          <w:sz w:val="44"/>
          <w:szCs w:val="44"/>
          <w:highlight w:val="none"/>
        </w:rPr>
      </w:pPr>
    </w:p>
    <w:p w14:paraId="7D77C26B">
      <w:pPr>
        <w:spacing w:line="52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供应商法定代表人（负责人）非桂林电子科技大学任职的教职工人员承诺函</w:t>
      </w:r>
    </w:p>
    <w:p w14:paraId="34B110AD">
      <w:pPr>
        <w:snapToGrid w:val="0"/>
        <w:spacing w:before="156" w:beforeLines="50" w:after="50"/>
        <w:ind w:left="142"/>
        <w:jc w:val="left"/>
        <w:rPr>
          <w:color w:val="auto"/>
          <w:sz w:val="24"/>
          <w:highlight w:val="none"/>
        </w:rPr>
      </w:pPr>
    </w:p>
    <w:p w14:paraId="43C9742D">
      <w:pPr>
        <w:spacing w:after="160" w:line="400" w:lineRule="exact"/>
        <w:contextualSpacing/>
        <w:jc w:val="left"/>
        <w:rPr>
          <w:rFonts w:ascii="宋体" w:hAnsi="宋体"/>
          <w:bCs/>
          <w:color w:val="auto"/>
          <w:sz w:val="24"/>
          <w:highlight w:val="none"/>
        </w:rPr>
      </w:pPr>
      <w:r>
        <w:rPr>
          <w:rFonts w:hint="eastAsia" w:ascii="宋体" w:hAnsi="宋体"/>
          <w:bCs/>
          <w:color w:val="auto"/>
          <w:sz w:val="24"/>
          <w:highlight w:val="none"/>
        </w:rPr>
        <w:t>桂林电子科技大学：</w:t>
      </w:r>
    </w:p>
    <w:p w14:paraId="313BB308">
      <w:pPr>
        <w:spacing w:after="160" w:line="400" w:lineRule="exact"/>
        <w:ind w:firstLine="480" w:firstLineChars="200"/>
        <w:contextualSpacing/>
        <w:jc w:val="left"/>
        <w:rPr>
          <w:rFonts w:ascii="宋体" w:hAnsi="宋体"/>
          <w:bCs/>
          <w:color w:val="auto"/>
          <w:sz w:val="24"/>
          <w:highlight w:val="none"/>
        </w:rPr>
      </w:pPr>
      <w:r>
        <w:rPr>
          <w:rFonts w:hint="eastAsia" w:ascii="宋体" w:hAnsi="宋体"/>
          <w:bCs/>
          <w:color w:val="auto"/>
          <w:sz w:val="24"/>
          <w:highlight w:val="none"/>
        </w:rPr>
        <w:t>我方参加贵单位组织项目</w:t>
      </w:r>
      <w:r>
        <w:rPr>
          <w:rFonts w:hint="eastAsia" w:ascii="宋体" w:hAnsi="宋体"/>
          <w:bCs/>
          <w:color w:val="auto"/>
          <w:sz w:val="24"/>
          <w:highlight w:val="none"/>
          <w:u w:val="single"/>
        </w:rPr>
        <w:t xml:space="preserve">           </w:t>
      </w:r>
      <w:r>
        <w:rPr>
          <w:rFonts w:hint="eastAsia" w:ascii="宋体" w:hAnsi="宋体"/>
          <w:bCs/>
          <w:color w:val="auto"/>
          <w:sz w:val="24"/>
          <w:highlight w:val="none"/>
        </w:rPr>
        <w:t>（项目编号：</w:t>
      </w:r>
      <w:r>
        <w:rPr>
          <w:rFonts w:hint="eastAsia" w:ascii="宋体" w:hAnsi="宋体"/>
          <w:bCs/>
          <w:color w:val="auto"/>
          <w:sz w:val="24"/>
          <w:highlight w:val="none"/>
          <w:u w:val="single"/>
        </w:rPr>
        <w:t xml:space="preserve">          </w:t>
      </w:r>
      <w:r>
        <w:rPr>
          <w:rFonts w:hint="eastAsia" w:ascii="宋体" w:hAnsi="宋体"/>
          <w:bCs/>
          <w:color w:val="auto"/>
          <w:sz w:val="24"/>
          <w:highlight w:val="none"/>
        </w:rPr>
        <w:t>）的政府采购活动。我方在此郑重承诺：</w:t>
      </w:r>
    </w:p>
    <w:p w14:paraId="55698BED">
      <w:pPr>
        <w:spacing w:after="160" w:line="400" w:lineRule="exact"/>
        <w:contextualSpacing/>
        <w:jc w:val="left"/>
        <w:rPr>
          <w:rFonts w:ascii="宋体" w:hAnsi="宋体"/>
          <w:bCs/>
          <w:color w:val="auto"/>
          <w:sz w:val="24"/>
          <w:highlight w:val="none"/>
        </w:rPr>
      </w:pPr>
    </w:p>
    <w:p w14:paraId="4AB6997F">
      <w:pPr>
        <w:spacing w:after="160" w:line="400" w:lineRule="exact"/>
        <w:ind w:firstLine="480" w:firstLineChars="200"/>
        <w:contextualSpacing/>
        <w:jc w:val="left"/>
        <w:rPr>
          <w:rFonts w:ascii="宋体" w:hAnsi="宋体"/>
          <w:bCs/>
          <w:color w:val="auto"/>
          <w:sz w:val="24"/>
          <w:highlight w:val="none"/>
        </w:rPr>
      </w:pPr>
      <w:r>
        <w:rPr>
          <w:rFonts w:hint="eastAsia" w:ascii="宋体" w:hAnsi="宋体"/>
          <w:bCs/>
          <w:color w:val="auto"/>
          <w:sz w:val="24"/>
          <w:highlight w:val="none"/>
        </w:rPr>
        <w:t xml:space="preserve">我方法定代表人（负责人）非桂林电子科技大学任职的教职工人员。    </w:t>
      </w:r>
    </w:p>
    <w:p w14:paraId="4E2B7A35">
      <w:pPr>
        <w:spacing w:after="160" w:line="400" w:lineRule="exact"/>
        <w:contextualSpacing/>
        <w:jc w:val="left"/>
        <w:rPr>
          <w:rFonts w:ascii="宋体" w:hAnsi="宋体"/>
          <w:bCs/>
          <w:color w:val="auto"/>
          <w:sz w:val="24"/>
          <w:highlight w:val="none"/>
        </w:rPr>
      </w:pPr>
    </w:p>
    <w:p w14:paraId="5B37F0A2">
      <w:pPr>
        <w:spacing w:after="160" w:line="400" w:lineRule="exact"/>
        <w:contextualSpacing/>
        <w:jc w:val="left"/>
        <w:rPr>
          <w:rFonts w:ascii="宋体" w:hAnsi="宋体"/>
          <w:bCs/>
          <w:color w:val="auto"/>
          <w:sz w:val="24"/>
          <w:highlight w:val="none"/>
        </w:rPr>
      </w:pPr>
      <w:r>
        <w:rPr>
          <w:rFonts w:hint="eastAsia" w:ascii="宋体" w:hAnsi="宋体"/>
          <w:bCs/>
          <w:color w:val="auto"/>
          <w:sz w:val="24"/>
          <w:highlight w:val="none"/>
        </w:rPr>
        <w:t>特此承诺。</w:t>
      </w:r>
    </w:p>
    <w:p w14:paraId="63B66F05">
      <w:pPr>
        <w:spacing w:after="160" w:line="400" w:lineRule="exact"/>
        <w:contextualSpacing/>
        <w:jc w:val="left"/>
        <w:rPr>
          <w:rFonts w:ascii="宋体" w:hAnsi="宋体"/>
          <w:b/>
          <w:color w:val="auto"/>
          <w:sz w:val="24"/>
          <w:highlight w:val="none"/>
        </w:rPr>
      </w:pPr>
    </w:p>
    <w:p w14:paraId="6B58E475">
      <w:pPr>
        <w:spacing w:after="160" w:line="400" w:lineRule="exact"/>
        <w:ind w:firstLine="482" w:firstLineChars="200"/>
        <w:contextualSpacing/>
        <w:jc w:val="left"/>
        <w:rPr>
          <w:rFonts w:ascii="宋体" w:hAnsi="宋体"/>
          <w:b/>
          <w:color w:val="auto"/>
          <w:sz w:val="24"/>
          <w:highlight w:val="none"/>
        </w:rPr>
      </w:pPr>
      <w:r>
        <w:rPr>
          <w:rFonts w:hint="eastAsia" w:ascii="宋体" w:hAnsi="宋体"/>
          <w:b/>
          <w:color w:val="auto"/>
          <w:sz w:val="24"/>
          <w:highlight w:val="none"/>
        </w:rPr>
        <w:t>以上情形一经核查属实，我方愿意承担一切后果，并不再寻求任何旨在减轻或者免除相关责任的辩解。</w:t>
      </w:r>
    </w:p>
    <w:p w14:paraId="75C7A768">
      <w:pPr>
        <w:spacing w:after="160" w:line="400" w:lineRule="exact"/>
        <w:contextualSpacing/>
        <w:jc w:val="left"/>
        <w:rPr>
          <w:rFonts w:ascii="宋体" w:hAnsi="宋体"/>
          <w:b/>
          <w:color w:val="auto"/>
          <w:sz w:val="24"/>
          <w:highlight w:val="none"/>
        </w:rPr>
      </w:pPr>
    </w:p>
    <w:p w14:paraId="178CE080">
      <w:pPr>
        <w:spacing w:after="160" w:line="400" w:lineRule="exact"/>
        <w:contextualSpacing/>
        <w:jc w:val="left"/>
        <w:rPr>
          <w:rFonts w:ascii="宋体" w:hAnsi="宋体"/>
          <w:b/>
          <w:color w:val="auto"/>
          <w:sz w:val="24"/>
          <w:highlight w:val="none"/>
        </w:rPr>
      </w:pPr>
      <w:r>
        <w:rPr>
          <w:rFonts w:hint="eastAsia" w:ascii="宋体" w:hAnsi="宋体" w:cs="宋体"/>
          <w:color w:val="auto"/>
          <w:sz w:val="24"/>
          <w:highlight w:val="none"/>
        </w:rPr>
        <w:t xml:space="preserve">                           法定代表人签字（签章或电子签名）：</w:t>
      </w:r>
    </w:p>
    <w:p w14:paraId="14E510DC">
      <w:pPr>
        <w:spacing w:after="160" w:line="400" w:lineRule="exact"/>
        <w:contextualSpacing/>
        <w:jc w:val="left"/>
        <w:rPr>
          <w:rFonts w:ascii="宋体" w:hAnsi="宋体"/>
          <w:bCs/>
          <w:color w:val="auto"/>
          <w:sz w:val="24"/>
          <w:highlight w:val="none"/>
          <w:u w:val="single"/>
        </w:rPr>
      </w:pPr>
      <w:r>
        <w:rPr>
          <w:rFonts w:hint="eastAsia" w:ascii="宋体" w:hAnsi="宋体"/>
          <w:b/>
          <w:color w:val="auto"/>
          <w:sz w:val="24"/>
          <w:highlight w:val="none"/>
        </w:rPr>
        <w:t xml:space="preserve">                  </w:t>
      </w:r>
      <w:r>
        <w:rPr>
          <w:rFonts w:hint="eastAsia" w:ascii="宋体" w:hAnsi="宋体"/>
          <w:bCs/>
          <w:color w:val="auto"/>
          <w:sz w:val="24"/>
          <w:highlight w:val="none"/>
        </w:rPr>
        <w:t xml:space="preserve">                  供应商名称（电子签章）：</w:t>
      </w:r>
    </w:p>
    <w:p w14:paraId="70429C3A">
      <w:pPr>
        <w:snapToGrid w:val="0"/>
        <w:spacing w:before="156" w:beforeLines="50" w:after="50"/>
        <w:ind w:left="142"/>
        <w:jc w:val="left"/>
        <w:rPr>
          <w:color w:val="auto"/>
          <w:sz w:val="24"/>
          <w:highlight w:val="none"/>
        </w:rPr>
      </w:pPr>
      <w:r>
        <w:rPr>
          <w:rFonts w:hint="eastAsia" w:ascii="宋体" w:hAnsi="宋体"/>
          <w:bCs/>
          <w:color w:val="auto"/>
          <w:sz w:val="24"/>
          <w:highlight w:val="none"/>
        </w:rPr>
        <w:t xml:space="preserve">                                                  年    月    日</w:t>
      </w:r>
    </w:p>
    <w:p w14:paraId="4F53805F">
      <w:pPr>
        <w:snapToGrid w:val="0"/>
        <w:spacing w:before="156" w:beforeLines="50" w:after="50"/>
        <w:ind w:left="142"/>
        <w:jc w:val="center"/>
        <w:rPr>
          <w:color w:val="auto"/>
          <w:sz w:val="24"/>
          <w:highlight w:val="none"/>
        </w:rPr>
      </w:pPr>
      <w:r>
        <w:rPr>
          <w:rFonts w:hint="eastAsia"/>
          <w:color w:val="auto"/>
          <w:sz w:val="24"/>
          <w:highlight w:val="none"/>
        </w:rPr>
        <w:br w:type="page"/>
      </w:r>
    </w:p>
    <w:p w14:paraId="4288891A">
      <w:pPr>
        <w:snapToGrid w:val="0"/>
        <w:spacing w:before="156" w:beforeLines="50" w:after="50"/>
        <w:ind w:left="142"/>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联合体竞标协议书</w:t>
      </w:r>
    </w:p>
    <w:p w14:paraId="7EB85DD2">
      <w:pPr>
        <w:pStyle w:val="7"/>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（所有成员单位名称）自愿组成</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（联合体名称）联合体，共同参加</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（项目名称）采购项目竞标。现就联合体竞标事宜订立如下协议。</w:t>
      </w:r>
    </w:p>
    <w:p w14:paraId="3ED62D1C">
      <w:pPr>
        <w:pStyle w:val="7"/>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1.</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u w:val="single"/>
        </w:rPr>
        <w:tab/>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（某成员单位名称）为</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（联合体名称）牵头人。</w:t>
      </w:r>
    </w:p>
    <w:p w14:paraId="6B1E5D99">
      <w:pPr>
        <w:pStyle w:val="7"/>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2.联合体各成员授权牵头人代表联合体参加竞标活动，签署文件及对文件的盖章，提交和接收相关的资料、信息及指示，进行合同磋商活动，负责合同实施阶段的组织和协调工作，以及处理与本竞标项目有关的一切事宜。</w:t>
      </w:r>
    </w:p>
    <w:p w14:paraId="5F540260">
      <w:pPr>
        <w:pStyle w:val="7"/>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3.联合体牵头人在本项目中签署和盖章的一切文件和处理的一切事宜，联合体各成员均予以承认。联合体各成员将严格按照磋商文件、响应文件和合同的要求全面履行义务，并向采购人承担连带责任。</w:t>
      </w:r>
    </w:p>
    <w:p w14:paraId="7490424D">
      <w:pPr>
        <w:pStyle w:val="7"/>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4.联合体各成员单位内部的职责分工如下：</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w:t>
      </w:r>
    </w:p>
    <w:p w14:paraId="74449244">
      <w:pPr>
        <w:pStyle w:val="7"/>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5.本</w:t>
      </w:r>
      <w:r>
        <w:rPr>
          <w:rFonts w:hint="eastAsia" w:ascii="宋体" w:hAnsi="宋体" w:cs="仿宋_GB2312"/>
          <w:color w:val="auto"/>
          <w:spacing w:val="-6"/>
          <w:sz w:val="24"/>
          <w:szCs w:val="24"/>
          <w:highlight w:val="none"/>
        </w:rPr>
        <w:t>协议书自所有成员单位法定代表人（单位负责人）或者其委托代理人签字或者盖单位章之日起生效，合同履行完毕后自动失效。</w:t>
      </w:r>
    </w:p>
    <w:p w14:paraId="43C82E07">
      <w:pPr>
        <w:pStyle w:val="7"/>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6.本协议书一式</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u w:val="single"/>
        </w:rPr>
        <w:tab/>
      </w:r>
      <w:r>
        <w:rPr>
          <w:rFonts w:hint="eastAsia" w:ascii="宋体" w:hAnsi="宋体" w:cs="仿宋_GB2312"/>
          <w:color w:val="auto"/>
          <w:sz w:val="24"/>
          <w:szCs w:val="24"/>
          <w:highlight w:val="none"/>
        </w:rPr>
        <w:t>份，联合体成员和采购人各执一份。</w:t>
      </w:r>
    </w:p>
    <w:p w14:paraId="08F6444F">
      <w:pPr>
        <w:pStyle w:val="7"/>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注：本协议书应附法定代表人身份证明书；有委托代理的，应附授权委托书（格式自拟）。</w:t>
      </w:r>
    </w:p>
    <w:p w14:paraId="3EC718BC">
      <w:pPr>
        <w:pStyle w:val="7"/>
        <w:overflowPunct w:val="0"/>
        <w:spacing w:line="360" w:lineRule="auto"/>
        <w:ind w:firstLineChars="175"/>
        <w:contextualSpacing/>
        <w:rPr>
          <w:rFonts w:ascii="宋体" w:hAnsi="宋体" w:cs="仿宋_GB2312"/>
          <w:color w:val="auto"/>
          <w:sz w:val="24"/>
          <w:szCs w:val="24"/>
          <w:highlight w:val="none"/>
        </w:rPr>
      </w:pPr>
    </w:p>
    <w:p w14:paraId="1EA2E25D">
      <w:pPr>
        <w:pStyle w:val="7"/>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联合体牵头人名称（电子签章）：</w:t>
      </w:r>
    </w:p>
    <w:p w14:paraId="6A966AF6">
      <w:pPr>
        <w:pStyle w:val="7"/>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法定代表人或者其委托代理人（签字或者电子签名）：</w:t>
      </w:r>
    </w:p>
    <w:p w14:paraId="2D526D95">
      <w:pPr>
        <w:pStyle w:val="7"/>
        <w:overflowPunct w:val="0"/>
        <w:spacing w:line="360" w:lineRule="auto"/>
        <w:ind w:firstLine="0"/>
        <w:contextualSpacing/>
        <w:rPr>
          <w:rFonts w:ascii="宋体" w:hAnsi="宋体" w:cs="仿宋_GB2312"/>
          <w:color w:val="auto"/>
          <w:sz w:val="24"/>
          <w:szCs w:val="24"/>
          <w:highlight w:val="none"/>
        </w:rPr>
      </w:pPr>
    </w:p>
    <w:p w14:paraId="0F512C23">
      <w:pPr>
        <w:pStyle w:val="7"/>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联合体成员名称（盖公章或者电子签章）：</w:t>
      </w:r>
    </w:p>
    <w:p w14:paraId="22B2E0A8">
      <w:pPr>
        <w:pStyle w:val="7"/>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法定代表人或者其委托代理人（签字或者电子签名）：</w:t>
      </w:r>
    </w:p>
    <w:p w14:paraId="569C208C">
      <w:pPr>
        <w:pStyle w:val="7"/>
        <w:overflowPunct w:val="0"/>
        <w:spacing w:line="360" w:lineRule="auto"/>
        <w:ind w:firstLine="0"/>
        <w:contextualSpacing/>
        <w:rPr>
          <w:rFonts w:ascii="宋体" w:hAnsi="宋体" w:cs="仿宋_GB2312"/>
          <w:color w:val="auto"/>
          <w:sz w:val="24"/>
          <w:szCs w:val="24"/>
          <w:highlight w:val="none"/>
        </w:rPr>
      </w:pPr>
    </w:p>
    <w:p w14:paraId="6CBE08D7">
      <w:pPr>
        <w:pStyle w:val="7"/>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联合体成员名称（盖公章或者电子签章）：</w:t>
      </w:r>
    </w:p>
    <w:p w14:paraId="7B32D4BC">
      <w:pPr>
        <w:pStyle w:val="7"/>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法定代表人或者其委托代理人（签字或者电子签名）：</w:t>
      </w:r>
    </w:p>
    <w:p w14:paraId="5DB604F9">
      <w:pPr>
        <w:pStyle w:val="7"/>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w:t>
      </w:r>
    </w:p>
    <w:p w14:paraId="00B4459E">
      <w:pPr>
        <w:spacing w:line="360" w:lineRule="auto"/>
        <w:ind w:right="480" w:firstLine="240" w:firstLineChars="100"/>
        <w:contextualSpacing/>
        <w:jc w:val="center"/>
        <w:rPr>
          <w:rFonts w:ascii="宋体" w:hAnsi="宋体" w:cs="仿宋_GB2312"/>
          <w:color w:val="auto"/>
          <w:sz w:val="24"/>
          <w:highlight w:val="none"/>
        </w:rPr>
      </w:pPr>
      <w:r>
        <w:rPr>
          <w:rFonts w:hint="eastAsia" w:ascii="宋体" w:hAnsi="宋体" w:cs="仿宋_GB2312"/>
          <w:color w:val="auto"/>
          <w:sz w:val="24"/>
          <w:highlight w:val="none"/>
        </w:rPr>
        <w:t xml:space="preserve"> </w:t>
      </w:r>
    </w:p>
    <w:p w14:paraId="65F613DD">
      <w:pPr>
        <w:spacing w:line="360" w:lineRule="auto"/>
        <w:ind w:right="480" w:firstLine="240" w:firstLineChars="100"/>
        <w:contextualSpacing/>
        <w:jc w:val="center"/>
        <w:rPr>
          <w:rFonts w:ascii="宋体" w:hAnsi="宋体"/>
          <w:b/>
          <w:bCs/>
          <w:color w:val="auto"/>
          <w:sz w:val="32"/>
          <w:szCs w:val="32"/>
          <w:highlight w:val="none"/>
        </w:rPr>
      </w:pPr>
      <w:r>
        <w:rPr>
          <w:rFonts w:hint="eastAsia" w:ascii="宋体" w:hAnsi="宋体" w:cs="仿宋_GB2312"/>
          <w:color w:val="auto"/>
          <w:sz w:val="24"/>
          <w:highlight w:val="none"/>
        </w:rPr>
        <w:t xml:space="preserve">                                                年  </w:t>
      </w:r>
      <w:r>
        <w:rPr>
          <w:rFonts w:hint="eastAsia" w:ascii="宋体" w:hAnsi="宋体" w:cs="仿宋_GB2312"/>
          <w:color w:val="auto"/>
          <w:sz w:val="24"/>
          <w:highlight w:val="none"/>
        </w:rPr>
        <w:tab/>
      </w:r>
      <w:r>
        <w:rPr>
          <w:rFonts w:hint="eastAsia" w:ascii="宋体" w:hAnsi="宋体" w:cs="仿宋_GB2312"/>
          <w:color w:val="auto"/>
          <w:sz w:val="24"/>
          <w:highlight w:val="none"/>
        </w:rPr>
        <w:t xml:space="preserve">月  </w:t>
      </w:r>
      <w:r>
        <w:rPr>
          <w:rFonts w:hint="eastAsia" w:ascii="宋体" w:hAnsi="宋体" w:cs="仿宋_GB2312"/>
          <w:color w:val="auto"/>
          <w:sz w:val="24"/>
          <w:highlight w:val="none"/>
        </w:rPr>
        <w:tab/>
      </w:r>
      <w:r>
        <w:rPr>
          <w:rFonts w:hint="eastAsia" w:ascii="宋体" w:hAnsi="宋体" w:cs="仿宋_GB2312"/>
          <w:color w:val="auto"/>
          <w:sz w:val="24"/>
          <w:highlight w:val="none"/>
        </w:rPr>
        <w:t>日</w:t>
      </w:r>
    </w:p>
    <w:p w14:paraId="2EA5DFA1">
      <w:pPr>
        <w:spacing w:line="360" w:lineRule="auto"/>
        <w:ind w:right="420"/>
        <w:contextualSpacing/>
        <w:jc w:val="left"/>
        <w:rPr>
          <w:rFonts w:ascii="宋体" w:hAnsi="宋体"/>
          <w:b/>
          <w:color w:val="auto"/>
          <w:sz w:val="32"/>
          <w:szCs w:val="32"/>
          <w:highlight w:val="none"/>
        </w:rPr>
      </w:pPr>
      <w:r>
        <w:rPr>
          <w:rFonts w:ascii="宋体" w:hAnsi="宋体"/>
          <w:b/>
          <w:bCs/>
          <w:color w:val="auto"/>
          <w:sz w:val="32"/>
          <w:szCs w:val="32"/>
          <w:highlight w:val="none"/>
        </w:rPr>
        <w:br w:type="page"/>
      </w:r>
      <w:r>
        <w:rPr>
          <w:rFonts w:hint="eastAsia" w:ascii="宋体" w:hAnsi="宋体"/>
          <w:b/>
          <w:bCs/>
          <w:color w:val="auto"/>
          <w:sz w:val="32"/>
          <w:szCs w:val="32"/>
          <w:highlight w:val="none"/>
        </w:rPr>
        <w:t>二、</w:t>
      </w:r>
      <w:r>
        <w:rPr>
          <w:rFonts w:hint="eastAsia" w:ascii="宋体" w:hAnsi="宋体"/>
          <w:b/>
          <w:color w:val="auto"/>
          <w:sz w:val="32"/>
          <w:szCs w:val="32"/>
          <w:highlight w:val="none"/>
        </w:rPr>
        <w:t xml:space="preserve">报价文件格式 </w:t>
      </w:r>
    </w:p>
    <w:p w14:paraId="692682A4">
      <w:pPr>
        <w:snapToGrid w:val="0"/>
        <w:spacing w:before="156" w:beforeLines="50"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1.报价文件封面格式</w:t>
      </w:r>
    </w:p>
    <w:p w14:paraId="5FD8C4C2">
      <w:pPr>
        <w:snapToGrid w:val="0"/>
        <w:spacing w:before="156" w:beforeLines="50" w:after="50"/>
        <w:rPr>
          <w:rFonts w:ascii="宋体" w:hAnsi="宋体"/>
          <w:bCs/>
          <w:color w:val="auto"/>
          <w:sz w:val="32"/>
          <w:szCs w:val="20"/>
          <w:highlight w:val="none"/>
        </w:rPr>
      </w:pPr>
      <w:r>
        <w:rPr>
          <w:rFonts w:hint="eastAsia" w:ascii="宋体" w:hAnsi="宋体"/>
          <w:color w:val="auto"/>
          <w:sz w:val="24"/>
          <w:highlight w:val="none"/>
        </w:rPr>
        <w:t xml:space="preserve">                                                    </w:t>
      </w:r>
    </w:p>
    <w:p w14:paraId="0CA10352">
      <w:pPr>
        <w:snapToGrid w:val="0"/>
        <w:spacing w:before="156" w:beforeLines="50" w:after="50"/>
        <w:jc w:val="center"/>
        <w:rPr>
          <w:rFonts w:ascii="宋体" w:hAnsi="宋体"/>
          <w:color w:val="auto"/>
          <w:sz w:val="24"/>
          <w:szCs w:val="20"/>
          <w:highlight w:val="none"/>
        </w:rPr>
      </w:pPr>
      <w:r>
        <w:rPr>
          <w:rFonts w:hint="eastAsia" w:ascii="宋体" w:hAnsi="宋体"/>
          <w:color w:val="auto"/>
          <w:sz w:val="44"/>
          <w:szCs w:val="44"/>
          <w:highlight w:val="none"/>
        </w:rPr>
        <w:t>电 子 响 应 文 件</w:t>
      </w:r>
    </w:p>
    <w:p w14:paraId="7BA78B33">
      <w:pPr>
        <w:snapToGrid w:val="0"/>
        <w:spacing w:before="156" w:beforeLines="50" w:after="50"/>
        <w:rPr>
          <w:rFonts w:ascii="宋体" w:hAnsi="宋体"/>
          <w:color w:val="auto"/>
          <w:sz w:val="24"/>
          <w:szCs w:val="20"/>
          <w:highlight w:val="none"/>
        </w:rPr>
      </w:pPr>
    </w:p>
    <w:p w14:paraId="1B36010F">
      <w:pPr>
        <w:snapToGrid w:val="0"/>
        <w:spacing w:before="156" w:beforeLines="50" w:after="50"/>
        <w:rPr>
          <w:rFonts w:ascii="宋体" w:hAnsi="宋体"/>
          <w:color w:val="auto"/>
          <w:sz w:val="24"/>
          <w:szCs w:val="20"/>
          <w:highlight w:val="none"/>
        </w:rPr>
      </w:pPr>
    </w:p>
    <w:p w14:paraId="6F52E575">
      <w:pPr>
        <w:snapToGrid w:val="0"/>
        <w:spacing w:before="156"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文  件</w:t>
      </w:r>
    </w:p>
    <w:p w14:paraId="4377E545">
      <w:pPr>
        <w:snapToGrid w:val="0"/>
        <w:spacing w:before="156" w:beforeLines="50" w:after="50"/>
        <w:rPr>
          <w:rFonts w:ascii="宋体" w:hAnsi="宋体"/>
          <w:bCs/>
          <w:color w:val="auto"/>
          <w:sz w:val="24"/>
          <w:szCs w:val="20"/>
          <w:highlight w:val="none"/>
        </w:rPr>
      </w:pPr>
    </w:p>
    <w:p w14:paraId="39DB9AA3">
      <w:pPr>
        <w:snapToGrid w:val="0"/>
        <w:spacing w:before="156" w:beforeLines="50" w:after="50"/>
        <w:rPr>
          <w:rFonts w:ascii="宋体" w:hAnsi="宋体"/>
          <w:bCs/>
          <w:color w:val="auto"/>
          <w:sz w:val="24"/>
          <w:szCs w:val="20"/>
          <w:highlight w:val="none"/>
        </w:rPr>
      </w:pPr>
    </w:p>
    <w:p w14:paraId="2EC9A364">
      <w:pPr>
        <w:snapToGrid w:val="0"/>
        <w:spacing w:before="156" w:beforeLines="50" w:after="50"/>
        <w:rPr>
          <w:rFonts w:ascii="宋体" w:hAnsi="宋体"/>
          <w:bCs/>
          <w:color w:val="auto"/>
          <w:sz w:val="24"/>
          <w:szCs w:val="20"/>
          <w:highlight w:val="none"/>
        </w:rPr>
      </w:pPr>
    </w:p>
    <w:p w14:paraId="790AC117">
      <w:pPr>
        <w:snapToGrid w:val="0"/>
        <w:spacing w:before="156" w:beforeLines="50" w:after="50"/>
        <w:rPr>
          <w:rFonts w:ascii="宋体" w:hAnsi="宋体"/>
          <w:bCs/>
          <w:color w:val="auto"/>
          <w:sz w:val="24"/>
          <w:szCs w:val="20"/>
          <w:highlight w:val="none"/>
        </w:rPr>
      </w:pPr>
    </w:p>
    <w:p w14:paraId="4B41F607">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3FA723DF">
      <w:pPr>
        <w:snapToGrid w:val="0"/>
        <w:spacing w:before="156" w:beforeLines="50" w:after="50"/>
        <w:ind w:firstLine="720" w:firstLineChars="225"/>
        <w:rPr>
          <w:rFonts w:ascii="宋体" w:hAnsi="宋体" w:cs="仿宋_GB2312"/>
          <w:bCs/>
          <w:color w:val="auto"/>
          <w:sz w:val="32"/>
          <w:szCs w:val="32"/>
          <w:highlight w:val="none"/>
        </w:rPr>
      </w:pPr>
    </w:p>
    <w:p w14:paraId="0C0F3268">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4FDD49DA">
      <w:pPr>
        <w:snapToGrid w:val="0"/>
        <w:spacing w:before="156"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701C391D">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70CE00DE">
      <w:pPr>
        <w:snapToGrid w:val="0"/>
        <w:spacing w:before="156" w:beforeLines="50" w:after="50"/>
        <w:ind w:firstLine="720" w:firstLineChars="225"/>
        <w:rPr>
          <w:rFonts w:ascii="宋体" w:hAnsi="宋体" w:cs="仿宋_GB2312"/>
          <w:bCs/>
          <w:color w:val="auto"/>
          <w:sz w:val="32"/>
          <w:szCs w:val="32"/>
          <w:highlight w:val="none"/>
        </w:rPr>
      </w:pPr>
    </w:p>
    <w:p w14:paraId="662075BE">
      <w:pPr>
        <w:pStyle w:val="7"/>
        <w:snapToGrid w:val="0"/>
        <w:spacing w:before="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6E21CC97">
      <w:pPr>
        <w:pStyle w:val="7"/>
        <w:snapToGrid w:val="0"/>
        <w:spacing w:before="50" w:after="50"/>
        <w:ind w:firstLine="640" w:firstLineChars="200"/>
        <w:rPr>
          <w:rFonts w:ascii="宋体" w:hAnsi="宋体" w:cs="仿宋_GB2312"/>
          <w:bCs/>
          <w:color w:val="auto"/>
          <w:sz w:val="32"/>
          <w:szCs w:val="32"/>
          <w:highlight w:val="none"/>
        </w:rPr>
      </w:pPr>
    </w:p>
    <w:p w14:paraId="311F2653">
      <w:pPr>
        <w:pStyle w:val="7"/>
        <w:snapToGrid w:val="0"/>
        <w:spacing w:before="50" w:after="50"/>
        <w:ind w:firstLine="720" w:firstLineChars="225"/>
        <w:rPr>
          <w:rFonts w:ascii="宋体" w:hAnsi="宋体" w:cs="仿宋_GB2312"/>
          <w:bCs/>
          <w:color w:val="auto"/>
          <w:sz w:val="32"/>
          <w:szCs w:val="32"/>
          <w:highlight w:val="none"/>
        </w:rPr>
      </w:pPr>
    </w:p>
    <w:p w14:paraId="657226B6">
      <w:pPr>
        <w:pStyle w:val="7"/>
        <w:snapToGrid w:val="0"/>
        <w:spacing w:before="50" w:after="50"/>
        <w:ind w:firstLine="0"/>
        <w:rPr>
          <w:rFonts w:ascii="宋体" w:hAnsi="宋体" w:cs="仿宋_GB2312"/>
          <w:bCs/>
          <w:color w:val="auto"/>
          <w:sz w:val="32"/>
          <w:szCs w:val="32"/>
          <w:highlight w:val="none"/>
        </w:rPr>
      </w:pPr>
    </w:p>
    <w:p w14:paraId="415EE5F6">
      <w:pPr>
        <w:pStyle w:val="7"/>
        <w:snapToGrid w:val="0"/>
        <w:spacing w:before="50" w:after="50"/>
        <w:ind w:firstLine="1280" w:firstLineChars="400"/>
        <w:rPr>
          <w:rFonts w:ascii="宋体" w:hAnsi="宋体" w:cs="仿宋_GB2312"/>
          <w:bCs/>
          <w:color w:val="auto"/>
          <w:sz w:val="32"/>
          <w:szCs w:val="32"/>
          <w:highlight w:val="none"/>
        </w:rPr>
      </w:pPr>
    </w:p>
    <w:p w14:paraId="52D47675">
      <w:pPr>
        <w:snapToGrid w:val="0"/>
        <w:spacing w:before="156"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2F1A4900">
      <w:pPr>
        <w:snapToGrid w:val="0"/>
        <w:spacing w:before="156" w:beforeLines="50" w:after="50" w:line="360" w:lineRule="auto"/>
        <w:ind w:left="142"/>
        <w:jc w:val="left"/>
        <w:rPr>
          <w:rFonts w:ascii="宋体" w:hAnsi="宋体"/>
          <w:b/>
          <w:bCs/>
          <w:color w:val="auto"/>
          <w:sz w:val="24"/>
          <w:highlight w:val="none"/>
        </w:rPr>
      </w:pPr>
      <w:r>
        <w:rPr>
          <w:rFonts w:hint="eastAsia" w:ascii="宋体" w:hAnsi="宋体"/>
          <w:color w:val="auto"/>
          <w:szCs w:val="21"/>
          <w:highlight w:val="none"/>
        </w:rPr>
        <w:br w:type="page"/>
      </w:r>
      <w:r>
        <w:rPr>
          <w:rFonts w:hint="eastAsia" w:ascii="宋体" w:hAnsi="宋体"/>
          <w:b/>
          <w:bCs/>
          <w:color w:val="auto"/>
          <w:sz w:val="32"/>
          <w:szCs w:val="32"/>
          <w:highlight w:val="none"/>
        </w:rPr>
        <w:t>2.报价文件目录</w:t>
      </w:r>
    </w:p>
    <w:p w14:paraId="09905058">
      <w:pPr>
        <w:spacing w:line="520" w:lineRule="exact"/>
        <w:ind w:firstLine="640" w:firstLineChars="200"/>
        <w:jc w:val="center"/>
        <w:rPr>
          <w:rFonts w:ascii="方正小标宋简体" w:hAnsi="方正小标宋简体" w:eastAsia="方正小标宋简体" w:cs="方正小标宋简体"/>
          <w:bCs/>
          <w:color w:val="auto"/>
          <w:sz w:val="44"/>
          <w:szCs w:val="44"/>
          <w:highlight w:val="none"/>
        </w:rPr>
      </w:pPr>
      <w:r>
        <w:rPr>
          <w:rFonts w:hint="eastAsia" w:ascii="宋体" w:hAnsi="宋体"/>
          <w:color w:val="auto"/>
          <w:sz w:val="32"/>
          <w:szCs w:val="32"/>
          <w:highlight w:val="none"/>
        </w:rPr>
        <w:t>根据磋商文件规定及供应商提供的材料自行编写目录（部分格式后附）。</w:t>
      </w:r>
      <w:r>
        <w:rPr>
          <w:rFonts w:ascii="宋体" w:hAnsi="宋体"/>
          <w:b/>
          <w:bCs/>
          <w:color w:val="auto"/>
          <w:sz w:val="32"/>
          <w:szCs w:val="32"/>
          <w:highlight w:val="none"/>
        </w:rPr>
        <w:br w:type="page"/>
      </w:r>
      <w:r>
        <w:rPr>
          <w:rFonts w:hint="eastAsia" w:ascii="方正小标宋简体" w:hAnsi="方正小标宋简体" w:eastAsia="方正小标宋简体" w:cs="方正小标宋简体"/>
          <w:bCs/>
          <w:color w:val="auto"/>
          <w:sz w:val="44"/>
          <w:szCs w:val="44"/>
          <w:highlight w:val="none"/>
        </w:rPr>
        <w:t>竞  标  报  价  表</w:t>
      </w:r>
    </w:p>
    <w:p w14:paraId="4D3DFE71">
      <w:pPr>
        <w:spacing w:line="520" w:lineRule="exact"/>
        <w:jc w:val="center"/>
        <w:rPr>
          <w:rFonts w:ascii="方正小标宋简体" w:hAnsi="方正小标宋简体" w:eastAsia="方正小标宋简体" w:cs="方正小标宋简体"/>
          <w:bCs/>
          <w:color w:val="auto"/>
          <w:sz w:val="32"/>
          <w:szCs w:val="32"/>
          <w:highlight w:val="none"/>
        </w:rPr>
      </w:pPr>
    </w:p>
    <w:p w14:paraId="13C41A40">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项目名称：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项目编号：</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3ED1EF23">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所竞分标：</w:t>
      </w:r>
      <w:r>
        <w:rPr>
          <w:rFonts w:hint="eastAsia" w:ascii="宋体" w:hAnsi="宋体" w:cs="仿宋_GB2312"/>
          <w:color w:val="auto"/>
          <w:sz w:val="24"/>
          <w:highlight w:val="none"/>
          <w:u w:val="single"/>
        </w:rPr>
        <w:t xml:space="preserve">  （如有则填写，无分标时填写“无”或者留空）  </w:t>
      </w:r>
      <w:r>
        <w:rPr>
          <w:rFonts w:hint="eastAsia" w:ascii="宋体" w:hAnsi="宋体" w:cs="仿宋_GB2312"/>
          <w:color w:val="auto"/>
          <w:sz w:val="24"/>
          <w:highlight w:val="none"/>
        </w:rPr>
        <w:t xml:space="preserve">                                                </w:t>
      </w:r>
    </w:p>
    <w:tbl>
      <w:tblPr>
        <w:tblStyle w:val="28"/>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850"/>
        <w:gridCol w:w="992"/>
        <w:gridCol w:w="2552"/>
        <w:gridCol w:w="1984"/>
      </w:tblGrid>
      <w:tr w14:paraId="3B2C3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trPr>
        <w:tc>
          <w:tcPr>
            <w:tcW w:w="2802" w:type="dxa"/>
            <w:tcBorders>
              <w:top w:val="single" w:color="auto" w:sz="4" w:space="0"/>
              <w:left w:val="single" w:color="auto" w:sz="4" w:space="0"/>
              <w:bottom w:val="single" w:color="auto" w:sz="4" w:space="0"/>
              <w:right w:val="single" w:color="auto" w:sz="4" w:space="0"/>
            </w:tcBorders>
            <w:vAlign w:val="center"/>
          </w:tcPr>
          <w:p w14:paraId="0E94D425">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采购标的</w:t>
            </w:r>
            <w:r>
              <w:rPr>
                <w:rFonts w:ascii="宋体" w:hAnsi="宋体" w:cs="仿宋_GB2312"/>
                <w:color w:val="auto"/>
                <w:sz w:val="24"/>
                <w:highlight w:val="none"/>
              </w:rPr>
              <w:t>名称</w:t>
            </w:r>
          </w:p>
        </w:tc>
        <w:tc>
          <w:tcPr>
            <w:tcW w:w="850" w:type="dxa"/>
            <w:tcBorders>
              <w:top w:val="single" w:color="auto" w:sz="4" w:space="0"/>
              <w:left w:val="single" w:color="auto" w:sz="4" w:space="0"/>
              <w:bottom w:val="single" w:color="auto" w:sz="4" w:space="0"/>
              <w:right w:val="single" w:color="auto" w:sz="4" w:space="0"/>
            </w:tcBorders>
            <w:vAlign w:val="center"/>
          </w:tcPr>
          <w:p w14:paraId="72CB99A4">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数量</w:t>
            </w:r>
          </w:p>
        </w:tc>
        <w:tc>
          <w:tcPr>
            <w:tcW w:w="992" w:type="dxa"/>
            <w:tcBorders>
              <w:top w:val="single" w:color="auto" w:sz="4" w:space="0"/>
              <w:left w:val="single" w:color="auto" w:sz="4" w:space="0"/>
              <w:bottom w:val="single" w:color="auto" w:sz="4" w:space="0"/>
              <w:right w:val="single" w:color="auto" w:sz="4" w:space="0"/>
            </w:tcBorders>
            <w:vAlign w:val="center"/>
          </w:tcPr>
          <w:p w14:paraId="460561F2">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单位</w:t>
            </w:r>
          </w:p>
        </w:tc>
        <w:tc>
          <w:tcPr>
            <w:tcW w:w="2552" w:type="dxa"/>
            <w:tcBorders>
              <w:top w:val="single" w:color="auto" w:sz="4" w:space="0"/>
              <w:left w:val="single" w:color="auto" w:sz="4" w:space="0"/>
              <w:bottom w:val="single" w:color="auto" w:sz="4" w:space="0"/>
              <w:right w:val="single" w:color="auto" w:sz="4" w:space="0"/>
            </w:tcBorders>
            <w:vAlign w:val="center"/>
          </w:tcPr>
          <w:p w14:paraId="1EE968D5">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竞标报价</w:t>
            </w:r>
          </w:p>
        </w:tc>
        <w:tc>
          <w:tcPr>
            <w:tcW w:w="1984" w:type="dxa"/>
            <w:tcBorders>
              <w:top w:val="single" w:color="auto" w:sz="4" w:space="0"/>
              <w:left w:val="single" w:color="auto" w:sz="4" w:space="0"/>
              <w:bottom w:val="single" w:color="auto" w:sz="4" w:space="0"/>
              <w:right w:val="single" w:color="auto" w:sz="4" w:space="0"/>
            </w:tcBorders>
            <w:vAlign w:val="center"/>
          </w:tcPr>
          <w:p w14:paraId="78F5EB9B">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备注</w:t>
            </w:r>
          </w:p>
        </w:tc>
      </w:tr>
      <w:tr w14:paraId="043DB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trPr>
        <w:tc>
          <w:tcPr>
            <w:tcW w:w="2802" w:type="dxa"/>
            <w:tcBorders>
              <w:top w:val="single" w:color="auto" w:sz="4" w:space="0"/>
              <w:left w:val="single" w:color="auto" w:sz="4" w:space="0"/>
              <w:bottom w:val="single" w:color="auto" w:sz="4" w:space="0"/>
              <w:right w:val="single" w:color="auto" w:sz="4" w:space="0"/>
            </w:tcBorders>
            <w:vAlign w:val="center"/>
          </w:tcPr>
          <w:p w14:paraId="3B2F262D">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校园管理AI服务平台建设</w:t>
            </w:r>
          </w:p>
        </w:tc>
        <w:tc>
          <w:tcPr>
            <w:tcW w:w="850" w:type="dxa"/>
            <w:tcBorders>
              <w:top w:val="single" w:color="auto" w:sz="4" w:space="0"/>
              <w:left w:val="single" w:color="auto" w:sz="4" w:space="0"/>
              <w:bottom w:val="single" w:color="auto" w:sz="4" w:space="0"/>
              <w:right w:val="single" w:color="auto" w:sz="4" w:space="0"/>
            </w:tcBorders>
            <w:vAlign w:val="center"/>
          </w:tcPr>
          <w:p w14:paraId="6AC2A3BD">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1</w:t>
            </w:r>
          </w:p>
        </w:tc>
        <w:tc>
          <w:tcPr>
            <w:tcW w:w="992" w:type="dxa"/>
            <w:tcBorders>
              <w:top w:val="single" w:color="auto" w:sz="4" w:space="0"/>
              <w:left w:val="single" w:color="auto" w:sz="4" w:space="0"/>
              <w:bottom w:val="single" w:color="auto" w:sz="4" w:space="0"/>
              <w:right w:val="single" w:color="auto" w:sz="4" w:space="0"/>
            </w:tcBorders>
            <w:vAlign w:val="center"/>
          </w:tcPr>
          <w:p w14:paraId="70546204">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项</w:t>
            </w:r>
          </w:p>
        </w:tc>
        <w:tc>
          <w:tcPr>
            <w:tcW w:w="2552" w:type="dxa"/>
            <w:tcBorders>
              <w:top w:val="single" w:color="auto" w:sz="4" w:space="0"/>
              <w:left w:val="single" w:color="auto" w:sz="4" w:space="0"/>
              <w:bottom w:val="single" w:color="auto" w:sz="4" w:space="0"/>
              <w:right w:val="single" w:color="auto" w:sz="4" w:space="0"/>
            </w:tcBorders>
            <w:vAlign w:val="center"/>
          </w:tcPr>
          <w:p w14:paraId="4A3A234E">
            <w:pPr>
              <w:spacing w:line="360" w:lineRule="auto"/>
              <w:contextualSpacing/>
              <w:jc w:val="center"/>
              <w:rPr>
                <w:rFonts w:ascii="宋体" w:hAnsi="宋体" w:cs="仿宋_GB2312"/>
                <w:color w:val="auto"/>
                <w:sz w:val="24"/>
                <w:highlight w:val="none"/>
                <w:u w:val="single"/>
              </w:rPr>
            </w:pPr>
          </w:p>
        </w:tc>
        <w:tc>
          <w:tcPr>
            <w:tcW w:w="1984" w:type="dxa"/>
            <w:tcBorders>
              <w:top w:val="single" w:color="auto" w:sz="4" w:space="0"/>
              <w:left w:val="single" w:color="auto" w:sz="4" w:space="0"/>
              <w:right w:val="single" w:color="auto" w:sz="4" w:space="0"/>
            </w:tcBorders>
            <w:vAlign w:val="center"/>
          </w:tcPr>
          <w:p w14:paraId="529C1EC7">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具体服务内容详见“技术要求响应表”</w:t>
            </w:r>
          </w:p>
        </w:tc>
      </w:tr>
      <w:tr w14:paraId="5C716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trPr>
        <w:tc>
          <w:tcPr>
            <w:tcW w:w="9180" w:type="dxa"/>
            <w:gridSpan w:val="5"/>
            <w:tcBorders>
              <w:top w:val="single" w:color="auto" w:sz="4" w:space="0"/>
              <w:left w:val="single" w:color="auto" w:sz="4" w:space="0"/>
              <w:bottom w:val="single" w:color="auto" w:sz="4" w:space="0"/>
              <w:right w:val="single" w:color="auto" w:sz="4" w:space="0"/>
            </w:tcBorders>
            <w:vAlign w:val="center"/>
          </w:tcPr>
          <w:p w14:paraId="72FD2CA7">
            <w:pPr>
              <w:spacing w:line="380" w:lineRule="exact"/>
              <w:contextualSpacing/>
              <w:jc w:val="left"/>
              <w:rPr>
                <w:rFonts w:ascii="宋体" w:hAnsi="宋体" w:cs="仿宋_GB2312"/>
                <w:b/>
                <w:color w:val="auto"/>
                <w:sz w:val="24"/>
                <w:highlight w:val="none"/>
              </w:rPr>
            </w:pPr>
            <w:r>
              <w:rPr>
                <w:rFonts w:hint="eastAsia" w:ascii="宋体" w:hAnsi="宋体"/>
                <w:bCs/>
                <w:color w:val="auto"/>
                <w:highlight w:val="none"/>
              </w:rPr>
              <w:t>供应商的竞标报价应包含本次采购范围内软（硬）件产品价款、标准附件、备品备件、专用工具、辅材、安装调试、包装、运输（含保险）、装卸、保险费、各类税费、产品检测、检验费、验收费、售后服务、技术服务、培训（包括但不限于场地费、教材费用等）、技术资料、涉及的人工、差旅以及其他与本项目要求提供的所有伴随服务等一切费用；供应商应综合考虑在报价中。</w:t>
            </w:r>
          </w:p>
        </w:tc>
      </w:tr>
    </w:tbl>
    <w:p w14:paraId="1E0F98E3">
      <w:pPr>
        <w:spacing w:line="360" w:lineRule="exact"/>
        <w:contextualSpacing/>
        <w:jc w:val="left"/>
        <w:rPr>
          <w:rFonts w:ascii="宋体" w:hAnsi="宋体" w:cs="仿宋_GB2312"/>
          <w:color w:val="auto"/>
          <w:sz w:val="24"/>
          <w:highlight w:val="none"/>
        </w:rPr>
      </w:pPr>
      <w:r>
        <w:rPr>
          <w:rFonts w:hint="eastAsia" w:ascii="宋体" w:hAnsi="宋体" w:cs="仿宋_GB2312"/>
          <w:color w:val="auto"/>
          <w:sz w:val="24"/>
          <w:highlight w:val="none"/>
        </w:rPr>
        <w:t xml:space="preserve">注： </w:t>
      </w:r>
    </w:p>
    <w:p w14:paraId="49714DAB">
      <w:pPr>
        <w:spacing w:line="360" w:lineRule="exact"/>
        <w:ind w:firstLine="480" w:firstLineChars="200"/>
        <w:contextualSpacing/>
        <w:jc w:val="left"/>
        <w:rPr>
          <w:rFonts w:ascii="宋体" w:hAnsi="宋体" w:cs="仿宋_GB2312"/>
          <w:color w:val="auto"/>
          <w:sz w:val="24"/>
          <w:highlight w:val="none"/>
        </w:rPr>
      </w:pPr>
      <w:r>
        <w:rPr>
          <w:rFonts w:hint="eastAsia" w:ascii="宋体" w:hAnsi="宋体" w:cs="仿宋_GB2312"/>
          <w:color w:val="auto"/>
          <w:sz w:val="24"/>
          <w:highlight w:val="none"/>
        </w:rPr>
        <w:t>1. 供应商的报价表必须加盖供应商电子签章并由法定代表人或者委托代理人签字或者电子签名，</w:t>
      </w:r>
      <w:r>
        <w:rPr>
          <w:rFonts w:hint="eastAsia" w:ascii="宋体" w:hAnsi="宋体" w:cs="仿宋_GB2312"/>
          <w:b/>
          <w:color w:val="auto"/>
          <w:sz w:val="24"/>
          <w:highlight w:val="none"/>
        </w:rPr>
        <w:t>否则其响应文件按无效处理</w:t>
      </w:r>
      <w:r>
        <w:rPr>
          <w:rFonts w:hint="eastAsia" w:ascii="宋体" w:hAnsi="宋体" w:cs="仿宋_GB2312"/>
          <w:color w:val="auto"/>
          <w:sz w:val="24"/>
          <w:highlight w:val="none"/>
        </w:rPr>
        <w:t>。</w:t>
      </w:r>
    </w:p>
    <w:p w14:paraId="48F16BDA">
      <w:pPr>
        <w:spacing w:line="360" w:lineRule="exact"/>
        <w:ind w:firstLine="480" w:firstLineChars="200"/>
        <w:contextualSpacing/>
        <w:jc w:val="left"/>
        <w:rPr>
          <w:rFonts w:ascii="宋体" w:hAnsi="宋体" w:cs="仿宋_GB2312"/>
          <w:b/>
          <w:color w:val="auto"/>
          <w:sz w:val="24"/>
          <w:highlight w:val="none"/>
        </w:rPr>
      </w:pPr>
      <w:r>
        <w:rPr>
          <w:rFonts w:hint="eastAsia" w:ascii="宋体" w:hAnsi="宋体" w:cs="仿宋_GB2312"/>
          <w:bCs/>
          <w:color w:val="auto"/>
          <w:sz w:val="24"/>
          <w:highlight w:val="none"/>
        </w:rPr>
        <w:t>2.</w:t>
      </w:r>
      <w:r>
        <w:rPr>
          <w:rFonts w:hint="eastAsia" w:ascii="宋体" w:hAnsi="宋体" w:cs="仿宋_GB2312"/>
          <w:color w:val="auto"/>
          <w:sz w:val="24"/>
          <w:highlight w:val="none"/>
        </w:rPr>
        <w:t xml:space="preserve"> 报价一经涂改，应在涂改处加盖供应商公章或者加盖电子签章或者由法定代表人或者委托代理人签字</w:t>
      </w:r>
      <w:r>
        <w:rPr>
          <w:rFonts w:hint="eastAsia" w:ascii="宋体" w:hAnsi="宋体"/>
          <w:color w:val="auto"/>
          <w:sz w:val="24"/>
          <w:highlight w:val="none"/>
        </w:rPr>
        <w:t>（或者电子签名）</w:t>
      </w:r>
      <w:r>
        <w:rPr>
          <w:rFonts w:hint="eastAsia" w:ascii="宋体" w:hAnsi="宋体" w:cs="仿宋_GB2312"/>
          <w:b/>
          <w:color w:val="auto"/>
          <w:sz w:val="24"/>
          <w:highlight w:val="none"/>
        </w:rPr>
        <w:t>，否则其响应文件按无效处理。</w:t>
      </w:r>
    </w:p>
    <w:p w14:paraId="03B1B575">
      <w:pPr>
        <w:spacing w:line="360" w:lineRule="exact"/>
        <w:ind w:firstLine="480" w:firstLineChars="200"/>
        <w:contextualSpacing/>
        <w:jc w:val="left"/>
        <w:rPr>
          <w:rFonts w:ascii="宋体" w:hAnsi="宋体" w:cs="仿宋_GB2312"/>
          <w:b/>
          <w:color w:val="auto"/>
          <w:sz w:val="24"/>
          <w:highlight w:val="none"/>
        </w:rPr>
      </w:pPr>
      <w:r>
        <w:rPr>
          <w:rFonts w:ascii="宋体" w:hAnsi="宋体" w:cs="仿宋_GB2312"/>
          <w:color w:val="auto"/>
          <w:sz w:val="24"/>
          <w:highlight w:val="none"/>
        </w:rPr>
        <w:t>3</w:t>
      </w:r>
      <w:r>
        <w:rPr>
          <w:rFonts w:hint="eastAsia" w:ascii="宋体" w:hAnsi="宋体" w:cs="仿宋_GB2312"/>
          <w:color w:val="auto"/>
          <w:sz w:val="24"/>
          <w:highlight w:val="none"/>
        </w:rPr>
        <w:t>.如为联合体竞标，“供应商名称”处必须列明联合体各方名称，标注联合体牵头人名称，</w:t>
      </w:r>
      <w:r>
        <w:rPr>
          <w:rFonts w:hint="eastAsia" w:ascii="宋体" w:hAnsi="宋体" w:cs="仿宋_GB2312"/>
          <w:b/>
          <w:color w:val="auto"/>
          <w:sz w:val="24"/>
          <w:highlight w:val="none"/>
        </w:rPr>
        <w:t>否则其响应文件按无效响应处理。</w:t>
      </w:r>
    </w:p>
    <w:p w14:paraId="1AFFB61A">
      <w:pPr>
        <w:spacing w:line="360" w:lineRule="exact"/>
        <w:ind w:firstLine="480" w:firstLineChars="200"/>
        <w:contextualSpacing/>
        <w:jc w:val="left"/>
        <w:rPr>
          <w:rFonts w:ascii="宋体" w:hAnsi="宋体" w:cs="仿宋_GB2312"/>
          <w:color w:val="auto"/>
          <w:sz w:val="24"/>
          <w:highlight w:val="none"/>
        </w:rPr>
      </w:pPr>
      <w:r>
        <w:rPr>
          <w:rFonts w:ascii="宋体" w:hAnsi="宋体" w:cs="仿宋_GB2312"/>
          <w:color w:val="auto"/>
          <w:sz w:val="24"/>
          <w:highlight w:val="none"/>
        </w:rPr>
        <w:t>4</w:t>
      </w:r>
      <w:r>
        <w:rPr>
          <w:rFonts w:hint="eastAsia" w:ascii="宋体" w:hAnsi="宋体" w:cs="仿宋_GB2312"/>
          <w:color w:val="auto"/>
          <w:sz w:val="24"/>
          <w:highlight w:val="none"/>
        </w:rPr>
        <w:t>. 如为联合体竞标，</w:t>
      </w:r>
      <w:r>
        <w:rPr>
          <w:rFonts w:hint="eastAsia" w:ascii="宋体" w:hAnsi="宋体"/>
          <w:color w:val="auto"/>
          <w:spacing w:val="-6"/>
          <w:sz w:val="24"/>
          <w:highlight w:val="none"/>
        </w:rPr>
        <w:t xml:space="preserve"> 盖章处须加盖联合体牵头人电子签章</w:t>
      </w:r>
      <w:r>
        <w:rPr>
          <w:rFonts w:hint="eastAsia" w:ascii="宋体" w:hAnsi="宋体" w:cs="仿宋_GB2312"/>
          <w:color w:val="auto"/>
          <w:sz w:val="24"/>
          <w:highlight w:val="none"/>
        </w:rPr>
        <w:t>，</w:t>
      </w:r>
      <w:r>
        <w:rPr>
          <w:rFonts w:hint="eastAsia" w:ascii="宋体" w:hAnsi="宋体" w:cs="仿宋_GB2312"/>
          <w:b/>
          <w:color w:val="auto"/>
          <w:sz w:val="24"/>
          <w:highlight w:val="none"/>
        </w:rPr>
        <w:t>否则其响应文件按无效处理。</w:t>
      </w:r>
    </w:p>
    <w:p w14:paraId="221D7EB7">
      <w:pPr>
        <w:spacing w:line="360" w:lineRule="exact"/>
        <w:ind w:firstLine="480" w:firstLineChars="200"/>
        <w:contextualSpacing/>
        <w:rPr>
          <w:rFonts w:ascii="宋体" w:hAnsi="宋体" w:cs="仿宋_GB2312"/>
          <w:color w:val="auto"/>
          <w:sz w:val="24"/>
          <w:highlight w:val="none"/>
        </w:rPr>
      </w:pPr>
      <w:r>
        <w:rPr>
          <w:rFonts w:ascii="宋体" w:hAnsi="宋体" w:cs="仿宋_GB2312"/>
          <w:color w:val="auto"/>
          <w:sz w:val="24"/>
          <w:highlight w:val="none"/>
        </w:rPr>
        <w:t>5</w:t>
      </w:r>
      <w:r>
        <w:rPr>
          <w:rFonts w:hint="eastAsia" w:ascii="宋体" w:hAnsi="宋体" w:cs="仿宋_GB2312"/>
          <w:color w:val="auto"/>
          <w:sz w:val="24"/>
          <w:highlight w:val="none"/>
        </w:rPr>
        <w:t>.</w:t>
      </w:r>
      <w:r>
        <w:rPr>
          <w:rFonts w:hint="eastAsia" w:ascii="宋体" w:hAnsi="宋体" w:cs="仿宋_GB2312"/>
          <w:color w:val="auto"/>
          <w:spacing w:val="-6"/>
          <w:sz w:val="24"/>
          <w:highlight w:val="none"/>
        </w:rPr>
        <w:t>如有多分标，分别列明各分标的报价表，</w:t>
      </w:r>
      <w:r>
        <w:rPr>
          <w:rFonts w:hint="eastAsia" w:ascii="宋体" w:hAnsi="宋体" w:cs="仿宋_GB2312"/>
          <w:b/>
          <w:color w:val="auto"/>
          <w:spacing w:val="-6"/>
          <w:sz w:val="24"/>
          <w:highlight w:val="none"/>
        </w:rPr>
        <w:t>否则其响应文件按无效响应处理。</w:t>
      </w:r>
    </w:p>
    <w:p w14:paraId="2182307B">
      <w:pPr>
        <w:spacing w:line="360" w:lineRule="exact"/>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14:paraId="37E56B65">
      <w:pPr>
        <w:spacing w:line="360" w:lineRule="exact"/>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供应商名称（电子签章）：      </w:t>
      </w:r>
    </w:p>
    <w:p w14:paraId="7191DB7E">
      <w:pPr>
        <w:spacing w:line="360" w:lineRule="auto"/>
        <w:ind w:right="-817" w:rightChars="-389" w:firstLine="4080" w:firstLineChars="1700"/>
        <w:contextualSpacing/>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7746CDC9">
      <w:pPr>
        <w:tabs>
          <w:tab w:val="left" w:pos="1305"/>
        </w:tabs>
        <w:spacing w:line="390" w:lineRule="exact"/>
        <w:rPr>
          <w:rFonts w:ascii="宋体" w:hAnsi="宋体" w:cs="宋体"/>
          <w:b/>
          <w:color w:val="auto"/>
          <w:kern w:val="0"/>
          <w:szCs w:val="21"/>
          <w:highlight w:val="none"/>
        </w:rPr>
      </w:pPr>
    </w:p>
    <w:p w14:paraId="3541361D">
      <w:pPr>
        <w:tabs>
          <w:tab w:val="left" w:pos="1305"/>
        </w:tabs>
        <w:spacing w:line="390" w:lineRule="exact"/>
        <w:rPr>
          <w:rFonts w:ascii="宋体" w:hAnsi="宋体" w:cs="宋体"/>
          <w:b/>
          <w:color w:val="auto"/>
          <w:kern w:val="0"/>
          <w:szCs w:val="21"/>
          <w:highlight w:val="none"/>
        </w:rPr>
      </w:pPr>
    </w:p>
    <w:p w14:paraId="1E668084">
      <w:pPr>
        <w:tabs>
          <w:tab w:val="left" w:pos="1305"/>
        </w:tabs>
        <w:spacing w:line="390" w:lineRule="exact"/>
        <w:rPr>
          <w:rFonts w:ascii="宋体" w:hAnsi="宋体" w:cs="宋体"/>
          <w:b/>
          <w:color w:val="auto"/>
          <w:kern w:val="0"/>
          <w:szCs w:val="21"/>
          <w:highlight w:val="none"/>
        </w:rPr>
      </w:pPr>
      <w:r>
        <w:rPr>
          <w:rFonts w:hint="eastAsia" w:ascii="宋体" w:hAnsi="宋体" w:cs="宋体"/>
          <w:b/>
          <w:color w:val="auto"/>
          <w:kern w:val="0"/>
          <w:szCs w:val="21"/>
          <w:highlight w:val="none"/>
        </w:rPr>
        <w:t>注：</w:t>
      </w:r>
    </w:p>
    <w:p w14:paraId="630CFB5E">
      <w:pPr>
        <w:spacing w:line="520" w:lineRule="exact"/>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1.该表的合计金额与竞标报价表的金额须保持一致，否则，响应文件按无效处理。</w:t>
      </w:r>
    </w:p>
    <w:p w14:paraId="15A1BE62">
      <w:pPr>
        <w:spacing w:line="520" w:lineRule="exact"/>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2.供应商必须就“采购需求”中的所有内容作完整唯一报价，响应文件只允许有一个报价方案，不接受有选择的或有条件的报价，否则响应文件按无效处理。</w:t>
      </w:r>
    </w:p>
    <w:p w14:paraId="5C9D6841">
      <w:pPr>
        <w:spacing w:line="520" w:lineRule="exact"/>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3.供应商应如实填写竞标报价表的各项内容，否则，响应文件按无效处理。</w:t>
      </w:r>
    </w:p>
    <w:p w14:paraId="288C52A0">
      <w:pPr>
        <w:spacing w:line="360" w:lineRule="auto"/>
        <w:ind w:right="420"/>
        <w:contextualSpacing/>
        <w:jc w:val="left"/>
        <w:rPr>
          <w:rFonts w:ascii="宋体" w:hAnsi="宋体"/>
          <w:b/>
          <w:color w:val="auto"/>
          <w:sz w:val="32"/>
          <w:szCs w:val="32"/>
          <w:highlight w:val="none"/>
        </w:rPr>
      </w:pPr>
      <w:r>
        <w:rPr>
          <w:rFonts w:hint="eastAsia" w:ascii="宋体" w:hAnsi="宋体"/>
          <w:b/>
          <w:bCs/>
          <w:color w:val="auto"/>
          <w:sz w:val="32"/>
          <w:szCs w:val="32"/>
          <w:highlight w:val="none"/>
        </w:rPr>
        <w:t>三、</w:t>
      </w:r>
      <w:r>
        <w:rPr>
          <w:rFonts w:hint="eastAsia" w:ascii="宋体" w:hAnsi="宋体"/>
          <w:b/>
          <w:color w:val="auto"/>
          <w:sz w:val="32"/>
          <w:szCs w:val="32"/>
          <w:highlight w:val="none"/>
        </w:rPr>
        <w:t xml:space="preserve">商务技术文件格式 </w:t>
      </w:r>
    </w:p>
    <w:p w14:paraId="4C8479EF">
      <w:pPr>
        <w:snapToGrid w:val="0"/>
        <w:spacing w:before="156" w:beforeLines="50"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1.商务技术文件封面格式</w:t>
      </w:r>
    </w:p>
    <w:p w14:paraId="396AF4C6">
      <w:pPr>
        <w:snapToGrid w:val="0"/>
        <w:spacing w:before="156" w:beforeLines="50" w:after="50"/>
        <w:rPr>
          <w:rFonts w:ascii="宋体" w:hAnsi="宋体"/>
          <w:bCs/>
          <w:color w:val="auto"/>
          <w:sz w:val="32"/>
          <w:szCs w:val="20"/>
          <w:highlight w:val="none"/>
        </w:rPr>
      </w:pPr>
      <w:r>
        <w:rPr>
          <w:rFonts w:hint="eastAsia" w:ascii="宋体" w:hAnsi="宋体"/>
          <w:color w:val="auto"/>
          <w:sz w:val="24"/>
          <w:highlight w:val="none"/>
        </w:rPr>
        <w:t xml:space="preserve">                                                    </w:t>
      </w:r>
    </w:p>
    <w:p w14:paraId="2830DB1A">
      <w:pPr>
        <w:snapToGrid w:val="0"/>
        <w:spacing w:before="156" w:beforeLines="50" w:after="50"/>
        <w:jc w:val="center"/>
        <w:rPr>
          <w:rFonts w:ascii="宋体" w:hAnsi="宋体"/>
          <w:color w:val="auto"/>
          <w:sz w:val="24"/>
          <w:szCs w:val="20"/>
          <w:highlight w:val="none"/>
        </w:rPr>
      </w:pPr>
      <w:r>
        <w:rPr>
          <w:rFonts w:hint="eastAsia" w:ascii="宋体" w:hAnsi="宋体"/>
          <w:color w:val="auto"/>
          <w:sz w:val="44"/>
          <w:szCs w:val="44"/>
          <w:highlight w:val="none"/>
        </w:rPr>
        <w:t>电 子 响 应 文 件</w:t>
      </w:r>
    </w:p>
    <w:p w14:paraId="06226D16">
      <w:pPr>
        <w:snapToGrid w:val="0"/>
        <w:spacing w:before="156" w:beforeLines="50" w:after="50"/>
        <w:rPr>
          <w:rFonts w:ascii="宋体" w:hAnsi="宋体"/>
          <w:color w:val="auto"/>
          <w:sz w:val="24"/>
          <w:szCs w:val="20"/>
          <w:highlight w:val="none"/>
        </w:rPr>
      </w:pPr>
    </w:p>
    <w:p w14:paraId="38626A96">
      <w:pPr>
        <w:snapToGrid w:val="0"/>
        <w:spacing w:before="156" w:beforeLines="50" w:after="50"/>
        <w:rPr>
          <w:rFonts w:ascii="宋体" w:hAnsi="宋体"/>
          <w:color w:val="auto"/>
          <w:sz w:val="24"/>
          <w:szCs w:val="20"/>
          <w:highlight w:val="none"/>
        </w:rPr>
      </w:pPr>
    </w:p>
    <w:p w14:paraId="521BB829">
      <w:pPr>
        <w:snapToGrid w:val="0"/>
        <w:spacing w:before="156"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w:t>
      </w:r>
    </w:p>
    <w:p w14:paraId="70178462">
      <w:pPr>
        <w:snapToGrid w:val="0"/>
        <w:spacing w:before="156" w:beforeLines="50" w:after="50"/>
        <w:rPr>
          <w:rFonts w:ascii="宋体" w:hAnsi="宋体"/>
          <w:bCs/>
          <w:color w:val="auto"/>
          <w:sz w:val="24"/>
          <w:szCs w:val="20"/>
          <w:highlight w:val="none"/>
        </w:rPr>
      </w:pPr>
    </w:p>
    <w:p w14:paraId="3E5259D5">
      <w:pPr>
        <w:snapToGrid w:val="0"/>
        <w:spacing w:before="156" w:beforeLines="50" w:after="50"/>
        <w:rPr>
          <w:rFonts w:ascii="宋体" w:hAnsi="宋体"/>
          <w:bCs/>
          <w:color w:val="auto"/>
          <w:sz w:val="24"/>
          <w:szCs w:val="20"/>
          <w:highlight w:val="none"/>
        </w:rPr>
      </w:pPr>
    </w:p>
    <w:p w14:paraId="2B81F741">
      <w:pPr>
        <w:snapToGrid w:val="0"/>
        <w:spacing w:before="156" w:beforeLines="50" w:after="50"/>
        <w:rPr>
          <w:rFonts w:ascii="宋体" w:hAnsi="宋体"/>
          <w:bCs/>
          <w:color w:val="auto"/>
          <w:sz w:val="24"/>
          <w:szCs w:val="20"/>
          <w:highlight w:val="none"/>
        </w:rPr>
      </w:pPr>
    </w:p>
    <w:p w14:paraId="6CA87BED">
      <w:pPr>
        <w:snapToGrid w:val="0"/>
        <w:spacing w:before="156" w:beforeLines="50" w:after="50"/>
        <w:rPr>
          <w:rFonts w:ascii="宋体" w:hAnsi="宋体"/>
          <w:bCs/>
          <w:color w:val="auto"/>
          <w:sz w:val="24"/>
          <w:szCs w:val="20"/>
          <w:highlight w:val="none"/>
        </w:rPr>
      </w:pPr>
    </w:p>
    <w:p w14:paraId="0769F06E">
      <w:pPr>
        <w:snapToGrid w:val="0"/>
        <w:spacing w:before="156" w:beforeLines="50" w:after="50"/>
        <w:rPr>
          <w:rFonts w:ascii="宋体" w:hAnsi="宋体"/>
          <w:bCs/>
          <w:color w:val="auto"/>
          <w:sz w:val="24"/>
          <w:szCs w:val="20"/>
          <w:highlight w:val="none"/>
        </w:rPr>
      </w:pPr>
    </w:p>
    <w:p w14:paraId="08CB2B32">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0A998CE7">
      <w:pPr>
        <w:snapToGrid w:val="0"/>
        <w:spacing w:before="156" w:beforeLines="50" w:after="50"/>
        <w:ind w:firstLine="720" w:firstLineChars="225"/>
        <w:rPr>
          <w:rFonts w:ascii="宋体" w:hAnsi="宋体" w:cs="仿宋_GB2312"/>
          <w:bCs/>
          <w:color w:val="auto"/>
          <w:sz w:val="32"/>
          <w:szCs w:val="32"/>
          <w:highlight w:val="none"/>
        </w:rPr>
      </w:pPr>
    </w:p>
    <w:p w14:paraId="62143542">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63A4B8BF">
      <w:pPr>
        <w:snapToGrid w:val="0"/>
        <w:spacing w:before="156"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3FDB812F">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0AC61363">
      <w:pPr>
        <w:snapToGrid w:val="0"/>
        <w:spacing w:before="156" w:beforeLines="50" w:after="50"/>
        <w:ind w:firstLine="720" w:firstLineChars="225"/>
        <w:rPr>
          <w:rFonts w:ascii="宋体" w:hAnsi="宋体" w:cs="仿宋_GB2312"/>
          <w:bCs/>
          <w:color w:val="auto"/>
          <w:sz w:val="32"/>
          <w:szCs w:val="32"/>
          <w:highlight w:val="none"/>
        </w:rPr>
      </w:pPr>
    </w:p>
    <w:p w14:paraId="0E7999E1">
      <w:pPr>
        <w:pStyle w:val="7"/>
        <w:snapToGrid w:val="0"/>
        <w:spacing w:before="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3CD3B064">
      <w:pPr>
        <w:pStyle w:val="7"/>
        <w:snapToGrid w:val="0"/>
        <w:spacing w:before="50" w:after="50"/>
        <w:ind w:firstLine="640" w:firstLineChars="200"/>
        <w:rPr>
          <w:rFonts w:ascii="宋体" w:hAnsi="宋体" w:cs="仿宋_GB2312"/>
          <w:bCs/>
          <w:color w:val="auto"/>
          <w:sz w:val="32"/>
          <w:szCs w:val="32"/>
          <w:highlight w:val="none"/>
        </w:rPr>
      </w:pPr>
    </w:p>
    <w:p w14:paraId="09F3C86F">
      <w:pPr>
        <w:pStyle w:val="7"/>
        <w:snapToGrid w:val="0"/>
        <w:spacing w:before="50" w:after="50"/>
        <w:ind w:firstLine="720" w:firstLineChars="225"/>
        <w:rPr>
          <w:rFonts w:ascii="宋体" w:hAnsi="宋体" w:cs="仿宋_GB2312"/>
          <w:bCs/>
          <w:color w:val="auto"/>
          <w:sz w:val="32"/>
          <w:szCs w:val="32"/>
          <w:highlight w:val="none"/>
        </w:rPr>
      </w:pPr>
    </w:p>
    <w:p w14:paraId="0ED49EDD">
      <w:pPr>
        <w:pStyle w:val="7"/>
        <w:snapToGrid w:val="0"/>
        <w:spacing w:before="50" w:after="50"/>
        <w:ind w:firstLine="0"/>
        <w:rPr>
          <w:rFonts w:ascii="宋体" w:hAnsi="宋体" w:cs="仿宋_GB2312"/>
          <w:bCs/>
          <w:color w:val="auto"/>
          <w:sz w:val="32"/>
          <w:szCs w:val="32"/>
          <w:highlight w:val="none"/>
        </w:rPr>
      </w:pPr>
    </w:p>
    <w:p w14:paraId="47DC90B6">
      <w:pPr>
        <w:pStyle w:val="7"/>
        <w:snapToGrid w:val="0"/>
        <w:spacing w:before="50" w:after="50"/>
        <w:ind w:firstLine="1280" w:firstLineChars="400"/>
        <w:rPr>
          <w:rFonts w:ascii="宋体" w:hAnsi="宋体" w:cs="仿宋_GB2312"/>
          <w:bCs/>
          <w:color w:val="auto"/>
          <w:sz w:val="32"/>
          <w:szCs w:val="32"/>
          <w:highlight w:val="none"/>
        </w:rPr>
      </w:pPr>
    </w:p>
    <w:p w14:paraId="6E3C4849">
      <w:pPr>
        <w:snapToGrid w:val="0"/>
        <w:spacing w:before="156"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0C4423BC">
      <w:pPr>
        <w:snapToGrid w:val="0"/>
        <w:spacing w:before="156" w:beforeLines="50" w:after="50" w:line="360" w:lineRule="auto"/>
        <w:ind w:right="480" w:firstLine="240" w:firstLineChars="100"/>
        <w:jc w:val="left"/>
        <w:rPr>
          <w:rFonts w:ascii="宋体" w:hAnsi="宋体"/>
          <w:b/>
          <w:bCs/>
          <w:color w:val="auto"/>
          <w:sz w:val="24"/>
          <w:highlight w:val="none"/>
        </w:rPr>
      </w:pPr>
      <w:r>
        <w:rPr>
          <w:rFonts w:ascii="宋体" w:hAnsi="宋体"/>
          <w:color w:val="auto"/>
          <w:sz w:val="24"/>
          <w:highlight w:val="none"/>
        </w:rPr>
        <w:br w:type="page"/>
      </w:r>
      <w:r>
        <w:rPr>
          <w:rFonts w:hint="eastAsia" w:ascii="宋体" w:hAnsi="宋体"/>
          <w:b/>
          <w:bCs/>
          <w:color w:val="auto"/>
          <w:sz w:val="32"/>
          <w:szCs w:val="32"/>
          <w:highlight w:val="none"/>
        </w:rPr>
        <w:t>2.商务技术文件目录</w:t>
      </w:r>
    </w:p>
    <w:p w14:paraId="036B2817">
      <w:pPr>
        <w:snapToGrid w:val="0"/>
        <w:spacing w:before="156" w:beforeLines="50" w:after="50" w:line="360" w:lineRule="auto"/>
        <w:ind w:firstLine="640" w:firstLineChars="200"/>
        <w:rPr>
          <w:rFonts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07E6D442">
      <w:pPr>
        <w:spacing w:line="400" w:lineRule="exact"/>
        <w:rPr>
          <w:rFonts w:ascii="仿宋_GB2312" w:hAnsi="仿宋_GB2312" w:eastAsia="仿宋_GB2312" w:cs="仿宋_GB2312"/>
          <w:color w:val="auto"/>
          <w:sz w:val="32"/>
          <w:szCs w:val="32"/>
          <w:highlight w:val="none"/>
        </w:rPr>
      </w:pPr>
    </w:p>
    <w:p w14:paraId="40A6D229">
      <w:pPr>
        <w:snapToGrid w:val="0"/>
        <w:spacing w:before="156" w:beforeLines="50" w:after="50" w:line="360" w:lineRule="auto"/>
        <w:ind w:right="480"/>
        <w:jc w:val="center"/>
        <w:rPr>
          <w:rFonts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方正小标宋简体" w:hAnsi="方正小标宋简体" w:eastAsia="方正小标宋简体" w:cs="方正小标宋简体"/>
          <w:color w:val="auto"/>
          <w:sz w:val="44"/>
          <w:szCs w:val="44"/>
          <w:highlight w:val="none"/>
        </w:rPr>
        <w:t>无串通竞标行为的承诺函</w:t>
      </w:r>
    </w:p>
    <w:p w14:paraId="1BA2302F">
      <w:pPr>
        <w:spacing w:line="360" w:lineRule="auto"/>
        <w:ind w:firstLine="640" w:firstLineChars="200"/>
        <w:contextualSpacing/>
        <w:rPr>
          <w:rFonts w:ascii="仿宋_GB2312" w:hAnsi="仿宋_GB2312" w:eastAsia="仿宋_GB2312" w:cs="仿宋_GB2312"/>
          <w:color w:val="auto"/>
          <w:sz w:val="32"/>
          <w:szCs w:val="32"/>
          <w:highlight w:val="none"/>
        </w:rPr>
      </w:pPr>
    </w:p>
    <w:p w14:paraId="7B4C3C0C">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74412BF8">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 xml:space="preserve">1.不同供应商的响应文件由同一单位或者个人编制； </w:t>
      </w:r>
    </w:p>
    <w:p w14:paraId="662A0500">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75E23042">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3.不同供应商的响应文件载明的项目管理员为同一个人；</w:t>
      </w:r>
    </w:p>
    <w:p w14:paraId="3074DAD9">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同供应商的响应文件异常一致或者竞标报价呈规律性差异；</w:t>
      </w:r>
    </w:p>
    <w:p w14:paraId="365E61A3">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71B668D7">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6.不同供应商的磋商保证金从同一单位或者个人账户转出。</w:t>
      </w:r>
    </w:p>
    <w:p w14:paraId="32905263">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67CA76EE">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00549902">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6E04B426">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14:paraId="418C6822">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251DE96A">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7A7AAB7F">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4DEE739D">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14:paraId="1F87187C">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410514EB">
      <w:pPr>
        <w:spacing w:line="360" w:lineRule="auto"/>
        <w:contextualSpacing/>
        <w:rPr>
          <w:rFonts w:ascii="宋体" w:hAnsi="宋体" w:cs="仿宋_GB2312"/>
          <w:color w:val="auto"/>
          <w:sz w:val="24"/>
          <w:highlight w:val="none"/>
        </w:rPr>
      </w:pPr>
    </w:p>
    <w:p w14:paraId="758DCC45">
      <w:pPr>
        <w:spacing w:line="360" w:lineRule="auto"/>
        <w:ind w:firstLine="3600" w:firstLineChars="1500"/>
        <w:contextualSpacing/>
        <w:rPr>
          <w:rFonts w:ascii="宋体" w:hAnsi="宋体" w:cs="仿宋_GB2312"/>
          <w:color w:val="auto"/>
          <w:sz w:val="24"/>
          <w:highlight w:val="none"/>
        </w:rPr>
      </w:pPr>
      <w:r>
        <w:rPr>
          <w:rFonts w:hint="eastAsia" w:ascii="宋体" w:hAnsi="宋体" w:cs="仿宋_GB2312"/>
          <w:color w:val="auto"/>
          <w:sz w:val="24"/>
          <w:highlight w:val="none"/>
        </w:rPr>
        <w:t>供应商名称（电子签章）：</w:t>
      </w:r>
    </w:p>
    <w:p w14:paraId="73F38481">
      <w:pPr>
        <w:spacing w:line="360" w:lineRule="auto"/>
        <w:ind w:firstLine="480" w:firstLineChars="200"/>
        <w:contextualSpacing/>
        <w:jc w:val="center"/>
        <w:rPr>
          <w:rFonts w:ascii="仿宋_GB2312" w:hAnsi="仿宋_GB2312" w:eastAsia="仿宋_GB2312" w:cs="仿宋_GB2312"/>
          <w:color w:val="auto"/>
          <w:sz w:val="32"/>
          <w:szCs w:val="32"/>
          <w:highlight w:val="none"/>
        </w:rPr>
      </w:pPr>
      <w:r>
        <w:rPr>
          <w:rFonts w:hint="eastAsia" w:ascii="宋体" w:hAnsi="宋体" w:cs="仿宋_GB2312"/>
          <w:color w:val="auto"/>
          <w:sz w:val="24"/>
          <w:highlight w:val="none"/>
        </w:rPr>
        <w:t xml:space="preserve">                               年   月   日</w:t>
      </w:r>
    </w:p>
    <w:p w14:paraId="49651488">
      <w:pPr>
        <w:snapToGrid w:val="0"/>
        <w:spacing w:before="156" w:beforeLines="50" w:after="50" w:line="360" w:lineRule="auto"/>
        <w:ind w:right="480"/>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rPr>
        <w:t xml:space="preserve"> 供应商</w:t>
      </w:r>
      <w:r>
        <w:rPr>
          <w:rFonts w:hint="eastAsia" w:ascii="方正小标宋简体" w:hAnsi="方正小标宋简体" w:eastAsia="方正小标宋简体" w:cs="方正小标宋简体"/>
          <w:color w:val="auto"/>
          <w:sz w:val="44"/>
          <w:szCs w:val="44"/>
          <w:highlight w:val="none"/>
        </w:rPr>
        <w:t>参加本项目无回避事项的承诺函</w:t>
      </w:r>
    </w:p>
    <w:p w14:paraId="02CC16DF">
      <w:pPr>
        <w:tabs>
          <w:tab w:val="left" w:pos="1890"/>
        </w:tabs>
        <w:spacing w:after="160" w:line="400" w:lineRule="exact"/>
        <w:contextualSpacing/>
        <w:jc w:val="left"/>
        <w:rPr>
          <w:rFonts w:ascii="宋体" w:hAnsi="宋体" w:cs="宋体"/>
          <w:color w:val="auto"/>
          <w:sz w:val="24"/>
          <w:highlight w:val="none"/>
        </w:rPr>
      </w:pP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6A85C787">
      <w:pPr>
        <w:spacing w:after="160" w:line="400" w:lineRule="exact"/>
        <w:ind w:firstLine="523" w:firstLineChars="218"/>
        <w:contextualSpacing/>
        <w:jc w:val="left"/>
        <w:rPr>
          <w:rFonts w:ascii="宋体" w:hAnsi="宋体" w:cs="宋体"/>
          <w:color w:val="auto"/>
          <w:sz w:val="24"/>
          <w:highlight w:val="none"/>
        </w:rPr>
      </w:pPr>
      <w:r>
        <w:rPr>
          <w:rFonts w:hint="eastAsia" w:ascii="宋体" w:hAnsi="宋体" w:cs="宋体"/>
          <w:color w:val="auto"/>
          <w:sz w:val="24"/>
          <w:highlight w:val="none"/>
        </w:rPr>
        <w:t>我方参加贵单位组织项目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）的政府采购活动。我方在此郑重承诺：</w:t>
      </w:r>
    </w:p>
    <w:p w14:paraId="5AE16D12">
      <w:pPr>
        <w:spacing w:after="160"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我方承诺参加本项目的政府采购活动中与采购人员及相关人员不存在《中华人民共和国政府采购法实施条例》第九条情形；如有，自行提出回避申请：</w:t>
      </w:r>
    </w:p>
    <w:p w14:paraId="41000856">
      <w:pPr>
        <w:numPr>
          <w:ilvl w:val="4"/>
          <w:numId w:val="0"/>
        </w:numPr>
        <w:spacing w:line="360" w:lineRule="auto"/>
        <w:ind w:firstLine="420" w:firstLineChars="175"/>
        <w:outlineLvl w:val="4"/>
        <w:rPr>
          <w:rFonts w:ascii="宋体" w:hAnsi="宋体" w:cs="宋体"/>
          <w:bCs/>
          <w:color w:val="auto"/>
          <w:sz w:val="24"/>
          <w:highlight w:val="none"/>
        </w:rPr>
      </w:pPr>
      <w:r>
        <w:rPr>
          <w:rFonts w:hint="eastAsia" w:ascii="宋体" w:hAnsi="宋体" w:cs="宋体"/>
          <w:bCs/>
          <w:color w:val="auto"/>
          <w:sz w:val="24"/>
          <w:highlight w:val="none"/>
        </w:rPr>
        <w:t>在政府采购活动中，采购人员及相关人员与供应商有下列利害关系之一的，应当回避：</w:t>
      </w:r>
    </w:p>
    <w:p w14:paraId="062F6D18">
      <w:pPr>
        <w:snapToGrid w:val="0"/>
        <w:spacing w:after="160" w:line="360" w:lineRule="auto"/>
        <w:ind w:left="2" w:leftChars="1" w:firstLine="480" w:firstLineChars="200"/>
        <w:rPr>
          <w:rFonts w:ascii="宋体" w:hAnsi="宋体" w:cs="宋体"/>
          <w:color w:val="auto"/>
          <w:sz w:val="24"/>
          <w:highlight w:val="none"/>
        </w:rPr>
      </w:pPr>
      <w:r>
        <w:rPr>
          <w:rFonts w:hint="eastAsia" w:ascii="宋体" w:hAnsi="宋体" w:cs="宋体"/>
          <w:color w:val="auto"/>
          <w:sz w:val="24"/>
          <w:highlight w:val="none"/>
        </w:rPr>
        <w:t>（1）参加采购活动前3年内与供应商存在劳动关系；</w:t>
      </w:r>
    </w:p>
    <w:p w14:paraId="42D1A4DE">
      <w:pPr>
        <w:snapToGrid w:val="0"/>
        <w:spacing w:after="160" w:line="360" w:lineRule="auto"/>
        <w:ind w:left="2" w:leftChars="1" w:firstLine="480" w:firstLineChars="200"/>
        <w:rPr>
          <w:rFonts w:ascii="宋体" w:hAnsi="宋体" w:cs="宋体"/>
          <w:color w:val="auto"/>
          <w:sz w:val="24"/>
          <w:highlight w:val="none"/>
        </w:rPr>
      </w:pPr>
      <w:r>
        <w:rPr>
          <w:rFonts w:hint="eastAsia" w:ascii="宋体" w:hAnsi="宋体" w:cs="宋体"/>
          <w:color w:val="auto"/>
          <w:sz w:val="24"/>
          <w:highlight w:val="none"/>
        </w:rPr>
        <w:t>（2）参加采购活动前3年内担任供应商的董事、监事；</w:t>
      </w:r>
    </w:p>
    <w:p w14:paraId="69CB7E9E">
      <w:pPr>
        <w:snapToGrid w:val="0"/>
        <w:spacing w:after="160" w:line="360" w:lineRule="auto"/>
        <w:ind w:left="2" w:leftChars="1" w:firstLine="480" w:firstLineChars="200"/>
        <w:rPr>
          <w:rFonts w:ascii="宋体" w:hAnsi="宋体" w:cs="宋体"/>
          <w:color w:val="auto"/>
          <w:sz w:val="24"/>
          <w:highlight w:val="none"/>
        </w:rPr>
      </w:pPr>
      <w:r>
        <w:rPr>
          <w:rFonts w:hint="eastAsia" w:ascii="宋体" w:hAnsi="宋体" w:cs="宋体"/>
          <w:color w:val="auto"/>
          <w:sz w:val="24"/>
          <w:highlight w:val="none"/>
        </w:rPr>
        <w:t>（3）参加采购活动前3年内是供应商的控股股东或者实际控制人；</w:t>
      </w:r>
    </w:p>
    <w:p w14:paraId="64D306FF">
      <w:pPr>
        <w:snapToGrid w:val="0"/>
        <w:spacing w:after="160" w:line="360" w:lineRule="auto"/>
        <w:ind w:left="2" w:leftChars="1" w:firstLine="480" w:firstLineChars="200"/>
        <w:rPr>
          <w:rFonts w:ascii="宋体" w:hAnsi="宋体" w:cs="宋体"/>
          <w:color w:val="auto"/>
          <w:sz w:val="24"/>
          <w:highlight w:val="none"/>
        </w:rPr>
      </w:pPr>
      <w:r>
        <w:rPr>
          <w:rFonts w:hint="eastAsia" w:ascii="宋体" w:hAnsi="宋体" w:cs="宋体"/>
          <w:color w:val="auto"/>
          <w:sz w:val="24"/>
          <w:highlight w:val="none"/>
        </w:rPr>
        <w:t>（4）与供应商的法定代表人或者负责人有夫妻、直系血亲、三代以内旁系血亲或者近姻亲关系；</w:t>
      </w:r>
    </w:p>
    <w:p w14:paraId="2FA0C0BB">
      <w:pPr>
        <w:snapToGrid w:val="0"/>
        <w:spacing w:after="160" w:line="360" w:lineRule="auto"/>
        <w:ind w:left="2" w:leftChars="1" w:firstLine="480" w:firstLineChars="200"/>
        <w:rPr>
          <w:rFonts w:ascii="宋体" w:hAnsi="宋体" w:cs="宋体"/>
          <w:color w:val="auto"/>
          <w:sz w:val="24"/>
          <w:highlight w:val="none"/>
        </w:rPr>
      </w:pPr>
      <w:r>
        <w:rPr>
          <w:rFonts w:hint="eastAsia" w:ascii="宋体" w:hAnsi="宋体" w:cs="宋体"/>
          <w:color w:val="auto"/>
          <w:sz w:val="24"/>
          <w:highlight w:val="none"/>
        </w:rPr>
        <w:t>（5）与供应商有其他可能影响政府采购活动公平、公正进行的关系。</w:t>
      </w:r>
    </w:p>
    <w:p w14:paraId="4385AA87">
      <w:pPr>
        <w:snapToGrid w:val="0"/>
        <w:spacing w:after="160" w:line="360" w:lineRule="auto"/>
        <w:ind w:left="2" w:leftChars="1" w:firstLine="480" w:firstLineChars="200"/>
        <w:rPr>
          <w:rFonts w:ascii="宋体" w:hAnsi="宋体" w:cs="宋体"/>
          <w:color w:val="auto"/>
          <w:sz w:val="24"/>
          <w:highlight w:val="none"/>
        </w:rPr>
      </w:pPr>
      <w:r>
        <w:rPr>
          <w:rFonts w:hint="eastAsia" w:ascii="宋体" w:hAnsi="宋体" w:cs="宋体"/>
          <w:color w:val="auto"/>
          <w:sz w:val="24"/>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4F220E3">
      <w:pPr>
        <w:spacing w:after="160"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 xml:space="preserve">    特此承诺。</w:t>
      </w:r>
    </w:p>
    <w:p w14:paraId="28955FB5">
      <w:pPr>
        <w:spacing w:after="160" w:line="440" w:lineRule="exact"/>
        <w:ind w:firstLine="482" w:firstLineChars="200"/>
        <w:contextualSpacing/>
        <w:jc w:val="left"/>
        <w:rPr>
          <w:rFonts w:ascii="宋体" w:hAnsi="宋体" w:cs="宋体"/>
          <w:b/>
          <w:color w:val="auto"/>
          <w:sz w:val="24"/>
          <w:highlight w:val="none"/>
        </w:rPr>
      </w:pPr>
      <w:r>
        <w:rPr>
          <w:rFonts w:hint="eastAsia" w:ascii="宋体" w:hAnsi="宋体" w:cs="宋体"/>
          <w:b/>
          <w:color w:val="auto"/>
          <w:sz w:val="24"/>
          <w:highlight w:val="none"/>
        </w:rPr>
        <w:t>以上情形一经核查属实，我方愿意承担一切后果，并不再寻求任何旨在减轻或者免除法律责任的辩解。</w:t>
      </w:r>
    </w:p>
    <w:p w14:paraId="223A56B3">
      <w:pPr>
        <w:spacing w:after="160"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 xml:space="preserve">                              法定代表人签字（签章或电子签名）：</w:t>
      </w:r>
    </w:p>
    <w:p w14:paraId="395B0939">
      <w:pPr>
        <w:spacing w:after="160" w:line="400" w:lineRule="exact"/>
        <w:contextualSpacing/>
        <w:jc w:val="left"/>
        <w:rPr>
          <w:rFonts w:ascii="宋体" w:hAnsi="宋体" w:cs="宋体"/>
          <w:color w:val="auto"/>
          <w:sz w:val="24"/>
          <w:highlight w:val="none"/>
          <w:u w:val="single"/>
        </w:rPr>
      </w:pPr>
      <w:r>
        <w:rPr>
          <w:rFonts w:hint="eastAsia" w:ascii="宋体" w:hAnsi="宋体" w:cs="宋体"/>
          <w:color w:val="auto"/>
          <w:sz w:val="24"/>
          <w:highlight w:val="none"/>
        </w:rPr>
        <w:t xml:space="preserve">                                          供应商（盖电子签章）：</w:t>
      </w:r>
    </w:p>
    <w:p w14:paraId="30C89D85">
      <w:pPr>
        <w:spacing w:after="160"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 xml:space="preserve">                                                  年    月    日</w:t>
      </w:r>
    </w:p>
    <w:p w14:paraId="0B9DCED6">
      <w:pPr>
        <w:spacing w:after="160" w:line="278" w:lineRule="auto"/>
        <w:rPr>
          <w:color w:val="auto"/>
          <w:highlight w:val="none"/>
        </w:rPr>
      </w:pPr>
    </w:p>
    <w:p w14:paraId="461518BD">
      <w:pPr>
        <w:spacing w:line="520" w:lineRule="exact"/>
        <w:rPr>
          <w:rFonts w:ascii="方正小标宋简体" w:hAnsi="方正小标宋简体" w:eastAsia="方正小标宋简体" w:cs="方正小标宋简体"/>
          <w:bCs/>
          <w:color w:val="auto"/>
          <w:sz w:val="44"/>
          <w:szCs w:val="44"/>
          <w:highlight w:val="none"/>
        </w:rPr>
      </w:pPr>
    </w:p>
    <w:p w14:paraId="39D37B39">
      <w:pPr>
        <w:spacing w:line="520" w:lineRule="exact"/>
        <w:jc w:val="center"/>
        <w:rPr>
          <w:rFonts w:ascii="方正小标宋简体" w:hAnsi="方正小标宋简体" w:eastAsia="方正小标宋简体" w:cs="方正小标宋简体"/>
          <w:bCs/>
          <w:color w:val="auto"/>
          <w:sz w:val="44"/>
          <w:szCs w:val="44"/>
          <w:highlight w:val="none"/>
        </w:rPr>
      </w:pPr>
    </w:p>
    <w:p w14:paraId="28865CF1">
      <w:pPr>
        <w:spacing w:line="520" w:lineRule="exact"/>
        <w:jc w:val="center"/>
        <w:rPr>
          <w:rFonts w:ascii="方正小标宋简体" w:hAnsi="方正小标宋简体" w:eastAsia="方正小标宋简体" w:cs="方正小标宋简体"/>
          <w:bCs/>
          <w:color w:val="auto"/>
          <w:sz w:val="44"/>
          <w:szCs w:val="44"/>
          <w:highlight w:val="none"/>
        </w:rPr>
      </w:pPr>
    </w:p>
    <w:p w14:paraId="4280AF7B">
      <w:pPr>
        <w:spacing w:line="520" w:lineRule="exact"/>
        <w:jc w:val="center"/>
        <w:rPr>
          <w:rFonts w:ascii="方正小标宋简体" w:hAnsi="方正小标宋简体" w:eastAsia="方正小标宋简体" w:cs="方正小标宋简体"/>
          <w:bCs/>
          <w:color w:val="auto"/>
          <w:sz w:val="44"/>
          <w:szCs w:val="44"/>
          <w:highlight w:val="none"/>
        </w:rPr>
      </w:pPr>
    </w:p>
    <w:p w14:paraId="0F7A40E1">
      <w:pPr>
        <w:spacing w:line="520" w:lineRule="exact"/>
        <w:jc w:val="center"/>
        <w:rPr>
          <w:rFonts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t>法定代表人证明书</w:t>
      </w:r>
    </w:p>
    <w:p w14:paraId="784B5C09">
      <w:pPr>
        <w:spacing w:line="360" w:lineRule="auto"/>
        <w:ind w:left="540"/>
        <w:contextualSpacing/>
        <w:rPr>
          <w:rFonts w:ascii="仿宋_GB2312" w:hAnsi="仿宋_GB2312" w:eastAsia="仿宋_GB2312" w:cs="仿宋_GB2312"/>
          <w:color w:val="auto"/>
          <w:sz w:val="32"/>
          <w:szCs w:val="32"/>
          <w:highlight w:val="none"/>
        </w:rPr>
      </w:pPr>
    </w:p>
    <w:p w14:paraId="527218B0">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p>
    <w:p w14:paraId="20B88C78">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地    址：</w:t>
      </w:r>
      <w:r>
        <w:rPr>
          <w:rFonts w:hint="eastAsia" w:ascii="宋体" w:hAnsi="宋体" w:cs="仿宋_GB2312"/>
          <w:color w:val="auto"/>
          <w:sz w:val="24"/>
          <w:highlight w:val="none"/>
          <w:u w:val="single"/>
        </w:rPr>
        <w:t xml:space="preserve">                                                        </w:t>
      </w:r>
    </w:p>
    <w:p w14:paraId="5D129FFE">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姓    名：</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性     别：</w:t>
      </w:r>
      <w:r>
        <w:rPr>
          <w:rFonts w:hint="eastAsia" w:ascii="宋体" w:hAnsi="宋体" w:cs="仿宋_GB2312"/>
          <w:color w:val="auto"/>
          <w:sz w:val="24"/>
          <w:highlight w:val="none"/>
          <w:u w:val="single"/>
        </w:rPr>
        <w:t xml:space="preserve">                </w:t>
      </w:r>
    </w:p>
    <w:p w14:paraId="2436091C">
      <w:pPr>
        <w:spacing w:line="360" w:lineRule="auto"/>
        <w:ind w:left="540"/>
        <w:contextualSpacing/>
        <w:rPr>
          <w:rFonts w:ascii="宋体" w:hAnsi="宋体" w:cs="仿宋_GB2312"/>
          <w:color w:val="auto"/>
          <w:sz w:val="24"/>
          <w:highlight w:val="none"/>
          <w:u w:val="single"/>
        </w:rPr>
      </w:pPr>
      <w:r>
        <w:rPr>
          <w:rFonts w:hint="eastAsia" w:ascii="宋体" w:hAnsi="宋体" w:cs="仿宋_GB2312"/>
          <w:color w:val="auto"/>
          <w:sz w:val="24"/>
          <w:highlight w:val="none"/>
        </w:rPr>
        <w:t>年    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职     务：</w:t>
      </w:r>
      <w:r>
        <w:rPr>
          <w:rFonts w:hint="eastAsia" w:ascii="宋体" w:hAnsi="宋体" w:cs="仿宋_GB2312"/>
          <w:color w:val="auto"/>
          <w:sz w:val="24"/>
          <w:highlight w:val="none"/>
          <w:u w:val="single"/>
        </w:rPr>
        <w:t xml:space="preserve">                </w:t>
      </w:r>
    </w:p>
    <w:p w14:paraId="79F511FA">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身份证号码：</w:t>
      </w:r>
      <w:r>
        <w:rPr>
          <w:rFonts w:hint="eastAsia" w:ascii="宋体" w:hAnsi="宋体" w:cs="仿宋_GB2312"/>
          <w:color w:val="auto"/>
          <w:sz w:val="24"/>
          <w:highlight w:val="none"/>
          <w:u w:val="single"/>
        </w:rPr>
        <w:t xml:space="preserve">                                        </w:t>
      </w:r>
    </w:p>
    <w:p w14:paraId="7E78E730">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（供应商名称）</w:t>
      </w:r>
      <w:r>
        <w:rPr>
          <w:rFonts w:hint="eastAsia" w:ascii="宋体" w:hAnsi="宋体" w:cs="仿宋_GB2312"/>
          <w:color w:val="auto"/>
          <w:sz w:val="24"/>
          <w:highlight w:val="none"/>
        </w:rPr>
        <w:t>的法定代表人。</w:t>
      </w:r>
    </w:p>
    <w:p w14:paraId="0E4A9735">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特此证明。</w:t>
      </w:r>
    </w:p>
    <w:p w14:paraId="6859B566">
      <w:pPr>
        <w:spacing w:line="360" w:lineRule="auto"/>
        <w:ind w:left="540"/>
        <w:contextualSpacing/>
        <w:rPr>
          <w:rFonts w:ascii="宋体" w:hAnsi="宋体" w:cs="仿宋_GB2312"/>
          <w:color w:val="auto"/>
          <w:sz w:val="24"/>
          <w:highlight w:val="none"/>
        </w:rPr>
      </w:pPr>
    </w:p>
    <w:p w14:paraId="7C320E1F">
      <w:pPr>
        <w:spacing w:line="360" w:lineRule="auto"/>
        <w:ind w:left="540"/>
        <w:contextualSpacing/>
        <w:rPr>
          <w:rFonts w:ascii="宋体" w:hAnsi="宋体" w:cs="仿宋_GB2312"/>
          <w:color w:val="auto"/>
          <w:sz w:val="24"/>
          <w:highlight w:val="none"/>
        </w:rPr>
      </w:pPr>
    </w:p>
    <w:p w14:paraId="65C530DF">
      <w:pPr>
        <w:spacing w:line="360" w:lineRule="auto"/>
        <w:ind w:left="540"/>
        <w:contextualSpacing/>
        <w:rPr>
          <w:rFonts w:ascii="宋体" w:hAnsi="宋体" w:cs="仿宋_GB2312"/>
          <w:color w:val="auto"/>
          <w:sz w:val="24"/>
          <w:highlight w:val="none"/>
        </w:rPr>
      </w:pPr>
    </w:p>
    <w:p w14:paraId="572FE2D9">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p>
    <w:p w14:paraId="7AE2E568">
      <w:pPr>
        <w:spacing w:line="360" w:lineRule="auto"/>
        <w:ind w:left="540"/>
        <w:contextualSpacing/>
        <w:rPr>
          <w:rFonts w:ascii="宋体" w:hAnsi="宋体" w:cs="仿宋_GB2312"/>
          <w:color w:val="auto"/>
          <w:sz w:val="24"/>
          <w:highlight w:val="none"/>
        </w:rPr>
      </w:pPr>
    </w:p>
    <w:p w14:paraId="11FF5DF0">
      <w:pPr>
        <w:spacing w:line="360" w:lineRule="auto"/>
        <w:ind w:left="540" w:leftChars="257" w:right="480" w:firstLine="2280" w:firstLineChars="950"/>
        <w:contextualSpacing/>
        <w:rPr>
          <w:rFonts w:ascii="宋体" w:hAnsi="宋体" w:cs="仿宋_GB2312"/>
          <w:color w:val="auto"/>
          <w:sz w:val="24"/>
          <w:highlight w:val="none"/>
        </w:rPr>
      </w:pPr>
      <w:r>
        <w:rPr>
          <w:rFonts w:hint="eastAsia" w:ascii="宋体" w:hAnsi="宋体" w:cs="仿宋_GB2312"/>
          <w:color w:val="auto"/>
          <w:sz w:val="24"/>
          <w:highlight w:val="none"/>
        </w:rPr>
        <w:t>供应商名称（电子签章）：</w:t>
      </w:r>
      <w:r>
        <w:rPr>
          <w:rFonts w:hint="eastAsia" w:ascii="宋体" w:hAnsi="宋体" w:cs="仿宋_GB2312"/>
          <w:color w:val="auto"/>
          <w:sz w:val="24"/>
          <w:highlight w:val="none"/>
          <w:u w:val="single"/>
        </w:rPr>
        <w:t xml:space="preserve">               </w:t>
      </w:r>
    </w:p>
    <w:p w14:paraId="0CB5C03C">
      <w:pPr>
        <w:spacing w:line="360" w:lineRule="auto"/>
        <w:ind w:firstLine="5040" w:firstLineChars="2100"/>
        <w:contextualSpacing/>
        <w:rPr>
          <w:rFonts w:ascii="宋体" w:hAnsi="宋体" w:cs="仿宋_GB2312"/>
          <w:color w:val="auto"/>
          <w:sz w:val="24"/>
          <w:highlight w:val="none"/>
        </w:rPr>
      </w:pP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年</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月</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日</w:t>
      </w:r>
    </w:p>
    <w:p w14:paraId="1D8BF71B">
      <w:pPr>
        <w:spacing w:line="360" w:lineRule="auto"/>
        <w:contextualSpacing/>
        <w:jc w:val="center"/>
        <w:rPr>
          <w:rFonts w:ascii="宋体" w:hAnsi="宋体" w:cs="仿宋_GB2312"/>
          <w:b/>
          <w:color w:val="auto"/>
          <w:sz w:val="24"/>
          <w:highlight w:val="none"/>
        </w:rPr>
      </w:pPr>
    </w:p>
    <w:p w14:paraId="11CD5598">
      <w:pPr>
        <w:spacing w:line="360" w:lineRule="auto"/>
        <w:contextualSpacing/>
        <w:jc w:val="left"/>
        <w:rPr>
          <w:rFonts w:ascii="宋体" w:hAnsi="宋体" w:cs="仿宋_GB2312"/>
          <w:color w:val="auto"/>
          <w:sz w:val="24"/>
          <w:highlight w:val="none"/>
        </w:rPr>
      </w:pPr>
    </w:p>
    <w:p w14:paraId="209130C1">
      <w:pPr>
        <w:spacing w:line="360" w:lineRule="auto"/>
        <w:contextualSpacing/>
        <w:jc w:val="left"/>
        <w:rPr>
          <w:rFonts w:ascii="宋体" w:hAnsi="宋体" w:cs="仿宋_GB2312"/>
          <w:color w:val="auto"/>
          <w:sz w:val="24"/>
          <w:highlight w:val="none"/>
        </w:rPr>
      </w:pPr>
      <w:r>
        <w:rPr>
          <w:rFonts w:hint="eastAsia" w:ascii="宋体" w:hAnsi="宋体" w:cs="仿宋_GB2312"/>
          <w:color w:val="auto"/>
          <w:sz w:val="24"/>
          <w:highlight w:val="none"/>
        </w:rPr>
        <w:t>注：自然人竞标的无需提供，联合体竞标的只需牵头人出具。</w:t>
      </w:r>
    </w:p>
    <w:p w14:paraId="5168771A">
      <w:pPr>
        <w:adjustRightInd w:val="0"/>
        <w:snapToGrid w:val="0"/>
        <w:spacing w:line="300" w:lineRule="auto"/>
        <w:jc w:val="left"/>
        <w:rPr>
          <w:rFonts w:ascii="宋体" w:hAnsi="宋体"/>
          <w:b/>
          <w:color w:val="auto"/>
          <w:szCs w:val="21"/>
          <w:highlight w:val="none"/>
        </w:rPr>
      </w:pPr>
    </w:p>
    <w:p w14:paraId="6FD4F8AE">
      <w:pPr>
        <w:spacing w:line="50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bookmarkStart w:id="83" w:name="_Hlk65853643"/>
    </w:p>
    <w:p w14:paraId="187349DF">
      <w:pPr>
        <w:spacing w:line="50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授权委托书</w:t>
      </w:r>
    </w:p>
    <w:p w14:paraId="2BF08B2F">
      <w:pPr>
        <w:spacing w:line="520" w:lineRule="exact"/>
        <w:jc w:val="center"/>
        <w:rPr>
          <w:rFonts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（非联合体竞标格式）</w:t>
      </w:r>
    </w:p>
    <w:p w14:paraId="28F5ADDB">
      <w:pPr>
        <w:spacing w:line="52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32"/>
          <w:szCs w:val="32"/>
          <w:highlight w:val="none"/>
        </w:rPr>
        <w:t>（如有委托时）</w:t>
      </w:r>
    </w:p>
    <w:p w14:paraId="38D1BCFA">
      <w:pPr>
        <w:spacing w:line="520" w:lineRule="exact"/>
        <w:rPr>
          <w:rFonts w:ascii="仿宋_GB2312" w:hAnsi="仿宋_GB2312" w:eastAsia="仿宋_GB2312" w:cs="仿宋_GB2312"/>
          <w:color w:val="auto"/>
          <w:sz w:val="32"/>
          <w:szCs w:val="32"/>
          <w:highlight w:val="none"/>
        </w:rPr>
      </w:pPr>
    </w:p>
    <w:p w14:paraId="411A75FA">
      <w:pPr>
        <w:spacing w:line="360" w:lineRule="auto"/>
        <w:rPr>
          <w:rFonts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（采购人名称）</w:t>
      </w:r>
    </w:p>
    <w:p w14:paraId="69D36E82">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sym w:font="Wingdings 2" w:char="00A3"/>
      </w:r>
      <w:r>
        <w:rPr>
          <w:rFonts w:hint="eastAsia" w:ascii="宋体" w:hAnsi="宋体" w:cs="仿宋_GB2312"/>
          <w:color w:val="auto"/>
          <w:sz w:val="24"/>
          <w:highlight w:val="none"/>
          <w:u w:val="single"/>
        </w:rPr>
        <w:t>法定代表人/□负责人/□自然人本人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以我方的名义参加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项目的竞标活动，并代表我方全权办理针对上述项目的所有采购程序和环节的具体事务和签署相关文件。</w:t>
      </w:r>
    </w:p>
    <w:p w14:paraId="32A3C256">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    我方对委托代理人的签字</w:t>
      </w:r>
      <w:r>
        <w:rPr>
          <w:rFonts w:hint="eastAsia" w:ascii="宋体" w:hAnsi="宋体"/>
          <w:color w:val="auto"/>
          <w:sz w:val="24"/>
          <w:highlight w:val="none"/>
        </w:rPr>
        <w:t>或者电子签名</w:t>
      </w:r>
      <w:r>
        <w:rPr>
          <w:rFonts w:hint="eastAsia" w:ascii="宋体" w:hAnsi="宋体" w:cs="仿宋_GB2312"/>
          <w:color w:val="auto"/>
          <w:sz w:val="24"/>
          <w:highlight w:val="none"/>
        </w:rPr>
        <w:t>事项负全部责任。</w:t>
      </w:r>
    </w:p>
    <w:p w14:paraId="21EF3813">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15255324">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2D3A33FA">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附：委托代理人有效身份证正反面复印件</w:t>
      </w:r>
    </w:p>
    <w:p w14:paraId="188863C5">
      <w:pPr>
        <w:spacing w:line="360" w:lineRule="auto"/>
        <w:rPr>
          <w:rFonts w:ascii="宋体" w:hAnsi="宋体" w:cs="仿宋_GB2312"/>
          <w:color w:val="auto"/>
          <w:sz w:val="24"/>
          <w:highlight w:val="none"/>
        </w:rPr>
      </w:pPr>
    </w:p>
    <w:p w14:paraId="3DDFBB2D">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委托代理人（</w:t>
      </w:r>
      <w:r>
        <w:rPr>
          <w:rFonts w:hint="eastAsia" w:ascii="宋体" w:hAnsi="宋体"/>
          <w:color w:val="auto"/>
          <w:sz w:val="24"/>
          <w:highlight w:val="none"/>
        </w:rPr>
        <w:t>签字或者电子签名</w:t>
      </w:r>
      <w:r>
        <w:rPr>
          <w:rFonts w:hint="eastAsia" w:ascii="宋体" w:hAnsi="宋体" w:cs="仿宋_GB2312"/>
          <w:color w:val="auto"/>
          <w:sz w:val="24"/>
          <w:highlight w:val="none"/>
        </w:rPr>
        <w:t xml:space="preserve">）：    法定代表人（签字或者盖章或者电子签名）：                    </w:t>
      </w:r>
    </w:p>
    <w:p w14:paraId="43DD450B">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6943A52B">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                                </w:t>
      </w:r>
    </w:p>
    <w:p w14:paraId="445236F7">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                          供应商名称（电子签章）：                      </w:t>
      </w:r>
    </w:p>
    <w:p w14:paraId="125BF441">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                                         年    月    日</w:t>
      </w:r>
    </w:p>
    <w:p w14:paraId="16F22D41">
      <w:pPr>
        <w:spacing w:line="360" w:lineRule="auto"/>
        <w:rPr>
          <w:rFonts w:ascii="宋体" w:hAnsi="宋体" w:cs="仿宋_GB2312"/>
          <w:color w:val="auto"/>
          <w:sz w:val="24"/>
          <w:highlight w:val="none"/>
        </w:rPr>
      </w:pPr>
    </w:p>
    <w:p w14:paraId="422E8393">
      <w:pPr>
        <w:spacing w:line="360" w:lineRule="auto"/>
        <w:rPr>
          <w:rFonts w:ascii="宋体" w:hAnsi="宋体" w:cs="仿宋_GB2312"/>
          <w:color w:val="auto"/>
          <w:sz w:val="24"/>
          <w:highlight w:val="none"/>
        </w:rPr>
      </w:pPr>
      <w:r>
        <w:rPr>
          <w:rFonts w:hint="eastAsia" w:ascii="宋体" w:hAnsi="宋体" w:cs="仿宋_GB2312"/>
          <w:color w:val="auto"/>
          <w:sz w:val="24"/>
          <w:highlight w:val="none"/>
        </w:rPr>
        <w:t>注：1. 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否则其响应文件按无效响应处理。</w:t>
      </w:r>
    </w:p>
    <w:p w14:paraId="54CE0E8A">
      <w:pPr>
        <w:spacing w:line="360" w:lineRule="auto"/>
        <w:ind w:firstLine="480" w:firstLineChars="200"/>
        <w:jc w:val="left"/>
        <w:rPr>
          <w:rFonts w:ascii="宋体" w:hAnsi="宋体" w:cs="仿宋_GB2312"/>
          <w:color w:val="auto"/>
          <w:sz w:val="24"/>
          <w:highlight w:val="none"/>
        </w:rPr>
      </w:pPr>
      <w:r>
        <w:rPr>
          <w:rFonts w:ascii="宋体" w:hAnsi="宋体" w:cs="仿宋_GB2312"/>
          <w:color w:val="auto"/>
          <w:sz w:val="24"/>
          <w:highlight w:val="none"/>
        </w:rPr>
        <w:t>2.</w:t>
      </w:r>
      <w:bookmarkStart w:id="84" w:name="_Hlk65853109"/>
      <w:bookmarkStart w:id="85" w:name="_Hlk65853542"/>
      <w:r>
        <w:rPr>
          <w:rFonts w:hint="eastAsia" w:ascii="宋体" w:hAnsi="宋体" w:cs="仿宋_GB2312"/>
          <w:color w:val="auto"/>
          <w:sz w:val="24"/>
          <w:highlight w:val="none"/>
        </w:rPr>
        <w:t>法人、其他组织竞标时“我方”是指“我单位”，自然人竞标时“我方”是指“本人”。</w:t>
      </w:r>
      <w:bookmarkEnd w:id="84"/>
    </w:p>
    <w:bookmarkEnd w:id="85"/>
    <w:p w14:paraId="316F7B2A">
      <w:pPr>
        <w:spacing w:line="360" w:lineRule="auto"/>
        <w:ind w:firstLine="420" w:firstLineChars="200"/>
        <w:jc w:val="left"/>
        <w:rPr>
          <w:rFonts w:ascii="仿宋_GB2312" w:hAnsi="仿宋_GB2312" w:eastAsia="仿宋_GB2312" w:cs="仿宋_GB2312"/>
          <w:color w:val="auto"/>
          <w:szCs w:val="21"/>
          <w:highlight w:val="none"/>
        </w:rPr>
      </w:pPr>
    </w:p>
    <w:p w14:paraId="5A1CFFD5">
      <w:pPr>
        <w:spacing w:line="500" w:lineRule="exact"/>
        <w:jc w:val="center"/>
        <w:rPr>
          <w:rFonts w:ascii="方正小标宋简体" w:hAnsi="方正小标宋简体" w:eastAsia="方正小标宋简体" w:cs="方正小标宋简体"/>
          <w:color w:val="auto"/>
          <w:sz w:val="44"/>
          <w:szCs w:val="44"/>
          <w:highlight w:val="none"/>
        </w:rPr>
      </w:pPr>
      <w:r>
        <w:rPr>
          <w:rFonts w:ascii="仿宋_GB2312" w:hAnsi="仿宋_GB2312" w:eastAsia="仿宋_GB2312" w:cs="仿宋_GB2312"/>
          <w:color w:val="auto"/>
          <w:szCs w:val="21"/>
          <w:highlight w:val="none"/>
        </w:rPr>
        <w:br w:type="page"/>
      </w:r>
      <w:r>
        <w:rPr>
          <w:rFonts w:hint="eastAsia" w:ascii="方正小标宋简体" w:hAnsi="方正小标宋简体" w:eastAsia="方正小标宋简体" w:cs="方正小标宋简体"/>
          <w:color w:val="auto"/>
          <w:sz w:val="44"/>
          <w:szCs w:val="44"/>
          <w:highlight w:val="none"/>
        </w:rPr>
        <w:t>授权委托书</w:t>
      </w:r>
    </w:p>
    <w:p w14:paraId="2E571383">
      <w:pPr>
        <w:spacing w:line="500" w:lineRule="exact"/>
        <w:jc w:val="center"/>
        <w:rPr>
          <w:rFonts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（联合体竞标格式）</w:t>
      </w:r>
    </w:p>
    <w:p w14:paraId="75BCBBCB">
      <w:pPr>
        <w:spacing w:line="50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32"/>
          <w:szCs w:val="32"/>
          <w:highlight w:val="none"/>
        </w:rPr>
        <w:t>（如有委托时）</w:t>
      </w:r>
    </w:p>
    <w:p w14:paraId="31987999">
      <w:pPr>
        <w:spacing w:line="500" w:lineRule="exact"/>
        <w:jc w:val="center"/>
        <w:rPr>
          <w:rFonts w:ascii="方正小标宋简体" w:hAnsi="方正小标宋简体" w:eastAsia="方正小标宋简体" w:cs="方正小标宋简体"/>
          <w:color w:val="auto"/>
          <w:sz w:val="44"/>
          <w:szCs w:val="44"/>
          <w:highlight w:val="none"/>
        </w:rPr>
      </w:pPr>
    </w:p>
    <w:p w14:paraId="549742D2">
      <w:pPr>
        <w:spacing w:line="500" w:lineRule="exact"/>
        <w:jc w:val="center"/>
        <w:rPr>
          <w:rFonts w:ascii="仿宋_GB2312" w:hAnsi="仿宋_GB2312" w:eastAsia="仿宋_GB2312" w:cs="仿宋_GB2312"/>
          <w:color w:val="auto"/>
          <w:sz w:val="32"/>
          <w:szCs w:val="32"/>
          <w:highlight w:val="none"/>
        </w:rPr>
      </w:pPr>
    </w:p>
    <w:p w14:paraId="6F5C0ECC">
      <w:pPr>
        <w:spacing w:line="360" w:lineRule="auto"/>
        <w:ind w:firstLine="480" w:firstLineChars="200"/>
        <w:jc w:val="left"/>
        <w:rPr>
          <w:rFonts w:ascii="宋体" w:hAnsi="宋体" w:cs="仿宋_GB2312"/>
          <w:color w:val="auto"/>
          <w:sz w:val="24"/>
          <w:highlight w:val="none"/>
        </w:rPr>
      </w:pPr>
      <w:r>
        <w:rPr>
          <w:rFonts w:hint="eastAsia" w:ascii="宋体" w:hAnsi="宋体" w:cs="仿宋_GB2312"/>
          <w:color w:val="auto"/>
          <w:sz w:val="24"/>
          <w:highlight w:val="none"/>
        </w:rPr>
        <w:t>本授权委托书声明：根据</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（牵头人名称）与</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（联合体其他成员名称）签订的《联合体竞标协议书》的内容，</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（牵头人名称）的法定代表人</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（姓名）现授权</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（姓名）为联合委托代理人，并代表我方全权办理针对上述项目的所有采购程序和环节的具体事务和签署相关文件。</w:t>
      </w:r>
    </w:p>
    <w:p w14:paraId="5C5BB7F5">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我方对委托代理人的</w:t>
      </w:r>
      <w:r>
        <w:rPr>
          <w:rFonts w:hint="eastAsia" w:ascii="宋体" w:hAnsi="宋体"/>
          <w:color w:val="auto"/>
          <w:sz w:val="24"/>
          <w:highlight w:val="none"/>
        </w:rPr>
        <w:t>签字或者电子签名</w:t>
      </w:r>
      <w:r>
        <w:rPr>
          <w:rFonts w:hint="eastAsia" w:ascii="宋体" w:hAnsi="宋体" w:cs="仿宋_GB2312"/>
          <w:color w:val="auto"/>
          <w:sz w:val="24"/>
          <w:highlight w:val="none"/>
        </w:rPr>
        <w:t>事项负全部责任。</w:t>
      </w:r>
    </w:p>
    <w:p w14:paraId="3855219F">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6F78B2DB">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2815CD0E">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    附：委托代理人有效身份证正反面复印件</w:t>
      </w:r>
    </w:p>
    <w:p w14:paraId="35F3B249">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牵头人法定代表人（签字或者盖章或者电子签名）：</w:t>
      </w:r>
    </w:p>
    <w:p w14:paraId="65C1B204">
      <w:pPr>
        <w:spacing w:line="360" w:lineRule="auto"/>
        <w:ind w:firstLine="3120" w:firstLineChars="1300"/>
        <w:contextualSpacing/>
        <w:rPr>
          <w:rFonts w:ascii="宋体" w:hAnsi="宋体" w:cs="仿宋_GB2312"/>
          <w:color w:val="auto"/>
          <w:sz w:val="24"/>
          <w:highlight w:val="none"/>
        </w:rPr>
      </w:pPr>
      <w:r>
        <w:rPr>
          <w:rFonts w:hint="eastAsia" w:ascii="宋体" w:hAnsi="宋体" w:cs="仿宋_GB2312"/>
          <w:color w:val="auto"/>
          <w:sz w:val="24"/>
          <w:highlight w:val="none"/>
        </w:rPr>
        <w:t>牵头人名称（电子签章）：</w:t>
      </w:r>
    </w:p>
    <w:p w14:paraId="1A562AAB">
      <w:pPr>
        <w:spacing w:line="360" w:lineRule="auto"/>
        <w:ind w:firstLine="3840" w:firstLineChars="1600"/>
        <w:contextualSpacing/>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4ACB035A">
      <w:pPr>
        <w:spacing w:line="360" w:lineRule="auto"/>
        <w:contextualSpacing/>
        <w:rPr>
          <w:rFonts w:ascii="宋体" w:hAnsi="宋体" w:cs="仿宋_GB2312"/>
          <w:color w:val="auto"/>
          <w:sz w:val="24"/>
          <w:highlight w:val="none"/>
        </w:rPr>
      </w:pPr>
    </w:p>
    <w:p w14:paraId="5C51D124">
      <w:pPr>
        <w:spacing w:line="360" w:lineRule="auto"/>
        <w:ind w:firstLine="3120" w:firstLineChars="1300"/>
        <w:contextualSpacing/>
        <w:rPr>
          <w:rFonts w:ascii="宋体" w:hAnsi="宋体" w:cs="仿宋_GB2312"/>
          <w:color w:val="auto"/>
          <w:sz w:val="24"/>
          <w:highlight w:val="none"/>
        </w:rPr>
      </w:pPr>
      <w:r>
        <w:rPr>
          <w:rFonts w:hint="eastAsia" w:ascii="宋体" w:hAnsi="宋体" w:cs="仿宋_GB2312"/>
          <w:color w:val="auto"/>
          <w:sz w:val="24"/>
          <w:highlight w:val="none"/>
        </w:rPr>
        <w:t>被授权人（签字或者电子签名）：</w:t>
      </w:r>
    </w:p>
    <w:p w14:paraId="0D33FD03">
      <w:pPr>
        <w:spacing w:line="360" w:lineRule="auto"/>
        <w:ind w:firstLine="3840" w:firstLineChars="1600"/>
        <w:contextualSpacing/>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1F5A098D">
      <w:pPr>
        <w:spacing w:line="360" w:lineRule="auto"/>
        <w:contextualSpacing/>
        <w:rPr>
          <w:rFonts w:ascii="宋体" w:hAnsi="宋体" w:cs="仿宋_GB2312"/>
          <w:color w:val="auto"/>
          <w:sz w:val="24"/>
          <w:highlight w:val="none"/>
        </w:rPr>
      </w:pPr>
    </w:p>
    <w:p w14:paraId="257D6EF9">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w:t>
      </w:r>
    </w:p>
    <w:p w14:paraId="77A87ECF">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1.法定代表人必须在授权委托书上签字或者盖章或者电子签名，委托代理人必须在授权委托书上签字或者电子签名，</w:t>
      </w:r>
      <w:r>
        <w:rPr>
          <w:rFonts w:hint="eastAsia" w:ascii="宋体" w:hAnsi="宋体" w:cs="仿宋_GB2312"/>
          <w:b/>
          <w:color w:val="auto"/>
          <w:sz w:val="24"/>
          <w:highlight w:val="none"/>
        </w:rPr>
        <w:t>否则其响应文件按无效响应处理。</w:t>
      </w:r>
    </w:p>
    <w:p w14:paraId="428A3AE8">
      <w:pPr>
        <w:spacing w:line="360" w:lineRule="auto"/>
        <w:ind w:firstLine="480" w:firstLineChars="200"/>
        <w:jc w:val="left"/>
        <w:rPr>
          <w:rFonts w:ascii="宋体" w:hAnsi="宋体" w:cs="仿宋_GB2312"/>
          <w:color w:val="auto"/>
          <w:spacing w:val="-11"/>
          <w:sz w:val="24"/>
          <w:highlight w:val="none"/>
        </w:rPr>
      </w:pPr>
      <w:r>
        <w:rPr>
          <w:rFonts w:ascii="宋体" w:hAnsi="宋体" w:cs="仿宋_GB2312"/>
          <w:color w:val="auto"/>
          <w:sz w:val="24"/>
          <w:highlight w:val="none"/>
        </w:rPr>
        <w:t>2.</w:t>
      </w:r>
      <w:r>
        <w:rPr>
          <w:rFonts w:hint="eastAsia" w:ascii="宋体" w:hAnsi="宋体" w:cs="仿宋_GB2312"/>
          <w:color w:val="auto"/>
          <w:sz w:val="24"/>
          <w:highlight w:val="none"/>
        </w:rPr>
        <w:t>法人、其他组织竞标时“我方”是指“我单位”，自然人竞标时“我方”是指“本人”。</w:t>
      </w:r>
    </w:p>
    <w:bookmarkEnd w:id="83"/>
    <w:p w14:paraId="3EB2C6B2">
      <w:pPr>
        <w:spacing w:line="500" w:lineRule="exact"/>
        <w:jc w:val="center"/>
        <w:rPr>
          <w:rFonts w:ascii="方正小标宋简体" w:hAnsi="方正小标宋简体" w:eastAsia="方正小标宋简体" w:cs="方正小标宋简体"/>
          <w:bCs/>
          <w:color w:val="auto"/>
          <w:sz w:val="44"/>
          <w:szCs w:val="44"/>
          <w:highlight w:val="none"/>
        </w:rPr>
      </w:pPr>
      <w:r>
        <w:rPr>
          <w:rFonts w:hint="eastAsia" w:ascii="仿宋_GB2312" w:hAnsi="仿宋_GB2312" w:eastAsia="仿宋_GB2312" w:cs="仿宋_GB2312"/>
          <w:color w:val="auto"/>
          <w:sz w:val="32"/>
          <w:szCs w:val="32"/>
          <w:highlight w:val="none"/>
        </w:rPr>
        <w:br w:type="page"/>
      </w:r>
      <w:r>
        <w:rPr>
          <w:rFonts w:hint="eastAsia" w:ascii="方正小标宋简体" w:hAnsi="方正小标宋简体" w:eastAsia="方正小标宋简体" w:cs="方正小标宋简体"/>
          <w:bCs/>
          <w:color w:val="auto"/>
          <w:sz w:val="44"/>
          <w:szCs w:val="44"/>
          <w:highlight w:val="none"/>
        </w:rPr>
        <w:t>技术要求响应表</w:t>
      </w:r>
    </w:p>
    <w:p w14:paraId="3180075C">
      <w:pPr>
        <w:spacing w:line="520" w:lineRule="exact"/>
        <w:rPr>
          <w:rFonts w:ascii="仿宋_GB2312" w:hAnsi="仿宋_GB2312" w:eastAsia="仿宋_GB2312" w:cs="仿宋_GB2312"/>
          <w:color w:val="auto"/>
          <w:sz w:val="32"/>
          <w:szCs w:val="32"/>
          <w:highlight w:val="none"/>
        </w:rPr>
      </w:pPr>
    </w:p>
    <w:p w14:paraId="19DE0402">
      <w:pPr>
        <w:spacing w:line="360" w:lineRule="auto"/>
        <w:contextualSpacing/>
        <w:rPr>
          <w:rFonts w:ascii="宋体" w:hAnsi="宋体" w:cs="仿宋_GB2312"/>
          <w:color w:val="auto"/>
          <w:sz w:val="24"/>
          <w:highlight w:val="none"/>
          <w:u w:val="single"/>
        </w:rPr>
      </w:pPr>
      <w:r>
        <w:rPr>
          <w:rFonts w:hint="eastAsia" w:ascii="宋体" w:hAnsi="宋体" w:cs="仿宋_GB2312"/>
          <w:color w:val="auto"/>
          <w:sz w:val="24"/>
          <w:highlight w:val="none"/>
        </w:rPr>
        <w:t>项目编号：</w:t>
      </w:r>
      <w:r>
        <w:rPr>
          <w:rFonts w:hint="eastAsia" w:ascii="宋体" w:hAnsi="宋体" w:cs="仿宋_GB2312"/>
          <w:color w:val="auto"/>
          <w:sz w:val="24"/>
          <w:highlight w:val="none"/>
          <w:u w:val="single"/>
        </w:rPr>
        <w:t xml:space="preserve">                 </w:t>
      </w:r>
    </w:p>
    <w:p w14:paraId="232CF27F">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项目名称：</w:t>
      </w:r>
      <w:r>
        <w:rPr>
          <w:rFonts w:hint="eastAsia" w:ascii="宋体" w:hAnsi="宋体" w:cs="仿宋_GB2312"/>
          <w:color w:val="auto"/>
          <w:sz w:val="24"/>
          <w:highlight w:val="none"/>
          <w:u w:val="single"/>
        </w:rPr>
        <w:t xml:space="preserve">                 </w:t>
      </w:r>
    </w:p>
    <w:p w14:paraId="4386698F">
      <w:pPr>
        <w:spacing w:line="360" w:lineRule="auto"/>
        <w:contextualSpacing/>
        <w:rPr>
          <w:rFonts w:ascii="宋体" w:hAnsi="宋体" w:cs="仿宋_GB2312"/>
          <w:color w:val="auto"/>
          <w:sz w:val="24"/>
          <w:highlight w:val="none"/>
          <w:u w:val="single"/>
        </w:rPr>
      </w:pPr>
      <w:r>
        <w:rPr>
          <w:rFonts w:hint="eastAsia" w:ascii="宋体" w:hAnsi="宋体" w:cs="仿宋_GB2312"/>
          <w:color w:val="auto"/>
          <w:sz w:val="24"/>
          <w:highlight w:val="none"/>
        </w:rPr>
        <w:t>所竞分标：</w:t>
      </w:r>
      <w:r>
        <w:rPr>
          <w:rFonts w:hint="eastAsia" w:ascii="宋体" w:hAnsi="宋体" w:cs="仿宋_GB2312"/>
          <w:color w:val="auto"/>
          <w:sz w:val="24"/>
          <w:highlight w:val="none"/>
          <w:u w:val="single"/>
        </w:rPr>
        <w:t xml:space="preserve">   （如有则填写，无分标时填写“无”或者留空）   </w:t>
      </w:r>
    </w:p>
    <w:tbl>
      <w:tblPr>
        <w:tblStyle w:val="28"/>
        <w:tblW w:w="4832"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2457"/>
        <w:gridCol w:w="2435"/>
        <w:gridCol w:w="2191"/>
        <w:gridCol w:w="1387"/>
      </w:tblGrid>
      <w:tr w14:paraId="2FB28C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450" w:type="pct"/>
            <w:tcBorders>
              <w:right w:val="single" w:color="auto" w:sz="4" w:space="0"/>
            </w:tcBorders>
            <w:vAlign w:val="center"/>
          </w:tcPr>
          <w:p w14:paraId="70EC1231">
            <w:pPr>
              <w:pStyle w:val="15"/>
              <w:spacing w:line="400" w:lineRule="exact"/>
              <w:ind w:firstLine="0" w:firstLineChars="0"/>
              <w:contextualSpacing/>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采购标的名称</w:t>
            </w:r>
          </w:p>
        </w:tc>
        <w:tc>
          <w:tcPr>
            <w:tcW w:w="1437" w:type="pct"/>
            <w:tcBorders>
              <w:left w:val="single" w:color="auto" w:sz="4" w:space="0"/>
            </w:tcBorders>
            <w:vAlign w:val="center"/>
          </w:tcPr>
          <w:p w14:paraId="33B6BA60">
            <w:pPr>
              <w:pStyle w:val="15"/>
              <w:spacing w:line="400" w:lineRule="exact"/>
              <w:ind w:firstLine="0" w:firstLineChars="0"/>
              <w:contextualSpacing/>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磋商文件技术要求</w:t>
            </w:r>
          </w:p>
        </w:tc>
        <w:tc>
          <w:tcPr>
            <w:tcW w:w="1293" w:type="pct"/>
            <w:vAlign w:val="center"/>
          </w:tcPr>
          <w:p w14:paraId="6348996D">
            <w:pPr>
              <w:pStyle w:val="15"/>
              <w:spacing w:line="400" w:lineRule="exact"/>
              <w:ind w:firstLine="0" w:firstLineChars="0"/>
              <w:contextualSpacing/>
              <w:jc w:val="center"/>
              <w:rPr>
                <w:rFonts w:ascii="宋体" w:hAnsi="宋体" w:eastAsia="宋体" w:cs="仿宋_GB2312"/>
                <w:color w:val="auto"/>
                <w:kern w:val="2"/>
                <w:sz w:val="24"/>
                <w:szCs w:val="24"/>
                <w:highlight w:val="none"/>
              </w:rPr>
            </w:pPr>
            <w:bookmarkStart w:id="86" w:name="_Toc254970590"/>
            <w:bookmarkStart w:id="87" w:name="_Toc173066403"/>
            <w:bookmarkStart w:id="88" w:name="_Toc173211902"/>
            <w:bookmarkStart w:id="89" w:name="_Toc295404983"/>
            <w:bookmarkStart w:id="90" w:name="_Toc254970731"/>
            <w:bookmarkStart w:id="91" w:name="_Toc297193187"/>
            <w:bookmarkStart w:id="92" w:name="_Toc383699908"/>
            <w:bookmarkStart w:id="93" w:name="_Toc301781613"/>
            <w:bookmarkStart w:id="94" w:name="_Toc373333691"/>
            <w:r>
              <w:rPr>
                <w:rFonts w:hint="eastAsia" w:ascii="宋体" w:hAnsi="宋体" w:eastAsia="宋体" w:cs="仿宋_GB2312"/>
                <w:color w:val="auto"/>
                <w:kern w:val="2"/>
                <w:sz w:val="24"/>
                <w:szCs w:val="24"/>
                <w:highlight w:val="none"/>
              </w:rPr>
              <w:t>供应商对应“技术要求”的详细承诺</w:t>
            </w:r>
            <w:bookmarkEnd w:id="86"/>
            <w:bookmarkEnd w:id="87"/>
            <w:bookmarkEnd w:id="88"/>
            <w:bookmarkEnd w:id="89"/>
            <w:bookmarkEnd w:id="90"/>
            <w:bookmarkEnd w:id="91"/>
            <w:bookmarkEnd w:id="92"/>
            <w:bookmarkEnd w:id="93"/>
            <w:bookmarkEnd w:id="94"/>
          </w:p>
        </w:tc>
        <w:tc>
          <w:tcPr>
            <w:tcW w:w="818" w:type="pct"/>
            <w:vAlign w:val="center"/>
          </w:tcPr>
          <w:p w14:paraId="4A13F87C">
            <w:pPr>
              <w:pStyle w:val="15"/>
              <w:spacing w:line="400" w:lineRule="exact"/>
              <w:ind w:firstLine="0" w:firstLineChars="0"/>
              <w:contextualSpacing/>
              <w:jc w:val="center"/>
              <w:rPr>
                <w:rFonts w:ascii="宋体" w:hAnsi="宋体" w:eastAsia="宋体" w:cs="仿宋_GB2312"/>
                <w:color w:val="auto"/>
                <w:kern w:val="2"/>
                <w:sz w:val="24"/>
                <w:szCs w:val="24"/>
                <w:highlight w:val="none"/>
              </w:rPr>
            </w:pPr>
            <w:bookmarkStart w:id="95" w:name="_Toc254970591"/>
            <w:bookmarkStart w:id="96" w:name="_Toc373333692"/>
            <w:bookmarkStart w:id="97" w:name="_Toc297193188"/>
            <w:bookmarkStart w:id="98" w:name="_Toc173211903"/>
            <w:bookmarkStart w:id="99" w:name="_Toc295404984"/>
            <w:bookmarkStart w:id="100" w:name="_Toc301781614"/>
            <w:bookmarkStart w:id="101" w:name="_Toc254970732"/>
            <w:bookmarkStart w:id="102" w:name="_Toc383699909"/>
            <w:bookmarkStart w:id="103" w:name="_Toc173066404"/>
            <w:r>
              <w:rPr>
                <w:rFonts w:hint="eastAsia" w:ascii="宋体" w:hAnsi="宋体" w:eastAsia="宋体" w:cs="仿宋_GB2312"/>
                <w:color w:val="auto"/>
                <w:kern w:val="2"/>
                <w:sz w:val="24"/>
                <w:szCs w:val="24"/>
                <w:highlight w:val="none"/>
              </w:rPr>
              <w:t>偏离</w:t>
            </w:r>
            <w:bookmarkEnd w:id="95"/>
            <w:bookmarkEnd w:id="96"/>
            <w:bookmarkEnd w:id="97"/>
            <w:bookmarkEnd w:id="98"/>
            <w:bookmarkEnd w:id="99"/>
            <w:bookmarkEnd w:id="100"/>
            <w:bookmarkEnd w:id="101"/>
            <w:bookmarkEnd w:id="102"/>
            <w:bookmarkEnd w:id="103"/>
            <w:bookmarkStart w:id="104" w:name="_Toc254970592"/>
            <w:bookmarkStart w:id="105" w:name="_Toc301781615"/>
            <w:bookmarkStart w:id="106" w:name="_Toc373333693"/>
            <w:bookmarkStart w:id="107" w:name="_Toc383699910"/>
            <w:bookmarkStart w:id="108" w:name="_Toc254970733"/>
            <w:bookmarkStart w:id="109" w:name="_Toc173066405"/>
            <w:bookmarkStart w:id="110" w:name="_Toc173211904"/>
            <w:bookmarkStart w:id="111" w:name="_Toc297193189"/>
            <w:bookmarkStart w:id="112" w:name="_Toc295404985"/>
            <w:r>
              <w:rPr>
                <w:rFonts w:hint="eastAsia" w:ascii="宋体" w:hAnsi="宋体" w:eastAsia="宋体" w:cs="仿宋_GB2312"/>
                <w:color w:val="auto"/>
                <w:kern w:val="2"/>
                <w:sz w:val="24"/>
                <w:szCs w:val="24"/>
                <w:highlight w:val="none"/>
              </w:rPr>
              <w:t>说明</w:t>
            </w:r>
            <w:bookmarkEnd w:id="104"/>
            <w:bookmarkEnd w:id="105"/>
            <w:bookmarkEnd w:id="106"/>
            <w:bookmarkEnd w:id="107"/>
            <w:bookmarkEnd w:id="108"/>
            <w:bookmarkEnd w:id="109"/>
            <w:bookmarkEnd w:id="110"/>
            <w:bookmarkEnd w:id="111"/>
            <w:bookmarkEnd w:id="112"/>
          </w:p>
        </w:tc>
      </w:tr>
      <w:tr w14:paraId="58D998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687" w:hRule="atLeast"/>
          <w:jc w:val="center"/>
        </w:trPr>
        <w:tc>
          <w:tcPr>
            <w:tcW w:w="1450" w:type="pct"/>
            <w:tcBorders>
              <w:right w:val="single" w:color="auto" w:sz="4" w:space="0"/>
            </w:tcBorders>
            <w:vAlign w:val="center"/>
          </w:tcPr>
          <w:p w14:paraId="0D6B2180">
            <w:pPr>
              <w:pStyle w:val="15"/>
              <w:spacing w:line="400" w:lineRule="exact"/>
              <w:ind w:firstLine="0" w:firstLineChars="0"/>
              <w:contextualSpacing/>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校园管理AI服务平台建设</w:t>
            </w:r>
          </w:p>
        </w:tc>
        <w:tc>
          <w:tcPr>
            <w:tcW w:w="1437" w:type="pct"/>
            <w:tcBorders>
              <w:left w:val="single" w:color="auto" w:sz="4" w:space="0"/>
            </w:tcBorders>
            <w:vAlign w:val="center"/>
          </w:tcPr>
          <w:p w14:paraId="687DDB7E">
            <w:pPr>
              <w:pStyle w:val="15"/>
              <w:spacing w:line="400" w:lineRule="exact"/>
              <w:ind w:firstLine="0" w:firstLineChars="0"/>
              <w:contextualSpacing/>
              <w:jc w:val="center"/>
              <w:rPr>
                <w:rFonts w:ascii="宋体" w:hAnsi="宋体" w:eastAsia="宋体" w:cs="仿宋_GB2312"/>
                <w:color w:val="auto"/>
                <w:kern w:val="2"/>
                <w:sz w:val="24"/>
                <w:szCs w:val="24"/>
                <w:highlight w:val="none"/>
              </w:rPr>
            </w:pPr>
          </w:p>
        </w:tc>
        <w:tc>
          <w:tcPr>
            <w:tcW w:w="1293" w:type="pct"/>
            <w:vAlign w:val="center"/>
          </w:tcPr>
          <w:p w14:paraId="581F6982">
            <w:pPr>
              <w:pStyle w:val="15"/>
              <w:spacing w:line="400" w:lineRule="exact"/>
              <w:ind w:firstLine="0" w:firstLineChars="0"/>
              <w:contextualSpacing/>
              <w:jc w:val="center"/>
              <w:rPr>
                <w:rFonts w:ascii="宋体" w:hAnsi="宋体" w:eastAsia="宋体" w:cs="仿宋_GB2312"/>
                <w:color w:val="auto"/>
                <w:kern w:val="2"/>
                <w:sz w:val="24"/>
                <w:szCs w:val="24"/>
                <w:highlight w:val="none"/>
              </w:rPr>
            </w:pPr>
          </w:p>
        </w:tc>
        <w:tc>
          <w:tcPr>
            <w:tcW w:w="818" w:type="pct"/>
            <w:vAlign w:val="center"/>
          </w:tcPr>
          <w:p w14:paraId="126BC9E2">
            <w:pPr>
              <w:pStyle w:val="15"/>
              <w:spacing w:line="400" w:lineRule="exact"/>
              <w:ind w:firstLine="0" w:firstLineChars="0"/>
              <w:contextualSpacing/>
              <w:jc w:val="center"/>
              <w:rPr>
                <w:rFonts w:ascii="宋体" w:hAnsi="宋体" w:eastAsia="宋体" w:cs="仿宋_GB2312"/>
                <w:color w:val="auto"/>
                <w:kern w:val="2"/>
                <w:sz w:val="24"/>
                <w:szCs w:val="24"/>
                <w:highlight w:val="none"/>
              </w:rPr>
            </w:pPr>
          </w:p>
        </w:tc>
      </w:tr>
    </w:tbl>
    <w:p w14:paraId="18F78D30">
      <w:pPr>
        <w:adjustRightInd w:val="0"/>
        <w:spacing w:line="360" w:lineRule="auto"/>
        <w:contextualSpacing/>
        <w:rPr>
          <w:rFonts w:ascii="宋体" w:hAnsi="宋体" w:cs="仿宋_GB2312"/>
          <w:color w:val="auto"/>
          <w:sz w:val="24"/>
          <w:highlight w:val="none"/>
        </w:rPr>
      </w:pPr>
    </w:p>
    <w:p w14:paraId="6EAE967A">
      <w:pPr>
        <w:pStyle w:val="15"/>
        <w:spacing w:line="360" w:lineRule="auto"/>
        <w:ind w:firstLine="0" w:firstLineChars="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w:t>
      </w:r>
    </w:p>
    <w:p w14:paraId="775A2AE6">
      <w:pPr>
        <w:pStyle w:val="15"/>
        <w:spacing w:line="360" w:lineRule="auto"/>
        <w:ind w:firstLine="0" w:firstLineChars="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1.供应商应对照磋商文件“第三章 采购需求”中的技术要求逐条作出明确响应，并作出偏离说明。</w:t>
      </w:r>
    </w:p>
    <w:p w14:paraId="241CCBC9">
      <w:pPr>
        <w:pStyle w:val="15"/>
        <w:spacing w:line="360" w:lineRule="auto"/>
        <w:ind w:firstLine="0" w:firstLineChars="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2.供应商应根据自身的承诺，对照磋商文件要求，在“偏离说明”中注明“正偏离”“负偏离”或者“无偏离”。既不属于“正偏离”也不属于“负偏离”即为“无偏离”。</w:t>
      </w:r>
    </w:p>
    <w:p w14:paraId="7171E5A8">
      <w:pPr>
        <w:pStyle w:val="15"/>
        <w:spacing w:line="360" w:lineRule="auto"/>
        <w:ind w:firstLine="0" w:firstLineChars="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3</w:t>
      </w:r>
      <w:r>
        <w:rPr>
          <w:rFonts w:ascii="宋体" w:hAnsi="宋体" w:eastAsia="宋体" w:cs="仿宋_GB2312"/>
          <w:color w:val="auto"/>
          <w:sz w:val="24"/>
          <w:szCs w:val="24"/>
          <w:highlight w:val="none"/>
        </w:rPr>
        <w:t>.</w:t>
      </w:r>
    </w:p>
    <w:p w14:paraId="5BAF20D0">
      <w:pPr>
        <w:spacing w:line="360" w:lineRule="auto"/>
        <w:ind w:right="-817" w:rightChars="-389"/>
        <w:contextualSpacing/>
        <w:rPr>
          <w:rFonts w:ascii="宋体" w:hAnsi="宋体" w:cs="仿宋_GB2312"/>
          <w:color w:val="auto"/>
          <w:sz w:val="24"/>
          <w:highlight w:val="none"/>
        </w:rPr>
      </w:pPr>
    </w:p>
    <w:p w14:paraId="1C836A80">
      <w:pPr>
        <w:spacing w:line="360" w:lineRule="auto"/>
        <w:ind w:right="-817" w:rightChars="-389"/>
        <w:contextualSpacing/>
        <w:jc w:val="center"/>
        <w:rPr>
          <w:rFonts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468DB4FC">
      <w:pPr>
        <w:spacing w:line="360" w:lineRule="auto"/>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供应商名称（电子签章）：      </w:t>
      </w:r>
    </w:p>
    <w:p w14:paraId="3CC7E96B">
      <w:pPr>
        <w:spacing w:line="360" w:lineRule="auto"/>
        <w:ind w:right="-817" w:rightChars="-389" w:firstLine="4080" w:firstLineChars="1700"/>
        <w:contextualSpacing/>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264D739C">
      <w:pPr>
        <w:spacing w:line="500" w:lineRule="exact"/>
        <w:jc w:val="center"/>
        <w:rPr>
          <w:rFonts w:ascii="方正小标宋简体" w:hAnsi="方正小标宋简体" w:eastAsia="方正小标宋简体" w:cs="方正小标宋简体"/>
          <w:bCs/>
          <w:color w:val="auto"/>
          <w:sz w:val="44"/>
          <w:szCs w:val="44"/>
          <w:highlight w:val="none"/>
        </w:rPr>
      </w:pPr>
      <w:r>
        <w:rPr>
          <w:rFonts w:ascii="宋体" w:hAnsi="宋体" w:cs="仿宋_GB2312"/>
          <w:color w:val="auto"/>
          <w:sz w:val="24"/>
          <w:highlight w:val="none"/>
        </w:rPr>
        <w:br w:type="page"/>
      </w:r>
      <w:r>
        <w:rPr>
          <w:rFonts w:hint="eastAsia" w:ascii="方正小标宋简体" w:hAnsi="方正小标宋简体" w:eastAsia="方正小标宋简体" w:cs="方正小标宋简体"/>
          <w:bCs/>
          <w:color w:val="auto"/>
          <w:sz w:val="44"/>
          <w:szCs w:val="44"/>
          <w:highlight w:val="none"/>
        </w:rPr>
        <w:t>商务要求响应承诺书</w:t>
      </w:r>
    </w:p>
    <w:p w14:paraId="364A74FB">
      <w:pPr>
        <w:spacing w:line="360" w:lineRule="auto"/>
        <w:rPr>
          <w:rFonts w:ascii="宋体" w:hAnsi="宋体" w:cs="仿宋_GB2312"/>
          <w:color w:val="auto"/>
          <w:sz w:val="24"/>
          <w:highlight w:val="none"/>
          <w:u w:val="single"/>
        </w:rPr>
      </w:pPr>
      <w:r>
        <w:rPr>
          <w:rFonts w:hint="eastAsia" w:ascii="宋体" w:hAnsi="宋体" w:cs="仿宋_GB2312"/>
          <w:color w:val="auto"/>
          <w:sz w:val="24"/>
          <w:highlight w:val="none"/>
        </w:rPr>
        <w:t>项目编号：</w:t>
      </w:r>
      <w:r>
        <w:rPr>
          <w:rFonts w:hint="eastAsia" w:ascii="宋体" w:hAnsi="宋体" w:cs="仿宋_GB2312"/>
          <w:color w:val="auto"/>
          <w:sz w:val="24"/>
          <w:highlight w:val="none"/>
          <w:u w:val="single"/>
        </w:rPr>
        <w:t xml:space="preserve">                 </w:t>
      </w:r>
    </w:p>
    <w:p w14:paraId="7682BEBD">
      <w:pPr>
        <w:spacing w:line="360" w:lineRule="auto"/>
        <w:rPr>
          <w:rFonts w:ascii="宋体" w:hAnsi="宋体" w:cs="仿宋_GB2312"/>
          <w:color w:val="auto"/>
          <w:sz w:val="24"/>
          <w:highlight w:val="none"/>
        </w:rPr>
      </w:pPr>
      <w:r>
        <w:rPr>
          <w:rFonts w:hint="eastAsia" w:ascii="宋体" w:hAnsi="宋体" w:cs="仿宋_GB2312"/>
          <w:color w:val="auto"/>
          <w:sz w:val="24"/>
          <w:highlight w:val="none"/>
        </w:rPr>
        <w:t>项目名称：</w:t>
      </w:r>
      <w:r>
        <w:rPr>
          <w:rFonts w:hint="eastAsia" w:ascii="宋体" w:hAnsi="宋体" w:cs="仿宋_GB2312"/>
          <w:color w:val="auto"/>
          <w:sz w:val="24"/>
          <w:highlight w:val="none"/>
          <w:u w:val="single"/>
        </w:rPr>
        <w:t xml:space="preserve">                 </w:t>
      </w:r>
    </w:p>
    <w:p w14:paraId="6FC80707">
      <w:pPr>
        <w:spacing w:line="360" w:lineRule="auto"/>
        <w:rPr>
          <w:rFonts w:ascii="宋体" w:hAnsi="宋体" w:cs="仿宋_GB2312"/>
          <w:color w:val="auto"/>
          <w:sz w:val="24"/>
          <w:highlight w:val="none"/>
          <w:u w:val="single"/>
        </w:rPr>
      </w:pPr>
      <w:r>
        <w:rPr>
          <w:rFonts w:hint="eastAsia" w:ascii="宋体" w:hAnsi="宋体" w:cs="仿宋_GB2312"/>
          <w:color w:val="auto"/>
          <w:sz w:val="24"/>
          <w:highlight w:val="none"/>
        </w:rPr>
        <w:t>所竞分标：</w:t>
      </w:r>
      <w:r>
        <w:rPr>
          <w:rFonts w:hint="eastAsia" w:ascii="宋体" w:hAnsi="宋体" w:cs="仿宋_GB2312"/>
          <w:color w:val="auto"/>
          <w:sz w:val="24"/>
          <w:highlight w:val="none"/>
          <w:u w:val="single"/>
        </w:rPr>
        <w:t xml:space="preserve">   （如有则填写，无分标时填写“无”或者留空）    </w:t>
      </w:r>
    </w:p>
    <w:p w14:paraId="5ABA7C30">
      <w:pPr>
        <w:spacing w:line="360" w:lineRule="auto"/>
        <w:jc w:val="left"/>
        <w:rPr>
          <w:rFonts w:ascii="宋体" w:hAnsi="宋体" w:cs="仿宋_GB2312"/>
          <w:color w:val="auto"/>
          <w:sz w:val="24"/>
          <w:highlight w:val="none"/>
          <w:u w:val="single"/>
        </w:rPr>
      </w:pPr>
    </w:p>
    <w:tbl>
      <w:tblPr>
        <w:tblStyle w:val="28"/>
        <w:tblW w:w="9298"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8"/>
        <w:gridCol w:w="2977"/>
        <w:gridCol w:w="2552"/>
        <w:gridCol w:w="1501"/>
      </w:tblGrid>
      <w:tr w14:paraId="0189E3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268" w:type="dxa"/>
            <w:tcBorders>
              <w:top w:val="single" w:color="auto" w:sz="4" w:space="0"/>
              <w:left w:val="single" w:color="auto" w:sz="4" w:space="0"/>
              <w:bottom w:val="single" w:color="auto" w:sz="4" w:space="0"/>
              <w:right w:val="single" w:color="auto" w:sz="4" w:space="0"/>
            </w:tcBorders>
            <w:vAlign w:val="center"/>
          </w:tcPr>
          <w:p w14:paraId="74DFE213">
            <w:pPr>
              <w:spacing w:line="400" w:lineRule="exact"/>
              <w:jc w:val="center"/>
              <w:rPr>
                <w:rFonts w:ascii="宋体" w:hAnsi="宋体" w:cs="仿宋_GB2312"/>
                <w:color w:val="auto"/>
                <w:sz w:val="24"/>
                <w:highlight w:val="none"/>
              </w:rPr>
            </w:pPr>
            <w:r>
              <w:rPr>
                <w:rFonts w:hint="eastAsia" w:ascii="宋体" w:hAnsi="宋体" w:cs="仿宋_GB2312"/>
                <w:color w:val="auto"/>
                <w:sz w:val="24"/>
                <w:highlight w:val="none"/>
              </w:rPr>
              <w:t>项目</w:t>
            </w:r>
          </w:p>
        </w:tc>
        <w:tc>
          <w:tcPr>
            <w:tcW w:w="2977" w:type="dxa"/>
            <w:tcBorders>
              <w:top w:val="single" w:color="auto" w:sz="4" w:space="0"/>
              <w:left w:val="single" w:color="auto" w:sz="4" w:space="0"/>
              <w:bottom w:val="single" w:color="auto" w:sz="4" w:space="0"/>
              <w:right w:val="single" w:color="auto" w:sz="4" w:space="0"/>
            </w:tcBorders>
            <w:vAlign w:val="center"/>
          </w:tcPr>
          <w:p w14:paraId="78F35E81">
            <w:pPr>
              <w:spacing w:line="400" w:lineRule="exact"/>
              <w:jc w:val="center"/>
              <w:rPr>
                <w:rFonts w:ascii="宋体" w:hAnsi="宋体" w:cs="仿宋_GB2312"/>
                <w:color w:val="auto"/>
                <w:sz w:val="24"/>
                <w:highlight w:val="none"/>
              </w:rPr>
            </w:pPr>
            <w:r>
              <w:rPr>
                <w:rFonts w:hint="eastAsia" w:ascii="宋体" w:hAnsi="宋体" w:cs="仿宋_GB2312"/>
                <w:color w:val="auto"/>
                <w:sz w:val="24"/>
                <w:highlight w:val="none"/>
              </w:rPr>
              <w:t>磋商文件商务要求</w:t>
            </w:r>
          </w:p>
        </w:tc>
        <w:tc>
          <w:tcPr>
            <w:tcW w:w="2552" w:type="dxa"/>
            <w:tcBorders>
              <w:top w:val="single" w:color="auto" w:sz="4" w:space="0"/>
              <w:left w:val="single" w:color="auto" w:sz="4" w:space="0"/>
              <w:bottom w:val="single" w:color="auto" w:sz="4" w:space="0"/>
              <w:right w:val="single" w:color="auto" w:sz="4" w:space="0"/>
            </w:tcBorders>
            <w:vAlign w:val="center"/>
          </w:tcPr>
          <w:p w14:paraId="57E8A69E">
            <w:pPr>
              <w:spacing w:line="400" w:lineRule="exact"/>
              <w:jc w:val="center"/>
              <w:rPr>
                <w:rFonts w:ascii="宋体" w:hAnsi="宋体" w:cs="仿宋_GB2312"/>
                <w:color w:val="auto"/>
                <w:sz w:val="24"/>
                <w:highlight w:val="none"/>
              </w:rPr>
            </w:pPr>
            <w:r>
              <w:rPr>
                <w:rFonts w:hint="eastAsia" w:ascii="宋体" w:hAnsi="宋体" w:cs="仿宋_GB2312"/>
                <w:color w:val="auto"/>
                <w:sz w:val="24"/>
                <w:highlight w:val="none"/>
              </w:rPr>
              <w:t>供应商的详细承诺</w:t>
            </w:r>
          </w:p>
        </w:tc>
        <w:tc>
          <w:tcPr>
            <w:tcW w:w="1501" w:type="dxa"/>
            <w:tcBorders>
              <w:top w:val="single" w:color="auto" w:sz="4" w:space="0"/>
              <w:left w:val="single" w:color="auto" w:sz="4" w:space="0"/>
              <w:bottom w:val="single" w:color="auto" w:sz="4" w:space="0"/>
              <w:right w:val="single" w:color="auto" w:sz="4" w:space="0"/>
            </w:tcBorders>
            <w:vAlign w:val="center"/>
          </w:tcPr>
          <w:p w14:paraId="428D7199">
            <w:pPr>
              <w:spacing w:line="400" w:lineRule="exact"/>
              <w:jc w:val="center"/>
              <w:rPr>
                <w:rFonts w:ascii="宋体" w:hAnsi="宋体" w:cs="仿宋_GB2312"/>
                <w:color w:val="auto"/>
                <w:sz w:val="24"/>
                <w:highlight w:val="none"/>
              </w:rPr>
            </w:pPr>
            <w:r>
              <w:rPr>
                <w:rFonts w:hint="eastAsia" w:ascii="宋体" w:hAnsi="宋体" w:cs="仿宋_GB2312"/>
                <w:color w:val="auto"/>
                <w:sz w:val="24"/>
                <w:highlight w:val="none"/>
              </w:rPr>
              <w:t>偏离说明</w:t>
            </w:r>
          </w:p>
        </w:tc>
      </w:tr>
      <w:tr w14:paraId="13377A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268" w:type="dxa"/>
            <w:tcBorders>
              <w:top w:val="single" w:color="auto" w:sz="4" w:space="0"/>
              <w:left w:val="single" w:color="auto" w:sz="4" w:space="0"/>
              <w:bottom w:val="single" w:color="auto" w:sz="4" w:space="0"/>
              <w:right w:val="single" w:color="auto" w:sz="4" w:space="0"/>
            </w:tcBorders>
            <w:vAlign w:val="center"/>
          </w:tcPr>
          <w:p w14:paraId="2E97F610">
            <w:pPr>
              <w:snapToGrid w:val="0"/>
              <w:spacing w:line="360" w:lineRule="exact"/>
              <w:jc w:val="center"/>
              <w:rPr>
                <w:rFonts w:ascii="宋体" w:hAnsi="宋体" w:cs="仿宋_GB2312"/>
                <w:color w:val="auto"/>
                <w:sz w:val="24"/>
                <w:highlight w:val="none"/>
              </w:rPr>
            </w:pPr>
            <w:r>
              <w:rPr>
                <w:rFonts w:hint="eastAsia" w:ascii="宋体" w:hAnsi="宋体" w:cs="Calibri"/>
                <w:b/>
                <w:color w:val="auto"/>
                <w:szCs w:val="21"/>
                <w:highlight w:val="none"/>
              </w:rPr>
              <w:t>（一）售后服务要求</w:t>
            </w:r>
          </w:p>
        </w:tc>
        <w:tc>
          <w:tcPr>
            <w:tcW w:w="2977" w:type="dxa"/>
            <w:tcBorders>
              <w:top w:val="single" w:color="auto" w:sz="4" w:space="0"/>
              <w:left w:val="single" w:color="auto" w:sz="4" w:space="0"/>
              <w:bottom w:val="single" w:color="auto" w:sz="4" w:space="0"/>
              <w:right w:val="single" w:color="auto" w:sz="4" w:space="0"/>
            </w:tcBorders>
            <w:vAlign w:val="center"/>
          </w:tcPr>
          <w:p w14:paraId="50F1E90E">
            <w:pPr>
              <w:spacing w:line="400" w:lineRule="exact"/>
              <w:jc w:val="center"/>
              <w:rPr>
                <w:rFonts w:ascii="宋体" w:hAnsi="宋体" w:cs="仿宋_GB2312"/>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27DF465D">
            <w:pPr>
              <w:spacing w:line="400" w:lineRule="exact"/>
              <w:jc w:val="center"/>
              <w:rPr>
                <w:rFonts w:ascii="宋体" w:hAnsi="宋体" w:cs="仿宋_GB2312"/>
                <w:color w:val="auto"/>
                <w:sz w:val="24"/>
                <w:highlight w:val="none"/>
              </w:rPr>
            </w:pPr>
          </w:p>
        </w:tc>
        <w:tc>
          <w:tcPr>
            <w:tcW w:w="1501" w:type="dxa"/>
            <w:tcBorders>
              <w:top w:val="single" w:color="auto" w:sz="4" w:space="0"/>
              <w:left w:val="single" w:color="auto" w:sz="4" w:space="0"/>
              <w:bottom w:val="single" w:color="auto" w:sz="4" w:space="0"/>
              <w:right w:val="single" w:color="auto" w:sz="4" w:space="0"/>
            </w:tcBorders>
            <w:vAlign w:val="center"/>
          </w:tcPr>
          <w:p w14:paraId="4AEDF2EB">
            <w:pPr>
              <w:spacing w:line="400" w:lineRule="exact"/>
              <w:jc w:val="center"/>
              <w:rPr>
                <w:rFonts w:ascii="宋体" w:hAnsi="宋体" w:cs="仿宋_GB2312"/>
                <w:color w:val="auto"/>
                <w:sz w:val="24"/>
                <w:highlight w:val="none"/>
              </w:rPr>
            </w:pPr>
          </w:p>
        </w:tc>
      </w:tr>
      <w:tr w14:paraId="66D6F2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268" w:type="dxa"/>
            <w:tcBorders>
              <w:top w:val="single" w:color="auto" w:sz="4" w:space="0"/>
              <w:left w:val="single" w:color="auto" w:sz="4" w:space="0"/>
              <w:bottom w:val="single" w:color="auto" w:sz="4" w:space="0"/>
              <w:right w:val="single" w:color="auto" w:sz="4" w:space="0"/>
            </w:tcBorders>
            <w:vAlign w:val="center"/>
          </w:tcPr>
          <w:p w14:paraId="2C7A1E01">
            <w:pPr>
              <w:snapToGrid w:val="0"/>
              <w:spacing w:line="360" w:lineRule="exact"/>
              <w:jc w:val="center"/>
              <w:rPr>
                <w:rFonts w:ascii="宋体" w:hAnsi="宋体" w:cs="仿宋_GB2312"/>
                <w:color w:val="auto"/>
                <w:sz w:val="24"/>
                <w:highlight w:val="none"/>
              </w:rPr>
            </w:pPr>
            <w:r>
              <w:rPr>
                <w:rFonts w:hint="eastAsia" w:ascii="宋体" w:hAnsi="宋体" w:cs="Calibri"/>
                <w:b/>
                <w:color w:val="auto"/>
                <w:szCs w:val="21"/>
                <w:highlight w:val="none"/>
              </w:rPr>
              <w:t>（二）</w:t>
            </w:r>
            <w:r>
              <w:rPr>
                <w:rFonts w:hint="eastAsia" w:ascii="宋体" w:hAnsi="宋体"/>
                <w:b/>
                <w:color w:val="auto"/>
                <w:highlight w:val="none"/>
              </w:rPr>
              <w:t>交付时间及地点</w:t>
            </w:r>
          </w:p>
        </w:tc>
        <w:tc>
          <w:tcPr>
            <w:tcW w:w="2977" w:type="dxa"/>
            <w:tcBorders>
              <w:top w:val="single" w:color="auto" w:sz="4" w:space="0"/>
              <w:left w:val="single" w:color="auto" w:sz="4" w:space="0"/>
              <w:bottom w:val="single" w:color="auto" w:sz="4" w:space="0"/>
              <w:right w:val="single" w:color="auto" w:sz="4" w:space="0"/>
            </w:tcBorders>
            <w:vAlign w:val="center"/>
          </w:tcPr>
          <w:p w14:paraId="4BE654FC">
            <w:pPr>
              <w:spacing w:line="400" w:lineRule="exact"/>
              <w:jc w:val="center"/>
              <w:rPr>
                <w:rFonts w:ascii="宋体" w:hAnsi="宋体" w:cs="仿宋_GB2312"/>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19A17D5E">
            <w:pPr>
              <w:spacing w:line="400" w:lineRule="exact"/>
              <w:jc w:val="center"/>
              <w:rPr>
                <w:rFonts w:ascii="宋体" w:hAnsi="宋体" w:cs="仿宋_GB2312"/>
                <w:color w:val="auto"/>
                <w:sz w:val="24"/>
                <w:highlight w:val="none"/>
              </w:rPr>
            </w:pPr>
          </w:p>
        </w:tc>
        <w:tc>
          <w:tcPr>
            <w:tcW w:w="1501" w:type="dxa"/>
            <w:tcBorders>
              <w:top w:val="single" w:color="auto" w:sz="4" w:space="0"/>
              <w:left w:val="single" w:color="auto" w:sz="4" w:space="0"/>
              <w:bottom w:val="single" w:color="auto" w:sz="4" w:space="0"/>
              <w:right w:val="single" w:color="auto" w:sz="4" w:space="0"/>
            </w:tcBorders>
            <w:vAlign w:val="center"/>
          </w:tcPr>
          <w:p w14:paraId="37AE0917">
            <w:pPr>
              <w:spacing w:line="400" w:lineRule="exact"/>
              <w:jc w:val="center"/>
              <w:rPr>
                <w:rFonts w:ascii="宋体" w:hAnsi="宋体" w:cs="仿宋_GB2312"/>
                <w:color w:val="auto"/>
                <w:sz w:val="24"/>
                <w:highlight w:val="none"/>
              </w:rPr>
            </w:pPr>
          </w:p>
        </w:tc>
      </w:tr>
      <w:tr w14:paraId="1BD5A5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268" w:type="dxa"/>
            <w:tcBorders>
              <w:top w:val="single" w:color="auto" w:sz="4" w:space="0"/>
              <w:left w:val="single" w:color="auto" w:sz="4" w:space="0"/>
              <w:bottom w:val="single" w:color="auto" w:sz="4" w:space="0"/>
              <w:right w:val="single" w:color="auto" w:sz="4" w:space="0"/>
            </w:tcBorders>
            <w:vAlign w:val="top"/>
          </w:tcPr>
          <w:p w14:paraId="3E40B1C8">
            <w:pPr>
              <w:spacing w:line="360" w:lineRule="exact"/>
              <w:jc w:val="center"/>
              <w:rPr>
                <w:rFonts w:ascii="宋体" w:hAnsi="宋体" w:cs="仿宋_GB2312"/>
                <w:color w:val="auto"/>
                <w:sz w:val="24"/>
                <w:highlight w:val="none"/>
              </w:rPr>
            </w:pPr>
            <w:r>
              <w:rPr>
                <w:rFonts w:hint="eastAsia" w:ascii="宋体" w:hAnsi="宋体"/>
                <w:b/>
                <w:color w:val="auto"/>
                <w:szCs w:val="21"/>
                <w:highlight w:val="none"/>
              </w:rPr>
              <w:t>（三）保险</w:t>
            </w:r>
          </w:p>
        </w:tc>
        <w:tc>
          <w:tcPr>
            <w:tcW w:w="2977" w:type="dxa"/>
            <w:tcBorders>
              <w:top w:val="single" w:color="auto" w:sz="4" w:space="0"/>
              <w:left w:val="single" w:color="auto" w:sz="4" w:space="0"/>
              <w:bottom w:val="single" w:color="auto" w:sz="4" w:space="0"/>
              <w:right w:val="single" w:color="auto" w:sz="4" w:space="0"/>
            </w:tcBorders>
            <w:vAlign w:val="center"/>
          </w:tcPr>
          <w:p w14:paraId="6C728648">
            <w:pPr>
              <w:spacing w:line="400" w:lineRule="exact"/>
              <w:jc w:val="center"/>
              <w:rPr>
                <w:rFonts w:ascii="宋体" w:hAnsi="宋体" w:cs="仿宋_GB2312"/>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0B4D04D1">
            <w:pPr>
              <w:spacing w:line="400" w:lineRule="exact"/>
              <w:jc w:val="center"/>
              <w:rPr>
                <w:rFonts w:ascii="宋体" w:hAnsi="宋体" w:cs="仿宋_GB2312"/>
                <w:color w:val="auto"/>
                <w:sz w:val="24"/>
                <w:highlight w:val="none"/>
              </w:rPr>
            </w:pPr>
          </w:p>
        </w:tc>
        <w:tc>
          <w:tcPr>
            <w:tcW w:w="1501" w:type="dxa"/>
            <w:tcBorders>
              <w:top w:val="single" w:color="auto" w:sz="4" w:space="0"/>
              <w:left w:val="single" w:color="auto" w:sz="4" w:space="0"/>
              <w:bottom w:val="single" w:color="auto" w:sz="4" w:space="0"/>
              <w:right w:val="single" w:color="auto" w:sz="4" w:space="0"/>
            </w:tcBorders>
            <w:vAlign w:val="center"/>
          </w:tcPr>
          <w:p w14:paraId="068A8209">
            <w:pPr>
              <w:spacing w:line="400" w:lineRule="exact"/>
              <w:jc w:val="center"/>
              <w:rPr>
                <w:rFonts w:ascii="宋体" w:hAnsi="宋体" w:cs="仿宋_GB2312"/>
                <w:color w:val="auto"/>
                <w:sz w:val="24"/>
                <w:highlight w:val="none"/>
              </w:rPr>
            </w:pPr>
          </w:p>
        </w:tc>
      </w:tr>
      <w:tr w14:paraId="1FEE12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268" w:type="dxa"/>
            <w:tcBorders>
              <w:top w:val="single" w:color="auto" w:sz="4" w:space="0"/>
              <w:left w:val="single" w:color="auto" w:sz="4" w:space="0"/>
              <w:bottom w:val="single" w:color="auto" w:sz="4" w:space="0"/>
              <w:right w:val="single" w:color="auto" w:sz="4" w:space="0"/>
            </w:tcBorders>
            <w:vAlign w:val="center"/>
          </w:tcPr>
          <w:p w14:paraId="6F84CAA8">
            <w:pPr>
              <w:snapToGrid w:val="0"/>
              <w:spacing w:line="360" w:lineRule="exact"/>
              <w:jc w:val="center"/>
              <w:rPr>
                <w:rFonts w:ascii="宋体" w:hAnsi="宋体" w:cs="仿宋_GB2312"/>
                <w:color w:val="auto"/>
                <w:sz w:val="24"/>
                <w:highlight w:val="none"/>
              </w:rPr>
            </w:pPr>
            <w:r>
              <w:rPr>
                <w:rFonts w:hint="eastAsia" w:ascii="宋体" w:hAnsi="宋体"/>
                <w:b/>
                <w:color w:val="auto"/>
                <w:highlight w:val="none"/>
              </w:rPr>
              <w:t>（四）验收标准</w:t>
            </w:r>
          </w:p>
        </w:tc>
        <w:tc>
          <w:tcPr>
            <w:tcW w:w="2977" w:type="dxa"/>
            <w:tcBorders>
              <w:top w:val="single" w:color="auto" w:sz="4" w:space="0"/>
              <w:left w:val="single" w:color="auto" w:sz="4" w:space="0"/>
              <w:bottom w:val="single" w:color="auto" w:sz="4" w:space="0"/>
              <w:right w:val="single" w:color="auto" w:sz="4" w:space="0"/>
            </w:tcBorders>
            <w:vAlign w:val="center"/>
          </w:tcPr>
          <w:p w14:paraId="47545FF9">
            <w:pPr>
              <w:spacing w:line="400" w:lineRule="exact"/>
              <w:jc w:val="center"/>
              <w:rPr>
                <w:rFonts w:ascii="宋体" w:hAnsi="宋体" w:cs="仿宋_GB2312"/>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2E39A4D2">
            <w:pPr>
              <w:spacing w:line="400" w:lineRule="exact"/>
              <w:jc w:val="center"/>
              <w:rPr>
                <w:rFonts w:ascii="宋体" w:hAnsi="宋体" w:cs="仿宋_GB2312"/>
                <w:color w:val="auto"/>
                <w:sz w:val="24"/>
                <w:highlight w:val="none"/>
              </w:rPr>
            </w:pPr>
          </w:p>
        </w:tc>
        <w:tc>
          <w:tcPr>
            <w:tcW w:w="1501" w:type="dxa"/>
            <w:tcBorders>
              <w:top w:val="single" w:color="auto" w:sz="4" w:space="0"/>
              <w:left w:val="single" w:color="auto" w:sz="4" w:space="0"/>
              <w:bottom w:val="single" w:color="auto" w:sz="4" w:space="0"/>
              <w:right w:val="single" w:color="auto" w:sz="4" w:space="0"/>
            </w:tcBorders>
            <w:vAlign w:val="center"/>
          </w:tcPr>
          <w:p w14:paraId="64A29DAF">
            <w:pPr>
              <w:spacing w:line="400" w:lineRule="exact"/>
              <w:jc w:val="center"/>
              <w:rPr>
                <w:rFonts w:ascii="宋体" w:hAnsi="宋体" w:cs="仿宋_GB2312"/>
                <w:color w:val="auto"/>
                <w:sz w:val="24"/>
                <w:highlight w:val="none"/>
              </w:rPr>
            </w:pPr>
          </w:p>
        </w:tc>
      </w:tr>
      <w:tr w14:paraId="435AFE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268" w:type="dxa"/>
            <w:tcBorders>
              <w:top w:val="single" w:color="auto" w:sz="4" w:space="0"/>
              <w:left w:val="single" w:color="auto" w:sz="4" w:space="0"/>
              <w:bottom w:val="single" w:color="auto" w:sz="4" w:space="0"/>
              <w:right w:val="single" w:color="auto" w:sz="4" w:space="0"/>
            </w:tcBorders>
            <w:vAlign w:val="center"/>
          </w:tcPr>
          <w:p w14:paraId="71DED574">
            <w:pPr>
              <w:snapToGrid w:val="0"/>
              <w:spacing w:line="360" w:lineRule="exact"/>
              <w:jc w:val="center"/>
              <w:rPr>
                <w:rFonts w:ascii="宋体" w:hAnsi="宋体" w:cs="仿宋_GB2312"/>
                <w:color w:val="auto"/>
                <w:sz w:val="24"/>
                <w:highlight w:val="none"/>
              </w:rPr>
            </w:pPr>
            <w:r>
              <w:rPr>
                <w:rFonts w:hint="eastAsia" w:ascii="宋体" w:hAnsi="宋体"/>
                <w:b/>
                <w:color w:val="auto"/>
                <w:highlight w:val="none"/>
              </w:rPr>
              <w:t>（五）</w:t>
            </w:r>
            <w:r>
              <w:rPr>
                <w:rFonts w:hint="eastAsia" w:ascii="宋体" w:hAnsi="宋体"/>
                <w:b/>
                <w:color w:val="auto"/>
                <w:szCs w:val="21"/>
                <w:highlight w:val="none"/>
              </w:rPr>
              <w:t>权力保证</w:t>
            </w:r>
          </w:p>
        </w:tc>
        <w:tc>
          <w:tcPr>
            <w:tcW w:w="2977" w:type="dxa"/>
            <w:tcBorders>
              <w:top w:val="single" w:color="auto" w:sz="4" w:space="0"/>
              <w:left w:val="single" w:color="auto" w:sz="4" w:space="0"/>
              <w:bottom w:val="single" w:color="auto" w:sz="4" w:space="0"/>
              <w:right w:val="single" w:color="auto" w:sz="4" w:space="0"/>
            </w:tcBorders>
            <w:vAlign w:val="center"/>
          </w:tcPr>
          <w:p w14:paraId="1663B3BE">
            <w:pPr>
              <w:spacing w:line="400" w:lineRule="exact"/>
              <w:jc w:val="center"/>
              <w:rPr>
                <w:rFonts w:ascii="宋体" w:hAnsi="宋体" w:cs="仿宋_GB2312"/>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7024038B">
            <w:pPr>
              <w:spacing w:line="400" w:lineRule="exact"/>
              <w:jc w:val="center"/>
              <w:rPr>
                <w:rFonts w:ascii="宋体" w:hAnsi="宋体" w:cs="仿宋_GB2312"/>
                <w:color w:val="auto"/>
                <w:sz w:val="24"/>
                <w:highlight w:val="none"/>
              </w:rPr>
            </w:pPr>
          </w:p>
        </w:tc>
        <w:tc>
          <w:tcPr>
            <w:tcW w:w="1501" w:type="dxa"/>
            <w:tcBorders>
              <w:top w:val="single" w:color="auto" w:sz="4" w:space="0"/>
              <w:left w:val="single" w:color="auto" w:sz="4" w:space="0"/>
              <w:bottom w:val="single" w:color="auto" w:sz="4" w:space="0"/>
              <w:right w:val="single" w:color="auto" w:sz="4" w:space="0"/>
            </w:tcBorders>
            <w:vAlign w:val="center"/>
          </w:tcPr>
          <w:p w14:paraId="5C795EBD">
            <w:pPr>
              <w:spacing w:line="400" w:lineRule="exact"/>
              <w:jc w:val="center"/>
              <w:rPr>
                <w:rFonts w:ascii="宋体" w:hAnsi="宋体" w:cs="仿宋_GB2312"/>
                <w:color w:val="auto"/>
                <w:sz w:val="24"/>
                <w:highlight w:val="none"/>
              </w:rPr>
            </w:pPr>
          </w:p>
        </w:tc>
      </w:tr>
      <w:tr w14:paraId="328302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268" w:type="dxa"/>
            <w:tcBorders>
              <w:top w:val="single" w:color="auto" w:sz="4" w:space="0"/>
              <w:left w:val="single" w:color="auto" w:sz="4" w:space="0"/>
              <w:bottom w:val="single" w:color="auto" w:sz="4" w:space="0"/>
              <w:right w:val="single" w:color="auto" w:sz="4" w:space="0"/>
            </w:tcBorders>
            <w:vAlign w:val="center"/>
          </w:tcPr>
          <w:p w14:paraId="0E83C108">
            <w:pPr>
              <w:spacing w:line="360" w:lineRule="exact"/>
              <w:jc w:val="center"/>
              <w:rPr>
                <w:rFonts w:ascii="宋体" w:hAnsi="宋体" w:cs="仿宋_GB2312"/>
                <w:color w:val="auto"/>
                <w:sz w:val="24"/>
                <w:highlight w:val="none"/>
              </w:rPr>
            </w:pPr>
            <w:r>
              <w:rPr>
                <w:rFonts w:hint="eastAsia" w:ascii="宋体" w:hAnsi="宋体"/>
                <w:b/>
                <w:color w:val="auto"/>
                <w:szCs w:val="21"/>
                <w:highlight w:val="none"/>
              </w:rPr>
              <w:t>（六）采购预算</w:t>
            </w:r>
          </w:p>
        </w:tc>
        <w:tc>
          <w:tcPr>
            <w:tcW w:w="2977" w:type="dxa"/>
            <w:tcBorders>
              <w:top w:val="single" w:color="auto" w:sz="4" w:space="0"/>
              <w:left w:val="single" w:color="auto" w:sz="4" w:space="0"/>
              <w:bottom w:val="single" w:color="auto" w:sz="4" w:space="0"/>
              <w:right w:val="single" w:color="auto" w:sz="4" w:space="0"/>
            </w:tcBorders>
            <w:vAlign w:val="center"/>
          </w:tcPr>
          <w:p w14:paraId="2C4C2E1F">
            <w:pPr>
              <w:spacing w:line="400" w:lineRule="exact"/>
              <w:jc w:val="center"/>
              <w:rPr>
                <w:rFonts w:ascii="宋体" w:hAnsi="宋体" w:cs="仿宋_GB2312"/>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3A92A0DB">
            <w:pPr>
              <w:spacing w:line="400" w:lineRule="exact"/>
              <w:jc w:val="center"/>
              <w:rPr>
                <w:rFonts w:ascii="宋体" w:hAnsi="宋体" w:cs="仿宋_GB2312"/>
                <w:color w:val="auto"/>
                <w:sz w:val="24"/>
                <w:highlight w:val="none"/>
              </w:rPr>
            </w:pPr>
          </w:p>
        </w:tc>
        <w:tc>
          <w:tcPr>
            <w:tcW w:w="1501" w:type="dxa"/>
            <w:tcBorders>
              <w:top w:val="single" w:color="auto" w:sz="4" w:space="0"/>
              <w:left w:val="single" w:color="auto" w:sz="4" w:space="0"/>
              <w:bottom w:val="single" w:color="auto" w:sz="4" w:space="0"/>
              <w:right w:val="single" w:color="auto" w:sz="4" w:space="0"/>
            </w:tcBorders>
            <w:vAlign w:val="center"/>
          </w:tcPr>
          <w:p w14:paraId="64E2ABAD">
            <w:pPr>
              <w:spacing w:line="400" w:lineRule="exact"/>
              <w:jc w:val="center"/>
              <w:rPr>
                <w:rFonts w:ascii="宋体" w:hAnsi="宋体" w:cs="仿宋_GB2312"/>
                <w:color w:val="auto"/>
                <w:sz w:val="24"/>
                <w:highlight w:val="none"/>
              </w:rPr>
            </w:pPr>
          </w:p>
        </w:tc>
      </w:tr>
      <w:tr w14:paraId="482D12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268" w:type="dxa"/>
            <w:tcBorders>
              <w:top w:val="single" w:color="auto" w:sz="4" w:space="0"/>
              <w:left w:val="single" w:color="auto" w:sz="4" w:space="0"/>
              <w:bottom w:val="single" w:color="auto" w:sz="4" w:space="0"/>
              <w:right w:val="single" w:color="auto" w:sz="4" w:space="0"/>
            </w:tcBorders>
            <w:vAlign w:val="center"/>
          </w:tcPr>
          <w:p w14:paraId="798D046C">
            <w:pPr>
              <w:spacing w:line="360" w:lineRule="exact"/>
              <w:jc w:val="center"/>
              <w:rPr>
                <w:rFonts w:ascii="宋体" w:hAnsi="宋体" w:cs="仿宋_GB2312"/>
                <w:color w:val="auto"/>
                <w:sz w:val="24"/>
                <w:highlight w:val="none"/>
              </w:rPr>
            </w:pPr>
            <w:r>
              <w:rPr>
                <w:rFonts w:hint="eastAsia" w:ascii="宋体" w:hAnsi="宋体"/>
                <w:b/>
                <w:color w:val="auto"/>
                <w:highlight w:val="none"/>
              </w:rPr>
              <w:t>（七）付款方式</w:t>
            </w:r>
          </w:p>
        </w:tc>
        <w:tc>
          <w:tcPr>
            <w:tcW w:w="2977" w:type="dxa"/>
            <w:tcBorders>
              <w:top w:val="single" w:color="auto" w:sz="4" w:space="0"/>
              <w:left w:val="single" w:color="auto" w:sz="4" w:space="0"/>
              <w:bottom w:val="single" w:color="auto" w:sz="4" w:space="0"/>
              <w:right w:val="single" w:color="auto" w:sz="4" w:space="0"/>
            </w:tcBorders>
            <w:vAlign w:val="center"/>
          </w:tcPr>
          <w:p w14:paraId="0E8CAD9F">
            <w:pPr>
              <w:spacing w:line="400" w:lineRule="exact"/>
              <w:jc w:val="center"/>
              <w:rPr>
                <w:rFonts w:ascii="宋体" w:hAnsi="宋体" w:cs="仿宋_GB2312"/>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6891D984">
            <w:pPr>
              <w:spacing w:line="400" w:lineRule="exact"/>
              <w:jc w:val="center"/>
              <w:rPr>
                <w:rFonts w:ascii="宋体" w:hAnsi="宋体" w:cs="仿宋_GB2312"/>
                <w:color w:val="auto"/>
                <w:sz w:val="24"/>
                <w:highlight w:val="none"/>
              </w:rPr>
            </w:pPr>
          </w:p>
        </w:tc>
        <w:tc>
          <w:tcPr>
            <w:tcW w:w="1501" w:type="dxa"/>
            <w:tcBorders>
              <w:top w:val="single" w:color="auto" w:sz="4" w:space="0"/>
              <w:left w:val="single" w:color="auto" w:sz="4" w:space="0"/>
              <w:bottom w:val="single" w:color="auto" w:sz="4" w:space="0"/>
              <w:right w:val="single" w:color="auto" w:sz="4" w:space="0"/>
            </w:tcBorders>
            <w:vAlign w:val="center"/>
          </w:tcPr>
          <w:p w14:paraId="23F396CF">
            <w:pPr>
              <w:spacing w:line="400" w:lineRule="exact"/>
              <w:jc w:val="center"/>
              <w:rPr>
                <w:rFonts w:ascii="宋体" w:hAnsi="宋体" w:cs="仿宋_GB2312"/>
                <w:color w:val="auto"/>
                <w:sz w:val="24"/>
                <w:highlight w:val="none"/>
              </w:rPr>
            </w:pPr>
          </w:p>
        </w:tc>
      </w:tr>
      <w:tr w14:paraId="41B513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268" w:type="dxa"/>
            <w:tcBorders>
              <w:top w:val="single" w:color="auto" w:sz="4" w:space="0"/>
              <w:left w:val="single" w:color="auto" w:sz="4" w:space="0"/>
              <w:bottom w:val="single" w:color="auto" w:sz="4" w:space="0"/>
              <w:right w:val="single" w:color="auto" w:sz="4" w:space="0"/>
            </w:tcBorders>
            <w:vAlign w:val="top"/>
          </w:tcPr>
          <w:p w14:paraId="0F774DC1">
            <w:pPr>
              <w:spacing w:line="360" w:lineRule="exact"/>
              <w:jc w:val="center"/>
              <w:rPr>
                <w:rFonts w:ascii="宋体" w:hAnsi="宋体" w:cs="仿宋_GB2312"/>
                <w:color w:val="auto"/>
                <w:sz w:val="24"/>
                <w:highlight w:val="none"/>
              </w:rPr>
            </w:pPr>
            <w:r>
              <w:rPr>
                <w:rFonts w:hint="eastAsia" w:ascii="宋体" w:hAnsi="宋体"/>
                <w:b/>
                <w:color w:val="auto"/>
                <w:szCs w:val="21"/>
                <w:highlight w:val="none"/>
              </w:rPr>
              <w:t>（八）合同签订时间</w:t>
            </w:r>
          </w:p>
        </w:tc>
        <w:tc>
          <w:tcPr>
            <w:tcW w:w="2977" w:type="dxa"/>
            <w:tcBorders>
              <w:top w:val="single" w:color="auto" w:sz="4" w:space="0"/>
              <w:left w:val="single" w:color="auto" w:sz="4" w:space="0"/>
              <w:bottom w:val="single" w:color="auto" w:sz="4" w:space="0"/>
              <w:right w:val="single" w:color="auto" w:sz="4" w:space="0"/>
            </w:tcBorders>
            <w:vAlign w:val="center"/>
          </w:tcPr>
          <w:p w14:paraId="6E9EC62A">
            <w:pPr>
              <w:spacing w:line="400" w:lineRule="exact"/>
              <w:jc w:val="center"/>
              <w:rPr>
                <w:rFonts w:ascii="宋体" w:hAnsi="宋体" w:cs="仿宋_GB2312"/>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0198A951">
            <w:pPr>
              <w:spacing w:line="400" w:lineRule="exact"/>
              <w:jc w:val="center"/>
              <w:rPr>
                <w:rFonts w:ascii="宋体" w:hAnsi="宋体" w:cs="仿宋_GB2312"/>
                <w:color w:val="auto"/>
                <w:sz w:val="24"/>
                <w:highlight w:val="none"/>
              </w:rPr>
            </w:pPr>
          </w:p>
        </w:tc>
        <w:tc>
          <w:tcPr>
            <w:tcW w:w="1501" w:type="dxa"/>
            <w:tcBorders>
              <w:top w:val="single" w:color="auto" w:sz="4" w:space="0"/>
              <w:left w:val="single" w:color="auto" w:sz="4" w:space="0"/>
              <w:bottom w:val="single" w:color="auto" w:sz="4" w:space="0"/>
              <w:right w:val="single" w:color="auto" w:sz="4" w:space="0"/>
            </w:tcBorders>
            <w:vAlign w:val="center"/>
          </w:tcPr>
          <w:p w14:paraId="2B04E879">
            <w:pPr>
              <w:spacing w:line="400" w:lineRule="exact"/>
              <w:jc w:val="center"/>
              <w:rPr>
                <w:rFonts w:ascii="宋体" w:hAnsi="宋体" w:cs="仿宋_GB2312"/>
                <w:color w:val="auto"/>
                <w:sz w:val="24"/>
                <w:highlight w:val="none"/>
              </w:rPr>
            </w:pPr>
          </w:p>
        </w:tc>
      </w:tr>
      <w:tr w14:paraId="7A58E2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268" w:type="dxa"/>
            <w:tcBorders>
              <w:top w:val="single" w:color="auto" w:sz="4" w:space="0"/>
              <w:left w:val="single" w:color="auto" w:sz="4" w:space="0"/>
              <w:bottom w:val="single" w:color="auto" w:sz="4" w:space="0"/>
              <w:right w:val="single" w:color="auto" w:sz="4" w:space="0"/>
            </w:tcBorders>
            <w:vAlign w:val="center"/>
          </w:tcPr>
          <w:p w14:paraId="1CFF7083">
            <w:pPr>
              <w:spacing w:line="360" w:lineRule="exact"/>
              <w:jc w:val="center"/>
              <w:rPr>
                <w:rFonts w:hint="eastAsia" w:ascii="宋体" w:hAnsi="宋体"/>
                <w:b/>
                <w:color w:val="auto"/>
                <w:szCs w:val="21"/>
                <w:highlight w:val="none"/>
              </w:rPr>
            </w:pPr>
            <w:r>
              <w:rPr>
                <w:rFonts w:hint="eastAsia" w:ascii="宋体" w:hAnsi="宋体" w:cs="宋体"/>
                <w:b/>
                <w:bCs/>
                <w:color w:val="auto"/>
                <w:szCs w:val="21"/>
                <w:highlight w:val="none"/>
              </w:rPr>
              <w:t>（</w:t>
            </w:r>
            <w:r>
              <w:rPr>
                <w:rFonts w:hint="eastAsia" w:ascii="宋体" w:hAnsi="宋体" w:cs="宋体"/>
                <w:b/>
                <w:bCs/>
                <w:color w:val="auto"/>
                <w:szCs w:val="21"/>
                <w:highlight w:val="none"/>
                <w:lang w:eastAsia="zh-CN"/>
              </w:rPr>
              <w:t>九</w:t>
            </w:r>
            <w:r>
              <w:rPr>
                <w:rFonts w:hint="eastAsia" w:ascii="宋体" w:hAnsi="宋体" w:cs="宋体"/>
                <w:b/>
                <w:bCs/>
                <w:color w:val="auto"/>
                <w:szCs w:val="21"/>
                <w:highlight w:val="none"/>
              </w:rPr>
              <w:t>）进口产品说明</w:t>
            </w:r>
          </w:p>
        </w:tc>
        <w:tc>
          <w:tcPr>
            <w:tcW w:w="2977" w:type="dxa"/>
            <w:tcBorders>
              <w:top w:val="single" w:color="auto" w:sz="4" w:space="0"/>
              <w:left w:val="single" w:color="auto" w:sz="4" w:space="0"/>
              <w:bottom w:val="single" w:color="auto" w:sz="4" w:space="0"/>
              <w:right w:val="single" w:color="auto" w:sz="4" w:space="0"/>
            </w:tcBorders>
            <w:vAlign w:val="center"/>
          </w:tcPr>
          <w:p w14:paraId="7C6FDF1B">
            <w:pPr>
              <w:spacing w:line="400" w:lineRule="exact"/>
              <w:jc w:val="center"/>
              <w:rPr>
                <w:rFonts w:ascii="宋体" w:hAnsi="宋体" w:cs="仿宋_GB2312"/>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0E72B6C6">
            <w:pPr>
              <w:spacing w:line="400" w:lineRule="exact"/>
              <w:jc w:val="center"/>
              <w:rPr>
                <w:rFonts w:ascii="宋体" w:hAnsi="宋体" w:cs="仿宋_GB2312"/>
                <w:color w:val="auto"/>
                <w:sz w:val="24"/>
                <w:highlight w:val="none"/>
              </w:rPr>
            </w:pPr>
          </w:p>
        </w:tc>
        <w:tc>
          <w:tcPr>
            <w:tcW w:w="1501" w:type="dxa"/>
            <w:tcBorders>
              <w:top w:val="single" w:color="auto" w:sz="4" w:space="0"/>
              <w:left w:val="single" w:color="auto" w:sz="4" w:space="0"/>
              <w:bottom w:val="single" w:color="auto" w:sz="4" w:space="0"/>
              <w:right w:val="single" w:color="auto" w:sz="4" w:space="0"/>
            </w:tcBorders>
            <w:vAlign w:val="center"/>
          </w:tcPr>
          <w:p w14:paraId="206F5900">
            <w:pPr>
              <w:spacing w:line="400" w:lineRule="exact"/>
              <w:jc w:val="center"/>
              <w:rPr>
                <w:rFonts w:ascii="宋体" w:hAnsi="宋体" w:cs="仿宋_GB2312"/>
                <w:color w:val="auto"/>
                <w:sz w:val="24"/>
                <w:highlight w:val="none"/>
              </w:rPr>
            </w:pPr>
          </w:p>
        </w:tc>
      </w:tr>
      <w:tr w14:paraId="635F7B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268" w:type="dxa"/>
            <w:tcBorders>
              <w:top w:val="single" w:color="auto" w:sz="4" w:space="0"/>
              <w:left w:val="single" w:color="auto" w:sz="4" w:space="0"/>
              <w:bottom w:val="single" w:color="auto" w:sz="4" w:space="0"/>
              <w:right w:val="single" w:color="auto" w:sz="4" w:space="0"/>
            </w:tcBorders>
            <w:vAlign w:val="center"/>
          </w:tcPr>
          <w:p w14:paraId="71C1741A">
            <w:pPr>
              <w:spacing w:line="360" w:lineRule="exact"/>
              <w:jc w:val="center"/>
              <w:rPr>
                <w:rFonts w:hint="eastAsia" w:ascii="宋体" w:hAnsi="宋体"/>
                <w:b/>
                <w:color w:val="auto"/>
                <w:szCs w:val="21"/>
                <w:highlight w:val="none"/>
              </w:rPr>
            </w:pPr>
            <w:r>
              <w:rPr>
                <w:rFonts w:hint="eastAsia" w:ascii="宋体" w:hAnsi="宋体" w:cs="宋体"/>
                <w:b/>
                <w:bCs/>
                <w:color w:val="auto"/>
                <w:szCs w:val="21"/>
                <w:highlight w:val="none"/>
              </w:rPr>
              <w:t>（</w:t>
            </w:r>
            <w:r>
              <w:rPr>
                <w:rFonts w:hint="eastAsia" w:ascii="宋体" w:hAnsi="宋体" w:cs="宋体"/>
                <w:b/>
                <w:bCs/>
                <w:color w:val="auto"/>
                <w:szCs w:val="21"/>
                <w:highlight w:val="none"/>
                <w:lang w:eastAsia="zh-CN"/>
              </w:rPr>
              <w:t>十</w:t>
            </w:r>
            <w:r>
              <w:rPr>
                <w:rFonts w:hint="eastAsia" w:ascii="宋体" w:hAnsi="宋体" w:cs="宋体"/>
                <w:b/>
                <w:bCs/>
                <w:color w:val="auto"/>
                <w:szCs w:val="21"/>
                <w:highlight w:val="none"/>
              </w:rPr>
              <w:t>）响应材料真实性承诺函</w:t>
            </w:r>
          </w:p>
        </w:tc>
        <w:tc>
          <w:tcPr>
            <w:tcW w:w="2977" w:type="dxa"/>
            <w:tcBorders>
              <w:top w:val="single" w:color="auto" w:sz="4" w:space="0"/>
              <w:left w:val="single" w:color="auto" w:sz="4" w:space="0"/>
              <w:bottom w:val="single" w:color="auto" w:sz="4" w:space="0"/>
              <w:right w:val="single" w:color="auto" w:sz="4" w:space="0"/>
            </w:tcBorders>
            <w:vAlign w:val="center"/>
          </w:tcPr>
          <w:p w14:paraId="632D2ABC">
            <w:pPr>
              <w:spacing w:line="400" w:lineRule="exact"/>
              <w:jc w:val="center"/>
              <w:rPr>
                <w:rFonts w:ascii="宋体" w:hAnsi="宋体" w:cs="仿宋_GB2312"/>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7450240D">
            <w:pPr>
              <w:spacing w:line="400" w:lineRule="exact"/>
              <w:jc w:val="center"/>
              <w:rPr>
                <w:rFonts w:ascii="宋体" w:hAnsi="宋体" w:cs="仿宋_GB2312"/>
                <w:color w:val="auto"/>
                <w:sz w:val="24"/>
                <w:highlight w:val="none"/>
              </w:rPr>
            </w:pPr>
          </w:p>
        </w:tc>
        <w:tc>
          <w:tcPr>
            <w:tcW w:w="1501" w:type="dxa"/>
            <w:tcBorders>
              <w:top w:val="single" w:color="auto" w:sz="4" w:space="0"/>
              <w:left w:val="single" w:color="auto" w:sz="4" w:space="0"/>
              <w:bottom w:val="single" w:color="auto" w:sz="4" w:space="0"/>
              <w:right w:val="single" w:color="auto" w:sz="4" w:space="0"/>
            </w:tcBorders>
            <w:vAlign w:val="center"/>
          </w:tcPr>
          <w:p w14:paraId="0E61D4A5">
            <w:pPr>
              <w:spacing w:line="400" w:lineRule="exact"/>
              <w:jc w:val="center"/>
              <w:rPr>
                <w:rFonts w:ascii="宋体" w:hAnsi="宋体" w:cs="仿宋_GB2312"/>
                <w:color w:val="auto"/>
                <w:sz w:val="24"/>
                <w:highlight w:val="none"/>
              </w:rPr>
            </w:pPr>
          </w:p>
        </w:tc>
      </w:tr>
    </w:tbl>
    <w:p w14:paraId="4D5996E9">
      <w:pPr>
        <w:pStyle w:val="13"/>
        <w:spacing w:after="0" w:line="360" w:lineRule="auto"/>
        <w:contextualSpacing/>
        <w:rPr>
          <w:rFonts w:ascii="宋体" w:hAnsi="宋体"/>
          <w:color w:val="auto"/>
          <w:kern w:val="0"/>
          <w:sz w:val="24"/>
          <w:szCs w:val="24"/>
          <w:highlight w:val="none"/>
        </w:rPr>
      </w:pPr>
      <w:r>
        <w:rPr>
          <w:rFonts w:hint="eastAsia" w:ascii="宋体" w:hAnsi="宋体"/>
          <w:color w:val="auto"/>
          <w:kern w:val="0"/>
          <w:sz w:val="24"/>
          <w:szCs w:val="24"/>
          <w:highlight w:val="none"/>
        </w:rPr>
        <w:t>注：</w:t>
      </w:r>
    </w:p>
    <w:p w14:paraId="56654095">
      <w:pPr>
        <w:pStyle w:val="13"/>
        <w:spacing w:after="0" w:line="360" w:lineRule="auto"/>
        <w:contextualSpacing/>
        <w:rPr>
          <w:rFonts w:ascii="宋体" w:hAnsi="宋体"/>
          <w:color w:val="auto"/>
          <w:kern w:val="0"/>
          <w:sz w:val="24"/>
          <w:szCs w:val="24"/>
          <w:highlight w:val="none"/>
        </w:rPr>
      </w:pPr>
      <w:r>
        <w:rPr>
          <w:rFonts w:hint="eastAsia" w:ascii="宋体" w:hAnsi="宋体"/>
          <w:color w:val="auto"/>
          <w:kern w:val="0"/>
          <w:sz w:val="24"/>
          <w:szCs w:val="24"/>
          <w:highlight w:val="none"/>
        </w:rPr>
        <w:t>1.供应商应对照磋商文件“第三章 采购需求”中的商务要求逐条作出明确响应，并作出偏离说明。</w:t>
      </w:r>
    </w:p>
    <w:p w14:paraId="72D2F24C">
      <w:pPr>
        <w:spacing w:line="360" w:lineRule="auto"/>
        <w:jc w:val="left"/>
        <w:rPr>
          <w:rFonts w:ascii="宋体" w:hAnsi="宋体"/>
          <w:color w:val="auto"/>
          <w:kern w:val="0"/>
          <w:sz w:val="24"/>
          <w:highlight w:val="none"/>
        </w:rPr>
      </w:pPr>
      <w:r>
        <w:rPr>
          <w:rFonts w:hint="eastAsia" w:ascii="宋体" w:hAnsi="宋体"/>
          <w:color w:val="auto"/>
          <w:kern w:val="0"/>
          <w:sz w:val="24"/>
          <w:highlight w:val="none"/>
        </w:rPr>
        <w:t>2.供应商应根据自身的承诺，对照磋商文件要求在“偏离说明”中注明“正偏离” “负偏离”或者“无偏离”。既不属于“正偏离”也不属于“负偏离”即为“无偏离”。</w:t>
      </w:r>
    </w:p>
    <w:p w14:paraId="3A714704">
      <w:pPr>
        <w:spacing w:line="360" w:lineRule="auto"/>
        <w:jc w:val="left"/>
        <w:rPr>
          <w:rFonts w:ascii="宋体" w:hAnsi="宋体" w:cs="仿宋_GB2312"/>
          <w:color w:val="auto"/>
          <w:sz w:val="24"/>
          <w:highlight w:val="none"/>
          <w:u w:val="single"/>
        </w:rPr>
      </w:pPr>
    </w:p>
    <w:p w14:paraId="5B8E5DDF">
      <w:pPr>
        <w:spacing w:line="360" w:lineRule="auto"/>
        <w:ind w:right="-817" w:rightChars="-389"/>
        <w:contextualSpacing/>
        <w:jc w:val="center"/>
        <w:rPr>
          <w:rFonts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23468D9B">
      <w:pPr>
        <w:spacing w:line="360" w:lineRule="auto"/>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供应商名称（电子签章）：      </w:t>
      </w:r>
    </w:p>
    <w:p w14:paraId="3FCD76F7">
      <w:pPr>
        <w:spacing w:line="360" w:lineRule="auto"/>
        <w:ind w:right="-817" w:rightChars="-389" w:firstLine="4080" w:firstLineChars="1700"/>
        <w:contextualSpacing/>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0E13710E">
      <w:pPr>
        <w:spacing w:line="360" w:lineRule="auto"/>
        <w:ind w:right="-817" w:rightChars="-389" w:firstLine="4080" w:firstLineChars="1700"/>
        <w:contextualSpacing/>
        <w:rPr>
          <w:rFonts w:ascii="宋体" w:hAnsi="宋体" w:cs="仿宋_GB2312"/>
          <w:color w:val="auto"/>
          <w:sz w:val="24"/>
          <w:highlight w:val="none"/>
        </w:rPr>
      </w:pPr>
    </w:p>
    <w:p w14:paraId="6A29CB00">
      <w:pPr>
        <w:spacing w:line="360" w:lineRule="auto"/>
        <w:ind w:right="-817" w:rightChars="-389"/>
        <w:contextualSpacing/>
        <w:jc w:val="center"/>
        <w:rPr>
          <w:rFonts w:ascii="方正小标宋简体" w:hAnsi="方正小标宋简体" w:eastAsia="方正小标宋简体" w:cs="方正小标宋简体"/>
          <w:bCs/>
          <w:color w:val="auto"/>
          <w:sz w:val="44"/>
          <w:szCs w:val="44"/>
          <w:highlight w:val="none"/>
        </w:rPr>
      </w:pPr>
      <w:r>
        <w:rPr>
          <w:rFonts w:ascii="宋体" w:hAnsi="宋体" w:cs="仿宋_GB2312"/>
          <w:color w:val="auto"/>
          <w:sz w:val="24"/>
          <w:highlight w:val="none"/>
        </w:rPr>
        <w:br w:type="page"/>
      </w:r>
      <w:r>
        <w:rPr>
          <w:rFonts w:hint="eastAsia" w:ascii="方正小标宋简体" w:hAnsi="方正小标宋简体" w:eastAsia="方正小标宋简体" w:cs="方正小标宋简体"/>
          <w:bCs/>
          <w:color w:val="auto"/>
          <w:sz w:val="44"/>
          <w:szCs w:val="44"/>
          <w:highlight w:val="none"/>
        </w:rPr>
        <w:t>代理服务费承诺书</w:t>
      </w:r>
    </w:p>
    <w:p w14:paraId="56830B8B">
      <w:pPr>
        <w:snapToGrid w:val="0"/>
        <w:spacing w:before="156" w:beforeLines="50" w:after="50"/>
        <w:jc w:val="center"/>
        <w:rPr>
          <w:rFonts w:ascii="宋体" w:hAnsi="宋体"/>
          <w:b/>
          <w:color w:val="auto"/>
          <w:sz w:val="24"/>
          <w:highlight w:val="none"/>
        </w:rPr>
      </w:pPr>
    </w:p>
    <w:p w14:paraId="397F792E">
      <w:pPr>
        <w:spacing w:line="360" w:lineRule="auto"/>
        <w:rPr>
          <w:rFonts w:ascii="宋体" w:hAnsi="宋体"/>
          <w:b/>
          <w:bCs/>
          <w:color w:val="auto"/>
          <w:sz w:val="24"/>
          <w:highlight w:val="none"/>
        </w:rPr>
      </w:pPr>
      <w:r>
        <w:rPr>
          <w:rFonts w:hint="eastAsia" w:ascii="宋体" w:hAnsi="宋体"/>
          <w:bCs/>
          <w:color w:val="auto"/>
          <w:sz w:val="24"/>
          <w:highlight w:val="none"/>
        </w:rPr>
        <w:t>致：云之龙咨询集团有限公司</w:t>
      </w:r>
    </w:p>
    <w:p w14:paraId="06B8DBE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本单位参加了贵方组织的</w:t>
      </w:r>
      <w:r>
        <w:rPr>
          <w:rFonts w:hint="eastAsia" w:ascii="宋体" w:hAnsi="宋体"/>
          <w:color w:val="auto"/>
          <w:sz w:val="24"/>
          <w:highlight w:val="none"/>
          <w:u w:val="single"/>
        </w:rPr>
        <w:t xml:space="preserve">  项目名称（项目编号）  </w:t>
      </w:r>
      <w:r>
        <w:rPr>
          <w:rFonts w:hint="eastAsia" w:ascii="宋体" w:hAnsi="宋体"/>
          <w:color w:val="auto"/>
          <w:sz w:val="24"/>
          <w:highlight w:val="none"/>
        </w:rPr>
        <w:t>项目， 在此说明如下：</w:t>
      </w:r>
    </w:p>
    <w:p w14:paraId="4DB1604E">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1.我方承诺，若本单位成交，保证于获取成交通知书前，按本项目竞标性磋商文件的规定标准向贵单位一次性足额支付代理服务费，在领取成交通知书后，由于被质疑、投诉或者其他原因而导致成交结果改变，我方将放弃对已缴纳的成交服务费追还的一切权利。</w:t>
      </w:r>
    </w:p>
    <w:p w14:paraId="46FBF2A7">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2.本单位选择第</w:t>
      </w:r>
      <w:r>
        <w:rPr>
          <w:rFonts w:hint="eastAsia" w:ascii="宋体" w:hAnsi="宋体"/>
          <w:color w:val="auto"/>
          <w:sz w:val="24"/>
          <w:highlight w:val="none"/>
          <w:u w:val="single"/>
        </w:rPr>
        <w:t xml:space="preserve">     </w:t>
      </w:r>
      <w:r>
        <w:rPr>
          <w:rFonts w:hint="eastAsia" w:ascii="宋体" w:hAnsi="宋体"/>
          <w:color w:val="auto"/>
          <w:sz w:val="24"/>
          <w:highlight w:val="none"/>
        </w:rPr>
        <w:t>种方式作为代理服务费开票类型：</w:t>
      </w:r>
    </w:p>
    <w:p w14:paraId="46F13D37">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第一种方式：开具增值税普通发票。</w:t>
      </w:r>
    </w:p>
    <w:p w14:paraId="5211CF65">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第二种方式：开具增值税专用发票。</w:t>
      </w:r>
    </w:p>
    <w:p w14:paraId="57FF0D33">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开票信息如下：</w:t>
      </w:r>
    </w:p>
    <w:p w14:paraId="355906B7">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67C18209">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2EAC82F2">
      <w:pPr>
        <w:spacing w:line="440" w:lineRule="exact"/>
        <w:rPr>
          <w:rFonts w:ascii="宋体" w:hAnsi="宋体"/>
          <w:color w:val="auto"/>
          <w:sz w:val="24"/>
          <w:highlight w:val="none"/>
        </w:rPr>
      </w:pPr>
    </w:p>
    <w:p w14:paraId="0B4464B3">
      <w:pPr>
        <w:spacing w:line="440" w:lineRule="exact"/>
        <w:rPr>
          <w:rFonts w:ascii="宋体" w:hAnsi="宋体"/>
          <w:color w:val="auto"/>
          <w:sz w:val="24"/>
          <w:highlight w:val="none"/>
        </w:rPr>
      </w:pPr>
    </w:p>
    <w:p w14:paraId="488D3EDE">
      <w:pPr>
        <w:spacing w:line="440" w:lineRule="exact"/>
        <w:rPr>
          <w:rFonts w:ascii="宋体" w:hAnsi="宋体"/>
          <w:color w:val="auto"/>
          <w:sz w:val="24"/>
          <w:highlight w:val="none"/>
        </w:rPr>
      </w:pPr>
    </w:p>
    <w:p w14:paraId="1D3BE526">
      <w:pPr>
        <w:snapToGrid w:val="0"/>
        <w:spacing w:line="360" w:lineRule="auto"/>
        <w:ind w:left="-2" w:leftChars="-1" w:right="-817" w:rightChars="-389" w:firstLine="1920" w:firstLineChars="800"/>
        <w:rPr>
          <w:rFonts w:ascii="宋体" w:hAnsi="宋体"/>
          <w:color w:val="auto"/>
          <w:sz w:val="24"/>
          <w:highlight w:val="none"/>
        </w:rPr>
      </w:pPr>
      <w:r>
        <w:rPr>
          <w:rFonts w:hint="eastAsia" w:ascii="宋体" w:hAnsi="宋体"/>
          <w:color w:val="auto"/>
          <w:sz w:val="24"/>
          <w:highlight w:val="none"/>
        </w:rPr>
        <w:t xml:space="preserve">法定代表人或者委托代理人（签字或者电子签名）： </w:t>
      </w:r>
    </w:p>
    <w:p w14:paraId="5B8B5DDE">
      <w:pPr>
        <w:snapToGrid w:val="0"/>
        <w:spacing w:line="360" w:lineRule="auto"/>
        <w:ind w:left="-3" w:leftChars="-15" w:right="-817" w:rightChars="-389" w:hanging="28" w:hangingChars="12"/>
        <w:rPr>
          <w:rFonts w:ascii="宋体" w:hAnsi="宋体"/>
          <w:color w:val="auto"/>
          <w:sz w:val="24"/>
          <w:highlight w:val="none"/>
        </w:rPr>
      </w:pPr>
      <w:r>
        <w:rPr>
          <w:rFonts w:hint="eastAsia" w:ascii="宋体" w:hAnsi="宋体"/>
          <w:color w:val="auto"/>
          <w:sz w:val="24"/>
          <w:highlight w:val="none"/>
        </w:rPr>
        <w:t xml:space="preserve">                                      供应商名称（电子签章）：</w:t>
      </w:r>
    </w:p>
    <w:p w14:paraId="3C0F2761">
      <w:pPr>
        <w:snapToGrid w:val="0"/>
        <w:spacing w:line="360" w:lineRule="auto"/>
        <w:ind w:right="480" w:firstLine="240" w:firstLineChars="100"/>
        <w:jc w:val="left"/>
        <w:rPr>
          <w:rFonts w:ascii="宋体" w:hAnsi="宋体"/>
          <w:color w:val="auto"/>
          <w:sz w:val="24"/>
          <w:szCs w:val="20"/>
          <w:highlight w:val="none"/>
        </w:rPr>
      </w:pPr>
      <w:r>
        <w:rPr>
          <w:rFonts w:hint="eastAsia" w:ascii="宋体" w:hAnsi="宋体"/>
          <w:color w:val="auto"/>
          <w:sz w:val="24"/>
          <w:highlight w:val="none"/>
        </w:rPr>
        <w:t xml:space="preserve">                                    日期：    年   月   日</w:t>
      </w:r>
    </w:p>
    <w:p w14:paraId="406842F9">
      <w:pPr>
        <w:snapToGrid w:val="0"/>
        <w:spacing w:before="50" w:after="50" w:line="360" w:lineRule="auto"/>
        <w:ind w:right="-817" w:rightChars="-389" w:firstLine="5461" w:firstLineChars="1700"/>
        <w:rPr>
          <w:rFonts w:ascii="仿宋_GB2312" w:hAnsi="仿宋_GB2312" w:eastAsia="仿宋_GB2312" w:cs="仿宋_GB2312"/>
          <w:b/>
          <w:color w:val="auto"/>
          <w:sz w:val="32"/>
          <w:szCs w:val="32"/>
          <w:highlight w:val="none"/>
        </w:rPr>
      </w:pPr>
    </w:p>
    <w:p w14:paraId="2A8F92DF">
      <w:pPr>
        <w:spacing w:line="500" w:lineRule="exact"/>
        <w:jc w:val="center"/>
        <w:rPr>
          <w:rFonts w:ascii="宋体" w:hAnsi="宋体"/>
          <w:b/>
          <w:bCs/>
          <w:color w:val="auto"/>
          <w:sz w:val="24"/>
          <w:highlight w:val="none"/>
        </w:rPr>
      </w:pPr>
      <w:r>
        <w:rPr>
          <w:rFonts w:ascii="宋体" w:hAnsi="宋体"/>
          <w:b/>
          <w:bCs/>
          <w:color w:val="auto"/>
          <w:sz w:val="24"/>
          <w:highlight w:val="none"/>
        </w:rPr>
        <w:br w:type="page"/>
      </w:r>
    </w:p>
    <w:p w14:paraId="07E4B419">
      <w:pPr>
        <w:adjustRightInd w:val="0"/>
        <w:snapToGrid w:val="0"/>
        <w:spacing w:line="520" w:lineRule="exact"/>
        <w:jc w:val="center"/>
        <w:rPr>
          <w:rFonts w:ascii="方正小标宋简体" w:hAnsi="方正小标宋简体" w:eastAsia="方正小标宋简体" w:cs="方正小标宋简体"/>
          <w:bCs/>
          <w:color w:val="auto"/>
          <w:sz w:val="44"/>
          <w:szCs w:val="44"/>
          <w:highlight w:val="none"/>
        </w:rPr>
      </w:pPr>
    </w:p>
    <w:p w14:paraId="65C0AFC7">
      <w:pPr>
        <w:adjustRightInd w:val="0"/>
        <w:snapToGrid w:val="0"/>
        <w:spacing w:line="520" w:lineRule="exact"/>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响应材料真实性承诺函</w:t>
      </w:r>
    </w:p>
    <w:p w14:paraId="38054870">
      <w:pPr>
        <w:adjustRightInd w:val="0"/>
        <w:snapToGrid w:val="0"/>
        <w:spacing w:line="520" w:lineRule="exact"/>
        <w:jc w:val="center"/>
        <w:rPr>
          <w:rFonts w:ascii="方正小标宋简体" w:hAnsi="方正小标宋简体" w:eastAsia="方正小标宋简体" w:cs="方正小标宋简体"/>
          <w:bCs/>
          <w:color w:val="auto"/>
          <w:sz w:val="24"/>
          <w:highlight w:val="none"/>
        </w:rPr>
      </w:pPr>
    </w:p>
    <w:p w14:paraId="71A97281">
      <w:pPr>
        <w:snapToGrid w:val="0"/>
        <w:spacing w:before="156" w:beforeLines="50" w:after="50" w:line="500" w:lineRule="exact"/>
        <w:jc w:val="left"/>
        <w:rPr>
          <w:rFonts w:ascii="宋体" w:hAnsi="宋体" w:cs="仿宋_GB2312"/>
          <w:color w:val="auto"/>
          <w:sz w:val="24"/>
          <w:highlight w:val="none"/>
        </w:rPr>
      </w:pPr>
      <w:r>
        <w:rPr>
          <w:rFonts w:hint="eastAsia" w:ascii="宋体" w:hAnsi="宋体" w:cs="仿宋_GB2312"/>
          <w:color w:val="auto"/>
          <w:sz w:val="24"/>
          <w:highlight w:val="none"/>
        </w:rPr>
        <w:t>桂林</w:t>
      </w:r>
      <w:r>
        <w:rPr>
          <w:rFonts w:ascii="宋体" w:hAnsi="宋体" w:cs="仿宋_GB2312"/>
          <w:color w:val="auto"/>
          <w:sz w:val="24"/>
          <w:highlight w:val="none"/>
        </w:rPr>
        <w:t>电子科技大学</w:t>
      </w:r>
      <w:r>
        <w:rPr>
          <w:rFonts w:hint="eastAsia" w:ascii="宋体" w:hAnsi="宋体" w:cs="仿宋_GB2312"/>
          <w:color w:val="auto"/>
          <w:sz w:val="24"/>
          <w:highlight w:val="none"/>
        </w:rPr>
        <w:t>：</w:t>
      </w:r>
    </w:p>
    <w:p w14:paraId="0C10D339">
      <w:pPr>
        <w:snapToGrid w:val="0"/>
        <w:spacing w:before="156" w:beforeLines="50" w:after="50" w:line="500" w:lineRule="exact"/>
        <w:ind w:firstLine="480" w:firstLineChars="200"/>
        <w:jc w:val="left"/>
        <w:rPr>
          <w:rFonts w:ascii="宋体" w:hAnsi="宋体" w:cs="仿宋_GB2312"/>
          <w:color w:val="auto"/>
          <w:sz w:val="24"/>
          <w:szCs w:val="21"/>
          <w:highlight w:val="none"/>
        </w:rPr>
      </w:pPr>
      <w:r>
        <w:rPr>
          <w:rFonts w:hint="eastAsia" w:ascii="宋体" w:hAnsi="宋体" w:cs="仿宋_GB2312"/>
          <w:color w:val="auto"/>
          <w:sz w:val="24"/>
          <w:highlight w:val="none"/>
        </w:rPr>
        <w:t>我</w:t>
      </w:r>
      <w:r>
        <w:rPr>
          <w:rFonts w:ascii="宋体" w:hAnsi="宋体" w:cs="仿宋_GB2312"/>
          <w:color w:val="auto"/>
          <w:sz w:val="24"/>
          <w:highlight w:val="none"/>
        </w:rPr>
        <w:t>公司参与</w:t>
      </w:r>
      <w:r>
        <w:rPr>
          <w:rFonts w:hint="eastAsia" w:ascii="宋体" w:hAnsi="宋体" w:cs="仿宋_GB2312"/>
          <w:color w:val="auto"/>
          <w:sz w:val="24"/>
          <w:highlight w:val="none"/>
        </w:rPr>
        <w:t>校园管理AI服务平台建设</w:t>
      </w:r>
      <w:r>
        <w:rPr>
          <w:rFonts w:hint="eastAsia" w:ascii="宋体" w:hAnsi="宋体" w:cs="仿宋_GB2312"/>
          <w:color w:val="auto"/>
          <w:sz w:val="24"/>
          <w:szCs w:val="21"/>
          <w:highlight w:val="none"/>
        </w:rPr>
        <w:t>（项目编号：</w:t>
      </w:r>
      <w:r>
        <w:rPr>
          <w:rFonts w:hint="eastAsia" w:ascii="宋体" w:hAnsi="宋体" w:cs="仿宋_GB2312"/>
          <w:color w:val="auto"/>
          <w:sz w:val="24"/>
          <w:szCs w:val="21"/>
          <w:highlight w:val="none"/>
          <w:u w:val="single"/>
        </w:rPr>
        <w:t xml:space="preserve">          </w:t>
      </w:r>
      <w:r>
        <w:rPr>
          <w:rFonts w:hint="eastAsia" w:ascii="宋体" w:hAnsi="宋体" w:cs="仿宋_GB2312"/>
          <w:color w:val="auto"/>
          <w:sz w:val="24"/>
          <w:szCs w:val="21"/>
          <w:highlight w:val="none"/>
        </w:rPr>
        <w:t>）项目</w:t>
      </w:r>
      <w:r>
        <w:rPr>
          <w:rFonts w:ascii="宋体" w:hAnsi="宋体" w:cs="仿宋_GB2312"/>
          <w:color w:val="auto"/>
          <w:sz w:val="24"/>
          <w:szCs w:val="21"/>
          <w:highlight w:val="none"/>
        </w:rPr>
        <w:t>的竞标，</w:t>
      </w:r>
      <w:r>
        <w:rPr>
          <w:rFonts w:hint="eastAsia" w:ascii="宋体" w:hAnsi="宋体" w:cs="仿宋_GB2312"/>
          <w:color w:val="auto"/>
          <w:sz w:val="24"/>
          <w:szCs w:val="21"/>
          <w:highlight w:val="none"/>
        </w:rPr>
        <w:t>在此</w:t>
      </w:r>
      <w:r>
        <w:rPr>
          <w:rFonts w:ascii="宋体" w:hAnsi="宋体" w:cs="仿宋_GB2312"/>
          <w:color w:val="auto"/>
          <w:sz w:val="24"/>
          <w:szCs w:val="21"/>
          <w:highlight w:val="none"/>
        </w:rPr>
        <w:t>郑重承诺</w:t>
      </w:r>
      <w:r>
        <w:rPr>
          <w:rFonts w:hint="eastAsia" w:ascii="宋体" w:hAnsi="宋体" w:cs="仿宋_GB2312"/>
          <w:color w:val="auto"/>
          <w:sz w:val="24"/>
          <w:szCs w:val="21"/>
          <w:highlight w:val="none"/>
        </w:rPr>
        <w:t>：我</w:t>
      </w:r>
      <w:r>
        <w:rPr>
          <w:rFonts w:ascii="宋体" w:hAnsi="宋体" w:cs="仿宋_GB2312"/>
          <w:color w:val="auto"/>
          <w:sz w:val="24"/>
          <w:szCs w:val="21"/>
          <w:highlight w:val="none"/>
        </w:rPr>
        <w:t>公司</w:t>
      </w:r>
      <w:r>
        <w:rPr>
          <w:rFonts w:hint="eastAsia" w:ascii="宋体" w:hAnsi="宋体" w:cs="仿宋_GB2312"/>
          <w:color w:val="auto"/>
          <w:sz w:val="24"/>
          <w:szCs w:val="21"/>
          <w:highlight w:val="none"/>
        </w:rPr>
        <w:t>对</w:t>
      </w:r>
      <w:r>
        <w:rPr>
          <w:rFonts w:ascii="宋体" w:hAnsi="宋体" w:cs="仿宋_GB2312"/>
          <w:color w:val="auto"/>
          <w:sz w:val="24"/>
          <w:szCs w:val="21"/>
          <w:highlight w:val="none"/>
        </w:rPr>
        <w:t>响应文件中</w:t>
      </w:r>
      <w:r>
        <w:rPr>
          <w:rFonts w:hint="eastAsia" w:ascii="宋体" w:hAnsi="宋体" w:cs="仿宋_GB2312"/>
          <w:color w:val="auto"/>
          <w:sz w:val="24"/>
          <w:szCs w:val="21"/>
          <w:highlight w:val="none"/>
        </w:rPr>
        <w:t>提供的证明材料真实性承担对应责任，如提供虚假材料，我公司无条件承担其相应的后果。</w:t>
      </w:r>
    </w:p>
    <w:p w14:paraId="0AEE33D7">
      <w:pPr>
        <w:snapToGrid w:val="0"/>
        <w:spacing w:before="156" w:beforeLines="50" w:after="50" w:line="500" w:lineRule="exact"/>
        <w:ind w:firstLine="480" w:firstLineChars="200"/>
        <w:jc w:val="left"/>
        <w:rPr>
          <w:rFonts w:ascii="宋体" w:hAnsi="宋体" w:cs="仿宋_GB2312"/>
          <w:color w:val="auto"/>
          <w:sz w:val="24"/>
          <w:szCs w:val="21"/>
          <w:highlight w:val="none"/>
        </w:rPr>
      </w:pPr>
    </w:p>
    <w:p w14:paraId="462F9EBB">
      <w:pPr>
        <w:spacing w:line="360" w:lineRule="auto"/>
        <w:ind w:right="-817" w:rightChars="-389"/>
        <w:contextualSpacing/>
        <w:jc w:val="center"/>
        <w:rPr>
          <w:rFonts w:ascii="宋体" w:hAnsi="宋体" w:cs="仿宋_GB2312"/>
          <w:color w:val="auto"/>
          <w:sz w:val="24"/>
          <w:highlight w:val="none"/>
        </w:rPr>
      </w:pPr>
      <w:r>
        <w:rPr>
          <w:rFonts w:hint="eastAsia" w:ascii="宋体" w:hAnsi="宋体" w:cs="仿宋_GB2312"/>
          <w:color w:val="auto"/>
          <w:sz w:val="24"/>
          <w:highlight w:val="none"/>
        </w:rPr>
        <w:t xml:space="preserve">             法定代表人或者委托代理人（签字或者电子签名）：</w:t>
      </w:r>
    </w:p>
    <w:p w14:paraId="4EECD9F2">
      <w:pPr>
        <w:spacing w:line="360" w:lineRule="auto"/>
        <w:ind w:right="-817" w:rightChars="-389" w:firstLine="2880" w:firstLineChars="12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供应商名称（电子签章）：      </w:t>
      </w:r>
    </w:p>
    <w:p w14:paraId="4F51C24D">
      <w:pPr>
        <w:spacing w:line="360" w:lineRule="auto"/>
        <w:ind w:right="-817" w:rightChars="-389" w:firstLine="2880" w:firstLineChars="1200"/>
        <w:contextualSpacing/>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0101A052">
      <w:pPr>
        <w:snapToGrid w:val="0"/>
        <w:spacing w:before="156" w:beforeLines="50" w:after="50" w:line="500" w:lineRule="exact"/>
        <w:ind w:firstLine="480" w:firstLineChars="200"/>
        <w:jc w:val="left"/>
        <w:rPr>
          <w:rFonts w:ascii="宋体" w:hAnsi="宋体" w:cs="仿宋_GB2312"/>
          <w:color w:val="auto"/>
          <w:sz w:val="24"/>
          <w:szCs w:val="21"/>
          <w:highlight w:val="none"/>
        </w:rPr>
      </w:pPr>
    </w:p>
    <w:p w14:paraId="08B6090D">
      <w:pPr>
        <w:rPr>
          <w:color w:val="auto"/>
          <w:highlight w:val="none"/>
        </w:rPr>
      </w:pPr>
    </w:p>
    <w:p w14:paraId="4829469A">
      <w:pPr>
        <w:spacing w:line="500" w:lineRule="exact"/>
        <w:jc w:val="center"/>
        <w:rPr>
          <w:rFonts w:ascii="宋体" w:hAnsi="宋体"/>
          <w:b/>
          <w:bCs/>
          <w:color w:val="auto"/>
          <w:sz w:val="24"/>
          <w:highlight w:val="none"/>
        </w:rPr>
      </w:pPr>
    </w:p>
    <w:p w14:paraId="7CF8C6C7">
      <w:pPr>
        <w:spacing w:line="500" w:lineRule="exact"/>
        <w:jc w:val="center"/>
        <w:rPr>
          <w:rFonts w:ascii="宋体" w:hAnsi="宋体"/>
          <w:b/>
          <w:bCs/>
          <w:color w:val="auto"/>
          <w:sz w:val="24"/>
          <w:highlight w:val="none"/>
        </w:rPr>
      </w:pPr>
    </w:p>
    <w:p w14:paraId="299AFC37">
      <w:pPr>
        <w:spacing w:line="500" w:lineRule="exact"/>
        <w:jc w:val="center"/>
        <w:rPr>
          <w:rFonts w:ascii="宋体" w:hAnsi="宋体"/>
          <w:b/>
          <w:bCs/>
          <w:color w:val="auto"/>
          <w:sz w:val="24"/>
          <w:highlight w:val="none"/>
        </w:rPr>
      </w:pPr>
    </w:p>
    <w:p w14:paraId="7233360B">
      <w:pPr>
        <w:adjustRightInd w:val="0"/>
        <w:snapToGrid w:val="0"/>
        <w:spacing w:line="520" w:lineRule="exact"/>
        <w:jc w:val="center"/>
        <w:rPr>
          <w:rFonts w:ascii="方正小标宋简体" w:hAnsi="方正小标宋简体" w:eastAsia="方正小标宋简体" w:cs="方正小标宋简体"/>
          <w:bCs/>
          <w:color w:val="auto"/>
          <w:sz w:val="44"/>
          <w:szCs w:val="44"/>
          <w:highlight w:val="none"/>
        </w:rPr>
      </w:pPr>
    </w:p>
    <w:p w14:paraId="137618B5">
      <w:pPr>
        <w:adjustRightInd w:val="0"/>
        <w:snapToGrid w:val="0"/>
        <w:spacing w:line="520" w:lineRule="exact"/>
        <w:jc w:val="center"/>
        <w:rPr>
          <w:rFonts w:ascii="方正小标宋简体" w:hAnsi="方正小标宋简体" w:eastAsia="方正小标宋简体" w:cs="方正小标宋简体"/>
          <w:bCs/>
          <w:color w:val="auto"/>
          <w:sz w:val="44"/>
          <w:szCs w:val="44"/>
          <w:highlight w:val="none"/>
        </w:rPr>
      </w:pPr>
    </w:p>
    <w:p w14:paraId="7418F698">
      <w:pPr>
        <w:adjustRightInd w:val="0"/>
        <w:snapToGrid w:val="0"/>
        <w:spacing w:line="520" w:lineRule="exact"/>
        <w:jc w:val="center"/>
        <w:rPr>
          <w:rFonts w:ascii="方正小标宋简体" w:hAnsi="方正小标宋简体" w:eastAsia="方正小标宋简体" w:cs="方正小标宋简体"/>
          <w:bCs/>
          <w:color w:val="auto"/>
          <w:sz w:val="44"/>
          <w:szCs w:val="44"/>
          <w:highlight w:val="none"/>
        </w:rPr>
      </w:pPr>
    </w:p>
    <w:p w14:paraId="47A9E341">
      <w:pPr>
        <w:adjustRightInd w:val="0"/>
        <w:snapToGrid w:val="0"/>
        <w:spacing w:line="520" w:lineRule="exact"/>
        <w:jc w:val="center"/>
        <w:rPr>
          <w:rFonts w:ascii="方正小标宋简体" w:hAnsi="方正小标宋简体" w:eastAsia="方正小标宋简体" w:cs="方正小标宋简体"/>
          <w:bCs/>
          <w:color w:val="auto"/>
          <w:sz w:val="44"/>
          <w:szCs w:val="44"/>
          <w:highlight w:val="none"/>
        </w:rPr>
      </w:pPr>
    </w:p>
    <w:p w14:paraId="5F5C3179">
      <w:pPr>
        <w:adjustRightInd w:val="0"/>
        <w:snapToGrid w:val="0"/>
        <w:spacing w:line="520" w:lineRule="exact"/>
        <w:jc w:val="center"/>
        <w:rPr>
          <w:rFonts w:ascii="方正小标宋简体" w:hAnsi="方正小标宋简体" w:eastAsia="方正小标宋简体" w:cs="方正小标宋简体"/>
          <w:bCs/>
          <w:color w:val="auto"/>
          <w:sz w:val="44"/>
          <w:szCs w:val="44"/>
          <w:highlight w:val="none"/>
        </w:rPr>
      </w:pPr>
    </w:p>
    <w:p w14:paraId="28C17828">
      <w:pPr>
        <w:adjustRightInd w:val="0"/>
        <w:snapToGrid w:val="0"/>
        <w:spacing w:line="520" w:lineRule="exact"/>
        <w:jc w:val="center"/>
        <w:rPr>
          <w:rFonts w:ascii="方正小标宋简体" w:hAnsi="方正小标宋简体" w:eastAsia="方正小标宋简体" w:cs="方正小标宋简体"/>
          <w:bCs/>
          <w:color w:val="auto"/>
          <w:sz w:val="44"/>
          <w:szCs w:val="44"/>
          <w:highlight w:val="none"/>
        </w:rPr>
      </w:pPr>
    </w:p>
    <w:p w14:paraId="65C40084">
      <w:pPr>
        <w:adjustRightInd w:val="0"/>
        <w:snapToGrid w:val="0"/>
        <w:spacing w:line="520" w:lineRule="exact"/>
        <w:jc w:val="center"/>
        <w:rPr>
          <w:rFonts w:ascii="方正小标宋简体" w:hAnsi="方正小标宋简体" w:eastAsia="方正小标宋简体" w:cs="方正小标宋简体"/>
          <w:bCs/>
          <w:color w:val="auto"/>
          <w:sz w:val="44"/>
          <w:szCs w:val="44"/>
          <w:highlight w:val="none"/>
        </w:rPr>
      </w:pPr>
    </w:p>
    <w:p w14:paraId="081110B0">
      <w:pPr>
        <w:adjustRightInd w:val="0"/>
        <w:snapToGrid w:val="0"/>
        <w:spacing w:line="520" w:lineRule="exact"/>
        <w:jc w:val="center"/>
        <w:rPr>
          <w:rFonts w:ascii="方正小标宋简体" w:hAnsi="方正小标宋简体" w:eastAsia="方正小标宋简体" w:cs="方正小标宋简体"/>
          <w:bCs/>
          <w:color w:val="auto"/>
          <w:sz w:val="44"/>
          <w:szCs w:val="44"/>
          <w:highlight w:val="none"/>
        </w:rPr>
      </w:pPr>
    </w:p>
    <w:p w14:paraId="29942100">
      <w:pPr>
        <w:adjustRightInd w:val="0"/>
        <w:snapToGrid w:val="0"/>
        <w:spacing w:line="520" w:lineRule="exact"/>
        <w:jc w:val="center"/>
        <w:rPr>
          <w:rFonts w:ascii="方正小标宋简体" w:hAnsi="方正小标宋简体" w:eastAsia="方正小标宋简体" w:cs="方正小标宋简体"/>
          <w:bCs/>
          <w:color w:val="auto"/>
          <w:sz w:val="44"/>
          <w:szCs w:val="44"/>
          <w:highlight w:val="none"/>
        </w:rPr>
      </w:pPr>
    </w:p>
    <w:p w14:paraId="26A2E2C8">
      <w:pPr>
        <w:adjustRightInd w:val="0"/>
        <w:snapToGrid w:val="0"/>
        <w:spacing w:line="520" w:lineRule="exact"/>
        <w:jc w:val="center"/>
        <w:rPr>
          <w:rFonts w:ascii="方正小标宋简体" w:hAnsi="方正小标宋简体" w:eastAsia="方正小标宋简体" w:cs="方正小标宋简体"/>
          <w:bCs/>
          <w:color w:val="auto"/>
          <w:sz w:val="44"/>
          <w:szCs w:val="44"/>
          <w:highlight w:val="none"/>
        </w:rPr>
      </w:pPr>
    </w:p>
    <w:p w14:paraId="7904A275">
      <w:pPr>
        <w:adjustRightInd w:val="0"/>
        <w:snapToGrid w:val="0"/>
        <w:spacing w:line="520" w:lineRule="exact"/>
        <w:jc w:val="center"/>
        <w:rPr>
          <w:rFonts w:ascii="方正小标宋简体" w:hAnsi="方正小标宋简体" w:eastAsia="方正小标宋简体" w:cs="方正小标宋简体"/>
          <w:bCs/>
          <w:color w:val="auto"/>
          <w:sz w:val="44"/>
          <w:szCs w:val="44"/>
          <w:highlight w:val="none"/>
        </w:rPr>
      </w:pPr>
    </w:p>
    <w:p w14:paraId="38A10779">
      <w:pPr>
        <w:adjustRightInd w:val="0"/>
        <w:snapToGrid w:val="0"/>
        <w:spacing w:line="520" w:lineRule="exact"/>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CPU服务器供应保障方案</w:t>
      </w:r>
    </w:p>
    <w:p w14:paraId="41B56657">
      <w:pPr>
        <w:spacing w:line="500" w:lineRule="exact"/>
        <w:jc w:val="center"/>
        <w:rPr>
          <w:rFonts w:ascii="宋体" w:hAnsi="宋体"/>
          <w:b/>
          <w:bCs/>
          <w:color w:val="auto"/>
          <w:sz w:val="24"/>
          <w:highlight w:val="none"/>
        </w:rPr>
      </w:pPr>
    </w:p>
    <w:p w14:paraId="41AB6D93">
      <w:pPr>
        <w:spacing w:line="500" w:lineRule="exact"/>
        <w:jc w:val="left"/>
        <w:rPr>
          <w:rFonts w:ascii="宋体" w:hAnsi="宋体" w:cs="仿宋_GB2312"/>
          <w:color w:val="auto"/>
          <w:sz w:val="24"/>
          <w:highlight w:val="none"/>
        </w:rPr>
      </w:pPr>
      <w:r>
        <w:rPr>
          <w:rFonts w:hint="eastAsia" w:ascii="宋体" w:hAnsi="宋体" w:cs="仿宋_GB2312"/>
          <w:color w:val="auto"/>
          <w:sz w:val="24"/>
          <w:highlight w:val="none"/>
        </w:rPr>
        <w:t>桂林</w:t>
      </w:r>
      <w:r>
        <w:rPr>
          <w:rFonts w:ascii="宋体" w:hAnsi="宋体" w:cs="仿宋_GB2312"/>
          <w:color w:val="auto"/>
          <w:sz w:val="24"/>
          <w:highlight w:val="none"/>
        </w:rPr>
        <w:t>电子科技大学</w:t>
      </w:r>
      <w:r>
        <w:rPr>
          <w:rFonts w:hint="eastAsia" w:ascii="宋体" w:hAnsi="宋体" w:cs="仿宋_GB2312"/>
          <w:color w:val="auto"/>
          <w:sz w:val="24"/>
          <w:highlight w:val="none"/>
        </w:rPr>
        <w:t>：</w:t>
      </w:r>
    </w:p>
    <w:p w14:paraId="727A10E3">
      <w:pPr>
        <w:spacing w:line="500" w:lineRule="exact"/>
        <w:jc w:val="left"/>
        <w:rPr>
          <w:rFonts w:ascii="宋体" w:hAnsi="宋体" w:cs="仿宋_GB2312"/>
          <w:color w:val="auto"/>
          <w:sz w:val="24"/>
          <w:highlight w:val="none"/>
        </w:rPr>
      </w:pPr>
      <w:r>
        <w:rPr>
          <w:rFonts w:hint="eastAsia" w:ascii="宋体" w:hAnsi="宋体" w:cs="仿宋_GB2312"/>
          <w:color w:val="auto"/>
          <w:sz w:val="24"/>
          <w:highlight w:val="none"/>
        </w:rPr>
        <w:t xml:space="preserve">    我方向贵单位提供如下CPU服务器供应保障方案：</w:t>
      </w:r>
    </w:p>
    <w:p w14:paraId="783D1D4A">
      <w:pPr>
        <w:spacing w:line="500" w:lineRule="exact"/>
        <w:ind w:firstLine="482" w:firstLineChars="200"/>
        <w:jc w:val="left"/>
        <w:rPr>
          <w:rFonts w:ascii="宋体" w:hAnsi="宋体"/>
          <w:b/>
          <w:bCs/>
          <w:color w:val="auto"/>
          <w:sz w:val="24"/>
          <w:highlight w:val="none"/>
        </w:rPr>
      </w:pPr>
      <w:r>
        <w:rPr>
          <w:rFonts w:hint="eastAsia" w:ascii="宋体" w:hAnsi="宋体"/>
          <w:b/>
          <w:bCs/>
          <w:color w:val="auto"/>
          <w:sz w:val="24"/>
          <w:highlight w:val="none"/>
        </w:rPr>
        <w:t>......</w:t>
      </w:r>
    </w:p>
    <w:p w14:paraId="4EE3DFFE">
      <w:pPr>
        <w:spacing w:line="360" w:lineRule="auto"/>
        <w:ind w:right="-817" w:rightChars="-389"/>
        <w:contextualSpacing/>
        <w:jc w:val="center"/>
        <w:rPr>
          <w:rFonts w:ascii="宋体" w:hAnsi="宋体" w:cs="仿宋_GB2312"/>
          <w:color w:val="auto"/>
          <w:sz w:val="24"/>
          <w:highlight w:val="none"/>
        </w:rPr>
      </w:pPr>
      <w:r>
        <w:rPr>
          <w:rFonts w:hint="eastAsia" w:ascii="宋体" w:hAnsi="宋体" w:cs="仿宋_GB2312"/>
          <w:color w:val="auto"/>
          <w:sz w:val="24"/>
          <w:highlight w:val="none"/>
        </w:rPr>
        <w:t xml:space="preserve">  </w:t>
      </w:r>
    </w:p>
    <w:p w14:paraId="76E8DA6A">
      <w:pPr>
        <w:spacing w:line="360" w:lineRule="auto"/>
        <w:ind w:right="-817" w:rightChars="-389"/>
        <w:contextualSpacing/>
        <w:jc w:val="center"/>
        <w:rPr>
          <w:rFonts w:ascii="宋体" w:hAnsi="宋体" w:cs="仿宋_GB2312"/>
          <w:color w:val="auto"/>
          <w:sz w:val="24"/>
          <w:highlight w:val="none"/>
        </w:rPr>
      </w:pPr>
    </w:p>
    <w:p w14:paraId="160A2179">
      <w:pPr>
        <w:spacing w:line="360" w:lineRule="auto"/>
        <w:ind w:right="-817" w:rightChars="-389"/>
        <w:contextualSpacing/>
        <w:jc w:val="center"/>
        <w:rPr>
          <w:rFonts w:ascii="宋体" w:hAnsi="宋体" w:cs="仿宋_GB2312"/>
          <w:color w:val="auto"/>
          <w:sz w:val="24"/>
          <w:highlight w:val="none"/>
        </w:rPr>
      </w:pPr>
    </w:p>
    <w:p w14:paraId="5C503776">
      <w:pPr>
        <w:spacing w:line="360" w:lineRule="auto"/>
        <w:ind w:right="-817" w:rightChars="-389"/>
        <w:contextualSpacing/>
        <w:jc w:val="center"/>
        <w:rPr>
          <w:rFonts w:ascii="宋体" w:hAnsi="宋体" w:cs="仿宋_GB2312"/>
          <w:color w:val="auto"/>
          <w:sz w:val="24"/>
          <w:highlight w:val="none"/>
        </w:rPr>
      </w:pPr>
    </w:p>
    <w:p w14:paraId="16AD5DEE">
      <w:pPr>
        <w:spacing w:line="360" w:lineRule="auto"/>
        <w:ind w:right="-817" w:rightChars="-389"/>
        <w:contextualSpacing/>
        <w:jc w:val="center"/>
        <w:rPr>
          <w:rFonts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72BC81E5">
      <w:pPr>
        <w:spacing w:line="360" w:lineRule="auto"/>
        <w:ind w:right="-817" w:rightChars="-389" w:firstLine="2880" w:firstLineChars="12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供应商名称（电子签章）：      </w:t>
      </w:r>
    </w:p>
    <w:p w14:paraId="428B8592">
      <w:pPr>
        <w:spacing w:line="360" w:lineRule="auto"/>
        <w:ind w:right="-817" w:rightChars="-389" w:firstLine="2880" w:firstLineChars="1200"/>
        <w:contextualSpacing/>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267C52E4">
      <w:pPr>
        <w:spacing w:line="500" w:lineRule="exact"/>
        <w:jc w:val="center"/>
        <w:rPr>
          <w:rFonts w:ascii="宋体" w:hAnsi="宋体"/>
          <w:b/>
          <w:bCs/>
          <w:color w:val="auto"/>
          <w:sz w:val="24"/>
          <w:highlight w:val="none"/>
        </w:rPr>
      </w:pPr>
    </w:p>
    <w:p w14:paraId="21A40E95">
      <w:pPr>
        <w:spacing w:line="500" w:lineRule="exact"/>
        <w:jc w:val="center"/>
        <w:rPr>
          <w:rFonts w:ascii="宋体" w:hAnsi="宋体"/>
          <w:b/>
          <w:bCs/>
          <w:color w:val="auto"/>
          <w:sz w:val="24"/>
          <w:highlight w:val="none"/>
        </w:rPr>
      </w:pPr>
    </w:p>
    <w:p w14:paraId="6E368DAE">
      <w:pPr>
        <w:spacing w:line="500" w:lineRule="exact"/>
        <w:jc w:val="center"/>
        <w:rPr>
          <w:rFonts w:ascii="宋体" w:hAnsi="宋体"/>
          <w:b/>
          <w:bCs/>
          <w:color w:val="auto"/>
          <w:sz w:val="24"/>
          <w:highlight w:val="none"/>
        </w:rPr>
      </w:pPr>
    </w:p>
    <w:p w14:paraId="6E6B7D34">
      <w:pPr>
        <w:spacing w:line="500" w:lineRule="exact"/>
        <w:jc w:val="center"/>
        <w:rPr>
          <w:rFonts w:ascii="宋体" w:hAnsi="宋体"/>
          <w:b/>
          <w:bCs/>
          <w:color w:val="auto"/>
          <w:sz w:val="24"/>
          <w:highlight w:val="none"/>
        </w:rPr>
      </w:pPr>
    </w:p>
    <w:p w14:paraId="490BB301">
      <w:pPr>
        <w:spacing w:line="500" w:lineRule="exact"/>
        <w:jc w:val="center"/>
        <w:rPr>
          <w:rFonts w:ascii="宋体" w:hAnsi="宋体"/>
          <w:b/>
          <w:bCs/>
          <w:color w:val="auto"/>
          <w:sz w:val="24"/>
          <w:highlight w:val="none"/>
        </w:rPr>
      </w:pPr>
    </w:p>
    <w:p w14:paraId="04507F41">
      <w:pPr>
        <w:spacing w:line="500" w:lineRule="exact"/>
        <w:jc w:val="center"/>
        <w:rPr>
          <w:rFonts w:ascii="宋体" w:hAnsi="宋体"/>
          <w:b/>
          <w:bCs/>
          <w:color w:val="auto"/>
          <w:sz w:val="24"/>
          <w:highlight w:val="none"/>
        </w:rPr>
      </w:pPr>
    </w:p>
    <w:p w14:paraId="78EA850A">
      <w:pPr>
        <w:spacing w:line="500" w:lineRule="exact"/>
        <w:jc w:val="center"/>
        <w:rPr>
          <w:rFonts w:ascii="方正小标宋简体" w:hAnsi="方正小标宋简体" w:eastAsia="方正小标宋简体" w:cs="方正小标宋简体"/>
          <w:bCs/>
          <w:color w:val="auto"/>
          <w:sz w:val="44"/>
          <w:szCs w:val="44"/>
          <w:highlight w:val="none"/>
        </w:rPr>
      </w:pPr>
    </w:p>
    <w:p w14:paraId="2A377C93">
      <w:pPr>
        <w:spacing w:line="500" w:lineRule="exact"/>
        <w:jc w:val="center"/>
        <w:rPr>
          <w:rFonts w:ascii="方正小标宋简体" w:hAnsi="方正小标宋简体" w:eastAsia="方正小标宋简体" w:cs="方正小标宋简体"/>
          <w:bCs/>
          <w:color w:val="auto"/>
          <w:sz w:val="44"/>
          <w:szCs w:val="44"/>
          <w:highlight w:val="none"/>
        </w:rPr>
      </w:pPr>
    </w:p>
    <w:p w14:paraId="71421657">
      <w:pPr>
        <w:spacing w:line="500" w:lineRule="exact"/>
        <w:jc w:val="center"/>
        <w:rPr>
          <w:rFonts w:ascii="方正小标宋简体" w:hAnsi="方正小标宋简体" w:eastAsia="方正小标宋简体" w:cs="方正小标宋简体"/>
          <w:bCs/>
          <w:color w:val="auto"/>
          <w:sz w:val="44"/>
          <w:szCs w:val="44"/>
          <w:highlight w:val="none"/>
        </w:rPr>
      </w:pPr>
    </w:p>
    <w:p w14:paraId="14ED8E0E">
      <w:pPr>
        <w:spacing w:line="500" w:lineRule="exact"/>
        <w:jc w:val="center"/>
        <w:rPr>
          <w:rFonts w:ascii="方正小标宋简体" w:hAnsi="方正小标宋简体" w:eastAsia="方正小标宋简体" w:cs="方正小标宋简体"/>
          <w:bCs/>
          <w:color w:val="auto"/>
          <w:sz w:val="44"/>
          <w:szCs w:val="44"/>
          <w:highlight w:val="none"/>
        </w:rPr>
      </w:pPr>
    </w:p>
    <w:p w14:paraId="6B21BB42">
      <w:pPr>
        <w:spacing w:line="500" w:lineRule="exact"/>
        <w:jc w:val="center"/>
        <w:rPr>
          <w:rFonts w:ascii="方正小标宋简体" w:hAnsi="方正小标宋简体" w:eastAsia="方正小标宋简体" w:cs="方正小标宋简体"/>
          <w:bCs/>
          <w:color w:val="auto"/>
          <w:sz w:val="44"/>
          <w:szCs w:val="44"/>
          <w:highlight w:val="none"/>
        </w:rPr>
      </w:pPr>
    </w:p>
    <w:p w14:paraId="2E6D3FE6">
      <w:pPr>
        <w:spacing w:line="500" w:lineRule="exact"/>
        <w:jc w:val="center"/>
        <w:rPr>
          <w:rFonts w:ascii="方正小标宋简体" w:hAnsi="方正小标宋简体" w:eastAsia="方正小标宋简体" w:cs="方正小标宋简体"/>
          <w:bCs/>
          <w:color w:val="auto"/>
          <w:sz w:val="44"/>
          <w:szCs w:val="44"/>
          <w:highlight w:val="none"/>
        </w:rPr>
      </w:pPr>
    </w:p>
    <w:p w14:paraId="2A446D6D">
      <w:pPr>
        <w:spacing w:line="500" w:lineRule="exact"/>
        <w:jc w:val="center"/>
        <w:rPr>
          <w:rFonts w:ascii="方正小标宋简体" w:hAnsi="方正小标宋简体" w:eastAsia="方正小标宋简体" w:cs="方正小标宋简体"/>
          <w:bCs/>
          <w:color w:val="auto"/>
          <w:sz w:val="44"/>
          <w:szCs w:val="44"/>
          <w:highlight w:val="none"/>
        </w:rPr>
      </w:pPr>
    </w:p>
    <w:p w14:paraId="42F15473">
      <w:pPr>
        <w:spacing w:line="500" w:lineRule="exact"/>
        <w:jc w:val="center"/>
        <w:rPr>
          <w:rFonts w:ascii="方正小标宋简体" w:hAnsi="方正小标宋简体" w:eastAsia="方正小标宋简体" w:cs="方正小标宋简体"/>
          <w:bCs/>
          <w:color w:val="auto"/>
          <w:sz w:val="44"/>
          <w:szCs w:val="44"/>
          <w:highlight w:val="none"/>
        </w:rPr>
      </w:pPr>
    </w:p>
    <w:p w14:paraId="03DDE97F">
      <w:pPr>
        <w:spacing w:line="500" w:lineRule="exact"/>
        <w:jc w:val="center"/>
        <w:rPr>
          <w:rFonts w:ascii="方正小标宋简体" w:hAnsi="方正小标宋简体" w:eastAsia="方正小标宋简体" w:cs="方正小标宋简体"/>
          <w:bCs/>
          <w:color w:val="auto"/>
          <w:sz w:val="44"/>
          <w:szCs w:val="44"/>
          <w:highlight w:val="none"/>
        </w:rPr>
      </w:pPr>
    </w:p>
    <w:p w14:paraId="71072C21">
      <w:pPr>
        <w:spacing w:line="500" w:lineRule="exact"/>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项目实施方案</w:t>
      </w:r>
    </w:p>
    <w:p w14:paraId="627FCFED">
      <w:pPr>
        <w:snapToGrid w:val="0"/>
        <w:spacing w:before="156" w:beforeLines="50" w:after="50"/>
        <w:ind w:left="142"/>
        <w:jc w:val="center"/>
        <w:rPr>
          <w:rFonts w:ascii="宋体" w:hAnsi="Courier New"/>
          <w:b/>
          <w:color w:val="auto"/>
          <w:sz w:val="28"/>
          <w:szCs w:val="28"/>
          <w:highlight w:val="none"/>
        </w:rPr>
      </w:pPr>
    </w:p>
    <w:p w14:paraId="2FD9CEF3">
      <w:pPr>
        <w:spacing w:line="360" w:lineRule="auto"/>
        <w:ind w:right="-817" w:rightChars="-389"/>
        <w:contextualSpacing/>
        <w:jc w:val="left"/>
        <w:rPr>
          <w:rFonts w:ascii="宋体" w:hAnsi="宋体" w:cs="仿宋_GB2312"/>
          <w:color w:val="auto"/>
          <w:sz w:val="24"/>
          <w:highlight w:val="none"/>
        </w:rPr>
      </w:pPr>
    </w:p>
    <w:p w14:paraId="07492D83">
      <w:pPr>
        <w:spacing w:line="360" w:lineRule="auto"/>
        <w:ind w:right="-817" w:rightChars="-389"/>
        <w:contextualSpacing/>
        <w:jc w:val="left"/>
        <w:rPr>
          <w:rFonts w:ascii="宋体" w:hAnsi="宋体" w:cs="仿宋_GB2312"/>
          <w:color w:val="auto"/>
          <w:sz w:val="24"/>
          <w:highlight w:val="none"/>
        </w:rPr>
      </w:pPr>
      <w:r>
        <w:rPr>
          <w:rFonts w:hint="eastAsia" w:ascii="宋体" w:hAnsi="宋体" w:cs="仿宋_GB2312"/>
          <w:color w:val="auto"/>
          <w:sz w:val="24"/>
          <w:highlight w:val="none"/>
        </w:rPr>
        <w:t>一、项目分析方案</w:t>
      </w:r>
    </w:p>
    <w:p w14:paraId="1DBAA5AC">
      <w:pPr>
        <w:spacing w:line="360" w:lineRule="auto"/>
        <w:ind w:right="-817" w:rightChars="-389"/>
        <w:contextualSpacing/>
        <w:jc w:val="left"/>
        <w:rPr>
          <w:rFonts w:ascii="宋体" w:hAnsi="宋体" w:cs="仿宋_GB2312"/>
          <w:color w:val="auto"/>
          <w:sz w:val="24"/>
          <w:highlight w:val="none"/>
        </w:rPr>
      </w:pPr>
      <w:r>
        <w:rPr>
          <w:rFonts w:hint="eastAsia" w:ascii="宋体" w:hAnsi="宋体" w:cs="仿宋_GB2312"/>
          <w:color w:val="auto"/>
          <w:sz w:val="24"/>
          <w:highlight w:val="none"/>
        </w:rPr>
        <w:t>......</w:t>
      </w:r>
    </w:p>
    <w:p w14:paraId="0751EFFA">
      <w:pPr>
        <w:spacing w:line="360" w:lineRule="auto"/>
        <w:ind w:right="-817" w:rightChars="-389"/>
        <w:contextualSpacing/>
        <w:jc w:val="left"/>
        <w:rPr>
          <w:rFonts w:ascii="宋体" w:hAnsi="宋体" w:cs="仿宋_GB2312"/>
          <w:color w:val="auto"/>
          <w:sz w:val="24"/>
          <w:highlight w:val="none"/>
        </w:rPr>
      </w:pPr>
      <w:r>
        <w:rPr>
          <w:rFonts w:hint="eastAsia" w:ascii="宋体" w:hAnsi="宋体" w:cs="仿宋_GB2312"/>
          <w:color w:val="auto"/>
          <w:sz w:val="24"/>
          <w:highlight w:val="none"/>
        </w:rPr>
        <w:t>二、技术功能方案与架构</w:t>
      </w:r>
    </w:p>
    <w:p w14:paraId="1454FDC9">
      <w:pPr>
        <w:spacing w:line="360" w:lineRule="auto"/>
        <w:ind w:right="-817" w:rightChars="-389"/>
        <w:contextualSpacing/>
        <w:jc w:val="left"/>
        <w:rPr>
          <w:rFonts w:ascii="宋体" w:hAnsi="宋体" w:cs="仿宋_GB2312"/>
          <w:color w:val="auto"/>
          <w:sz w:val="24"/>
          <w:highlight w:val="none"/>
        </w:rPr>
      </w:pPr>
      <w:r>
        <w:rPr>
          <w:rFonts w:hint="eastAsia" w:ascii="宋体" w:hAnsi="宋体" w:cs="仿宋_GB2312"/>
          <w:color w:val="auto"/>
          <w:sz w:val="24"/>
          <w:highlight w:val="none"/>
        </w:rPr>
        <w:t>......</w:t>
      </w:r>
    </w:p>
    <w:p w14:paraId="6097AA9E">
      <w:pPr>
        <w:spacing w:line="360" w:lineRule="auto"/>
        <w:ind w:right="-817" w:rightChars="-389"/>
        <w:contextualSpacing/>
        <w:jc w:val="left"/>
        <w:rPr>
          <w:rFonts w:ascii="宋体" w:hAnsi="宋体" w:cs="仿宋_GB2312"/>
          <w:color w:val="auto"/>
          <w:sz w:val="24"/>
          <w:highlight w:val="none"/>
        </w:rPr>
      </w:pPr>
      <w:r>
        <w:rPr>
          <w:rFonts w:hint="eastAsia" w:ascii="宋体" w:hAnsi="宋体" w:cs="仿宋_GB2312"/>
          <w:color w:val="auto"/>
          <w:sz w:val="24"/>
          <w:highlight w:val="none"/>
        </w:rPr>
        <w:t>三、项目实施与管理方案</w:t>
      </w:r>
    </w:p>
    <w:p w14:paraId="2B3A9B54">
      <w:pPr>
        <w:snapToGrid w:val="0"/>
        <w:spacing w:before="156" w:beforeLines="50" w:after="50"/>
        <w:ind w:left="142"/>
        <w:jc w:val="left"/>
        <w:rPr>
          <w:rFonts w:ascii="宋体" w:hAnsi="宋体" w:cs="仿宋_GB2312"/>
          <w:color w:val="auto"/>
          <w:sz w:val="24"/>
          <w:highlight w:val="none"/>
        </w:rPr>
      </w:pPr>
      <w:r>
        <w:rPr>
          <w:rFonts w:hint="eastAsia" w:ascii="宋体" w:hAnsi="宋体" w:cs="仿宋_GB2312"/>
          <w:color w:val="auto"/>
          <w:sz w:val="24"/>
          <w:highlight w:val="none"/>
        </w:rPr>
        <w:t>......</w:t>
      </w:r>
    </w:p>
    <w:p w14:paraId="2972DCC0">
      <w:pPr>
        <w:spacing w:line="360" w:lineRule="auto"/>
        <w:ind w:right="-817" w:rightChars="-389"/>
        <w:contextualSpacing/>
        <w:jc w:val="center"/>
        <w:rPr>
          <w:rFonts w:ascii="宋体" w:hAnsi="宋体" w:cs="仿宋_GB2312"/>
          <w:color w:val="auto"/>
          <w:sz w:val="24"/>
          <w:highlight w:val="none"/>
        </w:rPr>
      </w:pPr>
    </w:p>
    <w:p w14:paraId="6EF4B00B">
      <w:pPr>
        <w:spacing w:line="360" w:lineRule="auto"/>
        <w:ind w:right="-817" w:rightChars="-389"/>
        <w:contextualSpacing/>
        <w:jc w:val="center"/>
        <w:rPr>
          <w:rFonts w:ascii="宋体" w:hAnsi="宋体" w:cs="仿宋_GB2312"/>
          <w:color w:val="auto"/>
          <w:sz w:val="24"/>
          <w:highlight w:val="none"/>
        </w:rPr>
      </w:pPr>
    </w:p>
    <w:p w14:paraId="009702E2">
      <w:pPr>
        <w:spacing w:line="360" w:lineRule="auto"/>
        <w:ind w:right="-817" w:rightChars="-389"/>
        <w:contextualSpacing/>
        <w:jc w:val="center"/>
        <w:rPr>
          <w:rFonts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43B0D2D9">
      <w:pPr>
        <w:spacing w:line="360" w:lineRule="auto"/>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供应商名称（电子签章）：      </w:t>
      </w:r>
    </w:p>
    <w:p w14:paraId="377A360B">
      <w:pPr>
        <w:spacing w:line="360" w:lineRule="auto"/>
        <w:ind w:right="-817" w:rightChars="-389" w:firstLine="4080" w:firstLineChars="1700"/>
        <w:contextualSpacing/>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287C66E2">
      <w:pPr>
        <w:spacing w:line="300" w:lineRule="auto"/>
        <w:rPr>
          <w:rFonts w:ascii="宋体" w:hAnsi="宋体"/>
          <w:b/>
          <w:bCs/>
          <w:color w:val="auto"/>
          <w:sz w:val="24"/>
          <w:highlight w:val="none"/>
        </w:rPr>
      </w:pPr>
    </w:p>
    <w:p w14:paraId="19C026D3">
      <w:pPr>
        <w:spacing w:line="300" w:lineRule="auto"/>
        <w:rPr>
          <w:rFonts w:ascii="宋体" w:hAnsi="宋体"/>
          <w:b/>
          <w:bCs/>
          <w:color w:val="auto"/>
          <w:sz w:val="24"/>
          <w:highlight w:val="none"/>
        </w:rPr>
      </w:pPr>
    </w:p>
    <w:p w14:paraId="32241A50">
      <w:pPr>
        <w:spacing w:line="300" w:lineRule="auto"/>
        <w:rPr>
          <w:rFonts w:ascii="宋体" w:hAnsi="宋体"/>
          <w:b/>
          <w:bCs/>
          <w:color w:val="auto"/>
          <w:sz w:val="24"/>
          <w:highlight w:val="none"/>
        </w:rPr>
      </w:pPr>
    </w:p>
    <w:p w14:paraId="40BF77B8">
      <w:pPr>
        <w:spacing w:line="300" w:lineRule="auto"/>
        <w:rPr>
          <w:rFonts w:ascii="宋体" w:hAnsi="宋体"/>
          <w:b/>
          <w:bCs/>
          <w:color w:val="auto"/>
          <w:sz w:val="24"/>
          <w:highlight w:val="none"/>
        </w:rPr>
      </w:pPr>
    </w:p>
    <w:p w14:paraId="5B37805D">
      <w:pPr>
        <w:spacing w:line="300" w:lineRule="auto"/>
        <w:rPr>
          <w:rFonts w:ascii="宋体" w:hAnsi="宋体"/>
          <w:b/>
          <w:bCs/>
          <w:color w:val="auto"/>
          <w:sz w:val="24"/>
          <w:highlight w:val="none"/>
        </w:rPr>
      </w:pPr>
    </w:p>
    <w:p w14:paraId="00232B22">
      <w:pPr>
        <w:spacing w:line="300" w:lineRule="auto"/>
        <w:rPr>
          <w:rFonts w:ascii="宋体" w:hAnsi="宋体"/>
          <w:b/>
          <w:bCs/>
          <w:color w:val="auto"/>
          <w:sz w:val="24"/>
          <w:highlight w:val="none"/>
        </w:rPr>
      </w:pPr>
    </w:p>
    <w:p w14:paraId="628A9CB3">
      <w:pPr>
        <w:spacing w:line="300" w:lineRule="auto"/>
        <w:rPr>
          <w:rFonts w:ascii="宋体" w:hAnsi="宋体"/>
          <w:b/>
          <w:bCs/>
          <w:color w:val="auto"/>
          <w:sz w:val="24"/>
          <w:highlight w:val="none"/>
        </w:rPr>
      </w:pPr>
    </w:p>
    <w:p w14:paraId="50C7EDCC">
      <w:pPr>
        <w:spacing w:line="300" w:lineRule="auto"/>
        <w:rPr>
          <w:rFonts w:ascii="宋体" w:hAnsi="宋体"/>
          <w:b/>
          <w:bCs/>
          <w:color w:val="auto"/>
          <w:sz w:val="24"/>
          <w:highlight w:val="none"/>
        </w:rPr>
      </w:pPr>
    </w:p>
    <w:p w14:paraId="1EF3354F">
      <w:pPr>
        <w:spacing w:line="300" w:lineRule="auto"/>
        <w:rPr>
          <w:rFonts w:ascii="宋体" w:hAnsi="宋体"/>
          <w:b/>
          <w:bCs/>
          <w:color w:val="auto"/>
          <w:sz w:val="24"/>
          <w:highlight w:val="none"/>
        </w:rPr>
      </w:pPr>
    </w:p>
    <w:p w14:paraId="4417728F">
      <w:pPr>
        <w:spacing w:line="300" w:lineRule="auto"/>
        <w:rPr>
          <w:rFonts w:ascii="宋体" w:hAnsi="宋体"/>
          <w:b/>
          <w:bCs/>
          <w:color w:val="auto"/>
          <w:sz w:val="24"/>
          <w:highlight w:val="none"/>
        </w:rPr>
      </w:pPr>
    </w:p>
    <w:p w14:paraId="6FCCC84C">
      <w:pPr>
        <w:spacing w:line="300" w:lineRule="auto"/>
        <w:rPr>
          <w:rFonts w:ascii="宋体" w:hAnsi="宋体"/>
          <w:b/>
          <w:bCs/>
          <w:color w:val="auto"/>
          <w:sz w:val="24"/>
          <w:highlight w:val="none"/>
        </w:rPr>
      </w:pPr>
    </w:p>
    <w:p w14:paraId="0F20D540">
      <w:pPr>
        <w:spacing w:line="300" w:lineRule="auto"/>
        <w:rPr>
          <w:rFonts w:ascii="宋体" w:hAnsi="宋体"/>
          <w:b/>
          <w:bCs/>
          <w:color w:val="auto"/>
          <w:sz w:val="24"/>
          <w:highlight w:val="none"/>
        </w:rPr>
      </w:pPr>
    </w:p>
    <w:p w14:paraId="7C5BFBA2">
      <w:pPr>
        <w:spacing w:line="300" w:lineRule="auto"/>
        <w:rPr>
          <w:rFonts w:ascii="宋体" w:hAnsi="宋体"/>
          <w:b/>
          <w:bCs/>
          <w:color w:val="auto"/>
          <w:sz w:val="24"/>
          <w:highlight w:val="none"/>
        </w:rPr>
      </w:pPr>
    </w:p>
    <w:p w14:paraId="617D8363">
      <w:pPr>
        <w:spacing w:line="300" w:lineRule="auto"/>
        <w:rPr>
          <w:rFonts w:ascii="宋体" w:hAnsi="宋体"/>
          <w:b/>
          <w:bCs/>
          <w:color w:val="auto"/>
          <w:sz w:val="24"/>
          <w:highlight w:val="none"/>
        </w:rPr>
      </w:pPr>
    </w:p>
    <w:p w14:paraId="5EA99E6E">
      <w:pPr>
        <w:spacing w:line="300" w:lineRule="auto"/>
        <w:rPr>
          <w:rFonts w:ascii="宋体" w:hAnsi="宋体"/>
          <w:b/>
          <w:bCs/>
          <w:color w:val="auto"/>
          <w:sz w:val="24"/>
          <w:highlight w:val="none"/>
        </w:rPr>
      </w:pPr>
    </w:p>
    <w:p w14:paraId="56E9A73F">
      <w:pPr>
        <w:spacing w:line="300" w:lineRule="auto"/>
        <w:rPr>
          <w:rFonts w:ascii="宋体" w:hAnsi="宋体"/>
          <w:b/>
          <w:bCs/>
          <w:color w:val="auto"/>
          <w:sz w:val="24"/>
          <w:highlight w:val="none"/>
        </w:rPr>
      </w:pPr>
    </w:p>
    <w:p w14:paraId="284F7AB7">
      <w:pPr>
        <w:spacing w:line="300" w:lineRule="auto"/>
        <w:rPr>
          <w:rFonts w:ascii="宋体" w:hAnsi="宋体"/>
          <w:b/>
          <w:bCs/>
          <w:color w:val="auto"/>
          <w:sz w:val="24"/>
          <w:highlight w:val="none"/>
        </w:rPr>
      </w:pPr>
    </w:p>
    <w:p w14:paraId="66C83DF0">
      <w:pPr>
        <w:spacing w:line="300" w:lineRule="auto"/>
        <w:rPr>
          <w:rFonts w:ascii="宋体" w:hAnsi="宋体"/>
          <w:b/>
          <w:bCs/>
          <w:color w:val="auto"/>
          <w:sz w:val="24"/>
          <w:highlight w:val="none"/>
        </w:rPr>
      </w:pPr>
    </w:p>
    <w:p w14:paraId="19E0D41C">
      <w:pPr>
        <w:spacing w:line="500" w:lineRule="exact"/>
        <w:jc w:val="center"/>
        <w:rPr>
          <w:rFonts w:ascii="方正小标宋简体" w:hAnsi="方正小标宋简体" w:eastAsia="方正小标宋简体" w:cs="方正小标宋简体"/>
          <w:bCs/>
          <w:color w:val="auto"/>
          <w:sz w:val="44"/>
          <w:szCs w:val="44"/>
          <w:highlight w:val="none"/>
        </w:rPr>
      </w:pPr>
    </w:p>
    <w:p w14:paraId="7168A98E">
      <w:pPr>
        <w:spacing w:line="500" w:lineRule="exact"/>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售后服务方案</w:t>
      </w:r>
    </w:p>
    <w:p w14:paraId="47BE6817">
      <w:pPr>
        <w:snapToGrid w:val="0"/>
        <w:spacing w:before="156" w:beforeLines="50" w:after="50"/>
        <w:ind w:left="142"/>
        <w:jc w:val="center"/>
        <w:rPr>
          <w:rFonts w:ascii="宋体" w:hAnsi="Courier New"/>
          <w:b/>
          <w:color w:val="auto"/>
          <w:sz w:val="28"/>
          <w:szCs w:val="28"/>
          <w:highlight w:val="none"/>
        </w:rPr>
      </w:pPr>
    </w:p>
    <w:p w14:paraId="3C40BDFC">
      <w:pPr>
        <w:spacing w:line="360" w:lineRule="auto"/>
        <w:ind w:right="-817" w:rightChars="-389"/>
        <w:contextualSpacing/>
        <w:jc w:val="left"/>
        <w:rPr>
          <w:rFonts w:ascii="宋体" w:hAnsi="宋体" w:cs="仿宋_GB2312"/>
          <w:color w:val="auto"/>
          <w:sz w:val="24"/>
          <w:highlight w:val="none"/>
        </w:rPr>
      </w:pPr>
    </w:p>
    <w:p w14:paraId="6836B064">
      <w:pPr>
        <w:spacing w:line="360" w:lineRule="auto"/>
        <w:ind w:right="-817" w:rightChars="-389"/>
        <w:contextualSpacing/>
        <w:jc w:val="left"/>
        <w:rPr>
          <w:rFonts w:ascii="宋体" w:hAnsi="宋体" w:cs="仿宋_GB2312"/>
          <w:color w:val="auto"/>
          <w:sz w:val="24"/>
          <w:highlight w:val="none"/>
        </w:rPr>
      </w:pPr>
      <w:r>
        <w:rPr>
          <w:rFonts w:hint="eastAsia" w:ascii="宋体" w:hAnsi="宋体" w:cs="仿宋_GB2312"/>
          <w:color w:val="auto"/>
          <w:sz w:val="24"/>
          <w:highlight w:val="none"/>
        </w:rPr>
        <w:t>一、售后服务内容及措施</w:t>
      </w:r>
    </w:p>
    <w:p w14:paraId="71F30B98">
      <w:pPr>
        <w:spacing w:line="360" w:lineRule="auto"/>
        <w:ind w:right="-817" w:rightChars="-389"/>
        <w:contextualSpacing/>
        <w:jc w:val="left"/>
        <w:rPr>
          <w:rFonts w:ascii="宋体" w:hAnsi="宋体" w:cs="仿宋_GB2312"/>
          <w:color w:val="auto"/>
          <w:sz w:val="24"/>
          <w:highlight w:val="none"/>
        </w:rPr>
      </w:pPr>
      <w:r>
        <w:rPr>
          <w:rFonts w:hint="eastAsia" w:ascii="宋体" w:hAnsi="宋体" w:cs="仿宋_GB2312"/>
          <w:color w:val="auto"/>
          <w:sz w:val="24"/>
          <w:highlight w:val="none"/>
        </w:rPr>
        <w:t>......</w:t>
      </w:r>
    </w:p>
    <w:p w14:paraId="39ED163B">
      <w:pPr>
        <w:spacing w:line="360" w:lineRule="auto"/>
        <w:ind w:right="-817" w:rightChars="-389"/>
        <w:contextualSpacing/>
        <w:jc w:val="left"/>
        <w:rPr>
          <w:rFonts w:ascii="宋体" w:hAnsi="宋体" w:cs="仿宋_GB2312"/>
          <w:color w:val="auto"/>
          <w:sz w:val="24"/>
          <w:highlight w:val="none"/>
        </w:rPr>
      </w:pPr>
      <w:r>
        <w:rPr>
          <w:rFonts w:hint="eastAsia" w:ascii="宋体" w:hAnsi="宋体" w:cs="仿宋_GB2312"/>
          <w:color w:val="auto"/>
          <w:sz w:val="24"/>
          <w:highlight w:val="none"/>
        </w:rPr>
        <w:t>二、故障出现解决方案</w:t>
      </w:r>
    </w:p>
    <w:p w14:paraId="0763AD1A">
      <w:pPr>
        <w:spacing w:line="360" w:lineRule="auto"/>
        <w:ind w:right="-817" w:rightChars="-389"/>
        <w:contextualSpacing/>
        <w:jc w:val="left"/>
        <w:rPr>
          <w:rFonts w:ascii="宋体" w:hAnsi="宋体" w:cs="仿宋_GB2312"/>
          <w:color w:val="auto"/>
          <w:sz w:val="24"/>
          <w:highlight w:val="none"/>
        </w:rPr>
      </w:pPr>
      <w:r>
        <w:rPr>
          <w:rFonts w:hint="eastAsia" w:ascii="宋体" w:hAnsi="宋体" w:cs="仿宋_GB2312"/>
          <w:color w:val="auto"/>
          <w:sz w:val="24"/>
          <w:highlight w:val="none"/>
        </w:rPr>
        <w:t>......</w:t>
      </w:r>
    </w:p>
    <w:p w14:paraId="0DD24DC3">
      <w:pPr>
        <w:spacing w:line="360" w:lineRule="auto"/>
        <w:ind w:right="-817" w:rightChars="-389"/>
        <w:contextualSpacing/>
        <w:jc w:val="left"/>
        <w:rPr>
          <w:rFonts w:ascii="宋体" w:hAnsi="宋体" w:cs="仿宋_GB2312"/>
          <w:color w:val="auto"/>
          <w:sz w:val="24"/>
          <w:highlight w:val="none"/>
        </w:rPr>
      </w:pPr>
      <w:r>
        <w:rPr>
          <w:rFonts w:hint="eastAsia" w:ascii="宋体" w:hAnsi="宋体" w:cs="仿宋_GB2312"/>
          <w:color w:val="auto"/>
          <w:sz w:val="24"/>
          <w:highlight w:val="none"/>
        </w:rPr>
        <w:t>三、定期维护方案</w:t>
      </w:r>
    </w:p>
    <w:p w14:paraId="14252EBD">
      <w:pPr>
        <w:spacing w:line="360" w:lineRule="auto"/>
        <w:ind w:right="-817" w:rightChars="-389"/>
        <w:contextualSpacing/>
        <w:jc w:val="left"/>
        <w:rPr>
          <w:rFonts w:ascii="宋体" w:hAnsi="宋体" w:cs="仿宋_GB2312"/>
          <w:color w:val="auto"/>
          <w:sz w:val="24"/>
          <w:highlight w:val="none"/>
        </w:rPr>
      </w:pPr>
      <w:r>
        <w:rPr>
          <w:rFonts w:hint="eastAsia" w:ascii="宋体" w:hAnsi="宋体" w:cs="仿宋_GB2312"/>
          <w:color w:val="auto"/>
          <w:sz w:val="24"/>
          <w:highlight w:val="none"/>
        </w:rPr>
        <w:t>......</w:t>
      </w:r>
    </w:p>
    <w:p w14:paraId="40ED85B3">
      <w:pPr>
        <w:spacing w:line="360" w:lineRule="auto"/>
        <w:ind w:right="-817" w:rightChars="-389"/>
        <w:contextualSpacing/>
        <w:jc w:val="left"/>
        <w:rPr>
          <w:rFonts w:ascii="宋体" w:hAnsi="宋体" w:cs="仿宋_GB2312"/>
          <w:color w:val="auto"/>
          <w:sz w:val="24"/>
          <w:highlight w:val="none"/>
        </w:rPr>
      </w:pPr>
      <w:r>
        <w:rPr>
          <w:rFonts w:hint="eastAsia" w:ascii="宋体" w:hAnsi="宋体" w:cs="仿宋_GB2312"/>
          <w:color w:val="auto"/>
          <w:sz w:val="24"/>
          <w:highlight w:val="none"/>
        </w:rPr>
        <w:t>四、技术培训方案</w:t>
      </w:r>
    </w:p>
    <w:p w14:paraId="33CD119D">
      <w:pPr>
        <w:spacing w:line="360" w:lineRule="auto"/>
        <w:ind w:right="-817" w:rightChars="-389"/>
        <w:contextualSpacing/>
        <w:jc w:val="left"/>
        <w:rPr>
          <w:rFonts w:ascii="宋体" w:hAnsi="宋体" w:cs="仿宋_GB2312"/>
          <w:color w:val="auto"/>
          <w:sz w:val="24"/>
          <w:highlight w:val="none"/>
        </w:rPr>
      </w:pPr>
      <w:r>
        <w:rPr>
          <w:rFonts w:hint="eastAsia" w:ascii="宋体" w:hAnsi="宋体" w:cs="仿宋_GB2312"/>
          <w:color w:val="auto"/>
          <w:sz w:val="24"/>
          <w:highlight w:val="none"/>
        </w:rPr>
        <w:t>......</w:t>
      </w:r>
    </w:p>
    <w:p w14:paraId="63507EF4">
      <w:pPr>
        <w:spacing w:line="360" w:lineRule="auto"/>
        <w:ind w:right="-817" w:rightChars="-389"/>
        <w:contextualSpacing/>
        <w:jc w:val="left"/>
        <w:rPr>
          <w:rFonts w:ascii="宋体" w:hAnsi="宋体" w:cs="仿宋_GB2312"/>
          <w:color w:val="auto"/>
          <w:sz w:val="24"/>
          <w:highlight w:val="none"/>
        </w:rPr>
      </w:pPr>
      <w:r>
        <w:rPr>
          <w:rFonts w:hint="eastAsia" w:ascii="宋体" w:hAnsi="宋体" w:cs="仿宋_GB2312"/>
          <w:color w:val="auto"/>
          <w:sz w:val="24"/>
          <w:highlight w:val="none"/>
        </w:rPr>
        <w:t>五、维护（保修）期外售后服务方案</w:t>
      </w:r>
    </w:p>
    <w:p w14:paraId="081C5C48">
      <w:pPr>
        <w:spacing w:line="360" w:lineRule="auto"/>
        <w:ind w:right="-817" w:rightChars="-389"/>
        <w:contextualSpacing/>
        <w:jc w:val="left"/>
        <w:rPr>
          <w:rFonts w:ascii="宋体" w:hAnsi="宋体" w:cs="仿宋_GB2312"/>
          <w:color w:val="auto"/>
          <w:sz w:val="24"/>
          <w:highlight w:val="none"/>
        </w:rPr>
      </w:pPr>
      <w:r>
        <w:rPr>
          <w:rFonts w:hint="eastAsia" w:ascii="宋体" w:hAnsi="宋体" w:cs="仿宋_GB2312"/>
          <w:color w:val="auto"/>
          <w:sz w:val="24"/>
          <w:highlight w:val="none"/>
        </w:rPr>
        <w:t>......</w:t>
      </w:r>
    </w:p>
    <w:p w14:paraId="7964E1A9">
      <w:pPr>
        <w:spacing w:line="360" w:lineRule="auto"/>
        <w:ind w:right="-817" w:rightChars="-389"/>
        <w:contextualSpacing/>
        <w:jc w:val="center"/>
        <w:rPr>
          <w:rFonts w:ascii="宋体" w:hAnsi="宋体" w:cs="仿宋_GB2312"/>
          <w:color w:val="auto"/>
          <w:sz w:val="24"/>
          <w:highlight w:val="none"/>
        </w:rPr>
      </w:pPr>
    </w:p>
    <w:p w14:paraId="4D693E1C">
      <w:pPr>
        <w:spacing w:line="360" w:lineRule="auto"/>
        <w:ind w:right="-817" w:rightChars="-389"/>
        <w:contextualSpacing/>
        <w:jc w:val="center"/>
        <w:rPr>
          <w:rFonts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386EA601">
      <w:pPr>
        <w:spacing w:line="360" w:lineRule="auto"/>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供应商名称（电子签章）：      </w:t>
      </w:r>
    </w:p>
    <w:p w14:paraId="685FD978">
      <w:pPr>
        <w:spacing w:line="300" w:lineRule="auto"/>
        <w:ind w:firstLine="2640" w:firstLineChars="1100"/>
        <w:rPr>
          <w:rFonts w:ascii="宋体" w:hAnsi="宋体"/>
          <w:b/>
          <w:bCs/>
          <w:color w:val="auto"/>
          <w:sz w:val="24"/>
          <w:highlight w:val="none"/>
        </w:rPr>
      </w:pPr>
      <w:r>
        <w:rPr>
          <w:rFonts w:hint="eastAsia" w:ascii="宋体" w:hAnsi="宋体" w:cs="仿宋_GB2312"/>
          <w:color w:val="auto"/>
          <w:sz w:val="24"/>
          <w:highlight w:val="none"/>
        </w:rPr>
        <w:t>日期：   年   月   日</w:t>
      </w:r>
    </w:p>
    <w:p w14:paraId="3EAD01FB">
      <w:pPr>
        <w:spacing w:line="300" w:lineRule="auto"/>
        <w:rPr>
          <w:rFonts w:ascii="宋体" w:hAnsi="宋体"/>
          <w:b/>
          <w:bCs/>
          <w:color w:val="auto"/>
          <w:sz w:val="24"/>
          <w:highlight w:val="none"/>
        </w:rPr>
      </w:pPr>
    </w:p>
    <w:p w14:paraId="68700D5B">
      <w:pPr>
        <w:spacing w:line="300" w:lineRule="auto"/>
        <w:rPr>
          <w:rFonts w:ascii="宋体" w:hAnsi="宋体"/>
          <w:b/>
          <w:bCs/>
          <w:color w:val="auto"/>
          <w:sz w:val="24"/>
          <w:highlight w:val="none"/>
        </w:rPr>
      </w:pPr>
    </w:p>
    <w:p w14:paraId="7A15E7AC">
      <w:pPr>
        <w:spacing w:line="300" w:lineRule="auto"/>
        <w:rPr>
          <w:rFonts w:ascii="宋体" w:hAnsi="宋体"/>
          <w:b/>
          <w:bCs/>
          <w:color w:val="auto"/>
          <w:sz w:val="24"/>
          <w:highlight w:val="none"/>
        </w:rPr>
      </w:pPr>
    </w:p>
    <w:p w14:paraId="5A296648">
      <w:pPr>
        <w:spacing w:line="300" w:lineRule="auto"/>
        <w:rPr>
          <w:rFonts w:ascii="宋体" w:hAnsi="宋体"/>
          <w:b/>
          <w:bCs/>
          <w:color w:val="auto"/>
          <w:sz w:val="24"/>
          <w:highlight w:val="none"/>
        </w:rPr>
      </w:pPr>
    </w:p>
    <w:p w14:paraId="56782F58">
      <w:pPr>
        <w:spacing w:line="300" w:lineRule="auto"/>
        <w:rPr>
          <w:rFonts w:ascii="宋体" w:hAnsi="宋体"/>
          <w:b/>
          <w:bCs/>
          <w:color w:val="auto"/>
          <w:sz w:val="24"/>
          <w:highlight w:val="none"/>
        </w:rPr>
      </w:pPr>
    </w:p>
    <w:p w14:paraId="53CAF27B">
      <w:pPr>
        <w:spacing w:line="300" w:lineRule="auto"/>
        <w:rPr>
          <w:rFonts w:ascii="宋体" w:hAnsi="宋体"/>
          <w:b/>
          <w:bCs/>
          <w:color w:val="auto"/>
          <w:sz w:val="24"/>
          <w:highlight w:val="none"/>
        </w:rPr>
      </w:pPr>
    </w:p>
    <w:p w14:paraId="596C18F6">
      <w:pPr>
        <w:spacing w:line="300" w:lineRule="auto"/>
        <w:rPr>
          <w:rFonts w:ascii="宋体" w:hAnsi="宋体"/>
          <w:b/>
          <w:bCs/>
          <w:color w:val="auto"/>
          <w:sz w:val="24"/>
          <w:highlight w:val="none"/>
        </w:rPr>
      </w:pPr>
    </w:p>
    <w:p w14:paraId="12F430C0">
      <w:pPr>
        <w:spacing w:line="300" w:lineRule="auto"/>
        <w:rPr>
          <w:rFonts w:ascii="宋体" w:hAnsi="宋体"/>
          <w:b/>
          <w:bCs/>
          <w:color w:val="auto"/>
          <w:sz w:val="24"/>
          <w:highlight w:val="none"/>
        </w:rPr>
      </w:pPr>
    </w:p>
    <w:p w14:paraId="6D8ED248">
      <w:pPr>
        <w:spacing w:line="300" w:lineRule="auto"/>
        <w:rPr>
          <w:rFonts w:ascii="宋体" w:hAnsi="宋体"/>
          <w:b/>
          <w:bCs/>
          <w:color w:val="auto"/>
          <w:sz w:val="24"/>
          <w:highlight w:val="none"/>
        </w:rPr>
      </w:pPr>
    </w:p>
    <w:p w14:paraId="5DAACDF9">
      <w:pPr>
        <w:spacing w:line="300" w:lineRule="auto"/>
        <w:rPr>
          <w:rFonts w:ascii="宋体" w:hAnsi="宋体"/>
          <w:b/>
          <w:bCs/>
          <w:color w:val="auto"/>
          <w:sz w:val="24"/>
          <w:highlight w:val="none"/>
        </w:rPr>
      </w:pPr>
    </w:p>
    <w:p w14:paraId="790AC909">
      <w:pPr>
        <w:spacing w:line="300" w:lineRule="auto"/>
        <w:rPr>
          <w:rFonts w:ascii="宋体" w:hAnsi="宋体"/>
          <w:b/>
          <w:bCs/>
          <w:color w:val="auto"/>
          <w:sz w:val="24"/>
          <w:highlight w:val="none"/>
        </w:rPr>
      </w:pPr>
    </w:p>
    <w:p w14:paraId="4945D9F2">
      <w:pPr>
        <w:spacing w:line="300" w:lineRule="auto"/>
        <w:rPr>
          <w:rFonts w:ascii="宋体" w:hAnsi="宋体"/>
          <w:b/>
          <w:bCs/>
          <w:color w:val="auto"/>
          <w:sz w:val="24"/>
          <w:highlight w:val="none"/>
        </w:rPr>
      </w:pPr>
    </w:p>
    <w:p w14:paraId="2A586542">
      <w:pPr>
        <w:spacing w:line="300" w:lineRule="auto"/>
        <w:rPr>
          <w:rFonts w:ascii="宋体" w:hAnsi="宋体"/>
          <w:b/>
          <w:bCs/>
          <w:color w:val="auto"/>
          <w:sz w:val="24"/>
          <w:highlight w:val="none"/>
        </w:rPr>
      </w:pPr>
    </w:p>
    <w:p w14:paraId="6A1E7533">
      <w:pPr>
        <w:spacing w:line="300" w:lineRule="auto"/>
        <w:rPr>
          <w:rFonts w:ascii="宋体" w:hAnsi="宋体"/>
          <w:b/>
          <w:bCs/>
          <w:color w:val="auto"/>
          <w:sz w:val="24"/>
          <w:highlight w:val="none"/>
        </w:rPr>
      </w:pPr>
    </w:p>
    <w:p w14:paraId="4D8B15DF">
      <w:pPr>
        <w:spacing w:line="300" w:lineRule="auto"/>
        <w:rPr>
          <w:rFonts w:ascii="宋体" w:hAnsi="宋体"/>
          <w:color w:val="auto"/>
          <w:szCs w:val="21"/>
          <w:highlight w:val="none"/>
        </w:rPr>
      </w:pPr>
      <w:r>
        <w:rPr>
          <w:rFonts w:hint="eastAsia" w:ascii="宋体" w:hAnsi="宋体"/>
          <w:b/>
          <w:bCs/>
          <w:color w:val="auto"/>
          <w:sz w:val="24"/>
          <w:highlight w:val="none"/>
        </w:rPr>
        <w:t>其他文书、文件格式</w:t>
      </w:r>
    </w:p>
    <w:p w14:paraId="38CAAE53">
      <w:pPr>
        <w:spacing w:line="360" w:lineRule="auto"/>
        <w:jc w:val="center"/>
        <w:rPr>
          <w:rFonts w:ascii="宋体" w:hAnsi="宋体"/>
          <w:b/>
          <w:bCs/>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质疑函（格式）</w:t>
      </w:r>
    </w:p>
    <w:p w14:paraId="6AA1EF33">
      <w:pPr>
        <w:pStyle w:val="18"/>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一、质疑供应商基本信息：</w:t>
      </w:r>
    </w:p>
    <w:p w14:paraId="50B469F9">
      <w:pPr>
        <w:pStyle w:val="18"/>
        <w:spacing w:line="360" w:lineRule="auto"/>
        <w:ind w:firstLine="480" w:firstLineChars="200"/>
        <w:contextualSpacing/>
        <w:rPr>
          <w:rFonts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19CF538A">
      <w:pPr>
        <w:pStyle w:val="18"/>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58A4CC16">
      <w:pPr>
        <w:pStyle w:val="18"/>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072487ED">
      <w:pPr>
        <w:pStyle w:val="18"/>
        <w:spacing w:line="360" w:lineRule="auto"/>
        <w:ind w:firstLine="480" w:firstLineChars="200"/>
        <w:contextualSpacing/>
        <w:rPr>
          <w:rFonts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3E910CEF">
      <w:pPr>
        <w:pStyle w:val="18"/>
        <w:spacing w:line="360" w:lineRule="auto"/>
        <w:ind w:firstLine="480" w:firstLineChars="200"/>
        <w:contextualSpacing/>
        <w:rPr>
          <w:rFonts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64FA40F3">
      <w:pPr>
        <w:pStyle w:val="18"/>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B96BB03">
      <w:pPr>
        <w:pStyle w:val="18"/>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二、质疑项目基本情况：</w:t>
      </w:r>
    </w:p>
    <w:p w14:paraId="3811A6CB">
      <w:pPr>
        <w:pStyle w:val="18"/>
        <w:spacing w:line="360" w:lineRule="auto"/>
        <w:ind w:left="25" w:leftChars="12" w:firstLine="472" w:firstLineChars="197"/>
        <w:contextualSpacing/>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0DB5E603">
      <w:pPr>
        <w:pStyle w:val="18"/>
        <w:spacing w:line="360" w:lineRule="auto"/>
        <w:ind w:left="25" w:leftChars="12" w:firstLine="472" w:firstLineChars="197"/>
        <w:contextualSpacing/>
        <w:rPr>
          <w:rFonts w:hAnsi="宋体"/>
          <w:bCs/>
          <w:color w:val="auto"/>
          <w:sz w:val="24"/>
          <w:szCs w:val="24"/>
          <w:highlight w:val="none"/>
          <w:u w:val="singl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0879783F">
      <w:pPr>
        <w:pStyle w:val="18"/>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分标号（如有）：</w:t>
      </w:r>
      <w:r>
        <w:rPr>
          <w:rFonts w:hint="eastAsia" w:hAnsi="宋体"/>
          <w:color w:val="auto"/>
          <w:sz w:val="24"/>
          <w:szCs w:val="24"/>
          <w:highlight w:val="none"/>
          <w:u w:val="single"/>
        </w:rPr>
        <w:t xml:space="preserve">      </w:t>
      </w:r>
      <w:r>
        <w:rPr>
          <w:rFonts w:hAnsi="宋体"/>
          <w:color w:val="auto"/>
          <w:sz w:val="24"/>
          <w:szCs w:val="24"/>
          <w:highlight w:val="none"/>
          <w:u w:val="single"/>
        </w:rPr>
        <w:t xml:space="preserve">                        </w:t>
      </w:r>
      <w:r>
        <w:rPr>
          <w:rFonts w:hAnsi="宋体"/>
          <w:color w:val="auto"/>
          <w:sz w:val="24"/>
          <w:szCs w:val="24"/>
          <w:highlight w:val="none"/>
        </w:rPr>
        <w:t xml:space="preserve">       </w:t>
      </w:r>
    </w:p>
    <w:p w14:paraId="24B26525">
      <w:pPr>
        <w:pStyle w:val="18"/>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46B5EE63">
      <w:pPr>
        <w:pStyle w:val="18"/>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w:t>
      </w:r>
    </w:p>
    <w:p w14:paraId="689B70AF">
      <w:pPr>
        <w:pStyle w:val="18"/>
        <w:spacing w:line="360" w:lineRule="auto"/>
        <w:ind w:left="25" w:leftChars="12" w:firstLine="352" w:firstLineChars="147"/>
        <w:contextualSpacing/>
        <w:rPr>
          <w:rFonts w:hAnsi="宋体"/>
          <w:color w:val="auto"/>
          <w:sz w:val="24"/>
          <w:szCs w:val="24"/>
          <w:highlight w:val="none"/>
        </w:rPr>
      </w:pPr>
      <w:r>
        <w:rPr>
          <w:rFonts w:hint="eastAsia" w:hAnsi="宋体"/>
          <w:color w:val="auto"/>
          <w:sz w:val="24"/>
          <w:szCs w:val="24"/>
          <w:highlight w:val="none"/>
        </w:rPr>
        <w:t>□采购文件   采购文件获取日期：</w:t>
      </w:r>
      <w:r>
        <w:rPr>
          <w:rFonts w:hint="eastAsia" w:hAnsi="宋体"/>
          <w:bCs/>
          <w:color w:val="auto"/>
          <w:sz w:val="24"/>
          <w:szCs w:val="24"/>
          <w:highlight w:val="none"/>
          <w:u w:val="single"/>
        </w:rPr>
        <w:t xml:space="preserve">                                   </w:t>
      </w:r>
    </w:p>
    <w:p w14:paraId="7BFBA13E">
      <w:pPr>
        <w:pStyle w:val="18"/>
        <w:spacing w:line="360" w:lineRule="auto"/>
        <w:ind w:left="25" w:leftChars="12" w:firstLine="352" w:firstLineChars="147"/>
        <w:contextualSpacing/>
        <w:rPr>
          <w:rFonts w:hAnsi="宋体"/>
          <w:color w:val="auto"/>
          <w:sz w:val="24"/>
          <w:szCs w:val="24"/>
          <w:highlight w:val="none"/>
        </w:rPr>
      </w:pPr>
      <w:r>
        <w:rPr>
          <w:rFonts w:hint="eastAsia" w:hAnsi="宋体"/>
          <w:color w:val="auto"/>
          <w:sz w:val="24"/>
          <w:szCs w:val="24"/>
          <w:highlight w:val="none"/>
        </w:rPr>
        <w:t xml:space="preserve">□采购过程   </w:t>
      </w:r>
    </w:p>
    <w:p w14:paraId="751E3072">
      <w:pPr>
        <w:pStyle w:val="18"/>
        <w:spacing w:line="360" w:lineRule="auto"/>
        <w:ind w:left="25" w:leftChars="12" w:firstLine="352" w:firstLineChars="147"/>
        <w:contextualSpacing/>
        <w:rPr>
          <w:rFonts w:hAnsi="宋体"/>
          <w:bCs/>
          <w:color w:val="auto"/>
          <w:sz w:val="24"/>
          <w:szCs w:val="24"/>
          <w:highlight w:val="none"/>
          <w:u w:val="single"/>
        </w:rPr>
      </w:pPr>
      <w:r>
        <w:rPr>
          <w:rFonts w:hint="eastAsia" w:hAnsi="宋体"/>
          <w:color w:val="auto"/>
          <w:sz w:val="24"/>
          <w:szCs w:val="24"/>
          <w:highlight w:val="none"/>
        </w:rPr>
        <w:t xml:space="preserve">□成交结果   </w:t>
      </w:r>
    </w:p>
    <w:p w14:paraId="066DF8CA">
      <w:pPr>
        <w:pStyle w:val="18"/>
        <w:spacing w:line="360" w:lineRule="auto"/>
        <w:ind w:left="25" w:leftChars="12" w:firstLine="472" w:firstLineChars="196"/>
        <w:contextualSpacing/>
        <w:rPr>
          <w:rFonts w:hAnsi="宋体"/>
          <w:b/>
          <w:color w:val="auto"/>
          <w:sz w:val="24"/>
          <w:szCs w:val="24"/>
          <w:highlight w:val="none"/>
        </w:rPr>
      </w:pPr>
      <w:r>
        <w:rPr>
          <w:rFonts w:hint="eastAsia" w:hAnsi="宋体"/>
          <w:b/>
          <w:color w:val="auto"/>
          <w:sz w:val="24"/>
          <w:szCs w:val="24"/>
          <w:highlight w:val="none"/>
        </w:rPr>
        <w:t>三、质疑事项具体内容</w:t>
      </w:r>
    </w:p>
    <w:p w14:paraId="7776207D">
      <w:pPr>
        <w:pStyle w:val="18"/>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69E21069">
      <w:pPr>
        <w:pStyle w:val="18"/>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7EFF15CB">
      <w:pPr>
        <w:pStyle w:val="18"/>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4B8E2A63">
      <w:pPr>
        <w:pStyle w:val="18"/>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质疑事项2</w:t>
      </w:r>
    </w:p>
    <w:p w14:paraId="0DF5EC59">
      <w:pPr>
        <w:pStyle w:val="18"/>
        <w:spacing w:line="360" w:lineRule="auto"/>
        <w:ind w:left="25" w:leftChars="12" w:firstLine="472" w:firstLineChars="197"/>
        <w:contextualSpacing/>
        <w:rPr>
          <w:rFonts w:hAnsi="宋体"/>
          <w:color w:val="auto"/>
          <w:sz w:val="24"/>
          <w:szCs w:val="24"/>
          <w:highlight w:val="none"/>
        </w:rPr>
      </w:pPr>
      <w:r>
        <w:rPr>
          <w:rFonts w:hAnsi="宋体"/>
          <w:color w:val="auto"/>
          <w:sz w:val="24"/>
          <w:szCs w:val="24"/>
          <w:highlight w:val="none"/>
        </w:rPr>
        <w:t>……</w:t>
      </w:r>
    </w:p>
    <w:p w14:paraId="402833C3">
      <w:pPr>
        <w:pStyle w:val="18"/>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四、与质疑事项相关的质疑请求：</w:t>
      </w:r>
    </w:p>
    <w:p w14:paraId="5A85D178">
      <w:pPr>
        <w:pStyle w:val="18"/>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667AC9F4">
      <w:pPr>
        <w:pStyle w:val="18"/>
        <w:spacing w:line="360" w:lineRule="auto"/>
        <w:ind w:left="25" w:leftChars="12" w:firstLine="352" w:firstLineChars="147"/>
        <w:contextualSpacing/>
        <w:rPr>
          <w:rFonts w:hAnsi="宋体"/>
          <w:color w:val="auto"/>
          <w:sz w:val="24"/>
          <w:szCs w:val="24"/>
          <w:highlight w:val="none"/>
        </w:rPr>
      </w:pPr>
    </w:p>
    <w:p w14:paraId="39D9A656">
      <w:pPr>
        <w:pStyle w:val="18"/>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签字（签章）：                                       公章：</w:t>
      </w:r>
    </w:p>
    <w:p w14:paraId="3BFBD0F7">
      <w:pPr>
        <w:pStyle w:val="18"/>
        <w:spacing w:line="360" w:lineRule="auto"/>
        <w:ind w:firstLine="480" w:firstLineChars="200"/>
        <w:contextualSpacing/>
        <w:rPr>
          <w:rFonts w:hAnsi="宋体"/>
          <w:b/>
          <w:color w:val="auto"/>
          <w:sz w:val="24"/>
          <w:szCs w:val="24"/>
          <w:highlight w:val="none"/>
        </w:rPr>
      </w:pPr>
      <w:r>
        <w:rPr>
          <w:rFonts w:hint="eastAsia" w:hAnsi="宋体"/>
          <w:color w:val="auto"/>
          <w:sz w:val="24"/>
          <w:szCs w:val="24"/>
          <w:highlight w:val="none"/>
        </w:rPr>
        <w:t>日期：</w:t>
      </w:r>
    </w:p>
    <w:p w14:paraId="2B783EE8">
      <w:pPr>
        <w:pStyle w:val="18"/>
        <w:spacing w:line="360" w:lineRule="auto"/>
        <w:contextualSpacing/>
        <w:rPr>
          <w:rFonts w:hAnsi="宋体"/>
          <w:b/>
          <w:color w:val="auto"/>
          <w:sz w:val="24"/>
          <w:szCs w:val="24"/>
          <w:highlight w:val="none"/>
        </w:rPr>
      </w:pPr>
      <w:r>
        <w:rPr>
          <w:rFonts w:hint="eastAsia" w:hAnsi="宋体"/>
          <w:b/>
          <w:color w:val="auto"/>
          <w:sz w:val="24"/>
          <w:szCs w:val="24"/>
          <w:highlight w:val="none"/>
        </w:rPr>
        <w:t>说明：</w:t>
      </w:r>
    </w:p>
    <w:p w14:paraId="1D333E74">
      <w:pPr>
        <w:pStyle w:val="18"/>
        <w:spacing w:line="360" w:lineRule="auto"/>
        <w:ind w:left="25" w:leftChars="12" w:firstLine="354" w:firstLineChars="147"/>
        <w:contextualSpacing/>
        <w:rPr>
          <w:rFonts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47E01341">
      <w:pPr>
        <w:pStyle w:val="18"/>
        <w:spacing w:line="360" w:lineRule="auto"/>
        <w:ind w:left="25" w:leftChars="12" w:firstLine="354" w:firstLineChars="147"/>
        <w:contextualSpacing/>
        <w:rPr>
          <w:rFonts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0E8715E">
      <w:pPr>
        <w:pStyle w:val="18"/>
        <w:spacing w:line="360" w:lineRule="auto"/>
        <w:ind w:left="25" w:leftChars="12" w:firstLine="354" w:firstLineChars="147"/>
        <w:contextualSpacing/>
        <w:rPr>
          <w:rFonts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393EAC6B">
      <w:pPr>
        <w:pStyle w:val="18"/>
        <w:spacing w:line="360" w:lineRule="auto"/>
        <w:ind w:left="25" w:leftChars="12" w:firstLine="354" w:firstLineChars="147"/>
        <w:contextualSpacing/>
        <w:rPr>
          <w:rFonts w:hAnsi="宋体"/>
          <w:b/>
          <w:color w:val="auto"/>
          <w:sz w:val="24"/>
          <w:szCs w:val="24"/>
          <w:highlight w:val="none"/>
        </w:rPr>
      </w:pPr>
      <w:r>
        <w:rPr>
          <w:rFonts w:hint="eastAsia" w:hAnsi="宋体"/>
          <w:b/>
          <w:color w:val="auto"/>
          <w:sz w:val="24"/>
          <w:szCs w:val="24"/>
          <w:highlight w:val="none"/>
        </w:rPr>
        <w:t>4.质疑函的质疑请求应与质疑事项相关。</w:t>
      </w:r>
    </w:p>
    <w:p w14:paraId="3C71FF6E">
      <w:pPr>
        <w:pStyle w:val="18"/>
        <w:spacing w:line="360" w:lineRule="auto"/>
        <w:ind w:left="25" w:leftChars="12" w:firstLine="354" w:firstLineChars="147"/>
        <w:contextualSpacing/>
        <w:rPr>
          <w:rFonts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3790F53D">
      <w:pPr>
        <w:pStyle w:val="18"/>
        <w:snapToGrid w:val="0"/>
        <w:rPr>
          <w:b/>
          <w:color w:val="auto"/>
          <w:sz w:val="24"/>
          <w:szCs w:val="24"/>
          <w:highlight w:val="none"/>
        </w:rPr>
      </w:pPr>
    </w:p>
    <w:p w14:paraId="257E1E8D">
      <w:pPr>
        <w:rPr>
          <w:color w:val="auto"/>
          <w:sz w:val="32"/>
          <w:szCs w:val="40"/>
          <w:highlight w:val="none"/>
        </w:rPr>
      </w:pPr>
    </w:p>
    <w:p w14:paraId="4A602EF3">
      <w:pPr>
        <w:rPr>
          <w:color w:val="auto"/>
          <w:sz w:val="32"/>
          <w:szCs w:val="40"/>
          <w:highlight w:val="none"/>
        </w:rPr>
      </w:pPr>
    </w:p>
    <w:p w14:paraId="65A0B6E6">
      <w:pPr>
        <w:rPr>
          <w:color w:val="auto"/>
          <w:sz w:val="32"/>
          <w:szCs w:val="40"/>
          <w:highlight w:val="none"/>
        </w:rPr>
      </w:pPr>
    </w:p>
    <w:p w14:paraId="0781E087">
      <w:pPr>
        <w:rPr>
          <w:color w:val="auto"/>
          <w:sz w:val="32"/>
          <w:szCs w:val="40"/>
          <w:highlight w:val="none"/>
        </w:rPr>
      </w:pPr>
    </w:p>
    <w:p w14:paraId="23E878DC">
      <w:pPr>
        <w:rPr>
          <w:color w:val="auto"/>
          <w:sz w:val="32"/>
          <w:szCs w:val="40"/>
          <w:highlight w:val="none"/>
        </w:rPr>
      </w:pPr>
    </w:p>
    <w:p w14:paraId="5E05C4D0">
      <w:pPr>
        <w:rPr>
          <w:color w:val="auto"/>
          <w:sz w:val="32"/>
          <w:szCs w:val="40"/>
          <w:highlight w:val="none"/>
        </w:rPr>
      </w:pPr>
    </w:p>
    <w:p w14:paraId="0F860D42">
      <w:pPr>
        <w:rPr>
          <w:color w:val="auto"/>
          <w:sz w:val="32"/>
          <w:szCs w:val="40"/>
          <w:highlight w:val="none"/>
        </w:rPr>
      </w:pPr>
    </w:p>
    <w:p w14:paraId="269D58F0">
      <w:pPr>
        <w:rPr>
          <w:color w:val="auto"/>
          <w:sz w:val="32"/>
          <w:szCs w:val="40"/>
          <w:highlight w:val="none"/>
        </w:rPr>
      </w:pPr>
    </w:p>
    <w:p w14:paraId="283B2A05">
      <w:pPr>
        <w:rPr>
          <w:color w:val="auto"/>
          <w:sz w:val="32"/>
          <w:szCs w:val="40"/>
          <w:highlight w:val="none"/>
        </w:rPr>
      </w:pPr>
    </w:p>
    <w:p w14:paraId="0FC70B6C">
      <w:pPr>
        <w:rPr>
          <w:color w:val="auto"/>
          <w:sz w:val="32"/>
          <w:szCs w:val="40"/>
          <w:highlight w:val="none"/>
        </w:rPr>
      </w:pPr>
    </w:p>
    <w:p w14:paraId="00DBC750">
      <w:pPr>
        <w:rPr>
          <w:color w:val="auto"/>
          <w:sz w:val="32"/>
          <w:szCs w:val="40"/>
          <w:highlight w:val="none"/>
        </w:rPr>
      </w:pPr>
    </w:p>
    <w:p w14:paraId="3976FEA9">
      <w:pPr>
        <w:rPr>
          <w:color w:val="auto"/>
          <w:sz w:val="32"/>
          <w:szCs w:val="40"/>
          <w:highlight w:val="none"/>
        </w:rPr>
      </w:pPr>
    </w:p>
    <w:p w14:paraId="17860C76">
      <w:pPr>
        <w:rPr>
          <w:color w:val="auto"/>
          <w:sz w:val="32"/>
          <w:szCs w:val="40"/>
          <w:highlight w:val="none"/>
        </w:rPr>
      </w:pPr>
    </w:p>
    <w:p w14:paraId="69BBC873">
      <w:pPr>
        <w:rPr>
          <w:color w:val="auto"/>
          <w:sz w:val="32"/>
          <w:szCs w:val="40"/>
          <w:highlight w:val="none"/>
        </w:rPr>
      </w:pPr>
    </w:p>
    <w:p w14:paraId="2E9AB570">
      <w:pPr>
        <w:spacing w:line="360" w:lineRule="auto"/>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投诉书（格式）</w:t>
      </w:r>
    </w:p>
    <w:p w14:paraId="0BC954E9">
      <w:pPr>
        <w:pStyle w:val="18"/>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p>
    <w:p w14:paraId="44710E40">
      <w:pPr>
        <w:pStyle w:val="18"/>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52FED650">
      <w:pPr>
        <w:pStyle w:val="18"/>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EB90629">
      <w:pPr>
        <w:pStyle w:val="18"/>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554B2AC3">
      <w:pPr>
        <w:pStyle w:val="18"/>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645B225E">
      <w:pPr>
        <w:pStyle w:val="18"/>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52775654">
      <w:pPr>
        <w:pStyle w:val="18"/>
        <w:snapToGrid w:val="0"/>
        <w:spacing w:line="360" w:lineRule="auto"/>
        <w:ind w:firstLine="480" w:firstLineChars="200"/>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3AEB1A97">
      <w:pPr>
        <w:pStyle w:val="18"/>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59589EB">
      <w:pPr>
        <w:pStyle w:val="18"/>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被投诉人1：</w:t>
      </w:r>
    </w:p>
    <w:p w14:paraId="7000DA72">
      <w:pPr>
        <w:pStyle w:val="18"/>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3B28858E">
      <w:pPr>
        <w:pStyle w:val="18"/>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156A5D85">
      <w:pPr>
        <w:pStyle w:val="18"/>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437049E7">
      <w:pPr>
        <w:pStyle w:val="18"/>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被投诉人2：</w:t>
      </w:r>
    </w:p>
    <w:p w14:paraId="6039D195">
      <w:pPr>
        <w:pStyle w:val="18"/>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w:t>
      </w:r>
    </w:p>
    <w:p w14:paraId="2C5C072E">
      <w:pPr>
        <w:pStyle w:val="18"/>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3B39C603">
      <w:pPr>
        <w:pStyle w:val="18"/>
        <w:snapToGrid w:val="0"/>
        <w:spacing w:line="360" w:lineRule="auto"/>
        <w:ind w:firstLine="480" w:firstLineChars="200"/>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485344B4">
      <w:pPr>
        <w:pStyle w:val="18"/>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1098C7F4">
      <w:pPr>
        <w:pStyle w:val="18"/>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二、投诉项目基本情况：</w:t>
      </w:r>
    </w:p>
    <w:p w14:paraId="732C7C80">
      <w:pPr>
        <w:pStyle w:val="18"/>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542B085A">
      <w:pPr>
        <w:pStyle w:val="18"/>
        <w:spacing w:line="360" w:lineRule="auto"/>
        <w:ind w:left="25" w:leftChars="12" w:firstLine="472" w:firstLineChars="197"/>
        <w:rPr>
          <w:rFonts w:hAnsi="宋体"/>
          <w:bCs/>
          <w:color w:val="auto"/>
          <w:sz w:val="24"/>
          <w:szCs w:val="24"/>
          <w:highlight w:val="none"/>
          <w:u w:val="single"/>
        </w:rPr>
      </w:pPr>
      <w:r>
        <w:rPr>
          <w:rFonts w:hint="eastAsia" w:hAnsi="宋体"/>
          <w:bCs/>
          <w:color w:val="auto"/>
          <w:sz w:val="24"/>
          <w:szCs w:val="24"/>
          <w:highlight w:val="none"/>
        </w:rPr>
        <w:t>采购</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r>
        <w:rPr>
          <w:rFonts w:hint="eastAsia" w:hAnsi="宋体"/>
          <w:bCs/>
          <w:color w:val="auto"/>
          <w:sz w:val="24"/>
          <w:szCs w:val="24"/>
          <w:highlight w:val="none"/>
        </w:rPr>
        <w:t>分标号（如有）：</w:t>
      </w:r>
      <w:r>
        <w:rPr>
          <w:rFonts w:hint="eastAsia" w:hAnsi="宋体"/>
          <w:bCs/>
          <w:color w:val="auto"/>
          <w:sz w:val="24"/>
          <w:szCs w:val="24"/>
          <w:highlight w:val="none"/>
          <w:u w:val="single"/>
        </w:rPr>
        <w:t xml:space="preserve"> </w:t>
      </w:r>
      <w:r>
        <w:rPr>
          <w:rFonts w:hAnsi="宋体"/>
          <w:bCs/>
          <w:color w:val="auto"/>
          <w:sz w:val="24"/>
          <w:szCs w:val="24"/>
          <w:highlight w:val="none"/>
          <w:u w:val="single"/>
        </w:rPr>
        <w:t xml:space="preserve">      </w:t>
      </w:r>
    </w:p>
    <w:p w14:paraId="297F6725">
      <w:pPr>
        <w:pStyle w:val="18"/>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301FED97">
      <w:pPr>
        <w:pStyle w:val="18"/>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098CE56F">
      <w:pPr>
        <w:pStyle w:val="18"/>
        <w:spacing w:line="360" w:lineRule="auto"/>
        <w:ind w:left="25" w:leftChars="12" w:firstLine="472" w:firstLineChars="197"/>
        <w:rPr>
          <w:rFonts w:hAnsi="宋体"/>
          <w:bCs/>
          <w:color w:val="auto"/>
          <w:sz w:val="24"/>
          <w:szCs w:val="24"/>
          <w:highlight w:val="none"/>
          <w:u w:val="single"/>
        </w:rPr>
      </w:pPr>
      <w:r>
        <w:rPr>
          <w:rFonts w:hint="eastAsia" w:hAnsi="宋体"/>
          <w:bCs/>
          <w:color w:val="auto"/>
          <w:sz w:val="24"/>
          <w:szCs w:val="24"/>
          <w:highlight w:val="none"/>
        </w:rPr>
        <w:t>采购文件公告：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0DBD93CB">
      <w:pPr>
        <w:pStyle w:val="18"/>
        <w:spacing w:line="360" w:lineRule="auto"/>
        <w:ind w:left="25" w:leftChars="12" w:firstLine="472" w:firstLineChars="197"/>
        <w:rPr>
          <w:rFonts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67EF6DD0">
      <w:pPr>
        <w:pStyle w:val="18"/>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三、质疑基本情况</w:t>
      </w:r>
    </w:p>
    <w:p w14:paraId="3F42C1A5">
      <w:pPr>
        <w:pStyle w:val="18"/>
        <w:spacing w:line="360" w:lineRule="auto"/>
        <w:ind w:firstLine="480" w:firstLineChars="200"/>
        <w:rPr>
          <w:rFonts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15F6BC39">
      <w:pPr>
        <w:pStyle w:val="18"/>
        <w:spacing w:line="360" w:lineRule="auto"/>
        <w:ind w:firstLine="241"/>
        <w:rPr>
          <w:rFonts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4651D055">
      <w:pPr>
        <w:pStyle w:val="18"/>
        <w:spacing w:line="360" w:lineRule="auto"/>
        <w:ind w:firstLine="480" w:firstLineChars="200"/>
        <w:rPr>
          <w:rFonts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224A04D7">
      <w:pPr>
        <w:pStyle w:val="18"/>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四、投诉事项具体内容</w:t>
      </w:r>
    </w:p>
    <w:p w14:paraId="2EFEA722">
      <w:pPr>
        <w:pStyle w:val="18"/>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08F76518">
      <w:pPr>
        <w:pStyle w:val="18"/>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10A73CD3">
      <w:pPr>
        <w:pStyle w:val="18"/>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u w:val="single"/>
        </w:rPr>
        <w:t xml:space="preserve">                                                                   </w:t>
      </w:r>
    </w:p>
    <w:p w14:paraId="79A2494D">
      <w:pPr>
        <w:pStyle w:val="18"/>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68B84D2F">
      <w:pPr>
        <w:pStyle w:val="18"/>
        <w:spacing w:line="360" w:lineRule="auto"/>
        <w:ind w:left="25" w:leftChars="12" w:firstLine="352" w:firstLineChars="147"/>
        <w:rPr>
          <w:rFonts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59681AF3">
      <w:pPr>
        <w:pStyle w:val="18"/>
        <w:spacing w:line="360" w:lineRule="auto"/>
        <w:ind w:left="25" w:leftChars="12" w:firstLine="472" w:firstLineChars="197"/>
        <w:rPr>
          <w:rFonts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1142DC5D">
      <w:pPr>
        <w:pStyle w:val="18"/>
        <w:spacing w:line="360" w:lineRule="auto"/>
        <w:ind w:left="25" w:leftChars="12" w:firstLine="472" w:firstLineChars="197"/>
        <w:rPr>
          <w:rFonts w:hAnsi="宋体"/>
          <w:bCs/>
          <w:color w:val="auto"/>
          <w:sz w:val="24"/>
          <w:szCs w:val="24"/>
          <w:highlight w:val="none"/>
        </w:rPr>
      </w:pPr>
      <w:r>
        <w:rPr>
          <w:rFonts w:hAnsi="宋体"/>
          <w:bCs/>
          <w:color w:val="auto"/>
          <w:sz w:val="24"/>
          <w:szCs w:val="24"/>
          <w:highlight w:val="none"/>
        </w:rPr>
        <w:t>……</w:t>
      </w:r>
    </w:p>
    <w:p w14:paraId="5D57742B">
      <w:pPr>
        <w:pStyle w:val="18"/>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五、与投诉事项相关的投诉请求：</w:t>
      </w:r>
    </w:p>
    <w:p w14:paraId="1EBF644E">
      <w:pPr>
        <w:pStyle w:val="18"/>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23B2444A">
      <w:pPr>
        <w:pStyle w:val="18"/>
        <w:spacing w:line="360" w:lineRule="auto"/>
        <w:ind w:left="25" w:leftChars="12" w:firstLine="352" w:firstLineChars="147"/>
        <w:rPr>
          <w:rFonts w:hAnsi="宋体"/>
          <w:color w:val="auto"/>
          <w:sz w:val="24"/>
          <w:szCs w:val="24"/>
          <w:highlight w:val="none"/>
        </w:rPr>
      </w:pPr>
    </w:p>
    <w:p w14:paraId="17D370B2">
      <w:pPr>
        <w:pStyle w:val="18"/>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签字（签章）：                                       公章：</w:t>
      </w:r>
    </w:p>
    <w:p w14:paraId="1FC19AB4">
      <w:pPr>
        <w:pStyle w:val="18"/>
        <w:spacing w:line="360" w:lineRule="auto"/>
        <w:ind w:left="25" w:leftChars="12" w:firstLine="352" w:firstLineChars="147"/>
        <w:rPr>
          <w:rFonts w:hAnsi="宋体"/>
          <w:color w:val="auto"/>
          <w:sz w:val="24"/>
          <w:szCs w:val="24"/>
          <w:highlight w:val="none"/>
        </w:rPr>
      </w:pPr>
    </w:p>
    <w:p w14:paraId="10166110">
      <w:pPr>
        <w:pStyle w:val="18"/>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日期：</w:t>
      </w:r>
    </w:p>
    <w:p w14:paraId="1CB22CBB">
      <w:pPr>
        <w:pStyle w:val="18"/>
        <w:spacing w:line="360" w:lineRule="auto"/>
        <w:ind w:left="25" w:leftChars="12" w:firstLine="472" w:firstLineChars="197"/>
        <w:rPr>
          <w:rFonts w:hAnsi="宋体"/>
          <w:b/>
          <w:color w:val="auto"/>
          <w:sz w:val="24"/>
          <w:szCs w:val="24"/>
          <w:highlight w:val="none"/>
        </w:rPr>
      </w:pPr>
      <w:r>
        <w:rPr>
          <w:rFonts w:hint="eastAsia" w:hAnsi="宋体"/>
          <w:bCs/>
          <w:color w:val="auto"/>
          <w:sz w:val="24"/>
          <w:szCs w:val="24"/>
          <w:highlight w:val="none"/>
        </w:rPr>
        <w:t xml:space="preserve">                    </w:t>
      </w:r>
    </w:p>
    <w:p w14:paraId="75639715">
      <w:pPr>
        <w:pStyle w:val="18"/>
        <w:snapToGrid w:val="0"/>
        <w:spacing w:line="360" w:lineRule="auto"/>
        <w:rPr>
          <w:rFonts w:hAnsi="宋体"/>
          <w:b/>
          <w:color w:val="auto"/>
          <w:sz w:val="24"/>
          <w:szCs w:val="24"/>
          <w:highlight w:val="none"/>
        </w:rPr>
      </w:pPr>
      <w:r>
        <w:rPr>
          <w:rFonts w:hint="eastAsia" w:hAnsi="宋体"/>
          <w:b/>
          <w:color w:val="auto"/>
          <w:sz w:val="24"/>
          <w:szCs w:val="24"/>
          <w:highlight w:val="none"/>
        </w:rPr>
        <w:t>说明：</w:t>
      </w:r>
    </w:p>
    <w:p w14:paraId="266E6830">
      <w:pPr>
        <w:pStyle w:val="18"/>
        <w:spacing w:line="360" w:lineRule="auto"/>
        <w:ind w:left="25" w:leftChars="12" w:firstLine="354" w:firstLineChars="147"/>
        <w:rPr>
          <w:rFonts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4B01B994">
      <w:pPr>
        <w:pStyle w:val="18"/>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56994EC">
      <w:pPr>
        <w:pStyle w:val="18"/>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3BDECB7A">
      <w:pPr>
        <w:pStyle w:val="18"/>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5C4E276F">
      <w:pPr>
        <w:pStyle w:val="18"/>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5.投诉书的投诉请求应与投诉事项相关。</w:t>
      </w:r>
    </w:p>
    <w:p w14:paraId="01C020E2">
      <w:pPr>
        <w:pStyle w:val="18"/>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p w14:paraId="2121BA18">
      <w:pPr>
        <w:pStyle w:val="18"/>
        <w:spacing w:line="360" w:lineRule="auto"/>
        <w:ind w:left="25" w:leftChars="12" w:firstLine="472" w:firstLineChars="147"/>
        <w:jc w:val="center"/>
        <w:rPr>
          <w:rFonts w:hAnsi="宋体" w:cs="宋体"/>
          <w:b/>
          <w:bCs/>
          <w:color w:val="auto"/>
          <w:sz w:val="32"/>
          <w:szCs w:val="32"/>
          <w:highlight w:val="none"/>
        </w:rPr>
      </w:pPr>
    </w:p>
    <w:p w14:paraId="297386EC">
      <w:pPr>
        <w:pStyle w:val="18"/>
        <w:spacing w:line="360" w:lineRule="auto"/>
        <w:ind w:left="25" w:leftChars="12" w:firstLine="472" w:firstLineChars="147"/>
        <w:jc w:val="center"/>
        <w:rPr>
          <w:rFonts w:ascii="仿宋" w:hAnsi="仿宋" w:eastAsia="仿宋" w:cs="宋体"/>
          <w:color w:val="auto"/>
          <w:sz w:val="32"/>
          <w:szCs w:val="32"/>
          <w:highlight w:val="none"/>
        </w:rPr>
      </w:pPr>
      <w:r>
        <w:rPr>
          <w:rFonts w:hint="eastAsia" w:hAnsi="宋体" w:cs="宋体"/>
          <w:b/>
          <w:bCs/>
          <w:color w:val="auto"/>
          <w:sz w:val="32"/>
          <w:szCs w:val="32"/>
          <w:highlight w:val="none"/>
        </w:rPr>
        <w:t>广西壮族自治区政府采购项目合同验收书（格式）</w:t>
      </w:r>
    </w:p>
    <w:p w14:paraId="20BB1C67">
      <w:pPr>
        <w:widowControl/>
        <w:shd w:val="clear" w:color="auto" w:fill="FFFFFF"/>
        <w:snapToGrid w:val="0"/>
        <w:spacing w:line="320" w:lineRule="atLeast"/>
        <w:ind w:firstLine="480"/>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根据政府采购项目（</w:t>
      </w:r>
      <w:r>
        <w:rPr>
          <w:rFonts w:hint="eastAsia" w:ascii="仿宋" w:hAnsi="仿宋" w:eastAsia="仿宋" w:cs="宋体"/>
          <w:color w:val="auto"/>
          <w:kern w:val="0"/>
          <w:szCs w:val="21"/>
          <w:highlight w:val="none"/>
          <w:u w:val="single"/>
        </w:rPr>
        <w:t>采购合同编号：</w:t>
      </w:r>
      <w:r>
        <w:rPr>
          <w:rFonts w:hint="eastAsia" w:ascii="仿宋" w:hAnsi="仿宋" w:eastAsia="仿宋" w:cs="宋体"/>
          <w:color w:val="auto"/>
          <w:kern w:val="0"/>
          <w:szCs w:val="21"/>
          <w:highlight w:val="none"/>
          <w:u w:val="single"/>
        </w:rPr>
        <w:softHyphen/>
      </w:r>
      <w:r>
        <w:rPr>
          <w:rFonts w:hint="eastAsia" w:ascii="仿宋" w:hAnsi="仿宋" w:eastAsia="仿宋" w:cs="宋体"/>
          <w:color w:val="auto"/>
          <w:kern w:val="0"/>
          <w:szCs w:val="21"/>
          <w:highlight w:val="none"/>
          <w:u w:val="single"/>
        </w:rPr>
        <w:t xml:space="preserve"> </w:t>
      </w:r>
      <w:r>
        <w:rPr>
          <w:rFonts w:hint="eastAsia" w:ascii="仿宋" w:hAnsi="仿宋" w:eastAsia="仿宋" w:cs="宋体"/>
          <w:color w:val="auto"/>
          <w:kern w:val="0"/>
          <w:szCs w:val="21"/>
          <w:highlight w:val="none"/>
        </w:rPr>
        <w:t>）的约定，我单位对（</w:t>
      </w:r>
      <w:r>
        <w:rPr>
          <w:rFonts w:hint="eastAsia" w:ascii="仿宋" w:hAnsi="仿宋" w:eastAsia="仿宋" w:cs="宋体"/>
          <w:color w:val="auto"/>
          <w:kern w:val="0"/>
          <w:szCs w:val="21"/>
          <w:highlight w:val="none"/>
          <w:u w:val="single"/>
        </w:rPr>
        <w:t xml:space="preserve"> 项目名称 </w:t>
      </w:r>
      <w:r>
        <w:rPr>
          <w:rFonts w:hint="eastAsia" w:ascii="仿宋" w:hAnsi="仿宋" w:eastAsia="仿宋" w:cs="宋体"/>
          <w:color w:val="auto"/>
          <w:kern w:val="0"/>
          <w:szCs w:val="21"/>
          <w:highlight w:val="none"/>
        </w:rPr>
        <w:t>） 政府采购项目成交供应商（</w:t>
      </w:r>
      <w:r>
        <w:rPr>
          <w:rFonts w:hint="eastAsia" w:ascii="仿宋" w:hAnsi="仿宋" w:eastAsia="仿宋" w:cs="宋体"/>
          <w:color w:val="auto"/>
          <w:kern w:val="0"/>
          <w:szCs w:val="21"/>
          <w:highlight w:val="none"/>
          <w:u w:val="single"/>
        </w:rPr>
        <w:t xml:space="preserve"> 公司名称 </w:t>
      </w:r>
      <w:r>
        <w:rPr>
          <w:rFonts w:hint="eastAsia" w:ascii="仿宋" w:hAnsi="仿宋" w:eastAsia="仿宋" w:cs="宋体"/>
          <w:color w:val="auto"/>
          <w:kern w:val="0"/>
          <w:szCs w:val="21"/>
          <w:highlight w:val="none"/>
        </w:rPr>
        <w:t>） 提供的货物（或者工程、服务）进行了验收，验收情况如下：</w:t>
      </w:r>
    </w:p>
    <w:tbl>
      <w:tblPr>
        <w:tblStyle w:val="28"/>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00573A9F">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14:paraId="587B20AC">
            <w:pPr>
              <w:widowControl/>
              <w:snapToGrid w:val="0"/>
              <w:spacing w:before="100" w:beforeAutospacing="1" w:after="100" w:afterAutospacing="1" w:line="320" w:lineRule="atLeast"/>
              <w:ind w:firstLine="5"/>
              <w:jc w:val="center"/>
              <w:rPr>
                <w:rFonts w:ascii="Verdana" w:hAnsi="Verdana" w:cs="宋体"/>
                <w:color w:val="auto"/>
                <w:kern w:val="0"/>
                <w:szCs w:val="21"/>
                <w:highlight w:val="none"/>
              </w:rPr>
            </w:pPr>
            <w:r>
              <w:rPr>
                <w:rFonts w:hint="eastAsia" w:ascii="Verdana" w:hAnsi="Verdana" w:cs="宋体"/>
                <w:color w:val="auto"/>
                <w:kern w:val="0"/>
                <w:szCs w:val="21"/>
                <w:highlight w:val="none"/>
              </w:rPr>
              <w:t>验收方式：</w:t>
            </w:r>
          </w:p>
        </w:tc>
        <w:tc>
          <w:tcPr>
            <w:tcW w:w="5193" w:type="dxa"/>
            <w:gridSpan w:val="6"/>
            <w:tcBorders>
              <w:top w:val="single" w:color="auto" w:sz="8" w:space="0"/>
              <w:left w:val="nil"/>
              <w:bottom w:val="single" w:color="auto" w:sz="8" w:space="0"/>
              <w:right w:val="single" w:color="auto" w:sz="8" w:space="0"/>
            </w:tcBorders>
            <w:vAlign w:val="center"/>
          </w:tcPr>
          <w:p w14:paraId="089AFF6C">
            <w:pPr>
              <w:widowControl/>
              <w:snapToGrid w:val="0"/>
              <w:spacing w:before="100" w:beforeAutospacing="1" w:after="100" w:afterAutospacing="1" w:line="320" w:lineRule="atLeast"/>
              <w:jc w:val="center"/>
              <w:rPr>
                <w:rFonts w:ascii="Verdana" w:hAnsi="Verdana" w:cs="宋体"/>
                <w:color w:val="auto"/>
                <w:kern w:val="0"/>
                <w:szCs w:val="21"/>
                <w:highlight w:val="none"/>
              </w:rPr>
            </w:pPr>
            <w:r>
              <w:rPr>
                <w:rFonts w:ascii="Verdana" w:hAnsi="Verdana" w:cs="宋体"/>
                <w:color w:val="auto"/>
                <w:kern w:val="0"/>
                <w:szCs w:val="21"/>
                <w:highlight w:val="none"/>
              </w:rPr>
              <w:t>□</w:t>
            </w:r>
            <w:r>
              <w:rPr>
                <w:rFonts w:hint="eastAsia" w:ascii="Verdana" w:hAnsi="Verdana" w:cs="宋体"/>
                <w:color w:val="auto"/>
                <w:kern w:val="0"/>
                <w:szCs w:val="21"/>
                <w:highlight w:val="none"/>
              </w:rPr>
              <w:t>自行验收</w:t>
            </w:r>
            <w:r>
              <w:rPr>
                <w:rFonts w:ascii="Verdana" w:hAnsi="Verdana" w:cs="宋体"/>
                <w:color w:val="auto"/>
                <w:kern w:val="0"/>
                <w:szCs w:val="21"/>
                <w:highlight w:val="none"/>
              </w:rPr>
              <w:t xml:space="preserve"> □</w:t>
            </w:r>
            <w:r>
              <w:rPr>
                <w:rFonts w:hint="eastAsia" w:ascii="Verdana" w:hAnsi="Verdana" w:cs="宋体"/>
                <w:color w:val="auto"/>
                <w:kern w:val="0"/>
                <w:szCs w:val="21"/>
                <w:highlight w:val="none"/>
              </w:rPr>
              <w:t>委托验收</w:t>
            </w:r>
          </w:p>
        </w:tc>
      </w:tr>
      <w:tr w14:paraId="6230CF13">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14:paraId="6EC943B8">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hint="eastAsia" w:ascii="Verdana" w:hAnsi="Verdana" w:cs="宋体"/>
                <w:color w:val="auto"/>
                <w:kern w:val="0"/>
                <w:szCs w:val="21"/>
                <w:highlight w:val="none"/>
              </w:rPr>
              <w:t>序号</w:t>
            </w:r>
          </w:p>
        </w:tc>
        <w:tc>
          <w:tcPr>
            <w:tcW w:w="2448" w:type="dxa"/>
            <w:gridSpan w:val="2"/>
            <w:tcBorders>
              <w:top w:val="nil"/>
              <w:left w:val="nil"/>
              <w:bottom w:val="single" w:color="auto" w:sz="8" w:space="0"/>
              <w:right w:val="single" w:color="auto" w:sz="8" w:space="0"/>
            </w:tcBorders>
            <w:vAlign w:val="center"/>
          </w:tcPr>
          <w:p w14:paraId="7279F117">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hint="eastAsia" w:ascii="Verdana" w:hAnsi="Verdana" w:cs="宋体"/>
                <w:color w:val="auto"/>
                <w:kern w:val="0"/>
                <w:szCs w:val="21"/>
                <w:highlight w:val="none"/>
              </w:rPr>
              <w:t>名称</w:t>
            </w:r>
          </w:p>
        </w:tc>
        <w:tc>
          <w:tcPr>
            <w:tcW w:w="2902" w:type="dxa"/>
            <w:gridSpan w:val="3"/>
            <w:tcBorders>
              <w:top w:val="nil"/>
              <w:left w:val="nil"/>
              <w:bottom w:val="single" w:color="auto" w:sz="8" w:space="0"/>
              <w:right w:val="single" w:color="auto" w:sz="8" w:space="0"/>
            </w:tcBorders>
            <w:vAlign w:val="center"/>
          </w:tcPr>
          <w:p w14:paraId="11E323B6">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hint="eastAsia" w:ascii="Verdana" w:hAnsi="Verdana"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14:paraId="6AD8B590">
            <w:pPr>
              <w:widowControl/>
              <w:snapToGrid w:val="0"/>
              <w:spacing w:before="100" w:beforeAutospacing="1" w:after="100" w:afterAutospacing="1" w:line="320" w:lineRule="atLeast"/>
              <w:jc w:val="center"/>
              <w:rPr>
                <w:rFonts w:ascii="Verdana" w:hAnsi="Verdana" w:cs="宋体"/>
                <w:color w:val="auto"/>
                <w:kern w:val="0"/>
                <w:szCs w:val="21"/>
                <w:highlight w:val="none"/>
              </w:rPr>
            </w:pPr>
            <w:r>
              <w:rPr>
                <w:rFonts w:hint="eastAsia" w:ascii="Verdana" w:hAnsi="Verdana" w:cs="宋体"/>
                <w:color w:val="auto"/>
                <w:kern w:val="0"/>
                <w:szCs w:val="21"/>
                <w:highlight w:val="none"/>
              </w:rPr>
              <w:t>数量</w:t>
            </w:r>
          </w:p>
        </w:tc>
        <w:tc>
          <w:tcPr>
            <w:tcW w:w="1428" w:type="dxa"/>
            <w:tcBorders>
              <w:top w:val="nil"/>
              <w:left w:val="nil"/>
              <w:bottom w:val="single" w:color="auto" w:sz="8" w:space="0"/>
              <w:right w:val="single" w:color="auto" w:sz="8" w:space="0"/>
            </w:tcBorders>
            <w:vAlign w:val="center"/>
          </w:tcPr>
          <w:p w14:paraId="0D49AD21">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hint="eastAsia" w:ascii="Verdana" w:hAnsi="Verdana" w:cs="宋体"/>
                <w:color w:val="auto"/>
                <w:kern w:val="0"/>
                <w:szCs w:val="21"/>
                <w:highlight w:val="none"/>
              </w:rPr>
              <w:t>金额</w:t>
            </w:r>
          </w:p>
        </w:tc>
      </w:tr>
      <w:tr w14:paraId="5866769D">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31F414D9">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188B2B35">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2623E02F">
            <w:pPr>
              <w:widowControl/>
              <w:spacing w:before="100" w:beforeAutospacing="1" w:after="100" w:afterAutospacing="1" w:line="240" w:lineRule="atLeast"/>
              <w:jc w:val="center"/>
              <w:rPr>
                <w:rFonts w:ascii="Verdana" w:hAnsi="Verdana"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0FD63DD1">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0DC295B7">
            <w:pPr>
              <w:widowControl/>
              <w:spacing w:before="100" w:beforeAutospacing="1" w:after="100" w:afterAutospacing="1" w:line="240" w:lineRule="atLeast"/>
              <w:jc w:val="center"/>
              <w:rPr>
                <w:rFonts w:ascii="Verdana" w:hAnsi="Verdana" w:cs="宋体"/>
                <w:color w:val="auto"/>
                <w:kern w:val="0"/>
                <w:szCs w:val="21"/>
                <w:highlight w:val="none"/>
              </w:rPr>
            </w:pPr>
          </w:p>
        </w:tc>
      </w:tr>
      <w:tr w14:paraId="76B2A2FB">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7DC1A66D">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0808F389">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723925C3">
            <w:pPr>
              <w:widowControl/>
              <w:spacing w:before="100" w:beforeAutospacing="1" w:after="100" w:afterAutospacing="1" w:line="240" w:lineRule="atLeast"/>
              <w:jc w:val="center"/>
              <w:rPr>
                <w:rFonts w:ascii="Verdana" w:hAnsi="Verdana"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659C4A16">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432D5935">
            <w:pPr>
              <w:widowControl/>
              <w:spacing w:before="100" w:beforeAutospacing="1" w:after="100" w:afterAutospacing="1" w:line="240" w:lineRule="atLeast"/>
              <w:jc w:val="center"/>
              <w:rPr>
                <w:rFonts w:ascii="Verdana" w:hAnsi="Verdana" w:cs="宋体"/>
                <w:color w:val="auto"/>
                <w:kern w:val="0"/>
                <w:szCs w:val="21"/>
                <w:highlight w:val="none"/>
              </w:rPr>
            </w:pPr>
          </w:p>
        </w:tc>
      </w:tr>
      <w:tr w14:paraId="06ADFAE9">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648784E1">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2EE65397">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6DF8AF4A">
            <w:pPr>
              <w:widowControl/>
              <w:spacing w:before="100" w:beforeAutospacing="1" w:after="100" w:afterAutospacing="1" w:line="240" w:lineRule="atLeast"/>
              <w:jc w:val="center"/>
              <w:rPr>
                <w:rFonts w:ascii="Verdana" w:hAnsi="Verdana"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147116A8">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19E74038">
            <w:pPr>
              <w:widowControl/>
              <w:spacing w:before="100" w:beforeAutospacing="1" w:after="100" w:afterAutospacing="1" w:line="240" w:lineRule="atLeast"/>
              <w:jc w:val="center"/>
              <w:rPr>
                <w:rFonts w:ascii="Verdana" w:hAnsi="Verdana" w:cs="宋体"/>
                <w:color w:val="auto"/>
                <w:kern w:val="0"/>
                <w:szCs w:val="21"/>
                <w:highlight w:val="none"/>
              </w:rPr>
            </w:pPr>
          </w:p>
        </w:tc>
      </w:tr>
      <w:tr w14:paraId="2758E94A">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14:paraId="4AC446EC">
            <w:pPr>
              <w:widowControl/>
              <w:snapToGrid w:val="0"/>
              <w:spacing w:before="100" w:beforeAutospacing="1" w:after="100" w:afterAutospacing="1" w:line="320" w:lineRule="atLeast"/>
              <w:ind w:firstLine="5"/>
              <w:jc w:val="center"/>
              <w:rPr>
                <w:rFonts w:ascii="Verdana" w:hAnsi="Verdana" w:cs="宋体"/>
                <w:color w:val="auto"/>
                <w:kern w:val="0"/>
                <w:szCs w:val="21"/>
                <w:highlight w:val="none"/>
              </w:rPr>
            </w:pPr>
            <w:r>
              <w:rPr>
                <w:rFonts w:hint="eastAsia" w:ascii="Verdana" w:hAnsi="Verdana" w:cs="宋体"/>
                <w:color w:val="auto"/>
                <w:kern w:val="0"/>
                <w:szCs w:val="21"/>
                <w:highlight w:val="none"/>
              </w:rPr>
              <w:t>合</w:t>
            </w:r>
            <w:r>
              <w:rPr>
                <w:rFonts w:ascii="Verdana" w:hAnsi="Verdana" w:cs="宋体"/>
                <w:color w:val="auto"/>
                <w:kern w:val="0"/>
                <w:szCs w:val="21"/>
                <w:highlight w:val="none"/>
              </w:rPr>
              <w:t xml:space="preserve"> </w:t>
            </w:r>
            <w:r>
              <w:rPr>
                <w:rFonts w:hint="eastAsia" w:ascii="Verdana" w:hAnsi="Verdana" w:cs="宋体"/>
                <w:color w:val="auto"/>
                <w:kern w:val="0"/>
                <w:szCs w:val="21"/>
                <w:highlight w:val="none"/>
              </w:rPr>
              <w:t>计</w:t>
            </w:r>
          </w:p>
        </w:tc>
        <w:tc>
          <w:tcPr>
            <w:tcW w:w="863" w:type="dxa"/>
            <w:gridSpan w:val="2"/>
            <w:tcBorders>
              <w:top w:val="nil"/>
              <w:left w:val="nil"/>
              <w:bottom w:val="single" w:color="auto" w:sz="8" w:space="0"/>
              <w:right w:val="single" w:color="auto" w:sz="8" w:space="0"/>
            </w:tcBorders>
            <w:vAlign w:val="center"/>
          </w:tcPr>
          <w:p w14:paraId="06FA98DD">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550A50B0">
            <w:pPr>
              <w:widowControl/>
              <w:spacing w:before="100" w:beforeAutospacing="1" w:after="100" w:afterAutospacing="1" w:line="240" w:lineRule="atLeast"/>
              <w:jc w:val="center"/>
              <w:rPr>
                <w:rFonts w:ascii="Verdana" w:hAnsi="Verdana" w:cs="宋体"/>
                <w:color w:val="auto"/>
                <w:kern w:val="0"/>
                <w:szCs w:val="21"/>
                <w:highlight w:val="none"/>
              </w:rPr>
            </w:pPr>
          </w:p>
        </w:tc>
      </w:tr>
      <w:tr w14:paraId="7DD43C31">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vAlign w:val="center"/>
          </w:tcPr>
          <w:p w14:paraId="39384AF6">
            <w:pPr>
              <w:widowControl/>
              <w:snapToGrid w:val="0"/>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hint="eastAsia" w:ascii="Verdana" w:hAnsi="Verdana" w:cs="宋体"/>
                <w:color w:val="auto"/>
                <w:kern w:val="0"/>
                <w:szCs w:val="21"/>
                <w:highlight w:val="none"/>
              </w:rPr>
              <w:t>合计大写金额：</w:t>
            </w:r>
            <w:r>
              <w:rPr>
                <w:rFonts w:ascii="Verdana" w:hAnsi="Verdana" w:cs="宋体"/>
                <w:color w:val="auto"/>
                <w:kern w:val="0"/>
                <w:szCs w:val="21"/>
                <w:highlight w:val="none"/>
              </w:rPr>
              <w:t xml:space="preserve">  </w:t>
            </w:r>
            <w:r>
              <w:rPr>
                <w:rFonts w:hint="eastAsia" w:ascii="Verdana" w:hAnsi="Verdana" w:cs="宋体"/>
                <w:color w:val="auto"/>
                <w:kern w:val="0"/>
                <w:szCs w:val="21"/>
                <w:highlight w:val="none"/>
              </w:rPr>
              <w:t>仟</w:t>
            </w:r>
            <w:r>
              <w:rPr>
                <w:rFonts w:ascii="Verdana" w:hAnsi="Verdana" w:cs="宋体"/>
                <w:color w:val="auto"/>
                <w:kern w:val="0"/>
                <w:szCs w:val="21"/>
                <w:highlight w:val="none"/>
              </w:rPr>
              <w:t xml:space="preserve">  </w:t>
            </w:r>
            <w:r>
              <w:rPr>
                <w:rFonts w:hint="eastAsia" w:ascii="Verdana" w:hAnsi="Verdana" w:cs="宋体"/>
                <w:color w:val="auto"/>
                <w:kern w:val="0"/>
                <w:szCs w:val="21"/>
                <w:highlight w:val="none"/>
              </w:rPr>
              <w:t>佰</w:t>
            </w:r>
            <w:r>
              <w:rPr>
                <w:rFonts w:ascii="Verdana" w:hAnsi="Verdana" w:cs="宋体"/>
                <w:color w:val="auto"/>
                <w:kern w:val="0"/>
                <w:szCs w:val="21"/>
                <w:highlight w:val="none"/>
              </w:rPr>
              <w:t xml:space="preserve">  </w:t>
            </w:r>
            <w:r>
              <w:rPr>
                <w:rFonts w:hint="eastAsia" w:ascii="Verdana" w:hAnsi="Verdana" w:cs="宋体"/>
                <w:color w:val="auto"/>
                <w:kern w:val="0"/>
                <w:szCs w:val="21"/>
                <w:highlight w:val="none"/>
              </w:rPr>
              <w:t>拾</w:t>
            </w:r>
            <w:r>
              <w:rPr>
                <w:rFonts w:ascii="Verdana" w:hAnsi="Verdana" w:cs="宋体"/>
                <w:color w:val="auto"/>
                <w:kern w:val="0"/>
                <w:szCs w:val="21"/>
                <w:highlight w:val="none"/>
              </w:rPr>
              <w:t xml:space="preserve">  </w:t>
            </w:r>
            <w:r>
              <w:rPr>
                <w:rFonts w:hint="eastAsia" w:ascii="Verdana" w:hAnsi="Verdana" w:cs="宋体"/>
                <w:color w:val="auto"/>
                <w:kern w:val="0"/>
                <w:szCs w:val="21"/>
                <w:highlight w:val="none"/>
              </w:rPr>
              <w:t>万</w:t>
            </w:r>
            <w:r>
              <w:rPr>
                <w:rFonts w:ascii="Verdana" w:hAnsi="Verdana" w:cs="宋体"/>
                <w:color w:val="auto"/>
                <w:kern w:val="0"/>
                <w:szCs w:val="21"/>
                <w:highlight w:val="none"/>
              </w:rPr>
              <w:t xml:space="preserve">  </w:t>
            </w:r>
            <w:r>
              <w:rPr>
                <w:rFonts w:hint="eastAsia" w:ascii="Verdana" w:hAnsi="Verdana" w:cs="宋体"/>
                <w:color w:val="auto"/>
                <w:kern w:val="0"/>
                <w:szCs w:val="21"/>
                <w:highlight w:val="none"/>
              </w:rPr>
              <w:t>仟</w:t>
            </w:r>
            <w:r>
              <w:rPr>
                <w:rFonts w:ascii="Verdana" w:hAnsi="Verdana" w:cs="宋体"/>
                <w:color w:val="auto"/>
                <w:kern w:val="0"/>
                <w:szCs w:val="21"/>
                <w:highlight w:val="none"/>
              </w:rPr>
              <w:t xml:space="preserve">  </w:t>
            </w:r>
            <w:r>
              <w:rPr>
                <w:rFonts w:hint="eastAsia" w:ascii="Verdana" w:hAnsi="Verdana" w:cs="宋体"/>
                <w:color w:val="auto"/>
                <w:kern w:val="0"/>
                <w:szCs w:val="21"/>
                <w:highlight w:val="none"/>
              </w:rPr>
              <w:t>佰</w:t>
            </w:r>
            <w:r>
              <w:rPr>
                <w:rFonts w:ascii="Verdana" w:hAnsi="Verdana" w:cs="宋体"/>
                <w:color w:val="auto"/>
                <w:kern w:val="0"/>
                <w:szCs w:val="21"/>
                <w:highlight w:val="none"/>
              </w:rPr>
              <w:t xml:space="preserve">  </w:t>
            </w:r>
            <w:r>
              <w:rPr>
                <w:rFonts w:hint="eastAsia" w:ascii="Verdana" w:hAnsi="Verdana" w:cs="宋体"/>
                <w:color w:val="auto"/>
                <w:kern w:val="0"/>
                <w:szCs w:val="21"/>
                <w:highlight w:val="none"/>
              </w:rPr>
              <w:t>拾</w:t>
            </w:r>
            <w:r>
              <w:rPr>
                <w:rFonts w:ascii="Verdana" w:hAnsi="Verdana" w:cs="宋体"/>
                <w:color w:val="auto"/>
                <w:kern w:val="0"/>
                <w:szCs w:val="21"/>
                <w:highlight w:val="none"/>
              </w:rPr>
              <w:t xml:space="preserve">  </w:t>
            </w:r>
            <w:r>
              <w:rPr>
                <w:rFonts w:hint="eastAsia" w:ascii="Verdana" w:hAnsi="Verdana" w:cs="宋体"/>
                <w:color w:val="auto"/>
                <w:kern w:val="0"/>
                <w:szCs w:val="21"/>
                <w:highlight w:val="none"/>
              </w:rPr>
              <w:t>元</w:t>
            </w:r>
          </w:p>
        </w:tc>
      </w:tr>
      <w:tr w14:paraId="2E783ADB">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3DC061F4">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hint="eastAsia" w:ascii="Verdana" w:hAnsi="Verdana" w:cs="宋体"/>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vAlign w:val="center"/>
          </w:tcPr>
          <w:p w14:paraId="1189089D">
            <w:pPr>
              <w:widowControl/>
              <w:spacing w:before="100" w:beforeAutospacing="1" w:after="100" w:afterAutospacing="1" w:line="240" w:lineRule="atLeast"/>
              <w:jc w:val="center"/>
              <w:rPr>
                <w:rFonts w:ascii="Verdana" w:hAnsi="Verdana"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22FA9A58">
            <w:pPr>
              <w:widowControl/>
              <w:snapToGrid w:val="0"/>
              <w:spacing w:before="100" w:beforeAutospacing="1" w:after="100" w:afterAutospacing="1" w:line="320" w:lineRule="atLeast"/>
              <w:ind w:firstLine="46"/>
              <w:jc w:val="center"/>
              <w:rPr>
                <w:rFonts w:ascii="Verdana" w:hAnsi="Verdana" w:cs="宋体"/>
                <w:color w:val="auto"/>
                <w:kern w:val="0"/>
                <w:szCs w:val="21"/>
                <w:highlight w:val="none"/>
              </w:rPr>
            </w:pPr>
            <w:r>
              <w:rPr>
                <w:rFonts w:hint="eastAsia" w:ascii="Verdana" w:hAnsi="Verdana" w:cs="宋体"/>
                <w:color w:val="auto"/>
                <w:kern w:val="0"/>
                <w:szCs w:val="21"/>
                <w:highlight w:val="none"/>
              </w:rPr>
              <w:t>合同交货验收日期</w:t>
            </w:r>
          </w:p>
        </w:tc>
        <w:tc>
          <w:tcPr>
            <w:tcW w:w="2113" w:type="dxa"/>
            <w:gridSpan w:val="2"/>
            <w:tcBorders>
              <w:top w:val="nil"/>
              <w:left w:val="nil"/>
              <w:bottom w:val="single" w:color="auto" w:sz="8" w:space="0"/>
              <w:right w:val="single" w:color="auto" w:sz="8" w:space="0"/>
            </w:tcBorders>
            <w:vAlign w:val="center"/>
          </w:tcPr>
          <w:p w14:paraId="721E3C97">
            <w:pPr>
              <w:widowControl/>
              <w:spacing w:before="100" w:beforeAutospacing="1" w:after="100" w:afterAutospacing="1" w:line="240" w:lineRule="atLeast"/>
              <w:jc w:val="center"/>
              <w:rPr>
                <w:rFonts w:ascii="Verdana" w:hAnsi="Verdana" w:cs="宋体"/>
                <w:color w:val="auto"/>
                <w:kern w:val="0"/>
                <w:szCs w:val="21"/>
                <w:highlight w:val="none"/>
              </w:rPr>
            </w:pPr>
          </w:p>
        </w:tc>
      </w:tr>
      <w:tr w14:paraId="42543535">
        <w:tblPrEx>
          <w:tblCellMar>
            <w:top w:w="0" w:type="dxa"/>
            <w:left w:w="0" w:type="dxa"/>
            <w:bottom w:w="0" w:type="dxa"/>
            <w:right w:w="0" w:type="dxa"/>
          </w:tblCellMar>
        </w:tblPrEx>
        <w:trPr>
          <w:trHeight w:val="394"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4EE81813">
            <w:pPr>
              <w:widowControl/>
              <w:spacing w:before="100" w:beforeAutospacing="1" w:after="100" w:afterAutospacing="1" w:line="240" w:lineRule="atLeast"/>
              <w:jc w:val="center"/>
              <w:rPr>
                <w:rFonts w:ascii="Verdana" w:hAnsi="Verdana" w:cs="宋体"/>
                <w:color w:val="auto"/>
                <w:kern w:val="0"/>
                <w:szCs w:val="21"/>
                <w:highlight w:val="none"/>
              </w:rPr>
            </w:pPr>
          </w:p>
        </w:tc>
        <w:tc>
          <w:tcPr>
            <w:tcW w:w="2421" w:type="dxa"/>
            <w:gridSpan w:val="2"/>
            <w:tcBorders>
              <w:top w:val="nil"/>
              <w:left w:val="nil"/>
              <w:bottom w:val="single" w:color="auto" w:sz="8" w:space="0"/>
              <w:right w:val="single" w:color="auto" w:sz="8" w:space="0"/>
            </w:tcBorders>
            <w:vAlign w:val="center"/>
          </w:tcPr>
          <w:p w14:paraId="06A855F9">
            <w:pPr>
              <w:widowControl/>
              <w:spacing w:before="100" w:beforeAutospacing="1" w:after="100" w:afterAutospacing="1" w:line="240" w:lineRule="atLeast"/>
              <w:jc w:val="center"/>
              <w:rPr>
                <w:rFonts w:ascii="Verdana" w:hAnsi="Verdana"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3BC1CEDF">
            <w:pPr>
              <w:widowControl/>
              <w:spacing w:before="100" w:beforeAutospacing="1" w:after="100" w:afterAutospacing="1" w:line="240" w:lineRule="atLeast"/>
              <w:jc w:val="center"/>
              <w:rPr>
                <w:rFonts w:ascii="Verdana" w:hAnsi="Verdana" w:cs="宋体"/>
                <w:color w:val="auto"/>
                <w:kern w:val="0"/>
                <w:szCs w:val="21"/>
                <w:highlight w:val="none"/>
              </w:rPr>
            </w:pPr>
          </w:p>
        </w:tc>
        <w:tc>
          <w:tcPr>
            <w:tcW w:w="2113" w:type="dxa"/>
            <w:gridSpan w:val="2"/>
            <w:tcBorders>
              <w:top w:val="nil"/>
              <w:left w:val="nil"/>
              <w:bottom w:val="single" w:color="auto" w:sz="8" w:space="0"/>
              <w:right w:val="single" w:color="auto" w:sz="8" w:space="0"/>
            </w:tcBorders>
            <w:vAlign w:val="center"/>
          </w:tcPr>
          <w:p w14:paraId="5B6A8F35">
            <w:pPr>
              <w:widowControl/>
              <w:spacing w:before="100" w:beforeAutospacing="1" w:after="100" w:afterAutospacing="1" w:line="240" w:lineRule="atLeast"/>
              <w:jc w:val="center"/>
              <w:rPr>
                <w:rFonts w:ascii="Verdana" w:hAnsi="Verdana" w:cs="宋体"/>
                <w:color w:val="auto"/>
                <w:kern w:val="0"/>
                <w:szCs w:val="21"/>
                <w:highlight w:val="none"/>
              </w:rPr>
            </w:pPr>
          </w:p>
        </w:tc>
      </w:tr>
      <w:tr w14:paraId="6319E52A">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8870450">
            <w:pPr>
              <w:widowControl/>
              <w:snapToGrid w:val="0"/>
              <w:spacing w:before="100" w:beforeAutospacing="1" w:after="100" w:afterAutospacing="1" w:line="320" w:lineRule="atLeast"/>
              <w:jc w:val="left"/>
              <w:rPr>
                <w:rFonts w:ascii="Verdana" w:hAnsi="Verdana" w:cs="宋体"/>
                <w:color w:val="auto"/>
                <w:kern w:val="0"/>
                <w:szCs w:val="21"/>
                <w:highlight w:val="none"/>
              </w:rPr>
            </w:pPr>
            <w:r>
              <w:rPr>
                <w:rFonts w:hint="eastAsia" w:ascii="Verdana" w:hAnsi="Verdana" w:cs="宋体"/>
                <w:color w:val="auto"/>
                <w:kern w:val="0"/>
                <w:szCs w:val="21"/>
                <w:highlight w:val="none"/>
              </w:rPr>
              <w:t>验收具体内容</w:t>
            </w:r>
          </w:p>
        </w:tc>
        <w:tc>
          <w:tcPr>
            <w:tcW w:w="6816"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2F456027">
            <w:pPr>
              <w:widowControl/>
              <w:snapToGrid w:val="0"/>
              <w:spacing w:before="100" w:beforeAutospacing="1" w:after="100" w:afterAutospacing="1" w:line="320" w:lineRule="atLeast"/>
              <w:jc w:val="left"/>
              <w:rPr>
                <w:rFonts w:ascii="Verdana" w:hAnsi="Verdana" w:cs="宋体"/>
                <w:color w:val="auto"/>
                <w:kern w:val="0"/>
                <w:szCs w:val="21"/>
                <w:highlight w:val="none"/>
              </w:rPr>
            </w:pPr>
            <w:r>
              <w:rPr>
                <w:rFonts w:hint="eastAsia" w:ascii="Verdana" w:hAnsi="Verdana" w:cs="宋体"/>
                <w:color w:val="auto"/>
                <w:kern w:val="0"/>
                <w:szCs w:val="21"/>
                <w:highlight w:val="none"/>
              </w:rPr>
              <w:t>（应按采购合同、磋商文件、响应文件及验收方案等进行验收；并核对成交供应商在提供服务等方面是否违反合同约定或者服务规范要求、提供的质量保证证明材料是否齐全、应有的配件及附件是否达到合同约定等。可附件）</w:t>
            </w:r>
          </w:p>
        </w:tc>
      </w:tr>
      <w:tr w14:paraId="41C039A0">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0298B19">
            <w:pPr>
              <w:widowControl/>
              <w:spacing w:before="100" w:beforeAutospacing="1" w:after="100" w:afterAutospacing="1" w:line="320" w:lineRule="atLeast"/>
              <w:jc w:val="left"/>
              <w:rPr>
                <w:rFonts w:ascii="Verdana" w:hAnsi="Verdana" w:cs="宋体"/>
                <w:color w:val="auto"/>
                <w:kern w:val="0"/>
                <w:szCs w:val="21"/>
                <w:highlight w:val="none"/>
              </w:rPr>
            </w:pPr>
            <w:r>
              <w:rPr>
                <w:rFonts w:hint="eastAsia" w:ascii="Verdana" w:hAnsi="Verdana" w:cs="宋体"/>
                <w:color w:val="auto"/>
                <w:kern w:val="0"/>
                <w:szCs w:val="21"/>
                <w:highlight w:val="none"/>
              </w:rPr>
              <w:t>验收小组意见</w:t>
            </w:r>
          </w:p>
        </w:tc>
        <w:tc>
          <w:tcPr>
            <w:tcW w:w="6816" w:type="dxa"/>
            <w:gridSpan w:val="7"/>
            <w:tcBorders>
              <w:top w:val="nil"/>
              <w:left w:val="nil"/>
              <w:bottom w:val="single" w:color="auto" w:sz="8" w:space="0"/>
              <w:right w:val="single" w:color="auto" w:sz="8" w:space="0"/>
            </w:tcBorders>
            <w:vAlign w:val="center"/>
          </w:tcPr>
          <w:p w14:paraId="28B485FE">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hint="eastAsia" w:ascii="Verdana" w:hAnsi="Verdana" w:cs="宋体"/>
                <w:color w:val="auto"/>
                <w:kern w:val="0"/>
                <w:szCs w:val="21"/>
                <w:highlight w:val="none"/>
              </w:rPr>
              <w:t>验收结论性意见：</w:t>
            </w:r>
          </w:p>
        </w:tc>
      </w:tr>
      <w:tr w14:paraId="5594E354">
        <w:tblPrEx>
          <w:tblCellMar>
            <w:top w:w="0" w:type="dxa"/>
            <w:left w:w="0" w:type="dxa"/>
            <w:bottom w:w="0" w:type="dxa"/>
            <w:right w:w="0" w:type="dxa"/>
          </w:tblCellMar>
        </w:tblPrEx>
        <w:trPr>
          <w:trHeight w:val="607" w:hRule="atLeast"/>
          <w:jc w:val="center"/>
        </w:trPr>
        <w:tc>
          <w:tcPr>
            <w:tcW w:w="600" w:type="dxa"/>
            <w:gridSpan w:val="2"/>
            <w:vMerge w:val="continue"/>
            <w:tcBorders>
              <w:top w:val="nil"/>
              <w:left w:val="single" w:color="auto" w:sz="8" w:space="0"/>
              <w:bottom w:val="single" w:color="auto" w:sz="8" w:space="0"/>
              <w:right w:val="single" w:color="auto" w:sz="8" w:space="0"/>
            </w:tcBorders>
            <w:vAlign w:val="center"/>
          </w:tcPr>
          <w:p w14:paraId="4C26C5D0">
            <w:pPr>
              <w:widowControl/>
              <w:jc w:val="left"/>
              <w:rPr>
                <w:rFonts w:ascii="Verdana" w:hAnsi="Verdana" w:cs="宋体"/>
                <w:color w:val="auto"/>
                <w:kern w:val="0"/>
                <w:szCs w:val="21"/>
                <w:highlight w:val="none"/>
              </w:rPr>
            </w:pPr>
          </w:p>
        </w:tc>
        <w:tc>
          <w:tcPr>
            <w:tcW w:w="6816" w:type="dxa"/>
            <w:gridSpan w:val="7"/>
            <w:tcBorders>
              <w:top w:val="nil"/>
              <w:left w:val="nil"/>
              <w:bottom w:val="single" w:color="auto" w:sz="8" w:space="0"/>
              <w:right w:val="single" w:color="auto" w:sz="8" w:space="0"/>
            </w:tcBorders>
            <w:vAlign w:val="center"/>
          </w:tcPr>
          <w:p w14:paraId="3DA1F20E">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hint="eastAsia" w:ascii="Verdana" w:hAnsi="Verdana" w:cs="宋体"/>
                <w:color w:val="auto"/>
                <w:kern w:val="0"/>
                <w:szCs w:val="21"/>
                <w:highlight w:val="none"/>
              </w:rPr>
              <w:t>有异议的意见和说明理由：</w:t>
            </w:r>
          </w:p>
          <w:p w14:paraId="626B8757">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hint="eastAsia" w:ascii="Verdana" w:hAnsi="Verdana" w:cs="宋体"/>
                <w:color w:val="auto"/>
                <w:kern w:val="0"/>
                <w:szCs w:val="21"/>
                <w:highlight w:val="none"/>
              </w:rPr>
              <w:t>签字：</w:t>
            </w:r>
          </w:p>
        </w:tc>
      </w:tr>
      <w:tr w14:paraId="22621648">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3216C42">
            <w:pPr>
              <w:widowControl/>
              <w:spacing w:before="100" w:beforeAutospacing="1" w:after="100" w:afterAutospacing="1" w:line="320" w:lineRule="atLeast"/>
              <w:jc w:val="left"/>
              <w:rPr>
                <w:rFonts w:ascii="Verdana" w:hAnsi="Verdana" w:cs="宋体"/>
                <w:color w:val="auto"/>
                <w:kern w:val="0"/>
                <w:szCs w:val="21"/>
                <w:highlight w:val="none"/>
              </w:rPr>
            </w:pPr>
            <w:r>
              <w:rPr>
                <w:rFonts w:hint="eastAsia" w:ascii="Verdana" w:hAnsi="Verdana" w:cs="宋体"/>
                <w:color w:val="auto"/>
                <w:kern w:val="0"/>
                <w:szCs w:val="21"/>
                <w:highlight w:val="none"/>
              </w:rPr>
              <w:t>验收小组成员签字：</w:t>
            </w:r>
          </w:p>
        </w:tc>
      </w:tr>
      <w:tr w14:paraId="2B084EBD">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AB2FE50">
            <w:pPr>
              <w:widowControl/>
              <w:spacing w:before="100" w:beforeAutospacing="1" w:after="100" w:afterAutospacing="1" w:line="320" w:lineRule="atLeast"/>
              <w:jc w:val="left"/>
              <w:rPr>
                <w:rFonts w:ascii="Verdana" w:hAnsi="Verdana" w:cs="宋体"/>
                <w:color w:val="auto"/>
                <w:kern w:val="0"/>
                <w:szCs w:val="21"/>
                <w:highlight w:val="none"/>
              </w:rPr>
            </w:pPr>
            <w:r>
              <w:rPr>
                <w:rFonts w:hint="eastAsia" w:ascii="Verdana" w:hAnsi="Verdana" w:cs="宋体"/>
                <w:color w:val="auto"/>
                <w:kern w:val="0"/>
                <w:szCs w:val="21"/>
                <w:highlight w:val="none"/>
              </w:rPr>
              <w:t>监督人员或者其他相关人员签字：</w:t>
            </w:r>
          </w:p>
          <w:p w14:paraId="0D2BDB0F">
            <w:pPr>
              <w:widowControl/>
              <w:spacing w:before="100" w:beforeAutospacing="1" w:after="100" w:afterAutospacing="1" w:line="320" w:lineRule="atLeast"/>
              <w:ind w:firstLine="74"/>
              <w:jc w:val="left"/>
              <w:rPr>
                <w:rFonts w:ascii="Verdana" w:hAnsi="Verdana" w:cs="宋体"/>
                <w:color w:val="auto"/>
                <w:kern w:val="0"/>
                <w:szCs w:val="21"/>
                <w:highlight w:val="none"/>
              </w:rPr>
            </w:pPr>
            <w:r>
              <w:rPr>
                <w:rFonts w:hint="eastAsia" w:ascii="Verdana" w:hAnsi="Verdana" w:cs="宋体"/>
                <w:color w:val="auto"/>
                <w:kern w:val="0"/>
                <w:szCs w:val="21"/>
                <w:highlight w:val="none"/>
              </w:rPr>
              <w:t>或者受邀机构的意见（盖章）：</w:t>
            </w:r>
          </w:p>
        </w:tc>
      </w:tr>
      <w:tr w14:paraId="2ECC5382">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tcMar>
              <w:top w:w="0" w:type="dxa"/>
              <w:left w:w="108" w:type="dxa"/>
              <w:bottom w:w="0" w:type="dxa"/>
              <w:right w:w="108" w:type="dxa"/>
            </w:tcMar>
            <w:vAlign w:val="center"/>
          </w:tcPr>
          <w:p w14:paraId="3C13EF25">
            <w:pPr>
              <w:widowControl/>
              <w:spacing w:before="100" w:beforeAutospacing="1" w:after="100" w:afterAutospacing="1" w:line="320" w:lineRule="atLeast"/>
              <w:jc w:val="left"/>
              <w:rPr>
                <w:rFonts w:ascii="Verdana" w:hAnsi="Verdana" w:cs="宋体"/>
                <w:color w:val="auto"/>
                <w:kern w:val="0"/>
                <w:szCs w:val="21"/>
                <w:highlight w:val="none"/>
              </w:rPr>
            </w:pPr>
            <w:r>
              <w:rPr>
                <w:rFonts w:hint="eastAsia" w:ascii="Verdana" w:hAnsi="Verdana" w:cs="宋体"/>
                <w:color w:val="auto"/>
                <w:kern w:val="0"/>
                <w:szCs w:val="21"/>
                <w:highlight w:val="none"/>
              </w:rPr>
              <w:t>成交供应商负责人签字或者盖章：</w:t>
            </w:r>
          </w:p>
          <w:p w14:paraId="6B3882BE">
            <w:pPr>
              <w:widowControl/>
              <w:spacing w:before="100" w:beforeAutospacing="1" w:after="100" w:afterAutospacing="1" w:line="320" w:lineRule="atLeast"/>
              <w:jc w:val="left"/>
              <w:rPr>
                <w:rFonts w:ascii="Verdana" w:hAnsi="Verdana" w:cs="宋体"/>
                <w:color w:val="auto"/>
                <w:kern w:val="0"/>
                <w:szCs w:val="21"/>
                <w:highlight w:val="none"/>
              </w:rPr>
            </w:pPr>
          </w:p>
          <w:p w14:paraId="5E2FF10E">
            <w:pPr>
              <w:widowControl/>
              <w:spacing w:before="100" w:beforeAutospacing="1" w:after="100" w:afterAutospacing="1" w:line="320" w:lineRule="atLeast"/>
              <w:jc w:val="left"/>
              <w:rPr>
                <w:rFonts w:ascii="Verdana" w:hAnsi="Verdana" w:cs="宋体"/>
                <w:color w:val="auto"/>
                <w:kern w:val="0"/>
                <w:szCs w:val="21"/>
                <w:highlight w:val="none"/>
              </w:rPr>
            </w:pPr>
            <w:r>
              <w:rPr>
                <w:rFonts w:hint="eastAsia" w:ascii="Verdana" w:hAnsi="Verdana" w:cs="宋体"/>
                <w:color w:val="auto"/>
                <w:kern w:val="0"/>
                <w:szCs w:val="21"/>
                <w:highlight w:val="none"/>
              </w:rPr>
              <w:t>联系电话：</w:t>
            </w:r>
            <w:r>
              <w:rPr>
                <w:rFonts w:ascii="Verdana" w:hAnsi="Verdana" w:cs="宋体"/>
                <w:color w:val="auto"/>
                <w:kern w:val="0"/>
                <w:szCs w:val="21"/>
                <w:highlight w:val="none"/>
              </w:rPr>
              <w:t xml:space="preserve">                </w:t>
            </w:r>
            <w:r>
              <w:rPr>
                <w:rFonts w:hint="eastAsia" w:ascii="Verdana" w:hAnsi="Verdana" w:cs="宋体"/>
                <w:color w:val="auto"/>
                <w:kern w:val="0"/>
                <w:szCs w:val="21"/>
                <w:highlight w:val="none"/>
              </w:rPr>
              <w:t>年</w:t>
            </w:r>
            <w:r>
              <w:rPr>
                <w:rFonts w:ascii="Verdana" w:hAnsi="Verdana" w:cs="宋体"/>
                <w:color w:val="auto"/>
                <w:kern w:val="0"/>
                <w:szCs w:val="21"/>
                <w:highlight w:val="none"/>
              </w:rPr>
              <w:t xml:space="preserve">  </w:t>
            </w:r>
            <w:r>
              <w:rPr>
                <w:rFonts w:hint="eastAsia" w:ascii="Verdana" w:hAnsi="Verdana" w:cs="宋体"/>
                <w:color w:val="auto"/>
                <w:kern w:val="0"/>
                <w:szCs w:val="21"/>
                <w:highlight w:val="none"/>
              </w:rPr>
              <w:t>月</w:t>
            </w:r>
            <w:r>
              <w:rPr>
                <w:rFonts w:ascii="Verdana" w:hAnsi="Verdana" w:cs="宋体"/>
                <w:color w:val="auto"/>
                <w:kern w:val="0"/>
                <w:szCs w:val="21"/>
                <w:highlight w:val="none"/>
              </w:rPr>
              <w:t xml:space="preserve">  </w:t>
            </w:r>
            <w:r>
              <w:rPr>
                <w:rFonts w:hint="eastAsia" w:ascii="Verdana" w:hAnsi="Verdana" w:cs="宋体"/>
                <w:color w:val="auto"/>
                <w:kern w:val="0"/>
                <w:szCs w:val="21"/>
                <w:highlight w:val="none"/>
              </w:rPr>
              <w:t>日</w:t>
            </w:r>
          </w:p>
        </w:tc>
        <w:tc>
          <w:tcPr>
            <w:tcW w:w="4293" w:type="dxa"/>
            <w:gridSpan w:val="4"/>
            <w:tcBorders>
              <w:top w:val="nil"/>
              <w:left w:val="nil"/>
              <w:bottom w:val="single" w:color="auto" w:sz="8" w:space="0"/>
              <w:right w:val="single" w:color="auto" w:sz="8" w:space="0"/>
            </w:tcBorders>
            <w:vAlign w:val="center"/>
          </w:tcPr>
          <w:p w14:paraId="39C0E2E2">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hint="eastAsia" w:ascii="Verdana" w:hAnsi="Verdana" w:cs="宋体"/>
                <w:color w:val="auto"/>
                <w:kern w:val="0"/>
                <w:szCs w:val="21"/>
                <w:highlight w:val="none"/>
              </w:rPr>
              <w:t>采购人或者受托机构的意见（盖章）：</w:t>
            </w:r>
          </w:p>
          <w:p w14:paraId="078F5277">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p>
          <w:p w14:paraId="397711E7">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hint="eastAsia" w:ascii="Verdana" w:hAnsi="Verdana" w:cs="宋体"/>
                <w:color w:val="auto"/>
                <w:kern w:val="0"/>
                <w:szCs w:val="21"/>
                <w:highlight w:val="none"/>
              </w:rPr>
              <w:t>联系电话：</w:t>
            </w:r>
            <w:r>
              <w:rPr>
                <w:rFonts w:ascii="Verdana" w:hAnsi="Verdana" w:cs="宋体"/>
                <w:color w:val="auto"/>
                <w:kern w:val="0"/>
                <w:szCs w:val="21"/>
                <w:highlight w:val="none"/>
              </w:rPr>
              <w:t xml:space="preserve">                  </w:t>
            </w:r>
            <w:r>
              <w:rPr>
                <w:rFonts w:hint="eastAsia" w:ascii="Verdana" w:hAnsi="Verdana" w:cs="宋体"/>
                <w:color w:val="auto"/>
                <w:kern w:val="0"/>
                <w:szCs w:val="21"/>
                <w:highlight w:val="none"/>
              </w:rPr>
              <w:t>年</w:t>
            </w:r>
            <w:r>
              <w:rPr>
                <w:rFonts w:ascii="Verdana" w:hAnsi="Verdana" w:cs="宋体"/>
                <w:color w:val="auto"/>
                <w:kern w:val="0"/>
                <w:szCs w:val="21"/>
                <w:highlight w:val="none"/>
              </w:rPr>
              <w:t xml:space="preserve">  </w:t>
            </w:r>
            <w:r>
              <w:rPr>
                <w:rFonts w:hint="eastAsia" w:ascii="Verdana" w:hAnsi="Verdana" w:cs="宋体"/>
                <w:color w:val="auto"/>
                <w:kern w:val="0"/>
                <w:szCs w:val="21"/>
                <w:highlight w:val="none"/>
              </w:rPr>
              <w:t>月</w:t>
            </w:r>
            <w:r>
              <w:rPr>
                <w:rFonts w:ascii="Verdana" w:hAnsi="Verdana" w:cs="宋体"/>
                <w:color w:val="auto"/>
                <w:kern w:val="0"/>
                <w:szCs w:val="21"/>
                <w:highlight w:val="none"/>
              </w:rPr>
              <w:t xml:space="preserve">  </w:t>
            </w:r>
            <w:r>
              <w:rPr>
                <w:rFonts w:hint="eastAsia" w:ascii="Verdana" w:hAnsi="Verdana" w:cs="宋体"/>
                <w:color w:val="auto"/>
                <w:kern w:val="0"/>
                <w:szCs w:val="21"/>
                <w:highlight w:val="none"/>
              </w:rPr>
              <w:t>日</w:t>
            </w:r>
          </w:p>
        </w:tc>
      </w:tr>
    </w:tbl>
    <w:p w14:paraId="3208D616">
      <w:pPr>
        <w:jc w:val="center"/>
        <w:rPr>
          <w:rFonts w:ascii="方正小标宋简体" w:hAnsi="方正小标宋简体" w:eastAsia="方正小标宋简体" w:cs="方正小标宋简体"/>
          <w:color w:val="auto"/>
          <w:sz w:val="44"/>
          <w:szCs w:val="44"/>
          <w:highlight w:val="none"/>
        </w:rPr>
      </w:pPr>
      <w:bookmarkStart w:id="113" w:name="_Toc182816502"/>
    </w:p>
    <w:p w14:paraId="3992C70C">
      <w:pPr>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中小企业声明函（服务）</w:t>
      </w:r>
    </w:p>
    <w:p w14:paraId="0BBFE99E">
      <w:pPr>
        <w:pStyle w:val="14"/>
        <w:spacing w:line="500" w:lineRule="exact"/>
        <w:ind w:right="142" w:firstLine="705" w:firstLineChars="294"/>
        <w:rPr>
          <w:rFonts w:ascii="宋体" w:hAnsi="宋体"/>
          <w:color w:val="auto"/>
          <w:sz w:val="24"/>
          <w:highlight w:val="none"/>
        </w:rPr>
      </w:pPr>
      <w:r>
        <w:rPr>
          <w:rFonts w:hint="eastAsia" w:ascii="宋体" w:hAnsi="宋体"/>
          <w:color w:val="auto"/>
          <w:sz w:val="24"/>
          <w:highlight w:val="none"/>
        </w:rPr>
        <w:t>本公司（联合体）郑重声明，根据《政府采购促进中小企业发展管理办法》（财库﹝2020﹞46号）的规定，本公司（联合体）参加</w:t>
      </w:r>
      <w:r>
        <w:rPr>
          <w:rFonts w:hint="eastAsia" w:ascii="宋体" w:hAnsi="宋体"/>
          <w:color w:val="auto"/>
          <w:sz w:val="24"/>
          <w:highlight w:val="none"/>
          <w:u w:val="single"/>
        </w:rPr>
        <w:t>（单位名称）</w:t>
      </w:r>
      <w:r>
        <w:rPr>
          <w:rFonts w:hint="eastAsia" w:ascii="宋体" w:hAnsi="宋体"/>
          <w:color w:val="auto"/>
          <w:sz w:val="24"/>
          <w:highlight w:val="none"/>
        </w:rPr>
        <w:t>的</w:t>
      </w:r>
      <w:r>
        <w:rPr>
          <w:rFonts w:hint="eastAsia" w:ascii="宋体" w:hAnsi="宋体"/>
          <w:color w:val="auto"/>
          <w:sz w:val="24"/>
          <w:highlight w:val="none"/>
          <w:u w:val="single"/>
        </w:rPr>
        <w:t>（项目名称）</w:t>
      </w:r>
      <w:r>
        <w:rPr>
          <w:rFonts w:hint="eastAsia" w:ascii="宋体" w:hAnsi="宋体"/>
          <w:color w:val="auto"/>
          <w:sz w:val="24"/>
          <w:highlight w:val="none"/>
        </w:rPr>
        <w:t>采购活动，服务全部由符合政策要求的中小企业承接。相关企业（含联合体中的中小企业、签订分包意向协议的中小企业）的具体情况如下：</w:t>
      </w:r>
    </w:p>
    <w:p w14:paraId="5ACA0713">
      <w:pPr>
        <w:tabs>
          <w:tab w:val="left" w:pos="1384"/>
          <w:tab w:val="left" w:pos="4562"/>
          <w:tab w:val="left" w:pos="6803"/>
        </w:tabs>
        <w:spacing w:before="13" w:line="500" w:lineRule="exact"/>
        <w:ind w:right="142" w:firstLine="772" w:firstLineChars="322"/>
        <w:rPr>
          <w:rFonts w:ascii="宋体" w:hAnsi="宋体"/>
          <w:color w:val="auto"/>
          <w:sz w:val="24"/>
          <w:highlight w:val="none"/>
        </w:rPr>
      </w:pPr>
      <w:r>
        <w:rPr>
          <w:rFonts w:hint="eastAsia" w:ascii="宋体" w:hAnsi="宋体"/>
          <w:color w:val="auto"/>
          <w:sz w:val="24"/>
          <w:highlight w:val="none"/>
          <w:u w:val="single"/>
        </w:rPr>
        <w:t>校园管理AI服务平台建设</w:t>
      </w:r>
      <w:r>
        <w:rPr>
          <w:rFonts w:hint="eastAsia" w:ascii="宋体" w:hAnsi="宋体"/>
          <w:color w:val="auto"/>
          <w:sz w:val="24"/>
          <w:highlight w:val="none"/>
        </w:rPr>
        <w:t>，属于</w:t>
      </w:r>
      <w:r>
        <w:rPr>
          <w:rFonts w:hint="eastAsia" w:ascii="宋体" w:hAnsi="宋体"/>
          <w:color w:val="auto"/>
          <w:sz w:val="24"/>
          <w:highlight w:val="none"/>
          <w:u w:val="single"/>
        </w:rPr>
        <w:t>软件和信息技术服务业</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hint="eastAsia" w:ascii="宋体" w:hAnsi="宋体"/>
          <w:color w:val="auto"/>
          <w:sz w:val="24"/>
          <w:highlight w:val="none"/>
        </w:rPr>
        <w:t>万元，属于</w:t>
      </w:r>
      <w:r>
        <w:rPr>
          <w:rFonts w:hint="eastAsia" w:ascii="宋体" w:hAnsi="宋体"/>
          <w:color w:val="auto"/>
          <w:sz w:val="24"/>
          <w:highlight w:val="none"/>
          <w:u w:val="single"/>
        </w:rPr>
        <w:t>（中型企业、小型企业、微型企业）</w:t>
      </w:r>
      <w:r>
        <w:rPr>
          <w:rFonts w:hint="eastAsia" w:ascii="宋体" w:hAnsi="宋体"/>
          <w:color w:val="auto"/>
          <w:sz w:val="24"/>
          <w:highlight w:val="none"/>
        </w:rPr>
        <w:t>；</w:t>
      </w:r>
    </w:p>
    <w:p w14:paraId="7887D939">
      <w:pPr>
        <w:pStyle w:val="14"/>
        <w:spacing w:before="34" w:line="500" w:lineRule="exact"/>
        <w:ind w:right="142" w:firstLine="705" w:firstLineChars="294"/>
        <w:rPr>
          <w:rFonts w:ascii="宋体" w:hAnsi="宋体"/>
          <w:color w:val="auto"/>
          <w:sz w:val="24"/>
          <w:highlight w:val="none"/>
        </w:rPr>
      </w:pPr>
      <w:r>
        <w:rPr>
          <w:rFonts w:hint="eastAsia" w:ascii="宋体" w:hAnsi="宋体"/>
          <w:color w:val="auto"/>
          <w:sz w:val="24"/>
          <w:highlight w:val="none"/>
        </w:rPr>
        <w:t>以上企业，不属于大企业的分支机构，不存在控股股东为大企业的情形，也不存在与大企业的负责人为同一人的情形。</w:t>
      </w:r>
    </w:p>
    <w:p w14:paraId="7B05CBFA">
      <w:pPr>
        <w:pStyle w:val="14"/>
        <w:spacing w:before="25" w:line="500" w:lineRule="exact"/>
        <w:ind w:right="142" w:firstLine="705" w:firstLineChars="294"/>
        <w:rPr>
          <w:rFonts w:ascii="宋体" w:hAnsi="宋体"/>
          <w:color w:val="auto"/>
          <w:sz w:val="24"/>
          <w:highlight w:val="none"/>
        </w:rPr>
      </w:pPr>
      <w:r>
        <w:rPr>
          <w:rFonts w:hint="eastAsia" w:ascii="宋体" w:hAnsi="宋体"/>
          <w:color w:val="auto"/>
          <w:sz w:val="24"/>
          <w:highlight w:val="none"/>
        </w:rPr>
        <w:t>本企业对上述声明内容的真实性负责。如有虚假，将依法承担相应责任。</w:t>
      </w:r>
    </w:p>
    <w:p w14:paraId="18AA21A0">
      <w:pPr>
        <w:pStyle w:val="14"/>
        <w:spacing w:before="56" w:line="500" w:lineRule="exact"/>
        <w:ind w:right="1808" w:firstLine="705" w:firstLineChars="294"/>
        <w:rPr>
          <w:rFonts w:ascii="宋体" w:hAnsi="宋体"/>
          <w:color w:val="auto"/>
          <w:sz w:val="24"/>
          <w:highlight w:val="none"/>
        </w:rPr>
      </w:pPr>
    </w:p>
    <w:p w14:paraId="680A3B8B">
      <w:pPr>
        <w:pStyle w:val="14"/>
        <w:spacing w:before="56" w:line="500" w:lineRule="exact"/>
        <w:ind w:right="650" w:firstLine="3840" w:firstLineChars="1600"/>
        <w:rPr>
          <w:rFonts w:ascii="宋体" w:hAnsi="宋体"/>
          <w:color w:val="auto"/>
          <w:sz w:val="24"/>
          <w:highlight w:val="none"/>
        </w:rPr>
      </w:pPr>
      <w:r>
        <w:rPr>
          <w:rFonts w:hint="eastAsia" w:ascii="宋体" w:hAnsi="宋体"/>
          <w:color w:val="auto"/>
          <w:sz w:val="24"/>
          <w:highlight w:val="none"/>
        </w:rPr>
        <w:t xml:space="preserve">企业名称（电子签章）： </w:t>
      </w:r>
    </w:p>
    <w:p w14:paraId="749D2AD1">
      <w:pPr>
        <w:pStyle w:val="14"/>
        <w:spacing w:before="56" w:line="500" w:lineRule="exact"/>
        <w:ind w:right="1808" w:firstLine="5625" w:firstLineChars="2344"/>
        <w:rPr>
          <w:rFonts w:ascii="宋体" w:hAnsi="宋体"/>
          <w:color w:val="auto"/>
          <w:sz w:val="24"/>
          <w:highlight w:val="none"/>
        </w:rPr>
      </w:pPr>
      <w:r>
        <w:rPr>
          <w:rFonts w:hint="eastAsia" w:ascii="宋体" w:hAnsi="宋体"/>
          <w:color w:val="auto"/>
          <w:sz w:val="24"/>
          <w:highlight w:val="none"/>
        </w:rPr>
        <w:t>日 期：</w:t>
      </w:r>
    </w:p>
    <w:p w14:paraId="70B6622C">
      <w:pPr>
        <w:spacing w:line="520" w:lineRule="exact"/>
        <w:jc w:val="left"/>
        <w:rPr>
          <w:rFonts w:ascii="宋体" w:hAnsi="宋体" w:cs="仿宋_GB2312"/>
          <w:color w:val="auto"/>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2C6C3FC8">
      <w:pPr>
        <w:spacing w:line="520" w:lineRule="exact"/>
        <w:jc w:val="center"/>
        <w:rPr>
          <w:rFonts w:ascii="仿宋_GB2312" w:hAnsi="仿宋_GB2312" w:eastAsia="仿宋_GB2312" w:cs="仿宋_GB2312"/>
          <w:color w:val="auto"/>
          <w:sz w:val="32"/>
          <w:szCs w:val="32"/>
          <w:highlight w:val="none"/>
        </w:rPr>
      </w:pPr>
      <w:r>
        <w:rPr>
          <w:rFonts w:hint="eastAsia" w:ascii="宋体" w:hAnsi="宋体"/>
          <w:color w:val="auto"/>
          <w:sz w:val="24"/>
          <w:highlight w:val="none"/>
        </w:rPr>
        <w:br w:type="page"/>
      </w:r>
      <w:r>
        <w:rPr>
          <w:rFonts w:hint="eastAsia" w:ascii="方正小标宋简体" w:hAnsi="方正小标宋简体" w:eastAsia="方正小标宋简体" w:cs="方正小标宋简体"/>
          <w:color w:val="auto"/>
          <w:sz w:val="44"/>
          <w:szCs w:val="44"/>
          <w:highlight w:val="none"/>
        </w:rPr>
        <w:t>残疾人福利性单位声明函</w:t>
      </w:r>
    </w:p>
    <w:p w14:paraId="67C7B360">
      <w:pPr>
        <w:spacing w:line="360" w:lineRule="auto"/>
        <w:rPr>
          <w:rFonts w:ascii="仿宋_GB2312" w:hAnsi="仿宋_GB2312" w:eastAsia="仿宋_GB2312" w:cs="仿宋_GB2312"/>
          <w:color w:val="auto"/>
          <w:sz w:val="32"/>
          <w:szCs w:val="32"/>
          <w:highlight w:val="none"/>
        </w:rPr>
      </w:pPr>
    </w:p>
    <w:p w14:paraId="18BFDD73">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单位的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677E11E0">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14:paraId="4F2E1B62">
      <w:pPr>
        <w:spacing w:line="360" w:lineRule="auto"/>
        <w:rPr>
          <w:rFonts w:ascii="宋体" w:hAnsi="宋体" w:cs="仿宋_GB2312"/>
          <w:color w:val="auto"/>
          <w:sz w:val="24"/>
          <w:highlight w:val="none"/>
        </w:rPr>
      </w:pPr>
    </w:p>
    <w:p w14:paraId="5C6452A4">
      <w:pPr>
        <w:spacing w:line="360" w:lineRule="auto"/>
        <w:rPr>
          <w:rFonts w:ascii="宋体" w:hAnsi="宋体" w:cs="仿宋_GB2312"/>
          <w:color w:val="auto"/>
          <w:sz w:val="24"/>
          <w:highlight w:val="none"/>
        </w:rPr>
      </w:pPr>
    </w:p>
    <w:p w14:paraId="7C9BE945">
      <w:pPr>
        <w:spacing w:line="360" w:lineRule="auto"/>
        <w:rPr>
          <w:rFonts w:ascii="宋体" w:hAnsi="宋体" w:cs="仿宋_GB2312"/>
          <w:color w:val="auto"/>
          <w:sz w:val="24"/>
          <w:highlight w:val="none"/>
        </w:rPr>
      </w:pPr>
    </w:p>
    <w:p w14:paraId="293F2FFB">
      <w:pPr>
        <w:spacing w:line="360" w:lineRule="auto"/>
        <w:ind w:firstLine="2400" w:firstLineChars="1000"/>
        <w:rPr>
          <w:rFonts w:ascii="宋体" w:hAnsi="宋体" w:cs="仿宋_GB2312"/>
          <w:color w:val="auto"/>
          <w:sz w:val="24"/>
          <w:highlight w:val="none"/>
        </w:rPr>
      </w:pPr>
      <w:r>
        <w:rPr>
          <w:rFonts w:hint="eastAsia" w:ascii="宋体" w:hAnsi="宋体" w:cs="仿宋_GB2312"/>
          <w:color w:val="auto"/>
          <w:sz w:val="24"/>
          <w:highlight w:val="none"/>
        </w:rPr>
        <w:t>单位名称（电子签章）：</w:t>
      </w:r>
    </w:p>
    <w:p w14:paraId="376B26AA">
      <w:pPr>
        <w:spacing w:line="360" w:lineRule="auto"/>
        <w:ind w:firstLine="3600" w:firstLineChars="1500"/>
        <w:rPr>
          <w:rFonts w:ascii="宋体" w:hAnsi="宋体" w:cs="仿宋_GB2312"/>
          <w:color w:val="auto"/>
          <w:sz w:val="24"/>
          <w:highlight w:val="none"/>
        </w:rPr>
      </w:pPr>
      <w:r>
        <w:rPr>
          <w:rFonts w:hint="eastAsia" w:ascii="宋体" w:hAnsi="宋体" w:cs="仿宋_GB2312"/>
          <w:color w:val="auto"/>
          <w:sz w:val="24"/>
          <w:highlight w:val="none"/>
        </w:rPr>
        <w:t>日  期：</w:t>
      </w:r>
    </w:p>
    <w:p w14:paraId="0F759B8D">
      <w:pPr>
        <w:spacing w:line="360" w:lineRule="auto"/>
        <w:rPr>
          <w:rFonts w:ascii="宋体" w:hAnsi="宋体" w:cs="仿宋_GB2312"/>
          <w:color w:val="auto"/>
          <w:sz w:val="24"/>
          <w:highlight w:val="none"/>
        </w:rPr>
      </w:pPr>
    </w:p>
    <w:p w14:paraId="592801CA">
      <w:pPr>
        <w:spacing w:line="360" w:lineRule="auto"/>
        <w:rPr>
          <w:rFonts w:ascii="宋体" w:hAnsi="宋体" w:cs="仿宋_GB2312"/>
          <w:color w:val="auto"/>
          <w:sz w:val="24"/>
          <w:highlight w:val="none"/>
        </w:rPr>
      </w:pPr>
    </w:p>
    <w:p w14:paraId="408DC794">
      <w:pPr>
        <w:spacing w:line="360" w:lineRule="auto"/>
        <w:rPr>
          <w:rFonts w:ascii="宋体" w:hAnsi="宋体" w:cs="仿宋_GB2312"/>
          <w:color w:val="auto"/>
          <w:sz w:val="24"/>
          <w:highlight w:val="none"/>
        </w:rPr>
      </w:pPr>
    </w:p>
    <w:p w14:paraId="716EB12C">
      <w:pPr>
        <w:spacing w:line="360" w:lineRule="auto"/>
        <w:rPr>
          <w:rFonts w:ascii="宋体" w:hAnsi="宋体" w:cs="仿宋_GB2312"/>
          <w:color w:val="auto"/>
          <w:sz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注：请根据自己的真实情况出具《残疾人福利性单位声明函》。依法享受中小企业优惠政策的，采购人或者采购代理机构在公告成交结果时，同时公告其《残疾人福利性单位声明函》，接受社会监督。</w:t>
      </w:r>
    </w:p>
    <w:p w14:paraId="1367D3A3">
      <w:pPr>
        <w:pStyle w:val="2"/>
        <w:jc w:val="center"/>
        <w:rPr>
          <w:color w:val="auto"/>
          <w:highlight w:val="none"/>
        </w:rPr>
      </w:pPr>
      <w:r>
        <w:rPr>
          <w:rFonts w:hint="eastAsia" w:ascii="宋体" w:hAnsi="宋体" w:cs="仿宋_GB2312"/>
          <w:color w:val="auto"/>
          <w:sz w:val="24"/>
          <w:highlight w:val="none"/>
        </w:rPr>
        <w:br w:type="page"/>
      </w:r>
      <w:r>
        <w:rPr>
          <w:rFonts w:hint="eastAsia"/>
          <w:color w:val="auto"/>
          <w:highlight w:val="none"/>
        </w:rPr>
        <w:t>第六章 合同文本</w:t>
      </w:r>
      <w:bookmarkEnd w:id="113"/>
    </w:p>
    <w:p w14:paraId="4E5BC750">
      <w:pPr>
        <w:pStyle w:val="2"/>
        <w:jc w:val="center"/>
        <w:rPr>
          <w:color w:val="auto"/>
          <w:highlight w:val="none"/>
        </w:rPr>
      </w:pPr>
      <w:r>
        <w:rPr>
          <w:rFonts w:hint="eastAsia"/>
          <w:color w:val="auto"/>
          <w:highlight w:val="none"/>
        </w:rPr>
        <w:t>采购合同（合同主要条款及格式）</w:t>
      </w:r>
    </w:p>
    <w:p w14:paraId="6E2FB475">
      <w:pPr>
        <w:snapToGrid w:val="0"/>
        <w:spacing w:line="288" w:lineRule="auto"/>
        <w:rPr>
          <w:rFonts w:ascii="宋体" w:hAnsi="宋体"/>
          <w:color w:val="auto"/>
          <w:highlight w:val="none"/>
        </w:rPr>
      </w:pPr>
      <w:r>
        <w:rPr>
          <w:rFonts w:hint="eastAsia" w:ascii="宋体" w:hAnsi="宋体"/>
          <w:color w:val="auto"/>
          <w:highlight w:val="none"/>
        </w:rPr>
        <w:t>采购人（甲方）：</w:t>
      </w:r>
      <w:r>
        <w:rPr>
          <w:rFonts w:hint="eastAsia" w:ascii="宋体" w:hAnsi="宋体"/>
          <w:color w:val="auto"/>
          <w:highlight w:val="none"/>
          <w:u w:val="single"/>
        </w:rPr>
        <w:t xml:space="preserve">桂林电子科技大学  </w:t>
      </w:r>
      <w:r>
        <w:rPr>
          <w:rFonts w:hint="eastAsia" w:ascii="宋体" w:hAnsi="宋体"/>
          <w:color w:val="auto"/>
          <w:highlight w:val="none"/>
        </w:rPr>
        <w:t xml:space="preserve">               </w:t>
      </w:r>
    </w:p>
    <w:p w14:paraId="4EE30380">
      <w:pPr>
        <w:snapToGrid w:val="0"/>
        <w:spacing w:line="288" w:lineRule="auto"/>
        <w:rPr>
          <w:rFonts w:ascii="宋体" w:hAnsi="宋体"/>
          <w:color w:val="auto"/>
          <w:highlight w:val="none"/>
        </w:rPr>
      </w:pPr>
      <w:r>
        <w:rPr>
          <w:rFonts w:hint="eastAsia" w:ascii="宋体" w:hAnsi="宋体"/>
          <w:color w:val="auto"/>
          <w:highlight w:val="none"/>
        </w:rPr>
        <w:t>供应商（乙方）：</w:t>
      </w:r>
      <w:r>
        <w:rPr>
          <w:rFonts w:hint="eastAsia" w:ascii="宋体" w:hAnsi="宋体"/>
          <w:color w:val="auto"/>
          <w:highlight w:val="none"/>
          <w:u w:val="single"/>
        </w:rPr>
        <w:t xml:space="preserve">                  </w:t>
      </w:r>
      <w:r>
        <w:rPr>
          <w:rFonts w:hint="eastAsia" w:ascii="宋体" w:hAnsi="宋体"/>
          <w:color w:val="auto"/>
          <w:highlight w:val="none"/>
        </w:rPr>
        <w:t xml:space="preserve">               </w:t>
      </w:r>
    </w:p>
    <w:p w14:paraId="31C5B50E">
      <w:pPr>
        <w:snapToGrid w:val="0"/>
        <w:spacing w:line="288" w:lineRule="auto"/>
        <w:rPr>
          <w:rFonts w:ascii="宋体" w:hAnsi="宋体"/>
          <w:color w:val="auto"/>
          <w:highlight w:val="none"/>
        </w:rPr>
      </w:pPr>
      <w:r>
        <w:rPr>
          <w:rFonts w:hint="eastAsia" w:ascii="宋体" w:hAnsi="宋体"/>
          <w:color w:val="auto"/>
          <w:highlight w:val="none"/>
        </w:rPr>
        <w:t>项目名称：</w:t>
      </w:r>
      <w:r>
        <w:rPr>
          <w:rFonts w:hint="eastAsia" w:ascii="宋体" w:hAnsi="宋体"/>
          <w:color w:val="auto"/>
          <w:highlight w:val="none"/>
          <w:u w:val="single"/>
        </w:rPr>
        <w:t xml:space="preserve">桂林电子科技大学校园管理AI服务平台采购 </w:t>
      </w:r>
      <w:r>
        <w:rPr>
          <w:rFonts w:ascii="宋体" w:hAnsi="宋体"/>
          <w:color w:val="auto"/>
          <w:highlight w:val="none"/>
        </w:rPr>
        <w:t xml:space="preserve"> </w:t>
      </w:r>
    </w:p>
    <w:p w14:paraId="29FFE38A">
      <w:pPr>
        <w:snapToGrid w:val="0"/>
        <w:spacing w:line="288" w:lineRule="auto"/>
        <w:rPr>
          <w:rFonts w:ascii="宋体" w:hAnsi="宋体"/>
          <w:color w:val="auto"/>
          <w:highlight w:val="none"/>
        </w:rPr>
      </w:pPr>
      <w:r>
        <w:rPr>
          <w:rFonts w:hint="eastAsia" w:ascii="宋体" w:hAnsi="宋体"/>
          <w:color w:val="auto"/>
          <w:highlight w:val="none"/>
        </w:rPr>
        <w:t>项目编号：</w:t>
      </w:r>
      <w:r>
        <w:rPr>
          <w:rFonts w:hint="eastAsia" w:ascii="宋体" w:hAnsi="宋体"/>
          <w:color w:val="auto"/>
          <w:highlight w:val="none"/>
          <w:u w:val="single"/>
        </w:rPr>
        <w:t xml:space="preserve">GXZC2025-C3-003742-YZLZ </w:t>
      </w:r>
      <w:r>
        <w:rPr>
          <w:rFonts w:ascii="宋体" w:hAnsi="宋体"/>
          <w:color w:val="auto"/>
          <w:highlight w:val="none"/>
        </w:rPr>
        <w:t xml:space="preserve">             </w:t>
      </w:r>
    </w:p>
    <w:p w14:paraId="08CB6CA2">
      <w:pPr>
        <w:snapToGrid w:val="0"/>
        <w:spacing w:line="288" w:lineRule="auto"/>
        <w:rPr>
          <w:rFonts w:ascii="宋体" w:hAnsi="宋体"/>
          <w:color w:val="auto"/>
          <w:highlight w:val="none"/>
        </w:rPr>
      </w:pPr>
      <w:r>
        <w:rPr>
          <w:rFonts w:hint="eastAsia" w:ascii="宋体" w:hAnsi="宋体"/>
          <w:color w:val="auto"/>
          <w:highlight w:val="none"/>
        </w:rPr>
        <w:t>校内编号：</w:t>
      </w:r>
      <w:r>
        <w:rPr>
          <w:rFonts w:hint="eastAsia" w:ascii="宋体" w:hAnsi="宋体"/>
          <w:color w:val="auto"/>
          <w:highlight w:val="none"/>
          <w:u w:val="single"/>
        </w:rPr>
        <w:t xml:space="preserve">2025067 </w:t>
      </w:r>
      <w:r>
        <w:rPr>
          <w:rFonts w:ascii="宋体" w:hAnsi="宋体"/>
          <w:color w:val="auto"/>
          <w:highlight w:val="none"/>
          <w:u w:val="single"/>
        </w:rPr>
        <w:t xml:space="preserve">  </w:t>
      </w:r>
      <w:r>
        <w:rPr>
          <w:rFonts w:ascii="宋体" w:hAnsi="宋体"/>
          <w:color w:val="auto"/>
          <w:highlight w:val="none"/>
        </w:rPr>
        <w:t xml:space="preserve">  </w:t>
      </w:r>
      <w:r>
        <w:rPr>
          <w:rFonts w:hint="eastAsia" w:ascii="宋体" w:hAnsi="宋体"/>
          <w:color w:val="auto"/>
          <w:highlight w:val="none"/>
        </w:rPr>
        <w:t xml:space="preserve">    </w:t>
      </w:r>
      <w:r>
        <w:rPr>
          <w:rFonts w:ascii="宋体" w:hAnsi="宋体"/>
          <w:color w:val="auto"/>
          <w:highlight w:val="none"/>
        </w:rPr>
        <w:t xml:space="preserve"> </w:t>
      </w:r>
      <w:r>
        <w:rPr>
          <w:rFonts w:hint="eastAsia" w:ascii="宋体" w:hAnsi="宋体"/>
          <w:color w:val="auto"/>
          <w:highlight w:val="none"/>
        </w:rPr>
        <w:t xml:space="preserve">         采购计划编号：</w:t>
      </w:r>
      <w:r>
        <w:rPr>
          <w:rFonts w:hint="eastAsia" w:ascii="宋体" w:hAnsi="宋体"/>
          <w:color w:val="auto"/>
          <w:highlight w:val="none"/>
          <w:u w:val="single"/>
        </w:rPr>
        <w:t xml:space="preserve">               </w:t>
      </w:r>
    </w:p>
    <w:p w14:paraId="4196E825">
      <w:pPr>
        <w:snapToGrid w:val="0"/>
        <w:spacing w:line="288" w:lineRule="auto"/>
        <w:rPr>
          <w:rFonts w:ascii="宋体" w:hAnsi="宋体"/>
          <w:color w:val="auto"/>
          <w:highlight w:val="none"/>
          <w:u w:val="single"/>
        </w:rPr>
      </w:pPr>
      <w:r>
        <w:rPr>
          <w:rFonts w:hint="eastAsia" w:ascii="宋体" w:hAnsi="宋体"/>
          <w:color w:val="auto"/>
          <w:highlight w:val="none"/>
        </w:rPr>
        <w:t>签订地点：</w:t>
      </w:r>
      <w:r>
        <w:rPr>
          <w:rFonts w:hint="eastAsia" w:ascii="宋体" w:hAnsi="宋体"/>
          <w:color w:val="auto"/>
          <w:highlight w:val="none"/>
          <w:u w:val="single"/>
        </w:rPr>
        <w:t xml:space="preserve">广西桂林              </w:t>
      </w:r>
      <w:r>
        <w:rPr>
          <w:rFonts w:hint="eastAsia" w:ascii="宋体" w:hAnsi="宋体"/>
          <w:color w:val="auto"/>
          <w:highlight w:val="none"/>
        </w:rPr>
        <w:t xml:space="preserve">  </w:t>
      </w:r>
      <w:r>
        <w:rPr>
          <w:rFonts w:ascii="宋体" w:hAnsi="宋体"/>
          <w:color w:val="auto"/>
          <w:highlight w:val="none"/>
        </w:rPr>
        <w:t xml:space="preserve">  </w:t>
      </w:r>
      <w:r>
        <w:rPr>
          <w:rFonts w:hint="eastAsia" w:ascii="宋体" w:hAnsi="宋体"/>
          <w:color w:val="auto"/>
          <w:highlight w:val="none"/>
        </w:rPr>
        <w:t>签订时间：</w:t>
      </w:r>
      <w:r>
        <w:rPr>
          <w:rFonts w:hint="eastAsia" w:ascii="宋体" w:hAnsi="宋体"/>
          <w:color w:val="auto"/>
          <w:highlight w:val="none"/>
          <w:u w:val="single"/>
        </w:rPr>
        <w:t xml:space="preserve">                </w:t>
      </w:r>
    </w:p>
    <w:p w14:paraId="219740FC">
      <w:pPr>
        <w:snapToGrid w:val="0"/>
        <w:spacing w:line="288" w:lineRule="auto"/>
        <w:ind w:firstLine="420" w:firstLineChars="200"/>
        <w:rPr>
          <w:rFonts w:ascii="宋体" w:hAnsi="宋体"/>
          <w:color w:val="auto"/>
          <w:highlight w:val="none"/>
        </w:rPr>
      </w:pPr>
    </w:p>
    <w:p w14:paraId="4E471D1E">
      <w:pPr>
        <w:snapToGrid w:val="0"/>
        <w:spacing w:line="400" w:lineRule="exact"/>
        <w:ind w:firstLine="420" w:firstLineChars="200"/>
        <w:rPr>
          <w:rFonts w:ascii="宋体" w:hAnsi="宋体"/>
          <w:color w:val="auto"/>
          <w:highlight w:val="none"/>
        </w:rPr>
      </w:pPr>
    </w:p>
    <w:p w14:paraId="308393BF">
      <w:pPr>
        <w:snapToGrid w:val="0"/>
        <w:spacing w:line="360" w:lineRule="exact"/>
        <w:ind w:firstLine="420" w:firstLineChars="200"/>
        <w:rPr>
          <w:rFonts w:ascii="宋体" w:hAnsi="宋体"/>
          <w:color w:val="auto"/>
          <w:highlight w:val="none"/>
        </w:rPr>
      </w:pPr>
      <w:r>
        <w:rPr>
          <w:rFonts w:hint="eastAsia" w:ascii="宋体" w:hAnsi="宋体"/>
          <w:color w:val="auto"/>
          <w:highlight w:val="none"/>
        </w:rPr>
        <w:t>根据《中华人民共和国政府采购法》、《中华人民共和国政府采购法实施条例》、《</w:t>
      </w:r>
      <w:r>
        <w:rPr>
          <w:rFonts w:ascii="宋体" w:hAnsi="宋体" w:cs="Arial"/>
          <w:color w:val="auto"/>
          <w:highlight w:val="none"/>
          <w:shd w:val="clear" w:color="auto" w:fill="FFFFFF"/>
        </w:rPr>
        <w:t>中华人民共和国民法典</w:t>
      </w:r>
      <w:r>
        <w:rPr>
          <w:rFonts w:hint="eastAsia" w:ascii="宋体" w:hAnsi="宋体"/>
          <w:color w:val="auto"/>
          <w:highlight w:val="none"/>
        </w:rPr>
        <w:t>》</w:t>
      </w:r>
      <w:r>
        <w:rPr>
          <w:rFonts w:hint="eastAsia" w:ascii="宋体" w:hAnsi="宋体"/>
          <w:color w:val="auto"/>
          <w:szCs w:val="21"/>
          <w:highlight w:val="none"/>
        </w:rPr>
        <w:t>《政府采购竞争性磋商采购方式管理暂行办法》</w:t>
      </w:r>
      <w:r>
        <w:rPr>
          <w:rFonts w:hint="eastAsia" w:ascii="宋体" w:hAnsi="宋体"/>
          <w:color w:val="auto"/>
          <w:highlight w:val="none"/>
        </w:rPr>
        <w:t>等法律、法规规定，甲乙双方签订本合同。</w:t>
      </w:r>
    </w:p>
    <w:p w14:paraId="3F8D1000">
      <w:pPr>
        <w:numPr>
          <w:ilvl w:val="0"/>
          <w:numId w:val="1"/>
        </w:numPr>
        <w:spacing w:line="360" w:lineRule="exact"/>
        <w:ind w:firstLine="413" w:firstLineChars="196"/>
        <w:rPr>
          <w:rFonts w:ascii="宋体" w:hAnsi="宋体"/>
          <w:b/>
          <w:color w:val="auto"/>
          <w:szCs w:val="21"/>
          <w:highlight w:val="none"/>
        </w:rPr>
      </w:pPr>
      <w:r>
        <w:rPr>
          <w:rFonts w:hint="eastAsia" w:ascii="宋体" w:hAnsi="宋体"/>
          <w:b/>
          <w:color w:val="auto"/>
          <w:szCs w:val="21"/>
          <w:highlight w:val="none"/>
        </w:rPr>
        <w:t>合同标的及合同金额</w:t>
      </w:r>
    </w:p>
    <w:p w14:paraId="66F758D2">
      <w:pPr>
        <w:snapToGrid w:val="0"/>
        <w:spacing w:line="360" w:lineRule="exact"/>
        <w:ind w:firstLine="420" w:firstLineChars="200"/>
        <w:rPr>
          <w:rFonts w:ascii="宋体" w:hAnsi="宋体"/>
          <w:color w:val="auto"/>
          <w:highlight w:val="none"/>
        </w:rPr>
      </w:pPr>
      <w:r>
        <w:rPr>
          <w:rFonts w:hint="eastAsia" w:ascii="宋体" w:hAnsi="宋体"/>
          <w:color w:val="auto"/>
          <w:highlight w:val="none"/>
        </w:rPr>
        <w:t>1.校园管理AI服务平台建设1项，技术要求详见“技术要求偏离表”，</w:t>
      </w:r>
    </w:p>
    <w:p w14:paraId="621B4B93">
      <w:pPr>
        <w:snapToGrid w:val="0"/>
        <w:spacing w:line="360" w:lineRule="exact"/>
        <w:ind w:firstLine="420" w:firstLineChars="200"/>
        <w:rPr>
          <w:rFonts w:ascii="宋体" w:hAnsi="宋体"/>
          <w:color w:val="auto"/>
          <w:highlight w:val="none"/>
        </w:rPr>
      </w:pPr>
      <w:r>
        <w:rPr>
          <w:rFonts w:hint="eastAsia" w:ascii="宋体" w:hAnsi="宋体"/>
          <w:color w:val="auto"/>
          <w:highlight w:val="none"/>
        </w:rPr>
        <w:t>2.根据《成交通知书》的成交内容，确认乙方为本项目乙方，合同的总金额为：（大写）人民币</w:t>
      </w:r>
      <w:r>
        <w:rPr>
          <w:rFonts w:hint="eastAsia" w:ascii="宋体" w:hAnsi="宋体"/>
          <w:color w:val="auto"/>
          <w:highlight w:val="none"/>
          <w:u w:val="single"/>
        </w:rPr>
        <w:t xml:space="preserve">       </w:t>
      </w:r>
      <w:r>
        <w:rPr>
          <w:rFonts w:hint="eastAsia" w:ascii="宋体" w:hAnsi="宋体"/>
          <w:color w:val="auto"/>
          <w:highlight w:val="none"/>
        </w:rPr>
        <w:t>（¥</w:t>
      </w:r>
      <w:r>
        <w:rPr>
          <w:rFonts w:hint="eastAsia" w:ascii="宋体" w:hAnsi="宋体"/>
          <w:color w:val="auto"/>
          <w:highlight w:val="none"/>
          <w:u w:val="single"/>
        </w:rPr>
        <w:t xml:space="preserve">       </w:t>
      </w:r>
      <w:r>
        <w:rPr>
          <w:rFonts w:hint="eastAsia" w:ascii="宋体" w:hAnsi="宋体"/>
          <w:color w:val="auto"/>
          <w:highlight w:val="none"/>
        </w:rPr>
        <w:t>元）。合同的总金额包括本次采购范围内软（硬）件产品价款、标准附件、备品备件、专用工具、辅材、安装调试、包装、运输（含保险）、装卸、保险费、各类税费、产品检测、检验费、验收费、售后服务、技术服务、培训（包括但不限于场地费、教材费用等）、技术资料、涉及的人工、差旅以及其他与本项目要求提供的所有伴随服务等一切费用；乙方已综合考虑在报价中。</w:t>
      </w:r>
    </w:p>
    <w:p w14:paraId="2583A4E7">
      <w:pPr>
        <w:spacing w:line="360" w:lineRule="exact"/>
        <w:ind w:firstLine="413" w:firstLineChars="196"/>
        <w:rPr>
          <w:rFonts w:ascii="宋体" w:hAnsi="宋体"/>
          <w:b/>
          <w:color w:val="auto"/>
          <w:szCs w:val="21"/>
          <w:highlight w:val="none"/>
        </w:rPr>
      </w:pPr>
      <w:r>
        <w:rPr>
          <w:rFonts w:hint="eastAsia" w:ascii="宋体" w:hAnsi="宋体"/>
          <w:b/>
          <w:color w:val="auto"/>
          <w:szCs w:val="21"/>
          <w:highlight w:val="none"/>
        </w:rPr>
        <w:t>第二条</w:t>
      </w:r>
      <w:r>
        <w:rPr>
          <w:rFonts w:ascii="宋体" w:hAnsi="宋体"/>
          <w:b/>
          <w:color w:val="auto"/>
          <w:szCs w:val="21"/>
          <w:highlight w:val="none"/>
        </w:rPr>
        <w:t xml:space="preserve">  </w:t>
      </w:r>
      <w:r>
        <w:rPr>
          <w:rFonts w:hint="eastAsia" w:ascii="宋体" w:hAnsi="宋体"/>
          <w:b/>
          <w:color w:val="auto"/>
          <w:szCs w:val="21"/>
          <w:highlight w:val="none"/>
        </w:rPr>
        <w:t>质量保证</w:t>
      </w:r>
    </w:p>
    <w:p w14:paraId="6647E26C">
      <w:pPr>
        <w:spacing w:line="360" w:lineRule="exact"/>
        <w:ind w:firstLine="411" w:firstLineChars="196"/>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乙方应按响应文件承诺的规格型号、技术规格、技术参数、质量标准向甲方提供未经使用的全新原装产品，且在正常安装使用和保养条件下，其使用寿命期内各项指标均达到质量标准。</w:t>
      </w:r>
    </w:p>
    <w:p w14:paraId="560BCB7B">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在维护（保修）期内因产品本身的质量问题发生故障，乙方应负责修理和更换零部件（所涉及的费用包含在报价中，甲方不再另行支付）。对达不到技术要求者，根据实际情况，经双方协商，可按以下办法处理：</w:t>
      </w:r>
    </w:p>
    <w:p w14:paraId="6C4A57C7">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（1）更换：由乙方承担所发生的全部费用。</w:t>
      </w:r>
    </w:p>
    <w:p w14:paraId="5F169A9A">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（2）贬值处理：由甲乙双方合议定价。</w:t>
      </w:r>
    </w:p>
    <w:p w14:paraId="08F9265B">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（3）硬件产品退货处理：乙方应退还甲方支付的合同款，同时应承担该项目的直接费用（运输、保险、检验、货款利息及银行手续费等）。</w:t>
      </w:r>
    </w:p>
    <w:p w14:paraId="5B41B5E1">
      <w:pPr>
        <w:spacing w:line="360" w:lineRule="exact"/>
        <w:ind w:firstLine="413" w:firstLineChars="196"/>
        <w:rPr>
          <w:rFonts w:ascii="宋体" w:hAnsi="宋体"/>
          <w:b/>
          <w:color w:val="auto"/>
          <w:szCs w:val="21"/>
          <w:highlight w:val="none"/>
        </w:rPr>
      </w:pPr>
      <w:r>
        <w:rPr>
          <w:rFonts w:hint="eastAsia" w:ascii="宋体" w:hAnsi="宋体"/>
          <w:b/>
          <w:color w:val="auto"/>
          <w:szCs w:val="21"/>
          <w:highlight w:val="none"/>
        </w:rPr>
        <w:t>第三条</w:t>
      </w:r>
      <w:r>
        <w:rPr>
          <w:rFonts w:ascii="宋体" w:hAnsi="宋体"/>
          <w:b/>
          <w:color w:val="auto"/>
          <w:szCs w:val="21"/>
          <w:highlight w:val="none"/>
        </w:rPr>
        <w:t xml:space="preserve">  </w:t>
      </w:r>
      <w:r>
        <w:rPr>
          <w:rFonts w:hint="eastAsia" w:ascii="宋体" w:hAnsi="宋体"/>
          <w:b/>
          <w:color w:val="auto"/>
          <w:szCs w:val="21"/>
          <w:highlight w:val="none"/>
        </w:rPr>
        <w:t>权力保证</w:t>
      </w:r>
    </w:p>
    <w:p w14:paraId="0DE53B44">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1.乙方应保证所提供服务及相关的设备设施在使用时不会侵犯任何第三方的专利权、商标权、工业设计权或其他权利。</w:t>
      </w:r>
    </w:p>
    <w:p w14:paraId="66B8E8F1">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2.乙方保证所使用的设备设施无任何抵押、质押、查封等产权瑕疵。</w:t>
      </w:r>
    </w:p>
    <w:p w14:paraId="11CB2E60">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3.为保证甲方权益不受侵害，乙方所提供的软件系统产品软件版权产生的任何纠纷以及造成的各项损失，由乙方负责赔偿。</w:t>
      </w:r>
    </w:p>
    <w:p w14:paraId="6D047FE7">
      <w:pPr>
        <w:spacing w:line="360" w:lineRule="exact"/>
        <w:ind w:firstLine="422" w:firstLineChars="200"/>
        <w:rPr>
          <w:rFonts w:ascii="宋体" w:hAnsi="宋体"/>
          <w:b/>
          <w:color w:val="auto"/>
          <w:szCs w:val="21"/>
          <w:highlight w:val="none"/>
        </w:rPr>
      </w:pPr>
      <w:r>
        <w:rPr>
          <w:rFonts w:hint="eastAsia" w:ascii="宋体" w:hAnsi="宋体"/>
          <w:b/>
          <w:color w:val="auto"/>
          <w:szCs w:val="21"/>
          <w:highlight w:val="none"/>
        </w:rPr>
        <w:t>第四条</w:t>
      </w:r>
      <w:r>
        <w:rPr>
          <w:rFonts w:ascii="宋体" w:hAnsi="宋体"/>
          <w:b/>
          <w:color w:val="auto"/>
          <w:szCs w:val="21"/>
          <w:highlight w:val="none"/>
        </w:rPr>
        <w:t xml:space="preserve">  </w:t>
      </w:r>
      <w:r>
        <w:rPr>
          <w:rFonts w:hint="eastAsia" w:ascii="宋体" w:hAnsi="宋体"/>
          <w:b/>
          <w:color w:val="auto"/>
          <w:szCs w:val="21"/>
          <w:highlight w:val="none"/>
        </w:rPr>
        <w:t>货物包装、运输（硬件产品）</w:t>
      </w:r>
    </w:p>
    <w:p w14:paraId="294B4AFE">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1.乙方提供的货物均应按响应文件承诺的包装材料、包装标准、包装方式进行包装，每一包装单元内应附详细的装箱单和质量合格证。</w:t>
      </w:r>
    </w:p>
    <w:p w14:paraId="4D1C02DC">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2.货物的运输方式：不限。</w:t>
      </w:r>
    </w:p>
    <w:p w14:paraId="1907DE7B">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3.乙方负责货物运输，货物运输合理损耗及计算方法：本合同交付货物不接受损耗，由乙方自行为其货物运输办理相关保险。</w:t>
      </w:r>
    </w:p>
    <w:p w14:paraId="7873F62E">
      <w:pPr>
        <w:spacing w:line="360" w:lineRule="exact"/>
        <w:ind w:firstLine="413" w:firstLineChars="196"/>
        <w:rPr>
          <w:rFonts w:ascii="宋体" w:hAnsi="宋体"/>
          <w:b/>
          <w:color w:val="auto"/>
          <w:szCs w:val="21"/>
          <w:highlight w:val="none"/>
        </w:rPr>
      </w:pPr>
      <w:r>
        <w:rPr>
          <w:rFonts w:hint="eastAsia" w:ascii="宋体" w:hAnsi="宋体"/>
          <w:b/>
          <w:color w:val="auto"/>
          <w:szCs w:val="21"/>
          <w:highlight w:val="none"/>
        </w:rPr>
        <w:t>第五条</w:t>
      </w:r>
      <w:r>
        <w:rPr>
          <w:rFonts w:ascii="宋体" w:hAnsi="宋体"/>
          <w:b/>
          <w:color w:val="auto"/>
          <w:szCs w:val="21"/>
          <w:highlight w:val="none"/>
        </w:rPr>
        <w:t xml:space="preserve">  </w:t>
      </w:r>
      <w:r>
        <w:rPr>
          <w:rFonts w:hint="eastAsia" w:ascii="宋体" w:hAnsi="宋体"/>
          <w:b/>
          <w:color w:val="auto"/>
          <w:szCs w:val="21"/>
          <w:highlight w:val="none"/>
        </w:rPr>
        <w:t>交付</w:t>
      </w:r>
    </w:p>
    <w:p w14:paraId="47AF4CB8">
      <w:pPr>
        <w:spacing w:line="360" w:lineRule="exact"/>
        <w:ind w:firstLine="420" w:firstLine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交付时间：</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w:t>
      </w:r>
    </w:p>
    <w:p w14:paraId="03722D20">
      <w:pPr>
        <w:spacing w:line="360" w:lineRule="exact"/>
        <w:ind w:firstLine="630" w:firstLineChars="300"/>
        <w:rPr>
          <w:rFonts w:ascii="宋体" w:hAnsi="宋体"/>
          <w:color w:val="auto"/>
          <w:szCs w:val="21"/>
          <w:highlight w:val="none"/>
        </w:rPr>
      </w:pPr>
      <w:r>
        <w:rPr>
          <w:rFonts w:hint="eastAsia" w:ascii="宋体" w:hAnsi="宋体"/>
          <w:color w:val="auto"/>
          <w:szCs w:val="21"/>
          <w:highlight w:val="none"/>
        </w:rPr>
        <w:t>交付地点：</w:t>
      </w:r>
      <w:r>
        <w:rPr>
          <w:rFonts w:hint="eastAsia" w:ascii="宋体" w:hAnsi="宋体"/>
          <w:color w:val="auto"/>
          <w:szCs w:val="21"/>
          <w:highlight w:val="none"/>
          <w:u w:val="single"/>
        </w:rPr>
        <w:t>广西桂林市甲方指定地点（桂林电子科技大学）</w:t>
      </w:r>
      <w:r>
        <w:rPr>
          <w:rFonts w:hint="eastAsia" w:ascii="宋体" w:hAnsi="宋体"/>
          <w:color w:val="auto"/>
          <w:szCs w:val="21"/>
          <w:highlight w:val="none"/>
        </w:rPr>
        <w:t>。</w:t>
      </w:r>
    </w:p>
    <w:p w14:paraId="1128A25E">
      <w:pPr>
        <w:spacing w:line="360" w:lineRule="exact"/>
        <w:ind w:firstLine="200"/>
        <w:rPr>
          <w:rFonts w:ascii="宋体" w:hAnsi="宋体"/>
          <w:color w:val="auto"/>
          <w:szCs w:val="21"/>
          <w:highlight w:val="none"/>
        </w:rPr>
      </w:pPr>
      <w:r>
        <w:rPr>
          <w:rFonts w:ascii="宋体" w:hAnsi="宋体"/>
          <w:color w:val="auto"/>
          <w:szCs w:val="21"/>
          <w:highlight w:val="none"/>
        </w:rPr>
        <w:t xml:space="preserve">  2.</w:t>
      </w:r>
      <w:r>
        <w:rPr>
          <w:rFonts w:hint="eastAsia" w:ascii="宋体" w:hAnsi="宋体"/>
          <w:color w:val="auto"/>
          <w:szCs w:val="21"/>
          <w:highlight w:val="none"/>
        </w:rPr>
        <w:t>乙方提供不符合竞争性磋商文件及响应文件和本合同规定的产品，甲方有权拒绝接受。</w:t>
      </w:r>
    </w:p>
    <w:p w14:paraId="65920C0A">
      <w:pPr>
        <w:spacing w:line="360" w:lineRule="exact"/>
        <w:ind w:firstLine="200"/>
        <w:rPr>
          <w:rFonts w:ascii="宋体" w:hAnsi="宋体"/>
          <w:color w:val="auto"/>
          <w:szCs w:val="21"/>
          <w:highlight w:val="none"/>
        </w:rPr>
      </w:pPr>
      <w:r>
        <w:rPr>
          <w:rFonts w:ascii="宋体" w:hAnsi="宋体"/>
          <w:color w:val="auto"/>
          <w:szCs w:val="21"/>
          <w:highlight w:val="none"/>
        </w:rPr>
        <w:t xml:space="preserve">  3.</w:t>
      </w:r>
      <w:r>
        <w:rPr>
          <w:rFonts w:hint="eastAsia" w:ascii="宋体" w:hAnsi="宋体"/>
          <w:color w:val="auto"/>
          <w:szCs w:val="21"/>
          <w:highlight w:val="none"/>
        </w:rPr>
        <w:t>乙方应将所有提供硬件产品的装箱清单、用户手册、原厂保修卡、随机资料、工具和备用、备件等交付给甲方、如有缺失应及时补齐，否则视为逾期交付。</w:t>
      </w:r>
    </w:p>
    <w:p w14:paraId="207BAF5B">
      <w:pPr>
        <w:spacing w:line="360" w:lineRule="exact"/>
        <w:ind w:firstLine="200"/>
        <w:rPr>
          <w:rFonts w:ascii="宋体" w:hAnsi="宋体"/>
          <w:b/>
          <w:color w:val="auto"/>
          <w:szCs w:val="21"/>
          <w:highlight w:val="none"/>
        </w:rPr>
      </w:pPr>
      <w:r>
        <w:rPr>
          <w:rFonts w:hint="eastAsia" w:ascii="宋体" w:hAnsi="宋体"/>
          <w:b/>
          <w:color w:val="auto"/>
          <w:szCs w:val="21"/>
          <w:highlight w:val="none"/>
        </w:rPr>
        <w:t>第六条</w:t>
      </w:r>
      <w:r>
        <w:rPr>
          <w:rFonts w:ascii="宋体" w:hAnsi="宋体"/>
          <w:b/>
          <w:color w:val="auto"/>
          <w:szCs w:val="21"/>
          <w:highlight w:val="none"/>
        </w:rPr>
        <w:t xml:space="preserve">  </w:t>
      </w:r>
      <w:r>
        <w:rPr>
          <w:rFonts w:hint="eastAsia" w:ascii="宋体" w:hAnsi="宋体"/>
          <w:b/>
          <w:color w:val="auto"/>
          <w:szCs w:val="21"/>
          <w:highlight w:val="none"/>
        </w:rPr>
        <w:t>调试和验收</w:t>
      </w:r>
    </w:p>
    <w:p w14:paraId="4A406D61">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1.产品全新、完好、无破损，按照竞争性磋商文件及响应文件的各项指标进行验收，所供产品上线时必须实质性满足甲方所要求的产品的所有参数的要求。</w:t>
      </w:r>
    </w:p>
    <w:p w14:paraId="0D4E44A0">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质量标准：产品符合国家相关标准及制造厂家合格产品的出厂质量标准。本项目执行国家相关标准、行业标准、地方标准或者其他标准、规范。如具体采购需求与标准、规范不一致的，高于标准、规范的按具体采购需求执行；低于标准、规范的按标准、规范执行。乙方所提供的产品必须是全新、完好、无破损、未经使用的原装产品，并且实质性满足本项目磋商文件的所有技术要求。产品在正常安装、使用和保养条件下，其使用寿命期内各项指标均达到质量要求。</w:t>
      </w:r>
    </w:p>
    <w:p w14:paraId="56721744">
      <w:pPr>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w:t>
      </w:r>
      <w:r>
        <w:rPr>
          <w:rFonts w:hint="eastAsia" w:ascii="宋体" w:hAnsi="宋体" w:eastAsia="宋体" w:cs="Times New Roman"/>
          <w:color w:val="auto"/>
          <w:szCs w:val="21"/>
          <w:highlight w:val="none"/>
          <w:lang w:eastAsia="zh-CN"/>
        </w:rPr>
        <w:t>甲方</w:t>
      </w:r>
      <w:r>
        <w:rPr>
          <w:rFonts w:hint="eastAsia" w:ascii="宋体" w:hAnsi="宋体" w:eastAsia="宋体" w:cs="Times New Roman"/>
          <w:color w:val="auto"/>
          <w:szCs w:val="21"/>
          <w:highlight w:val="none"/>
        </w:rPr>
        <w:t>测试系统的技术性能指标，确认各项功能正常运行。</w:t>
      </w:r>
      <w:r>
        <w:rPr>
          <w:rFonts w:hint="eastAsia" w:ascii="宋体" w:hAnsi="宋体" w:eastAsia="宋体" w:cs="Times New Roman"/>
          <w:color w:val="auto"/>
          <w:szCs w:val="21"/>
          <w:highlight w:val="none"/>
          <w:lang w:eastAsia="zh-CN"/>
        </w:rPr>
        <w:t>乙方</w:t>
      </w:r>
      <w:r>
        <w:rPr>
          <w:rFonts w:hint="eastAsia" w:ascii="宋体" w:hAnsi="宋体" w:eastAsia="宋体" w:cs="Times New Roman"/>
          <w:color w:val="auto"/>
          <w:szCs w:val="21"/>
          <w:highlight w:val="none"/>
        </w:rPr>
        <w:t>提供软件系统的关键性的文档，包括必要的接口数据库字典、系统架构文档、平台部署架构及过程文档、测试文档、培训文档、安装手册和操作手册等各个阶段产生的全面、规范的成果和文档资料等交付给</w:t>
      </w:r>
      <w:r>
        <w:rPr>
          <w:rFonts w:hint="eastAsia" w:ascii="宋体" w:hAnsi="宋体" w:eastAsia="宋体" w:cs="Times New Roman"/>
          <w:color w:val="auto"/>
          <w:szCs w:val="21"/>
          <w:highlight w:val="none"/>
          <w:lang w:eastAsia="zh-CN"/>
        </w:rPr>
        <w:t>甲方</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eastAsia="zh-CN"/>
        </w:rPr>
        <w:t>甲方</w:t>
      </w:r>
      <w:r>
        <w:rPr>
          <w:rFonts w:hint="eastAsia" w:ascii="宋体" w:hAnsi="宋体" w:eastAsia="宋体" w:cs="Times New Roman"/>
          <w:color w:val="auto"/>
          <w:szCs w:val="21"/>
          <w:highlight w:val="none"/>
        </w:rPr>
        <w:t>根据最终的验收报告，确认各项功能正常运行，同时检查随机文件应齐整，即可验收。</w:t>
      </w:r>
    </w:p>
    <w:p w14:paraId="25ABC896">
      <w:pPr>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4.本项目所有系统功能模块，有权要求</w:t>
      </w:r>
      <w:r>
        <w:rPr>
          <w:rFonts w:hint="eastAsia" w:ascii="宋体" w:hAnsi="宋体" w:eastAsia="宋体" w:cs="Times New Roman"/>
          <w:color w:val="auto"/>
          <w:szCs w:val="21"/>
          <w:highlight w:val="none"/>
          <w:lang w:eastAsia="zh-CN"/>
        </w:rPr>
        <w:t>乙方</w:t>
      </w:r>
      <w:r>
        <w:rPr>
          <w:rFonts w:hint="eastAsia" w:ascii="宋体" w:hAnsi="宋体" w:eastAsia="宋体" w:cs="Times New Roman"/>
          <w:color w:val="auto"/>
          <w:szCs w:val="21"/>
          <w:highlight w:val="none"/>
        </w:rPr>
        <w:t>提供本项系统软件功能的测试环境试用或进行相关的功能演示（或试运行测评），试运行测评完成后，不通过或功能无法按响应实现的，将不予验收。</w:t>
      </w:r>
      <w:r>
        <w:rPr>
          <w:rFonts w:hint="eastAsia" w:ascii="宋体" w:hAnsi="宋体" w:eastAsia="宋体" w:cs="Times New Roman"/>
          <w:color w:val="auto"/>
          <w:szCs w:val="21"/>
          <w:highlight w:val="none"/>
          <w:lang w:eastAsia="zh-CN"/>
        </w:rPr>
        <w:t>乙方</w:t>
      </w:r>
      <w:r>
        <w:rPr>
          <w:rFonts w:hint="eastAsia" w:ascii="宋体" w:hAnsi="宋体" w:eastAsia="宋体" w:cs="Times New Roman"/>
          <w:color w:val="auto"/>
          <w:szCs w:val="21"/>
          <w:highlight w:val="none"/>
        </w:rPr>
        <w:t>须退回</w:t>
      </w:r>
      <w:r>
        <w:rPr>
          <w:rFonts w:hint="eastAsia" w:ascii="宋体" w:hAnsi="宋体" w:eastAsia="宋体" w:cs="Times New Roman"/>
          <w:color w:val="auto"/>
          <w:szCs w:val="21"/>
          <w:highlight w:val="none"/>
          <w:lang w:eastAsia="zh-CN"/>
        </w:rPr>
        <w:t>甲方</w:t>
      </w:r>
      <w:r>
        <w:rPr>
          <w:rFonts w:hint="eastAsia" w:ascii="宋体" w:hAnsi="宋体" w:eastAsia="宋体" w:cs="Times New Roman"/>
          <w:color w:val="auto"/>
          <w:szCs w:val="21"/>
          <w:highlight w:val="none"/>
        </w:rPr>
        <w:t>已经支付的所有款项，并须承担无法验收给</w:t>
      </w:r>
      <w:r>
        <w:rPr>
          <w:rFonts w:hint="eastAsia" w:ascii="宋体" w:hAnsi="宋体" w:eastAsia="宋体" w:cs="Times New Roman"/>
          <w:color w:val="auto"/>
          <w:szCs w:val="21"/>
          <w:highlight w:val="none"/>
          <w:lang w:eastAsia="zh-CN"/>
        </w:rPr>
        <w:t>甲方</w:t>
      </w:r>
      <w:r>
        <w:rPr>
          <w:rFonts w:hint="eastAsia" w:ascii="宋体" w:hAnsi="宋体" w:eastAsia="宋体" w:cs="Times New Roman"/>
          <w:color w:val="auto"/>
          <w:szCs w:val="21"/>
          <w:highlight w:val="none"/>
        </w:rPr>
        <w:t>造成的损失。对于存在虚假响应行为的</w:t>
      </w:r>
      <w:r>
        <w:rPr>
          <w:rFonts w:hint="eastAsia" w:ascii="宋体" w:hAnsi="宋体" w:eastAsia="宋体" w:cs="Times New Roman"/>
          <w:color w:val="auto"/>
          <w:szCs w:val="21"/>
          <w:highlight w:val="none"/>
          <w:lang w:eastAsia="zh-CN"/>
        </w:rPr>
        <w:t>乙方</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eastAsia="zh-CN"/>
        </w:rPr>
        <w:t>甲方</w:t>
      </w:r>
      <w:r>
        <w:rPr>
          <w:rFonts w:hint="eastAsia" w:ascii="宋体" w:hAnsi="宋体" w:eastAsia="宋体" w:cs="Times New Roman"/>
          <w:color w:val="auto"/>
          <w:szCs w:val="21"/>
          <w:highlight w:val="none"/>
        </w:rPr>
        <w:t>将依法依规将其违规行为上报至相关监督管理机构，并追究其因此给</w:t>
      </w:r>
      <w:r>
        <w:rPr>
          <w:rFonts w:hint="eastAsia" w:ascii="宋体" w:hAnsi="宋体" w:eastAsia="宋体" w:cs="Times New Roman"/>
          <w:color w:val="auto"/>
          <w:szCs w:val="21"/>
          <w:highlight w:val="none"/>
          <w:lang w:eastAsia="zh-CN"/>
        </w:rPr>
        <w:t>甲方</w:t>
      </w:r>
      <w:r>
        <w:rPr>
          <w:rFonts w:hint="eastAsia" w:ascii="宋体" w:hAnsi="宋体" w:eastAsia="宋体" w:cs="Times New Roman"/>
          <w:color w:val="auto"/>
          <w:szCs w:val="21"/>
          <w:highlight w:val="none"/>
        </w:rPr>
        <w:t>造成的全部责任及损失。</w:t>
      </w:r>
    </w:p>
    <w:p w14:paraId="287200C7">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5.供货时乙方必须向甲方提供所竞“存储系统”生产厂家出具的售后服务承诺函和授权书原件（加盖生产厂家公章），否则，不予验收。</w:t>
      </w:r>
    </w:p>
    <w:p w14:paraId="786947D3">
      <w:pPr>
        <w:tabs>
          <w:tab w:val="left" w:pos="0"/>
        </w:tabs>
        <w:spacing w:line="360" w:lineRule="exact"/>
        <w:ind w:firstLine="422" w:firstLineChars="200"/>
        <w:rPr>
          <w:rFonts w:ascii="宋体" w:hAnsi="宋体"/>
          <w:color w:val="auto"/>
          <w:szCs w:val="21"/>
          <w:highlight w:val="none"/>
        </w:rPr>
      </w:pPr>
      <w:r>
        <w:rPr>
          <w:rFonts w:hint="eastAsia" w:ascii="宋体" w:hAnsi="宋体"/>
          <w:b/>
          <w:color w:val="auto"/>
          <w:szCs w:val="21"/>
          <w:highlight w:val="none"/>
        </w:rPr>
        <w:t>第七条</w:t>
      </w:r>
      <w:r>
        <w:rPr>
          <w:rFonts w:ascii="宋体" w:hAnsi="宋体"/>
          <w:b/>
          <w:color w:val="auto"/>
          <w:szCs w:val="21"/>
          <w:highlight w:val="none"/>
        </w:rPr>
        <w:t xml:space="preserve">  </w:t>
      </w:r>
      <w:r>
        <w:rPr>
          <w:rFonts w:hint="eastAsia" w:ascii="宋体" w:hAnsi="宋体"/>
          <w:b/>
          <w:color w:val="auto"/>
          <w:szCs w:val="21"/>
          <w:highlight w:val="none"/>
        </w:rPr>
        <w:t>售后服务</w:t>
      </w:r>
    </w:p>
    <w:p w14:paraId="35EFA15C">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1.乙方应按照国家有关法律法规和“三包”规定以及响应文件承诺，为甲方提供售后服务。</w:t>
      </w:r>
    </w:p>
    <w:p w14:paraId="2E833B56">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2.维护（保修）期：</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3AC77E27">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3.乙方提供的服务承诺和售后服务及维护（保修）期责任等其他具体约定事项（见合同附件）</w:t>
      </w:r>
    </w:p>
    <w:p w14:paraId="5DC79E57">
      <w:pPr>
        <w:spacing w:line="360" w:lineRule="exact"/>
        <w:ind w:firstLine="413" w:firstLineChars="196"/>
        <w:rPr>
          <w:rFonts w:ascii="宋体" w:hAnsi="宋体"/>
          <w:b/>
          <w:color w:val="auto"/>
          <w:szCs w:val="21"/>
          <w:highlight w:val="none"/>
        </w:rPr>
      </w:pPr>
      <w:r>
        <w:rPr>
          <w:rFonts w:hint="eastAsia" w:ascii="宋体" w:hAnsi="宋体"/>
          <w:b/>
          <w:color w:val="auto"/>
          <w:szCs w:val="21"/>
          <w:highlight w:val="none"/>
        </w:rPr>
        <w:t>第八条</w:t>
      </w:r>
      <w:r>
        <w:rPr>
          <w:rFonts w:ascii="宋体" w:hAnsi="宋体"/>
          <w:b/>
          <w:color w:val="auto"/>
          <w:szCs w:val="21"/>
          <w:highlight w:val="none"/>
        </w:rPr>
        <w:t xml:space="preserve">  </w:t>
      </w:r>
      <w:r>
        <w:rPr>
          <w:rFonts w:hint="eastAsia" w:ascii="宋体" w:hAnsi="宋体"/>
          <w:b/>
          <w:color w:val="auto"/>
          <w:szCs w:val="21"/>
          <w:highlight w:val="none"/>
        </w:rPr>
        <w:t>税费</w:t>
      </w:r>
    </w:p>
    <w:p w14:paraId="5898DFDC">
      <w:pPr>
        <w:spacing w:line="360" w:lineRule="exact"/>
        <w:ind w:firstLine="411" w:firstLineChars="196"/>
        <w:rPr>
          <w:rFonts w:ascii="宋体" w:hAnsi="宋体"/>
          <w:color w:val="auto"/>
          <w:szCs w:val="21"/>
          <w:highlight w:val="none"/>
        </w:rPr>
      </w:pPr>
      <w:r>
        <w:rPr>
          <w:rFonts w:hint="eastAsia" w:ascii="宋体" w:hAnsi="宋体"/>
          <w:color w:val="auto"/>
          <w:szCs w:val="21"/>
          <w:highlight w:val="none"/>
        </w:rPr>
        <w:t>本合同执行中相关的一切税费均由乙方负担。</w:t>
      </w:r>
    </w:p>
    <w:p w14:paraId="7185C224">
      <w:pPr>
        <w:spacing w:line="360" w:lineRule="exact"/>
        <w:ind w:firstLine="422" w:firstLineChars="200"/>
        <w:rPr>
          <w:rFonts w:ascii="宋体" w:hAnsi="宋体"/>
          <w:b/>
          <w:color w:val="auto"/>
          <w:szCs w:val="21"/>
          <w:highlight w:val="none"/>
        </w:rPr>
      </w:pPr>
      <w:r>
        <w:rPr>
          <w:rFonts w:hint="eastAsia" w:ascii="宋体" w:hAnsi="宋体"/>
          <w:b/>
          <w:color w:val="auto"/>
          <w:szCs w:val="21"/>
          <w:highlight w:val="none"/>
        </w:rPr>
        <w:t>第九条　付款方式</w:t>
      </w:r>
    </w:p>
    <w:p w14:paraId="423F559F">
      <w:pPr>
        <w:spacing w:line="360" w:lineRule="exact"/>
        <w:ind w:firstLine="411" w:firstLineChars="196"/>
        <w:rPr>
          <w:rFonts w:ascii="宋体" w:hAnsi="宋体"/>
          <w:color w:val="auto"/>
          <w:highlight w:val="none"/>
        </w:rPr>
      </w:pPr>
      <w:r>
        <w:rPr>
          <w:rFonts w:hint="eastAsia" w:ascii="宋体" w:hAnsi="宋体"/>
          <w:color w:val="auto"/>
          <w:szCs w:val="21"/>
          <w:highlight w:val="none"/>
        </w:rPr>
        <w:t>在交付验收合格、培训指导完成及设备正常使用后，</w:t>
      </w:r>
      <w:r>
        <w:rPr>
          <w:rFonts w:hint="eastAsia" w:ascii="宋体" w:hAnsi="宋体"/>
          <w:color w:val="auto"/>
          <w:szCs w:val="21"/>
          <w:highlight w:val="none"/>
          <w:lang w:eastAsia="zh-CN"/>
        </w:rPr>
        <w:t>乙方</w:t>
      </w:r>
      <w:r>
        <w:rPr>
          <w:rFonts w:hint="eastAsia" w:ascii="宋体" w:hAnsi="宋体"/>
          <w:color w:val="auto"/>
          <w:szCs w:val="21"/>
          <w:highlight w:val="none"/>
        </w:rPr>
        <w:t>在3日内开具发票给</w:t>
      </w:r>
      <w:r>
        <w:rPr>
          <w:rFonts w:hint="eastAsia" w:ascii="宋体" w:hAnsi="宋体"/>
          <w:color w:val="auto"/>
          <w:szCs w:val="21"/>
          <w:highlight w:val="none"/>
          <w:lang w:eastAsia="zh-CN"/>
        </w:rPr>
        <w:t>甲方</w:t>
      </w:r>
      <w:r>
        <w:rPr>
          <w:rFonts w:hint="eastAsia" w:ascii="宋体" w:hAnsi="宋体"/>
          <w:color w:val="auto"/>
          <w:szCs w:val="21"/>
          <w:highlight w:val="none"/>
        </w:rPr>
        <w:t>，</w:t>
      </w:r>
      <w:r>
        <w:rPr>
          <w:rFonts w:hint="eastAsia" w:ascii="宋体" w:hAnsi="宋体"/>
          <w:color w:val="auto"/>
          <w:szCs w:val="21"/>
          <w:highlight w:val="none"/>
          <w:lang w:eastAsia="zh-CN"/>
        </w:rPr>
        <w:t>甲方</w:t>
      </w:r>
      <w:r>
        <w:rPr>
          <w:rFonts w:hint="eastAsia" w:ascii="宋体" w:hAnsi="宋体"/>
          <w:color w:val="auto"/>
          <w:szCs w:val="21"/>
          <w:highlight w:val="none"/>
        </w:rPr>
        <w:t>在10个工作日内支付100％的合同金额（无预付款</w:t>
      </w:r>
      <w:r>
        <w:rPr>
          <w:rFonts w:hint="eastAsia" w:ascii="宋体" w:hAnsi="宋体"/>
          <w:color w:val="auto"/>
          <w:szCs w:val="21"/>
          <w:highlight w:val="none"/>
          <w:lang w:eastAsia="zh-CN"/>
        </w:rPr>
        <w:t>，无息</w:t>
      </w:r>
      <w:r>
        <w:rPr>
          <w:rFonts w:hint="eastAsia" w:ascii="宋体" w:hAnsi="宋体"/>
          <w:color w:val="auto"/>
          <w:szCs w:val="21"/>
          <w:highlight w:val="none"/>
        </w:rPr>
        <w:t>）。</w:t>
      </w:r>
    </w:p>
    <w:p w14:paraId="3B401492">
      <w:pPr>
        <w:spacing w:line="360" w:lineRule="exact"/>
        <w:ind w:firstLine="413" w:firstLineChars="196"/>
        <w:rPr>
          <w:rFonts w:ascii="宋体" w:hAnsi="宋体"/>
          <w:b/>
          <w:color w:val="auto"/>
          <w:szCs w:val="21"/>
          <w:highlight w:val="none"/>
        </w:rPr>
      </w:pPr>
      <w:r>
        <w:rPr>
          <w:rFonts w:hint="eastAsia" w:ascii="宋体" w:hAnsi="宋体"/>
          <w:b/>
          <w:color w:val="auto"/>
          <w:szCs w:val="21"/>
          <w:highlight w:val="none"/>
        </w:rPr>
        <w:t>第十条</w:t>
      </w:r>
      <w:r>
        <w:rPr>
          <w:rFonts w:ascii="宋体" w:hAnsi="宋体"/>
          <w:b/>
          <w:color w:val="auto"/>
          <w:szCs w:val="21"/>
          <w:highlight w:val="none"/>
        </w:rPr>
        <w:t xml:space="preserve"> </w:t>
      </w:r>
      <w:r>
        <w:rPr>
          <w:rFonts w:hint="eastAsia" w:ascii="宋体" w:hAnsi="宋体"/>
          <w:b/>
          <w:color w:val="auto"/>
          <w:szCs w:val="21"/>
          <w:highlight w:val="none"/>
        </w:rPr>
        <w:t>履约保证金</w:t>
      </w:r>
    </w:p>
    <w:p w14:paraId="3BE25086">
      <w:pPr>
        <w:tabs>
          <w:tab w:val="left" w:pos="1140"/>
        </w:tabs>
        <w:spacing w:line="360" w:lineRule="exact"/>
        <w:ind w:firstLine="420" w:firstLineChars="200"/>
        <w:rPr>
          <w:rFonts w:ascii="宋体" w:hAnsi="宋体"/>
          <w:color w:val="auto"/>
          <w:kern w:val="0"/>
          <w:highlight w:val="none"/>
        </w:rPr>
      </w:pPr>
      <w:r>
        <w:rPr>
          <w:rFonts w:hint="eastAsia" w:ascii="宋体" w:hAnsi="宋体"/>
          <w:color w:val="auto"/>
          <w:kern w:val="0"/>
          <w:highlight w:val="none"/>
        </w:rPr>
        <w:t>1.履约保证金金额：成交金额的5%（如乙方为中小微企业的，按成交金额的2%提交）。</w:t>
      </w:r>
    </w:p>
    <w:p w14:paraId="26E4482D">
      <w:pPr>
        <w:tabs>
          <w:tab w:val="left" w:pos="1140"/>
        </w:tabs>
        <w:spacing w:line="360" w:lineRule="exact"/>
        <w:ind w:firstLine="420" w:firstLineChars="200"/>
        <w:rPr>
          <w:rFonts w:ascii="宋体" w:hAnsi="宋体"/>
          <w:color w:val="auto"/>
          <w:kern w:val="0"/>
          <w:highlight w:val="none"/>
        </w:rPr>
      </w:pPr>
      <w:r>
        <w:rPr>
          <w:rFonts w:hint="eastAsia" w:ascii="宋体" w:hAnsi="宋体"/>
          <w:color w:val="auto"/>
          <w:kern w:val="0"/>
          <w:highlight w:val="none"/>
        </w:rPr>
        <w:t>2.履约保证金提交方式：银行转账、支票、汇票、本票或者金融机构、担保机构出具的保函（包含电子保函）等非现金方式。</w:t>
      </w:r>
    </w:p>
    <w:p w14:paraId="21ED0655">
      <w:pPr>
        <w:tabs>
          <w:tab w:val="left" w:pos="1140"/>
        </w:tabs>
        <w:spacing w:line="360" w:lineRule="exact"/>
        <w:ind w:firstLine="420" w:firstLineChars="200"/>
        <w:rPr>
          <w:rFonts w:ascii="宋体" w:hAnsi="宋体"/>
          <w:color w:val="auto"/>
          <w:kern w:val="0"/>
          <w:highlight w:val="none"/>
        </w:rPr>
      </w:pPr>
      <w:r>
        <w:rPr>
          <w:rFonts w:hint="eastAsia" w:ascii="宋体" w:hAnsi="宋体"/>
          <w:color w:val="auto"/>
          <w:kern w:val="0"/>
          <w:highlight w:val="none"/>
        </w:rPr>
        <w:t>3.履约保证金提交期限： 自成交通知书发出之日起25日内（但必须在签订合同前）。</w:t>
      </w:r>
    </w:p>
    <w:p w14:paraId="20D89C7C">
      <w:pPr>
        <w:tabs>
          <w:tab w:val="left" w:pos="1140"/>
        </w:tabs>
        <w:spacing w:line="360" w:lineRule="exact"/>
        <w:ind w:firstLine="420" w:firstLineChars="200"/>
        <w:rPr>
          <w:rFonts w:ascii="宋体" w:hAnsi="宋体"/>
          <w:color w:val="auto"/>
          <w:kern w:val="0"/>
          <w:highlight w:val="none"/>
        </w:rPr>
      </w:pPr>
      <w:r>
        <w:rPr>
          <w:rFonts w:hint="eastAsia" w:ascii="宋体" w:hAnsi="宋体"/>
          <w:color w:val="auto"/>
          <w:kern w:val="0"/>
          <w:highlight w:val="none"/>
        </w:rPr>
        <w:t>4.履约保证金退付方式、时间及条件：</w:t>
      </w:r>
    </w:p>
    <w:p w14:paraId="744A07A3">
      <w:pPr>
        <w:tabs>
          <w:tab w:val="left" w:pos="1140"/>
        </w:tabs>
        <w:spacing w:line="360" w:lineRule="exact"/>
        <w:ind w:firstLine="420" w:firstLineChars="200"/>
        <w:rPr>
          <w:rFonts w:ascii="宋体" w:hAnsi="宋体"/>
          <w:color w:val="auto"/>
          <w:kern w:val="0"/>
          <w:highlight w:val="none"/>
        </w:rPr>
      </w:pPr>
      <w:r>
        <w:rPr>
          <w:rFonts w:hint="eastAsia" w:ascii="宋体" w:hAnsi="宋体"/>
          <w:color w:val="auto"/>
          <w:kern w:val="0"/>
          <w:highlight w:val="none"/>
        </w:rPr>
        <w:t>（1）乙方履行完合同约定权利义务事项且</w:t>
      </w:r>
      <w:r>
        <w:rPr>
          <w:rFonts w:hint="eastAsia" w:ascii="宋体" w:hAnsi="宋体"/>
          <w:color w:val="auto"/>
          <w:szCs w:val="21"/>
          <w:highlight w:val="none"/>
        </w:rPr>
        <w:t>维护（保修）</w:t>
      </w:r>
      <w:r>
        <w:rPr>
          <w:rFonts w:hint="eastAsia" w:ascii="宋体" w:hAnsi="宋体"/>
          <w:color w:val="auto"/>
          <w:kern w:val="0"/>
          <w:highlight w:val="none"/>
        </w:rPr>
        <w:t>期满后无违约情况，凭《项目验收单》 和履约保证金交纳凭证向甲方申请办理退还手续，甲方不得额外要求乙方提交其他证明材料，并应当自收到退还资料之日起5个工作日内退还其履约保证金（无息）。如乙方不按双方签订的合同规定履约，则没收其全部履约保证金，履约保证金不足以赔偿损失的，按实际损失赔偿。</w:t>
      </w:r>
    </w:p>
    <w:p w14:paraId="70283839">
      <w:pPr>
        <w:tabs>
          <w:tab w:val="left" w:pos="1140"/>
        </w:tabs>
        <w:spacing w:line="360" w:lineRule="exact"/>
        <w:ind w:firstLine="420" w:firstLineChars="200"/>
        <w:rPr>
          <w:rFonts w:ascii="宋体" w:hAnsi="宋体"/>
          <w:color w:val="auto"/>
          <w:kern w:val="0"/>
          <w:highlight w:val="none"/>
        </w:rPr>
      </w:pPr>
      <w:r>
        <w:rPr>
          <w:rFonts w:hint="eastAsia" w:ascii="宋体" w:hAnsi="宋体"/>
          <w:color w:val="auto"/>
          <w:kern w:val="0"/>
          <w:highlight w:val="none"/>
        </w:rPr>
        <w:t>（2）在履约保证金退还日期前，若乙方的开户名称、开户银行、账号有变动的，请以书面形式通知履约保证金收取单位，否则由此产生的后果由乙方自负。</w:t>
      </w:r>
    </w:p>
    <w:p w14:paraId="44887E97">
      <w:pPr>
        <w:tabs>
          <w:tab w:val="left" w:pos="1140"/>
        </w:tabs>
        <w:spacing w:line="360" w:lineRule="exact"/>
        <w:ind w:firstLine="420" w:firstLineChars="200"/>
        <w:rPr>
          <w:rFonts w:ascii="宋体" w:hAnsi="宋体"/>
          <w:color w:val="auto"/>
          <w:kern w:val="0"/>
          <w:highlight w:val="none"/>
        </w:rPr>
      </w:pPr>
      <w:r>
        <w:rPr>
          <w:rFonts w:hint="eastAsia" w:ascii="宋体" w:hAnsi="宋体"/>
          <w:color w:val="auto"/>
          <w:kern w:val="0"/>
          <w:highlight w:val="none"/>
        </w:rPr>
        <w:t>（3）乙方在签订合同后存在违约情形的，履约保证金不予退还。履约保证金不足以赔偿损失的，按实际损失赔偿。</w:t>
      </w:r>
    </w:p>
    <w:p w14:paraId="0324851B">
      <w:pPr>
        <w:tabs>
          <w:tab w:val="left" w:pos="1140"/>
        </w:tabs>
        <w:spacing w:line="360" w:lineRule="exact"/>
        <w:ind w:firstLine="420" w:firstLineChars="200"/>
        <w:rPr>
          <w:rFonts w:ascii="宋体" w:hAnsi="宋体"/>
          <w:color w:val="auto"/>
          <w:kern w:val="0"/>
          <w:highlight w:val="none"/>
        </w:rPr>
      </w:pPr>
      <w:r>
        <w:rPr>
          <w:rFonts w:hint="eastAsia" w:ascii="宋体" w:hAnsi="宋体"/>
          <w:color w:val="auto"/>
          <w:kern w:val="0"/>
          <w:highlight w:val="none"/>
        </w:rPr>
        <w:t>5.履约保证金指定账户：</w:t>
      </w:r>
    </w:p>
    <w:p w14:paraId="27207632">
      <w:pPr>
        <w:tabs>
          <w:tab w:val="left" w:pos="1140"/>
        </w:tabs>
        <w:spacing w:line="360" w:lineRule="exact"/>
        <w:ind w:firstLine="420" w:firstLineChars="200"/>
        <w:rPr>
          <w:rFonts w:ascii="宋体" w:hAnsi="宋体"/>
          <w:color w:val="auto"/>
          <w:kern w:val="0"/>
          <w:highlight w:val="none"/>
        </w:rPr>
      </w:pPr>
      <w:r>
        <w:rPr>
          <w:rFonts w:hint="eastAsia" w:ascii="宋体" w:hAnsi="宋体"/>
          <w:color w:val="auto"/>
          <w:kern w:val="0"/>
          <w:highlight w:val="none"/>
        </w:rPr>
        <w:t>开户名称：桂林电子科技大学；</w:t>
      </w:r>
    </w:p>
    <w:p w14:paraId="2EA932D2">
      <w:pPr>
        <w:tabs>
          <w:tab w:val="left" w:pos="1140"/>
        </w:tabs>
        <w:spacing w:line="360" w:lineRule="exact"/>
        <w:ind w:firstLine="420" w:firstLineChars="200"/>
        <w:rPr>
          <w:rFonts w:ascii="宋体" w:hAnsi="宋体"/>
          <w:color w:val="auto"/>
          <w:kern w:val="0"/>
          <w:highlight w:val="none"/>
        </w:rPr>
      </w:pPr>
      <w:r>
        <w:rPr>
          <w:rFonts w:hint="eastAsia" w:ascii="宋体" w:hAnsi="宋体"/>
          <w:color w:val="auto"/>
          <w:kern w:val="0"/>
          <w:highlight w:val="none"/>
        </w:rPr>
        <w:t>开户银行：桂林市工行屏风支行；</w:t>
      </w:r>
    </w:p>
    <w:p w14:paraId="3E90A71A">
      <w:pPr>
        <w:tabs>
          <w:tab w:val="left" w:pos="1140"/>
        </w:tabs>
        <w:spacing w:line="360" w:lineRule="exact"/>
        <w:ind w:firstLine="420" w:firstLineChars="200"/>
        <w:rPr>
          <w:rFonts w:ascii="宋体" w:hAnsi="宋体"/>
          <w:color w:val="auto"/>
          <w:kern w:val="0"/>
          <w:highlight w:val="none"/>
        </w:rPr>
      </w:pPr>
      <w:r>
        <w:rPr>
          <w:rFonts w:hint="eastAsia" w:ascii="宋体" w:hAnsi="宋体"/>
          <w:color w:val="auto"/>
          <w:kern w:val="0"/>
          <w:highlight w:val="none"/>
        </w:rPr>
        <w:t>银行账号：2103 2152 0924 9017 694。</w:t>
      </w:r>
    </w:p>
    <w:p w14:paraId="7CDFE887">
      <w:pPr>
        <w:tabs>
          <w:tab w:val="left" w:pos="1140"/>
        </w:tabs>
        <w:spacing w:line="360" w:lineRule="exact"/>
        <w:ind w:firstLine="420" w:firstLineChars="200"/>
        <w:rPr>
          <w:rFonts w:ascii="宋体" w:hAnsi="宋体"/>
          <w:color w:val="auto"/>
          <w:kern w:val="0"/>
          <w:highlight w:val="none"/>
        </w:rPr>
      </w:pPr>
      <w:r>
        <w:rPr>
          <w:rFonts w:hint="eastAsia" w:ascii="宋体" w:hAnsi="宋体"/>
          <w:color w:val="auto"/>
          <w:kern w:val="0"/>
          <w:highlight w:val="none"/>
        </w:rPr>
        <w:t>注：履约保证金不足额缴纳的（包含保函额度不足的），或者不按规定提交方式提交的，或者未在规定提交期限缴纳的，或者保函有效期低于合同履行期限（即合同中规定的当事人履行自己的义务，如交付标的物、价款或者报酬，履行劳务、完成工作的时间界限）的，不予签订合同。</w:t>
      </w:r>
    </w:p>
    <w:p w14:paraId="3E35FD4D">
      <w:pPr>
        <w:spacing w:line="360" w:lineRule="exact"/>
        <w:ind w:firstLine="413" w:firstLineChars="196"/>
        <w:rPr>
          <w:rFonts w:ascii="宋体" w:hAnsi="宋体"/>
          <w:b/>
          <w:color w:val="auto"/>
          <w:szCs w:val="21"/>
          <w:highlight w:val="none"/>
        </w:rPr>
      </w:pPr>
      <w:r>
        <w:rPr>
          <w:rFonts w:hint="eastAsia" w:ascii="宋体" w:hAnsi="宋体"/>
          <w:b/>
          <w:color w:val="auto"/>
          <w:szCs w:val="21"/>
          <w:highlight w:val="none"/>
        </w:rPr>
        <w:t>第十一条</w:t>
      </w:r>
      <w:r>
        <w:rPr>
          <w:rFonts w:ascii="宋体" w:hAnsi="宋体"/>
          <w:b/>
          <w:color w:val="auto"/>
          <w:szCs w:val="21"/>
          <w:highlight w:val="none"/>
        </w:rPr>
        <w:t xml:space="preserve">  </w:t>
      </w:r>
      <w:r>
        <w:rPr>
          <w:rFonts w:hint="eastAsia" w:ascii="宋体" w:hAnsi="宋体"/>
          <w:b/>
          <w:color w:val="auto"/>
          <w:szCs w:val="21"/>
          <w:highlight w:val="none"/>
        </w:rPr>
        <w:t>违约责任</w:t>
      </w:r>
    </w:p>
    <w:p w14:paraId="6138ECB4">
      <w:pPr>
        <w:spacing w:line="360" w:lineRule="exact"/>
        <w:ind w:firstLine="411" w:firstLineChars="196"/>
        <w:rPr>
          <w:rFonts w:ascii="宋体" w:hAnsi="宋体"/>
          <w:color w:val="auto"/>
          <w:szCs w:val="21"/>
          <w:highlight w:val="none"/>
        </w:rPr>
      </w:pPr>
      <w:r>
        <w:rPr>
          <w:rFonts w:hint="eastAsia" w:ascii="宋体" w:hAnsi="宋体"/>
          <w:color w:val="auto"/>
          <w:szCs w:val="21"/>
          <w:highlight w:val="none"/>
        </w:rPr>
        <w:t>1.乙方所提供的产品规格、技术标准、材料等质量不合格的，乙方应向甲方支付合同金额5%违约金并赔偿甲方经济损失。</w:t>
      </w:r>
    </w:p>
    <w:p w14:paraId="693AD27F">
      <w:pPr>
        <w:spacing w:line="360" w:lineRule="exact"/>
        <w:ind w:firstLine="411" w:firstLineChars="196"/>
        <w:rPr>
          <w:rFonts w:ascii="宋体" w:hAnsi="宋体"/>
          <w:color w:val="auto"/>
          <w:szCs w:val="21"/>
          <w:highlight w:val="none"/>
        </w:rPr>
      </w:pPr>
      <w:r>
        <w:rPr>
          <w:rFonts w:hint="eastAsia" w:ascii="宋体" w:hAnsi="宋体"/>
          <w:color w:val="auto"/>
          <w:szCs w:val="21"/>
          <w:highlight w:val="none"/>
        </w:rPr>
        <w:t>2.乙方提供的产品如果侵犯了第三方合法权益而引发的任何纠纷或诉讼，均由乙方负责交涉并承担全部责任。</w:t>
      </w:r>
    </w:p>
    <w:p w14:paraId="42C2268D">
      <w:pPr>
        <w:spacing w:line="360" w:lineRule="exact"/>
        <w:ind w:firstLine="411" w:firstLineChars="196"/>
        <w:rPr>
          <w:rFonts w:ascii="宋体" w:hAnsi="宋体"/>
          <w:color w:val="auto"/>
          <w:szCs w:val="21"/>
          <w:highlight w:val="none"/>
        </w:rPr>
      </w:pPr>
      <w:r>
        <w:rPr>
          <w:rFonts w:hint="eastAsia" w:ascii="宋体" w:hAnsi="宋体"/>
          <w:color w:val="auto"/>
          <w:szCs w:val="21"/>
          <w:highlight w:val="none"/>
        </w:rPr>
        <w:t>3.因包装、运输引起的货物损坏，按质量不合格处理。</w:t>
      </w:r>
    </w:p>
    <w:p w14:paraId="1C87B475">
      <w:pPr>
        <w:spacing w:line="360" w:lineRule="exact"/>
        <w:ind w:firstLine="411" w:firstLineChars="196"/>
        <w:rPr>
          <w:rFonts w:ascii="宋体" w:hAnsi="宋体"/>
          <w:color w:val="auto"/>
          <w:szCs w:val="21"/>
          <w:highlight w:val="none"/>
        </w:rPr>
      </w:pPr>
      <w:r>
        <w:rPr>
          <w:rFonts w:hint="eastAsia" w:ascii="宋体" w:hAnsi="宋体"/>
          <w:color w:val="auto"/>
          <w:szCs w:val="21"/>
          <w:highlight w:val="none"/>
        </w:rPr>
        <w:t>4.非甲方原因导致乙方逾期交付的，由乙方向甲方偿付合同金额30％违约金，超过20天对方有权解除合同，违约方承担因此给对方造成的经济损失。</w:t>
      </w:r>
    </w:p>
    <w:p w14:paraId="206C32F0">
      <w:pPr>
        <w:spacing w:line="360" w:lineRule="exact"/>
        <w:ind w:firstLine="411" w:firstLineChars="196"/>
        <w:rPr>
          <w:rFonts w:ascii="宋体" w:hAnsi="宋体"/>
          <w:color w:val="auto"/>
          <w:szCs w:val="21"/>
          <w:highlight w:val="none"/>
        </w:rPr>
      </w:pPr>
      <w:r>
        <w:rPr>
          <w:rFonts w:hint="eastAsia" w:ascii="宋体" w:hAnsi="宋体"/>
          <w:color w:val="auto"/>
          <w:szCs w:val="21"/>
          <w:highlight w:val="none"/>
        </w:rPr>
        <w:t>5.乙方未按本合同和响应文件中规定的服务承诺提供售后服务的，乙方应按本合同金额5%向甲方支付违约金。</w:t>
      </w:r>
    </w:p>
    <w:p w14:paraId="163641EF">
      <w:pPr>
        <w:spacing w:line="360" w:lineRule="exact"/>
        <w:ind w:firstLine="411" w:firstLineChars="196"/>
        <w:rPr>
          <w:rFonts w:ascii="宋体" w:hAnsi="宋体"/>
          <w:color w:val="auto"/>
          <w:szCs w:val="21"/>
          <w:highlight w:val="none"/>
        </w:rPr>
      </w:pPr>
      <w:r>
        <w:rPr>
          <w:rFonts w:hint="eastAsia" w:ascii="宋体" w:hAnsi="宋体"/>
          <w:color w:val="auto"/>
          <w:szCs w:val="21"/>
          <w:highlight w:val="none"/>
        </w:rPr>
        <w:t>6.乙方提供的产品在维护（保修）期内，因设计、工艺或材料的缺陷和其他质量原因造成的问题，由乙方负责，费用从质量保证金中扣除，不足另补。</w:t>
      </w:r>
    </w:p>
    <w:p w14:paraId="466717BF">
      <w:pPr>
        <w:spacing w:line="360" w:lineRule="exact"/>
        <w:ind w:firstLine="411" w:firstLineChars="196"/>
        <w:rPr>
          <w:rFonts w:ascii="宋体" w:hAnsi="宋体"/>
          <w:color w:val="auto"/>
          <w:szCs w:val="21"/>
          <w:highlight w:val="none"/>
        </w:rPr>
      </w:pPr>
      <w:r>
        <w:rPr>
          <w:rFonts w:hint="eastAsia" w:ascii="宋体" w:hAnsi="宋体"/>
          <w:color w:val="auto"/>
          <w:szCs w:val="21"/>
          <w:highlight w:val="none"/>
        </w:rPr>
        <w:t>7.其他违约行为按违约合同款项5%收取违约金并赔偿经济损失。</w:t>
      </w:r>
    </w:p>
    <w:p w14:paraId="24C16147">
      <w:pPr>
        <w:spacing w:line="360" w:lineRule="exact"/>
        <w:ind w:firstLine="411" w:firstLineChars="196"/>
        <w:rPr>
          <w:rFonts w:ascii="宋体" w:hAnsi="宋体"/>
          <w:color w:val="auto"/>
          <w:szCs w:val="21"/>
          <w:highlight w:val="none"/>
        </w:rPr>
      </w:pPr>
      <w:r>
        <w:rPr>
          <w:rFonts w:hint="eastAsia" w:ascii="宋体" w:hAnsi="宋体"/>
          <w:color w:val="auto"/>
          <w:szCs w:val="21"/>
          <w:highlight w:val="none"/>
        </w:rPr>
        <w:t>8.乙方于响应文件中必须对所有产品的技术参数要求作出真实、有效的响应和承诺。所提供的产品必须为原装正品的、全新的、符合国家有关质量标准的产品。验收前，甲方现场根据竞争性磋商文件要求及响应文件承诺对各项参数逐条对应进行核验，核验或检测数据不符合甲方要求及响应文件承诺的指标的，甲方有权终止合同执行且硬件产品全部退货，由此造成甲方经济损失的由乙方负责承担全部赔偿责任并向甲方支付合同金额的30%违约赔偿金。如有异议，将交由国家认可并具有检验检测资质的第三方机构进行检验，若核验结果的各项参数指标不满足甲方要求及响应文件承诺的指标要求，所有产生的费用由乙方承担，并承担政府采购虚假竞标的相关法律责任。</w:t>
      </w:r>
    </w:p>
    <w:p w14:paraId="2763A86B">
      <w:pPr>
        <w:spacing w:line="360" w:lineRule="exact"/>
        <w:ind w:firstLine="411" w:firstLineChars="196"/>
        <w:rPr>
          <w:rFonts w:ascii="宋体" w:hAnsi="宋体"/>
          <w:color w:val="auto"/>
          <w:szCs w:val="21"/>
          <w:highlight w:val="none"/>
        </w:rPr>
      </w:pPr>
      <w:r>
        <w:rPr>
          <w:rFonts w:hint="eastAsia" w:ascii="宋体" w:hAnsi="宋体"/>
          <w:color w:val="auto"/>
          <w:szCs w:val="21"/>
          <w:highlight w:val="none"/>
        </w:rPr>
        <w:t>9.所供产品上线时必须实质性满足甲方所要求的产品的所有参数的要求。一旦发现与采购参数，功能不符，即使设备已交付使用，甲方有权终止合同，硬件产品无条件退货，且乙方需赔偿甲方的相关损失。</w:t>
      </w:r>
    </w:p>
    <w:p w14:paraId="356038C5">
      <w:pPr>
        <w:spacing w:line="360" w:lineRule="exact"/>
        <w:ind w:firstLine="413" w:firstLineChars="196"/>
        <w:rPr>
          <w:rFonts w:ascii="宋体" w:hAnsi="宋体"/>
          <w:b/>
          <w:color w:val="auto"/>
          <w:szCs w:val="21"/>
          <w:highlight w:val="none"/>
        </w:rPr>
      </w:pPr>
      <w:r>
        <w:rPr>
          <w:rFonts w:hint="eastAsia" w:ascii="宋体" w:hAnsi="宋体"/>
          <w:b/>
          <w:color w:val="auto"/>
          <w:szCs w:val="21"/>
          <w:highlight w:val="none"/>
        </w:rPr>
        <w:t>第十二条</w:t>
      </w:r>
      <w:r>
        <w:rPr>
          <w:rFonts w:ascii="宋体" w:hAnsi="宋体"/>
          <w:b/>
          <w:color w:val="auto"/>
          <w:szCs w:val="21"/>
          <w:highlight w:val="none"/>
        </w:rPr>
        <w:t xml:space="preserve">  </w:t>
      </w:r>
      <w:r>
        <w:rPr>
          <w:rFonts w:hint="eastAsia" w:ascii="宋体" w:hAnsi="宋体"/>
          <w:b/>
          <w:color w:val="auto"/>
          <w:szCs w:val="21"/>
          <w:highlight w:val="none"/>
        </w:rPr>
        <w:t>不可抗力事件处理</w:t>
      </w:r>
    </w:p>
    <w:p w14:paraId="5977A5F7">
      <w:pPr>
        <w:spacing w:line="36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在合同有效期内，乙方因不可抗力事件导致不能履行合同，则合同履行期可延长，其延长期与不可抗力影响期相同。</w:t>
      </w:r>
    </w:p>
    <w:p w14:paraId="0BDA22CC">
      <w:pPr>
        <w:spacing w:line="360" w:lineRule="exact"/>
        <w:ind w:firstLine="409" w:firstLineChars="195"/>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不可抗力事件发生后，应立即通知对方，并寄送有关机构出具的证明。</w:t>
      </w:r>
    </w:p>
    <w:p w14:paraId="3E38F57B">
      <w:pPr>
        <w:spacing w:line="360" w:lineRule="exact"/>
        <w:ind w:firstLine="409" w:firstLineChars="195"/>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不可抗力事件延续一百二十天以上，双方应通过友好协商，确定是否继续履行合同。</w:t>
      </w:r>
    </w:p>
    <w:p w14:paraId="31C9CEA8">
      <w:pPr>
        <w:spacing w:line="360" w:lineRule="exact"/>
        <w:ind w:firstLine="413" w:firstLineChars="196"/>
        <w:rPr>
          <w:rFonts w:ascii="宋体" w:hAnsi="宋体"/>
          <w:b/>
          <w:color w:val="auto"/>
          <w:szCs w:val="21"/>
          <w:highlight w:val="none"/>
        </w:rPr>
      </w:pPr>
      <w:r>
        <w:rPr>
          <w:rFonts w:hint="eastAsia" w:ascii="宋体" w:hAnsi="宋体"/>
          <w:b/>
          <w:color w:val="auto"/>
          <w:szCs w:val="21"/>
          <w:highlight w:val="none"/>
        </w:rPr>
        <w:t>第十三条</w:t>
      </w:r>
      <w:r>
        <w:rPr>
          <w:rFonts w:ascii="宋体" w:hAnsi="宋体"/>
          <w:b/>
          <w:color w:val="auto"/>
          <w:szCs w:val="21"/>
          <w:highlight w:val="none"/>
        </w:rPr>
        <w:t xml:space="preserve">  </w:t>
      </w:r>
      <w:r>
        <w:rPr>
          <w:rFonts w:hint="eastAsia" w:ascii="宋体" w:hAnsi="宋体"/>
          <w:b/>
          <w:color w:val="auto"/>
          <w:szCs w:val="21"/>
          <w:highlight w:val="none"/>
        </w:rPr>
        <w:t>合同争议解决</w:t>
      </w:r>
    </w:p>
    <w:p w14:paraId="63A7AC9E">
      <w:pPr>
        <w:spacing w:line="36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因产品质量问题发生争议的，应邀请国家认可的质量检测机构对产品质量进行鉴定。产品符合标准的，鉴定费由甲方承担；产品不符合标准的，鉴定费由乙方承担。</w:t>
      </w:r>
    </w:p>
    <w:p w14:paraId="1440F214">
      <w:pPr>
        <w:snapToGrid w:val="0"/>
        <w:spacing w:line="36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因履行本合同引起的或与本合同有关的争议，甲乙双方应首先通过友好协商解决，如果协商不能解决，可</w:t>
      </w:r>
      <w:r>
        <w:rPr>
          <w:rFonts w:hint="eastAsia"/>
          <w:color w:val="auto"/>
          <w:szCs w:val="21"/>
          <w:highlight w:val="none"/>
        </w:rPr>
        <w:t>向甲方所在地具有管辖权的人民法院提起诉讼</w:t>
      </w:r>
      <w:r>
        <w:rPr>
          <w:rFonts w:hint="eastAsia" w:ascii="宋体" w:hAnsi="宋体"/>
          <w:color w:val="auto"/>
          <w:szCs w:val="21"/>
          <w:highlight w:val="none"/>
        </w:rPr>
        <w:t>。</w:t>
      </w:r>
      <w:r>
        <w:rPr>
          <w:rFonts w:hint="eastAsia"/>
          <w:color w:val="auto"/>
          <w:szCs w:val="21"/>
          <w:highlight w:val="none"/>
        </w:rPr>
        <w:t>由此发生的诉讼费、鉴定费、保全费、律师费等纠纷解决费用，由违约方承担</w:t>
      </w:r>
      <w:r>
        <w:rPr>
          <w:rFonts w:hint="eastAsia" w:ascii="宋体" w:hAnsi="宋体"/>
          <w:color w:val="auto"/>
          <w:szCs w:val="21"/>
          <w:highlight w:val="none"/>
        </w:rPr>
        <w:t>。</w:t>
      </w:r>
    </w:p>
    <w:p w14:paraId="54DF7243">
      <w:pPr>
        <w:spacing w:line="360" w:lineRule="exact"/>
        <w:ind w:firstLine="409" w:firstLineChars="195"/>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诉讼期间，本合同继续履行。</w:t>
      </w:r>
    </w:p>
    <w:p w14:paraId="73F3F9E3">
      <w:pPr>
        <w:spacing w:line="360" w:lineRule="exact"/>
        <w:ind w:firstLine="413" w:firstLineChars="196"/>
        <w:rPr>
          <w:rFonts w:ascii="宋体" w:hAnsi="宋体"/>
          <w:b/>
          <w:color w:val="auto"/>
          <w:szCs w:val="21"/>
          <w:highlight w:val="none"/>
        </w:rPr>
      </w:pPr>
      <w:r>
        <w:rPr>
          <w:rFonts w:hint="eastAsia" w:ascii="宋体" w:hAnsi="宋体"/>
          <w:b/>
          <w:color w:val="auto"/>
          <w:szCs w:val="21"/>
          <w:highlight w:val="none"/>
        </w:rPr>
        <w:t>第十四条</w:t>
      </w:r>
      <w:r>
        <w:rPr>
          <w:rFonts w:ascii="宋体" w:hAnsi="宋体"/>
          <w:b/>
          <w:color w:val="auto"/>
          <w:szCs w:val="21"/>
          <w:highlight w:val="none"/>
        </w:rPr>
        <w:t xml:space="preserve">  </w:t>
      </w:r>
      <w:r>
        <w:rPr>
          <w:rFonts w:hint="eastAsia" w:ascii="宋体" w:hAnsi="宋体"/>
          <w:b/>
          <w:color w:val="auto"/>
          <w:szCs w:val="21"/>
          <w:highlight w:val="none"/>
        </w:rPr>
        <w:t>合同生效及其它</w:t>
      </w:r>
    </w:p>
    <w:p w14:paraId="5EC3EDFA">
      <w:pPr>
        <w:spacing w:line="36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合同经甲乙双方法定代表人或授权代表签字并加盖单位公章后生效。</w:t>
      </w:r>
    </w:p>
    <w:p w14:paraId="16DEDB32">
      <w:pPr>
        <w:spacing w:line="36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合同执行中涉及采购资金和采购内容修改或补充的，需经甲方审批。</w:t>
      </w:r>
    </w:p>
    <w:p w14:paraId="708D2FE3">
      <w:pPr>
        <w:spacing w:line="360" w:lineRule="exact"/>
        <w:ind w:firstLine="409" w:firstLineChars="195"/>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本合同未尽事宜，遵照《中华人民共和国民法典》有关条文执行。</w:t>
      </w:r>
    </w:p>
    <w:p w14:paraId="554A9E73">
      <w:pPr>
        <w:spacing w:line="360" w:lineRule="exact"/>
        <w:ind w:firstLine="413" w:firstLineChars="196"/>
        <w:rPr>
          <w:rFonts w:ascii="宋体" w:hAnsi="宋体"/>
          <w:b/>
          <w:color w:val="auto"/>
          <w:szCs w:val="21"/>
          <w:highlight w:val="none"/>
        </w:rPr>
      </w:pPr>
      <w:r>
        <w:rPr>
          <w:rFonts w:hint="eastAsia" w:ascii="宋体" w:hAnsi="宋体"/>
          <w:b/>
          <w:color w:val="auto"/>
          <w:szCs w:val="21"/>
          <w:highlight w:val="none"/>
        </w:rPr>
        <w:t>第十五条</w:t>
      </w:r>
      <w:r>
        <w:rPr>
          <w:rFonts w:ascii="宋体" w:hAnsi="宋体"/>
          <w:b/>
          <w:color w:val="auto"/>
          <w:szCs w:val="21"/>
          <w:highlight w:val="none"/>
        </w:rPr>
        <w:t xml:space="preserve">  </w:t>
      </w:r>
      <w:r>
        <w:rPr>
          <w:rFonts w:hint="eastAsia" w:ascii="宋体" w:hAnsi="宋体"/>
          <w:b/>
          <w:color w:val="auto"/>
          <w:szCs w:val="21"/>
          <w:highlight w:val="none"/>
        </w:rPr>
        <w:t>合同的变更、终止与转让</w:t>
      </w:r>
    </w:p>
    <w:p w14:paraId="58ED967B">
      <w:pPr>
        <w:spacing w:line="36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本合同一经签订，甲乙双方不得擅自变更，中止或终止。</w:t>
      </w:r>
    </w:p>
    <w:p w14:paraId="3C5E5F43">
      <w:pPr>
        <w:spacing w:line="360" w:lineRule="exact"/>
        <w:ind w:firstLine="409" w:firstLineChars="195"/>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乙方不得擅自转让</w:t>
      </w:r>
      <w:r>
        <w:rPr>
          <w:rFonts w:ascii="宋体" w:hAnsi="宋体"/>
          <w:color w:val="auto"/>
          <w:szCs w:val="21"/>
          <w:highlight w:val="none"/>
        </w:rPr>
        <w:t>(</w:t>
      </w:r>
      <w:r>
        <w:rPr>
          <w:rFonts w:hint="eastAsia" w:ascii="宋体" w:hAnsi="宋体"/>
          <w:color w:val="auto"/>
          <w:szCs w:val="21"/>
          <w:highlight w:val="none"/>
        </w:rPr>
        <w:t>无进口资格的供应商委托进口货物除外</w:t>
      </w:r>
      <w:r>
        <w:rPr>
          <w:rFonts w:ascii="宋体" w:hAnsi="宋体"/>
          <w:color w:val="auto"/>
          <w:szCs w:val="21"/>
          <w:highlight w:val="none"/>
        </w:rPr>
        <w:t>)</w:t>
      </w:r>
      <w:r>
        <w:rPr>
          <w:rFonts w:hint="eastAsia" w:ascii="宋体" w:hAnsi="宋体"/>
          <w:color w:val="auto"/>
          <w:szCs w:val="21"/>
          <w:highlight w:val="none"/>
        </w:rPr>
        <w:t>其应履行的合同义务。</w:t>
      </w:r>
    </w:p>
    <w:p w14:paraId="5E7CB8A7">
      <w:pPr>
        <w:spacing w:line="360" w:lineRule="exact"/>
        <w:ind w:firstLine="422" w:firstLineChars="200"/>
        <w:rPr>
          <w:rFonts w:ascii="宋体" w:hAnsi="宋体"/>
          <w:b/>
          <w:color w:val="auto"/>
          <w:szCs w:val="21"/>
          <w:highlight w:val="none"/>
        </w:rPr>
      </w:pPr>
      <w:r>
        <w:rPr>
          <w:rFonts w:hint="eastAsia" w:ascii="宋体" w:hAnsi="宋体"/>
          <w:b/>
          <w:color w:val="auto"/>
          <w:szCs w:val="21"/>
          <w:highlight w:val="none"/>
        </w:rPr>
        <w:t>第十六条</w:t>
      </w:r>
      <w:r>
        <w:rPr>
          <w:rFonts w:ascii="宋体" w:hAnsi="宋体"/>
          <w:b/>
          <w:color w:val="auto"/>
          <w:szCs w:val="21"/>
          <w:highlight w:val="none"/>
        </w:rPr>
        <w:t xml:space="preserve">  </w:t>
      </w:r>
      <w:r>
        <w:rPr>
          <w:rFonts w:hint="eastAsia" w:ascii="宋体" w:hAnsi="宋体"/>
          <w:b/>
          <w:color w:val="auto"/>
          <w:szCs w:val="21"/>
          <w:highlight w:val="none"/>
        </w:rPr>
        <w:t>签订本合同依据</w:t>
      </w:r>
    </w:p>
    <w:p w14:paraId="165C9FA3">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1.成交通知书。</w:t>
      </w:r>
    </w:p>
    <w:p w14:paraId="78CCFB85">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2.竞争性磋商文件。</w:t>
      </w:r>
    </w:p>
    <w:p w14:paraId="10EE9FBE">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3.竞标报价表、技术要求响应表、商务要求响应表。</w:t>
      </w:r>
    </w:p>
    <w:p w14:paraId="1C888E68">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本合同甲乙双方签字盖章后生效，一式五份，具有同等法律效力，甲方、乙方各二份，</w:t>
      </w:r>
      <w:r>
        <w:rPr>
          <w:rFonts w:hint="eastAsia" w:ascii="宋体" w:hAnsi="宋体"/>
          <w:color w:val="auto"/>
          <w:highlight w:val="none"/>
        </w:rPr>
        <w:t>采购代理机构一份</w:t>
      </w:r>
      <w:r>
        <w:rPr>
          <w:rFonts w:hint="eastAsia" w:ascii="宋体" w:hAnsi="宋体"/>
          <w:color w:val="auto"/>
          <w:szCs w:val="21"/>
          <w:highlight w:val="none"/>
        </w:rPr>
        <w:t>。</w:t>
      </w:r>
    </w:p>
    <w:p w14:paraId="1E839014">
      <w:pPr>
        <w:spacing w:line="360" w:lineRule="exact"/>
        <w:ind w:firstLine="200"/>
        <w:rPr>
          <w:rFonts w:ascii="宋体" w:hAnsi="宋体"/>
          <w:color w:val="auto"/>
          <w:szCs w:val="21"/>
          <w:highlight w:val="none"/>
        </w:rPr>
      </w:pPr>
    </w:p>
    <w:p w14:paraId="36F18CC5">
      <w:pPr>
        <w:spacing w:line="360" w:lineRule="exact"/>
        <w:ind w:firstLine="200"/>
        <w:rPr>
          <w:rFonts w:ascii="宋体" w:hAnsi="宋体"/>
          <w:color w:val="auto"/>
          <w:szCs w:val="21"/>
          <w:highlight w:val="none"/>
          <w:u w:val="single"/>
        </w:rPr>
      </w:pPr>
      <w:r>
        <w:rPr>
          <w:rFonts w:hint="eastAsia" w:ascii="宋体" w:hAnsi="宋体"/>
          <w:color w:val="auto"/>
          <w:szCs w:val="21"/>
          <w:highlight w:val="none"/>
        </w:rPr>
        <w:t>甲方（公章）：</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乙方（公章）：</w:t>
      </w:r>
      <w:r>
        <w:rPr>
          <w:rFonts w:hint="eastAsia" w:ascii="宋体" w:hAnsi="宋体"/>
          <w:color w:val="auto"/>
          <w:szCs w:val="21"/>
          <w:highlight w:val="none"/>
          <w:u w:val="single"/>
        </w:rPr>
        <w:t xml:space="preserve">                               </w:t>
      </w:r>
    </w:p>
    <w:p w14:paraId="064638CA">
      <w:pPr>
        <w:spacing w:line="360" w:lineRule="exact"/>
        <w:ind w:firstLine="200"/>
        <w:rPr>
          <w:rFonts w:ascii="宋体" w:hAnsi="宋体"/>
          <w:color w:val="auto"/>
          <w:szCs w:val="21"/>
          <w:highlight w:val="none"/>
          <w:u w:val="single"/>
        </w:rPr>
      </w:pPr>
      <w:r>
        <w:rPr>
          <w:rFonts w:hint="eastAsia" w:ascii="宋体" w:hAnsi="宋体"/>
          <w:color w:val="auto"/>
          <w:szCs w:val="21"/>
          <w:highlight w:val="none"/>
        </w:rPr>
        <w:t>法定代表人：</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p>
    <w:p w14:paraId="174F89E3">
      <w:pPr>
        <w:tabs>
          <w:tab w:val="left" w:pos="4680"/>
        </w:tabs>
        <w:spacing w:line="360" w:lineRule="exact"/>
        <w:ind w:firstLine="200"/>
        <w:rPr>
          <w:rFonts w:ascii="宋体" w:hAnsi="宋体"/>
          <w:color w:val="auto"/>
          <w:szCs w:val="21"/>
          <w:highlight w:val="none"/>
          <w:u w:val="single"/>
        </w:rPr>
      </w:pPr>
      <w:r>
        <w:rPr>
          <w:rFonts w:hint="eastAsia" w:ascii="宋体" w:hAnsi="宋体"/>
          <w:color w:val="auto"/>
          <w:szCs w:val="21"/>
          <w:highlight w:val="none"/>
        </w:rPr>
        <w:t>委托代理人：</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委托代理人：</w:t>
      </w:r>
      <w:r>
        <w:rPr>
          <w:rFonts w:hint="eastAsia" w:ascii="宋体" w:hAnsi="宋体"/>
          <w:color w:val="auto"/>
          <w:szCs w:val="21"/>
          <w:highlight w:val="none"/>
          <w:u w:val="single"/>
        </w:rPr>
        <w:t xml:space="preserve">                                 </w:t>
      </w:r>
    </w:p>
    <w:p w14:paraId="58ED370C">
      <w:pPr>
        <w:tabs>
          <w:tab w:val="left" w:pos="5040"/>
        </w:tabs>
        <w:spacing w:line="360" w:lineRule="exact"/>
        <w:ind w:firstLine="200"/>
        <w:rPr>
          <w:rFonts w:ascii="宋体" w:hAnsi="宋体"/>
          <w:color w:val="auto"/>
          <w:szCs w:val="21"/>
          <w:highlight w:val="none"/>
          <w:u w:val="single"/>
        </w:rPr>
      </w:pPr>
      <w:r>
        <w:rPr>
          <w:rFonts w:hint="eastAsia" w:ascii="宋体" w:hAnsi="宋体"/>
          <w:color w:val="auto"/>
          <w:szCs w:val="21"/>
          <w:highlight w:val="none"/>
        </w:rPr>
        <w:t>电</w:t>
      </w:r>
      <w:r>
        <w:rPr>
          <w:rFonts w:ascii="宋体" w:hAnsi="宋体"/>
          <w:color w:val="auto"/>
          <w:szCs w:val="21"/>
          <w:highlight w:val="none"/>
        </w:rPr>
        <w:t xml:space="preserve">  </w:t>
      </w:r>
      <w:r>
        <w:rPr>
          <w:rFonts w:hint="eastAsia" w:ascii="宋体" w:hAnsi="宋体"/>
          <w:color w:val="auto"/>
          <w:szCs w:val="21"/>
          <w:highlight w:val="none"/>
        </w:rPr>
        <w:t xml:space="preserve"> 话：</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电</w:t>
      </w:r>
      <w:r>
        <w:rPr>
          <w:rFonts w:ascii="宋体" w:hAnsi="宋体"/>
          <w:color w:val="auto"/>
          <w:szCs w:val="21"/>
          <w:highlight w:val="none"/>
        </w:rPr>
        <w:t xml:space="preserve">   </w:t>
      </w:r>
      <w:r>
        <w:rPr>
          <w:rFonts w:hint="eastAsia" w:ascii="宋体" w:hAnsi="宋体"/>
          <w:color w:val="auto"/>
          <w:szCs w:val="21"/>
          <w:highlight w:val="none"/>
        </w:rPr>
        <w:t xml:space="preserve">话： </w:t>
      </w:r>
      <w:r>
        <w:rPr>
          <w:rFonts w:hint="eastAsia" w:ascii="宋体" w:hAnsi="宋体"/>
          <w:color w:val="auto"/>
          <w:szCs w:val="21"/>
          <w:highlight w:val="none"/>
          <w:u w:val="single"/>
        </w:rPr>
        <w:t xml:space="preserve">                                   </w:t>
      </w:r>
    </w:p>
    <w:p w14:paraId="0FB54504">
      <w:pPr>
        <w:tabs>
          <w:tab w:val="left" w:pos="5040"/>
        </w:tabs>
        <w:spacing w:line="360" w:lineRule="exact"/>
        <w:ind w:firstLine="200"/>
        <w:rPr>
          <w:rFonts w:ascii="宋体" w:hAnsi="宋体"/>
          <w:color w:val="auto"/>
          <w:szCs w:val="21"/>
          <w:highlight w:val="none"/>
        </w:rPr>
      </w:pPr>
      <w:r>
        <w:rPr>
          <w:rFonts w:hint="eastAsia" w:ascii="宋体" w:hAnsi="宋体"/>
          <w:color w:val="auto"/>
          <w:szCs w:val="21"/>
          <w:highlight w:val="none"/>
        </w:rPr>
        <w:t>开户名称：</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开户名称：</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6DBD3E25">
      <w:pPr>
        <w:tabs>
          <w:tab w:val="left" w:pos="5040"/>
        </w:tabs>
        <w:spacing w:line="360" w:lineRule="exact"/>
        <w:ind w:firstLine="200"/>
        <w:rPr>
          <w:rFonts w:ascii="宋体" w:hAnsi="宋体"/>
          <w:color w:val="auto"/>
          <w:szCs w:val="21"/>
          <w:highlight w:val="none"/>
        </w:rPr>
      </w:pPr>
      <w:r>
        <w:rPr>
          <w:rFonts w:hint="eastAsia" w:ascii="宋体" w:hAnsi="宋体"/>
          <w:color w:val="auto"/>
          <w:szCs w:val="21"/>
          <w:highlight w:val="none"/>
        </w:rPr>
        <w:t>开户银行：</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5161C28F">
      <w:pPr>
        <w:tabs>
          <w:tab w:val="left" w:pos="5040"/>
        </w:tabs>
        <w:spacing w:line="360" w:lineRule="exact"/>
        <w:ind w:firstLine="200"/>
        <w:rPr>
          <w:rFonts w:ascii="宋体" w:hAnsi="宋体"/>
          <w:color w:val="auto"/>
          <w:szCs w:val="21"/>
          <w:highlight w:val="none"/>
        </w:rPr>
      </w:pPr>
      <w:r>
        <w:rPr>
          <w:rFonts w:hint="eastAsia" w:ascii="宋体" w:hAnsi="宋体"/>
          <w:color w:val="auto"/>
          <w:szCs w:val="21"/>
          <w:highlight w:val="none"/>
        </w:rPr>
        <w:t>银行账号：</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银行账号：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79774AC7">
      <w:pPr>
        <w:tabs>
          <w:tab w:val="left" w:pos="5040"/>
        </w:tabs>
        <w:spacing w:line="360" w:lineRule="exact"/>
        <w:ind w:firstLine="200"/>
        <w:rPr>
          <w:color w:val="auto"/>
          <w:szCs w:val="21"/>
          <w:highlight w:val="none"/>
        </w:rPr>
      </w:pPr>
      <w:r>
        <w:rPr>
          <w:rFonts w:hint="eastAsia" w:ascii="宋体" w:hAnsi="宋体"/>
          <w:color w:val="auto"/>
          <w:szCs w:val="21"/>
          <w:highlight w:val="none"/>
        </w:rPr>
        <w:t>日</w:t>
      </w:r>
      <w:r>
        <w:rPr>
          <w:rFonts w:ascii="宋体" w:hAnsi="宋体"/>
          <w:color w:val="auto"/>
          <w:szCs w:val="21"/>
          <w:highlight w:val="none"/>
        </w:rPr>
        <w:t xml:space="preserve">    </w:t>
      </w:r>
      <w:r>
        <w:rPr>
          <w:rFonts w:hint="eastAsia" w:ascii="宋体" w:hAnsi="宋体"/>
          <w:color w:val="auto"/>
          <w:szCs w:val="21"/>
          <w:highlight w:val="none"/>
        </w:rPr>
        <w:t>期：</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日</w:t>
      </w:r>
      <w:r>
        <w:rPr>
          <w:rFonts w:ascii="宋体" w:hAnsi="宋体"/>
          <w:color w:val="auto"/>
          <w:szCs w:val="21"/>
          <w:highlight w:val="none"/>
        </w:rPr>
        <w:t xml:space="preserve">    </w:t>
      </w:r>
      <w:r>
        <w:rPr>
          <w:rFonts w:hint="eastAsia" w:ascii="宋体" w:hAnsi="宋体"/>
          <w:color w:val="auto"/>
          <w:szCs w:val="21"/>
          <w:highlight w:val="none"/>
        </w:rPr>
        <w:t>期：</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7AC6D51B">
      <w:pPr>
        <w:snapToGrid w:val="0"/>
        <w:spacing w:line="360" w:lineRule="exact"/>
        <w:jc w:val="center"/>
        <w:rPr>
          <w:rFonts w:ascii="仿宋_GB2312" w:eastAsia="仿宋_GB2312"/>
          <w:b/>
          <w:color w:val="auto"/>
          <w:sz w:val="28"/>
          <w:szCs w:val="28"/>
          <w:highlight w:val="none"/>
        </w:rPr>
      </w:pPr>
      <w:r>
        <w:rPr>
          <w:rFonts w:hint="eastAsia" w:ascii="宋体" w:hAnsi="宋体"/>
          <w:color w:val="auto"/>
          <w:highlight w:val="none"/>
        </w:rPr>
        <w:br w:type="page"/>
      </w:r>
      <w:r>
        <w:rPr>
          <w:rFonts w:hint="eastAsia" w:ascii="仿宋_GB2312" w:eastAsia="仿宋_GB2312"/>
          <w:b/>
          <w:color w:val="auto"/>
          <w:sz w:val="28"/>
          <w:szCs w:val="28"/>
          <w:highlight w:val="none"/>
        </w:rPr>
        <w:t>合 同 附 件</w:t>
      </w:r>
    </w:p>
    <w:tbl>
      <w:tblPr>
        <w:tblStyle w:val="28"/>
        <w:tblW w:w="0" w:type="auto"/>
        <w:tblInd w:w="213" w:type="dxa"/>
        <w:tblLayout w:type="fixed"/>
        <w:tblCellMar>
          <w:top w:w="0" w:type="dxa"/>
          <w:left w:w="108" w:type="dxa"/>
          <w:bottom w:w="0" w:type="dxa"/>
          <w:right w:w="108" w:type="dxa"/>
        </w:tblCellMar>
      </w:tblPr>
      <w:tblGrid>
        <w:gridCol w:w="8522"/>
      </w:tblGrid>
      <w:tr w14:paraId="3608ED60">
        <w:tblPrEx>
          <w:tblCellMar>
            <w:top w:w="0" w:type="dxa"/>
            <w:left w:w="108" w:type="dxa"/>
            <w:bottom w:w="0" w:type="dxa"/>
            <w:right w:w="108" w:type="dxa"/>
          </w:tblCellMar>
        </w:tblPrEx>
        <w:trPr>
          <w:trHeight w:val="1226" w:hRule="atLeast"/>
        </w:trPr>
        <w:tc>
          <w:tcPr>
            <w:tcW w:w="8522" w:type="dxa"/>
            <w:tcBorders>
              <w:top w:val="single" w:color="auto" w:sz="4" w:space="0"/>
              <w:left w:val="single" w:color="auto" w:sz="4" w:space="0"/>
              <w:bottom w:val="nil"/>
              <w:right w:val="single" w:color="auto" w:sz="4" w:space="0"/>
            </w:tcBorders>
          </w:tcPr>
          <w:p w14:paraId="3AD63F90">
            <w:pPr>
              <w:snapToGrid w:val="0"/>
              <w:spacing w:line="360" w:lineRule="exact"/>
              <w:ind w:firstLine="482" w:firstLineChars="200"/>
              <w:rPr>
                <w:rFonts w:ascii="宋体" w:hAnsi="宋体"/>
                <w:b/>
                <w:color w:val="auto"/>
                <w:sz w:val="24"/>
                <w:highlight w:val="none"/>
              </w:rPr>
            </w:pPr>
            <w:r>
              <w:rPr>
                <w:rFonts w:hint="eastAsia" w:ascii="宋体" w:hAnsi="宋体"/>
                <w:b/>
                <w:color w:val="auto"/>
                <w:sz w:val="24"/>
                <w:highlight w:val="none"/>
              </w:rPr>
              <w:t>1．乙方承诺具体事项：</w:t>
            </w:r>
          </w:p>
        </w:tc>
      </w:tr>
      <w:tr w14:paraId="2E5C8005">
        <w:tblPrEx>
          <w:tblCellMar>
            <w:top w:w="0" w:type="dxa"/>
            <w:left w:w="108" w:type="dxa"/>
            <w:bottom w:w="0" w:type="dxa"/>
            <w:right w:w="108" w:type="dxa"/>
          </w:tblCellMar>
        </w:tblPrEx>
        <w:trPr>
          <w:trHeight w:val="1228" w:hRule="atLeast"/>
        </w:trPr>
        <w:tc>
          <w:tcPr>
            <w:tcW w:w="8522" w:type="dxa"/>
            <w:tcBorders>
              <w:top w:val="single" w:color="auto" w:sz="4" w:space="0"/>
              <w:left w:val="single" w:color="auto" w:sz="4" w:space="0"/>
              <w:bottom w:val="nil"/>
              <w:right w:val="single" w:color="auto" w:sz="4" w:space="0"/>
            </w:tcBorders>
          </w:tcPr>
          <w:p w14:paraId="4ADE7AE4">
            <w:pPr>
              <w:snapToGrid w:val="0"/>
              <w:spacing w:line="360" w:lineRule="exact"/>
              <w:ind w:firstLine="482" w:firstLineChars="200"/>
              <w:rPr>
                <w:rFonts w:ascii="宋体" w:hAnsi="宋体"/>
                <w:b/>
                <w:color w:val="auto"/>
                <w:sz w:val="24"/>
                <w:highlight w:val="none"/>
              </w:rPr>
            </w:pPr>
            <w:r>
              <w:rPr>
                <w:rFonts w:hint="eastAsia" w:ascii="宋体" w:hAnsi="宋体"/>
                <w:b/>
                <w:color w:val="auto"/>
                <w:sz w:val="24"/>
                <w:highlight w:val="none"/>
              </w:rPr>
              <w:t>2．售后服务具体事项：</w:t>
            </w:r>
          </w:p>
        </w:tc>
      </w:tr>
      <w:tr w14:paraId="5B9363D0">
        <w:tblPrEx>
          <w:tblCellMar>
            <w:top w:w="0" w:type="dxa"/>
            <w:left w:w="108" w:type="dxa"/>
            <w:bottom w:w="0" w:type="dxa"/>
            <w:right w:w="108" w:type="dxa"/>
          </w:tblCellMar>
        </w:tblPrEx>
        <w:trPr>
          <w:trHeight w:val="1088" w:hRule="atLeast"/>
        </w:trPr>
        <w:tc>
          <w:tcPr>
            <w:tcW w:w="8522" w:type="dxa"/>
            <w:tcBorders>
              <w:top w:val="single" w:color="auto" w:sz="4" w:space="0"/>
              <w:left w:val="single" w:color="auto" w:sz="4" w:space="0"/>
              <w:bottom w:val="nil"/>
              <w:right w:val="single" w:color="auto" w:sz="4" w:space="0"/>
            </w:tcBorders>
          </w:tcPr>
          <w:p w14:paraId="604DBEBD">
            <w:pPr>
              <w:snapToGrid w:val="0"/>
              <w:spacing w:line="360" w:lineRule="exact"/>
              <w:ind w:firstLine="482" w:firstLineChars="200"/>
              <w:rPr>
                <w:rFonts w:ascii="宋体" w:hAnsi="宋体"/>
                <w:b/>
                <w:color w:val="auto"/>
                <w:sz w:val="24"/>
                <w:highlight w:val="none"/>
              </w:rPr>
            </w:pPr>
            <w:r>
              <w:rPr>
                <w:rFonts w:hint="eastAsia" w:ascii="宋体" w:hAnsi="宋体"/>
                <w:b/>
                <w:color w:val="auto"/>
                <w:sz w:val="24"/>
                <w:highlight w:val="none"/>
              </w:rPr>
              <w:t>3．维护（保修）期责任：</w:t>
            </w:r>
          </w:p>
        </w:tc>
      </w:tr>
      <w:tr w14:paraId="08245E92">
        <w:tblPrEx>
          <w:tblCellMar>
            <w:top w:w="0" w:type="dxa"/>
            <w:left w:w="108" w:type="dxa"/>
            <w:bottom w:w="0" w:type="dxa"/>
            <w:right w:w="108" w:type="dxa"/>
          </w:tblCellMar>
        </w:tblPrEx>
        <w:trPr>
          <w:trHeight w:val="1360" w:hRule="atLeast"/>
        </w:trPr>
        <w:tc>
          <w:tcPr>
            <w:tcW w:w="8522" w:type="dxa"/>
            <w:tcBorders>
              <w:top w:val="single" w:color="auto" w:sz="4" w:space="0"/>
              <w:left w:val="single" w:color="auto" w:sz="4" w:space="0"/>
              <w:bottom w:val="single" w:color="auto" w:sz="4" w:space="0"/>
              <w:right w:val="single" w:color="auto" w:sz="4" w:space="0"/>
            </w:tcBorders>
          </w:tcPr>
          <w:p w14:paraId="689064C4">
            <w:pPr>
              <w:snapToGrid w:val="0"/>
              <w:spacing w:line="360" w:lineRule="exact"/>
              <w:ind w:firstLine="482" w:firstLineChars="200"/>
              <w:rPr>
                <w:rFonts w:ascii="宋体" w:hAnsi="宋体"/>
                <w:b/>
                <w:color w:val="auto"/>
                <w:sz w:val="24"/>
                <w:highlight w:val="none"/>
              </w:rPr>
            </w:pPr>
            <w:r>
              <w:rPr>
                <w:rFonts w:hint="eastAsia" w:ascii="宋体" w:hAnsi="宋体"/>
                <w:b/>
                <w:color w:val="auto"/>
                <w:sz w:val="24"/>
                <w:highlight w:val="none"/>
              </w:rPr>
              <w:t>4．其他具体事项：</w:t>
            </w:r>
          </w:p>
        </w:tc>
      </w:tr>
    </w:tbl>
    <w:p w14:paraId="2E916ECE">
      <w:pPr>
        <w:snapToGrid w:val="0"/>
        <w:spacing w:line="360" w:lineRule="exact"/>
        <w:rPr>
          <w:rFonts w:ascii="宋体" w:hAnsi="宋体"/>
          <w:color w:val="auto"/>
          <w:szCs w:val="21"/>
          <w:highlight w:val="none"/>
        </w:rPr>
      </w:pPr>
      <w:r>
        <w:rPr>
          <w:rFonts w:hint="eastAsia" w:ascii="宋体" w:hAnsi="宋体"/>
          <w:color w:val="auto"/>
          <w:highlight w:val="none"/>
        </w:rPr>
        <w:t xml:space="preserve">   注：售后服务事项填不下时可另加附页</w:t>
      </w:r>
    </w:p>
    <w:p w14:paraId="575D6603">
      <w:pPr>
        <w:snapToGrid w:val="0"/>
        <w:spacing w:line="400" w:lineRule="exact"/>
        <w:ind w:firstLine="420" w:firstLineChars="200"/>
        <w:rPr>
          <w:rFonts w:ascii="宋体" w:hAnsi="宋体"/>
          <w:color w:val="auto"/>
          <w:highlight w:val="none"/>
        </w:rPr>
      </w:pPr>
    </w:p>
    <w:p w14:paraId="2EF6860E">
      <w:pPr>
        <w:rPr>
          <w:color w:val="auto"/>
          <w:highlight w:val="none"/>
        </w:rPr>
      </w:pPr>
    </w:p>
    <w:p w14:paraId="587F9950">
      <w:pPr>
        <w:snapToGrid w:val="0"/>
        <w:spacing w:line="400" w:lineRule="exact"/>
        <w:ind w:right="480" w:firstLine="5250" w:firstLineChars="2500"/>
        <w:rPr>
          <w:rFonts w:ascii="宋体" w:hAnsi="宋体"/>
          <w:color w:val="auto"/>
          <w:szCs w:val="21"/>
          <w:highlight w:val="none"/>
        </w:rPr>
      </w:pPr>
    </w:p>
    <w:sectPr>
      <w:footerReference r:id="rId7" w:type="first"/>
      <w:footerReference r:id="rId6" w:type="default"/>
      <w:pgSz w:w="11906" w:h="16838"/>
      <w:pgMar w:top="1440" w:right="1558" w:bottom="1440" w:left="1800" w:header="567"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275F03F7-BE9B-4093-A8EA-78B132394ADE}"/>
  </w:font>
  <w:font w:name="黑体">
    <w:panose1 w:val="02010609060101010101"/>
    <w:charset w:val="86"/>
    <w:family w:val="auto"/>
    <w:pitch w:val="default"/>
    <w:sig w:usb0="800002BF" w:usb1="38CF7CFA" w:usb2="00000016" w:usb3="00000000" w:csb0="00040001" w:csb1="00000000"/>
    <w:embedRegular r:id="rId2" w:fontKey="{7509861B-2A35-47FB-80C4-9D731DB0A231}"/>
  </w:font>
  <w:font w:name="Courier New">
    <w:panose1 w:val="02070309020205020404"/>
    <w:charset w:val="01"/>
    <w:family w:val="modern"/>
    <w:pitch w:val="default"/>
    <w:sig w:usb0="E0002AFF" w:usb1="C0007843" w:usb2="00000009" w:usb3="00000000" w:csb0="400001FF" w:csb1="FFFF0000"/>
    <w:embedRegular r:id="rId3" w:fontKey="{C0FF80F2-BE2B-40BD-A828-562AAC6C855B}"/>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4" w:fontKey="{7B4C6B0B-42AB-44BC-BFB5-AF1B59039B1D}"/>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5" w:fontKey="{B06F8FE3-CFE1-4820-A8DD-2CDACE2454ED}"/>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10006FF" w:usb1="4000205B" w:usb2="00000010" w:usb3="00000000" w:csb0="2000019F" w:csb1="00000000"/>
    <w:embedRegular r:id="rId6" w:fontKey="{2F97765C-6D6C-429F-8DC7-C2A6D9D5B6D3}"/>
  </w:font>
  <w:font w:name="方正小标宋简体">
    <w:panose1 w:val="02000000000000000000"/>
    <w:charset w:val="86"/>
    <w:family w:val="auto"/>
    <w:pitch w:val="default"/>
    <w:sig w:usb0="00000001" w:usb1="08000000" w:usb2="00000000" w:usb3="00000000" w:csb0="00040000" w:csb1="00000000"/>
    <w:embedRegular r:id="rId7" w:fontKey="{61699224-74BB-46CE-B949-29F8014EF23B}"/>
  </w:font>
  <w:font w:name="华文新魏">
    <w:panose1 w:val="02010800040101010101"/>
    <w:charset w:val="86"/>
    <w:family w:val="auto"/>
    <w:pitch w:val="default"/>
    <w:sig w:usb0="00000001" w:usb1="080F0000" w:usb2="00000000" w:usb3="00000000" w:csb0="00040000" w:csb1="00000000"/>
    <w:embedRegular r:id="rId8" w:fontKey="{588460AC-F693-4794-ACCF-BA9B437607FD}"/>
  </w:font>
  <w:font w:name="Segoe UI Symbol">
    <w:panose1 w:val="020B0502040204020203"/>
    <w:charset w:val="00"/>
    <w:family w:val="swiss"/>
    <w:pitch w:val="default"/>
    <w:sig w:usb0="8000006F" w:usb1="1200FBEF" w:usb2="0064C000" w:usb3="00000002" w:csb0="00000001" w:csb1="40000000"/>
    <w:embedRegular r:id="rId9" w:fontKey="{BFAE1641-7D43-4664-8B46-5F6AFF42B649}"/>
  </w:font>
  <w:font w:name="Wingdings 2">
    <w:panose1 w:val="05020102010507070707"/>
    <w:charset w:val="02"/>
    <w:family w:val="roman"/>
    <w:pitch w:val="default"/>
    <w:sig w:usb0="00000000" w:usb1="00000000" w:usb2="00000000" w:usb3="00000000" w:csb0="80000000" w:csb1="00000000"/>
    <w:embedRegular r:id="rId10" w:fontKey="{BCB637D4-FD22-455E-BE70-59363D4F84C6}"/>
  </w:font>
  <w:font w:name="仿宋">
    <w:panose1 w:val="02010609060101010101"/>
    <w:charset w:val="86"/>
    <w:family w:val="modern"/>
    <w:pitch w:val="default"/>
    <w:sig w:usb0="800002BF" w:usb1="38CF7CFA" w:usb2="00000016" w:usb3="00000000" w:csb0="00040001" w:csb1="00000000"/>
    <w:embedRegular r:id="rId11" w:fontKey="{1ACBBA01-1C52-47EA-92A7-C450E340710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3931D">
    <w:pPr>
      <w:pStyle w:val="21"/>
      <w:jc w:val="center"/>
    </w:pPr>
  </w:p>
  <w:p w14:paraId="7A808360">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5FC6E">
    <w:pPr>
      <w:pStyle w:val="2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8770F4">
                          <w:pPr>
                            <w:pStyle w:val="21"/>
                            <w:jc w:val="center"/>
                          </w:pPr>
                          <w:r>
                            <w:fldChar w:fldCharType="begin"/>
                          </w:r>
                          <w:r>
                            <w:instrText xml:space="preserve"> PAGE  \* MERGEFORMAT </w:instrText>
                          </w:r>
                          <w:r>
                            <w:fldChar w:fldCharType="separate"/>
                          </w:r>
                          <w:r>
                            <w:t>33</w:t>
                          </w:r>
                          <w:r>
                            <w:fldChar w:fldCharType="end"/>
                          </w:r>
                        </w:p>
                      </w:txbxContent>
                    </wps:txbx>
                    <wps:bodyPr wrap="none" lIns="0" tIns="0" rIns="0" bIns="0">
                      <a:spAutoFit/>
                    </wps:bodyPr>
                  </wps:wsp>
                </a:graphicData>
              </a:graphic>
            </wp:anchor>
          </w:drawing>
        </mc:Choice>
        <mc:Fallback>
          <w:pict>
            <v:shape id="文本框 411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hNoI8QBAACQAwAADgAAAGRycy9lMm9Eb2MueG1srVPNjtMwEL4j8Q6W&#10;79RpQ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3m1&#10;XK6yQn2AGhPvAqam4a0fcG9mP6AzEx9UtPmLlAjGUd/zVV85JCLyo/Vqva4wJDA2XxCfPTwPEdI7&#10;6S3JRkMjDrDoyk8fII2pc0qu5vytNqYM0bi/HIiZPSz3PvaYrTTsh4nQ3rdn5NPj7BvqcNUpMe8d&#10;SpvXZDbibOwnI9eA8OaYsHDpJ6OOUFMxHFRhNC1V3oQ/7yXr4Ufa/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ShNoI8QBAACQAwAADgAAAAAAAAABACAAAAAeAQAAZHJzL2Uyb0RvYy54bWxQ&#10;SwUGAAAAAAYABgBZAQAAVAUAAAAA&#10;">
              <v:fill on="f" focussize="0,0"/>
              <v:stroke on="f"/>
              <v:imagedata o:title=""/>
              <o:lock v:ext="edit" aspectratio="f"/>
              <v:textbox inset="0mm,0mm,0mm,0mm" style="mso-fit-shape-to-text:t;">
                <w:txbxContent>
                  <w:p w14:paraId="158770F4">
                    <w:pPr>
                      <w:pStyle w:val="21"/>
                      <w:jc w:val="center"/>
                    </w:pPr>
                    <w:r>
                      <w:fldChar w:fldCharType="begin"/>
                    </w:r>
                    <w:r>
                      <w:instrText xml:space="preserve"> PAGE  \* MERGEFORMAT </w:instrText>
                    </w:r>
                    <w:r>
                      <w:fldChar w:fldCharType="separate"/>
                    </w:r>
                    <w:r>
                      <w:t>33</w:t>
                    </w:r>
                    <w:r>
                      <w:fldChar w:fldCharType="end"/>
                    </w:r>
                  </w:p>
                </w:txbxContent>
              </v:textbox>
            </v:shape>
          </w:pict>
        </mc:Fallback>
      </mc:AlternateContent>
    </w:r>
  </w:p>
  <w:p w14:paraId="2EC58575">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548CB">
    <w:pPr>
      <w:pStyle w:val="2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10D126">
                          <w:pPr>
                            <w:pStyle w:val="21"/>
                          </w:pPr>
                          <w:r>
                            <w:fldChar w:fldCharType="begin"/>
                          </w:r>
                          <w:r>
                            <w:instrText xml:space="preserve"> PAGE  \* MERGEFORMAT </w:instrText>
                          </w:r>
                          <w:r>
                            <w:fldChar w:fldCharType="separate"/>
                          </w:r>
                          <w:r>
                            <w:t>0</w:t>
                          </w:r>
                          <w:r>
                            <w:fldChar w:fldCharType="end"/>
                          </w:r>
                        </w:p>
                      </w:txbxContent>
                    </wps:txbx>
                    <wps:bodyPr wrap="none" lIns="0" tIns="0" rIns="0" bIns="0">
                      <a:spAutoFit/>
                    </wps:bodyPr>
                  </wps:wsp>
                </a:graphicData>
              </a:graphic>
            </wp:anchor>
          </w:drawing>
        </mc:Choice>
        <mc:Fallback>
          <w:pict>
            <v:shape id="文本框 411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c4L8QBAACQAwAADgAAAGRycy9lMm9Eb2MueG1srVPNjtMwEL4j8Q6W&#10;79RpWaE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vaHEcYsDv3z/dvnx6/LzK7lZ&#10;Ll9mhfoANSbeB0xNwxs/4N7MfkBnJj6oaPMXKRGMo77nq75ySETkR+vVel1hSGBsviA+e3geIqS3&#10;0luSjYZGHGDRlZ/eQxpT55Rczfk7bUwZonF/ORAze1jufewxW2nYDxOhvW/PyKfH2TfU4apTYt45&#10;lDavyWzE2dhPRq4B4fUxYeHST0YdoaZiOKjCaFqqvAl/3kvWw4+0/Q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7cc4L8QBAACQAwAADgAAAAAAAAABACAAAAAeAQAAZHJzL2Uyb0RvYy54bWxQ&#10;SwUGAAAAAAYABgBZAQAAVAUAAAAA&#10;">
              <v:fill on="f" focussize="0,0"/>
              <v:stroke on="f"/>
              <v:imagedata o:title=""/>
              <o:lock v:ext="edit" aspectratio="f"/>
              <v:textbox inset="0mm,0mm,0mm,0mm" style="mso-fit-shape-to-text:t;">
                <w:txbxContent>
                  <w:p w14:paraId="0A10D126">
                    <w:pPr>
                      <w:pStyle w:val="21"/>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F257B">
    <w:r>
      <w:rPr>
        <w:sz w:val="18"/>
      </w:rPr>
      <w:drawing>
        <wp:anchor distT="0" distB="0" distL="114300" distR="114300" simplePos="0" relativeHeight="251661312" behindDoc="1" locked="0" layoutInCell="1" allowOverlap="1">
          <wp:simplePos x="0" y="0"/>
          <wp:positionH relativeFrom="margin">
            <wp:align>center</wp:align>
          </wp:positionH>
          <wp:positionV relativeFrom="margin">
            <wp:align>center</wp:align>
          </wp:positionV>
          <wp:extent cx="5274310" cy="4660900"/>
          <wp:effectExtent l="0" t="0" r="2540" b="6350"/>
          <wp:wrapNone/>
          <wp:docPr id="5" name="WordPictureWatermark32683" descr="云龙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32683" descr="云龙水印"/>
                  <pic:cNvPicPr>
                    <a:picLocks noChangeAspect="1"/>
                  </pic:cNvPicPr>
                </pic:nvPicPr>
                <pic:blipFill>
                  <a:blip r:embed="rId1">
                    <a:lum bright="69998" contrast="-70001"/>
                  </a:blip>
                  <a:stretch>
                    <a:fillRect/>
                  </a:stretch>
                </pic:blipFill>
                <pic:spPr>
                  <a:xfrm>
                    <a:off x="0" y="0"/>
                    <a:ext cx="5274310" cy="466090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16728">
    <w:pPr>
      <w:pStyle w:val="22"/>
    </w:pPr>
    <w:r>
      <w:drawing>
        <wp:anchor distT="0" distB="0" distL="114300" distR="114300" simplePos="0" relativeHeight="251662336" behindDoc="1" locked="0" layoutInCell="1" allowOverlap="1">
          <wp:simplePos x="0" y="0"/>
          <wp:positionH relativeFrom="margin">
            <wp:align>center</wp:align>
          </wp:positionH>
          <wp:positionV relativeFrom="margin">
            <wp:align>center</wp:align>
          </wp:positionV>
          <wp:extent cx="5274310" cy="4660900"/>
          <wp:effectExtent l="0" t="0" r="2540" b="6350"/>
          <wp:wrapNone/>
          <wp:docPr id="6" name="WordPictureWatermark32683" descr="云龙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32683" descr="云龙水印"/>
                  <pic:cNvPicPr>
                    <a:picLocks noChangeAspect="1"/>
                  </pic:cNvPicPr>
                </pic:nvPicPr>
                <pic:blipFill>
                  <a:blip r:embed="rId1">
                    <a:lum bright="69998" contrast="-70001"/>
                  </a:blip>
                  <a:stretch>
                    <a:fillRect/>
                  </a:stretch>
                </pic:blipFill>
                <pic:spPr>
                  <a:xfrm>
                    <a:off x="0" y="0"/>
                    <a:ext cx="5274310" cy="46609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8EF1E7"/>
    <w:multiLevelType w:val="singleLevel"/>
    <w:tmpl w:val="738EF1E7"/>
    <w:lvl w:ilvl="0" w:tentative="0">
      <w:start w:val="1"/>
      <w:numFmt w:val="chineseCounting"/>
      <w:suff w:val="nothing"/>
      <w:lvlText w:val="第%1条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TrueTypeFonts/>
  <w:saveSubset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B14"/>
    <w:rsid w:val="000002E0"/>
    <w:rsid w:val="00000672"/>
    <w:rsid w:val="00000A04"/>
    <w:rsid w:val="00000F29"/>
    <w:rsid w:val="00001013"/>
    <w:rsid w:val="00001799"/>
    <w:rsid w:val="00001AF2"/>
    <w:rsid w:val="00001ECA"/>
    <w:rsid w:val="00002D29"/>
    <w:rsid w:val="00003B93"/>
    <w:rsid w:val="000046DB"/>
    <w:rsid w:val="000046F0"/>
    <w:rsid w:val="0000474D"/>
    <w:rsid w:val="00005030"/>
    <w:rsid w:val="00005FDF"/>
    <w:rsid w:val="000062F2"/>
    <w:rsid w:val="0000644A"/>
    <w:rsid w:val="000070B3"/>
    <w:rsid w:val="000076B8"/>
    <w:rsid w:val="000108F9"/>
    <w:rsid w:val="000109DC"/>
    <w:rsid w:val="00010D07"/>
    <w:rsid w:val="00010D39"/>
    <w:rsid w:val="0001172C"/>
    <w:rsid w:val="00011BC9"/>
    <w:rsid w:val="00012724"/>
    <w:rsid w:val="00012854"/>
    <w:rsid w:val="00012EA6"/>
    <w:rsid w:val="00013359"/>
    <w:rsid w:val="000139CF"/>
    <w:rsid w:val="00013AA4"/>
    <w:rsid w:val="00013DFE"/>
    <w:rsid w:val="000141EA"/>
    <w:rsid w:val="00015F11"/>
    <w:rsid w:val="00016ABC"/>
    <w:rsid w:val="000177DB"/>
    <w:rsid w:val="000179C9"/>
    <w:rsid w:val="00017CCC"/>
    <w:rsid w:val="00020227"/>
    <w:rsid w:val="00020263"/>
    <w:rsid w:val="00020455"/>
    <w:rsid w:val="00020813"/>
    <w:rsid w:val="000215D0"/>
    <w:rsid w:val="000220B2"/>
    <w:rsid w:val="0002264C"/>
    <w:rsid w:val="00022731"/>
    <w:rsid w:val="00022792"/>
    <w:rsid w:val="00024463"/>
    <w:rsid w:val="00025461"/>
    <w:rsid w:val="00025636"/>
    <w:rsid w:val="00025E36"/>
    <w:rsid w:val="00026125"/>
    <w:rsid w:val="00026855"/>
    <w:rsid w:val="00026886"/>
    <w:rsid w:val="0002785D"/>
    <w:rsid w:val="00030117"/>
    <w:rsid w:val="000307BE"/>
    <w:rsid w:val="000329E0"/>
    <w:rsid w:val="0003328A"/>
    <w:rsid w:val="000340D5"/>
    <w:rsid w:val="000346A4"/>
    <w:rsid w:val="000352E9"/>
    <w:rsid w:val="00035494"/>
    <w:rsid w:val="00036125"/>
    <w:rsid w:val="00036A07"/>
    <w:rsid w:val="0003780B"/>
    <w:rsid w:val="00040571"/>
    <w:rsid w:val="00040973"/>
    <w:rsid w:val="0004156E"/>
    <w:rsid w:val="00041713"/>
    <w:rsid w:val="0004440C"/>
    <w:rsid w:val="00044B9E"/>
    <w:rsid w:val="00046B5E"/>
    <w:rsid w:val="000470CB"/>
    <w:rsid w:val="000509D9"/>
    <w:rsid w:val="00050CF1"/>
    <w:rsid w:val="000512AF"/>
    <w:rsid w:val="000512C0"/>
    <w:rsid w:val="00051ACB"/>
    <w:rsid w:val="000533E7"/>
    <w:rsid w:val="000552E9"/>
    <w:rsid w:val="00055BBE"/>
    <w:rsid w:val="00055D41"/>
    <w:rsid w:val="00055E2F"/>
    <w:rsid w:val="00056B8D"/>
    <w:rsid w:val="00056EF6"/>
    <w:rsid w:val="00057CD6"/>
    <w:rsid w:val="0006049E"/>
    <w:rsid w:val="00060628"/>
    <w:rsid w:val="00060DCE"/>
    <w:rsid w:val="000610E3"/>
    <w:rsid w:val="000614F3"/>
    <w:rsid w:val="000623B4"/>
    <w:rsid w:val="00062405"/>
    <w:rsid w:val="000634A7"/>
    <w:rsid w:val="00063AAA"/>
    <w:rsid w:val="00063B0B"/>
    <w:rsid w:val="00063F81"/>
    <w:rsid w:val="00064847"/>
    <w:rsid w:val="00064F3D"/>
    <w:rsid w:val="00065E08"/>
    <w:rsid w:val="000673E2"/>
    <w:rsid w:val="00067EF1"/>
    <w:rsid w:val="0007063F"/>
    <w:rsid w:val="000707FD"/>
    <w:rsid w:val="00070949"/>
    <w:rsid w:val="000711E4"/>
    <w:rsid w:val="00071E9B"/>
    <w:rsid w:val="000720A1"/>
    <w:rsid w:val="000724D9"/>
    <w:rsid w:val="00072AED"/>
    <w:rsid w:val="00073F47"/>
    <w:rsid w:val="0007492F"/>
    <w:rsid w:val="00074ED8"/>
    <w:rsid w:val="00075B7E"/>
    <w:rsid w:val="00075EAD"/>
    <w:rsid w:val="00076F15"/>
    <w:rsid w:val="00077ACA"/>
    <w:rsid w:val="00077C70"/>
    <w:rsid w:val="000813B5"/>
    <w:rsid w:val="0008191E"/>
    <w:rsid w:val="0008192D"/>
    <w:rsid w:val="00081BA3"/>
    <w:rsid w:val="00081D2E"/>
    <w:rsid w:val="00081F89"/>
    <w:rsid w:val="00082619"/>
    <w:rsid w:val="00082D02"/>
    <w:rsid w:val="0008381A"/>
    <w:rsid w:val="00083871"/>
    <w:rsid w:val="00083B91"/>
    <w:rsid w:val="0008473C"/>
    <w:rsid w:val="00084F1C"/>
    <w:rsid w:val="0008520B"/>
    <w:rsid w:val="00085597"/>
    <w:rsid w:val="000857DE"/>
    <w:rsid w:val="000860BD"/>
    <w:rsid w:val="00087178"/>
    <w:rsid w:val="000871B8"/>
    <w:rsid w:val="00087B0A"/>
    <w:rsid w:val="000916DA"/>
    <w:rsid w:val="00091AAB"/>
    <w:rsid w:val="00092442"/>
    <w:rsid w:val="000929EF"/>
    <w:rsid w:val="00092C26"/>
    <w:rsid w:val="000933BE"/>
    <w:rsid w:val="00094428"/>
    <w:rsid w:val="00094BFE"/>
    <w:rsid w:val="0009560F"/>
    <w:rsid w:val="0009588E"/>
    <w:rsid w:val="000959EE"/>
    <w:rsid w:val="00095F2D"/>
    <w:rsid w:val="00096DB9"/>
    <w:rsid w:val="00097183"/>
    <w:rsid w:val="000972CB"/>
    <w:rsid w:val="00097608"/>
    <w:rsid w:val="000976C9"/>
    <w:rsid w:val="000A0F35"/>
    <w:rsid w:val="000A1175"/>
    <w:rsid w:val="000A13F3"/>
    <w:rsid w:val="000A1C18"/>
    <w:rsid w:val="000A23B1"/>
    <w:rsid w:val="000A2B0E"/>
    <w:rsid w:val="000A398F"/>
    <w:rsid w:val="000A448C"/>
    <w:rsid w:val="000A48EF"/>
    <w:rsid w:val="000A509C"/>
    <w:rsid w:val="000A54A7"/>
    <w:rsid w:val="000A5A17"/>
    <w:rsid w:val="000A6007"/>
    <w:rsid w:val="000A6507"/>
    <w:rsid w:val="000A65A6"/>
    <w:rsid w:val="000A70E3"/>
    <w:rsid w:val="000A7275"/>
    <w:rsid w:val="000A778B"/>
    <w:rsid w:val="000A7A12"/>
    <w:rsid w:val="000A7A72"/>
    <w:rsid w:val="000B1202"/>
    <w:rsid w:val="000B1801"/>
    <w:rsid w:val="000B1D0C"/>
    <w:rsid w:val="000B2273"/>
    <w:rsid w:val="000B2BC6"/>
    <w:rsid w:val="000B2D03"/>
    <w:rsid w:val="000B37F2"/>
    <w:rsid w:val="000B3815"/>
    <w:rsid w:val="000B3C7B"/>
    <w:rsid w:val="000B3E68"/>
    <w:rsid w:val="000B4321"/>
    <w:rsid w:val="000B4498"/>
    <w:rsid w:val="000B483A"/>
    <w:rsid w:val="000B4D2C"/>
    <w:rsid w:val="000B6177"/>
    <w:rsid w:val="000B6A6B"/>
    <w:rsid w:val="000B6C95"/>
    <w:rsid w:val="000B79FC"/>
    <w:rsid w:val="000C1679"/>
    <w:rsid w:val="000C1EE3"/>
    <w:rsid w:val="000C35F2"/>
    <w:rsid w:val="000C3AE7"/>
    <w:rsid w:val="000C3CC9"/>
    <w:rsid w:val="000C3F71"/>
    <w:rsid w:val="000C4C54"/>
    <w:rsid w:val="000C59C6"/>
    <w:rsid w:val="000C6DE4"/>
    <w:rsid w:val="000C7202"/>
    <w:rsid w:val="000D0A89"/>
    <w:rsid w:val="000D1389"/>
    <w:rsid w:val="000D1798"/>
    <w:rsid w:val="000D2626"/>
    <w:rsid w:val="000D4016"/>
    <w:rsid w:val="000D411D"/>
    <w:rsid w:val="000D4589"/>
    <w:rsid w:val="000D4809"/>
    <w:rsid w:val="000D73DD"/>
    <w:rsid w:val="000E1C51"/>
    <w:rsid w:val="000E28AB"/>
    <w:rsid w:val="000E2E3E"/>
    <w:rsid w:val="000E3583"/>
    <w:rsid w:val="000E3AF0"/>
    <w:rsid w:val="000E4E04"/>
    <w:rsid w:val="000E693B"/>
    <w:rsid w:val="000E6D5C"/>
    <w:rsid w:val="000E6EC9"/>
    <w:rsid w:val="000E70B4"/>
    <w:rsid w:val="000E7531"/>
    <w:rsid w:val="000E7B62"/>
    <w:rsid w:val="000F0E1E"/>
    <w:rsid w:val="000F1A1B"/>
    <w:rsid w:val="000F2A95"/>
    <w:rsid w:val="000F2D7E"/>
    <w:rsid w:val="000F3281"/>
    <w:rsid w:val="000F32FD"/>
    <w:rsid w:val="000F3733"/>
    <w:rsid w:val="000F5B68"/>
    <w:rsid w:val="000F5F8B"/>
    <w:rsid w:val="000F6153"/>
    <w:rsid w:val="000F63A8"/>
    <w:rsid w:val="000F64AA"/>
    <w:rsid w:val="000F6C2B"/>
    <w:rsid w:val="000F7AF4"/>
    <w:rsid w:val="000F7C33"/>
    <w:rsid w:val="000F7F0C"/>
    <w:rsid w:val="001004D6"/>
    <w:rsid w:val="00101D1B"/>
    <w:rsid w:val="00102676"/>
    <w:rsid w:val="00103646"/>
    <w:rsid w:val="00103918"/>
    <w:rsid w:val="00104897"/>
    <w:rsid w:val="00104EDE"/>
    <w:rsid w:val="00104F54"/>
    <w:rsid w:val="00105CDA"/>
    <w:rsid w:val="0010693E"/>
    <w:rsid w:val="00106BEE"/>
    <w:rsid w:val="0010711C"/>
    <w:rsid w:val="00107368"/>
    <w:rsid w:val="001078DB"/>
    <w:rsid w:val="001079ED"/>
    <w:rsid w:val="00107BDF"/>
    <w:rsid w:val="00107C74"/>
    <w:rsid w:val="0011091C"/>
    <w:rsid w:val="00111266"/>
    <w:rsid w:val="001112EB"/>
    <w:rsid w:val="00111EEA"/>
    <w:rsid w:val="0011247D"/>
    <w:rsid w:val="00113678"/>
    <w:rsid w:val="00113A7D"/>
    <w:rsid w:val="00113C3E"/>
    <w:rsid w:val="00115E11"/>
    <w:rsid w:val="00115EEE"/>
    <w:rsid w:val="00115F56"/>
    <w:rsid w:val="00116999"/>
    <w:rsid w:val="00116CA9"/>
    <w:rsid w:val="00116F38"/>
    <w:rsid w:val="001170A4"/>
    <w:rsid w:val="00117AE7"/>
    <w:rsid w:val="00117B85"/>
    <w:rsid w:val="00117CBD"/>
    <w:rsid w:val="0012006A"/>
    <w:rsid w:val="00121385"/>
    <w:rsid w:val="00121979"/>
    <w:rsid w:val="00122064"/>
    <w:rsid w:val="00124341"/>
    <w:rsid w:val="00124492"/>
    <w:rsid w:val="00124B12"/>
    <w:rsid w:val="00124C2F"/>
    <w:rsid w:val="001250A0"/>
    <w:rsid w:val="001263B8"/>
    <w:rsid w:val="00130217"/>
    <w:rsid w:val="00130783"/>
    <w:rsid w:val="00130A47"/>
    <w:rsid w:val="00130FB0"/>
    <w:rsid w:val="00132B47"/>
    <w:rsid w:val="001337F8"/>
    <w:rsid w:val="001348B4"/>
    <w:rsid w:val="0013506E"/>
    <w:rsid w:val="001351CB"/>
    <w:rsid w:val="00135530"/>
    <w:rsid w:val="00135947"/>
    <w:rsid w:val="001359A2"/>
    <w:rsid w:val="00135F92"/>
    <w:rsid w:val="00136020"/>
    <w:rsid w:val="00136445"/>
    <w:rsid w:val="00136A9C"/>
    <w:rsid w:val="00137389"/>
    <w:rsid w:val="00137F87"/>
    <w:rsid w:val="00140132"/>
    <w:rsid w:val="00141C9C"/>
    <w:rsid w:val="0014277F"/>
    <w:rsid w:val="001434BE"/>
    <w:rsid w:val="00143AAD"/>
    <w:rsid w:val="00144050"/>
    <w:rsid w:val="00144369"/>
    <w:rsid w:val="0014479F"/>
    <w:rsid w:val="001452B4"/>
    <w:rsid w:val="00145320"/>
    <w:rsid w:val="001476D3"/>
    <w:rsid w:val="00150355"/>
    <w:rsid w:val="001509CF"/>
    <w:rsid w:val="00150D1D"/>
    <w:rsid w:val="00151C83"/>
    <w:rsid w:val="001525AA"/>
    <w:rsid w:val="00152A87"/>
    <w:rsid w:val="00152AC1"/>
    <w:rsid w:val="001533ED"/>
    <w:rsid w:val="00153BB5"/>
    <w:rsid w:val="00154518"/>
    <w:rsid w:val="001560AD"/>
    <w:rsid w:val="00156359"/>
    <w:rsid w:val="0015635F"/>
    <w:rsid w:val="00156DD6"/>
    <w:rsid w:val="001574E9"/>
    <w:rsid w:val="0016086E"/>
    <w:rsid w:val="001609B9"/>
    <w:rsid w:val="00160D0C"/>
    <w:rsid w:val="00160DD1"/>
    <w:rsid w:val="00161172"/>
    <w:rsid w:val="001613B7"/>
    <w:rsid w:val="00161998"/>
    <w:rsid w:val="00161D5C"/>
    <w:rsid w:val="00161E65"/>
    <w:rsid w:val="00162597"/>
    <w:rsid w:val="001629AF"/>
    <w:rsid w:val="001629FD"/>
    <w:rsid w:val="00163D82"/>
    <w:rsid w:val="0016428A"/>
    <w:rsid w:val="001647C9"/>
    <w:rsid w:val="00165213"/>
    <w:rsid w:val="00165627"/>
    <w:rsid w:val="00165641"/>
    <w:rsid w:val="00165C37"/>
    <w:rsid w:val="001661A3"/>
    <w:rsid w:val="00167226"/>
    <w:rsid w:val="0016782B"/>
    <w:rsid w:val="0016784D"/>
    <w:rsid w:val="00167853"/>
    <w:rsid w:val="00167887"/>
    <w:rsid w:val="001726CB"/>
    <w:rsid w:val="00172CA8"/>
    <w:rsid w:val="00173256"/>
    <w:rsid w:val="00173B0E"/>
    <w:rsid w:val="00173E03"/>
    <w:rsid w:val="0017512C"/>
    <w:rsid w:val="001756AF"/>
    <w:rsid w:val="0017586A"/>
    <w:rsid w:val="00175BA6"/>
    <w:rsid w:val="00175D6F"/>
    <w:rsid w:val="001761D9"/>
    <w:rsid w:val="00176CA7"/>
    <w:rsid w:val="00176CF1"/>
    <w:rsid w:val="00176D0C"/>
    <w:rsid w:val="00176F8E"/>
    <w:rsid w:val="00177000"/>
    <w:rsid w:val="001778C5"/>
    <w:rsid w:val="00177E56"/>
    <w:rsid w:val="00177F0A"/>
    <w:rsid w:val="00180DA0"/>
    <w:rsid w:val="00181EAD"/>
    <w:rsid w:val="00182503"/>
    <w:rsid w:val="00182862"/>
    <w:rsid w:val="00183C7E"/>
    <w:rsid w:val="00184F57"/>
    <w:rsid w:val="00185091"/>
    <w:rsid w:val="00185544"/>
    <w:rsid w:val="00185617"/>
    <w:rsid w:val="00186FE1"/>
    <w:rsid w:val="00187A14"/>
    <w:rsid w:val="0019171E"/>
    <w:rsid w:val="00192368"/>
    <w:rsid w:val="001923A0"/>
    <w:rsid w:val="001928B1"/>
    <w:rsid w:val="00193537"/>
    <w:rsid w:val="00193846"/>
    <w:rsid w:val="00193BE6"/>
    <w:rsid w:val="00193EBF"/>
    <w:rsid w:val="0019536A"/>
    <w:rsid w:val="00195424"/>
    <w:rsid w:val="001955FF"/>
    <w:rsid w:val="00197D3B"/>
    <w:rsid w:val="00197EDD"/>
    <w:rsid w:val="001A02B3"/>
    <w:rsid w:val="001A04BB"/>
    <w:rsid w:val="001A08D0"/>
    <w:rsid w:val="001A1AA2"/>
    <w:rsid w:val="001A1B39"/>
    <w:rsid w:val="001A2120"/>
    <w:rsid w:val="001A28C6"/>
    <w:rsid w:val="001A2E69"/>
    <w:rsid w:val="001A3281"/>
    <w:rsid w:val="001A3C34"/>
    <w:rsid w:val="001A3EDE"/>
    <w:rsid w:val="001A4222"/>
    <w:rsid w:val="001A50EA"/>
    <w:rsid w:val="001A55D1"/>
    <w:rsid w:val="001A5E24"/>
    <w:rsid w:val="001A6249"/>
    <w:rsid w:val="001A6597"/>
    <w:rsid w:val="001A661D"/>
    <w:rsid w:val="001A6795"/>
    <w:rsid w:val="001A6B27"/>
    <w:rsid w:val="001A6D8B"/>
    <w:rsid w:val="001A6DAA"/>
    <w:rsid w:val="001A7717"/>
    <w:rsid w:val="001A793A"/>
    <w:rsid w:val="001B125A"/>
    <w:rsid w:val="001B157A"/>
    <w:rsid w:val="001B1EBA"/>
    <w:rsid w:val="001B2142"/>
    <w:rsid w:val="001B2F2B"/>
    <w:rsid w:val="001B3235"/>
    <w:rsid w:val="001B327A"/>
    <w:rsid w:val="001B35DE"/>
    <w:rsid w:val="001B3A13"/>
    <w:rsid w:val="001B3F5C"/>
    <w:rsid w:val="001B57C9"/>
    <w:rsid w:val="001B59FF"/>
    <w:rsid w:val="001B6512"/>
    <w:rsid w:val="001B65D7"/>
    <w:rsid w:val="001B6752"/>
    <w:rsid w:val="001B6768"/>
    <w:rsid w:val="001B6F1F"/>
    <w:rsid w:val="001B7ECC"/>
    <w:rsid w:val="001C025B"/>
    <w:rsid w:val="001C115F"/>
    <w:rsid w:val="001C1DED"/>
    <w:rsid w:val="001C1EAB"/>
    <w:rsid w:val="001C25A7"/>
    <w:rsid w:val="001C2775"/>
    <w:rsid w:val="001C318C"/>
    <w:rsid w:val="001C35C4"/>
    <w:rsid w:val="001C3734"/>
    <w:rsid w:val="001C4287"/>
    <w:rsid w:val="001C4479"/>
    <w:rsid w:val="001C485F"/>
    <w:rsid w:val="001C5190"/>
    <w:rsid w:val="001C6081"/>
    <w:rsid w:val="001C73EB"/>
    <w:rsid w:val="001C7B48"/>
    <w:rsid w:val="001D0CFB"/>
    <w:rsid w:val="001D1A0D"/>
    <w:rsid w:val="001D343C"/>
    <w:rsid w:val="001D3D90"/>
    <w:rsid w:val="001D4405"/>
    <w:rsid w:val="001D56E2"/>
    <w:rsid w:val="001D58A1"/>
    <w:rsid w:val="001D58C2"/>
    <w:rsid w:val="001D5A8A"/>
    <w:rsid w:val="001D61CA"/>
    <w:rsid w:val="001D6E87"/>
    <w:rsid w:val="001D735E"/>
    <w:rsid w:val="001D73C8"/>
    <w:rsid w:val="001D7BC6"/>
    <w:rsid w:val="001E0886"/>
    <w:rsid w:val="001E129E"/>
    <w:rsid w:val="001E175C"/>
    <w:rsid w:val="001E1B0E"/>
    <w:rsid w:val="001E3B63"/>
    <w:rsid w:val="001E41E7"/>
    <w:rsid w:val="001E5A94"/>
    <w:rsid w:val="001F13FD"/>
    <w:rsid w:val="001F2A2E"/>
    <w:rsid w:val="001F3356"/>
    <w:rsid w:val="001F3A42"/>
    <w:rsid w:val="001F3C63"/>
    <w:rsid w:val="001F4460"/>
    <w:rsid w:val="001F66F3"/>
    <w:rsid w:val="001F6C96"/>
    <w:rsid w:val="001F711A"/>
    <w:rsid w:val="001F75B0"/>
    <w:rsid w:val="0020057C"/>
    <w:rsid w:val="0020083C"/>
    <w:rsid w:val="00200CE5"/>
    <w:rsid w:val="00200F7C"/>
    <w:rsid w:val="002014DB"/>
    <w:rsid w:val="0020150B"/>
    <w:rsid w:val="00201E12"/>
    <w:rsid w:val="002021D9"/>
    <w:rsid w:val="00202295"/>
    <w:rsid w:val="002033B5"/>
    <w:rsid w:val="0020382C"/>
    <w:rsid w:val="0020437A"/>
    <w:rsid w:val="0020454C"/>
    <w:rsid w:val="00204740"/>
    <w:rsid w:val="00205129"/>
    <w:rsid w:val="0020521F"/>
    <w:rsid w:val="0020532C"/>
    <w:rsid w:val="00207E27"/>
    <w:rsid w:val="00210FFA"/>
    <w:rsid w:val="0021120C"/>
    <w:rsid w:val="002114C7"/>
    <w:rsid w:val="00211AEB"/>
    <w:rsid w:val="0021302C"/>
    <w:rsid w:val="00213B1C"/>
    <w:rsid w:val="00213F1E"/>
    <w:rsid w:val="00214202"/>
    <w:rsid w:val="002148E3"/>
    <w:rsid w:val="0021552D"/>
    <w:rsid w:val="002156AE"/>
    <w:rsid w:val="00215E99"/>
    <w:rsid w:val="0022054D"/>
    <w:rsid w:val="0022107B"/>
    <w:rsid w:val="00222273"/>
    <w:rsid w:val="00222662"/>
    <w:rsid w:val="00223DDB"/>
    <w:rsid w:val="00223FA4"/>
    <w:rsid w:val="00223FB0"/>
    <w:rsid w:val="0022405A"/>
    <w:rsid w:val="00224067"/>
    <w:rsid w:val="0022421C"/>
    <w:rsid w:val="00224C4A"/>
    <w:rsid w:val="00224E83"/>
    <w:rsid w:val="00225664"/>
    <w:rsid w:val="0022663D"/>
    <w:rsid w:val="00227C56"/>
    <w:rsid w:val="00227F2D"/>
    <w:rsid w:val="00231851"/>
    <w:rsid w:val="002319FB"/>
    <w:rsid w:val="00231B89"/>
    <w:rsid w:val="00231DA5"/>
    <w:rsid w:val="00231F11"/>
    <w:rsid w:val="00231F5E"/>
    <w:rsid w:val="002346B4"/>
    <w:rsid w:val="00234F6E"/>
    <w:rsid w:val="002355BE"/>
    <w:rsid w:val="002358EA"/>
    <w:rsid w:val="00236134"/>
    <w:rsid w:val="00236578"/>
    <w:rsid w:val="00236DE9"/>
    <w:rsid w:val="00237342"/>
    <w:rsid w:val="002376DA"/>
    <w:rsid w:val="00237D5A"/>
    <w:rsid w:val="00240D75"/>
    <w:rsid w:val="002415AE"/>
    <w:rsid w:val="00241D3C"/>
    <w:rsid w:val="00242109"/>
    <w:rsid w:val="00243189"/>
    <w:rsid w:val="002439AB"/>
    <w:rsid w:val="00243C19"/>
    <w:rsid w:val="00244AE8"/>
    <w:rsid w:val="00244DC9"/>
    <w:rsid w:val="00245587"/>
    <w:rsid w:val="00245F2B"/>
    <w:rsid w:val="002466CD"/>
    <w:rsid w:val="00247F3A"/>
    <w:rsid w:val="00250122"/>
    <w:rsid w:val="0025024D"/>
    <w:rsid w:val="00250755"/>
    <w:rsid w:val="002508B7"/>
    <w:rsid w:val="00251043"/>
    <w:rsid w:val="00251C4A"/>
    <w:rsid w:val="00252033"/>
    <w:rsid w:val="0025271C"/>
    <w:rsid w:val="0025277A"/>
    <w:rsid w:val="002533CD"/>
    <w:rsid w:val="002535EA"/>
    <w:rsid w:val="00254EAB"/>
    <w:rsid w:val="002556A8"/>
    <w:rsid w:val="002557AF"/>
    <w:rsid w:val="0025589C"/>
    <w:rsid w:val="00255B62"/>
    <w:rsid w:val="002566B1"/>
    <w:rsid w:val="002575E3"/>
    <w:rsid w:val="00257A74"/>
    <w:rsid w:val="00257C5D"/>
    <w:rsid w:val="002603C1"/>
    <w:rsid w:val="002609A1"/>
    <w:rsid w:val="002612B1"/>
    <w:rsid w:val="0026576C"/>
    <w:rsid w:val="00265A12"/>
    <w:rsid w:val="00265F81"/>
    <w:rsid w:val="00266165"/>
    <w:rsid w:val="00266F2C"/>
    <w:rsid w:val="0027125E"/>
    <w:rsid w:val="00271767"/>
    <w:rsid w:val="00272293"/>
    <w:rsid w:val="002723C8"/>
    <w:rsid w:val="00273633"/>
    <w:rsid w:val="00273AFF"/>
    <w:rsid w:val="00273C2A"/>
    <w:rsid w:val="00273CBE"/>
    <w:rsid w:val="002746B1"/>
    <w:rsid w:val="00274BAD"/>
    <w:rsid w:val="002750D8"/>
    <w:rsid w:val="002767CD"/>
    <w:rsid w:val="00276BCE"/>
    <w:rsid w:val="002807B0"/>
    <w:rsid w:val="00281462"/>
    <w:rsid w:val="00282D56"/>
    <w:rsid w:val="002835B0"/>
    <w:rsid w:val="00283C74"/>
    <w:rsid w:val="0028407E"/>
    <w:rsid w:val="0028410F"/>
    <w:rsid w:val="00284572"/>
    <w:rsid w:val="002850AA"/>
    <w:rsid w:val="00285221"/>
    <w:rsid w:val="00285545"/>
    <w:rsid w:val="00286FB5"/>
    <w:rsid w:val="002873F3"/>
    <w:rsid w:val="00287763"/>
    <w:rsid w:val="00290606"/>
    <w:rsid w:val="002909B2"/>
    <w:rsid w:val="00291D6D"/>
    <w:rsid w:val="00291FF1"/>
    <w:rsid w:val="00292AA2"/>
    <w:rsid w:val="00292DF0"/>
    <w:rsid w:val="00293361"/>
    <w:rsid w:val="00294F10"/>
    <w:rsid w:val="002952B1"/>
    <w:rsid w:val="00295976"/>
    <w:rsid w:val="00295D11"/>
    <w:rsid w:val="00295D71"/>
    <w:rsid w:val="00296FB6"/>
    <w:rsid w:val="002A0001"/>
    <w:rsid w:val="002A0BD9"/>
    <w:rsid w:val="002A0C3A"/>
    <w:rsid w:val="002A0DF8"/>
    <w:rsid w:val="002A0F1C"/>
    <w:rsid w:val="002A1130"/>
    <w:rsid w:val="002A1880"/>
    <w:rsid w:val="002A23B7"/>
    <w:rsid w:val="002A3A57"/>
    <w:rsid w:val="002A42CE"/>
    <w:rsid w:val="002A4980"/>
    <w:rsid w:val="002A4B4F"/>
    <w:rsid w:val="002A4EA8"/>
    <w:rsid w:val="002A57A8"/>
    <w:rsid w:val="002A58B5"/>
    <w:rsid w:val="002A6DEF"/>
    <w:rsid w:val="002A770B"/>
    <w:rsid w:val="002A78EB"/>
    <w:rsid w:val="002B013E"/>
    <w:rsid w:val="002B058D"/>
    <w:rsid w:val="002B0C16"/>
    <w:rsid w:val="002B2456"/>
    <w:rsid w:val="002B2AC5"/>
    <w:rsid w:val="002B3528"/>
    <w:rsid w:val="002B3539"/>
    <w:rsid w:val="002B4395"/>
    <w:rsid w:val="002B4532"/>
    <w:rsid w:val="002B4DD9"/>
    <w:rsid w:val="002B5042"/>
    <w:rsid w:val="002B69CC"/>
    <w:rsid w:val="002B6D71"/>
    <w:rsid w:val="002B6DDB"/>
    <w:rsid w:val="002C0039"/>
    <w:rsid w:val="002C03AE"/>
    <w:rsid w:val="002C0C1C"/>
    <w:rsid w:val="002C3369"/>
    <w:rsid w:val="002C41BF"/>
    <w:rsid w:val="002C47D9"/>
    <w:rsid w:val="002C53FD"/>
    <w:rsid w:val="002C54C2"/>
    <w:rsid w:val="002C5D34"/>
    <w:rsid w:val="002C60BB"/>
    <w:rsid w:val="002C661A"/>
    <w:rsid w:val="002C6A22"/>
    <w:rsid w:val="002C7B80"/>
    <w:rsid w:val="002D0D6F"/>
    <w:rsid w:val="002D25FC"/>
    <w:rsid w:val="002D4AC6"/>
    <w:rsid w:val="002D59BF"/>
    <w:rsid w:val="002D5BF5"/>
    <w:rsid w:val="002D5EE8"/>
    <w:rsid w:val="002D7360"/>
    <w:rsid w:val="002D7648"/>
    <w:rsid w:val="002D7C80"/>
    <w:rsid w:val="002E109C"/>
    <w:rsid w:val="002E193E"/>
    <w:rsid w:val="002E1A94"/>
    <w:rsid w:val="002E1D55"/>
    <w:rsid w:val="002E26C4"/>
    <w:rsid w:val="002E2734"/>
    <w:rsid w:val="002E30A5"/>
    <w:rsid w:val="002E3AAF"/>
    <w:rsid w:val="002E47E4"/>
    <w:rsid w:val="002E4BF9"/>
    <w:rsid w:val="002E4D61"/>
    <w:rsid w:val="002E59AE"/>
    <w:rsid w:val="002E68A7"/>
    <w:rsid w:val="002E697A"/>
    <w:rsid w:val="002E6E6C"/>
    <w:rsid w:val="002E731B"/>
    <w:rsid w:val="002F016E"/>
    <w:rsid w:val="002F0522"/>
    <w:rsid w:val="002F16DD"/>
    <w:rsid w:val="002F199D"/>
    <w:rsid w:val="002F213C"/>
    <w:rsid w:val="002F2453"/>
    <w:rsid w:val="002F33D3"/>
    <w:rsid w:val="002F352D"/>
    <w:rsid w:val="002F381E"/>
    <w:rsid w:val="002F4084"/>
    <w:rsid w:val="002F4A08"/>
    <w:rsid w:val="002F4ADB"/>
    <w:rsid w:val="002F531E"/>
    <w:rsid w:val="002F548D"/>
    <w:rsid w:val="002F5ACC"/>
    <w:rsid w:val="002F62AC"/>
    <w:rsid w:val="002F704B"/>
    <w:rsid w:val="002F7236"/>
    <w:rsid w:val="002F72C3"/>
    <w:rsid w:val="002F768C"/>
    <w:rsid w:val="002F7D1E"/>
    <w:rsid w:val="00300096"/>
    <w:rsid w:val="00300201"/>
    <w:rsid w:val="0030025A"/>
    <w:rsid w:val="00302EFC"/>
    <w:rsid w:val="00303243"/>
    <w:rsid w:val="00303BCC"/>
    <w:rsid w:val="00303CB5"/>
    <w:rsid w:val="00303F2B"/>
    <w:rsid w:val="00303F8D"/>
    <w:rsid w:val="00304656"/>
    <w:rsid w:val="0030572D"/>
    <w:rsid w:val="0030586A"/>
    <w:rsid w:val="0030622D"/>
    <w:rsid w:val="00306811"/>
    <w:rsid w:val="00306F32"/>
    <w:rsid w:val="00306F3C"/>
    <w:rsid w:val="003074C5"/>
    <w:rsid w:val="00307A3C"/>
    <w:rsid w:val="00307FA4"/>
    <w:rsid w:val="00310290"/>
    <w:rsid w:val="00310CC1"/>
    <w:rsid w:val="00312504"/>
    <w:rsid w:val="003129E8"/>
    <w:rsid w:val="00312B89"/>
    <w:rsid w:val="00313026"/>
    <w:rsid w:val="0031380D"/>
    <w:rsid w:val="00313913"/>
    <w:rsid w:val="0031421F"/>
    <w:rsid w:val="00314B31"/>
    <w:rsid w:val="00315A65"/>
    <w:rsid w:val="003165D7"/>
    <w:rsid w:val="0031666B"/>
    <w:rsid w:val="00316ABE"/>
    <w:rsid w:val="00317420"/>
    <w:rsid w:val="00317BA7"/>
    <w:rsid w:val="00320BE2"/>
    <w:rsid w:val="00321886"/>
    <w:rsid w:val="00321EDC"/>
    <w:rsid w:val="00323694"/>
    <w:rsid w:val="00323BE7"/>
    <w:rsid w:val="00324C3A"/>
    <w:rsid w:val="00324D63"/>
    <w:rsid w:val="00324F40"/>
    <w:rsid w:val="003255AF"/>
    <w:rsid w:val="003256EB"/>
    <w:rsid w:val="003259DB"/>
    <w:rsid w:val="0032795B"/>
    <w:rsid w:val="003303CD"/>
    <w:rsid w:val="003314D9"/>
    <w:rsid w:val="00331653"/>
    <w:rsid w:val="00331A48"/>
    <w:rsid w:val="00331BCC"/>
    <w:rsid w:val="00331DD8"/>
    <w:rsid w:val="0033288C"/>
    <w:rsid w:val="003330C9"/>
    <w:rsid w:val="0033364C"/>
    <w:rsid w:val="0033440F"/>
    <w:rsid w:val="00334415"/>
    <w:rsid w:val="00334B8B"/>
    <w:rsid w:val="00335EA1"/>
    <w:rsid w:val="0033691E"/>
    <w:rsid w:val="00336A6A"/>
    <w:rsid w:val="00336CCB"/>
    <w:rsid w:val="00340AEE"/>
    <w:rsid w:val="003411D1"/>
    <w:rsid w:val="0034148E"/>
    <w:rsid w:val="003416BA"/>
    <w:rsid w:val="00342148"/>
    <w:rsid w:val="00342F99"/>
    <w:rsid w:val="0034575A"/>
    <w:rsid w:val="00345F57"/>
    <w:rsid w:val="00350458"/>
    <w:rsid w:val="0035047B"/>
    <w:rsid w:val="00350E6C"/>
    <w:rsid w:val="003518A6"/>
    <w:rsid w:val="00351E7F"/>
    <w:rsid w:val="00352953"/>
    <w:rsid w:val="00354062"/>
    <w:rsid w:val="0035459E"/>
    <w:rsid w:val="00354AE9"/>
    <w:rsid w:val="00355C0D"/>
    <w:rsid w:val="003566A9"/>
    <w:rsid w:val="00356988"/>
    <w:rsid w:val="003569D3"/>
    <w:rsid w:val="00356CE9"/>
    <w:rsid w:val="003570BB"/>
    <w:rsid w:val="00357128"/>
    <w:rsid w:val="0035755E"/>
    <w:rsid w:val="00357A80"/>
    <w:rsid w:val="00361441"/>
    <w:rsid w:val="00361B8B"/>
    <w:rsid w:val="0036350D"/>
    <w:rsid w:val="00363F39"/>
    <w:rsid w:val="003640FC"/>
    <w:rsid w:val="0036445C"/>
    <w:rsid w:val="00364627"/>
    <w:rsid w:val="00364AB0"/>
    <w:rsid w:val="00364D71"/>
    <w:rsid w:val="00365C3B"/>
    <w:rsid w:val="00366313"/>
    <w:rsid w:val="003667B0"/>
    <w:rsid w:val="003667DD"/>
    <w:rsid w:val="00366A55"/>
    <w:rsid w:val="00366B48"/>
    <w:rsid w:val="00367764"/>
    <w:rsid w:val="00370316"/>
    <w:rsid w:val="00370DC7"/>
    <w:rsid w:val="00371CBD"/>
    <w:rsid w:val="00371F20"/>
    <w:rsid w:val="003721E3"/>
    <w:rsid w:val="00372B98"/>
    <w:rsid w:val="003737B7"/>
    <w:rsid w:val="0037405B"/>
    <w:rsid w:val="003740CC"/>
    <w:rsid w:val="003745F4"/>
    <w:rsid w:val="0037491A"/>
    <w:rsid w:val="00374B50"/>
    <w:rsid w:val="00374E79"/>
    <w:rsid w:val="0037529A"/>
    <w:rsid w:val="00375388"/>
    <w:rsid w:val="00375559"/>
    <w:rsid w:val="00375FB9"/>
    <w:rsid w:val="00376170"/>
    <w:rsid w:val="003762D0"/>
    <w:rsid w:val="00376851"/>
    <w:rsid w:val="00376FA2"/>
    <w:rsid w:val="00377133"/>
    <w:rsid w:val="00377A3B"/>
    <w:rsid w:val="00377E3C"/>
    <w:rsid w:val="00380874"/>
    <w:rsid w:val="00380BBE"/>
    <w:rsid w:val="00381D70"/>
    <w:rsid w:val="0038235E"/>
    <w:rsid w:val="003829D0"/>
    <w:rsid w:val="0038326A"/>
    <w:rsid w:val="0038444F"/>
    <w:rsid w:val="00384A87"/>
    <w:rsid w:val="003860E4"/>
    <w:rsid w:val="003861F0"/>
    <w:rsid w:val="00387051"/>
    <w:rsid w:val="00387882"/>
    <w:rsid w:val="00387ECF"/>
    <w:rsid w:val="0039021B"/>
    <w:rsid w:val="00390429"/>
    <w:rsid w:val="00390522"/>
    <w:rsid w:val="003906A0"/>
    <w:rsid w:val="00392344"/>
    <w:rsid w:val="003923D5"/>
    <w:rsid w:val="003931AF"/>
    <w:rsid w:val="00393491"/>
    <w:rsid w:val="0039366C"/>
    <w:rsid w:val="00393EC8"/>
    <w:rsid w:val="00395E42"/>
    <w:rsid w:val="00396409"/>
    <w:rsid w:val="00396A2D"/>
    <w:rsid w:val="00396FC3"/>
    <w:rsid w:val="0039774B"/>
    <w:rsid w:val="003A06D7"/>
    <w:rsid w:val="003A07EA"/>
    <w:rsid w:val="003A1026"/>
    <w:rsid w:val="003A1431"/>
    <w:rsid w:val="003A154A"/>
    <w:rsid w:val="003A1A94"/>
    <w:rsid w:val="003A204E"/>
    <w:rsid w:val="003A2D25"/>
    <w:rsid w:val="003A364B"/>
    <w:rsid w:val="003A4638"/>
    <w:rsid w:val="003A5101"/>
    <w:rsid w:val="003A5180"/>
    <w:rsid w:val="003A5728"/>
    <w:rsid w:val="003A60E7"/>
    <w:rsid w:val="003A7092"/>
    <w:rsid w:val="003A72A1"/>
    <w:rsid w:val="003A7611"/>
    <w:rsid w:val="003A7D1F"/>
    <w:rsid w:val="003B0B6A"/>
    <w:rsid w:val="003B22F7"/>
    <w:rsid w:val="003B29CF"/>
    <w:rsid w:val="003B3A90"/>
    <w:rsid w:val="003B3D01"/>
    <w:rsid w:val="003B48EB"/>
    <w:rsid w:val="003B534F"/>
    <w:rsid w:val="003B6E02"/>
    <w:rsid w:val="003B7A79"/>
    <w:rsid w:val="003C0B90"/>
    <w:rsid w:val="003C0FE1"/>
    <w:rsid w:val="003C151A"/>
    <w:rsid w:val="003C350C"/>
    <w:rsid w:val="003C3733"/>
    <w:rsid w:val="003C3903"/>
    <w:rsid w:val="003C3BA0"/>
    <w:rsid w:val="003C4580"/>
    <w:rsid w:val="003C5C5E"/>
    <w:rsid w:val="003C6746"/>
    <w:rsid w:val="003C7555"/>
    <w:rsid w:val="003C7898"/>
    <w:rsid w:val="003D0FF5"/>
    <w:rsid w:val="003D11A3"/>
    <w:rsid w:val="003D1537"/>
    <w:rsid w:val="003D183C"/>
    <w:rsid w:val="003D189A"/>
    <w:rsid w:val="003D2D1B"/>
    <w:rsid w:val="003D332B"/>
    <w:rsid w:val="003D48C7"/>
    <w:rsid w:val="003D4C27"/>
    <w:rsid w:val="003D5E8A"/>
    <w:rsid w:val="003D7109"/>
    <w:rsid w:val="003D7CE8"/>
    <w:rsid w:val="003E0514"/>
    <w:rsid w:val="003E1032"/>
    <w:rsid w:val="003E1904"/>
    <w:rsid w:val="003E285E"/>
    <w:rsid w:val="003E3124"/>
    <w:rsid w:val="003E3300"/>
    <w:rsid w:val="003E3F7B"/>
    <w:rsid w:val="003E43D3"/>
    <w:rsid w:val="003E48E1"/>
    <w:rsid w:val="003E50F4"/>
    <w:rsid w:val="003E59BB"/>
    <w:rsid w:val="003E6225"/>
    <w:rsid w:val="003E65AC"/>
    <w:rsid w:val="003E66AE"/>
    <w:rsid w:val="003E72B9"/>
    <w:rsid w:val="003E7612"/>
    <w:rsid w:val="003E7ED4"/>
    <w:rsid w:val="003F07D4"/>
    <w:rsid w:val="003F0CAA"/>
    <w:rsid w:val="003F0E52"/>
    <w:rsid w:val="003F0F6B"/>
    <w:rsid w:val="003F1C26"/>
    <w:rsid w:val="003F1FC6"/>
    <w:rsid w:val="003F1FE3"/>
    <w:rsid w:val="003F2359"/>
    <w:rsid w:val="003F3232"/>
    <w:rsid w:val="003F3865"/>
    <w:rsid w:val="003F38AC"/>
    <w:rsid w:val="003F3D55"/>
    <w:rsid w:val="003F44E2"/>
    <w:rsid w:val="003F4632"/>
    <w:rsid w:val="003F47BA"/>
    <w:rsid w:val="003F48C0"/>
    <w:rsid w:val="003F4FE6"/>
    <w:rsid w:val="003F5638"/>
    <w:rsid w:val="003F6617"/>
    <w:rsid w:val="004012C1"/>
    <w:rsid w:val="00402332"/>
    <w:rsid w:val="004025C2"/>
    <w:rsid w:val="00403195"/>
    <w:rsid w:val="004033A9"/>
    <w:rsid w:val="00403E55"/>
    <w:rsid w:val="0040407C"/>
    <w:rsid w:val="0040416C"/>
    <w:rsid w:val="004041CA"/>
    <w:rsid w:val="00404681"/>
    <w:rsid w:val="00405445"/>
    <w:rsid w:val="00405AC1"/>
    <w:rsid w:val="00405C90"/>
    <w:rsid w:val="00406923"/>
    <w:rsid w:val="0040763D"/>
    <w:rsid w:val="00410D17"/>
    <w:rsid w:val="00412AA9"/>
    <w:rsid w:val="00413442"/>
    <w:rsid w:val="00413821"/>
    <w:rsid w:val="00413BA5"/>
    <w:rsid w:val="004141A3"/>
    <w:rsid w:val="00414909"/>
    <w:rsid w:val="0041582F"/>
    <w:rsid w:val="00416112"/>
    <w:rsid w:val="00417A18"/>
    <w:rsid w:val="00417AE0"/>
    <w:rsid w:val="00417BAA"/>
    <w:rsid w:val="0042042B"/>
    <w:rsid w:val="00420B45"/>
    <w:rsid w:val="00420D7A"/>
    <w:rsid w:val="00421257"/>
    <w:rsid w:val="00421681"/>
    <w:rsid w:val="00422193"/>
    <w:rsid w:val="004223DE"/>
    <w:rsid w:val="00422A10"/>
    <w:rsid w:val="00424D17"/>
    <w:rsid w:val="00425DFD"/>
    <w:rsid w:val="004263A3"/>
    <w:rsid w:val="00426F87"/>
    <w:rsid w:val="00427713"/>
    <w:rsid w:val="00427CCC"/>
    <w:rsid w:val="0043013A"/>
    <w:rsid w:val="00430421"/>
    <w:rsid w:val="00430A36"/>
    <w:rsid w:val="00430B4F"/>
    <w:rsid w:val="00431084"/>
    <w:rsid w:val="004310D7"/>
    <w:rsid w:val="004322D6"/>
    <w:rsid w:val="00432589"/>
    <w:rsid w:val="004328D7"/>
    <w:rsid w:val="00432A94"/>
    <w:rsid w:val="00432C95"/>
    <w:rsid w:val="00433827"/>
    <w:rsid w:val="00433A40"/>
    <w:rsid w:val="00434B70"/>
    <w:rsid w:val="004360C8"/>
    <w:rsid w:val="00436823"/>
    <w:rsid w:val="004371D5"/>
    <w:rsid w:val="0044006B"/>
    <w:rsid w:val="0044033F"/>
    <w:rsid w:val="00440630"/>
    <w:rsid w:val="00440ABC"/>
    <w:rsid w:val="0044158C"/>
    <w:rsid w:val="00441F0F"/>
    <w:rsid w:val="00442965"/>
    <w:rsid w:val="004432B6"/>
    <w:rsid w:val="004437B6"/>
    <w:rsid w:val="00444157"/>
    <w:rsid w:val="0044417C"/>
    <w:rsid w:val="00444DB3"/>
    <w:rsid w:val="00445617"/>
    <w:rsid w:val="00445A2F"/>
    <w:rsid w:val="00445E2D"/>
    <w:rsid w:val="004460D8"/>
    <w:rsid w:val="0044684E"/>
    <w:rsid w:val="0044690D"/>
    <w:rsid w:val="00446F22"/>
    <w:rsid w:val="00446FC6"/>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729A"/>
    <w:rsid w:val="004578EB"/>
    <w:rsid w:val="004604D5"/>
    <w:rsid w:val="00460697"/>
    <w:rsid w:val="0046117B"/>
    <w:rsid w:val="00461FC2"/>
    <w:rsid w:val="0046216B"/>
    <w:rsid w:val="00464AB7"/>
    <w:rsid w:val="00465DE5"/>
    <w:rsid w:val="00466C2A"/>
    <w:rsid w:val="00466FD9"/>
    <w:rsid w:val="00467EF8"/>
    <w:rsid w:val="00471AC3"/>
    <w:rsid w:val="004721E9"/>
    <w:rsid w:val="00472429"/>
    <w:rsid w:val="004725E5"/>
    <w:rsid w:val="00472751"/>
    <w:rsid w:val="00473128"/>
    <w:rsid w:val="004745C8"/>
    <w:rsid w:val="00475078"/>
    <w:rsid w:val="00475767"/>
    <w:rsid w:val="004779A0"/>
    <w:rsid w:val="004808E3"/>
    <w:rsid w:val="00481016"/>
    <w:rsid w:val="004813BA"/>
    <w:rsid w:val="0048204C"/>
    <w:rsid w:val="004821BB"/>
    <w:rsid w:val="0048237A"/>
    <w:rsid w:val="004826FE"/>
    <w:rsid w:val="004827D5"/>
    <w:rsid w:val="00482AF2"/>
    <w:rsid w:val="004830C9"/>
    <w:rsid w:val="00483347"/>
    <w:rsid w:val="00483E2E"/>
    <w:rsid w:val="00484930"/>
    <w:rsid w:val="00484B69"/>
    <w:rsid w:val="00485406"/>
    <w:rsid w:val="0048590F"/>
    <w:rsid w:val="00486D60"/>
    <w:rsid w:val="00487E71"/>
    <w:rsid w:val="00490858"/>
    <w:rsid w:val="00490E3D"/>
    <w:rsid w:val="00491FA1"/>
    <w:rsid w:val="00492A25"/>
    <w:rsid w:val="004938A3"/>
    <w:rsid w:val="00494878"/>
    <w:rsid w:val="0049558B"/>
    <w:rsid w:val="00496350"/>
    <w:rsid w:val="0049797C"/>
    <w:rsid w:val="004A0578"/>
    <w:rsid w:val="004A1405"/>
    <w:rsid w:val="004A15BD"/>
    <w:rsid w:val="004A1E28"/>
    <w:rsid w:val="004A1FC6"/>
    <w:rsid w:val="004A2E5F"/>
    <w:rsid w:val="004A38C2"/>
    <w:rsid w:val="004A3C03"/>
    <w:rsid w:val="004A3DB7"/>
    <w:rsid w:val="004A463B"/>
    <w:rsid w:val="004A5088"/>
    <w:rsid w:val="004A5255"/>
    <w:rsid w:val="004A6B28"/>
    <w:rsid w:val="004A6CB0"/>
    <w:rsid w:val="004A70FF"/>
    <w:rsid w:val="004A7EDE"/>
    <w:rsid w:val="004B0D93"/>
    <w:rsid w:val="004B1FA4"/>
    <w:rsid w:val="004B20D1"/>
    <w:rsid w:val="004B215B"/>
    <w:rsid w:val="004B28FD"/>
    <w:rsid w:val="004B29AC"/>
    <w:rsid w:val="004B2CB3"/>
    <w:rsid w:val="004B35DF"/>
    <w:rsid w:val="004B3627"/>
    <w:rsid w:val="004B43E6"/>
    <w:rsid w:val="004B4922"/>
    <w:rsid w:val="004B4E15"/>
    <w:rsid w:val="004B57DF"/>
    <w:rsid w:val="004B5976"/>
    <w:rsid w:val="004B722E"/>
    <w:rsid w:val="004B72E8"/>
    <w:rsid w:val="004B7885"/>
    <w:rsid w:val="004C01A5"/>
    <w:rsid w:val="004C0219"/>
    <w:rsid w:val="004C02BE"/>
    <w:rsid w:val="004C0412"/>
    <w:rsid w:val="004C0426"/>
    <w:rsid w:val="004C2138"/>
    <w:rsid w:val="004C3940"/>
    <w:rsid w:val="004C51FD"/>
    <w:rsid w:val="004C65A8"/>
    <w:rsid w:val="004C6689"/>
    <w:rsid w:val="004D139A"/>
    <w:rsid w:val="004D14DC"/>
    <w:rsid w:val="004D17C6"/>
    <w:rsid w:val="004D2858"/>
    <w:rsid w:val="004D2E49"/>
    <w:rsid w:val="004D35BA"/>
    <w:rsid w:val="004D38E5"/>
    <w:rsid w:val="004D3C5A"/>
    <w:rsid w:val="004D449A"/>
    <w:rsid w:val="004D4701"/>
    <w:rsid w:val="004D47C7"/>
    <w:rsid w:val="004D4B2B"/>
    <w:rsid w:val="004D4F35"/>
    <w:rsid w:val="004D51EE"/>
    <w:rsid w:val="004D5D45"/>
    <w:rsid w:val="004D6023"/>
    <w:rsid w:val="004D618D"/>
    <w:rsid w:val="004D62A9"/>
    <w:rsid w:val="004D6D58"/>
    <w:rsid w:val="004D6FC3"/>
    <w:rsid w:val="004D7072"/>
    <w:rsid w:val="004D7476"/>
    <w:rsid w:val="004D7716"/>
    <w:rsid w:val="004E0306"/>
    <w:rsid w:val="004E0572"/>
    <w:rsid w:val="004E1641"/>
    <w:rsid w:val="004E1818"/>
    <w:rsid w:val="004E1990"/>
    <w:rsid w:val="004E1FEE"/>
    <w:rsid w:val="004E25A8"/>
    <w:rsid w:val="004E3930"/>
    <w:rsid w:val="004E3ED9"/>
    <w:rsid w:val="004E5866"/>
    <w:rsid w:val="004E6097"/>
    <w:rsid w:val="004E61EF"/>
    <w:rsid w:val="004E63C6"/>
    <w:rsid w:val="004E76A7"/>
    <w:rsid w:val="004E7B03"/>
    <w:rsid w:val="004F0064"/>
    <w:rsid w:val="004F06AC"/>
    <w:rsid w:val="004F0E50"/>
    <w:rsid w:val="004F1D2A"/>
    <w:rsid w:val="004F243F"/>
    <w:rsid w:val="004F252C"/>
    <w:rsid w:val="004F2A29"/>
    <w:rsid w:val="004F36A3"/>
    <w:rsid w:val="004F3E0C"/>
    <w:rsid w:val="004F4308"/>
    <w:rsid w:val="004F7160"/>
    <w:rsid w:val="00500258"/>
    <w:rsid w:val="00500B2D"/>
    <w:rsid w:val="00501A99"/>
    <w:rsid w:val="005028C8"/>
    <w:rsid w:val="00502E0C"/>
    <w:rsid w:val="00503180"/>
    <w:rsid w:val="005038A4"/>
    <w:rsid w:val="00504301"/>
    <w:rsid w:val="00504CD4"/>
    <w:rsid w:val="0050524B"/>
    <w:rsid w:val="00505450"/>
    <w:rsid w:val="00505FC6"/>
    <w:rsid w:val="005100B7"/>
    <w:rsid w:val="00510137"/>
    <w:rsid w:val="00510281"/>
    <w:rsid w:val="005105DE"/>
    <w:rsid w:val="005113C9"/>
    <w:rsid w:val="00512050"/>
    <w:rsid w:val="00512055"/>
    <w:rsid w:val="00512707"/>
    <w:rsid w:val="0051280C"/>
    <w:rsid w:val="00512842"/>
    <w:rsid w:val="005128BE"/>
    <w:rsid w:val="0051356F"/>
    <w:rsid w:val="00513E7C"/>
    <w:rsid w:val="005140BB"/>
    <w:rsid w:val="00514FBE"/>
    <w:rsid w:val="00514FD9"/>
    <w:rsid w:val="0051550A"/>
    <w:rsid w:val="0051608F"/>
    <w:rsid w:val="005163E3"/>
    <w:rsid w:val="00516480"/>
    <w:rsid w:val="005164B5"/>
    <w:rsid w:val="0051795A"/>
    <w:rsid w:val="005206F0"/>
    <w:rsid w:val="00520EF8"/>
    <w:rsid w:val="005210F7"/>
    <w:rsid w:val="00521753"/>
    <w:rsid w:val="0052239D"/>
    <w:rsid w:val="005224EE"/>
    <w:rsid w:val="00522879"/>
    <w:rsid w:val="00523BB1"/>
    <w:rsid w:val="00524B23"/>
    <w:rsid w:val="0052570E"/>
    <w:rsid w:val="00525899"/>
    <w:rsid w:val="005260CD"/>
    <w:rsid w:val="005260E0"/>
    <w:rsid w:val="00526265"/>
    <w:rsid w:val="0052655D"/>
    <w:rsid w:val="005265E0"/>
    <w:rsid w:val="00526BC3"/>
    <w:rsid w:val="00530064"/>
    <w:rsid w:val="005308BD"/>
    <w:rsid w:val="00531761"/>
    <w:rsid w:val="00532459"/>
    <w:rsid w:val="0053248F"/>
    <w:rsid w:val="0053265E"/>
    <w:rsid w:val="005327AB"/>
    <w:rsid w:val="0053332A"/>
    <w:rsid w:val="0053358A"/>
    <w:rsid w:val="005344C8"/>
    <w:rsid w:val="00534668"/>
    <w:rsid w:val="00534A6E"/>
    <w:rsid w:val="00534DDD"/>
    <w:rsid w:val="00535291"/>
    <w:rsid w:val="00535A94"/>
    <w:rsid w:val="00537874"/>
    <w:rsid w:val="0053795F"/>
    <w:rsid w:val="00537D3D"/>
    <w:rsid w:val="00540511"/>
    <w:rsid w:val="00540578"/>
    <w:rsid w:val="00540808"/>
    <w:rsid w:val="0054080E"/>
    <w:rsid w:val="00540D1A"/>
    <w:rsid w:val="00540DE5"/>
    <w:rsid w:val="00540EA1"/>
    <w:rsid w:val="00541E5A"/>
    <w:rsid w:val="005425BD"/>
    <w:rsid w:val="0054358E"/>
    <w:rsid w:val="005437E1"/>
    <w:rsid w:val="00543AF4"/>
    <w:rsid w:val="00543F53"/>
    <w:rsid w:val="00544191"/>
    <w:rsid w:val="0054440C"/>
    <w:rsid w:val="005448EC"/>
    <w:rsid w:val="00544C0A"/>
    <w:rsid w:val="00544F39"/>
    <w:rsid w:val="005457FB"/>
    <w:rsid w:val="00546686"/>
    <w:rsid w:val="00546B96"/>
    <w:rsid w:val="00546F90"/>
    <w:rsid w:val="00547EFB"/>
    <w:rsid w:val="00550192"/>
    <w:rsid w:val="00551D4B"/>
    <w:rsid w:val="005522F2"/>
    <w:rsid w:val="005527C6"/>
    <w:rsid w:val="005531DF"/>
    <w:rsid w:val="00553874"/>
    <w:rsid w:val="00553DCE"/>
    <w:rsid w:val="005541E0"/>
    <w:rsid w:val="00554577"/>
    <w:rsid w:val="00554AD8"/>
    <w:rsid w:val="00554F78"/>
    <w:rsid w:val="00555DA1"/>
    <w:rsid w:val="00556BF7"/>
    <w:rsid w:val="00556E53"/>
    <w:rsid w:val="00557F60"/>
    <w:rsid w:val="00561730"/>
    <w:rsid w:val="00561B97"/>
    <w:rsid w:val="00562149"/>
    <w:rsid w:val="00562B76"/>
    <w:rsid w:val="005640B9"/>
    <w:rsid w:val="005640EB"/>
    <w:rsid w:val="0056488F"/>
    <w:rsid w:val="00564DCC"/>
    <w:rsid w:val="005666A4"/>
    <w:rsid w:val="00567323"/>
    <w:rsid w:val="00567B5D"/>
    <w:rsid w:val="00570757"/>
    <w:rsid w:val="00573733"/>
    <w:rsid w:val="00573F8B"/>
    <w:rsid w:val="00574554"/>
    <w:rsid w:val="00574E06"/>
    <w:rsid w:val="005751BB"/>
    <w:rsid w:val="00576089"/>
    <w:rsid w:val="005764B1"/>
    <w:rsid w:val="00576852"/>
    <w:rsid w:val="00576D06"/>
    <w:rsid w:val="005779E4"/>
    <w:rsid w:val="00580097"/>
    <w:rsid w:val="00580EC7"/>
    <w:rsid w:val="0058289C"/>
    <w:rsid w:val="005828F5"/>
    <w:rsid w:val="00582E4D"/>
    <w:rsid w:val="005836C7"/>
    <w:rsid w:val="00583C6F"/>
    <w:rsid w:val="0058408E"/>
    <w:rsid w:val="005844C3"/>
    <w:rsid w:val="0058493C"/>
    <w:rsid w:val="00585374"/>
    <w:rsid w:val="005854CA"/>
    <w:rsid w:val="00585EBB"/>
    <w:rsid w:val="00585FAB"/>
    <w:rsid w:val="00586CAD"/>
    <w:rsid w:val="00590B77"/>
    <w:rsid w:val="00590D9A"/>
    <w:rsid w:val="005913A3"/>
    <w:rsid w:val="00591A5A"/>
    <w:rsid w:val="00592ED7"/>
    <w:rsid w:val="00593D06"/>
    <w:rsid w:val="005940D4"/>
    <w:rsid w:val="00594A7B"/>
    <w:rsid w:val="0059580E"/>
    <w:rsid w:val="00595D90"/>
    <w:rsid w:val="00596A6F"/>
    <w:rsid w:val="00596FCE"/>
    <w:rsid w:val="005A11BC"/>
    <w:rsid w:val="005A1525"/>
    <w:rsid w:val="005A1E17"/>
    <w:rsid w:val="005A252B"/>
    <w:rsid w:val="005A2A8F"/>
    <w:rsid w:val="005A3008"/>
    <w:rsid w:val="005A3204"/>
    <w:rsid w:val="005A3341"/>
    <w:rsid w:val="005A3C3D"/>
    <w:rsid w:val="005A46EC"/>
    <w:rsid w:val="005A5EAE"/>
    <w:rsid w:val="005A6407"/>
    <w:rsid w:val="005A726C"/>
    <w:rsid w:val="005B07EC"/>
    <w:rsid w:val="005B1AB0"/>
    <w:rsid w:val="005B2005"/>
    <w:rsid w:val="005B2B11"/>
    <w:rsid w:val="005B32A4"/>
    <w:rsid w:val="005B3371"/>
    <w:rsid w:val="005B338D"/>
    <w:rsid w:val="005B33A1"/>
    <w:rsid w:val="005B3578"/>
    <w:rsid w:val="005B37EF"/>
    <w:rsid w:val="005B3852"/>
    <w:rsid w:val="005B3BAF"/>
    <w:rsid w:val="005B4DA3"/>
    <w:rsid w:val="005B5BEE"/>
    <w:rsid w:val="005B66D4"/>
    <w:rsid w:val="005B75FF"/>
    <w:rsid w:val="005B77D2"/>
    <w:rsid w:val="005B7CD6"/>
    <w:rsid w:val="005C0195"/>
    <w:rsid w:val="005C019B"/>
    <w:rsid w:val="005C08D0"/>
    <w:rsid w:val="005C1A36"/>
    <w:rsid w:val="005C1AED"/>
    <w:rsid w:val="005C2136"/>
    <w:rsid w:val="005C30F5"/>
    <w:rsid w:val="005C3840"/>
    <w:rsid w:val="005C38CE"/>
    <w:rsid w:val="005C3B7D"/>
    <w:rsid w:val="005C51A5"/>
    <w:rsid w:val="005C557A"/>
    <w:rsid w:val="005C566F"/>
    <w:rsid w:val="005C5C47"/>
    <w:rsid w:val="005C61DD"/>
    <w:rsid w:val="005C6438"/>
    <w:rsid w:val="005C6B8B"/>
    <w:rsid w:val="005C727F"/>
    <w:rsid w:val="005D02E3"/>
    <w:rsid w:val="005D143D"/>
    <w:rsid w:val="005D1F34"/>
    <w:rsid w:val="005D2629"/>
    <w:rsid w:val="005D2C1F"/>
    <w:rsid w:val="005D34B2"/>
    <w:rsid w:val="005D3B54"/>
    <w:rsid w:val="005D40CD"/>
    <w:rsid w:val="005D6B59"/>
    <w:rsid w:val="005D784B"/>
    <w:rsid w:val="005E03E4"/>
    <w:rsid w:val="005E0454"/>
    <w:rsid w:val="005E05F6"/>
    <w:rsid w:val="005E1B9D"/>
    <w:rsid w:val="005E1BDA"/>
    <w:rsid w:val="005E2442"/>
    <w:rsid w:val="005E3083"/>
    <w:rsid w:val="005E3111"/>
    <w:rsid w:val="005E3CA0"/>
    <w:rsid w:val="005E3F85"/>
    <w:rsid w:val="005E4183"/>
    <w:rsid w:val="005E4A5F"/>
    <w:rsid w:val="005E516A"/>
    <w:rsid w:val="005E57B0"/>
    <w:rsid w:val="005E5B01"/>
    <w:rsid w:val="005E6D3B"/>
    <w:rsid w:val="005E7D91"/>
    <w:rsid w:val="005F009E"/>
    <w:rsid w:val="005F0DF1"/>
    <w:rsid w:val="005F1194"/>
    <w:rsid w:val="005F1516"/>
    <w:rsid w:val="005F1A6F"/>
    <w:rsid w:val="005F229E"/>
    <w:rsid w:val="005F2564"/>
    <w:rsid w:val="005F3757"/>
    <w:rsid w:val="005F3822"/>
    <w:rsid w:val="005F4635"/>
    <w:rsid w:val="005F4900"/>
    <w:rsid w:val="005F4E52"/>
    <w:rsid w:val="005F6D58"/>
    <w:rsid w:val="005F7383"/>
    <w:rsid w:val="0060058E"/>
    <w:rsid w:val="00602280"/>
    <w:rsid w:val="00602A3C"/>
    <w:rsid w:val="00603EFD"/>
    <w:rsid w:val="0060475B"/>
    <w:rsid w:val="00604BED"/>
    <w:rsid w:val="00604FB6"/>
    <w:rsid w:val="00605387"/>
    <w:rsid w:val="006057EB"/>
    <w:rsid w:val="00606302"/>
    <w:rsid w:val="00606FF1"/>
    <w:rsid w:val="006076FD"/>
    <w:rsid w:val="00610811"/>
    <w:rsid w:val="0061143F"/>
    <w:rsid w:val="006114D8"/>
    <w:rsid w:val="00613553"/>
    <w:rsid w:val="00613601"/>
    <w:rsid w:val="00613791"/>
    <w:rsid w:val="006150D6"/>
    <w:rsid w:val="00615245"/>
    <w:rsid w:val="0061590D"/>
    <w:rsid w:val="00617699"/>
    <w:rsid w:val="00617EEE"/>
    <w:rsid w:val="00620A1F"/>
    <w:rsid w:val="0062169D"/>
    <w:rsid w:val="0062181E"/>
    <w:rsid w:val="0062211B"/>
    <w:rsid w:val="00622621"/>
    <w:rsid w:val="00622BB7"/>
    <w:rsid w:val="00622C1E"/>
    <w:rsid w:val="00622CA3"/>
    <w:rsid w:val="00623389"/>
    <w:rsid w:val="00623DAA"/>
    <w:rsid w:val="00623FAF"/>
    <w:rsid w:val="006265C4"/>
    <w:rsid w:val="0062678A"/>
    <w:rsid w:val="006270AF"/>
    <w:rsid w:val="00631128"/>
    <w:rsid w:val="00634367"/>
    <w:rsid w:val="006345E6"/>
    <w:rsid w:val="00635825"/>
    <w:rsid w:val="006361B7"/>
    <w:rsid w:val="00636CE3"/>
    <w:rsid w:val="00640082"/>
    <w:rsid w:val="00640291"/>
    <w:rsid w:val="00640EFE"/>
    <w:rsid w:val="00641D6D"/>
    <w:rsid w:val="00641FAC"/>
    <w:rsid w:val="00643664"/>
    <w:rsid w:val="00643CAA"/>
    <w:rsid w:val="00644F16"/>
    <w:rsid w:val="00644FD4"/>
    <w:rsid w:val="006455EB"/>
    <w:rsid w:val="006456C2"/>
    <w:rsid w:val="006458F5"/>
    <w:rsid w:val="00645A65"/>
    <w:rsid w:val="00646959"/>
    <w:rsid w:val="006469A0"/>
    <w:rsid w:val="006475BA"/>
    <w:rsid w:val="006477F0"/>
    <w:rsid w:val="006478E4"/>
    <w:rsid w:val="00647F85"/>
    <w:rsid w:val="00650A1B"/>
    <w:rsid w:val="00651255"/>
    <w:rsid w:val="0065171A"/>
    <w:rsid w:val="00652680"/>
    <w:rsid w:val="00653CDE"/>
    <w:rsid w:val="00654585"/>
    <w:rsid w:val="0065566E"/>
    <w:rsid w:val="00655AB6"/>
    <w:rsid w:val="00655EFA"/>
    <w:rsid w:val="00656061"/>
    <w:rsid w:val="00656281"/>
    <w:rsid w:val="0065636A"/>
    <w:rsid w:val="00657003"/>
    <w:rsid w:val="00660238"/>
    <w:rsid w:val="006602EF"/>
    <w:rsid w:val="00661277"/>
    <w:rsid w:val="006619E0"/>
    <w:rsid w:val="00663FEA"/>
    <w:rsid w:val="00664803"/>
    <w:rsid w:val="006657C5"/>
    <w:rsid w:val="00665D75"/>
    <w:rsid w:val="006661A4"/>
    <w:rsid w:val="00666919"/>
    <w:rsid w:val="00666AC0"/>
    <w:rsid w:val="006670E0"/>
    <w:rsid w:val="006671B8"/>
    <w:rsid w:val="00667275"/>
    <w:rsid w:val="00667532"/>
    <w:rsid w:val="0066774A"/>
    <w:rsid w:val="0066783E"/>
    <w:rsid w:val="00667E53"/>
    <w:rsid w:val="006711C4"/>
    <w:rsid w:val="006713AB"/>
    <w:rsid w:val="006714A8"/>
    <w:rsid w:val="00672CA5"/>
    <w:rsid w:val="00673711"/>
    <w:rsid w:val="00673F82"/>
    <w:rsid w:val="00674F74"/>
    <w:rsid w:val="0067508F"/>
    <w:rsid w:val="00677576"/>
    <w:rsid w:val="00677C91"/>
    <w:rsid w:val="0068051E"/>
    <w:rsid w:val="00680B9D"/>
    <w:rsid w:val="006813B7"/>
    <w:rsid w:val="00681F13"/>
    <w:rsid w:val="0068231C"/>
    <w:rsid w:val="00682344"/>
    <w:rsid w:val="00682F28"/>
    <w:rsid w:val="00683515"/>
    <w:rsid w:val="00684842"/>
    <w:rsid w:val="00685364"/>
    <w:rsid w:val="006859AA"/>
    <w:rsid w:val="00685BD6"/>
    <w:rsid w:val="00686C88"/>
    <w:rsid w:val="00687116"/>
    <w:rsid w:val="006878A6"/>
    <w:rsid w:val="00687D5F"/>
    <w:rsid w:val="00690437"/>
    <w:rsid w:val="00690DC3"/>
    <w:rsid w:val="00690E65"/>
    <w:rsid w:val="006911B7"/>
    <w:rsid w:val="00691387"/>
    <w:rsid w:val="00691766"/>
    <w:rsid w:val="0069188E"/>
    <w:rsid w:val="00691974"/>
    <w:rsid w:val="00692BF6"/>
    <w:rsid w:val="00692CE6"/>
    <w:rsid w:val="00693186"/>
    <w:rsid w:val="006932A2"/>
    <w:rsid w:val="00693381"/>
    <w:rsid w:val="00693B6C"/>
    <w:rsid w:val="006942AE"/>
    <w:rsid w:val="00695421"/>
    <w:rsid w:val="0069661E"/>
    <w:rsid w:val="00697BD3"/>
    <w:rsid w:val="00697DFA"/>
    <w:rsid w:val="006A078F"/>
    <w:rsid w:val="006A16D5"/>
    <w:rsid w:val="006A1772"/>
    <w:rsid w:val="006A1780"/>
    <w:rsid w:val="006A1EB8"/>
    <w:rsid w:val="006A21DD"/>
    <w:rsid w:val="006A26C6"/>
    <w:rsid w:val="006A2BF1"/>
    <w:rsid w:val="006A3302"/>
    <w:rsid w:val="006A3B28"/>
    <w:rsid w:val="006A4FEE"/>
    <w:rsid w:val="006A5549"/>
    <w:rsid w:val="006A703E"/>
    <w:rsid w:val="006A7BE3"/>
    <w:rsid w:val="006A7D32"/>
    <w:rsid w:val="006B01D1"/>
    <w:rsid w:val="006B0DF4"/>
    <w:rsid w:val="006B16EA"/>
    <w:rsid w:val="006B1780"/>
    <w:rsid w:val="006B21DC"/>
    <w:rsid w:val="006B224E"/>
    <w:rsid w:val="006B24F7"/>
    <w:rsid w:val="006B376E"/>
    <w:rsid w:val="006B4589"/>
    <w:rsid w:val="006B5157"/>
    <w:rsid w:val="006B5F7C"/>
    <w:rsid w:val="006B610E"/>
    <w:rsid w:val="006B6805"/>
    <w:rsid w:val="006B6C07"/>
    <w:rsid w:val="006B6DE0"/>
    <w:rsid w:val="006C16C3"/>
    <w:rsid w:val="006C2187"/>
    <w:rsid w:val="006C27D9"/>
    <w:rsid w:val="006C32F4"/>
    <w:rsid w:val="006C330B"/>
    <w:rsid w:val="006C3C54"/>
    <w:rsid w:val="006C4B6B"/>
    <w:rsid w:val="006C4CE1"/>
    <w:rsid w:val="006C4F9F"/>
    <w:rsid w:val="006C71A2"/>
    <w:rsid w:val="006C73EC"/>
    <w:rsid w:val="006D0C1D"/>
    <w:rsid w:val="006D28F3"/>
    <w:rsid w:val="006D2E9D"/>
    <w:rsid w:val="006D3010"/>
    <w:rsid w:val="006D4A4E"/>
    <w:rsid w:val="006D4C42"/>
    <w:rsid w:val="006D5389"/>
    <w:rsid w:val="006D53A2"/>
    <w:rsid w:val="006D5809"/>
    <w:rsid w:val="006D607E"/>
    <w:rsid w:val="006D6E12"/>
    <w:rsid w:val="006D70CB"/>
    <w:rsid w:val="006D715C"/>
    <w:rsid w:val="006D7363"/>
    <w:rsid w:val="006D774E"/>
    <w:rsid w:val="006E0754"/>
    <w:rsid w:val="006E25AE"/>
    <w:rsid w:val="006E2668"/>
    <w:rsid w:val="006E2D39"/>
    <w:rsid w:val="006E2FE9"/>
    <w:rsid w:val="006E32B0"/>
    <w:rsid w:val="006E348E"/>
    <w:rsid w:val="006E396A"/>
    <w:rsid w:val="006E3D63"/>
    <w:rsid w:val="006E49FF"/>
    <w:rsid w:val="006E58BF"/>
    <w:rsid w:val="006E5C2F"/>
    <w:rsid w:val="006E5DD8"/>
    <w:rsid w:val="006E5EA1"/>
    <w:rsid w:val="006E6DEE"/>
    <w:rsid w:val="006E7D4B"/>
    <w:rsid w:val="006F018A"/>
    <w:rsid w:val="006F0760"/>
    <w:rsid w:val="006F11E2"/>
    <w:rsid w:val="006F1A03"/>
    <w:rsid w:val="006F2574"/>
    <w:rsid w:val="006F3231"/>
    <w:rsid w:val="006F3D04"/>
    <w:rsid w:val="006F3DE3"/>
    <w:rsid w:val="006F450F"/>
    <w:rsid w:val="006F4787"/>
    <w:rsid w:val="006F61D8"/>
    <w:rsid w:val="006F62B7"/>
    <w:rsid w:val="006F6D08"/>
    <w:rsid w:val="006F70BC"/>
    <w:rsid w:val="006F726C"/>
    <w:rsid w:val="006F7E7C"/>
    <w:rsid w:val="006F7EB5"/>
    <w:rsid w:val="00700163"/>
    <w:rsid w:val="0070174E"/>
    <w:rsid w:val="007018DB"/>
    <w:rsid w:val="00701DE6"/>
    <w:rsid w:val="00702681"/>
    <w:rsid w:val="00702740"/>
    <w:rsid w:val="00703555"/>
    <w:rsid w:val="0070381B"/>
    <w:rsid w:val="007056BE"/>
    <w:rsid w:val="0070796C"/>
    <w:rsid w:val="007109BB"/>
    <w:rsid w:val="00710EBF"/>
    <w:rsid w:val="007110B8"/>
    <w:rsid w:val="0071209F"/>
    <w:rsid w:val="007125A2"/>
    <w:rsid w:val="00713DD9"/>
    <w:rsid w:val="00713F79"/>
    <w:rsid w:val="007148A8"/>
    <w:rsid w:val="00716450"/>
    <w:rsid w:val="00716AC8"/>
    <w:rsid w:val="00716E54"/>
    <w:rsid w:val="0072033C"/>
    <w:rsid w:val="00720B1B"/>
    <w:rsid w:val="00721062"/>
    <w:rsid w:val="00721E5D"/>
    <w:rsid w:val="00721F05"/>
    <w:rsid w:val="007229D4"/>
    <w:rsid w:val="007230F8"/>
    <w:rsid w:val="007233F4"/>
    <w:rsid w:val="00724044"/>
    <w:rsid w:val="007243F2"/>
    <w:rsid w:val="007248D3"/>
    <w:rsid w:val="00724DF8"/>
    <w:rsid w:val="00725137"/>
    <w:rsid w:val="0072515F"/>
    <w:rsid w:val="00725378"/>
    <w:rsid w:val="00725395"/>
    <w:rsid w:val="00727A43"/>
    <w:rsid w:val="00727FF2"/>
    <w:rsid w:val="00730550"/>
    <w:rsid w:val="00730C2A"/>
    <w:rsid w:val="00731434"/>
    <w:rsid w:val="00731E59"/>
    <w:rsid w:val="007323E0"/>
    <w:rsid w:val="00732911"/>
    <w:rsid w:val="007335D1"/>
    <w:rsid w:val="00733721"/>
    <w:rsid w:val="00733DE2"/>
    <w:rsid w:val="00734142"/>
    <w:rsid w:val="007352EA"/>
    <w:rsid w:val="00737422"/>
    <w:rsid w:val="0073792F"/>
    <w:rsid w:val="00737E9D"/>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57BE"/>
    <w:rsid w:val="00745E84"/>
    <w:rsid w:val="0074675D"/>
    <w:rsid w:val="00747295"/>
    <w:rsid w:val="00747829"/>
    <w:rsid w:val="0074789C"/>
    <w:rsid w:val="00747DE2"/>
    <w:rsid w:val="007502D0"/>
    <w:rsid w:val="007504BF"/>
    <w:rsid w:val="007506CD"/>
    <w:rsid w:val="0075267F"/>
    <w:rsid w:val="007526EC"/>
    <w:rsid w:val="00753C48"/>
    <w:rsid w:val="00754250"/>
    <w:rsid w:val="00754FE4"/>
    <w:rsid w:val="00755216"/>
    <w:rsid w:val="00756236"/>
    <w:rsid w:val="00756271"/>
    <w:rsid w:val="00756348"/>
    <w:rsid w:val="00756521"/>
    <w:rsid w:val="00756AB7"/>
    <w:rsid w:val="00757C0A"/>
    <w:rsid w:val="0076106D"/>
    <w:rsid w:val="007623FB"/>
    <w:rsid w:val="00762517"/>
    <w:rsid w:val="00763240"/>
    <w:rsid w:val="0076376A"/>
    <w:rsid w:val="007648AD"/>
    <w:rsid w:val="0076504E"/>
    <w:rsid w:val="00767BFD"/>
    <w:rsid w:val="00767EA0"/>
    <w:rsid w:val="00770141"/>
    <w:rsid w:val="0077068F"/>
    <w:rsid w:val="007718C3"/>
    <w:rsid w:val="00771EDF"/>
    <w:rsid w:val="00772A90"/>
    <w:rsid w:val="00772F8D"/>
    <w:rsid w:val="00773C3D"/>
    <w:rsid w:val="0077408D"/>
    <w:rsid w:val="00774270"/>
    <w:rsid w:val="007743F6"/>
    <w:rsid w:val="00775679"/>
    <w:rsid w:val="0077574F"/>
    <w:rsid w:val="00775823"/>
    <w:rsid w:val="0077702A"/>
    <w:rsid w:val="00777153"/>
    <w:rsid w:val="007777CC"/>
    <w:rsid w:val="00777B32"/>
    <w:rsid w:val="0078051E"/>
    <w:rsid w:val="00781089"/>
    <w:rsid w:val="00781CB6"/>
    <w:rsid w:val="007838F3"/>
    <w:rsid w:val="007856FE"/>
    <w:rsid w:val="00785F46"/>
    <w:rsid w:val="007865F4"/>
    <w:rsid w:val="007869A0"/>
    <w:rsid w:val="00786D5C"/>
    <w:rsid w:val="00786E96"/>
    <w:rsid w:val="00787BB6"/>
    <w:rsid w:val="00787DFF"/>
    <w:rsid w:val="00787F93"/>
    <w:rsid w:val="00790489"/>
    <w:rsid w:val="00791E6D"/>
    <w:rsid w:val="00791EB5"/>
    <w:rsid w:val="0079343F"/>
    <w:rsid w:val="00793696"/>
    <w:rsid w:val="0079416F"/>
    <w:rsid w:val="007955DA"/>
    <w:rsid w:val="00796F65"/>
    <w:rsid w:val="007A11C2"/>
    <w:rsid w:val="007A18BB"/>
    <w:rsid w:val="007A2083"/>
    <w:rsid w:val="007A27DD"/>
    <w:rsid w:val="007A41BF"/>
    <w:rsid w:val="007A490A"/>
    <w:rsid w:val="007A7B95"/>
    <w:rsid w:val="007B0297"/>
    <w:rsid w:val="007B02FA"/>
    <w:rsid w:val="007B0F53"/>
    <w:rsid w:val="007B11E3"/>
    <w:rsid w:val="007B21AE"/>
    <w:rsid w:val="007B2570"/>
    <w:rsid w:val="007B3113"/>
    <w:rsid w:val="007B3304"/>
    <w:rsid w:val="007B3882"/>
    <w:rsid w:val="007B3BF0"/>
    <w:rsid w:val="007B502F"/>
    <w:rsid w:val="007B5F59"/>
    <w:rsid w:val="007B6636"/>
    <w:rsid w:val="007B6EC9"/>
    <w:rsid w:val="007B7490"/>
    <w:rsid w:val="007B7740"/>
    <w:rsid w:val="007C0525"/>
    <w:rsid w:val="007C13F7"/>
    <w:rsid w:val="007C1D77"/>
    <w:rsid w:val="007C218D"/>
    <w:rsid w:val="007C2D28"/>
    <w:rsid w:val="007C3E22"/>
    <w:rsid w:val="007C58C1"/>
    <w:rsid w:val="007C5B8C"/>
    <w:rsid w:val="007C6218"/>
    <w:rsid w:val="007C6484"/>
    <w:rsid w:val="007C67C6"/>
    <w:rsid w:val="007C78BE"/>
    <w:rsid w:val="007C79A1"/>
    <w:rsid w:val="007C7A5D"/>
    <w:rsid w:val="007C7E59"/>
    <w:rsid w:val="007D0088"/>
    <w:rsid w:val="007D0476"/>
    <w:rsid w:val="007D06F9"/>
    <w:rsid w:val="007D0B91"/>
    <w:rsid w:val="007D0FE7"/>
    <w:rsid w:val="007D1452"/>
    <w:rsid w:val="007D1563"/>
    <w:rsid w:val="007D3DCB"/>
    <w:rsid w:val="007D460C"/>
    <w:rsid w:val="007D4996"/>
    <w:rsid w:val="007D4AD3"/>
    <w:rsid w:val="007D5D19"/>
    <w:rsid w:val="007D5FDC"/>
    <w:rsid w:val="007D6176"/>
    <w:rsid w:val="007D67D6"/>
    <w:rsid w:val="007D69CD"/>
    <w:rsid w:val="007D6D68"/>
    <w:rsid w:val="007E08F9"/>
    <w:rsid w:val="007E17B2"/>
    <w:rsid w:val="007E194F"/>
    <w:rsid w:val="007E32DA"/>
    <w:rsid w:val="007E4998"/>
    <w:rsid w:val="007E4A9C"/>
    <w:rsid w:val="007E6914"/>
    <w:rsid w:val="007E7F78"/>
    <w:rsid w:val="007F0179"/>
    <w:rsid w:val="007F1261"/>
    <w:rsid w:val="007F2C13"/>
    <w:rsid w:val="007F2CEC"/>
    <w:rsid w:val="007F2ED1"/>
    <w:rsid w:val="007F3435"/>
    <w:rsid w:val="007F505D"/>
    <w:rsid w:val="007F531B"/>
    <w:rsid w:val="007F55DE"/>
    <w:rsid w:val="007F762D"/>
    <w:rsid w:val="007F78F0"/>
    <w:rsid w:val="007F78FF"/>
    <w:rsid w:val="008001C5"/>
    <w:rsid w:val="00800F6C"/>
    <w:rsid w:val="00801065"/>
    <w:rsid w:val="008025D8"/>
    <w:rsid w:val="00802C0B"/>
    <w:rsid w:val="00805040"/>
    <w:rsid w:val="008051FC"/>
    <w:rsid w:val="00805217"/>
    <w:rsid w:val="008055A9"/>
    <w:rsid w:val="008056C4"/>
    <w:rsid w:val="008057FD"/>
    <w:rsid w:val="00805D8B"/>
    <w:rsid w:val="00805EDF"/>
    <w:rsid w:val="00807F19"/>
    <w:rsid w:val="008100E6"/>
    <w:rsid w:val="0081010F"/>
    <w:rsid w:val="00810B3E"/>
    <w:rsid w:val="00810BB6"/>
    <w:rsid w:val="00810E8E"/>
    <w:rsid w:val="0081282A"/>
    <w:rsid w:val="00812A05"/>
    <w:rsid w:val="00812C44"/>
    <w:rsid w:val="008135E1"/>
    <w:rsid w:val="00813779"/>
    <w:rsid w:val="00813E26"/>
    <w:rsid w:val="0081481D"/>
    <w:rsid w:val="00814BE8"/>
    <w:rsid w:val="00814F6E"/>
    <w:rsid w:val="00815B84"/>
    <w:rsid w:val="00815B95"/>
    <w:rsid w:val="00816342"/>
    <w:rsid w:val="008166F6"/>
    <w:rsid w:val="00816BE9"/>
    <w:rsid w:val="00817D10"/>
    <w:rsid w:val="00821BB0"/>
    <w:rsid w:val="00822518"/>
    <w:rsid w:val="008226F5"/>
    <w:rsid w:val="00823FC6"/>
    <w:rsid w:val="00824306"/>
    <w:rsid w:val="00824368"/>
    <w:rsid w:val="008250FA"/>
    <w:rsid w:val="00825356"/>
    <w:rsid w:val="00825C74"/>
    <w:rsid w:val="00825CFA"/>
    <w:rsid w:val="00826AB9"/>
    <w:rsid w:val="00826E0E"/>
    <w:rsid w:val="00827D11"/>
    <w:rsid w:val="00827E0F"/>
    <w:rsid w:val="00827F6E"/>
    <w:rsid w:val="00831758"/>
    <w:rsid w:val="008317D9"/>
    <w:rsid w:val="00831AEC"/>
    <w:rsid w:val="00831D46"/>
    <w:rsid w:val="0083279F"/>
    <w:rsid w:val="00832CE9"/>
    <w:rsid w:val="008334DB"/>
    <w:rsid w:val="00833604"/>
    <w:rsid w:val="00833B7F"/>
    <w:rsid w:val="00833E8E"/>
    <w:rsid w:val="008341E1"/>
    <w:rsid w:val="00834562"/>
    <w:rsid w:val="00834906"/>
    <w:rsid w:val="00836075"/>
    <w:rsid w:val="00836417"/>
    <w:rsid w:val="00836D47"/>
    <w:rsid w:val="00837526"/>
    <w:rsid w:val="008407A7"/>
    <w:rsid w:val="00841C13"/>
    <w:rsid w:val="00841CFF"/>
    <w:rsid w:val="0084322B"/>
    <w:rsid w:val="00843F81"/>
    <w:rsid w:val="00844087"/>
    <w:rsid w:val="008448F1"/>
    <w:rsid w:val="0084519E"/>
    <w:rsid w:val="00845CAE"/>
    <w:rsid w:val="008462C5"/>
    <w:rsid w:val="008462FA"/>
    <w:rsid w:val="00846370"/>
    <w:rsid w:val="00846624"/>
    <w:rsid w:val="00846873"/>
    <w:rsid w:val="008477E7"/>
    <w:rsid w:val="00847C2B"/>
    <w:rsid w:val="00850272"/>
    <w:rsid w:val="008506B9"/>
    <w:rsid w:val="0085086F"/>
    <w:rsid w:val="00851822"/>
    <w:rsid w:val="00851C16"/>
    <w:rsid w:val="008532BF"/>
    <w:rsid w:val="008539B2"/>
    <w:rsid w:val="00853BF4"/>
    <w:rsid w:val="00854294"/>
    <w:rsid w:val="00854295"/>
    <w:rsid w:val="0085572E"/>
    <w:rsid w:val="008575CF"/>
    <w:rsid w:val="0085788B"/>
    <w:rsid w:val="00857A9E"/>
    <w:rsid w:val="00857DE2"/>
    <w:rsid w:val="0086003D"/>
    <w:rsid w:val="00862ADD"/>
    <w:rsid w:val="00863816"/>
    <w:rsid w:val="00863A8E"/>
    <w:rsid w:val="0086407F"/>
    <w:rsid w:val="008645E3"/>
    <w:rsid w:val="0086486A"/>
    <w:rsid w:val="00864E79"/>
    <w:rsid w:val="0086572B"/>
    <w:rsid w:val="00866615"/>
    <w:rsid w:val="0086661F"/>
    <w:rsid w:val="00866637"/>
    <w:rsid w:val="00866A0D"/>
    <w:rsid w:val="00866DB5"/>
    <w:rsid w:val="0086701D"/>
    <w:rsid w:val="0086702B"/>
    <w:rsid w:val="008672E2"/>
    <w:rsid w:val="0086784E"/>
    <w:rsid w:val="00870E55"/>
    <w:rsid w:val="0087121C"/>
    <w:rsid w:val="00871FD2"/>
    <w:rsid w:val="00872084"/>
    <w:rsid w:val="00872827"/>
    <w:rsid w:val="00872A32"/>
    <w:rsid w:val="00874911"/>
    <w:rsid w:val="008754E4"/>
    <w:rsid w:val="00875E6D"/>
    <w:rsid w:val="00876EAE"/>
    <w:rsid w:val="00877412"/>
    <w:rsid w:val="00880106"/>
    <w:rsid w:val="00880F95"/>
    <w:rsid w:val="00881585"/>
    <w:rsid w:val="0088215F"/>
    <w:rsid w:val="00882197"/>
    <w:rsid w:val="00882B44"/>
    <w:rsid w:val="00882CB8"/>
    <w:rsid w:val="008838AD"/>
    <w:rsid w:val="00884EEA"/>
    <w:rsid w:val="00885BC9"/>
    <w:rsid w:val="008864B3"/>
    <w:rsid w:val="008865E5"/>
    <w:rsid w:val="008871B0"/>
    <w:rsid w:val="00890B57"/>
    <w:rsid w:val="008916BA"/>
    <w:rsid w:val="00891795"/>
    <w:rsid w:val="0089217C"/>
    <w:rsid w:val="008926DA"/>
    <w:rsid w:val="00892790"/>
    <w:rsid w:val="00893671"/>
    <w:rsid w:val="00895838"/>
    <w:rsid w:val="00895A1E"/>
    <w:rsid w:val="00895A72"/>
    <w:rsid w:val="00895CDF"/>
    <w:rsid w:val="00896679"/>
    <w:rsid w:val="008967E3"/>
    <w:rsid w:val="00896D8C"/>
    <w:rsid w:val="008A0FC9"/>
    <w:rsid w:val="008A1956"/>
    <w:rsid w:val="008A1A7C"/>
    <w:rsid w:val="008A27AE"/>
    <w:rsid w:val="008A2CE2"/>
    <w:rsid w:val="008A40D3"/>
    <w:rsid w:val="008A469C"/>
    <w:rsid w:val="008A4FBE"/>
    <w:rsid w:val="008A50FB"/>
    <w:rsid w:val="008A51D1"/>
    <w:rsid w:val="008A5DCE"/>
    <w:rsid w:val="008A75D3"/>
    <w:rsid w:val="008B05DD"/>
    <w:rsid w:val="008B07B8"/>
    <w:rsid w:val="008B1106"/>
    <w:rsid w:val="008B17E8"/>
    <w:rsid w:val="008B2C45"/>
    <w:rsid w:val="008B2E7C"/>
    <w:rsid w:val="008B399A"/>
    <w:rsid w:val="008B45F0"/>
    <w:rsid w:val="008B4A70"/>
    <w:rsid w:val="008B502F"/>
    <w:rsid w:val="008B6DFC"/>
    <w:rsid w:val="008B7227"/>
    <w:rsid w:val="008C02FB"/>
    <w:rsid w:val="008C04E0"/>
    <w:rsid w:val="008C191C"/>
    <w:rsid w:val="008C1DA4"/>
    <w:rsid w:val="008C1DC2"/>
    <w:rsid w:val="008C2138"/>
    <w:rsid w:val="008C29B0"/>
    <w:rsid w:val="008C2CD5"/>
    <w:rsid w:val="008C33AE"/>
    <w:rsid w:val="008C3618"/>
    <w:rsid w:val="008C39E7"/>
    <w:rsid w:val="008C43AD"/>
    <w:rsid w:val="008C6118"/>
    <w:rsid w:val="008C6341"/>
    <w:rsid w:val="008C653D"/>
    <w:rsid w:val="008C6651"/>
    <w:rsid w:val="008C731F"/>
    <w:rsid w:val="008C74D9"/>
    <w:rsid w:val="008D2050"/>
    <w:rsid w:val="008D3B2D"/>
    <w:rsid w:val="008D3D9E"/>
    <w:rsid w:val="008D495B"/>
    <w:rsid w:val="008D5671"/>
    <w:rsid w:val="008D58D9"/>
    <w:rsid w:val="008D5AD4"/>
    <w:rsid w:val="008D695E"/>
    <w:rsid w:val="008D698F"/>
    <w:rsid w:val="008D6DD5"/>
    <w:rsid w:val="008D6E59"/>
    <w:rsid w:val="008D7155"/>
    <w:rsid w:val="008D76E0"/>
    <w:rsid w:val="008D78D9"/>
    <w:rsid w:val="008E0B29"/>
    <w:rsid w:val="008E141A"/>
    <w:rsid w:val="008E1A44"/>
    <w:rsid w:val="008E28E6"/>
    <w:rsid w:val="008E2DC1"/>
    <w:rsid w:val="008E3232"/>
    <w:rsid w:val="008E3674"/>
    <w:rsid w:val="008E3B6C"/>
    <w:rsid w:val="008E3DE7"/>
    <w:rsid w:val="008E477B"/>
    <w:rsid w:val="008E5227"/>
    <w:rsid w:val="008E562C"/>
    <w:rsid w:val="008E6540"/>
    <w:rsid w:val="008E6692"/>
    <w:rsid w:val="008E6FBE"/>
    <w:rsid w:val="008E77D4"/>
    <w:rsid w:val="008E7ADD"/>
    <w:rsid w:val="008F091F"/>
    <w:rsid w:val="008F17B2"/>
    <w:rsid w:val="008F22B3"/>
    <w:rsid w:val="008F357B"/>
    <w:rsid w:val="008F4310"/>
    <w:rsid w:val="008F44CA"/>
    <w:rsid w:val="008F49D3"/>
    <w:rsid w:val="008F6519"/>
    <w:rsid w:val="008F7012"/>
    <w:rsid w:val="008F7ADA"/>
    <w:rsid w:val="008F7B17"/>
    <w:rsid w:val="00900042"/>
    <w:rsid w:val="0090034B"/>
    <w:rsid w:val="0090087C"/>
    <w:rsid w:val="00901121"/>
    <w:rsid w:val="00902623"/>
    <w:rsid w:val="00902A67"/>
    <w:rsid w:val="00902C5E"/>
    <w:rsid w:val="009042C0"/>
    <w:rsid w:val="00904BE4"/>
    <w:rsid w:val="0090504A"/>
    <w:rsid w:val="009051F5"/>
    <w:rsid w:val="00905221"/>
    <w:rsid w:val="00905664"/>
    <w:rsid w:val="00905A7C"/>
    <w:rsid w:val="00905D7E"/>
    <w:rsid w:val="00907037"/>
    <w:rsid w:val="00907259"/>
    <w:rsid w:val="00907BFA"/>
    <w:rsid w:val="00910C5D"/>
    <w:rsid w:val="0091112C"/>
    <w:rsid w:val="0091160A"/>
    <w:rsid w:val="00912E04"/>
    <w:rsid w:val="00913258"/>
    <w:rsid w:val="00913851"/>
    <w:rsid w:val="00913B26"/>
    <w:rsid w:val="00913BB0"/>
    <w:rsid w:val="0091456C"/>
    <w:rsid w:val="00914C58"/>
    <w:rsid w:val="00914D78"/>
    <w:rsid w:val="0091564D"/>
    <w:rsid w:val="009156DA"/>
    <w:rsid w:val="00915774"/>
    <w:rsid w:val="00916795"/>
    <w:rsid w:val="00916BC5"/>
    <w:rsid w:val="0091726A"/>
    <w:rsid w:val="00917C01"/>
    <w:rsid w:val="00920184"/>
    <w:rsid w:val="00920EA4"/>
    <w:rsid w:val="00921792"/>
    <w:rsid w:val="00921BEA"/>
    <w:rsid w:val="00921E9E"/>
    <w:rsid w:val="00921F0F"/>
    <w:rsid w:val="009227BE"/>
    <w:rsid w:val="009238FD"/>
    <w:rsid w:val="00923998"/>
    <w:rsid w:val="00923DB4"/>
    <w:rsid w:val="0092420B"/>
    <w:rsid w:val="0092430E"/>
    <w:rsid w:val="00924C8B"/>
    <w:rsid w:val="00926112"/>
    <w:rsid w:val="009261B5"/>
    <w:rsid w:val="0092625F"/>
    <w:rsid w:val="00926B28"/>
    <w:rsid w:val="00926D9C"/>
    <w:rsid w:val="00927028"/>
    <w:rsid w:val="00927763"/>
    <w:rsid w:val="00927A2D"/>
    <w:rsid w:val="00927B37"/>
    <w:rsid w:val="009321B1"/>
    <w:rsid w:val="009327F0"/>
    <w:rsid w:val="00932D00"/>
    <w:rsid w:val="00932ED7"/>
    <w:rsid w:val="00933518"/>
    <w:rsid w:val="0093380C"/>
    <w:rsid w:val="0093422D"/>
    <w:rsid w:val="0093483B"/>
    <w:rsid w:val="00934CF9"/>
    <w:rsid w:val="00934DD7"/>
    <w:rsid w:val="009356D9"/>
    <w:rsid w:val="00935A20"/>
    <w:rsid w:val="00935CB2"/>
    <w:rsid w:val="00935CE6"/>
    <w:rsid w:val="009369A9"/>
    <w:rsid w:val="00936CF7"/>
    <w:rsid w:val="00937783"/>
    <w:rsid w:val="0093792D"/>
    <w:rsid w:val="00937EAD"/>
    <w:rsid w:val="00937F28"/>
    <w:rsid w:val="00940FE1"/>
    <w:rsid w:val="00941474"/>
    <w:rsid w:val="009414EF"/>
    <w:rsid w:val="00942306"/>
    <w:rsid w:val="009424B8"/>
    <w:rsid w:val="009432E2"/>
    <w:rsid w:val="00944668"/>
    <w:rsid w:val="00944C35"/>
    <w:rsid w:val="00944DC6"/>
    <w:rsid w:val="009458B0"/>
    <w:rsid w:val="00945B52"/>
    <w:rsid w:val="00945B7A"/>
    <w:rsid w:val="00945F05"/>
    <w:rsid w:val="00946348"/>
    <w:rsid w:val="00947224"/>
    <w:rsid w:val="00947797"/>
    <w:rsid w:val="009478A2"/>
    <w:rsid w:val="00952F8B"/>
    <w:rsid w:val="009533BD"/>
    <w:rsid w:val="009536FB"/>
    <w:rsid w:val="00953808"/>
    <w:rsid w:val="009539A6"/>
    <w:rsid w:val="00954032"/>
    <w:rsid w:val="00954537"/>
    <w:rsid w:val="0095472D"/>
    <w:rsid w:val="00955342"/>
    <w:rsid w:val="00955FBB"/>
    <w:rsid w:val="0095694B"/>
    <w:rsid w:val="00956BD5"/>
    <w:rsid w:val="00956D84"/>
    <w:rsid w:val="0095725E"/>
    <w:rsid w:val="009577B5"/>
    <w:rsid w:val="00957BEE"/>
    <w:rsid w:val="009608E6"/>
    <w:rsid w:val="00960F57"/>
    <w:rsid w:val="00961C90"/>
    <w:rsid w:val="0096309E"/>
    <w:rsid w:val="00965443"/>
    <w:rsid w:val="00965954"/>
    <w:rsid w:val="00965A21"/>
    <w:rsid w:val="00965E55"/>
    <w:rsid w:val="0096608E"/>
    <w:rsid w:val="00966522"/>
    <w:rsid w:val="00966C33"/>
    <w:rsid w:val="00966EAD"/>
    <w:rsid w:val="009706A8"/>
    <w:rsid w:val="00970F18"/>
    <w:rsid w:val="00970F1C"/>
    <w:rsid w:val="00971CF1"/>
    <w:rsid w:val="00971F5D"/>
    <w:rsid w:val="009721E9"/>
    <w:rsid w:val="00973772"/>
    <w:rsid w:val="009747AF"/>
    <w:rsid w:val="0097560A"/>
    <w:rsid w:val="00975E1E"/>
    <w:rsid w:val="00975E70"/>
    <w:rsid w:val="009761DE"/>
    <w:rsid w:val="009766FA"/>
    <w:rsid w:val="00977CD6"/>
    <w:rsid w:val="0098048B"/>
    <w:rsid w:val="00980908"/>
    <w:rsid w:val="00980DF9"/>
    <w:rsid w:val="00981CD8"/>
    <w:rsid w:val="0098243D"/>
    <w:rsid w:val="0098256D"/>
    <w:rsid w:val="00982D26"/>
    <w:rsid w:val="00983B6E"/>
    <w:rsid w:val="00983FE5"/>
    <w:rsid w:val="009849E9"/>
    <w:rsid w:val="00984AFF"/>
    <w:rsid w:val="009859E4"/>
    <w:rsid w:val="00985D7F"/>
    <w:rsid w:val="00987812"/>
    <w:rsid w:val="009900C5"/>
    <w:rsid w:val="00990225"/>
    <w:rsid w:val="009911B8"/>
    <w:rsid w:val="00991307"/>
    <w:rsid w:val="00991FAA"/>
    <w:rsid w:val="00992A13"/>
    <w:rsid w:val="00994AAD"/>
    <w:rsid w:val="00995150"/>
    <w:rsid w:val="00995D67"/>
    <w:rsid w:val="00997613"/>
    <w:rsid w:val="009A004F"/>
    <w:rsid w:val="009A013B"/>
    <w:rsid w:val="009A02F4"/>
    <w:rsid w:val="009A0681"/>
    <w:rsid w:val="009A06BF"/>
    <w:rsid w:val="009A0D17"/>
    <w:rsid w:val="009A2494"/>
    <w:rsid w:val="009A2884"/>
    <w:rsid w:val="009A32B1"/>
    <w:rsid w:val="009A33A3"/>
    <w:rsid w:val="009A36F2"/>
    <w:rsid w:val="009A40C3"/>
    <w:rsid w:val="009A40D5"/>
    <w:rsid w:val="009A411E"/>
    <w:rsid w:val="009A5268"/>
    <w:rsid w:val="009A57D0"/>
    <w:rsid w:val="009A6559"/>
    <w:rsid w:val="009A68FC"/>
    <w:rsid w:val="009A6CE4"/>
    <w:rsid w:val="009A7514"/>
    <w:rsid w:val="009A7E7A"/>
    <w:rsid w:val="009B0925"/>
    <w:rsid w:val="009B1584"/>
    <w:rsid w:val="009B18F0"/>
    <w:rsid w:val="009B1F4C"/>
    <w:rsid w:val="009B2050"/>
    <w:rsid w:val="009B2471"/>
    <w:rsid w:val="009B2B24"/>
    <w:rsid w:val="009B314F"/>
    <w:rsid w:val="009B439C"/>
    <w:rsid w:val="009B49A1"/>
    <w:rsid w:val="009B4A6C"/>
    <w:rsid w:val="009B4DA8"/>
    <w:rsid w:val="009B4E9C"/>
    <w:rsid w:val="009B519A"/>
    <w:rsid w:val="009B620C"/>
    <w:rsid w:val="009B6753"/>
    <w:rsid w:val="009B676C"/>
    <w:rsid w:val="009B6A26"/>
    <w:rsid w:val="009B7972"/>
    <w:rsid w:val="009C079D"/>
    <w:rsid w:val="009C0D70"/>
    <w:rsid w:val="009C0FF3"/>
    <w:rsid w:val="009C13D1"/>
    <w:rsid w:val="009C2913"/>
    <w:rsid w:val="009C2BD4"/>
    <w:rsid w:val="009C2FE5"/>
    <w:rsid w:val="009C4F28"/>
    <w:rsid w:val="009C5AFE"/>
    <w:rsid w:val="009C603C"/>
    <w:rsid w:val="009C6606"/>
    <w:rsid w:val="009C6CE5"/>
    <w:rsid w:val="009C6D50"/>
    <w:rsid w:val="009C72B2"/>
    <w:rsid w:val="009C7547"/>
    <w:rsid w:val="009C7F5B"/>
    <w:rsid w:val="009D05EC"/>
    <w:rsid w:val="009D18D4"/>
    <w:rsid w:val="009D1FCF"/>
    <w:rsid w:val="009D2F60"/>
    <w:rsid w:val="009D34CA"/>
    <w:rsid w:val="009D3A2E"/>
    <w:rsid w:val="009D3B50"/>
    <w:rsid w:val="009D4948"/>
    <w:rsid w:val="009D4D50"/>
    <w:rsid w:val="009D5ADE"/>
    <w:rsid w:val="009D5BAC"/>
    <w:rsid w:val="009D5C56"/>
    <w:rsid w:val="009D6265"/>
    <w:rsid w:val="009D64BD"/>
    <w:rsid w:val="009D6CB1"/>
    <w:rsid w:val="009E0286"/>
    <w:rsid w:val="009E153F"/>
    <w:rsid w:val="009E18C5"/>
    <w:rsid w:val="009E1912"/>
    <w:rsid w:val="009E2675"/>
    <w:rsid w:val="009E322A"/>
    <w:rsid w:val="009E393E"/>
    <w:rsid w:val="009E444E"/>
    <w:rsid w:val="009E4968"/>
    <w:rsid w:val="009E663C"/>
    <w:rsid w:val="009E684A"/>
    <w:rsid w:val="009E6AA9"/>
    <w:rsid w:val="009E6BB1"/>
    <w:rsid w:val="009E6E14"/>
    <w:rsid w:val="009E794A"/>
    <w:rsid w:val="009E7C14"/>
    <w:rsid w:val="009F0494"/>
    <w:rsid w:val="009F0CD9"/>
    <w:rsid w:val="009F1A79"/>
    <w:rsid w:val="009F1F57"/>
    <w:rsid w:val="009F2D77"/>
    <w:rsid w:val="009F2DDD"/>
    <w:rsid w:val="009F3447"/>
    <w:rsid w:val="009F5BD0"/>
    <w:rsid w:val="009F65F4"/>
    <w:rsid w:val="009F676B"/>
    <w:rsid w:val="009F6D2D"/>
    <w:rsid w:val="009F6D54"/>
    <w:rsid w:val="009F7228"/>
    <w:rsid w:val="00A004DF"/>
    <w:rsid w:val="00A00FD5"/>
    <w:rsid w:val="00A012C0"/>
    <w:rsid w:val="00A019A8"/>
    <w:rsid w:val="00A01B03"/>
    <w:rsid w:val="00A01B89"/>
    <w:rsid w:val="00A02C66"/>
    <w:rsid w:val="00A02C84"/>
    <w:rsid w:val="00A0464C"/>
    <w:rsid w:val="00A050BB"/>
    <w:rsid w:val="00A0521B"/>
    <w:rsid w:val="00A054E0"/>
    <w:rsid w:val="00A05D91"/>
    <w:rsid w:val="00A0740B"/>
    <w:rsid w:val="00A07ED3"/>
    <w:rsid w:val="00A10CA8"/>
    <w:rsid w:val="00A11042"/>
    <w:rsid w:val="00A12579"/>
    <w:rsid w:val="00A12CDC"/>
    <w:rsid w:val="00A133D8"/>
    <w:rsid w:val="00A15655"/>
    <w:rsid w:val="00A160B0"/>
    <w:rsid w:val="00A166EE"/>
    <w:rsid w:val="00A1740C"/>
    <w:rsid w:val="00A17904"/>
    <w:rsid w:val="00A20069"/>
    <w:rsid w:val="00A2151B"/>
    <w:rsid w:val="00A2244D"/>
    <w:rsid w:val="00A2253D"/>
    <w:rsid w:val="00A2267F"/>
    <w:rsid w:val="00A22CDB"/>
    <w:rsid w:val="00A247B8"/>
    <w:rsid w:val="00A2495A"/>
    <w:rsid w:val="00A24C7A"/>
    <w:rsid w:val="00A24D8F"/>
    <w:rsid w:val="00A25B8B"/>
    <w:rsid w:val="00A2689F"/>
    <w:rsid w:val="00A26ECA"/>
    <w:rsid w:val="00A27461"/>
    <w:rsid w:val="00A27D67"/>
    <w:rsid w:val="00A30ABC"/>
    <w:rsid w:val="00A33672"/>
    <w:rsid w:val="00A33B74"/>
    <w:rsid w:val="00A3403B"/>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951"/>
    <w:rsid w:val="00A43A26"/>
    <w:rsid w:val="00A447A0"/>
    <w:rsid w:val="00A457A2"/>
    <w:rsid w:val="00A459F5"/>
    <w:rsid w:val="00A45FC0"/>
    <w:rsid w:val="00A46B74"/>
    <w:rsid w:val="00A47BF7"/>
    <w:rsid w:val="00A47ECC"/>
    <w:rsid w:val="00A50171"/>
    <w:rsid w:val="00A504FA"/>
    <w:rsid w:val="00A50DC4"/>
    <w:rsid w:val="00A5102E"/>
    <w:rsid w:val="00A5132E"/>
    <w:rsid w:val="00A51375"/>
    <w:rsid w:val="00A51533"/>
    <w:rsid w:val="00A52B3D"/>
    <w:rsid w:val="00A531D4"/>
    <w:rsid w:val="00A54572"/>
    <w:rsid w:val="00A56D4D"/>
    <w:rsid w:val="00A5700A"/>
    <w:rsid w:val="00A5714F"/>
    <w:rsid w:val="00A575B8"/>
    <w:rsid w:val="00A619BB"/>
    <w:rsid w:val="00A61C60"/>
    <w:rsid w:val="00A61ECB"/>
    <w:rsid w:val="00A6410C"/>
    <w:rsid w:val="00A647B1"/>
    <w:rsid w:val="00A64DEF"/>
    <w:rsid w:val="00A654D2"/>
    <w:rsid w:val="00A665DF"/>
    <w:rsid w:val="00A67FCC"/>
    <w:rsid w:val="00A705F5"/>
    <w:rsid w:val="00A70AA5"/>
    <w:rsid w:val="00A70C03"/>
    <w:rsid w:val="00A71256"/>
    <w:rsid w:val="00A7214C"/>
    <w:rsid w:val="00A7217B"/>
    <w:rsid w:val="00A722D7"/>
    <w:rsid w:val="00A723A3"/>
    <w:rsid w:val="00A73861"/>
    <w:rsid w:val="00A739A6"/>
    <w:rsid w:val="00A740ED"/>
    <w:rsid w:val="00A74C29"/>
    <w:rsid w:val="00A74C62"/>
    <w:rsid w:val="00A75EF9"/>
    <w:rsid w:val="00A7657C"/>
    <w:rsid w:val="00A77609"/>
    <w:rsid w:val="00A827FE"/>
    <w:rsid w:val="00A8311C"/>
    <w:rsid w:val="00A835D0"/>
    <w:rsid w:val="00A84C5F"/>
    <w:rsid w:val="00A85930"/>
    <w:rsid w:val="00A863F7"/>
    <w:rsid w:val="00A86604"/>
    <w:rsid w:val="00A87519"/>
    <w:rsid w:val="00A90F93"/>
    <w:rsid w:val="00A9246D"/>
    <w:rsid w:val="00A92CCA"/>
    <w:rsid w:val="00A93BD0"/>
    <w:rsid w:val="00A93CC2"/>
    <w:rsid w:val="00A94D4B"/>
    <w:rsid w:val="00A95FB8"/>
    <w:rsid w:val="00A974CC"/>
    <w:rsid w:val="00A97889"/>
    <w:rsid w:val="00A97FE1"/>
    <w:rsid w:val="00AA05FB"/>
    <w:rsid w:val="00AA17E4"/>
    <w:rsid w:val="00AA1961"/>
    <w:rsid w:val="00AA2001"/>
    <w:rsid w:val="00AA299E"/>
    <w:rsid w:val="00AA2B5C"/>
    <w:rsid w:val="00AA32D2"/>
    <w:rsid w:val="00AA3B8B"/>
    <w:rsid w:val="00AA4016"/>
    <w:rsid w:val="00AA4C1F"/>
    <w:rsid w:val="00AA5328"/>
    <w:rsid w:val="00AA5393"/>
    <w:rsid w:val="00AA63D4"/>
    <w:rsid w:val="00AA6BA2"/>
    <w:rsid w:val="00AA7A21"/>
    <w:rsid w:val="00AB03FD"/>
    <w:rsid w:val="00AB2000"/>
    <w:rsid w:val="00AB38CB"/>
    <w:rsid w:val="00AB3BEC"/>
    <w:rsid w:val="00AB44E4"/>
    <w:rsid w:val="00AB4AEB"/>
    <w:rsid w:val="00AB4E5F"/>
    <w:rsid w:val="00AB5352"/>
    <w:rsid w:val="00AB56AE"/>
    <w:rsid w:val="00AB62D5"/>
    <w:rsid w:val="00AB65B5"/>
    <w:rsid w:val="00AB6DCD"/>
    <w:rsid w:val="00AB6EE0"/>
    <w:rsid w:val="00AC0739"/>
    <w:rsid w:val="00AC17A2"/>
    <w:rsid w:val="00AC30F4"/>
    <w:rsid w:val="00AC333F"/>
    <w:rsid w:val="00AC40B7"/>
    <w:rsid w:val="00AC4B34"/>
    <w:rsid w:val="00AC531F"/>
    <w:rsid w:val="00AC540B"/>
    <w:rsid w:val="00AC5B36"/>
    <w:rsid w:val="00AC6377"/>
    <w:rsid w:val="00AC66A4"/>
    <w:rsid w:val="00AC6CB1"/>
    <w:rsid w:val="00AC75E9"/>
    <w:rsid w:val="00AC7D6D"/>
    <w:rsid w:val="00AD0091"/>
    <w:rsid w:val="00AD23EF"/>
    <w:rsid w:val="00AD2662"/>
    <w:rsid w:val="00AD307B"/>
    <w:rsid w:val="00AD4014"/>
    <w:rsid w:val="00AD41B3"/>
    <w:rsid w:val="00AD5721"/>
    <w:rsid w:val="00AD5AE1"/>
    <w:rsid w:val="00AD69F0"/>
    <w:rsid w:val="00AD7127"/>
    <w:rsid w:val="00AD730C"/>
    <w:rsid w:val="00AD7D23"/>
    <w:rsid w:val="00AE123A"/>
    <w:rsid w:val="00AE1539"/>
    <w:rsid w:val="00AE28A7"/>
    <w:rsid w:val="00AE2A98"/>
    <w:rsid w:val="00AE2CF2"/>
    <w:rsid w:val="00AE3012"/>
    <w:rsid w:val="00AE3297"/>
    <w:rsid w:val="00AE33A6"/>
    <w:rsid w:val="00AE3513"/>
    <w:rsid w:val="00AE3729"/>
    <w:rsid w:val="00AE4A3E"/>
    <w:rsid w:val="00AE4CCE"/>
    <w:rsid w:val="00AE5C6A"/>
    <w:rsid w:val="00AE724A"/>
    <w:rsid w:val="00AE7280"/>
    <w:rsid w:val="00AF01FA"/>
    <w:rsid w:val="00AF033A"/>
    <w:rsid w:val="00AF1658"/>
    <w:rsid w:val="00AF1699"/>
    <w:rsid w:val="00AF1FD3"/>
    <w:rsid w:val="00AF2910"/>
    <w:rsid w:val="00AF34B8"/>
    <w:rsid w:val="00AF3896"/>
    <w:rsid w:val="00AF39C9"/>
    <w:rsid w:val="00AF3FC2"/>
    <w:rsid w:val="00AF4DEC"/>
    <w:rsid w:val="00B003FF"/>
    <w:rsid w:val="00B0098A"/>
    <w:rsid w:val="00B00A5F"/>
    <w:rsid w:val="00B029B8"/>
    <w:rsid w:val="00B02F60"/>
    <w:rsid w:val="00B02F94"/>
    <w:rsid w:val="00B0321E"/>
    <w:rsid w:val="00B032B8"/>
    <w:rsid w:val="00B04721"/>
    <w:rsid w:val="00B048FE"/>
    <w:rsid w:val="00B04B15"/>
    <w:rsid w:val="00B04B46"/>
    <w:rsid w:val="00B0534D"/>
    <w:rsid w:val="00B0557B"/>
    <w:rsid w:val="00B05685"/>
    <w:rsid w:val="00B05F9F"/>
    <w:rsid w:val="00B06368"/>
    <w:rsid w:val="00B068DA"/>
    <w:rsid w:val="00B06A00"/>
    <w:rsid w:val="00B06FC6"/>
    <w:rsid w:val="00B074C9"/>
    <w:rsid w:val="00B07D9D"/>
    <w:rsid w:val="00B11AE5"/>
    <w:rsid w:val="00B12FE6"/>
    <w:rsid w:val="00B1303F"/>
    <w:rsid w:val="00B1364A"/>
    <w:rsid w:val="00B13859"/>
    <w:rsid w:val="00B139B5"/>
    <w:rsid w:val="00B13EC9"/>
    <w:rsid w:val="00B14064"/>
    <w:rsid w:val="00B14319"/>
    <w:rsid w:val="00B14A06"/>
    <w:rsid w:val="00B153DC"/>
    <w:rsid w:val="00B158E1"/>
    <w:rsid w:val="00B16715"/>
    <w:rsid w:val="00B1768E"/>
    <w:rsid w:val="00B17910"/>
    <w:rsid w:val="00B20F18"/>
    <w:rsid w:val="00B21516"/>
    <w:rsid w:val="00B21A37"/>
    <w:rsid w:val="00B21CDE"/>
    <w:rsid w:val="00B21D23"/>
    <w:rsid w:val="00B21F62"/>
    <w:rsid w:val="00B22CE0"/>
    <w:rsid w:val="00B23738"/>
    <w:rsid w:val="00B23BEF"/>
    <w:rsid w:val="00B24253"/>
    <w:rsid w:val="00B2470A"/>
    <w:rsid w:val="00B247BB"/>
    <w:rsid w:val="00B2504A"/>
    <w:rsid w:val="00B25EE6"/>
    <w:rsid w:val="00B26365"/>
    <w:rsid w:val="00B30FA5"/>
    <w:rsid w:val="00B3115A"/>
    <w:rsid w:val="00B3178B"/>
    <w:rsid w:val="00B31825"/>
    <w:rsid w:val="00B31A5C"/>
    <w:rsid w:val="00B32265"/>
    <w:rsid w:val="00B3276D"/>
    <w:rsid w:val="00B33B06"/>
    <w:rsid w:val="00B33C19"/>
    <w:rsid w:val="00B35A15"/>
    <w:rsid w:val="00B35B45"/>
    <w:rsid w:val="00B36165"/>
    <w:rsid w:val="00B36A99"/>
    <w:rsid w:val="00B36E88"/>
    <w:rsid w:val="00B409F8"/>
    <w:rsid w:val="00B4165D"/>
    <w:rsid w:val="00B42264"/>
    <w:rsid w:val="00B42C7E"/>
    <w:rsid w:val="00B42EF9"/>
    <w:rsid w:val="00B434B2"/>
    <w:rsid w:val="00B43D45"/>
    <w:rsid w:val="00B459AF"/>
    <w:rsid w:val="00B468F2"/>
    <w:rsid w:val="00B469DE"/>
    <w:rsid w:val="00B470D7"/>
    <w:rsid w:val="00B47286"/>
    <w:rsid w:val="00B478C3"/>
    <w:rsid w:val="00B47EB4"/>
    <w:rsid w:val="00B50234"/>
    <w:rsid w:val="00B519C3"/>
    <w:rsid w:val="00B51BF4"/>
    <w:rsid w:val="00B52C68"/>
    <w:rsid w:val="00B5372B"/>
    <w:rsid w:val="00B542FE"/>
    <w:rsid w:val="00B55A1B"/>
    <w:rsid w:val="00B561DB"/>
    <w:rsid w:val="00B56DF9"/>
    <w:rsid w:val="00B56E80"/>
    <w:rsid w:val="00B571F1"/>
    <w:rsid w:val="00B600BD"/>
    <w:rsid w:val="00B60474"/>
    <w:rsid w:val="00B60E4E"/>
    <w:rsid w:val="00B61274"/>
    <w:rsid w:val="00B61DCE"/>
    <w:rsid w:val="00B62188"/>
    <w:rsid w:val="00B62F79"/>
    <w:rsid w:val="00B62F82"/>
    <w:rsid w:val="00B6306A"/>
    <w:rsid w:val="00B635E3"/>
    <w:rsid w:val="00B6487A"/>
    <w:rsid w:val="00B662FF"/>
    <w:rsid w:val="00B66679"/>
    <w:rsid w:val="00B67D11"/>
    <w:rsid w:val="00B70145"/>
    <w:rsid w:val="00B71A92"/>
    <w:rsid w:val="00B721D8"/>
    <w:rsid w:val="00B730CA"/>
    <w:rsid w:val="00B732EA"/>
    <w:rsid w:val="00B73747"/>
    <w:rsid w:val="00B747C5"/>
    <w:rsid w:val="00B74F2F"/>
    <w:rsid w:val="00B753ED"/>
    <w:rsid w:val="00B7665F"/>
    <w:rsid w:val="00B769BC"/>
    <w:rsid w:val="00B770F7"/>
    <w:rsid w:val="00B77349"/>
    <w:rsid w:val="00B7761E"/>
    <w:rsid w:val="00B80A3D"/>
    <w:rsid w:val="00B80B04"/>
    <w:rsid w:val="00B821E4"/>
    <w:rsid w:val="00B823E0"/>
    <w:rsid w:val="00B8260D"/>
    <w:rsid w:val="00B82B78"/>
    <w:rsid w:val="00B830C8"/>
    <w:rsid w:val="00B8370A"/>
    <w:rsid w:val="00B845B4"/>
    <w:rsid w:val="00B84662"/>
    <w:rsid w:val="00B84C74"/>
    <w:rsid w:val="00B84CE9"/>
    <w:rsid w:val="00B85191"/>
    <w:rsid w:val="00B858A1"/>
    <w:rsid w:val="00B85FEC"/>
    <w:rsid w:val="00B864A3"/>
    <w:rsid w:val="00B86C2A"/>
    <w:rsid w:val="00B870A0"/>
    <w:rsid w:val="00B902A5"/>
    <w:rsid w:val="00B90420"/>
    <w:rsid w:val="00B90848"/>
    <w:rsid w:val="00B91146"/>
    <w:rsid w:val="00B913E4"/>
    <w:rsid w:val="00B91DB9"/>
    <w:rsid w:val="00B91FF3"/>
    <w:rsid w:val="00B925F8"/>
    <w:rsid w:val="00B92666"/>
    <w:rsid w:val="00B92AF9"/>
    <w:rsid w:val="00B93084"/>
    <w:rsid w:val="00B93EFE"/>
    <w:rsid w:val="00B944B9"/>
    <w:rsid w:val="00B94956"/>
    <w:rsid w:val="00B94C7F"/>
    <w:rsid w:val="00B94E93"/>
    <w:rsid w:val="00B956B5"/>
    <w:rsid w:val="00B95956"/>
    <w:rsid w:val="00B96A7F"/>
    <w:rsid w:val="00B96DF2"/>
    <w:rsid w:val="00B96E18"/>
    <w:rsid w:val="00B96F5A"/>
    <w:rsid w:val="00BA0B39"/>
    <w:rsid w:val="00BA0CB2"/>
    <w:rsid w:val="00BA0E26"/>
    <w:rsid w:val="00BA138B"/>
    <w:rsid w:val="00BA305B"/>
    <w:rsid w:val="00BA31BF"/>
    <w:rsid w:val="00BA3C0F"/>
    <w:rsid w:val="00BA3FC7"/>
    <w:rsid w:val="00BA478B"/>
    <w:rsid w:val="00BA5224"/>
    <w:rsid w:val="00BA55F6"/>
    <w:rsid w:val="00BA575E"/>
    <w:rsid w:val="00BA76B7"/>
    <w:rsid w:val="00BA7E3B"/>
    <w:rsid w:val="00BB0417"/>
    <w:rsid w:val="00BB078D"/>
    <w:rsid w:val="00BB079C"/>
    <w:rsid w:val="00BB0D7A"/>
    <w:rsid w:val="00BB109D"/>
    <w:rsid w:val="00BB10E1"/>
    <w:rsid w:val="00BB1F21"/>
    <w:rsid w:val="00BB2471"/>
    <w:rsid w:val="00BB3035"/>
    <w:rsid w:val="00BB3426"/>
    <w:rsid w:val="00BB39C1"/>
    <w:rsid w:val="00BB3DF5"/>
    <w:rsid w:val="00BB3EA7"/>
    <w:rsid w:val="00BB5909"/>
    <w:rsid w:val="00BB5D16"/>
    <w:rsid w:val="00BB6180"/>
    <w:rsid w:val="00BB69E6"/>
    <w:rsid w:val="00BB7323"/>
    <w:rsid w:val="00BB7BE5"/>
    <w:rsid w:val="00BC08BD"/>
    <w:rsid w:val="00BC11E8"/>
    <w:rsid w:val="00BC1B7A"/>
    <w:rsid w:val="00BC2C17"/>
    <w:rsid w:val="00BC3ACD"/>
    <w:rsid w:val="00BC3B20"/>
    <w:rsid w:val="00BC3EE4"/>
    <w:rsid w:val="00BC419E"/>
    <w:rsid w:val="00BC516D"/>
    <w:rsid w:val="00BC588C"/>
    <w:rsid w:val="00BC6E73"/>
    <w:rsid w:val="00BC74D3"/>
    <w:rsid w:val="00BC7C4E"/>
    <w:rsid w:val="00BD0014"/>
    <w:rsid w:val="00BD01D8"/>
    <w:rsid w:val="00BD06FF"/>
    <w:rsid w:val="00BD255F"/>
    <w:rsid w:val="00BD2895"/>
    <w:rsid w:val="00BD4236"/>
    <w:rsid w:val="00BD483B"/>
    <w:rsid w:val="00BD50F9"/>
    <w:rsid w:val="00BD51F9"/>
    <w:rsid w:val="00BD5CD4"/>
    <w:rsid w:val="00BD65D9"/>
    <w:rsid w:val="00BD6A4F"/>
    <w:rsid w:val="00BD6DF3"/>
    <w:rsid w:val="00BD6E09"/>
    <w:rsid w:val="00BD6EF9"/>
    <w:rsid w:val="00BD6FBF"/>
    <w:rsid w:val="00BE0152"/>
    <w:rsid w:val="00BE09C7"/>
    <w:rsid w:val="00BE0ACB"/>
    <w:rsid w:val="00BE1E5F"/>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1D6C"/>
    <w:rsid w:val="00BF1E82"/>
    <w:rsid w:val="00BF22E9"/>
    <w:rsid w:val="00BF4342"/>
    <w:rsid w:val="00BF4704"/>
    <w:rsid w:val="00BF4FFC"/>
    <w:rsid w:val="00BF5050"/>
    <w:rsid w:val="00BF50D1"/>
    <w:rsid w:val="00BF5422"/>
    <w:rsid w:val="00BF59B1"/>
    <w:rsid w:val="00BF6625"/>
    <w:rsid w:val="00BF6A78"/>
    <w:rsid w:val="00BF7695"/>
    <w:rsid w:val="00BF79B4"/>
    <w:rsid w:val="00BF7C61"/>
    <w:rsid w:val="00C01427"/>
    <w:rsid w:val="00C014C7"/>
    <w:rsid w:val="00C031CF"/>
    <w:rsid w:val="00C03FD4"/>
    <w:rsid w:val="00C0420B"/>
    <w:rsid w:val="00C042B5"/>
    <w:rsid w:val="00C047AB"/>
    <w:rsid w:val="00C058AF"/>
    <w:rsid w:val="00C075B6"/>
    <w:rsid w:val="00C1004F"/>
    <w:rsid w:val="00C11D3A"/>
    <w:rsid w:val="00C124C1"/>
    <w:rsid w:val="00C128AE"/>
    <w:rsid w:val="00C12BA8"/>
    <w:rsid w:val="00C13094"/>
    <w:rsid w:val="00C136D6"/>
    <w:rsid w:val="00C13D5B"/>
    <w:rsid w:val="00C141D7"/>
    <w:rsid w:val="00C1711B"/>
    <w:rsid w:val="00C17AE2"/>
    <w:rsid w:val="00C20140"/>
    <w:rsid w:val="00C20848"/>
    <w:rsid w:val="00C20F27"/>
    <w:rsid w:val="00C215CF"/>
    <w:rsid w:val="00C2244B"/>
    <w:rsid w:val="00C22711"/>
    <w:rsid w:val="00C2280A"/>
    <w:rsid w:val="00C22B0D"/>
    <w:rsid w:val="00C22BFF"/>
    <w:rsid w:val="00C230D3"/>
    <w:rsid w:val="00C23522"/>
    <w:rsid w:val="00C2358A"/>
    <w:rsid w:val="00C240C1"/>
    <w:rsid w:val="00C244A1"/>
    <w:rsid w:val="00C24AED"/>
    <w:rsid w:val="00C250D0"/>
    <w:rsid w:val="00C2524A"/>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29C1"/>
    <w:rsid w:val="00C32C00"/>
    <w:rsid w:val="00C32E15"/>
    <w:rsid w:val="00C33201"/>
    <w:rsid w:val="00C33A39"/>
    <w:rsid w:val="00C34619"/>
    <w:rsid w:val="00C348D9"/>
    <w:rsid w:val="00C34A06"/>
    <w:rsid w:val="00C351EF"/>
    <w:rsid w:val="00C35D01"/>
    <w:rsid w:val="00C360B3"/>
    <w:rsid w:val="00C37027"/>
    <w:rsid w:val="00C373BF"/>
    <w:rsid w:val="00C37B19"/>
    <w:rsid w:val="00C41349"/>
    <w:rsid w:val="00C413CB"/>
    <w:rsid w:val="00C42752"/>
    <w:rsid w:val="00C42973"/>
    <w:rsid w:val="00C43405"/>
    <w:rsid w:val="00C46B95"/>
    <w:rsid w:val="00C4712A"/>
    <w:rsid w:val="00C5034F"/>
    <w:rsid w:val="00C50489"/>
    <w:rsid w:val="00C5049F"/>
    <w:rsid w:val="00C5058E"/>
    <w:rsid w:val="00C50830"/>
    <w:rsid w:val="00C51034"/>
    <w:rsid w:val="00C52479"/>
    <w:rsid w:val="00C5266E"/>
    <w:rsid w:val="00C5274D"/>
    <w:rsid w:val="00C52C59"/>
    <w:rsid w:val="00C5349E"/>
    <w:rsid w:val="00C539FF"/>
    <w:rsid w:val="00C544BD"/>
    <w:rsid w:val="00C54D3D"/>
    <w:rsid w:val="00C55A30"/>
    <w:rsid w:val="00C56384"/>
    <w:rsid w:val="00C5704A"/>
    <w:rsid w:val="00C6049F"/>
    <w:rsid w:val="00C60B5A"/>
    <w:rsid w:val="00C60F8C"/>
    <w:rsid w:val="00C610B3"/>
    <w:rsid w:val="00C61424"/>
    <w:rsid w:val="00C61794"/>
    <w:rsid w:val="00C62A48"/>
    <w:rsid w:val="00C62AC4"/>
    <w:rsid w:val="00C62B59"/>
    <w:rsid w:val="00C62F96"/>
    <w:rsid w:val="00C631E1"/>
    <w:rsid w:val="00C638D8"/>
    <w:rsid w:val="00C63A43"/>
    <w:rsid w:val="00C63AE7"/>
    <w:rsid w:val="00C63D26"/>
    <w:rsid w:val="00C6540A"/>
    <w:rsid w:val="00C668A1"/>
    <w:rsid w:val="00C67223"/>
    <w:rsid w:val="00C67737"/>
    <w:rsid w:val="00C707B8"/>
    <w:rsid w:val="00C712AC"/>
    <w:rsid w:val="00C71C15"/>
    <w:rsid w:val="00C71F3D"/>
    <w:rsid w:val="00C72F53"/>
    <w:rsid w:val="00C73E65"/>
    <w:rsid w:val="00C74035"/>
    <w:rsid w:val="00C748EA"/>
    <w:rsid w:val="00C77818"/>
    <w:rsid w:val="00C8063F"/>
    <w:rsid w:val="00C81282"/>
    <w:rsid w:val="00C81B9F"/>
    <w:rsid w:val="00C8223C"/>
    <w:rsid w:val="00C827B4"/>
    <w:rsid w:val="00C82B48"/>
    <w:rsid w:val="00C82C83"/>
    <w:rsid w:val="00C8301F"/>
    <w:rsid w:val="00C83214"/>
    <w:rsid w:val="00C8329F"/>
    <w:rsid w:val="00C84F8A"/>
    <w:rsid w:val="00C85BA4"/>
    <w:rsid w:val="00C8618F"/>
    <w:rsid w:val="00C8625D"/>
    <w:rsid w:val="00C868C1"/>
    <w:rsid w:val="00C90372"/>
    <w:rsid w:val="00C9041F"/>
    <w:rsid w:val="00C90A64"/>
    <w:rsid w:val="00C9166B"/>
    <w:rsid w:val="00C91945"/>
    <w:rsid w:val="00C91A45"/>
    <w:rsid w:val="00C91FB4"/>
    <w:rsid w:val="00C92150"/>
    <w:rsid w:val="00C92328"/>
    <w:rsid w:val="00C92D42"/>
    <w:rsid w:val="00C938C2"/>
    <w:rsid w:val="00C93F8A"/>
    <w:rsid w:val="00C94EA1"/>
    <w:rsid w:val="00C95745"/>
    <w:rsid w:val="00C95902"/>
    <w:rsid w:val="00C962E3"/>
    <w:rsid w:val="00C96709"/>
    <w:rsid w:val="00C978E2"/>
    <w:rsid w:val="00C97997"/>
    <w:rsid w:val="00CA10A2"/>
    <w:rsid w:val="00CA179E"/>
    <w:rsid w:val="00CA1D83"/>
    <w:rsid w:val="00CA1DBA"/>
    <w:rsid w:val="00CA23D0"/>
    <w:rsid w:val="00CA25C0"/>
    <w:rsid w:val="00CA3451"/>
    <w:rsid w:val="00CA35C6"/>
    <w:rsid w:val="00CA4948"/>
    <w:rsid w:val="00CA52F9"/>
    <w:rsid w:val="00CA5368"/>
    <w:rsid w:val="00CA55D4"/>
    <w:rsid w:val="00CA568B"/>
    <w:rsid w:val="00CA56B1"/>
    <w:rsid w:val="00CA573A"/>
    <w:rsid w:val="00CA58AA"/>
    <w:rsid w:val="00CA5C58"/>
    <w:rsid w:val="00CB19D7"/>
    <w:rsid w:val="00CB19FE"/>
    <w:rsid w:val="00CB1C3F"/>
    <w:rsid w:val="00CB2364"/>
    <w:rsid w:val="00CB304C"/>
    <w:rsid w:val="00CB3933"/>
    <w:rsid w:val="00CB5010"/>
    <w:rsid w:val="00CB50E2"/>
    <w:rsid w:val="00CB53E8"/>
    <w:rsid w:val="00CB5920"/>
    <w:rsid w:val="00CB594A"/>
    <w:rsid w:val="00CB5CB2"/>
    <w:rsid w:val="00CB68BF"/>
    <w:rsid w:val="00CB6979"/>
    <w:rsid w:val="00CB7DDE"/>
    <w:rsid w:val="00CC0A3D"/>
    <w:rsid w:val="00CC2FF0"/>
    <w:rsid w:val="00CC2FF3"/>
    <w:rsid w:val="00CC3C53"/>
    <w:rsid w:val="00CC3D24"/>
    <w:rsid w:val="00CC3F91"/>
    <w:rsid w:val="00CC47EE"/>
    <w:rsid w:val="00CC4ACD"/>
    <w:rsid w:val="00CC4B0A"/>
    <w:rsid w:val="00CC544A"/>
    <w:rsid w:val="00CC57EA"/>
    <w:rsid w:val="00CC5954"/>
    <w:rsid w:val="00CC5BCE"/>
    <w:rsid w:val="00CC629B"/>
    <w:rsid w:val="00CC6C4E"/>
    <w:rsid w:val="00CD009D"/>
    <w:rsid w:val="00CD05A2"/>
    <w:rsid w:val="00CD29D4"/>
    <w:rsid w:val="00CD2B5C"/>
    <w:rsid w:val="00CD2FF3"/>
    <w:rsid w:val="00CD3258"/>
    <w:rsid w:val="00CD3323"/>
    <w:rsid w:val="00CD38F5"/>
    <w:rsid w:val="00CD3BF2"/>
    <w:rsid w:val="00CD437E"/>
    <w:rsid w:val="00CD5B02"/>
    <w:rsid w:val="00CD5DAD"/>
    <w:rsid w:val="00CD72C5"/>
    <w:rsid w:val="00CD79A7"/>
    <w:rsid w:val="00CD7FAD"/>
    <w:rsid w:val="00CE0789"/>
    <w:rsid w:val="00CE0E8D"/>
    <w:rsid w:val="00CE1A03"/>
    <w:rsid w:val="00CE2346"/>
    <w:rsid w:val="00CE25B2"/>
    <w:rsid w:val="00CE2CD7"/>
    <w:rsid w:val="00CE3529"/>
    <w:rsid w:val="00CE35C8"/>
    <w:rsid w:val="00CE3962"/>
    <w:rsid w:val="00CE4D0A"/>
    <w:rsid w:val="00CE4D1A"/>
    <w:rsid w:val="00CE4E8A"/>
    <w:rsid w:val="00CE5105"/>
    <w:rsid w:val="00CE56BD"/>
    <w:rsid w:val="00CE5EC0"/>
    <w:rsid w:val="00CE68AD"/>
    <w:rsid w:val="00CE6F9F"/>
    <w:rsid w:val="00CE781A"/>
    <w:rsid w:val="00CE7B08"/>
    <w:rsid w:val="00CE7D52"/>
    <w:rsid w:val="00CF0AB7"/>
    <w:rsid w:val="00CF1D74"/>
    <w:rsid w:val="00CF2BE2"/>
    <w:rsid w:val="00CF3DEB"/>
    <w:rsid w:val="00CF55F9"/>
    <w:rsid w:val="00CF7074"/>
    <w:rsid w:val="00CF7495"/>
    <w:rsid w:val="00D01CF9"/>
    <w:rsid w:val="00D0334D"/>
    <w:rsid w:val="00D0374D"/>
    <w:rsid w:val="00D06D7B"/>
    <w:rsid w:val="00D06DA5"/>
    <w:rsid w:val="00D07191"/>
    <w:rsid w:val="00D07F1D"/>
    <w:rsid w:val="00D10558"/>
    <w:rsid w:val="00D11299"/>
    <w:rsid w:val="00D11D4D"/>
    <w:rsid w:val="00D11DB1"/>
    <w:rsid w:val="00D126DC"/>
    <w:rsid w:val="00D12AE6"/>
    <w:rsid w:val="00D12B03"/>
    <w:rsid w:val="00D13A16"/>
    <w:rsid w:val="00D13E70"/>
    <w:rsid w:val="00D13EE7"/>
    <w:rsid w:val="00D15FCD"/>
    <w:rsid w:val="00D16C58"/>
    <w:rsid w:val="00D17019"/>
    <w:rsid w:val="00D1735B"/>
    <w:rsid w:val="00D17FC8"/>
    <w:rsid w:val="00D2015B"/>
    <w:rsid w:val="00D20927"/>
    <w:rsid w:val="00D20B44"/>
    <w:rsid w:val="00D21168"/>
    <w:rsid w:val="00D23498"/>
    <w:rsid w:val="00D2385D"/>
    <w:rsid w:val="00D23A2A"/>
    <w:rsid w:val="00D2438C"/>
    <w:rsid w:val="00D252C6"/>
    <w:rsid w:val="00D252DE"/>
    <w:rsid w:val="00D2585A"/>
    <w:rsid w:val="00D259B0"/>
    <w:rsid w:val="00D259C2"/>
    <w:rsid w:val="00D26C3F"/>
    <w:rsid w:val="00D27185"/>
    <w:rsid w:val="00D3028A"/>
    <w:rsid w:val="00D33488"/>
    <w:rsid w:val="00D33AB3"/>
    <w:rsid w:val="00D33E5B"/>
    <w:rsid w:val="00D33F24"/>
    <w:rsid w:val="00D34160"/>
    <w:rsid w:val="00D346B8"/>
    <w:rsid w:val="00D34DCA"/>
    <w:rsid w:val="00D35AC8"/>
    <w:rsid w:val="00D35C79"/>
    <w:rsid w:val="00D36F87"/>
    <w:rsid w:val="00D37E4E"/>
    <w:rsid w:val="00D4032D"/>
    <w:rsid w:val="00D4079F"/>
    <w:rsid w:val="00D417D8"/>
    <w:rsid w:val="00D41F78"/>
    <w:rsid w:val="00D42E6C"/>
    <w:rsid w:val="00D42F9A"/>
    <w:rsid w:val="00D4351C"/>
    <w:rsid w:val="00D43B80"/>
    <w:rsid w:val="00D44988"/>
    <w:rsid w:val="00D45B4C"/>
    <w:rsid w:val="00D45BA4"/>
    <w:rsid w:val="00D471AF"/>
    <w:rsid w:val="00D471E2"/>
    <w:rsid w:val="00D4724F"/>
    <w:rsid w:val="00D50519"/>
    <w:rsid w:val="00D50779"/>
    <w:rsid w:val="00D511B2"/>
    <w:rsid w:val="00D51601"/>
    <w:rsid w:val="00D51ECB"/>
    <w:rsid w:val="00D5264C"/>
    <w:rsid w:val="00D52BBC"/>
    <w:rsid w:val="00D537FE"/>
    <w:rsid w:val="00D53CC9"/>
    <w:rsid w:val="00D54186"/>
    <w:rsid w:val="00D54221"/>
    <w:rsid w:val="00D54A6A"/>
    <w:rsid w:val="00D54B8F"/>
    <w:rsid w:val="00D55848"/>
    <w:rsid w:val="00D55951"/>
    <w:rsid w:val="00D559F0"/>
    <w:rsid w:val="00D56458"/>
    <w:rsid w:val="00D5650F"/>
    <w:rsid w:val="00D57181"/>
    <w:rsid w:val="00D57EB6"/>
    <w:rsid w:val="00D6055C"/>
    <w:rsid w:val="00D608C0"/>
    <w:rsid w:val="00D60D6D"/>
    <w:rsid w:val="00D6128C"/>
    <w:rsid w:val="00D6171B"/>
    <w:rsid w:val="00D63B22"/>
    <w:rsid w:val="00D65E4C"/>
    <w:rsid w:val="00D66300"/>
    <w:rsid w:val="00D66D8B"/>
    <w:rsid w:val="00D6780D"/>
    <w:rsid w:val="00D70849"/>
    <w:rsid w:val="00D72297"/>
    <w:rsid w:val="00D72A1C"/>
    <w:rsid w:val="00D7308F"/>
    <w:rsid w:val="00D7313E"/>
    <w:rsid w:val="00D73580"/>
    <w:rsid w:val="00D73802"/>
    <w:rsid w:val="00D73C2C"/>
    <w:rsid w:val="00D73D52"/>
    <w:rsid w:val="00D745E7"/>
    <w:rsid w:val="00D7502A"/>
    <w:rsid w:val="00D75FDA"/>
    <w:rsid w:val="00D774ED"/>
    <w:rsid w:val="00D777C3"/>
    <w:rsid w:val="00D7797C"/>
    <w:rsid w:val="00D77C44"/>
    <w:rsid w:val="00D77D84"/>
    <w:rsid w:val="00D77F88"/>
    <w:rsid w:val="00D8073D"/>
    <w:rsid w:val="00D81AFA"/>
    <w:rsid w:val="00D81EAA"/>
    <w:rsid w:val="00D81FE2"/>
    <w:rsid w:val="00D8259F"/>
    <w:rsid w:val="00D825F2"/>
    <w:rsid w:val="00D8285C"/>
    <w:rsid w:val="00D828B1"/>
    <w:rsid w:val="00D82A55"/>
    <w:rsid w:val="00D830F8"/>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D34"/>
    <w:rsid w:val="00D93E64"/>
    <w:rsid w:val="00D93F64"/>
    <w:rsid w:val="00D94CA4"/>
    <w:rsid w:val="00D95456"/>
    <w:rsid w:val="00D95E99"/>
    <w:rsid w:val="00D965D5"/>
    <w:rsid w:val="00D96C1D"/>
    <w:rsid w:val="00D97DA2"/>
    <w:rsid w:val="00DA0485"/>
    <w:rsid w:val="00DA1A3A"/>
    <w:rsid w:val="00DA2351"/>
    <w:rsid w:val="00DA249E"/>
    <w:rsid w:val="00DA2D3D"/>
    <w:rsid w:val="00DA3855"/>
    <w:rsid w:val="00DA39BA"/>
    <w:rsid w:val="00DA49D9"/>
    <w:rsid w:val="00DA4C30"/>
    <w:rsid w:val="00DA6A44"/>
    <w:rsid w:val="00DA78C6"/>
    <w:rsid w:val="00DA7A3C"/>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B756F"/>
    <w:rsid w:val="00DC1056"/>
    <w:rsid w:val="00DC1442"/>
    <w:rsid w:val="00DC21C6"/>
    <w:rsid w:val="00DC21D8"/>
    <w:rsid w:val="00DC282A"/>
    <w:rsid w:val="00DC2A11"/>
    <w:rsid w:val="00DC2DE8"/>
    <w:rsid w:val="00DC34DC"/>
    <w:rsid w:val="00DC3780"/>
    <w:rsid w:val="00DC3ADA"/>
    <w:rsid w:val="00DC3CC6"/>
    <w:rsid w:val="00DC3F55"/>
    <w:rsid w:val="00DC4782"/>
    <w:rsid w:val="00DC514A"/>
    <w:rsid w:val="00DC67B1"/>
    <w:rsid w:val="00DC7FBC"/>
    <w:rsid w:val="00DD0019"/>
    <w:rsid w:val="00DD039A"/>
    <w:rsid w:val="00DD132B"/>
    <w:rsid w:val="00DD1725"/>
    <w:rsid w:val="00DD210A"/>
    <w:rsid w:val="00DD2159"/>
    <w:rsid w:val="00DD218B"/>
    <w:rsid w:val="00DD28BA"/>
    <w:rsid w:val="00DD2A18"/>
    <w:rsid w:val="00DD3044"/>
    <w:rsid w:val="00DD3985"/>
    <w:rsid w:val="00DD61E8"/>
    <w:rsid w:val="00DD62C0"/>
    <w:rsid w:val="00DD64DE"/>
    <w:rsid w:val="00DD66DE"/>
    <w:rsid w:val="00DD7859"/>
    <w:rsid w:val="00DD7912"/>
    <w:rsid w:val="00DD7B41"/>
    <w:rsid w:val="00DD7DB0"/>
    <w:rsid w:val="00DE0784"/>
    <w:rsid w:val="00DE0A1D"/>
    <w:rsid w:val="00DE15B2"/>
    <w:rsid w:val="00DE1A9A"/>
    <w:rsid w:val="00DE3D2C"/>
    <w:rsid w:val="00DE5E82"/>
    <w:rsid w:val="00DE5FA6"/>
    <w:rsid w:val="00DE6792"/>
    <w:rsid w:val="00DE6AA1"/>
    <w:rsid w:val="00DE7EF7"/>
    <w:rsid w:val="00DF007B"/>
    <w:rsid w:val="00DF015B"/>
    <w:rsid w:val="00DF02EC"/>
    <w:rsid w:val="00DF10FC"/>
    <w:rsid w:val="00DF1185"/>
    <w:rsid w:val="00DF1299"/>
    <w:rsid w:val="00DF1A70"/>
    <w:rsid w:val="00DF1E5F"/>
    <w:rsid w:val="00DF23A8"/>
    <w:rsid w:val="00DF2F27"/>
    <w:rsid w:val="00DF36B6"/>
    <w:rsid w:val="00DF4296"/>
    <w:rsid w:val="00DF487D"/>
    <w:rsid w:val="00DF5267"/>
    <w:rsid w:val="00DF53F0"/>
    <w:rsid w:val="00DF5F37"/>
    <w:rsid w:val="00DF5F38"/>
    <w:rsid w:val="00DF6608"/>
    <w:rsid w:val="00DF6CCC"/>
    <w:rsid w:val="00DF6D0C"/>
    <w:rsid w:val="00DF6F64"/>
    <w:rsid w:val="00DF721E"/>
    <w:rsid w:val="00DF7549"/>
    <w:rsid w:val="00DF7B8A"/>
    <w:rsid w:val="00DF7C87"/>
    <w:rsid w:val="00E009B0"/>
    <w:rsid w:val="00E00A12"/>
    <w:rsid w:val="00E00B39"/>
    <w:rsid w:val="00E00C49"/>
    <w:rsid w:val="00E01C9C"/>
    <w:rsid w:val="00E0219D"/>
    <w:rsid w:val="00E038AF"/>
    <w:rsid w:val="00E04C0F"/>
    <w:rsid w:val="00E0570B"/>
    <w:rsid w:val="00E069C5"/>
    <w:rsid w:val="00E10913"/>
    <w:rsid w:val="00E10B87"/>
    <w:rsid w:val="00E121CE"/>
    <w:rsid w:val="00E12209"/>
    <w:rsid w:val="00E1418F"/>
    <w:rsid w:val="00E1478B"/>
    <w:rsid w:val="00E14FAC"/>
    <w:rsid w:val="00E15007"/>
    <w:rsid w:val="00E16277"/>
    <w:rsid w:val="00E16EC7"/>
    <w:rsid w:val="00E172A9"/>
    <w:rsid w:val="00E17DCC"/>
    <w:rsid w:val="00E219CE"/>
    <w:rsid w:val="00E21ABD"/>
    <w:rsid w:val="00E21D93"/>
    <w:rsid w:val="00E223A7"/>
    <w:rsid w:val="00E22A9E"/>
    <w:rsid w:val="00E22D2A"/>
    <w:rsid w:val="00E24071"/>
    <w:rsid w:val="00E24436"/>
    <w:rsid w:val="00E24DCA"/>
    <w:rsid w:val="00E24EBC"/>
    <w:rsid w:val="00E2522C"/>
    <w:rsid w:val="00E2552F"/>
    <w:rsid w:val="00E2599B"/>
    <w:rsid w:val="00E26DEE"/>
    <w:rsid w:val="00E2710C"/>
    <w:rsid w:val="00E272BD"/>
    <w:rsid w:val="00E27428"/>
    <w:rsid w:val="00E27556"/>
    <w:rsid w:val="00E305B4"/>
    <w:rsid w:val="00E31AFA"/>
    <w:rsid w:val="00E31CB7"/>
    <w:rsid w:val="00E3247A"/>
    <w:rsid w:val="00E324EE"/>
    <w:rsid w:val="00E34DB1"/>
    <w:rsid w:val="00E35931"/>
    <w:rsid w:val="00E359FF"/>
    <w:rsid w:val="00E3699A"/>
    <w:rsid w:val="00E402C5"/>
    <w:rsid w:val="00E402F4"/>
    <w:rsid w:val="00E405F1"/>
    <w:rsid w:val="00E406C1"/>
    <w:rsid w:val="00E417DB"/>
    <w:rsid w:val="00E43054"/>
    <w:rsid w:val="00E43655"/>
    <w:rsid w:val="00E44440"/>
    <w:rsid w:val="00E46013"/>
    <w:rsid w:val="00E47099"/>
    <w:rsid w:val="00E47284"/>
    <w:rsid w:val="00E477C3"/>
    <w:rsid w:val="00E506F1"/>
    <w:rsid w:val="00E51E16"/>
    <w:rsid w:val="00E52DED"/>
    <w:rsid w:val="00E53602"/>
    <w:rsid w:val="00E53730"/>
    <w:rsid w:val="00E5438D"/>
    <w:rsid w:val="00E54511"/>
    <w:rsid w:val="00E54E50"/>
    <w:rsid w:val="00E55288"/>
    <w:rsid w:val="00E57577"/>
    <w:rsid w:val="00E57F95"/>
    <w:rsid w:val="00E62043"/>
    <w:rsid w:val="00E626B9"/>
    <w:rsid w:val="00E627C9"/>
    <w:rsid w:val="00E630F3"/>
    <w:rsid w:val="00E6332F"/>
    <w:rsid w:val="00E637C9"/>
    <w:rsid w:val="00E63B54"/>
    <w:rsid w:val="00E6402D"/>
    <w:rsid w:val="00E6680A"/>
    <w:rsid w:val="00E66F0D"/>
    <w:rsid w:val="00E70615"/>
    <w:rsid w:val="00E708C4"/>
    <w:rsid w:val="00E7161E"/>
    <w:rsid w:val="00E7207B"/>
    <w:rsid w:val="00E7281F"/>
    <w:rsid w:val="00E72DCE"/>
    <w:rsid w:val="00E7347A"/>
    <w:rsid w:val="00E74A18"/>
    <w:rsid w:val="00E75A47"/>
    <w:rsid w:val="00E75BB6"/>
    <w:rsid w:val="00E75D8C"/>
    <w:rsid w:val="00E76A9B"/>
    <w:rsid w:val="00E777F2"/>
    <w:rsid w:val="00E802C9"/>
    <w:rsid w:val="00E80BFB"/>
    <w:rsid w:val="00E80EC2"/>
    <w:rsid w:val="00E80F0A"/>
    <w:rsid w:val="00E815D4"/>
    <w:rsid w:val="00E8291B"/>
    <w:rsid w:val="00E82E70"/>
    <w:rsid w:val="00E82F92"/>
    <w:rsid w:val="00E8395F"/>
    <w:rsid w:val="00E8410F"/>
    <w:rsid w:val="00E849D7"/>
    <w:rsid w:val="00E85E41"/>
    <w:rsid w:val="00E85EA1"/>
    <w:rsid w:val="00E86703"/>
    <w:rsid w:val="00E900DA"/>
    <w:rsid w:val="00E90D85"/>
    <w:rsid w:val="00E91044"/>
    <w:rsid w:val="00E910D3"/>
    <w:rsid w:val="00E92097"/>
    <w:rsid w:val="00E92154"/>
    <w:rsid w:val="00E923CF"/>
    <w:rsid w:val="00E92EE5"/>
    <w:rsid w:val="00E93685"/>
    <w:rsid w:val="00E93B65"/>
    <w:rsid w:val="00E93C8C"/>
    <w:rsid w:val="00E94275"/>
    <w:rsid w:val="00E95111"/>
    <w:rsid w:val="00E95E79"/>
    <w:rsid w:val="00E95FDF"/>
    <w:rsid w:val="00E96DF5"/>
    <w:rsid w:val="00EA14C8"/>
    <w:rsid w:val="00EA2110"/>
    <w:rsid w:val="00EA2305"/>
    <w:rsid w:val="00EA283A"/>
    <w:rsid w:val="00EA2C90"/>
    <w:rsid w:val="00EA2E07"/>
    <w:rsid w:val="00EA383B"/>
    <w:rsid w:val="00EA473A"/>
    <w:rsid w:val="00EA48F3"/>
    <w:rsid w:val="00EA60BF"/>
    <w:rsid w:val="00EA7365"/>
    <w:rsid w:val="00EA763F"/>
    <w:rsid w:val="00EA77E9"/>
    <w:rsid w:val="00EA77EB"/>
    <w:rsid w:val="00EB05D0"/>
    <w:rsid w:val="00EB1151"/>
    <w:rsid w:val="00EB1D49"/>
    <w:rsid w:val="00EB23D9"/>
    <w:rsid w:val="00EB39A0"/>
    <w:rsid w:val="00EB430A"/>
    <w:rsid w:val="00EB48FF"/>
    <w:rsid w:val="00EB559F"/>
    <w:rsid w:val="00EB566C"/>
    <w:rsid w:val="00EB5A18"/>
    <w:rsid w:val="00EB5F3D"/>
    <w:rsid w:val="00EB6C97"/>
    <w:rsid w:val="00EC1CEB"/>
    <w:rsid w:val="00EC1DC0"/>
    <w:rsid w:val="00EC1DC2"/>
    <w:rsid w:val="00EC1E09"/>
    <w:rsid w:val="00EC210E"/>
    <w:rsid w:val="00EC21EC"/>
    <w:rsid w:val="00EC24B8"/>
    <w:rsid w:val="00EC268C"/>
    <w:rsid w:val="00EC2BF2"/>
    <w:rsid w:val="00EC3411"/>
    <w:rsid w:val="00EC3613"/>
    <w:rsid w:val="00EC3753"/>
    <w:rsid w:val="00EC4E71"/>
    <w:rsid w:val="00EC5F1C"/>
    <w:rsid w:val="00EC63D3"/>
    <w:rsid w:val="00EC6464"/>
    <w:rsid w:val="00EC64B0"/>
    <w:rsid w:val="00ED0365"/>
    <w:rsid w:val="00ED0865"/>
    <w:rsid w:val="00ED0C1C"/>
    <w:rsid w:val="00ED1C60"/>
    <w:rsid w:val="00ED2EB9"/>
    <w:rsid w:val="00ED3722"/>
    <w:rsid w:val="00ED3A31"/>
    <w:rsid w:val="00ED4469"/>
    <w:rsid w:val="00ED5424"/>
    <w:rsid w:val="00ED5F23"/>
    <w:rsid w:val="00ED6DC0"/>
    <w:rsid w:val="00ED7A7A"/>
    <w:rsid w:val="00EE0327"/>
    <w:rsid w:val="00EE038C"/>
    <w:rsid w:val="00EE28C5"/>
    <w:rsid w:val="00EE2D52"/>
    <w:rsid w:val="00EE2F09"/>
    <w:rsid w:val="00EE47C5"/>
    <w:rsid w:val="00EE490C"/>
    <w:rsid w:val="00EE4E57"/>
    <w:rsid w:val="00EE5738"/>
    <w:rsid w:val="00EE58BD"/>
    <w:rsid w:val="00EE5E59"/>
    <w:rsid w:val="00EE73D0"/>
    <w:rsid w:val="00EE7734"/>
    <w:rsid w:val="00EE7CB0"/>
    <w:rsid w:val="00EF08A8"/>
    <w:rsid w:val="00EF0F0D"/>
    <w:rsid w:val="00EF167B"/>
    <w:rsid w:val="00EF2496"/>
    <w:rsid w:val="00EF3B70"/>
    <w:rsid w:val="00EF41A8"/>
    <w:rsid w:val="00EF44FB"/>
    <w:rsid w:val="00EF5122"/>
    <w:rsid w:val="00EF5554"/>
    <w:rsid w:val="00EF5AD8"/>
    <w:rsid w:val="00EF6B90"/>
    <w:rsid w:val="00EF72D0"/>
    <w:rsid w:val="00EF7807"/>
    <w:rsid w:val="00EF79F7"/>
    <w:rsid w:val="00F00536"/>
    <w:rsid w:val="00F006C0"/>
    <w:rsid w:val="00F00CC0"/>
    <w:rsid w:val="00F0125F"/>
    <w:rsid w:val="00F019AA"/>
    <w:rsid w:val="00F0267E"/>
    <w:rsid w:val="00F02686"/>
    <w:rsid w:val="00F030C0"/>
    <w:rsid w:val="00F03291"/>
    <w:rsid w:val="00F03A85"/>
    <w:rsid w:val="00F0459B"/>
    <w:rsid w:val="00F04DA4"/>
    <w:rsid w:val="00F04E15"/>
    <w:rsid w:val="00F05DF3"/>
    <w:rsid w:val="00F06829"/>
    <w:rsid w:val="00F069EA"/>
    <w:rsid w:val="00F070E5"/>
    <w:rsid w:val="00F07DDE"/>
    <w:rsid w:val="00F113C8"/>
    <w:rsid w:val="00F11675"/>
    <w:rsid w:val="00F123DA"/>
    <w:rsid w:val="00F12557"/>
    <w:rsid w:val="00F13599"/>
    <w:rsid w:val="00F13B28"/>
    <w:rsid w:val="00F156A0"/>
    <w:rsid w:val="00F15730"/>
    <w:rsid w:val="00F176A6"/>
    <w:rsid w:val="00F2012A"/>
    <w:rsid w:val="00F2022E"/>
    <w:rsid w:val="00F202C2"/>
    <w:rsid w:val="00F2058E"/>
    <w:rsid w:val="00F212F6"/>
    <w:rsid w:val="00F214B9"/>
    <w:rsid w:val="00F22314"/>
    <w:rsid w:val="00F2274C"/>
    <w:rsid w:val="00F22756"/>
    <w:rsid w:val="00F23248"/>
    <w:rsid w:val="00F23890"/>
    <w:rsid w:val="00F23E57"/>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A6A"/>
    <w:rsid w:val="00F40101"/>
    <w:rsid w:val="00F404F7"/>
    <w:rsid w:val="00F40CCA"/>
    <w:rsid w:val="00F40F9B"/>
    <w:rsid w:val="00F42D97"/>
    <w:rsid w:val="00F42FCF"/>
    <w:rsid w:val="00F436B2"/>
    <w:rsid w:val="00F43813"/>
    <w:rsid w:val="00F43FEE"/>
    <w:rsid w:val="00F4492F"/>
    <w:rsid w:val="00F45A72"/>
    <w:rsid w:val="00F46723"/>
    <w:rsid w:val="00F468AE"/>
    <w:rsid w:val="00F4706D"/>
    <w:rsid w:val="00F476E1"/>
    <w:rsid w:val="00F47D1D"/>
    <w:rsid w:val="00F47F29"/>
    <w:rsid w:val="00F50016"/>
    <w:rsid w:val="00F5118A"/>
    <w:rsid w:val="00F51A21"/>
    <w:rsid w:val="00F522F7"/>
    <w:rsid w:val="00F52614"/>
    <w:rsid w:val="00F5276E"/>
    <w:rsid w:val="00F52E9F"/>
    <w:rsid w:val="00F53304"/>
    <w:rsid w:val="00F53B81"/>
    <w:rsid w:val="00F540FE"/>
    <w:rsid w:val="00F54513"/>
    <w:rsid w:val="00F5459A"/>
    <w:rsid w:val="00F556FF"/>
    <w:rsid w:val="00F55D12"/>
    <w:rsid w:val="00F5687F"/>
    <w:rsid w:val="00F56D3F"/>
    <w:rsid w:val="00F575C7"/>
    <w:rsid w:val="00F57FD0"/>
    <w:rsid w:val="00F60305"/>
    <w:rsid w:val="00F61B12"/>
    <w:rsid w:val="00F61C70"/>
    <w:rsid w:val="00F6221F"/>
    <w:rsid w:val="00F6230A"/>
    <w:rsid w:val="00F63264"/>
    <w:rsid w:val="00F634E4"/>
    <w:rsid w:val="00F6379E"/>
    <w:rsid w:val="00F64047"/>
    <w:rsid w:val="00F65171"/>
    <w:rsid w:val="00F654B9"/>
    <w:rsid w:val="00F6560D"/>
    <w:rsid w:val="00F6612B"/>
    <w:rsid w:val="00F67844"/>
    <w:rsid w:val="00F70799"/>
    <w:rsid w:val="00F70938"/>
    <w:rsid w:val="00F70A8B"/>
    <w:rsid w:val="00F70B8D"/>
    <w:rsid w:val="00F71936"/>
    <w:rsid w:val="00F724FB"/>
    <w:rsid w:val="00F726B8"/>
    <w:rsid w:val="00F72A26"/>
    <w:rsid w:val="00F733C3"/>
    <w:rsid w:val="00F746A1"/>
    <w:rsid w:val="00F74820"/>
    <w:rsid w:val="00F74E66"/>
    <w:rsid w:val="00F756DD"/>
    <w:rsid w:val="00F763D8"/>
    <w:rsid w:val="00F77F4E"/>
    <w:rsid w:val="00F80047"/>
    <w:rsid w:val="00F800C7"/>
    <w:rsid w:val="00F8104D"/>
    <w:rsid w:val="00F8153F"/>
    <w:rsid w:val="00F81587"/>
    <w:rsid w:val="00F8288F"/>
    <w:rsid w:val="00F831D3"/>
    <w:rsid w:val="00F8376E"/>
    <w:rsid w:val="00F83C52"/>
    <w:rsid w:val="00F84802"/>
    <w:rsid w:val="00F85B72"/>
    <w:rsid w:val="00F85BCB"/>
    <w:rsid w:val="00F85F47"/>
    <w:rsid w:val="00F86540"/>
    <w:rsid w:val="00F865CE"/>
    <w:rsid w:val="00F8766F"/>
    <w:rsid w:val="00F90282"/>
    <w:rsid w:val="00F90E95"/>
    <w:rsid w:val="00F91082"/>
    <w:rsid w:val="00F9116D"/>
    <w:rsid w:val="00F91342"/>
    <w:rsid w:val="00F91A9A"/>
    <w:rsid w:val="00F91C85"/>
    <w:rsid w:val="00F92634"/>
    <w:rsid w:val="00F933F3"/>
    <w:rsid w:val="00F93ABB"/>
    <w:rsid w:val="00F94D79"/>
    <w:rsid w:val="00F96341"/>
    <w:rsid w:val="00F9658C"/>
    <w:rsid w:val="00F96EEB"/>
    <w:rsid w:val="00F97A7F"/>
    <w:rsid w:val="00F97CD0"/>
    <w:rsid w:val="00FA0889"/>
    <w:rsid w:val="00FA16E7"/>
    <w:rsid w:val="00FA31C7"/>
    <w:rsid w:val="00FA3EBA"/>
    <w:rsid w:val="00FA3F93"/>
    <w:rsid w:val="00FA4413"/>
    <w:rsid w:val="00FA472D"/>
    <w:rsid w:val="00FA681F"/>
    <w:rsid w:val="00FB0738"/>
    <w:rsid w:val="00FB0CBF"/>
    <w:rsid w:val="00FB18F6"/>
    <w:rsid w:val="00FB22B7"/>
    <w:rsid w:val="00FB2A52"/>
    <w:rsid w:val="00FB3F92"/>
    <w:rsid w:val="00FB51F5"/>
    <w:rsid w:val="00FB52C7"/>
    <w:rsid w:val="00FB57DC"/>
    <w:rsid w:val="00FB58F8"/>
    <w:rsid w:val="00FB64A4"/>
    <w:rsid w:val="00FB6CE3"/>
    <w:rsid w:val="00FB6E19"/>
    <w:rsid w:val="00FB71F6"/>
    <w:rsid w:val="00FC07AF"/>
    <w:rsid w:val="00FC0AF8"/>
    <w:rsid w:val="00FC0B69"/>
    <w:rsid w:val="00FC1483"/>
    <w:rsid w:val="00FC1C47"/>
    <w:rsid w:val="00FC2777"/>
    <w:rsid w:val="00FC3102"/>
    <w:rsid w:val="00FC39ED"/>
    <w:rsid w:val="00FC406F"/>
    <w:rsid w:val="00FC4419"/>
    <w:rsid w:val="00FC4464"/>
    <w:rsid w:val="00FC47E2"/>
    <w:rsid w:val="00FC4AA5"/>
    <w:rsid w:val="00FC4B88"/>
    <w:rsid w:val="00FC4BB8"/>
    <w:rsid w:val="00FC5148"/>
    <w:rsid w:val="00FC6524"/>
    <w:rsid w:val="00FC6B58"/>
    <w:rsid w:val="00FC75AC"/>
    <w:rsid w:val="00FC7984"/>
    <w:rsid w:val="00FD01BF"/>
    <w:rsid w:val="00FD0525"/>
    <w:rsid w:val="00FD0AB7"/>
    <w:rsid w:val="00FD297D"/>
    <w:rsid w:val="00FD2D13"/>
    <w:rsid w:val="00FD374D"/>
    <w:rsid w:val="00FD5C61"/>
    <w:rsid w:val="00FD5E89"/>
    <w:rsid w:val="00FD6071"/>
    <w:rsid w:val="00FD633B"/>
    <w:rsid w:val="00FD7259"/>
    <w:rsid w:val="00FE0794"/>
    <w:rsid w:val="00FE1041"/>
    <w:rsid w:val="00FE1580"/>
    <w:rsid w:val="00FE1A2F"/>
    <w:rsid w:val="00FE24CB"/>
    <w:rsid w:val="00FE323F"/>
    <w:rsid w:val="00FE3473"/>
    <w:rsid w:val="00FE3896"/>
    <w:rsid w:val="00FE4049"/>
    <w:rsid w:val="00FE4794"/>
    <w:rsid w:val="00FE480F"/>
    <w:rsid w:val="00FE4998"/>
    <w:rsid w:val="00FE57DE"/>
    <w:rsid w:val="00FE7A68"/>
    <w:rsid w:val="00FF00FA"/>
    <w:rsid w:val="00FF0231"/>
    <w:rsid w:val="00FF0691"/>
    <w:rsid w:val="00FF15CE"/>
    <w:rsid w:val="00FF1C9B"/>
    <w:rsid w:val="00FF1D49"/>
    <w:rsid w:val="00FF203B"/>
    <w:rsid w:val="00FF2562"/>
    <w:rsid w:val="00FF3A41"/>
    <w:rsid w:val="00FF3E5B"/>
    <w:rsid w:val="00FF3F68"/>
    <w:rsid w:val="00FF5123"/>
    <w:rsid w:val="00FF57E4"/>
    <w:rsid w:val="00FF78E5"/>
    <w:rsid w:val="011A1A6A"/>
    <w:rsid w:val="012C5FAF"/>
    <w:rsid w:val="01AF3D99"/>
    <w:rsid w:val="01E43C17"/>
    <w:rsid w:val="01EA0118"/>
    <w:rsid w:val="02511F9D"/>
    <w:rsid w:val="026C190E"/>
    <w:rsid w:val="02F863AB"/>
    <w:rsid w:val="03415C8D"/>
    <w:rsid w:val="035E7CEA"/>
    <w:rsid w:val="03A314B8"/>
    <w:rsid w:val="03AA4003"/>
    <w:rsid w:val="03AD2576"/>
    <w:rsid w:val="03D82B98"/>
    <w:rsid w:val="03F83E8B"/>
    <w:rsid w:val="05C56868"/>
    <w:rsid w:val="05CF1CEB"/>
    <w:rsid w:val="05EC4FF1"/>
    <w:rsid w:val="070F57D6"/>
    <w:rsid w:val="07752CF0"/>
    <w:rsid w:val="07894DD6"/>
    <w:rsid w:val="07A539BD"/>
    <w:rsid w:val="07B62F76"/>
    <w:rsid w:val="07B72767"/>
    <w:rsid w:val="07DB3EC3"/>
    <w:rsid w:val="08077E72"/>
    <w:rsid w:val="080C0FE9"/>
    <w:rsid w:val="08211DD0"/>
    <w:rsid w:val="082577FA"/>
    <w:rsid w:val="08882DD0"/>
    <w:rsid w:val="099C7806"/>
    <w:rsid w:val="09AB3C87"/>
    <w:rsid w:val="09CC2AAC"/>
    <w:rsid w:val="0A2B2319"/>
    <w:rsid w:val="0A652D3E"/>
    <w:rsid w:val="0A75232A"/>
    <w:rsid w:val="0A8A6AF0"/>
    <w:rsid w:val="0B326F2A"/>
    <w:rsid w:val="0B394449"/>
    <w:rsid w:val="0B5E3428"/>
    <w:rsid w:val="0C0753B5"/>
    <w:rsid w:val="0C1E2888"/>
    <w:rsid w:val="0C92213C"/>
    <w:rsid w:val="0CC2027E"/>
    <w:rsid w:val="0CE97FBB"/>
    <w:rsid w:val="0D672BCD"/>
    <w:rsid w:val="0D84032B"/>
    <w:rsid w:val="0E074DDF"/>
    <w:rsid w:val="0E186F21"/>
    <w:rsid w:val="0E1D4DE9"/>
    <w:rsid w:val="0EF23E5A"/>
    <w:rsid w:val="0F2A74C4"/>
    <w:rsid w:val="0FC91CB4"/>
    <w:rsid w:val="10194290"/>
    <w:rsid w:val="10A27F31"/>
    <w:rsid w:val="118A0CD6"/>
    <w:rsid w:val="11927058"/>
    <w:rsid w:val="120E171E"/>
    <w:rsid w:val="124241C5"/>
    <w:rsid w:val="12880F10"/>
    <w:rsid w:val="128D0D77"/>
    <w:rsid w:val="12A12A75"/>
    <w:rsid w:val="13530FF6"/>
    <w:rsid w:val="13AF4F03"/>
    <w:rsid w:val="13C407C9"/>
    <w:rsid w:val="13FD3CDB"/>
    <w:rsid w:val="14035BE0"/>
    <w:rsid w:val="14600C2C"/>
    <w:rsid w:val="14736E66"/>
    <w:rsid w:val="147F458F"/>
    <w:rsid w:val="14A01627"/>
    <w:rsid w:val="150B7467"/>
    <w:rsid w:val="1534169A"/>
    <w:rsid w:val="15C03E03"/>
    <w:rsid w:val="160053A5"/>
    <w:rsid w:val="162A25EB"/>
    <w:rsid w:val="16735895"/>
    <w:rsid w:val="168B3957"/>
    <w:rsid w:val="16BB27B5"/>
    <w:rsid w:val="16FC471D"/>
    <w:rsid w:val="16FD2A55"/>
    <w:rsid w:val="17067C1A"/>
    <w:rsid w:val="17366761"/>
    <w:rsid w:val="177C01F0"/>
    <w:rsid w:val="179E3EFA"/>
    <w:rsid w:val="17CE6630"/>
    <w:rsid w:val="180049E5"/>
    <w:rsid w:val="1824732A"/>
    <w:rsid w:val="18396314"/>
    <w:rsid w:val="187D188E"/>
    <w:rsid w:val="187D2982"/>
    <w:rsid w:val="19623034"/>
    <w:rsid w:val="19993FEC"/>
    <w:rsid w:val="19B66E06"/>
    <w:rsid w:val="1A634911"/>
    <w:rsid w:val="1AFF0AFE"/>
    <w:rsid w:val="1B393B94"/>
    <w:rsid w:val="1B3A75C2"/>
    <w:rsid w:val="1B46065D"/>
    <w:rsid w:val="1B4F19F8"/>
    <w:rsid w:val="1BBE3467"/>
    <w:rsid w:val="1BBE614D"/>
    <w:rsid w:val="1C2F22BE"/>
    <w:rsid w:val="1D3F0FEC"/>
    <w:rsid w:val="1DBC66D4"/>
    <w:rsid w:val="1DE5363E"/>
    <w:rsid w:val="1E0F6FC8"/>
    <w:rsid w:val="1ECC44FA"/>
    <w:rsid w:val="1F063325"/>
    <w:rsid w:val="1F2228B7"/>
    <w:rsid w:val="1F5B56D5"/>
    <w:rsid w:val="1FAD2A59"/>
    <w:rsid w:val="1FBC5DF5"/>
    <w:rsid w:val="1FF00695"/>
    <w:rsid w:val="1FF90588"/>
    <w:rsid w:val="204F6585"/>
    <w:rsid w:val="20C3623F"/>
    <w:rsid w:val="21781212"/>
    <w:rsid w:val="218A7B4F"/>
    <w:rsid w:val="21B83F86"/>
    <w:rsid w:val="221178A8"/>
    <w:rsid w:val="221213CF"/>
    <w:rsid w:val="22327A92"/>
    <w:rsid w:val="22E668D8"/>
    <w:rsid w:val="231D53A2"/>
    <w:rsid w:val="236D5383"/>
    <w:rsid w:val="23B7504C"/>
    <w:rsid w:val="23ED3D6C"/>
    <w:rsid w:val="24571307"/>
    <w:rsid w:val="246E5D54"/>
    <w:rsid w:val="24F133E8"/>
    <w:rsid w:val="25110A2A"/>
    <w:rsid w:val="251C7810"/>
    <w:rsid w:val="255A4A5C"/>
    <w:rsid w:val="256C0944"/>
    <w:rsid w:val="25946B2B"/>
    <w:rsid w:val="25E12043"/>
    <w:rsid w:val="263E20D6"/>
    <w:rsid w:val="26430E6D"/>
    <w:rsid w:val="26446DE3"/>
    <w:rsid w:val="26833D21"/>
    <w:rsid w:val="26877DFE"/>
    <w:rsid w:val="269669E7"/>
    <w:rsid w:val="26A270C1"/>
    <w:rsid w:val="26A66422"/>
    <w:rsid w:val="26C70D1A"/>
    <w:rsid w:val="26D7699F"/>
    <w:rsid w:val="27AB519C"/>
    <w:rsid w:val="280E4926"/>
    <w:rsid w:val="285C4BC0"/>
    <w:rsid w:val="29064055"/>
    <w:rsid w:val="2973086F"/>
    <w:rsid w:val="29BD3AA0"/>
    <w:rsid w:val="29D75F7F"/>
    <w:rsid w:val="2A9913AE"/>
    <w:rsid w:val="2AC732E4"/>
    <w:rsid w:val="2B774624"/>
    <w:rsid w:val="2B817551"/>
    <w:rsid w:val="2B9552FC"/>
    <w:rsid w:val="2C001B78"/>
    <w:rsid w:val="2C201004"/>
    <w:rsid w:val="2C2B079E"/>
    <w:rsid w:val="2C5C2FFB"/>
    <w:rsid w:val="2C7A72BE"/>
    <w:rsid w:val="2C941E4D"/>
    <w:rsid w:val="2C9A7D75"/>
    <w:rsid w:val="2CC17412"/>
    <w:rsid w:val="2D7C1E99"/>
    <w:rsid w:val="2E9976CE"/>
    <w:rsid w:val="2EB76362"/>
    <w:rsid w:val="2EF01DEE"/>
    <w:rsid w:val="2F401D3C"/>
    <w:rsid w:val="2F5B24E1"/>
    <w:rsid w:val="2F780D57"/>
    <w:rsid w:val="2FA95C88"/>
    <w:rsid w:val="2FB63264"/>
    <w:rsid w:val="2FF265AE"/>
    <w:rsid w:val="3041370F"/>
    <w:rsid w:val="30B87FED"/>
    <w:rsid w:val="310A7A3B"/>
    <w:rsid w:val="312B50A3"/>
    <w:rsid w:val="31894FD2"/>
    <w:rsid w:val="31FC517A"/>
    <w:rsid w:val="32453A27"/>
    <w:rsid w:val="3263064A"/>
    <w:rsid w:val="32A43132"/>
    <w:rsid w:val="32AC0C06"/>
    <w:rsid w:val="33344EF5"/>
    <w:rsid w:val="336142AD"/>
    <w:rsid w:val="33DA5B74"/>
    <w:rsid w:val="33E42957"/>
    <w:rsid w:val="34B21514"/>
    <w:rsid w:val="34C20B06"/>
    <w:rsid w:val="3537750C"/>
    <w:rsid w:val="3537798C"/>
    <w:rsid w:val="357A4D33"/>
    <w:rsid w:val="35986C99"/>
    <w:rsid w:val="35A55EE4"/>
    <w:rsid w:val="35C13FC9"/>
    <w:rsid w:val="35DA177E"/>
    <w:rsid w:val="36372B05"/>
    <w:rsid w:val="364257B6"/>
    <w:rsid w:val="36A66DE5"/>
    <w:rsid w:val="377C4D93"/>
    <w:rsid w:val="37EA5922"/>
    <w:rsid w:val="38276B93"/>
    <w:rsid w:val="382E58B8"/>
    <w:rsid w:val="38AC3431"/>
    <w:rsid w:val="392F2E16"/>
    <w:rsid w:val="39677354"/>
    <w:rsid w:val="39E00529"/>
    <w:rsid w:val="3A0B64A7"/>
    <w:rsid w:val="3A3D661B"/>
    <w:rsid w:val="3A3D7167"/>
    <w:rsid w:val="3A4A504F"/>
    <w:rsid w:val="3A574DDA"/>
    <w:rsid w:val="3AD3075A"/>
    <w:rsid w:val="3AF74C02"/>
    <w:rsid w:val="3B2E36F7"/>
    <w:rsid w:val="3B6E0E96"/>
    <w:rsid w:val="3B934DA1"/>
    <w:rsid w:val="3BC469D3"/>
    <w:rsid w:val="3C0059A5"/>
    <w:rsid w:val="3C134E78"/>
    <w:rsid w:val="3CA8662A"/>
    <w:rsid w:val="3D163594"/>
    <w:rsid w:val="3D2E6BFC"/>
    <w:rsid w:val="3D4158A2"/>
    <w:rsid w:val="3DF6345D"/>
    <w:rsid w:val="3E102FD6"/>
    <w:rsid w:val="3E2B5515"/>
    <w:rsid w:val="3E4D4F28"/>
    <w:rsid w:val="3E5A13F5"/>
    <w:rsid w:val="3ED92EC4"/>
    <w:rsid w:val="3EE13701"/>
    <w:rsid w:val="3EED2A1A"/>
    <w:rsid w:val="3EFD3638"/>
    <w:rsid w:val="3F1A4BB3"/>
    <w:rsid w:val="3F381EE7"/>
    <w:rsid w:val="3FA44527"/>
    <w:rsid w:val="40192BA6"/>
    <w:rsid w:val="409D35D9"/>
    <w:rsid w:val="40D41689"/>
    <w:rsid w:val="40D7128C"/>
    <w:rsid w:val="40F7192E"/>
    <w:rsid w:val="41766EA9"/>
    <w:rsid w:val="418D1865"/>
    <w:rsid w:val="41D852BC"/>
    <w:rsid w:val="42550A18"/>
    <w:rsid w:val="429D496A"/>
    <w:rsid w:val="42F473A1"/>
    <w:rsid w:val="435B77E3"/>
    <w:rsid w:val="43642140"/>
    <w:rsid w:val="437217EA"/>
    <w:rsid w:val="43AB7156"/>
    <w:rsid w:val="441E62C0"/>
    <w:rsid w:val="45325D14"/>
    <w:rsid w:val="45811C7C"/>
    <w:rsid w:val="45906116"/>
    <w:rsid w:val="45931B8C"/>
    <w:rsid w:val="459D4A93"/>
    <w:rsid w:val="45E17A03"/>
    <w:rsid w:val="45EF2552"/>
    <w:rsid w:val="46767799"/>
    <w:rsid w:val="46805F22"/>
    <w:rsid w:val="468B3EFB"/>
    <w:rsid w:val="469D4D26"/>
    <w:rsid w:val="470A6193"/>
    <w:rsid w:val="47385210"/>
    <w:rsid w:val="475510F8"/>
    <w:rsid w:val="477C098E"/>
    <w:rsid w:val="47DC4F5C"/>
    <w:rsid w:val="484A4A39"/>
    <w:rsid w:val="48B40671"/>
    <w:rsid w:val="491577CD"/>
    <w:rsid w:val="491D1353"/>
    <w:rsid w:val="499B5738"/>
    <w:rsid w:val="499F244D"/>
    <w:rsid w:val="49DA3B9B"/>
    <w:rsid w:val="4A873720"/>
    <w:rsid w:val="4A930919"/>
    <w:rsid w:val="4A973F3F"/>
    <w:rsid w:val="4ACB711A"/>
    <w:rsid w:val="4ADC6B14"/>
    <w:rsid w:val="4AF96BC7"/>
    <w:rsid w:val="4B580483"/>
    <w:rsid w:val="4B862A85"/>
    <w:rsid w:val="4C61104D"/>
    <w:rsid w:val="4C63474C"/>
    <w:rsid w:val="4CEF36E2"/>
    <w:rsid w:val="4CEF4DC5"/>
    <w:rsid w:val="4D7A32EE"/>
    <w:rsid w:val="4E257655"/>
    <w:rsid w:val="4EB659BA"/>
    <w:rsid w:val="4F0F70B3"/>
    <w:rsid w:val="4F146C1E"/>
    <w:rsid w:val="4F372380"/>
    <w:rsid w:val="4F372FFB"/>
    <w:rsid w:val="5025116D"/>
    <w:rsid w:val="5094437D"/>
    <w:rsid w:val="50B11EFC"/>
    <w:rsid w:val="5161458D"/>
    <w:rsid w:val="52395ECD"/>
    <w:rsid w:val="52604CFE"/>
    <w:rsid w:val="52792BAF"/>
    <w:rsid w:val="52C10D75"/>
    <w:rsid w:val="52D9353C"/>
    <w:rsid w:val="534265F0"/>
    <w:rsid w:val="53646A28"/>
    <w:rsid w:val="53990623"/>
    <w:rsid w:val="53C27FF8"/>
    <w:rsid w:val="547720F9"/>
    <w:rsid w:val="54806794"/>
    <w:rsid w:val="549E1A80"/>
    <w:rsid w:val="54C658F4"/>
    <w:rsid w:val="54C8262F"/>
    <w:rsid w:val="550C4BD7"/>
    <w:rsid w:val="554C1D56"/>
    <w:rsid w:val="55572986"/>
    <w:rsid w:val="559B68D4"/>
    <w:rsid w:val="56154C33"/>
    <w:rsid w:val="565340FA"/>
    <w:rsid w:val="56AD5F59"/>
    <w:rsid w:val="56C60774"/>
    <w:rsid w:val="56D4125D"/>
    <w:rsid w:val="571D6981"/>
    <w:rsid w:val="574341A9"/>
    <w:rsid w:val="57AD43EF"/>
    <w:rsid w:val="57B12A52"/>
    <w:rsid w:val="57C40364"/>
    <w:rsid w:val="588836A3"/>
    <w:rsid w:val="5996123D"/>
    <w:rsid w:val="5A2F2CC8"/>
    <w:rsid w:val="5A395A9B"/>
    <w:rsid w:val="5AB41FF9"/>
    <w:rsid w:val="5C10702D"/>
    <w:rsid w:val="5C152601"/>
    <w:rsid w:val="5C210B18"/>
    <w:rsid w:val="5C591F03"/>
    <w:rsid w:val="5C8A1B2F"/>
    <w:rsid w:val="5D107BA8"/>
    <w:rsid w:val="5D2378DB"/>
    <w:rsid w:val="5DA34E24"/>
    <w:rsid w:val="5DC66719"/>
    <w:rsid w:val="5E0E4759"/>
    <w:rsid w:val="5F13397F"/>
    <w:rsid w:val="5F561B72"/>
    <w:rsid w:val="5F711498"/>
    <w:rsid w:val="604B48CB"/>
    <w:rsid w:val="605018AB"/>
    <w:rsid w:val="606007BB"/>
    <w:rsid w:val="60AC7F66"/>
    <w:rsid w:val="61BF10D9"/>
    <w:rsid w:val="61DD6A38"/>
    <w:rsid w:val="627870F8"/>
    <w:rsid w:val="62AC22DC"/>
    <w:rsid w:val="62FD297C"/>
    <w:rsid w:val="63302D52"/>
    <w:rsid w:val="637D2142"/>
    <w:rsid w:val="63A22BFD"/>
    <w:rsid w:val="64B8315E"/>
    <w:rsid w:val="64E45EF7"/>
    <w:rsid w:val="65E23975"/>
    <w:rsid w:val="66320B8F"/>
    <w:rsid w:val="664E410B"/>
    <w:rsid w:val="66664CDC"/>
    <w:rsid w:val="6691014E"/>
    <w:rsid w:val="66C87CCE"/>
    <w:rsid w:val="670342D9"/>
    <w:rsid w:val="67401089"/>
    <w:rsid w:val="677435B2"/>
    <w:rsid w:val="67EF75F1"/>
    <w:rsid w:val="684F4F11"/>
    <w:rsid w:val="68EA02F4"/>
    <w:rsid w:val="68EA54C9"/>
    <w:rsid w:val="69124F16"/>
    <w:rsid w:val="69745C62"/>
    <w:rsid w:val="697F058F"/>
    <w:rsid w:val="698A469D"/>
    <w:rsid w:val="69B67D29"/>
    <w:rsid w:val="69CD5C14"/>
    <w:rsid w:val="69CF0D33"/>
    <w:rsid w:val="6A8E3FBB"/>
    <w:rsid w:val="6B364C7D"/>
    <w:rsid w:val="6B9946B3"/>
    <w:rsid w:val="6B9D6AAA"/>
    <w:rsid w:val="6BE518DA"/>
    <w:rsid w:val="6C276F3A"/>
    <w:rsid w:val="6C7007C7"/>
    <w:rsid w:val="6C7E0DD5"/>
    <w:rsid w:val="6C903D89"/>
    <w:rsid w:val="6CC52BED"/>
    <w:rsid w:val="6DE76850"/>
    <w:rsid w:val="6E50156F"/>
    <w:rsid w:val="6E583C93"/>
    <w:rsid w:val="6E971ED7"/>
    <w:rsid w:val="6F017CEE"/>
    <w:rsid w:val="6F7E01B4"/>
    <w:rsid w:val="6FB20BD4"/>
    <w:rsid w:val="6FBA59BE"/>
    <w:rsid w:val="6FC353C0"/>
    <w:rsid w:val="70296B3E"/>
    <w:rsid w:val="7042355C"/>
    <w:rsid w:val="70611204"/>
    <w:rsid w:val="709223F1"/>
    <w:rsid w:val="70CF2676"/>
    <w:rsid w:val="712A66B5"/>
    <w:rsid w:val="7165620F"/>
    <w:rsid w:val="717039F8"/>
    <w:rsid w:val="720D24B0"/>
    <w:rsid w:val="722515A8"/>
    <w:rsid w:val="72D17E98"/>
    <w:rsid w:val="737065F3"/>
    <w:rsid w:val="73874D6C"/>
    <w:rsid w:val="74060D79"/>
    <w:rsid w:val="74160454"/>
    <w:rsid w:val="74D13AD5"/>
    <w:rsid w:val="74D379E1"/>
    <w:rsid w:val="74FA2C30"/>
    <w:rsid w:val="754C00D9"/>
    <w:rsid w:val="754D5C4B"/>
    <w:rsid w:val="759F5AD2"/>
    <w:rsid w:val="76225E9C"/>
    <w:rsid w:val="762F0C47"/>
    <w:rsid w:val="76771E97"/>
    <w:rsid w:val="768D60FE"/>
    <w:rsid w:val="76C240A7"/>
    <w:rsid w:val="76DA416A"/>
    <w:rsid w:val="77045CD8"/>
    <w:rsid w:val="770D6FA6"/>
    <w:rsid w:val="77453517"/>
    <w:rsid w:val="775246B7"/>
    <w:rsid w:val="781E69D1"/>
    <w:rsid w:val="789631FF"/>
    <w:rsid w:val="7901747F"/>
    <w:rsid w:val="79B966E4"/>
    <w:rsid w:val="7A173ECC"/>
    <w:rsid w:val="7A263B6B"/>
    <w:rsid w:val="7AC724DB"/>
    <w:rsid w:val="7AF46346"/>
    <w:rsid w:val="7B0F5EBF"/>
    <w:rsid w:val="7B130FB9"/>
    <w:rsid w:val="7BD71E38"/>
    <w:rsid w:val="7BF64EDE"/>
    <w:rsid w:val="7C2A25DC"/>
    <w:rsid w:val="7C400C1E"/>
    <w:rsid w:val="7C5C1679"/>
    <w:rsid w:val="7CF76087"/>
    <w:rsid w:val="7D077306"/>
    <w:rsid w:val="7D256900"/>
    <w:rsid w:val="7D8130EC"/>
    <w:rsid w:val="7DD11708"/>
    <w:rsid w:val="7DEE4A4F"/>
    <w:rsid w:val="7DF960D0"/>
    <w:rsid w:val="7E896C87"/>
    <w:rsid w:val="7E9C2DF1"/>
    <w:rsid w:val="7EAE6230"/>
    <w:rsid w:val="7EBD579E"/>
    <w:rsid w:val="7EC167BD"/>
    <w:rsid w:val="7ECE50AC"/>
    <w:rsid w:val="7EF552B9"/>
    <w:rsid w:val="7EFD5959"/>
    <w:rsid w:val="7F272D9E"/>
    <w:rsid w:val="7F4F6F92"/>
    <w:rsid w:val="7F6559E8"/>
    <w:rsid w:val="7F914569"/>
    <w:rsid w:val="7FAF1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nhideWhenUsed="0" w:uiPriority="0" w:semiHidden="0"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40"/>
    <w:qFormat/>
    <w:uiPriority w:val="9"/>
    <w:pPr>
      <w:keepNext/>
      <w:keepLines/>
      <w:spacing w:before="260" w:after="260" w:line="416" w:lineRule="auto"/>
      <w:outlineLvl w:val="2"/>
    </w:pPr>
    <w:rPr>
      <w:b/>
      <w:bCs/>
      <w:sz w:val="32"/>
      <w:szCs w:val="32"/>
    </w:rPr>
  </w:style>
  <w:style w:type="paragraph" w:styleId="5">
    <w:name w:val="heading 4"/>
    <w:basedOn w:val="1"/>
    <w:next w:val="1"/>
    <w:link w:val="41"/>
    <w:qFormat/>
    <w:uiPriority w:val="9"/>
    <w:pPr>
      <w:keepNext/>
      <w:keepLines/>
      <w:spacing w:before="280" w:after="290" w:line="374" w:lineRule="auto"/>
      <w:outlineLvl w:val="3"/>
    </w:pPr>
    <w:rPr>
      <w:rFonts w:ascii="Cambria" w:hAnsi="Cambria"/>
      <w:b/>
      <w:bCs/>
      <w:sz w:val="28"/>
      <w:szCs w:val="28"/>
    </w:rPr>
  </w:style>
  <w:style w:type="paragraph" w:styleId="6">
    <w:name w:val="heading 5"/>
    <w:basedOn w:val="1"/>
    <w:next w:val="7"/>
    <w:link w:val="42"/>
    <w:qFormat/>
    <w:uiPriority w:val="9"/>
    <w:pPr>
      <w:keepNext/>
      <w:keepLines/>
      <w:spacing w:before="280" w:after="290" w:line="376" w:lineRule="auto"/>
      <w:outlineLvl w:val="4"/>
    </w:pPr>
    <w:rPr>
      <w:b/>
      <w:bCs/>
      <w:sz w:val="28"/>
      <w:szCs w:val="28"/>
    </w:rPr>
  </w:style>
  <w:style w:type="paragraph" w:styleId="8">
    <w:name w:val="heading 7"/>
    <w:basedOn w:val="1"/>
    <w:next w:val="1"/>
    <w:link w:val="43"/>
    <w:qFormat/>
    <w:uiPriority w:val="0"/>
    <w:pPr>
      <w:keepNext/>
      <w:keepLines/>
      <w:spacing w:before="240" w:after="64" w:line="320" w:lineRule="auto"/>
      <w:outlineLvl w:val="6"/>
    </w:pPr>
    <w:rPr>
      <w:b/>
      <w:bCs/>
      <w:sz w:val="24"/>
    </w:rPr>
  </w:style>
  <w:style w:type="paragraph" w:styleId="9">
    <w:name w:val="heading 8"/>
    <w:basedOn w:val="1"/>
    <w:next w:val="1"/>
    <w:link w:val="44"/>
    <w:qFormat/>
    <w:uiPriority w:val="0"/>
    <w:pPr>
      <w:keepNext/>
      <w:keepLines/>
      <w:spacing w:before="240" w:after="64" w:line="320" w:lineRule="auto"/>
      <w:outlineLvl w:val="7"/>
    </w:pPr>
    <w:rPr>
      <w:rFonts w:ascii="等线 Light" w:hAnsi="等线 Light" w:eastAsia="等线 Light"/>
      <w:sz w:val="24"/>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0">
    <w:name w:val="index 8"/>
    <w:basedOn w:val="1"/>
    <w:next w:val="1"/>
    <w:unhideWhenUsed/>
    <w:qFormat/>
    <w:uiPriority w:val="99"/>
    <w:pPr>
      <w:ind w:left="1400" w:leftChars="1400"/>
    </w:pPr>
  </w:style>
  <w:style w:type="paragraph" w:styleId="11">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2">
    <w:name w:val="annotation text"/>
    <w:basedOn w:val="1"/>
    <w:link w:val="45"/>
    <w:qFormat/>
    <w:uiPriority w:val="0"/>
    <w:pPr>
      <w:jc w:val="left"/>
    </w:pPr>
  </w:style>
  <w:style w:type="paragraph" w:styleId="13">
    <w:name w:val="Body Text 3"/>
    <w:basedOn w:val="1"/>
    <w:link w:val="46"/>
    <w:unhideWhenUsed/>
    <w:qFormat/>
    <w:uiPriority w:val="99"/>
    <w:pPr>
      <w:spacing w:after="120"/>
    </w:pPr>
    <w:rPr>
      <w:sz w:val="16"/>
      <w:szCs w:val="16"/>
    </w:rPr>
  </w:style>
  <w:style w:type="paragraph" w:styleId="14">
    <w:name w:val="Body Text"/>
    <w:basedOn w:val="1"/>
    <w:link w:val="47"/>
    <w:unhideWhenUsed/>
    <w:qFormat/>
    <w:uiPriority w:val="1"/>
    <w:pPr>
      <w:spacing w:after="120"/>
    </w:pPr>
  </w:style>
  <w:style w:type="paragraph" w:styleId="15">
    <w:name w:val="Body Text Indent"/>
    <w:basedOn w:val="1"/>
    <w:next w:val="16"/>
    <w:link w:val="48"/>
    <w:qFormat/>
    <w:uiPriority w:val="0"/>
    <w:pPr>
      <w:ind w:firstLine="830" w:firstLineChars="352"/>
    </w:pPr>
    <w:rPr>
      <w:rFonts w:ascii="仿宋_GB2312" w:eastAsia="仿宋_GB2312"/>
      <w:kern w:val="0"/>
      <w:sz w:val="32"/>
      <w:szCs w:val="20"/>
    </w:rPr>
  </w:style>
  <w:style w:type="paragraph" w:styleId="16">
    <w:name w:val="envelope return"/>
    <w:basedOn w:val="1"/>
    <w:qFormat/>
    <w:uiPriority w:val="99"/>
    <w:pPr>
      <w:snapToGrid w:val="0"/>
    </w:pPr>
    <w:rPr>
      <w:rFonts w:ascii="Arial" w:hAnsi="Arial" w:cs="Arial"/>
    </w:rPr>
  </w:style>
  <w:style w:type="paragraph" w:styleId="17">
    <w:name w:val="List 2"/>
    <w:basedOn w:val="1"/>
    <w:unhideWhenUsed/>
    <w:qFormat/>
    <w:uiPriority w:val="99"/>
    <w:pPr>
      <w:ind w:left="100" w:leftChars="200" w:hanging="200" w:hangingChars="200"/>
      <w:contextualSpacing/>
    </w:pPr>
  </w:style>
  <w:style w:type="paragraph" w:styleId="18">
    <w:name w:val="Plain Text"/>
    <w:basedOn w:val="1"/>
    <w:next w:val="10"/>
    <w:link w:val="49"/>
    <w:qFormat/>
    <w:uiPriority w:val="0"/>
    <w:rPr>
      <w:rFonts w:ascii="宋体" w:hAnsi="Courier New"/>
      <w:kern w:val="0"/>
      <w:sz w:val="20"/>
      <w:szCs w:val="21"/>
    </w:rPr>
  </w:style>
  <w:style w:type="paragraph" w:styleId="19">
    <w:name w:val="Date"/>
    <w:basedOn w:val="1"/>
    <w:next w:val="1"/>
    <w:link w:val="50"/>
    <w:unhideWhenUsed/>
    <w:qFormat/>
    <w:uiPriority w:val="99"/>
    <w:pPr>
      <w:ind w:left="100" w:leftChars="2500"/>
    </w:pPr>
  </w:style>
  <w:style w:type="paragraph" w:styleId="20">
    <w:name w:val="Balloon Text"/>
    <w:basedOn w:val="1"/>
    <w:link w:val="51"/>
    <w:qFormat/>
    <w:uiPriority w:val="99"/>
    <w:rPr>
      <w:sz w:val="18"/>
      <w:szCs w:val="18"/>
    </w:rPr>
  </w:style>
  <w:style w:type="paragraph" w:styleId="21">
    <w:name w:val="footer"/>
    <w:basedOn w:val="1"/>
    <w:link w:val="52"/>
    <w:unhideWhenUsed/>
    <w:qFormat/>
    <w:uiPriority w:val="99"/>
    <w:pPr>
      <w:tabs>
        <w:tab w:val="center" w:pos="4153"/>
        <w:tab w:val="right" w:pos="8306"/>
      </w:tabs>
      <w:snapToGrid w:val="0"/>
      <w:jc w:val="left"/>
    </w:pPr>
    <w:rPr>
      <w:kern w:val="0"/>
      <w:sz w:val="18"/>
      <w:szCs w:val="18"/>
    </w:rPr>
  </w:style>
  <w:style w:type="paragraph" w:styleId="22">
    <w:name w:val="header"/>
    <w:basedOn w:val="1"/>
    <w:link w:val="53"/>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3">
    <w:name w:val="toc 1"/>
    <w:basedOn w:val="1"/>
    <w:next w:val="1"/>
    <w:unhideWhenUsed/>
    <w:qFormat/>
    <w:uiPriority w:val="39"/>
  </w:style>
  <w:style w:type="paragraph" w:styleId="24">
    <w:name w:val="toc 2"/>
    <w:basedOn w:val="1"/>
    <w:next w:val="1"/>
    <w:unhideWhenUsed/>
    <w:qFormat/>
    <w:uiPriority w:val="39"/>
    <w:pPr>
      <w:tabs>
        <w:tab w:val="right" w:leader="dot" w:pos="8296"/>
      </w:tabs>
      <w:ind w:left="420" w:leftChars="200"/>
    </w:pPr>
  </w:style>
  <w:style w:type="paragraph" w:styleId="25">
    <w:name w:val="Normal (Web)"/>
    <w:basedOn w:val="1"/>
    <w:unhideWhenUsed/>
    <w:qFormat/>
    <w:uiPriority w:val="99"/>
    <w:rPr>
      <w:rFonts w:ascii="Calibri" w:hAnsi="Calibri"/>
      <w:kern w:val="0"/>
      <w:sz w:val="24"/>
    </w:rPr>
  </w:style>
  <w:style w:type="paragraph" w:styleId="26">
    <w:name w:val="annotation subject"/>
    <w:basedOn w:val="12"/>
    <w:next w:val="12"/>
    <w:link w:val="54"/>
    <w:qFormat/>
    <w:uiPriority w:val="99"/>
    <w:rPr>
      <w:b/>
      <w:bCs/>
    </w:rPr>
  </w:style>
  <w:style w:type="paragraph" w:styleId="27">
    <w:name w:val="Body Text First Indent 2"/>
    <w:basedOn w:val="15"/>
    <w:link w:val="55"/>
    <w:unhideWhenUsed/>
    <w:qFormat/>
    <w:uiPriority w:val="99"/>
    <w:pPr>
      <w:ind w:firstLine="420" w:firstLineChars="200"/>
    </w:pPr>
  </w:style>
  <w:style w:type="table" w:styleId="29">
    <w:name w:val="Table Grid"/>
    <w:basedOn w:val="2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1">
    <w:name w:val="Strong"/>
    <w:qFormat/>
    <w:uiPriority w:val="22"/>
    <w:rPr>
      <w:b/>
      <w:bCs/>
    </w:rPr>
  </w:style>
  <w:style w:type="character" w:styleId="32">
    <w:name w:val="endnote reference"/>
    <w:unhideWhenUsed/>
    <w:qFormat/>
    <w:uiPriority w:val="99"/>
    <w:rPr>
      <w:vertAlign w:val="superscript"/>
    </w:rPr>
  </w:style>
  <w:style w:type="character" w:styleId="33">
    <w:name w:val="page number"/>
    <w:qFormat/>
    <w:uiPriority w:val="0"/>
  </w:style>
  <w:style w:type="character" w:styleId="34">
    <w:name w:val="FollowedHyperlink"/>
    <w:unhideWhenUsed/>
    <w:qFormat/>
    <w:uiPriority w:val="99"/>
    <w:rPr>
      <w:color w:val="954F72"/>
      <w:u w:val="single"/>
    </w:rPr>
  </w:style>
  <w:style w:type="character" w:styleId="35">
    <w:name w:val="Emphasis"/>
    <w:basedOn w:val="30"/>
    <w:qFormat/>
    <w:uiPriority w:val="20"/>
    <w:rPr>
      <w:i/>
    </w:rPr>
  </w:style>
  <w:style w:type="character" w:styleId="36">
    <w:name w:val="Hyperlink"/>
    <w:unhideWhenUsed/>
    <w:qFormat/>
    <w:uiPriority w:val="99"/>
    <w:rPr>
      <w:color w:val="0000FF"/>
      <w:u w:val="single"/>
    </w:rPr>
  </w:style>
  <w:style w:type="character" w:styleId="37">
    <w:name w:val="annotation reference"/>
    <w:qFormat/>
    <w:uiPriority w:val="0"/>
    <w:rPr>
      <w:sz w:val="21"/>
      <w:szCs w:val="21"/>
    </w:rPr>
  </w:style>
  <w:style w:type="character" w:customStyle="1" w:styleId="38">
    <w:name w:val="标题 1 字符3"/>
    <w:link w:val="2"/>
    <w:qFormat/>
    <w:uiPriority w:val="9"/>
    <w:rPr>
      <w:b/>
      <w:bCs/>
      <w:kern w:val="44"/>
      <w:sz w:val="44"/>
      <w:szCs w:val="44"/>
    </w:rPr>
  </w:style>
  <w:style w:type="character" w:customStyle="1" w:styleId="39">
    <w:name w:val="标题 2 字符2"/>
    <w:link w:val="3"/>
    <w:qFormat/>
    <w:uiPriority w:val="0"/>
    <w:rPr>
      <w:rFonts w:ascii="Cambria" w:hAnsi="Cambria" w:eastAsia="宋体" w:cs="Times New Roman"/>
      <w:b/>
      <w:bCs/>
      <w:kern w:val="2"/>
      <w:sz w:val="32"/>
      <w:szCs w:val="32"/>
    </w:rPr>
  </w:style>
  <w:style w:type="character" w:customStyle="1" w:styleId="40">
    <w:name w:val="标题 3 字符2"/>
    <w:link w:val="4"/>
    <w:qFormat/>
    <w:uiPriority w:val="9"/>
    <w:rPr>
      <w:b/>
      <w:bCs/>
      <w:kern w:val="2"/>
      <w:sz w:val="32"/>
      <w:szCs w:val="32"/>
    </w:rPr>
  </w:style>
  <w:style w:type="character" w:customStyle="1" w:styleId="41">
    <w:name w:val="标题 4 字符2"/>
    <w:link w:val="5"/>
    <w:qFormat/>
    <w:uiPriority w:val="9"/>
    <w:rPr>
      <w:rFonts w:ascii="Cambria" w:hAnsi="Cambria" w:cs="宋体"/>
      <w:b/>
      <w:bCs/>
      <w:kern w:val="2"/>
      <w:sz w:val="28"/>
      <w:szCs w:val="28"/>
    </w:rPr>
  </w:style>
  <w:style w:type="character" w:customStyle="1" w:styleId="42">
    <w:name w:val="标题 5 字符2"/>
    <w:link w:val="6"/>
    <w:qFormat/>
    <w:uiPriority w:val="9"/>
    <w:rPr>
      <w:rFonts w:ascii="Times New Roman" w:hAnsi="Times New Roman"/>
      <w:b/>
      <w:bCs/>
      <w:kern w:val="2"/>
      <w:sz w:val="28"/>
      <w:szCs w:val="28"/>
    </w:rPr>
  </w:style>
  <w:style w:type="character" w:customStyle="1" w:styleId="43">
    <w:name w:val="标题 7 字符2"/>
    <w:link w:val="8"/>
    <w:qFormat/>
    <w:uiPriority w:val="0"/>
    <w:rPr>
      <w:b/>
      <w:bCs/>
      <w:kern w:val="2"/>
      <w:sz w:val="24"/>
      <w:szCs w:val="24"/>
    </w:rPr>
  </w:style>
  <w:style w:type="character" w:customStyle="1" w:styleId="44">
    <w:name w:val="标题 8 字符2"/>
    <w:link w:val="9"/>
    <w:qFormat/>
    <w:uiPriority w:val="0"/>
    <w:rPr>
      <w:rFonts w:ascii="等线 Light" w:hAnsi="等线 Light" w:eastAsia="等线 Light" w:cs="Times New Roman"/>
      <w:kern w:val="2"/>
      <w:sz w:val="24"/>
      <w:szCs w:val="24"/>
    </w:rPr>
  </w:style>
  <w:style w:type="character" w:customStyle="1" w:styleId="45">
    <w:name w:val="批注文字 字符3"/>
    <w:link w:val="12"/>
    <w:qFormat/>
    <w:uiPriority w:val="0"/>
    <w:rPr>
      <w:rFonts w:ascii="Times New Roman" w:hAnsi="Times New Roman"/>
      <w:kern w:val="2"/>
      <w:sz w:val="21"/>
      <w:szCs w:val="24"/>
    </w:rPr>
  </w:style>
  <w:style w:type="character" w:customStyle="1" w:styleId="46">
    <w:name w:val="正文文本 3 字符2"/>
    <w:link w:val="13"/>
    <w:qFormat/>
    <w:uiPriority w:val="99"/>
    <w:rPr>
      <w:kern w:val="2"/>
      <w:sz w:val="16"/>
      <w:szCs w:val="16"/>
    </w:rPr>
  </w:style>
  <w:style w:type="character" w:customStyle="1" w:styleId="47">
    <w:name w:val="正文文本 字符2"/>
    <w:link w:val="14"/>
    <w:qFormat/>
    <w:uiPriority w:val="1"/>
    <w:rPr>
      <w:rFonts w:ascii="Times New Roman" w:hAnsi="Times New Roman"/>
      <w:kern w:val="2"/>
      <w:sz w:val="21"/>
      <w:szCs w:val="24"/>
    </w:rPr>
  </w:style>
  <w:style w:type="character" w:customStyle="1" w:styleId="48">
    <w:name w:val="正文文本缩进 字符2"/>
    <w:link w:val="15"/>
    <w:qFormat/>
    <w:uiPriority w:val="0"/>
    <w:rPr>
      <w:rFonts w:ascii="仿宋_GB2312" w:hAnsi="Times New Roman" w:eastAsia="仿宋_GB2312" w:cs="Times New Roman"/>
      <w:sz w:val="32"/>
      <w:szCs w:val="20"/>
    </w:rPr>
  </w:style>
  <w:style w:type="character" w:customStyle="1" w:styleId="49">
    <w:name w:val="纯文本 字符4"/>
    <w:link w:val="18"/>
    <w:qFormat/>
    <w:uiPriority w:val="0"/>
    <w:rPr>
      <w:rFonts w:ascii="宋体" w:hAnsi="Courier New" w:eastAsia="宋体" w:cs="Courier New"/>
      <w:szCs w:val="21"/>
    </w:rPr>
  </w:style>
  <w:style w:type="character" w:customStyle="1" w:styleId="50">
    <w:name w:val="日期 字符2"/>
    <w:link w:val="19"/>
    <w:qFormat/>
    <w:uiPriority w:val="99"/>
    <w:rPr>
      <w:rFonts w:ascii="Times New Roman" w:hAnsi="Times New Roman"/>
      <w:kern w:val="2"/>
      <w:sz w:val="21"/>
      <w:szCs w:val="24"/>
    </w:rPr>
  </w:style>
  <w:style w:type="character" w:customStyle="1" w:styleId="51">
    <w:name w:val="批注框文本 字符2"/>
    <w:link w:val="20"/>
    <w:qFormat/>
    <w:uiPriority w:val="99"/>
    <w:rPr>
      <w:kern w:val="2"/>
      <w:sz w:val="18"/>
      <w:szCs w:val="18"/>
    </w:rPr>
  </w:style>
  <w:style w:type="character" w:customStyle="1" w:styleId="52">
    <w:name w:val="页脚 字符2"/>
    <w:link w:val="21"/>
    <w:qFormat/>
    <w:uiPriority w:val="99"/>
    <w:rPr>
      <w:sz w:val="18"/>
      <w:szCs w:val="18"/>
    </w:rPr>
  </w:style>
  <w:style w:type="character" w:customStyle="1" w:styleId="53">
    <w:name w:val="页眉 字符2"/>
    <w:link w:val="22"/>
    <w:qFormat/>
    <w:uiPriority w:val="0"/>
    <w:rPr>
      <w:sz w:val="18"/>
      <w:szCs w:val="18"/>
    </w:rPr>
  </w:style>
  <w:style w:type="character" w:customStyle="1" w:styleId="54">
    <w:name w:val="批注主题 字符2"/>
    <w:link w:val="26"/>
    <w:qFormat/>
    <w:uiPriority w:val="99"/>
    <w:rPr>
      <w:rFonts w:ascii="Times New Roman" w:hAnsi="Times New Roman"/>
      <w:b/>
      <w:bCs/>
      <w:kern w:val="2"/>
      <w:sz w:val="21"/>
      <w:szCs w:val="24"/>
    </w:rPr>
  </w:style>
  <w:style w:type="character" w:customStyle="1" w:styleId="55">
    <w:name w:val="正文文本首行缩进 2 字符"/>
    <w:link w:val="27"/>
    <w:qFormat/>
    <w:uiPriority w:val="99"/>
    <w:rPr>
      <w:rFonts w:ascii="仿宋_GB2312" w:eastAsia="仿宋_GB2312"/>
      <w:sz w:val="32"/>
    </w:rPr>
  </w:style>
  <w:style w:type="character" w:customStyle="1" w:styleId="56">
    <w:name w:val="标题 1 字符1"/>
    <w:qFormat/>
    <w:uiPriority w:val="0"/>
    <w:rPr>
      <w:b/>
      <w:bCs/>
      <w:kern w:val="44"/>
      <w:sz w:val="44"/>
      <w:szCs w:val="44"/>
    </w:rPr>
  </w:style>
  <w:style w:type="character" w:customStyle="1" w:styleId="57">
    <w:name w:val="textcontents"/>
    <w:qFormat/>
    <w:uiPriority w:val="0"/>
  </w:style>
  <w:style w:type="character" w:customStyle="1" w:styleId="58">
    <w:name w:val="批注文字 Char"/>
    <w:qFormat/>
    <w:uiPriority w:val="0"/>
    <w:rPr>
      <w:rFonts w:ascii="Times New Roman" w:hAnsi="Times New Roman"/>
      <w:kern w:val="2"/>
      <w:sz w:val="21"/>
      <w:szCs w:val="24"/>
    </w:rPr>
  </w:style>
  <w:style w:type="character" w:customStyle="1" w:styleId="59">
    <w:name w:val="纯文本 字符"/>
    <w:qFormat/>
    <w:uiPriority w:val="0"/>
    <w:rPr>
      <w:rFonts w:ascii="宋体" w:hAnsi="Courier New" w:eastAsia="宋体" w:cs="Courier New"/>
      <w:szCs w:val="21"/>
    </w:rPr>
  </w:style>
  <w:style w:type="character" w:customStyle="1" w:styleId="60">
    <w:name w:val="纯文本 Char"/>
    <w:qFormat/>
    <w:uiPriority w:val="0"/>
    <w:rPr>
      <w:rFonts w:ascii="宋体" w:hAnsi="Courier New" w:eastAsia="宋体" w:cs="Courier New"/>
      <w:szCs w:val="21"/>
    </w:rPr>
  </w:style>
  <w:style w:type="character" w:customStyle="1" w:styleId="61">
    <w:name w:val="纯文本 字符2"/>
    <w:qFormat/>
    <w:uiPriority w:val="0"/>
    <w:rPr>
      <w:rFonts w:ascii="宋体" w:hAnsi="Courier New" w:eastAsia="宋体" w:cs="Courier New"/>
      <w:szCs w:val="21"/>
    </w:rPr>
  </w:style>
  <w:style w:type="character" w:customStyle="1" w:styleId="62">
    <w:name w:val="批注文字 字符1"/>
    <w:qFormat/>
    <w:uiPriority w:val="0"/>
    <w:rPr>
      <w:rFonts w:ascii="Times New Roman" w:hAnsi="Times New Roman"/>
      <w:kern w:val="2"/>
      <w:sz w:val="21"/>
      <w:szCs w:val="24"/>
    </w:rPr>
  </w:style>
  <w:style w:type="character" w:customStyle="1" w:styleId="63">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4">
    <w:name w:val="纯文本 字符1"/>
    <w:qFormat/>
    <w:uiPriority w:val="0"/>
    <w:rPr>
      <w:rFonts w:ascii="宋体" w:hAnsi="Courier New"/>
    </w:rPr>
  </w:style>
  <w:style w:type="character" w:customStyle="1" w:styleId="65">
    <w:name w:val="正文文本 Char"/>
    <w:qFormat/>
    <w:uiPriority w:val="0"/>
    <w:rPr>
      <w:rFonts w:ascii="Times New Roman" w:hAnsi="Times New Roman"/>
      <w:kern w:val="2"/>
      <w:sz w:val="21"/>
      <w:szCs w:val="24"/>
    </w:rPr>
  </w:style>
  <w:style w:type="character" w:customStyle="1" w:styleId="66">
    <w:name w:val="批注文字 字符"/>
    <w:qFormat/>
    <w:uiPriority w:val="0"/>
    <w:rPr>
      <w:rFonts w:ascii="Times New Roman" w:hAnsi="Times New Roman"/>
      <w:kern w:val="2"/>
      <w:sz w:val="21"/>
      <w:szCs w:val="24"/>
    </w:rPr>
  </w:style>
  <w:style w:type="character" w:customStyle="1" w:styleId="67">
    <w:name w:val="标题 2 Char"/>
    <w:qFormat/>
    <w:uiPriority w:val="0"/>
    <w:rPr>
      <w:rFonts w:ascii="Cambria" w:hAnsi="Cambria" w:eastAsia="宋体" w:cs="Times New Roman"/>
      <w:b/>
      <w:bCs/>
      <w:kern w:val="2"/>
      <w:sz w:val="32"/>
      <w:szCs w:val="32"/>
    </w:rPr>
  </w:style>
  <w:style w:type="character" w:customStyle="1" w:styleId="68">
    <w:name w:val="标题 8 Char"/>
    <w:qFormat/>
    <w:uiPriority w:val="9"/>
    <w:rPr>
      <w:rFonts w:ascii="Arial" w:hAnsi="Arial" w:eastAsia="黑体"/>
      <w:kern w:val="2"/>
      <w:sz w:val="24"/>
      <w:szCs w:val="24"/>
    </w:rPr>
  </w:style>
  <w:style w:type="character" w:customStyle="1" w:styleId="69">
    <w:name w:val="apple-style-span"/>
    <w:qFormat/>
    <w:uiPriority w:val="0"/>
  </w:style>
  <w:style w:type="paragraph" w:customStyle="1" w:styleId="70">
    <w:name w:val="默认段落字体 Para Char Char Char Char Char Char Char Char Char1 Char Char Char Char"/>
    <w:basedOn w:val="1"/>
    <w:qFormat/>
    <w:uiPriority w:val="0"/>
    <w:rPr>
      <w:rFonts w:ascii="Tahoma" w:hAnsi="Tahoma"/>
      <w:sz w:val="24"/>
      <w:szCs w:val="20"/>
    </w:rPr>
  </w:style>
  <w:style w:type="paragraph" w:customStyle="1" w:styleId="71">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styleId="72">
    <w:name w:val="List Paragraph"/>
    <w:basedOn w:val="1"/>
    <w:qFormat/>
    <w:uiPriority w:val="34"/>
    <w:pPr>
      <w:ind w:firstLine="420" w:firstLineChars="200"/>
    </w:pPr>
  </w:style>
  <w:style w:type="paragraph" w:customStyle="1" w:styleId="73">
    <w:name w:val="Table Paragraph"/>
    <w:basedOn w:val="1"/>
    <w:qFormat/>
    <w:uiPriority w:val="1"/>
    <w:pPr>
      <w:jc w:val="left"/>
    </w:pPr>
    <w:rPr>
      <w:rFonts w:ascii="Calibri" w:hAnsi="Calibri"/>
      <w:kern w:val="0"/>
      <w:sz w:val="22"/>
      <w:szCs w:val="22"/>
      <w:lang w:eastAsia="en-US"/>
    </w:rPr>
  </w:style>
  <w:style w:type="character" w:customStyle="1" w:styleId="74">
    <w:name w:val="正文文本 字符"/>
    <w:qFormat/>
    <w:uiPriority w:val="0"/>
    <w:rPr>
      <w:rFonts w:ascii="Times New Roman" w:hAnsi="Times New Roman"/>
      <w:kern w:val="2"/>
      <w:sz w:val="21"/>
      <w:szCs w:val="24"/>
    </w:rPr>
  </w:style>
  <w:style w:type="character" w:customStyle="1" w:styleId="75">
    <w:name w:val="批注文字 Char2"/>
    <w:qFormat/>
    <w:uiPriority w:val="0"/>
    <w:rPr>
      <w:rFonts w:ascii="Times New Roman" w:hAnsi="Times New Roman"/>
      <w:kern w:val="2"/>
      <w:sz w:val="21"/>
      <w:szCs w:val="24"/>
    </w:rPr>
  </w:style>
  <w:style w:type="character" w:customStyle="1" w:styleId="76">
    <w:name w:val="正文2 Char Char"/>
    <w:link w:val="77"/>
    <w:qFormat/>
    <w:uiPriority w:val="0"/>
    <w:rPr>
      <w:kern w:val="2"/>
      <w:sz w:val="24"/>
    </w:rPr>
  </w:style>
  <w:style w:type="paragraph" w:customStyle="1" w:styleId="77">
    <w:name w:val="正文2"/>
    <w:basedOn w:val="1"/>
    <w:link w:val="76"/>
    <w:qFormat/>
    <w:uiPriority w:val="0"/>
    <w:pPr>
      <w:adjustRightInd w:val="0"/>
      <w:spacing w:before="156" w:line="360" w:lineRule="auto"/>
      <w:ind w:firstLine="510" w:firstLineChars="200"/>
    </w:pPr>
    <w:rPr>
      <w:sz w:val="24"/>
      <w:szCs w:val="20"/>
    </w:rPr>
  </w:style>
  <w:style w:type="paragraph" w:customStyle="1" w:styleId="7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9">
    <w:name w:val="列出段落1"/>
    <w:basedOn w:val="1"/>
    <w:link w:val="80"/>
    <w:qFormat/>
    <w:uiPriority w:val="99"/>
    <w:pPr>
      <w:ind w:firstLine="420" w:firstLineChars="200"/>
    </w:pPr>
    <w:rPr>
      <w:szCs w:val="21"/>
    </w:rPr>
  </w:style>
  <w:style w:type="character" w:customStyle="1" w:styleId="80">
    <w:name w:val="列表段落 字符"/>
    <w:link w:val="79"/>
    <w:qFormat/>
    <w:locked/>
    <w:uiPriority w:val="99"/>
    <w:rPr>
      <w:kern w:val="2"/>
      <w:sz w:val="21"/>
      <w:szCs w:val="21"/>
    </w:rPr>
  </w:style>
  <w:style w:type="paragraph" w:customStyle="1" w:styleId="81">
    <w:name w:val="_Style 79"/>
    <w:unhideWhenUsed/>
    <w:qFormat/>
    <w:uiPriority w:val="99"/>
    <w:rPr>
      <w:rFonts w:ascii="Times New Roman" w:hAnsi="Times New Roman" w:eastAsia="宋体" w:cs="Times New Roman"/>
      <w:kern w:val="2"/>
      <w:sz w:val="21"/>
      <w:szCs w:val="24"/>
      <w:lang w:val="en-US" w:eastAsia="zh-CN" w:bidi="ar-SA"/>
    </w:rPr>
  </w:style>
  <w:style w:type="character" w:customStyle="1" w:styleId="82">
    <w:name w:val="批注文字 字符2"/>
    <w:qFormat/>
    <w:uiPriority w:val="0"/>
    <w:rPr>
      <w:kern w:val="2"/>
      <w:sz w:val="21"/>
      <w:szCs w:val="24"/>
    </w:rPr>
  </w:style>
  <w:style w:type="character" w:customStyle="1" w:styleId="83">
    <w:name w:val="标题 3 字符"/>
    <w:qFormat/>
    <w:uiPriority w:val="9"/>
    <w:rPr>
      <w:b/>
      <w:bCs/>
      <w:kern w:val="2"/>
      <w:sz w:val="32"/>
      <w:szCs w:val="32"/>
    </w:rPr>
  </w:style>
  <w:style w:type="character" w:customStyle="1" w:styleId="84">
    <w:name w:val="标题 4 字符"/>
    <w:qFormat/>
    <w:uiPriority w:val="9"/>
    <w:rPr>
      <w:rFonts w:ascii="等线 Light" w:hAnsi="等线 Light" w:eastAsia="等线 Light" w:cs="Times New Roman"/>
      <w:b/>
      <w:bCs/>
      <w:kern w:val="2"/>
      <w:sz w:val="28"/>
      <w:szCs w:val="28"/>
    </w:rPr>
  </w:style>
  <w:style w:type="character" w:customStyle="1" w:styleId="85">
    <w:name w:val="标题 7 字符"/>
    <w:qFormat/>
    <w:uiPriority w:val="0"/>
    <w:rPr>
      <w:b/>
      <w:bCs/>
      <w:kern w:val="2"/>
      <w:sz w:val="24"/>
      <w:szCs w:val="24"/>
    </w:rPr>
  </w:style>
  <w:style w:type="character" w:customStyle="1" w:styleId="86">
    <w:name w:val="标题 1 字符"/>
    <w:qFormat/>
    <w:uiPriority w:val="9"/>
    <w:rPr>
      <w:b/>
      <w:bCs/>
      <w:kern w:val="44"/>
      <w:sz w:val="44"/>
      <w:szCs w:val="44"/>
    </w:rPr>
  </w:style>
  <w:style w:type="character" w:customStyle="1" w:styleId="87">
    <w:name w:val="标题 2 字符"/>
    <w:qFormat/>
    <w:uiPriority w:val="9"/>
    <w:rPr>
      <w:rFonts w:ascii="等线 Light" w:hAnsi="等线 Light" w:eastAsia="等线 Light" w:cs="Times New Roman"/>
      <w:b/>
      <w:bCs/>
      <w:kern w:val="2"/>
      <w:sz w:val="32"/>
      <w:szCs w:val="32"/>
    </w:rPr>
  </w:style>
  <w:style w:type="character" w:customStyle="1" w:styleId="88">
    <w:name w:val="标题 5 字符"/>
    <w:qFormat/>
    <w:uiPriority w:val="9"/>
    <w:rPr>
      <w:b/>
      <w:bCs/>
      <w:kern w:val="2"/>
      <w:sz w:val="28"/>
      <w:szCs w:val="28"/>
    </w:rPr>
  </w:style>
  <w:style w:type="character" w:customStyle="1" w:styleId="89">
    <w:name w:val="标题 8 字符"/>
    <w:qFormat/>
    <w:uiPriority w:val="9"/>
    <w:rPr>
      <w:rFonts w:ascii="等线 Light" w:hAnsi="等线 Light" w:eastAsia="等线 Light" w:cs="Times New Roman"/>
      <w:kern w:val="2"/>
      <w:sz w:val="24"/>
      <w:szCs w:val="24"/>
    </w:rPr>
  </w:style>
  <w:style w:type="character" w:customStyle="1" w:styleId="90">
    <w:name w:val="标题 1 Char2"/>
    <w:qFormat/>
    <w:uiPriority w:val="0"/>
    <w:rPr>
      <w:b/>
      <w:bCs/>
      <w:kern w:val="44"/>
      <w:sz w:val="44"/>
      <w:szCs w:val="44"/>
    </w:rPr>
  </w:style>
  <w:style w:type="character" w:customStyle="1" w:styleId="91">
    <w:name w:val="标题 2 Char2"/>
    <w:qFormat/>
    <w:uiPriority w:val="9"/>
    <w:rPr>
      <w:rFonts w:ascii="Cambria" w:hAnsi="Cambria"/>
      <w:b/>
      <w:bCs/>
      <w:kern w:val="2"/>
      <w:sz w:val="32"/>
      <w:szCs w:val="32"/>
    </w:rPr>
  </w:style>
  <w:style w:type="character" w:customStyle="1" w:styleId="92">
    <w:name w:val="标题 5 Char1"/>
    <w:qFormat/>
    <w:uiPriority w:val="9"/>
    <w:rPr>
      <w:b/>
      <w:bCs/>
      <w:kern w:val="2"/>
      <w:sz w:val="28"/>
      <w:szCs w:val="28"/>
    </w:rPr>
  </w:style>
  <w:style w:type="character" w:customStyle="1" w:styleId="93">
    <w:name w:val="标题 8 Char2"/>
    <w:qFormat/>
    <w:uiPriority w:val="9"/>
    <w:rPr>
      <w:rFonts w:ascii="等线 Light" w:hAnsi="等线 Light" w:eastAsia="等线 Light"/>
      <w:kern w:val="2"/>
      <w:sz w:val="24"/>
      <w:szCs w:val="24"/>
    </w:rPr>
  </w:style>
  <w:style w:type="character" w:customStyle="1" w:styleId="94">
    <w:name w:val="批注文字 Char4"/>
    <w:qFormat/>
    <w:uiPriority w:val="0"/>
    <w:rPr>
      <w:kern w:val="2"/>
      <w:sz w:val="21"/>
      <w:szCs w:val="24"/>
    </w:rPr>
  </w:style>
  <w:style w:type="character" w:customStyle="1" w:styleId="95">
    <w:name w:val="正文文本 3 字符"/>
    <w:qFormat/>
    <w:uiPriority w:val="99"/>
    <w:rPr>
      <w:kern w:val="2"/>
      <w:sz w:val="16"/>
      <w:szCs w:val="16"/>
    </w:rPr>
  </w:style>
  <w:style w:type="character" w:customStyle="1" w:styleId="96">
    <w:name w:val="正文文本 3 Char1"/>
    <w:qFormat/>
    <w:uiPriority w:val="99"/>
    <w:rPr>
      <w:kern w:val="2"/>
      <w:sz w:val="16"/>
      <w:szCs w:val="16"/>
    </w:rPr>
  </w:style>
  <w:style w:type="character" w:customStyle="1" w:styleId="97">
    <w:name w:val="正文文本 Char3"/>
    <w:qFormat/>
    <w:uiPriority w:val="0"/>
    <w:rPr>
      <w:kern w:val="2"/>
      <w:sz w:val="21"/>
      <w:szCs w:val="24"/>
    </w:rPr>
  </w:style>
  <w:style w:type="character" w:customStyle="1" w:styleId="98">
    <w:name w:val="正文文本缩进 字符"/>
    <w:qFormat/>
    <w:uiPriority w:val="99"/>
    <w:rPr>
      <w:kern w:val="2"/>
      <w:sz w:val="21"/>
      <w:szCs w:val="24"/>
    </w:rPr>
  </w:style>
  <w:style w:type="character" w:customStyle="1" w:styleId="99">
    <w:name w:val="正文文本缩进 Char1"/>
    <w:qFormat/>
    <w:uiPriority w:val="99"/>
    <w:rPr>
      <w:rFonts w:ascii="仿宋_GB2312" w:eastAsia="仿宋_GB2312"/>
      <w:sz w:val="32"/>
    </w:rPr>
  </w:style>
  <w:style w:type="character" w:customStyle="1" w:styleId="100">
    <w:name w:val="纯文本 Char3"/>
    <w:qFormat/>
    <w:uiPriority w:val="0"/>
    <w:rPr>
      <w:rFonts w:ascii="宋体" w:hAnsi="Courier New"/>
      <w:szCs w:val="21"/>
    </w:rPr>
  </w:style>
  <w:style w:type="character" w:customStyle="1" w:styleId="101">
    <w:name w:val="日期 字符"/>
    <w:qFormat/>
    <w:uiPriority w:val="99"/>
    <w:rPr>
      <w:kern w:val="2"/>
      <w:sz w:val="21"/>
      <w:szCs w:val="24"/>
    </w:rPr>
  </w:style>
  <w:style w:type="character" w:customStyle="1" w:styleId="102">
    <w:name w:val="日期 Char1"/>
    <w:qFormat/>
    <w:uiPriority w:val="99"/>
    <w:rPr>
      <w:kern w:val="2"/>
      <w:sz w:val="21"/>
      <w:szCs w:val="24"/>
    </w:rPr>
  </w:style>
  <w:style w:type="character" w:customStyle="1" w:styleId="103">
    <w:name w:val="批注框文本 字符"/>
    <w:qFormat/>
    <w:uiPriority w:val="99"/>
    <w:rPr>
      <w:kern w:val="2"/>
      <w:sz w:val="18"/>
      <w:szCs w:val="18"/>
    </w:rPr>
  </w:style>
  <w:style w:type="character" w:customStyle="1" w:styleId="104">
    <w:name w:val="页脚 字符"/>
    <w:qFormat/>
    <w:uiPriority w:val="99"/>
    <w:rPr>
      <w:kern w:val="2"/>
      <w:sz w:val="18"/>
      <w:szCs w:val="18"/>
    </w:rPr>
  </w:style>
  <w:style w:type="character" w:customStyle="1" w:styleId="105">
    <w:name w:val="页脚 Char2"/>
    <w:qFormat/>
    <w:uiPriority w:val="99"/>
    <w:rPr>
      <w:sz w:val="18"/>
      <w:szCs w:val="18"/>
    </w:rPr>
  </w:style>
  <w:style w:type="character" w:customStyle="1" w:styleId="106">
    <w:name w:val="页眉 字符"/>
    <w:qFormat/>
    <w:uiPriority w:val="0"/>
    <w:rPr>
      <w:kern w:val="2"/>
      <w:sz w:val="18"/>
      <w:szCs w:val="18"/>
    </w:rPr>
  </w:style>
  <w:style w:type="character" w:customStyle="1" w:styleId="107">
    <w:name w:val="页眉 Char2"/>
    <w:qFormat/>
    <w:uiPriority w:val="99"/>
    <w:rPr>
      <w:sz w:val="18"/>
      <w:szCs w:val="18"/>
    </w:rPr>
  </w:style>
  <w:style w:type="character" w:customStyle="1" w:styleId="108">
    <w:name w:val="批注主题 字符"/>
    <w:qFormat/>
    <w:uiPriority w:val="99"/>
    <w:rPr>
      <w:rFonts w:ascii="Times New Roman" w:hAnsi="Times New Roman"/>
      <w:b/>
      <w:bCs/>
      <w:kern w:val="2"/>
      <w:sz w:val="21"/>
      <w:szCs w:val="24"/>
    </w:rPr>
  </w:style>
  <w:style w:type="character" w:customStyle="1" w:styleId="109">
    <w:name w:val="批注主题 Char1"/>
    <w:qFormat/>
    <w:uiPriority w:val="99"/>
    <w:rPr>
      <w:b/>
      <w:bCs/>
      <w:kern w:val="2"/>
      <w:sz w:val="21"/>
      <w:szCs w:val="24"/>
    </w:rPr>
  </w:style>
  <w:style w:type="character" w:customStyle="1" w:styleId="110">
    <w:name w:val="正文首行缩进 2 字符"/>
    <w:qFormat/>
    <w:uiPriority w:val="99"/>
    <w:rPr>
      <w:rFonts w:ascii="仿宋_GB2312" w:hAnsi="Times New Roman" w:eastAsia="仿宋_GB2312" w:cs="Times New Roman"/>
      <w:kern w:val="2"/>
      <w:sz w:val="21"/>
      <w:szCs w:val="24"/>
    </w:rPr>
  </w:style>
  <w:style w:type="paragraph" w:customStyle="1" w:styleId="111">
    <w:name w:val="_Style 112"/>
    <w:basedOn w:val="1"/>
    <w:unhideWhenUsed/>
    <w:qFormat/>
    <w:uiPriority w:val="99"/>
  </w:style>
  <w:style w:type="character" w:customStyle="1" w:styleId="112">
    <w:name w:val="_Style 110"/>
    <w:unhideWhenUsed/>
    <w:qFormat/>
    <w:uiPriority w:val="99"/>
    <w:rPr>
      <w:color w:val="605E5C"/>
      <w:shd w:val="clear" w:color="auto" w:fill="E1DFDD"/>
    </w:rPr>
  </w:style>
  <w:style w:type="paragraph" w:customStyle="1" w:styleId="113">
    <w:name w:val="首行缩进"/>
    <w:basedOn w:val="1"/>
    <w:qFormat/>
    <w:uiPriority w:val="0"/>
    <w:pPr>
      <w:spacing w:line="400" w:lineRule="exact"/>
      <w:ind w:firstLine="480" w:firstLineChars="200"/>
      <w:jc w:val="left"/>
    </w:pPr>
    <w:rPr>
      <w:lang w:val="zh-CN"/>
    </w:rPr>
  </w:style>
  <w:style w:type="character" w:customStyle="1" w:styleId="114">
    <w:name w:val="NormalCharacter"/>
    <w:qFormat/>
    <w:uiPriority w:val="0"/>
    <w:rPr>
      <w:rFonts w:ascii="Calibri" w:hAnsi="Calibri" w:eastAsia="宋体"/>
    </w:rPr>
  </w:style>
  <w:style w:type="character" w:customStyle="1" w:styleId="115">
    <w:name w:val="页脚 Char1"/>
    <w:qFormat/>
    <w:uiPriority w:val="0"/>
    <w:rPr>
      <w:sz w:val="18"/>
      <w:szCs w:val="18"/>
    </w:rPr>
  </w:style>
  <w:style w:type="paragraph" w:customStyle="1" w:styleId="116">
    <w:name w:val="_Style 791"/>
    <w:basedOn w:val="1"/>
    <w:next w:val="1"/>
    <w:unhideWhenUsed/>
    <w:qFormat/>
    <w:uiPriority w:val="39"/>
  </w:style>
  <w:style w:type="paragraph" w:customStyle="1" w:styleId="117">
    <w:name w:val="DAS正文"/>
    <w:basedOn w:val="1"/>
    <w:qFormat/>
    <w:uiPriority w:val="0"/>
    <w:pPr>
      <w:ind w:right="181" w:firstLine="480"/>
    </w:pPr>
    <w:rPr>
      <w:rFonts w:ascii="Verdana" w:hAnsi="Verdana"/>
    </w:rPr>
  </w:style>
  <w:style w:type="character" w:customStyle="1" w:styleId="118">
    <w:name w:val="标题 1 Char1"/>
    <w:qFormat/>
    <w:locked/>
    <w:uiPriority w:val="0"/>
    <w:rPr>
      <w:b/>
      <w:bCs/>
      <w:kern w:val="44"/>
      <w:sz w:val="44"/>
      <w:szCs w:val="44"/>
    </w:rPr>
  </w:style>
  <w:style w:type="character" w:customStyle="1" w:styleId="119">
    <w:name w:val="页眉 Char1"/>
    <w:semiHidden/>
    <w:qFormat/>
    <w:locked/>
    <w:uiPriority w:val="0"/>
    <w:rPr>
      <w:kern w:val="2"/>
      <w:sz w:val="18"/>
      <w:szCs w:val="18"/>
    </w:rPr>
  </w:style>
  <w:style w:type="character" w:customStyle="1" w:styleId="120">
    <w:name w:val="标题 3 Char"/>
    <w:qFormat/>
    <w:uiPriority w:val="9"/>
    <w:rPr>
      <w:b/>
      <w:bCs/>
      <w:kern w:val="2"/>
      <w:sz w:val="32"/>
      <w:szCs w:val="32"/>
    </w:rPr>
  </w:style>
  <w:style w:type="character" w:customStyle="1" w:styleId="121">
    <w:name w:val="标题 7 Char"/>
    <w:qFormat/>
    <w:uiPriority w:val="0"/>
    <w:rPr>
      <w:b/>
      <w:bCs/>
      <w:kern w:val="2"/>
      <w:sz w:val="24"/>
      <w:szCs w:val="24"/>
    </w:rPr>
  </w:style>
  <w:style w:type="character" w:customStyle="1" w:styleId="122">
    <w:name w:val="批注文字 Char3"/>
    <w:qFormat/>
    <w:uiPriority w:val="0"/>
    <w:rPr>
      <w:rFonts w:ascii="Times New Roman" w:hAnsi="Times New Roman"/>
      <w:kern w:val="2"/>
      <w:sz w:val="21"/>
      <w:szCs w:val="24"/>
    </w:rPr>
  </w:style>
  <w:style w:type="character" w:customStyle="1" w:styleId="123">
    <w:name w:val="正文文本 Char2"/>
    <w:qFormat/>
    <w:uiPriority w:val="0"/>
    <w:rPr>
      <w:rFonts w:ascii="Times New Roman" w:hAnsi="Times New Roman"/>
      <w:kern w:val="2"/>
      <w:sz w:val="21"/>
      <w:szCs w:val="24"/>
    </w:rPr>
  </w:style>
  <w:style w:type="character" w:customStyle="1" w:styleId="124">
    <w:name w:val="纯文本 Char2"/>
    <w:qFormat/>
    <w:uiPriority w:val="0"/>
    <w:rPr>
      <w:rFonts w:ascii="宋体" w:hAnsi="Courier New" w:eastAsia="宋体" w:cs="Courier New"/>
      <w:szCs w:val="21"/>
    </w:rPr>
  </w:style>
  <w:style w:type="paragraph" w:customStyle="1" w:styleId="125">
    <w:name w:val="_Style 106"/>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2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27">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8">
    <w:name w:val="纯文本1"/>
    <w:basedOn w:val="1"/>
    <w:qFormat/>
    <w:uiPriority w:val="0"/>
    <w:pPr>
      <w:suppressAutoHyphens/>
    </w:pPr>
    <w:rPr>
      <w:rFonts w:ascii="宋体" w:hAnsi="宋体" w:cs="Courier New"/>
      <w:szCs w:val="21"/>
      <w:lang w:eastAsia="ar-SA"/>
    </w:rPr>
  </w:style>
  <w:style w:type="paragraph" w:customStyle="1" w:styleId="129">
    <w:name w:val="_Style 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30">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character" w:customStyle="1" w:styleId="131">
    <w:name w:val="font61"/>
    <w:qFormat/>
    <w:uiPriority w:val="0"/>
    <w:rPr>
      <w:rFonts w:hint="eastAsia" w:ascii="宋体" w:hAnsi="宋体" w:eastAsia="宋体" w:cs="宋体"/>
      <w:strike/>
      <w:color w:val="000000"/>
      <w:sz w:val="20"/>
      <w:szCs w:val="20"/>
    </w:rPr>
  </w:style>
  <w:style w:type="character" w:customStyle="1" w:styleId="132">
    <w:name w:val="font11"/>
    <w:qFormat/>
    <w:uiPriority w:val="0"/>
    <w:rPr>
      <w:rFonts w:hint="eastAsia" w:ascii="宋体" w:hAnsi="宋体" w:eastAsia="宋体" w:cs="宋体"/>
      <w:color w:val="000000"/>
      <w:sz w:val="20"/>
      <w:szCs w:val="20"/>
      <w:u w:val="none"/>
    </w:rPr>
  </w:style>
  <w:style w:type="character" w:customStyle="1" w:styleId="133">
    <w:name w:val="font41"/>
    <w:qFormat/>
    <w:uiPriority w:val="0"/>
    <w:rPr>
      <w:rFonts w:hint="default" w:ascii="Times New Roman" w:hAnsi="Times New Roman" w:cs="Times New Roman"/>
      <w:color w:val="000000"/>
      <w:sz w:val="20"/>
      <w:szCs w:val="20"/>
      <w:u w:val="none"/>
    </w:rPr>
  </w:style>
  <w:style w:type="character" w:customStyle="1" w:styleId="134">
    <w:name w:val="列出段落 Char"/>
    <w:qFormat/>
    <w:uiPriority w:val="0"/>
    <w:rPr>
      <w:rFonts w:hint="default" w:ascii="Calibri" w:hAnsi="Calibri" w:cs="Calibri"/>
      <w:kern w:val="2"/>
      <w:sz w:val="21"/>
      <w:szCs w:val="22"/>
    </w:rPr>
  </w:style>
  <w:style w:type="character" w:customStyle="1" w:styleId="135">
    <w:name w:val="font51"/>
    <w:qFormat/>
    <w:uiPriority w:val="0"/>
    <w:rPr>
      <w:rFonts w:hint="eastAsia" w:ascii="宋体" w:hAnsi="宋体" w:eastAsia="宋体" w:cs="宋体"/>
      <w:b/>
      <w:bCs/>
      <w:color w:val="000000"/>
      <w:sz w:val="20"/>
      <w:szCs w:val="20"/>
      <w:u w:val="none"/>
    </w:rPr>
  </w:style>
  <w:style w:type="character" w:customStyle="1" w:styleId="136">
    <w:name w:val="font31"/>
    <w:qFormat/>
    <w:uiPriority w:val="0"/>
    <w:rPr>
      <w:rFonts w:hint="eastAsia" w:ascii="宋体" w:hAnsi="宋体" w:eastAsia="宋体" w:cs="宋体"/>
      <w:color w:val="000000"/>
      <w:sz w:val="20"/>
      <w:szCs w:val="20"/>
      <w:u w:val="none"/>
    </w:rPr>
  </w:style>
  <w:style w:type="character" w:customStyle="1" w:styleId="137">
    <w:name w:val="font21"/>
    <w:qFormat/>
    <w:uiPriority w:val="0"/>
    <w:rPr>
      <w:rFonts w:hint="eastAsia" w:ascii="宋体" w:hAnsi="宋体" w:eastAsia="宋体" w:cs="宋体"/>
      <w:color w:val="000000"/>
      <w:sz w:val="20"/>
      <w:szCs w:val="20"/>
      <w:u w:val="none"/>
    </w:rPr>
  </w:style>
  <w:style w:type="table" w:customStyle="1" w:styleId="138">
    <w:name w:val="网格型1"/>
    <w:basedOn w:val="28"/>
    <w:qFormat/>
    <w:uiPriority w:val="59"/>
    <w:rPr>
      <w:kern w:val="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39">
    <w:name w:val="_Style 125"/>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40">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141">
    <w:name w:val="msonormal"/>
    <w:basedOn w:val="1"/>
    <w:qFormat/>
    <w:uiPriority w:val="99"/>
    <w:rPr>
      <w:rFonts w:ascii="Calibri" w:hAnsi="Calibri"/>
      <w:kern w:val="0"/>
      <w:sz w:val="24"/>
    </w:rPr>
  </w:style>
  <w:style w:type="character" w:customStyle="1" w:styleId="142">
    <w:name w:val="标题 1 字符2"/>
    <w:qFormat/>
    <w:locked/>
    <w:uiPriority w:val="0"/>
    <w:rPr>
      <w:b/>
      <w:bCs/>
      <w:kern w:val="44"/>
      <w:sz w:val="44"/>
      <w:szCs w:val="44"/>
    </w:rPr>
  </w:style>
  <w:style w:type="character" w:customStyle="1" w:styleId="143">
    <w:name w:val="标题 2 字符1"/>
    <w:qFormat/>
    <w:locked/>
    <w:uiPriority w:val="9"/>
    <w:rPr>
      <w:rFonts w:ascii="Cambria" w:hAnsi="Cambria" w:cs="宋体"/>
      <w:b/>
      <w:bCs/>
      <w:kern w:val="2"/>
      <w:sz w:val="32"/>
      <w:szCs w:val="32"/>
    </w:rPr>
  </w:style>
  <w:style w:type="character" w:customStyle="1" w:styleId="144">
    <w:name w:val="标题 3 字符1"/>
    <w:semiHidden/>
    <w:qFormat/>
    <w:locked/>
    <w:uiPriority w:val="9"/>
    <w:rPr>
      <w:b/>
      <w:bCs/>
      <w:kern w:val="2"/>
      <w:sz w:val="32"/>
      <w:szCs w:val="32"/>
    </w:rPr>
  </w:style>
  <w:style w:type="character" w:customStyle="1" w:styleId="145">
    <w:name w:val="标题 4 字符1"/>
    <w:semiHidden/>
    <w:qFormat/>
    <w:locked/>
    <w:uiPriority w:val="9"/>
    <w:rPr>
      <w:rFonts w:ascii="Cambria" w:hAnsi="Cambria" w:cs="宋体"/>
      <w:b/>
      <w:bCs/>
      <w:kern w:val="2"/>
      <w:sz w:val="28"/>
      <w:szCs w:val="28"/>
    </w:rPr>
  </w:style>
  <w:style w:type="character" w:customStyle="1" w:styleId="146">
    <w:name w:val="标题 5 字符1"/>
    <w:semiHidden/>
    <w:qFormat/>
    <w:locked/>
    <w:uiPriority w:val="9"/>
    <w:rPr>
      <w:b/>
      <w:bCs/>
      <w:kern w:val="2"/>
      <w:sz w:val="28"/>
      <w:szCs w:val="28"/>
    </w:rPr>
  </w:style>
  <w:style w:type="character" w:customStyle="1" w:styleId="147">
    <w:name w:val="标题 7 字符1"/>
    <w:semiHidden/>
    <w:qFormat/>
    <w:locked/>
    <w:uiPriority w:val="99"/>
    <w:rPr>
      <w:b/>
      <w:bCs/>
      <w:kern w:val="2"/>
      <w:sz w:val="24"/>
      <w:szCs w:val="24"/>
    </w:rPr>
  </w:style>
  <w:style w:type="character" w:customStyle="1" w:styleId="148">
    <w:name w:val="标题 8 字符1"/>
    <w:semiHidden/>
    <w:qFormat/>
    <w:locked/>
    <w:uiPriority w:val="9"/>
    <w:rPr>
      <w:rFonts w:ascii="等线 Light" w:hAnsi="等线 Light" w:eastAsia="等线 Light"/>
      <w:kern w:val="2"/>
      <w:sz w:val="24"/>
      <w:szCs w:val="24"/>
    </w:rPr>
  </w:style>
  <w:style w:type="character" w:customStyle="1" w:styleId="149">
    <w:name w:val="正文文本 3 字符1"/>
    <w:semiHidden/>
    <w:qFormat/>
    <w:locked/>
    <w:uiPriority w:val="99"/>
    <w:rPr>
      <w:kern w:val="2"/>
      <w:sz w:val="16"/>
      <w:szCs w:val="16"/>
    </w:rPr>
  </w:style>
  <w:style w:type="character" w:customStyle="1" w:styleId="150">
    <w:name w:val="正文文本 字符1"/>
    <w:qFormat/>
    <w:locked/>
    <w:uiPriority w:val="0"/>
    <w:rPr>
      <w:kern w:val="2"/>
      <w:sz w:val="21"/>
      <w:szCs w:val="24"/>
    </w:rPr>
  </w:style>
  <w:style w:type="character" w:customStyle="1" w:styleId="151">
    <w:name w:val="正文文本缩进 字符1"/>
    <w:semiHidden/>
    <w:qFormat/>
    <w:locked/>
    <w:uiPriority w:val="99"/>
    <w:rPr>
      <w:rFonts w:ascii="仿宋_GB2312" w:eastAsia="仿宋_GB2312"/>
      <w:sz w:val="32"/>
    </w:rPr>
  </w:style>
  <w:style w:type="character" w:customStyle="1" w:styleId="152">
    <w:name w:val="纯文本 字符3"/>
    <w:qFormat/>
    <w:locked/>
    <w:uiPriority w:val="0"/>
    <w:rPr>
      <w:rFonts w:ascii="宋体" w:hAnsi="Courier New"/>
      <w:szCs w:val="21"/>
    </w:rPr>
  </w:style>
  <w:style w:type="character" w:customStyle="1" w:styleId="153">
    <w:name w:val="日期 字符1"/>
    <w:semiHidden/>
    <w:qFormat/>
    <w:locked/>
    <w:uiPriority w:val="99"/>
    <w:rPr>
      <w:kern w:val="2"/>
      <w:sz w:val="21"/>
      <w:szCs w:val="24"/>
    </w:rPr>
  </w:style>
  <w:style w:type="character" w:customStyle="1" w:styleId="154">
    <w:name w:val="批注框文本 字符1"/>
    <w:semiHidden/>
    <w:qFormat/>
    <w:locked/>
    <w:uiPriority w:val="99"/>
    <w:rPr>
      <w:kern w:val="2"/>
      <w:sz w:val="18"/>
      <w:szCs w:val="18"/>
    </w:rPr>
  </w:style>
  <w:style w:type="character" w:customStyle="1" w:styleId="155">
    <w:name w:val="页脚 字符1"/>
    <w:qFormat/>
    <w:locked/>
    <w:uiPriority w:val="99"/>
    <w:rPr>
      <w:sz w:val="18"/>
      <w:szCs w:val="18"/>
    </w:rPr>
  </w:style>
  <w:style w:type="character" w:customStyle="1" w:styleId="156">
    <w:name w:val="页眉 字符1"/>
    <w:semiHidden/>
    <w:qFormat/>
    <w:locked/>
    <w:uiPriority w:val="99"/>
    <w:rPr>
      <w:sz w:val="18"/>
      <w:szCs w:val="18"/>
    </w:rPr>
  </w:style>
  <w:style w:type="character" w:customStyle="1" w:styleId="157">
    <w:name w:val="批注主题 字符1"/>
    <w:semiHidden/>
    <w:qFormat/>
    <w:locked/>
    <w:uiPriority w:val="99"/>
    <w:rPr>
      <w:b/>
      <w:bCs/>
      <w:kern w:val="2"/>
      <w:sz w:val="21"/>
      <w:szCs w:val="24"/>
    </w:rPr>
  </w:style>
  <w:style w:type="character" w:customStyle="1" w:styleId="158">
    <w:name w:val="正文首行缩进 2 字符1"/>
    <w:semiHidden/>
    <w:qFormat/>
    <w:locked/>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FC6E82-0645-4D27-9FF3-95345015C9E8}">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89</Pages>
  <Words>182</Words>
  <Characters>239</Characters>
  <Lines>440</Lines>
  <Paragraphs>124</Paragraphs>
  <TotalTime>54</TotalTime>
  <ScaleCrop>false</ScaleCrop>
  <LinksUpToDate>false</LinksUpToDate>
  <CharactersWithSpaces>256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2024-05-08T08:44:00Z</dcterms:created>
  <dc:creator>唐冰</dc:creator>
  <cp:lastModifiedBy>用户</cp:lastModifiedBy>
  <cp:lastPrinted>2025-12-04T02:02:13Z</cp:lastPrinted>
  <dcterms:modified xsi:type="dcterms:W3CDTF">2025-12-04T02:08:54Z</dcterms:modified>
  <dc:title>竞争性谈判文件规范</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9D7A20C8AA284317BAEDCF48A245B7B0_13</vt:lpwstr>
  </property>
  <property fmtid="{D5CDD505-2E9C-101B-9397-08002B2CF9AE}" pid="4" name="KSOTemplateDocerSaveRecord">
    <vt:lpwstr>eyJoZGlkIjoiNjYxNGMxOWE1NmJmNjE2NWUxMWZiOTdlYWFjMjI2YjIiLCJ1c2VySWQiOiIyNDA5MzM3NzAifQ==</vt:lpwstr>
  </property>
</Properties>
</file>