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5390D">
      <w:pPr>
        <w:shd w:val="clear" w:color="auto" w:fill="auto"/>
        <w:spacing w:line="360" w:lineRule="auto"/>
        <w:jc w:val="center"/>
        <w:rPr>
          <w:rFonts w:hint="eastAsia" w:ascii="方正小标宋简体" w:hAnsi="宋体" w:eastAsia="方正小标宋简体"/>
          <w:color w:val="auto"/>
          <w:sz w:val="52"/>
          <w:szCs w:val="52"/>
          <w:highlight w:val="none"/>
        </w:rPr>
      </w:pPr>
    </w:p>
    <w:p w14:paraId="45C28B99">
      <w:pPr>
        <w:shd w:val="clear" w:color="auto" w:fill="auto"/>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2D5D9D4">
      <w:pPr>
        <w:shd w:val="clear" w:color="auto" w:fill="auto"/>
        <w:spacing w:line="360" w:lineRule="auto"/>
        <w:jc w:val="center"/>
        <w:rPr>
          <w:rFonts w:hint="eastAsia" w:ascii="方正小标宋简体" w:hAnsi="方正小标宋简体" w:eastAsia="方正小标宋简体" w:cs="方正小标宋简体"/>
          <w:b/>
          <w:color w:val="auto"/>
          <w:sz w:val="44"/>
          <w:szCs w:val="44"/>
          <w:highlight w:val="none"/>
        </w:rPr>
      </w:pPr>
    </w:p>
    <w:p w14:paraId="2722786D">
      <w:pPr>
        <w:shd w:val="clear" w:color="auto" w:fill="auto"/>
        <w:spacing w:line="360" w:lineRule="auto"/>
        <w:jc w:val="center"/>
        <w:rPr>
          <w:rFonts w:hint="eastAsia" w:ascii="方正小标宋简体" w:hAnsi="方正小标宋简体" w:eastAsia="方正小标宋简体" w:cs="方正小标宋简体"/>
          <w:b/>
          <w:color w:val="auto"/>
          <w:sz w:val="44"/>
          <w:szCs w:val="44"/>
          <w:highlight w:val="none"/>
        </w:rPr>
      </w:pPr>
    </w:p>
    <w:p w14:paraId="58B5852E">
      <w:pPr>
        <w:shd w:val="clear" w:color="auto" w:fill="auto"/>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6A1A092E">
      <w:pPr>
        <w:shd w:val="clear" w:color="auto" w:fill="auto"/>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170C4ABC">
      <w:pPr>
        <w:shd w:val="clear" w:color="auto" w:fill="auto"/>
        <w:snapToGrid w:val="0"/>
        <w:spacing w:line="360" w:lineRule="auto"/>
        <w:rPr>
          <w:rFonts w:hint="eastAsia" w:ascii="仿宋_GB2312" w:hAnsi="宋体" w:eastAsia="仿宋_GB2312"/>
          <w:color w:val="auto"/>
          <w:sz w:val="30"/>
          <w:szCs w:val="72"/>
          <w:highlight w:val="none"/>
        </w:rPr>
      </w:pPr>
    </w:p>
    <w:p w14:paraId="0996718B">
      <w:pPr>
        <w:pStyle w:val="16"/>
        <w:shd w:val="clear" w:color="auto" w:fill="auto"/>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健康（慢病）体检系统提升项目</w:t>
      </w:r>
    </w:p>
    <w:p w14:paraId="6E2C2B4E">
      <w:pPr>
        <w:shd w:val="clear" w:color="auto" w:fill="auto"/>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b/>
          <w:color w:val="auto"/>
          <w:sz w:val="30"/>
          <w:szCs w:val="48"/>
          <w:highlight w:val="none"/>
          <w:lang w:eastAsia="zh-CN"/>
        </w:rPr>
        <w:t>WZZC2025-C3-990121-YZLZ</w:t>
      </w:r>
    </w:p>
    <w:p w14:paraId="2E8379A0">
      <w:pPr>
        <w:pStyle w:val="16"/>
        <w:shd w:val="clear" w:color="auto" w:fill="auto"/>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梧州市人民医院</w:t>
      </w:r>
    </w:p>
    <w:p w14:paraId="7EDDFACA">
      <w:pPr>
        <w:pStyle w:val="16"/>
        <w:shd w:val="clear" w:color="auto" w:fill="auto"/>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5B791A2F">
      <w:pPr>
        <w:pStyle w:val="16"/>
        <w:shd w:val="clear" w:color="auto" w:fill="auto"/>
        <w:snapToGrid w:val="0"/>
        <w:spacing w:line="360" w:lineRule="auto"/>
        <w:ind w:firstLine="1125" w:firstLineChars="393"/>
        <w:rPr>
          <w:rFonts w:hint="eastAsia" w:ascii="仿宋_GB2312" w:hAnsi="宋体" w:eastAsia="仿宋_GB2312"/>
          <w:b/>
          <w:bCs/>
          <w:color w:val="auto"/>
          <w:w w:val="95"/>
          <w:sz w:val="30"/>
          <w:szCs w:val="30"/>
          <w:highlight w:val="none"/>
        </w:rPr>
      </w:pPr>
    </w:p>
    <w:p w14:paraId="5A734F8C">
      <w:pPr>
        <w:pStyle w:val="16"/>
        <w:shd w:val="clear" w:color="auto" w:fill="auto"/>
        <w:snapToGrid w:val="0"/>
        <w:spacing w:line="360" w:lineRule="auto"/>
        <w:ind w:firstLine="1125" w:firstLineChars="393"/>
        <w:rPr>
          <w:rFonts w:hint="eastAsia" w:ascii="仿宋_GB2312" w:hAnsi="宋体" w:eastAsia="仿宋_GB2312"/>
          <w:b/>
          <w:bCs/>
          <w:color w:val="auto"/>
          <w:w w:val="95"/>
          <w:sz w:val="30"/>
          <w:szCs w:val="30"/>
          <w:highlight w:val="none"/>
        </w:rPr>
      </w:pPr>
    </w:p>
    <w:p w14:paraId="51FCF185">
      <w:pPr>
        <w:pStyle w:val="16"/>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420" w:firstLine="0" w:firstLineChars="0"/>
        <w:textAlignment w:val="auto"/>
        <w:rPr>
          <w:rFonts w:hint="eastAsia" w:hAnsi="宋体" w:cs="宋体"/>
          <w:b/>
          <w:bCs/>
          <w:color w:val="auto"/>
          <w:sz w:val="32"/>
          <w:szCs w:val="32"/>
          <w:highlight w:val="none"/>
        </w:rPr>
      </w:pPr>
      <w:r>
        <w:rPr>
          <w:rFonts w:hint="eastAsia" w:ascii="仿宋_GB2312" w:hAnsi="宋体" w:eastAsia="仿宋_GB2312"/>
          <w:b/>
          <w:bCs/>
          <w:color w:val="auto"/>
          <w:w w:val="95"/>
          <w:sz w:val="30"/>
          <w:szCs w:val="30"/>
          <w:highlight w:val="none"/>
        </w:rPr>
        <w:t xml:space="preserve">               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6</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11</w:t>
      </w:r>
      <w:r>
        <w:rPr>
          <w:rFonts w:hint="eastAsia" w:ascii="仿宋_GB2312" w:hAnsi="宋体" w:eastAsia="仿宋_GB2312"/>
          <w:b/>
          <w:bCs/>
          <w:color w:val="auto"/>
          <w:w w:val="95"/>
          <w:sz w:val="30"/>
          <w:szCs w:val="30"/>
          <w:highlight w:val="none"/>
        </w:rPr>
        <w:t>日</w:t>
      </w:r>
    </w:p>
    <w:p w14:paraId="6233B82C">
      <w:pPr>
        <w:shd w:val="clear" w:color="auto" w:fill="auto"/>
        <w:spacing w:line="360" w:lineRule="auto"/>
        <w:jc w:val="center"/>
        <w:rPr>
          <w:rFonts w:hint="eastAsia" w:ascii="宋体" w:hAnsi="宋体" w:cs="宋体"/>
          <w:b/>
          <w:bCs/>
          <w:color w:val="auto"/>
          <w:kern w:val="0"/>
          <w:sz w:val="32"/>
          <w:szCs w:val="32"/>
          <w:highlight w:val="none"/>
        </w:rPr>
      </w:pPr>
    </w:p>
    <w:p w14:paraId="7EBC925A">
      <w:pPr>
        <w:shd w:val="clear" w:color="auto" w:fill="auto"/>
        <w:spacing w:line="360" w:lineRule="auto"/>
        <w:jc w:val="center"/>
        <w:rPr>
          <w:rFonts w:hint="eastAsia" w:ascii="宋体" w:hAnsi="宋体" w:cs="宋体"/>
          <w:b/>
          <w:bCs/>
          <w:color w:val="auto"/>
          <w:kern w:val="0"/>
          <w:sz w:val="32"/>
          <w:szCs w:val="32"/>
          <w:highlight w:val="none"/>
        </w:rPr>
      </w:pPr>
    </w:p>
    <w:p w14:paraId="78B2A1DF">
      <w:pPr>
        <w:shd w:val="clear" w:color="auto" w:fill="auto"/>
        <w:spacing w:line="360" w:lineRule="auto"/>
        <w:jc w:val="center"/>
        <w:rPr>
          <w:rFonts w:hint="eastAsia"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6A3F3288">
      <w:pPr>
        <w:shd w:val="clear" w:color="auto" w:fill="auto"/>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2FEF3D2">
      <w:pPr>
        <w:shd w:val="clear" w:color="auto" w:fill="auto"/>
        <w:spacing w:line="400" w:lineRule="exact"/>
        <w:jc w:val="center"/>
        <w:rPr>
          <w:rFonts w:hint="eastAsia" w:ascii="宋体" w:hAnsi="宋体"/>
          <w:b/>
          <w:color w:val="auto"/>
          <w:sz w:val="44"/>
          <w:szCs w:val="44"/>
          <w:highlight w:val="none"/>
        </w:rPr>
      </w:pPr>
    </w:p>
    <w:p w14:paraId="74879D5A">
      <w:pPr>
        <w:pStyle w:val="21"/>
        <w:shd w:val="clear" w:color="auto" w:fill="auto"/>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31"/>
          <w:rFonts w:ascii="宋体" w:hAnsi="宋体"/>
          <w:b/>
          <w:color w:val="auto"/>
          <w:sz w:val="24"/>
          <w:highlight w:val="none"/>
        </w:rPr>
        <w:fldChar w:fldCharType="begin"/>
      </w:r>
      <w:r>
        <w:rPr>
          <w:rStyle w:val="31"/>
          <w:rFonts w:ascii="宋体" w:hAnsi="宋体"/>
          <w:b/>
          <w:color w:val="auto"/>
          <w:sz w:val="24"/>
          <w:highlight w:val="none"/>
        </w:rPr>
        <w:instrText xml:space="preserve"> </w:instrText>
      </w:r>
      <w:r>
        <w:rPr>
          <w:rFonts w:ascii="宋体" w:hAnsi="宋体"/>
          <w:b/>
          <w:color w:val="auto"/>
          <w:sz w:val="24"/>
          <w:highlight w:val="none"/>
        </w:rPr>
        <w:instrText xml:space="preserve">HYPERLINK \l "_Toc74323456"</w:instrText>
      </w:r>
      <w:r>
        <w:rPr>
          <w:rStyle w:val="31"/>
          <w:rFonts w:ascii="宋体" w:hAnsi="宋体"/>
          <w:b/>
          <w:color w:val="auto"/>
          <w:sz w:val="24"/>
          <w:highlight w:val="none"/>
        </w:rPr>
        <w:instrText xml:space="preserve"> </w:instrText>
      </w:r>
      <w:r>
        <w:rPr>
          <w:rStyle w:val="31"/>
          <w:rFonts w:ascii="宋体" w:hAnsi="宋体"/>
          <w:b/>
          <w:color w:val="auto"/>
          <w:sz w:val="24"/>
          <w:highlight w:val="none"/>
        </w:rPr>
        <w:fldChar w:fldCharType="separate"/>
      </w:r>
      <w:r>
        <w:rPr>
          <w:rStyle w:val="31"/>
          <w:rFonts w:hint="eastAsia" w:ascii="宋体" w:hAnsi="宋体"/>
          <w:b/>
          <w:color w:val="auto"/>
          <w:sz w:val="24"/>
          <w:highlight w:val="none"/>
        </w:rPr>
        <w:t>第一章</w:t>
      </w:r>
      <w:r>
        <w:rPr>
          <w:rStyle w:val="31"/>
          <w:rFonts w:ascii="宋体" w:hAnsi="宋体"/>
          <w:b/>
          <w:color w:val="auto"/>
          <w:sz w:val="24"/>
          <w:highlight w:val="none"/>
        </w:rPr>
        <w:t xml:space="preserve"> </w:t>
      </w:r>
      <w:r>
        <w:rPr>
          <w:rStyle w:val="31"/>
          <w:rFonts w:hint="eastAsia" w:ascii="宋体" w:hAnsi="宋体"/>
          <w:b/>
          <w:color w:val="auto"/>
          <w:sz w:val="24"/>
          <w:highlight w:val="none"/>
        </w:rPr>
        <w:t>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Style w:val="31"/>
          <w:rFonts w:ascii="宋体" w:hAnsi="宋体"/>
          <w:b/>
          <w:color w:val="auto"/>
          <w:sz w:val="24"/>
          <w:highlight w:val="none"/>
        </w:rPr>
        <w:fldChar w:fldCharType="end"/>
      </w:r>
    </w:p>
    <w:p w14:paraId="314C57BB">
      <w:pPr>
        <w:pStyle w:val="21"/>
        <w:shd w:val="clear" w:color="auto" w:fill="auto"/>
        <w:tabs>
          <w:tab w:val="right" w:leader="dot" w:pos="8869"/>
        </w:tabs>
        <w:snapToGrid w:val="0"/>
        <w:spacing w:line="500" w:lineRule="atLeast"/>
        <w:rPr>
          <w:rFonts w:ascii="宋体" w:hAnsi="宋体"/>
          <w:b/>
          <w:color w:val="auto"/>
          <w:sz w:val="24"/>
          <w:highlight w:val="none"/>
        </w:rPr>
      </w:pPr>
      <w:r>
        <w:rPr>
          <w:rStyle w:val="31"/>
          <w:rFonts w:ascii="宋体" w:hAnsi="宋体"/>
          <w:b/>
          <w:color w:val="auto"/>
          <w:sz w:val="24"/>
          <w:highlight w:val="none"/>
        </w:rPr>
        <w:fldChar w:fldCharType="begin"/>
      </w:r>
      <w:r>
        <w:rPr>
          <w:rStyle w:val="31"/>
          <w:rFonts w:ascii="宋体" w:hAnsi="宋体"/>
          <w:b/>
          <w:color w:val="auto"/>
          <w:sz w:val="24"/>
          <w:highlight w:val="none"/>
        </w:rPr>
        <w:instrText xml:space="preserve"> </w:instrText>
      </w:r>
      <w:r>
        <w:rPr>
          <w:rFonts w:ascii="宋体" w:hAnsi="宋体"/>
          <w:b/>
          <w:color w:val="auto"/>
          <w:sz w:val="24"/>
          <w:highlight w:val="none"/>
        </w:rPr>
        <w:instrText xml:space="preserve">HYPERLINK \l "_Toc74323457"</w:instrText>
      </w:r>
      <w:r>
        <w:rPr>
          <w:rStyle w:val="31"/>
          <w:rFonts w:ascii="宋体" w:hAnsi="宋体"/>
          <w:b/>
          <w:color w:val="auto"/>
          <w:sz w:val="24"/>
          <w:highlight w:val="none"/>
        </w:rPr>
        <w:instrText xml:space="preserve"> </w:instrText>
      </w:r>
      <w:r>
        <w:rPr>
          <w:rStyle w:val="31"/>
          <w:rFonts w:ascii="宋体" w:hAnsi="宋体"/>
          <w:b/>
          <w:color w:val="auto"/>
          <w:sz w:val="24"/>
          <w:highlight w:val="none"/>
        </w:rPr>
        <w:fldChar w:fldCharType="separate"/>
      </w:r>
      <w:r>
        <w:rPr>
          <w:rStyle w:val="31"/>
          <w:rFonts w:hint="eastAsia" w:ascii="宋体" w:hAnsi="宋体"/>
          <w:b/>
          <w:color w:val="auto"/>
          <w:sz w:val="24"/>
          <w:highlight w:val="none"/>
        </w:rPr>
        <w:t>第二章</w:t>
      </w:r>
      <w:r>
        <w:rPr>
          <w:rStyle w:val="31"/>
          <w:rFonts w:ascii="宋体" w:hAnsi="宋体"/>
          <w:b/>
          <w:color w:val="auto"/>
          <w:sz w:val="24"/>
          <w:highlight w:val="none"/>
        </w:rPr>
        <w:t xml:space="preserve"> </w:t>
      </w:r>
      <w:r>
        <w:rPr>
          <w:rStyle w:val="31"/>
          <w:rFonts w:hint="eastAsia" w:ascii="宋体" w:hAnsi="宋体"/>
          <w:b/>
          <w:color w:val="auto"/>
          <w:sz w:val="24"/>
          <w:highlight w:val="none"/>
        </w:rPr>
        <w:t>供应</w:t>
      </w:r>
      <w:bookmarkStart w:id="0" w:name="_Hlt82161237"/>
      <w:r>
        <w:rPr>
          <w:rStyle w:val="31"/>
          <w:rFonts w:hint="eastAsia" w:ascii="宋体" w:hAnsi="宋体"/>
          <w:b/>
          <w:color w:val="auto"/>
          <w:sz w:val="24"/>
          <w:highlight w:val="none"/>
        </w:rPr>
        <w:t>商</w:t>
      </w:r>
      <w:bookmarkEnd w:id="0"/>
      <w:r>
        <w:rPr>
          <w:rStyle w:val="31"/>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6</w:t>
      </w:r>
      <w:r>
        <w:rPr>
          <w:rFonts w:ascii="宋体" w:hAnsi="宋体"/>
          <w:b/>
          <w:color w:val="auto"/>
          <w:sz w:val="24"/>
          <w:highlight w:val="none"/>
        </w:rPr>
        <w:fldChar w:fldCharType="end"/>
      </w:r>
      <w:r>
        <w:rPr>
          <w:rStyle w:val="31"/>
          <w:rFonts w:ascii="宋体" w:hAnsi="宋体"/>
          <w:b/>
          <w:color w:val="auto"/>
          <w:sz w:val="24"/>
          <w:highlight w:val="none"/>
        </w:rPr>
        <w:fldChar w:fldCharType="end"/>
      </w:r>
    </w:p>
    <w:p w14:paraId="59832B9D">
      <w:pPr>
        <w:pStyle w:val="21"/>
        <w:shd w:val="clear" w:color="auto" w:fill="auto"/>
        <w:tabs>
          <w:tab w:val="right" w:leader="dot" w:pos="8869"/>
        </w:tabs>
        <w:snapToGrid w:val="0"/>
        <w:spacing w:line="500" w:lineRule="atLeast"/>
        <w:rPr>
          <w:rFonts w:ascii="宋体" w:hAnsi="宋体"/>
          <w:b/>
          <w:color w:val="auto"/>
          <w:sz w:val="24"/>
          <w:highlight w:val="none"/>
        </w:rPr>
      </w:pPr>
      <w:r>
        <w:rPr>
          <w:rStyle w:val="31"/>
          <w:rFonts w:ascii="宋体" w:hAnsi="宋体"/>
          <w:b/>
          <w:color w:val="auto"/>
          <w:sz w:val="24"/>
          <w:highlight w:val="none"/>
        </w:rPr>
        <w:fldChar w:fldCharType="begin"/>
      </w:r>
      <w:r>
        <w:rPr>
          <w:rStyle w:val="31"/>
          <w:rFonts w:ascii="宋体" w:hAnsi="宋体"/>
          <w:b/>
          <w:color w:val="auto"/>
          <w:sz w:val="24"/>
          <w:highlight w:val="none"/>
        </w:rPr>
        <w:instrText xml:space="preserve"> </w:instrText>
      </w:r>
      <w:r>
        <w:rPr>
          <w:rFonts w:ascii="宋体" w:hAnsi="宋体"/>
          <w:b/>
          <w:color w:val="auto"/>
          <w:sz w:val="24"/>
          <w:highlight w:val="none"/>
        </w:rPr>
        <w:instrText xml:space="preserve">HYPERLINK \l "_Toc74323458"</w:instrText>
      </w:r>
      <w:r>
        <w:rPr>
          <w:rStyle w:val="31"/>
          <w:rFonts w:ascii="宋体" w:hAnsi="宋体"/>
          <w:b/>
          <w:color w:val="auto"/>
          <w:sz w:val="24"/>
          <w:highlight w:val="none"/>
        </w:rPr>
        <w:instrText xml:space="preserve"> </w:instrText>
      </w:r>
      <w:r>
        <w:rPr>
          <w:rStyle w:val="31"/>
          <w:rFonts w:ascii="宋体" w:hAnsi="宋体"/>
          <w:b/>
          <w:color w:val="auto"/>
          <w:sz w:val="24"/>
          <w:highlight w:val="none"/>
        </w:rPr>
        <w:fldChar w:fldCharType="separate"/>
      </w:r>
      <w:r>
        <w:rPr>
          <w:rStyle w:val="31"/>
          <w:rFonts w:hint="eastAsia" w:ascii="宋体" w:hAnsi="宋体"/>
          <w:b/>
          <w:color w:val="auto"/>
          <w:sz w:val="24"/>
          <w:highlight w:val="none"/>
        </w:rPr>
        <w:t>第三章</w:t>
      </w:r>
      <w:r>
        <w:rPr>
          <w:rStyle w:val="31"/>
          <w:rFonts w:ascii="宋体" w:hAnsi="宋体"/>
          <w:b/>
          <w:color w:val="auto"/>
          <w:sz w:val="24"/>
          <w:highlight w:val="none"/>
        </w:rPr>
        <w:t xml:space="preserve"> </w:t>
      </w:r>
      <w:r>
        <w:rPr>
          <w:rStyle w:val="31"/>
          <w:rFonts w:hint="eastAsia" w:ascii="宋体" w:hAnsi="宋体"/>
          <w:b/>
          <w:color w:val="auto"/>
          <w:sz w:val="24"/>
          <w:highlight w:val="none"/>
        </w:rPr>
        <w:t>采购需</w:t>
      </w:r>
      <w:bookmarkStart w:id="1" w:name="_Hlt82166940"/>
      <w:r>
        <w:rPr>
          <w:rStyle w:val="31"/>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25</w:t>
      </w:r>
      <w:r>
        <w:rPr>
          <w:rFonts w:ascii="宋体" w:hAnsi="宋体"/>
          <w:b/>
          <w:color w:val="auto"/>
          <w:sz w:val="24"/>
          <w:highlight w:val="none"/>
        </w:rPr>
        <w:fldChar w:fldCharType="end"/>
      </w:r>
      <w:r>
        <w:rPr>
          <w:rStyle w:val="31"/>
          <w:rFonts w:ascii="宋体" w:hAnsi="宋体"/>
          <w:b/>
          <w:color w:val="auto"/>
          <w:sz w:val="24"/>
          <w:highlight w:val="none"/>
        </w:rPr>
        <w:fldChar w:fldCharType="end"/>
      </w:r>
    </w:p>
    <w:p w14:paraId="25F9100F">
      <w:pPr>
        <w:pStyle w:val="21"/>
        <w:shd w:val="clear" w:color="auto" w:fill="auto"/>
        <w:tabs>
          <w:tab w:val="right" w:leader="dot" w:pos="8869"/>
        </w:tabs>
        <w:snapToGrid w:val="0"/>
        <w:spacing w:line="500" w:lineRule="atLeast"/>
        <w:rPr>
          <w:rFonts w:ascii="宋体" w:hAnsi="宋体"/>
          <w:b/>
          <w:color w:val="auto"/>
          <w:sz w:val="24"/>
          <w:highlight w:val="none"/>
        </w:rPr>
      </w:pPr>
      <w:r>
        <w:rPr>
          <w:rStyle w:val="31"/>
          <w:rFonts w:ascii="宋体" w:hAnsi="宋体"/>
          <w:b/>
          <w:color w:val="auto"/>
          <w:sz w:val="24"/>
          <w:highlight w:val="none"/>
        </w:rPr>
        <w:fldChar w:fldCharType="begin"/>
      </w:r>
      <w:r>
        <w:rPr>
          <w:rStyle w:val="31"/>
          <w:rFonts w:ascii="宋体" w:hAnsi="宋体"/>
          <w:b/>
          <w:color w:val="auto"/>
          <w:sz w:val="24"/>
          <w:highlight w:val="none"/>
        </w:rPr>
        <w:instrText xml:space="preserve"> </w:instrText>
      </w:r>
      <w:r>
        <w:rPr>
          <w:rFonts w:ascii="宋体" w:hAnsi="宋体"/>
          <w:b/>
          <w:color w:val="auto"/>
          <w:sz w:val="24"/>
          <w:highlight w:val="none"/>
        </w:rPr>
        <w:instrText xml:space="preserve">HYPERLINK \l "_Toc74323459"</w:instrText>
      </w:r>
      <w:r>
        <w:rPr>
          <w:rStyle w:val="31"/>
          <w:rFonts w:ascii="宋体" w:hAnsi="宋体"/>
          <w:b/>
          <w:color w:val="auto"/>
          <w:sz w:val="24"/>
          <w:highlight w:val="none"/>
        </w:rPr>
        <w:instrText xml:space="preserve"> </w:instrText>
      </w:r>
      <w:r>
        <w:rPr>
          <w:rStyle w:val="31"/>
          <w:rFonts w:ascii="宋体" w:hAnsi="宋体"/>
          <w:b/>
          <w:color w:val="auto"/>
          <w:sz w:val="24"/>
          <w:highlight w:val="none"/>
        </w:rPr>
        <w:fldChar w:fldCharType="separate"/>
      </w:r>
      <w:r>
        <w:rPr>
          <w:rStyle w:val="31"/>
          <w:rFonts w:hint="eastAsia" w:ascii="宋体" w:hAnsi="宋体"/>
          <w:b/>
          <w:color w:val="auto"/>
          <w:sz w:val="24"/>
          <w:highlight w:val="none"/>
        </w:rPr>
        <w:t>第四章</w:t>
      </w:r>
      <w:r>
        <w:rPr>
          <w:rStyle w:val="31"/>
          <w:rFonts w:ascii="宋体" w:hAnsi="宋体"/>
          <w:b/>
          <w:color w:val="auto"/>
          <w:sz w:val="24"/>
          <w:highlight w:val="none"/>
        </w:rPr>
        <w:t xml:space="preserve"> </w:t>
      </w:r>
      <w:r>
        <w:rPr>
          <w:rStyle w:val="31"/>
          <w:rFonts w:hint="eastAsia" w:ascii="宋体" w:hAnsi="宋体"/>
          <w:b/>
          <w:color w:val="auto"/>
          <w:sz w:val="24"/>
          <w:highlight w:val="none"/>
        </w:rPr>
        <w:t>评审程序、</w:t>
      </w:r>
      <w:bookmarkStart w:id="2" w:name="_Hlt82166000"/>
      <w:r>
        <w:rPr>
          <w:rStyle w:val="31"/>
          <w:rFonts w:hint="eastAsia" w:ascii="宋体" w:hAnsi="宋体"/>
          <w:b/>
          <w:color w:val="auto"/>
          <w:sz w:val="24"/>
          <w:highlight w:val="none"/>
        </w:rPr>
        <w:t>评</w:t>
      </w:r>
      <w:bookmarkEnd w:id="2"/>
      <w:r>
        <w:rPr>
          <w:rStyle w:val="31"/>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57</w:t>
      </w:r>
      <w:r>
        <w:rPr>
          <w:rFonts w:ascii="宋体" w:hAnsi="宋体"/>
          <w:b/>
          <w:color w:val="auto"/>
          <w:sz w:val="24"/>
          <w:highlight w:val="none"/>
        </w:rPr>
        <w:fldChar w:fldCharType="end"/>
      </w:r>
      <w:r>
        <w:rPr>
          <w:rStyle w:val="31"/>
          <w:rFonts w:ascii="宋体" w:hAnsi="宋体"/>
          <w:b/>
          <w:color w:val="auto"/>
          <w:sz w:val="24"/>
          <w:highlight w:val="none"/>
        </w:rPr>
        <w:fldChar w:fldCharType="end"/>
      </w:r>
    </w:p>
    <w:p w14:paraId="1EBBE7C8">
      <w:pPr>
        <w:pStyle w:val="21"/>
        <w:shd w:val="clear" w:color="auto" w:fill="auto"/>
        <w:tabs>
          <w:tab w:val="right" w:leader="dot" w:pos="8869"/>
        </w:tabs>
        <w:snapToGrid w:val="0"/>
        <w:spacing w:line="500" w:lineRule="atLeast"/>
        <w:rPr>
          <w:rFonts w:ascii="宋体" w:hAnsi="宋体"/>
          <w:b/>
          <w:color w:val="auto"/>
          <w:sz w:val="24"/>
          <w:highlight w:val="none"/>
        </w:rPr>
      </w:pPr>
      <w:r>
        <w:rPr>
          <w:rStyle w:val="31"/>
          <w:rFonts w:ascii="宋体" w:hAnsi="宋体"/>
          <w:b/>
          <w:color w:val="auto"/>
          <w:sz w:val="24"/>
          <w:highlight w:val="none"/>
        </w:rPr>
        <w:fldChar w:fldCharType="begin"/>
      </w:r>
      <w:r>
        <w:rPr>
          <w:rStyle w:val="31"/>
          <w:rFonts w:ascii="宋体" w:hAnsi="宋体"/>
          <w:b/>
          <w:color w:val="auto"/>
          <w:sz w:val="24"/>
          <w:highlight w:val="none"/>
        </w:rPr>
        <w:instrText xml:space="preserve"> </w:instrText>
      </w:r>
      <w:r>
        <w:rPr>
          <w:rFonts w:ascii="宋体" w:hAnsi="宋体"/>
          <w:b/>
          <w:color w:val="auto"/>
          <w:sz w:val="24"/>
          <w:highlight w:val="none"/>
        </w:rPr>
        <w:instrText xml:space="preserve">HYPERLINK \l "_Toc74323460"</w:instrText>
      </w:r>
      <w:r>
        <w:rPr>
          <w:rStyle w:val="31"/>
          <w:rFonts w:ascii="宋体" w:hAnsi="宋体"/>
          <w:b/>
          <w:color w:val="auto"/>
          <w:sz w:val="24"/>
          <w:highlight w:val="none"/>
        </w:rPr>
        <w:instrText xml:space="preserve"> </w:instrText>
      </w:r>
      <w:r>
        <w:rPr>
          <w:rStyle w:val="31"/>
          <w:rFonts w:ascii="宋体" w:hAnsi="宋体"/>
          <w:b/>
          <w:color w:val="auto"/>
          <w:sz w:val="24"/>
          <w:highlight w:val="none"/>
        </w:rPr>
        <w:fldChar w:fldCharType="separate"/>
      </w:r>
      <w:r>
        <w:rPr>
          <w:rStyle w:val="31"/>
          <w:rFonts w:hint="eastAsia" w:ascii="宋体" w:hAnsi="宋体"/>
          <w:b/>
          <w:color w:val="auto"/>
          <w:sz w:val="24"/>
          <w:highlight w:val="none"/>
        </w:rPr>
        <w:t>第五章</w:t>
      </w:r>
      <w:r>
        <w:rPr>
          <w:rStyle w:val="31"/>
          <w:rFonts w:ascii="宋体" w:hAnsi="宋体"/>
          <w:b/>
          <w:color w:val="auto"/>
          <w:sz w:val="24"/>
          <w:highlight w:val="none"/>
        </w:rPr>
        <w:t xml:space="preserve"> </w:t>
      </w:r>
      <w:r>
        <w:rPr>
          <w:rStyle w:val="31"/>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66</w:t>
      </w:r>
      <w:r>
        <w:rPr>
          <w:rFonts w:ascii="宋体" w:hAnsi="宋体"/>
          <w:b/>
          <w:color w:val="auto"/>
          <w:sz w:val="24"/>
          <w:highlight w:val="none"/>
        </w:rPr>
        <w:fldChar w:fldCharType="end"/>
      </w:r>
      <w:r>
        <w:rPr>
          <w:rStyle w:val="31"/>
          <w:rFonts w:ascii="宋体" w:hAnsi="宋体"/>
          <w:b/>
          <w:color w:val="auto"/>
          <w:sz w:val="24"/>
          <w:highlight w:val="none"/>
        </w:rPr>
        <w:fldChar w:fldCharType="end"/>
      </w:r>
    </w:p>
    <w:p w14:paraId="0316BBF5">
      <w:pPr>
        <w:pStyle w:val="21"/>
        <w:shd w:val="clear" w:color="auto" w:fill="auto"/>
        <w:tabs>
          <w:tab w:val="right" w:leader="dot" w:pos="8869"/>
        </w:tabs>
        <w:snapToGrid w:val="0"/>
        <w:spacing w:line="500" w:lineRule="atLeast"/>
        <w:rPr>
          <w:rFonts w:ascii="宋体" w:hAnsi="宋体"/>
          <w:color w:val="auto"/>
          <w:sz w:val="24"/>
          <w:highlight w:val="none"/>
        </w:rPr>
      </w:pPr>
      <w:r>
        <w:rPr>
          <w:rStyle w:val="31"/>
          <w:rFonts w:ascii="宋体" w:hAnsi="宋体"/>
          <w:b/>
          <w:color w:val="auto"/>
          <w:sz w:val="24"/>
          <w:highlight w:val="none"/>
        </w:rPr>
        <w:fldChar w:fldCharType="begin"/>
      </w:r>
      <w:r>
        <w:rPr>
          <w:rStyle w:val="31"/>
          <w:rFonts w:ascii="宋体" w:hAnsi="宋体"/>
          <w:b/>
          <w:color w:val="auto"/>
          <w:sz w:val="24"/>
          <w:highlight w:val="none"/>
        </w:rPr>
        <w:instrText xml:space="preserve"> </w:instrText>
      </w:r>
      <w:r>
        <w:rPr>
          <w:rFonts w:ascii="宋体" w:hAnsi="宋体"/>
          <w:b/>
          <w:color w:val="auto"/>
          <w:sz w:val="24"/>
          <w:highlight w:val="none"/>
        </w:rPr>
        <w:instrText xml:space="preserve">HYPERLINK \l "_Toc74323461"</w:instrText>
      </w:r>
      <w:r>
        <w:rPr>
          <w:rStyle w:val="31"/>
          <w:rFonts w:ascii="宋体" w:hAnsi="宋体"/>
          <w:b/>
          <w:color w:val="auto"/>
          <w:sz w:val="24"/>
          <w:highlight w:val="none"/>
        </w:rPr>
        <w:instrText xml:space="preserve"> </w:instrText>
      </w:r>
      <w:r>
        <w:rPr>
          <w:rStyle w:val="31"/>
          <w:rFonts w:ascii="宋体" w:hAnsi="宋体"/>
          <w:b/>
          <w:color w:val="auto"/>
          <w:sz w:val="24"/>
          <w:highlight w:val="none"/>
        </w:rPr>
        <w:fldChar w:fldCharType="separate"/>
      </w:r>
      <w:r>
        <w:rPr>
          <w:rStyle w:val="31"/>
          <w:rFonts w:hint="eastAsia" w:ascii="宋体" w:hAnsi="宋体"/>
          <w:b/>
          <w:color w:val="auto"/>
          <w:sz w:val="24"/>
          <w:highlight w:val="none"/>
        </w:rPr>
        <w:t>第六章</w:t>
      </w:r>
      <w:r>
        <w:rPr>
          <w:rStyle w:val="31"/>
          <w:rFonts w:ascii="宋体" w:hAnsi="宋体"/>
          <w:b/>
          <w:color w:val="auto"/>
          <w:sz w:val="24"/>
          <w:highlight w:val="none"/>
        </w:rPr>
        <w:t xml:space="preserve"> </w:t>
      </w:r>
      <w:r>
        <w:rPr>
          <w:rStyle w:val="31"/>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91</w:t>
      </w:r>
      <w:r>
        <w:rPr>
          <w:rFonts w:ascii="宋体" w:hAnsi="宋体"/>
          <w:b/>
          <w:color w:val="auto"/>
          <w:sz w:val="24"/>
          <w:highlight w:val="none"/>
        </w:rPr>
        <w:fldChar w:fldCharType="end"/>
      </w:r>
      <w:r>
        <w:rPr>
          <w:rStyle w:val="31"/>
          <w:rFonts w:ascii="宋体" w:hAnsi="宋体"/>
          <w:b/>
          <w:color w:val="auto"/>
          <w:sz w:val="24"/>
          <w:highlight w:val="none"/>
        </w:rPr>
        <w:fldChar w:fldCharType="end"/>
      </w:r>
    </w:p>
    <w:p w14:paraId="6FFCC033">
      <w:pPr>
        <w:pStyle w:val="22"/>
        <w:shd w:val="clear" w:color="auto" w:fill="auto"/>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5C2B10CC">
      <w:pPr>
        <w:shd w:val="clear" w:color="auto" w:fill="auto"/>
        <w:spacing w:line="400" w:lineRule="exact"/>
        <w:jc w:val="left"/>
        <w:rPr>
          <w:rFonts w:hint="eastAsia" w:ascii="宋体" w:hAnsi="宋体"/>
          <w:b/>
          <w:color w:val="auto"/>
          <w:sz w:val="32"/>
          <w:szCs w:val="32"/>
          <w:highlight w:val="none"/>
        </w:rPr>
      </w:pPr>
    </w:p>
    <w:p w14:paraId="4CE11F9C">
      <w:pPr>
        <w:shd w:val="clear" w:color="auto" w:fill="auto"/>
        <w:spacing w:line="400" w:lineRule="exact"/>
        <w:jc w:val="center"/>
        <w:rPr>
          <w:rFonts w:hint="eastAsia" w:ascii="宋体" w:hAnsi="宋体"/>
          <w:b/>
          <w:color w:val="auto"/>
          <w:sz w:val="32"/>
          <w:szCs w:val="32"/>
          <w:highlight w:val="none"/>
        </w:rPr>
      </w:pPr>
    </w:p>
    <w:p w14:paraId="41AB611A">
      <w:pPr>
        <w:shd w:val="clear" w:color="auto" w:fill="auto"/>
        <w:spacing w:line="400" w:lineRule="exact"/>
        <w:jc w:val="center"/>
        <w:rPr>
          <w:rFonts w:hint="eastAsia" w:ascii="宋体" w:hAnsi="宋体"/>
          <w:b/>
          <w:color w:val="auto"/>
          <w:sz w:val="32"/>
          <w:szCs w:val="32"/>
          <w:highlight w:val="none"/>
        </w:rPr>
      </w:pPr>
    </w:p>
    <w:p w14:paraId="0ACF4B6F">
      <w:pPr>
        <w:shd w:val="clear" w:color="auto" w:fill="auto"/>
        <w:spacing w:line="400" w:lineRule="exact"/>
        <w:jc w:val="center"/>
        <w:rPr>
          <w:rFonts w:hint="eastAsia" w:ascii="宋体" w:hAnsi="宋体"/>
          <w:b/>
          <w:color w:val="auto"/>
          <w:sz w:val="32"/>
          <w:szCs w:val="32"/>
          <w:highlight w:val="none"/>
        </w:rPr>
      </w:pPr>
    </w:p>
    <w:p w14:paraId="77957C2F">
      <w:pPr>
        <w:shd w:val="clear" w:color="auto" w:fill="auto"/>
        <w:spacing w:line="400" w:lineRule="exact"/>
        <w:jc w:val="center"/>
        <w:rPr>
          <w:rFonts w:hint="eastAsia" w:ascii="宋体" w:hAnsi="宋体"/>
          <w:b/>
          <w:color w:val="auto"/>
          <w:sz w:val="32"/>
          <w:szCs w:val="32"/>
          <w:highlight w:val="none"/>
        </w:rPr>
      </w:pPr>
    </w:p>
    <w:p w14:paraId="29582149">
      <w:pPr>
        <w:shd w:val="clear" w:color="auto" w:fill="auto"/>
        <w:spacing w:line="400" w:lineRule="exact"/>
        <w:rPr>
          <w:rFonts w:hint="eastAsia"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142E881">
      <w:pPr>
        <w:pStyle w:val="2"/>
        <w:shd w:val="clear" w:color="auto" w:fill="auto"/>
        <w:jc w:val="center"/>
        <w:rPr>
          <w:color w:val="auto"/>
          <w:highlight w:val="none"/>
        </w:rPr>
      </w:pPr>
      <w:bookmarkStart w:id="3" w:name="_Toc74323456"/>
      <w:r>
        <w:rPr>
          <w:rFonts w:hint="eastAsia"/>
          <w:color w:val="auto"/>
          <w:highlight w:val="none"/>
        </w:rPr>
        <w:t>第一章 竞争性磋商公告</w:t>
      </w:r>
      <w:bookmarkEnd w:id="3"/>
    </w:p>
    <w:p w14:paraId="02A78110">
      <w:pPr>
        <w:shd w:val="clear" w:color="auto" w:fill="auto"/>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42D46E8E">
      <w:pPr>
        <w:shd w:val="clear" w:color="auto" w:fill="auto"/>
        <w:spacing w:line="360" w:lineRule="auto"/>
        <w:rPr>
          <w:rFonts w:ascii="宋体" w:hAnsi="宋体"/>
          <w:color w:val="auto"/>
          <w:szCs w:val="21"/>
          <w:highlight w:val="none"/>
        </w:rPr>
      </w:pPr>
    </w:p>
    <w:p w14:paraId="18E07D3A">
      <w:pPr>
        <w:pBdr>
          <w:top w:val="single" w:color="auto" w:sz="4" w:space="1"/>
          <w:left w:val="single" w:color="auto" w:sz="4" w:space="4"/>
          <w:bottom w:val="single" w:color="auto" w:sz="4" w:space="1"/>
          <w:right w:val="single" w:color="auto" w:sz="4" w:space="4"/>
        </w:pBdr>
        <w:shd w:val="clear" w:color="auto" w:fill="auto"/>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0D49C654">
      <w:pPr>
        <w:pBdr>
          <w:top w:val="single" w:color="auto" w:sz="4" w:space="1"/>
          <w:left w:val="single" w:color="auto" w:sz="4" w:space="4"/>
          <w:bottom w:val="single" w:color="auto" w:sz="4" w:space="1"/>
          <w:right w:val="single" w:color="auto" w:sz="4" w:space="4"/>
        </w:pBd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健康（慢病）体检系统提升项目</w:t>
      </w:r>
      <w:r>
        <w:rPr>
          <w:rFonts w:hint="eastAsia" w:ascii="宋体" w:hAnsi="宋体"/>
          <w:color w:val="auto"/>
          <w:szCs w:val="21"/>
          <w:highlight w:val="none"/>
        </w:rPr>
        <w:t>项目的潜在供应商应在广西政府采购云平台（https://www.gcy.zfcg.gxzf.gov.cn/）下载竞争性磋商文件，并于</w:t>
      </w:r>
      <w:r>
        <w:rPr>
          <w:rFonts w:hint="eastAsia" w:ascii="宋体" w:hAnsi="宋体"/>
          <w:color w:val="auto"/>
          <w:szCs w:val="21"/>
          <w:highlight w:val="none"/>
          <w:u w:val="single"/>
          <w:lang w:eastAsia="zh-CN"/>
        </w:rPr>
        <w:t>2025年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69B56EB5">
      <w:pPr>
        <w:shd w:val="clear" w:color="auto" w:fill="auto"/>
        <w:spacing w:line="360" w:lineRule="auto"/>
        <w:rPr>
          <w:rFonts w:ascii="宋体" w:hAnsi="宋体"/>
          <w:color w:val="auto"/>
          <w:szCs w:val="21"/>
          <w:highlight w:val="none"/>
        </w:rPr>
      </w:pPr>
    </w:p>
    <w:p w14:paraId="3ADBE218">
      <w:pPr>
        <w:shd w:val="clear" w:color="auto" w:fill="auto"/>
        <w:ind w:firstLine="354" w:firstLineChars="147"/>
        <w:rPr>
          <w:rFonts w:ascii="黑体" w:hAnsi="黑体" w:eastAsia="黑体"/>
          <w:b/>
          <w:color w:val="auto"/>
          <w:sz w:val="24"/>
          <w:highlight w:val="none"/>
        </w:rPr>
      </w:pPr>
      <w:bookmarkStart w:id="5" w:name="_Toc28359089"/>
      <w:bookmarkStart w:id="6" w:name="_Toc35393798"/>
      <w:bookmarkStart w:id="7" w:name="_Toc35393629"/>
      <w:bookmarkStart w:id="8" w:name="_Toc71365905"/>
      <w:bookmarkStart w:id="9" w:name="_Toc28359012"/>
      <w:bookmarkStart w:id="10" w:name="_Toc44229878"/>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390E7950">
      <w:pPr>
        <w:shd w:val="clear" w:color="auto" w:fill="auto"/>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项目编号：WZZC2025-C3-990121-YZLZ</w:t>
      </w:r>
    </w:p>
    <w:p w14:paraId="5CD709BE">
      <w:pPr>
        <w:shd w:val="clear" w:color="auto" w:fill="auto"/>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健康（慢病）体检系统提升项目</w:t>
      </w:r>
    </w:p>
    <w:p w14:paraId="1A6B5B15">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73E6783A">
      <w:pPr>
        <w:shd w:val="clear" w:color="auto" w:fill="auto"/>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预算总金额（元）：</w:t>
      </w:r>
      <w:r>
        <w:rPr>
          <w:rFonts w:hint="eastAsia" w:ascii="宋体" w:hAnsi="宋体"/>
          <w:color w:val="auto"/>
          <w:szCs w:val="21"/>
          <w:highlight w:val="none"/>
          <w:lang w:eastAsia="zh-CN"/>
        </w:rPr>
        <w:t>815000.00</w:t>
      </w:r>
    </w:p>
    <w:p w14:paraId="52CCB77D">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eastAsia="zh-CN"/>
        </w:rPr>
        <w:t>815000.00</w:t>
      </w:r>
      <w:r>
        <w:rPr>
          <w:rFonts w:hint="eastAsia" w:ascii="宋体" w:hAnsi="宋体"/>
          <w:color w:val="auto"/>
          <w:szCs w:val="21"/>
          <w:highlight w:val="none"/>
        </w:rPr>
        <w:t>元</w:t>
      </w:r>
    </w:p>
    <w:p w14:paraId="465BA240">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2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22"/>
        <w:gridCol w:w="945"/>
        <w:gridCol w:w="6138"/>
      </w:tblGrid>
      <w:tr w14:paraId="30E3D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5E1E283E">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w:t>
            </w:r>
            <w:r>
              <w:rPr>
                <w:rFonts w:hint="eastAsia" w:ascii="宋体" w:hAnsi="宋体"/>
                <w:color w:val="auto"/>
                <w:szCs w:val="21"/>
                <w:highlight w:val="none"/>
                <w:lang w:val="en-US" w:eastAsia="zh-CN"/>
              </w:rPr>
              <w:t>81.5</w:t>
            </w:r>
            <w:r>
              <w:rPr>
                <w:rFonts w:hint="eastAsia" w:ascii="宋体" w:hAnsi="宋体"/>
                <w:color w:val="auto"/>
                <w:szCs w:val="21"/>
                <w:highlight w:val="none"/>
              </w:rPr>
              <w:t>万元</w:t>
            </w:r>
          </w:p>
        </w:tc>
      </w:tr>
      <w:tr w14:paraId="28B1E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E16ED88">
            <w:pPr>
              <w:shd w:val="clear" w:color="auto" w:fill="auto"/>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895CABB">
            <w:pPr>
              <w:shd w:val="clear" w:color="auto" w:fill="auto"/>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15D6F6C">
            <w:pPr>
              <w:shd w:val="clear" w:color="auto" w:fill="auto"/>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1D5515BD">
            <w:pPr>
              <w:shd w:val="clear" w:color="auto" w:fill="auto"/>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6138" w:type="dxa"/>
            <w:tcBorders>
              <w:top w:val="single" w:color="auto" w:sz="4" w:space="0"/>
              <w:left w:val="single" w:color="auto" w:sz="4" w:space="0"/>
              <w:bottom w:val="single" w:color="auto" w:sz="4" w:space="0"/>
              <w:right w:val="single" w:color="auto" w:sz="4" w:space="0"/>
            </w:tcBorders>
            <w:noWrap w:val="0"/>
            <w:vAlign w:val="center"/>
          </w:tcPr>
          <w:p w14:paraId="38978F6A">
            <w:pPr>
              <w:shd w:val="clear" w:color="auto" w:fill="auto"/>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08C1A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0DA619A">
            <w:pPr>
              <w:shd w:val="clear" w:color="auto" w:fill="auto"/>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FC73006">
            <w:pPr>
              <w:shd w:val="clear" w:color="auto" w:fill="auto"/>
              <w:tabs>
                <w:tab w:val="left" w:pos="180"/>
                <w:tab w:val="left" w:pos="1620"/>
              </w:tabs>
              <w:spacing w:line="360" w:lineRule="auto"/>
              <w:jc w:val="center"/>
              <w:rPr>
                <w:rFonts w:hint="eastAsia" w:ascii="宋体" w:hAnsi="宋体"/>
                <w:color w:val="auto"/>
                <w:szCs w:val="21"/>
                <w:highlight w:val="none"/>
              </w:rPr>
            </w:pPr>
            <w:r>
              <w:rPr>
                <w:rFonts w:hint="eastAsia" w:ascii="宋体" w:hAnsi="宋体" w:cs="宋体"/>
                <w:color w:val="auto"/>
                <w:szCs w:val="21"/>
                <w:highlight w:val="none"/>
                <w:lang w:eastAsia="zh-CN"/>
              </w:rPr>
              <w:t>健康（慢病）体检系统提升项目</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FD7F3F">
            <w:pPr>
              <w:shd w:val="clear" w:color="auto" w:fill="auto"/>
              <w:tabs>
                <w:tab w:val="left" w:pos="180"/>
                <w:tab w:val="left" w:pos="1620"/>
              </w:tabs>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1项</w:t>
            </w:r>
          </w:p>
        </w:tc>
        <w:tc>
          <w:tcPr>
            <w:tcW w:w="6138" w:type="dxa"/>
            <w:tcBorders>
              <w:top w:val="single" w:color="auto" w:sz="4" w:space="0"/>
              <w:left w:val="single" w:color="auto" w:sz="4" w:space="0"/>
              <w:bottom w:val="single" w:color="auto" w:sz="4" w:space="0"/>
              <w:right w:val="single" w:color="auto" w:sz="4" w:space="0"/>
            </w:tcBorders>
            <w:noWrap w:val="0"/>
            <w:vAlign w:val="center"/>
          </w:tcPr>
          <w:tbl>
            <w:tblPr>
              <w:tblStyle w:val="27"/>
              <w:tblW w:w="5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923"/>
            </w:tblGrid>
            <w:tr w14:paraId="3F82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38" w:type="dxa"/>
                  <w:gridSpan w:val="2"/>
                  <w:noWrap w:val="0"/>
                  <w:vAlign w:val="center"/>
                </w:tcPr>
                <w:p w14:paraId="3DEF92E1">
                  <w:pPr>
                    <w:keepNext w:val="0"/>
                    <w:keepLines w:val="0"/>
                    <w:pageBreakBefore w:val="0"/>
                    <w:numPr>
                      <w:ilvl w:val="0"/>
                      <w:numId w:val="0"/>
                    </w:numPr>
                    <w:kinsoku/>
                    <w:wordWrap/>
                    <w:overflowPunct/>
                    <w:topLinePunct w:val="0"/>
                    <w:bidi w:val="0"/>
                    <w:spacing w:line="0" w:lineRule="atLeas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rPr>
                    <w:t>检前管理系统功能要求</w:t>
                  </w:r>
                </w:p>
              </w:tc>
            </w:tr>
            <w:tr w14:paraId="686D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38" w:type="dxa"/>
                  <w:gridSpan w:val="2"/>
                  <w:noWrap w:val="0"/>
                  <w:vAlign w:val="center"/>
                </w:tcPr>
                <w:p w14:paraId="1F3892AC">
                  <w:pPr>
                    <w:keepNext w:val="0"/>
                    <w:keepLines w:val="0"/>
                    <w:pageBreakBefore w:val="0"/>
                    <w:kinsoku/>
                    <w:wordWrap/>
                    <w:overflowPunct/>
                    <w:topLinePunct w:val="0"/>
                    <w:bidi w:val="0"/>
                    <w:spacing w:line="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1、客户关系管理</w:t>
                  </w:r>
                </w:p>
              </w:tc>
            </w:tr>
            <w:tr w14:paraId="62DC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Merge w:val="restart"/>
                  <w:noWrap w:val="0"/>
                  <w:vAlign w:val="center"/>
                </w:tcPr>
                <w:p w14:paraId="0307CEFE">
                  <w:pPr>
                    <w:keepNext w:val="0"/>
                    <w:keepLines w:val="0"/>
                    <w:pageBreakBefore w:val="0"/>
                    <w:kinsoku/>
                    <w:wordWrap/>
                    <w:overflowPunct/>
                    <w:topLinePunct w:val="0"/>
                    <w:bidi w:val="0"/>
                    <w:spacing w:line="0"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企业客户中心</w:t>
                  </w:r>
                </w:p>
              </w:tc>
              <w:tc>
                <w:tcPr>
                  <w:tcW w:w="4923" w:type="dxa"/>
                  <w:noWrap w:val="0"/>
                  <w:vAlign w:val="center"/>
                </w:tcPr>
                <w:p w14:paraId="2725ED34">
                  <w:pPr>
                    <w:keepNext w:val="0"/>
                    <w:keepLines w:val="0"/>
                    <w:pageBreakBefore w:val="0"/>
                    <w:kinsoku/>
                    <w:wordWrap/>
                    <w:overflowPunct/>
                    <w:topLinePunct w:val="0"/>
                    <w:bidi w:val="0"/>
                    <w:spacing w:line="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支持创建团检单位基本信息、子单位信息、单位联系人等；</w:t>
                  </w:r>
                </w:p>
              </w:tc>
            </w:tr>
            <w:tr w14:paraId="452D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dxa"/>
                  <w:vMerge w:val="continue"/>
                  <w:noWrap w:val="0"/>
                  <w:vAlign w:val="center"/>
                </w:tcPr>
                <w:p w14:paraId="234B9018">
                  <w:pPr>
                    <w:keepNext w:val="0"/>
                    <w:keepLines w:val="0"/>
                    <w:pageBreakBefore w:val="0"/>
                    <w:kinsoku/>
                    <w:wordWrap/>
                    <w:overflowPunct/>
                    <w:topLinePunct w:val="0"/>
                    <w:bidi w:val="0"/>
                    <w:spacing w:line="0" w:lineRule="atLeast"/>
                    <w:textAlignment w:val="auto"/>
                    <w:rPr>
                      <w:rFonts w:hint="eastAsia" w:ascii="宋体" w:hAnsi="宋体" w:eastAsia="宋体" w:cs="宋体"/>
                      <w:color w:val="auto"/>
                      <w:sz w:val="21"/>
                      <w:szCs w:val="21"/>
                      <w:highlight w:val="none"/>
                    </w:rPr>
                  </w:pPr>
                </w:p>
              </w:tc>
              <w:tc>
                <w:tcPr>
                  <w:tcW w:w="4923" w:type="dxa"/>
                  <w:noWrap w:val="0"/>
                  <w:vAlign w:val="center"/>
                </w:tcPr>
                <w:p w14:paraId="6FCC65F6">
                  <w:pPr>
                    <w:keepNext w:val="0"/>
                    <w:keepLines w:val="0"/>
                    <w:pageBreakBefore w:val="0"/>
                    <w:kinsoku/>
                    <w:wordWrap/>
                    <w:overflowPunct/>
                    <w:topLinePunct w:val="0"/>
                    <w:bidi w:val="0"/>
                    <w:spacing w:line="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支持查看团检单位历年历次体检进度、人员结构等；</w:t>
                  </w:r>
                </w:p>
              </w:tc>
            </w:tr>
            <w:tr w14:paraId="080C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15" w:type="dxa"/>
                  <w:vMerge w:val="continue"/>
                  <w:noWrap w:val="0"/>
                  <w:vAlign w:val="center"/>
                </w:tcPr>
                <w:p w14:paraId="5424BEA6">
                  <w:pPr>
                    <w:keepNext w:val="0"/>
                    <w:keepLines w:val="0"/>
                    <w:pageBreakBefore w:val="0"/>
                    <w:kinsoku/>
                    <w:wordWrap/>
                    <w:overflowPunct/>
                    <w:topLinePunct w:val="0"/>
                    <w:bidi w:val="0"/>
                    <w:spacing w:line="0" w:lineRule="atLeast"/>
                    <w:textAlignment w:val="auto"/>
                    <w:rPr>
                      <w:rFonts w:hint="eastAsia" w:ascii="宋体" w:hAnsi="宋体" w:eastAsia="宋体" w:cs="宋体"/>
                      <w:color w:val="auto"/>
                      <w:sz w:val="21"/>
                      <w:szCs w:val="21"/>
                      <w:highlight w:val="none"/>
                    </w:rPr>
                  </w:pPr>
                </w:p>
              </w:tc>
              <w:tc>
                <w:tcPr>
                  <w:tcW w:w="4923" w:type="dxa"/>
                  <w:noWrap w:val="0"/>
                  <w:vAlign w:val="center"/>
                </w:tcPr>
                <w:p w14:paraId="0E0C7D1F">
                  <w:pPr>
                    <w:keepNext w:val="0"/>
                    <w:keepLines w:val="0"/>
                    <w:pageBreakBefore w:val="0"/>
                    <w:kinsoku/>
                    <w:wordWrap/>
                    <w:overflowPunct/>
                    <w:topLinePunct w:val="0"/>
                    <w:bidi w:val="0"/>
                    <w:spacing w:line="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支持查看团检单位历年历次体检人数、单位总配额、项目总金额、应收总金额、自费总金额、平均金额等，并支持相关运营分析数据统计。</w:t>
                  </w:r>
                </w:p>
              </w:tc>
            </w:tr>
          </w:tbl>
          <w:p w14:paraId="4EF9039E">
            <w:pPr>
              <w:pStyle w:val="5"/>
              <w:shd w:val="clear" w:color="auto" w:fill="auto"/>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等等，</w:t>
            </w:r>
            <w:r>
              <w:rPr>
                <w:rFonts w:hint="eastAsia" w:ascii="宋体" w:hAnsi="宋体" w:eastAsia="宋体" w:cs="宋体"/>
                <w:b w:val="0"/>
                <w:bCs w:val="0"/>
                <w:color w:val="auto"/>
                <w:sz w:val="21"/>
                <w:szCs w:val="21"/>
                <w:highlight w:val="none"/>
              </w:rPr>
              <w:t>具体内容详见竞争性磋商文件。</w:t>
            </w:r>
          </w:p>
        </w:tc>
      </w:tr>
    </w:tbl>
    <w:p w14:paraId="7A55091C">
      <w:pPr>
        <w:shd w:val="clear" w:color="auto" w:fill="auto"/>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在合同签订后60天内完成系统开发、系统调试、系统测试并交付使用。</w:t>
      </w:r>
    </w:p>
    <w:p w14:paraId="32E9C52E">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7D0802C1">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14:paraId="44765BA2">
      <w:pPr>
        <w:shd w:val="clear" w:color="auto" w:fill="auto"/>
        <w:ind w:firstLine="354" w:firstLineChars="147"/>
        <w:rPr>
          <w:rFonts w:ascii="黑体" w:hAnsi="黑体" w:eastAsia="黑体"/>
          <w:b/>
          <w:color w:val="auto"/>
          <w:sz w:val="24"/>
          <w:highlight w:val="none"/>
        </w:rPr>
      </w:pPr>
      <w:bookmarkStart w:id="11" w:name="_Toc28359090"/>
      <w:bookmarkStart w:id="12" w:name="_Toc71365906"/>
      <w:bookmarkStart w:id="13" w:name="_Toc35393799"/>
      <w:bookmarkStart w:id="14" w:name="_Toc35393630"/>
      <w:bookmarkStart w:id="15" w:name="_Toc44229879"/>
      <w:bookmarkStart w:id="16" w:name="_Toc28359013"/>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2BBED1E8">
      <w:pPr>
        <w:shd w:val="clear" w:color="auto" w:fill="auto"/>
        <w:spacing w:line="360" w:lineRule="auto"/>
        <w:ind w:firstLine="420" w:firstLineChars="200"/>
        <w:rPr>
          <w:rFonts w:ascii="宋体" w:hAnsi="宋体"/>
          <w:color w:val="auto"/>
          <w:szCs w:val="21"/>
          <w:highlight w:val="none"/>
        </w:rPr>
      </w:pPr>
      <w:bookmarkStart w:id="17" w:name="_Toc35393800"/>
      <w:bookmarkStart w:id="18" w:name="_Toc44229880"/>
      <w:bookmarkStart w:id="19" w:name="_Toc28359091"/>
      <w:bookmarkStart w:id="20" w:name="_Toc28359014"/>
      <w:bookmarkStart w:id="21" w:name="_Toc35393631"/>
      <w:r>
        <w:rPr>
          <w:rFonts w:hint="eastAsia" w:ascii="宋体" w:hAnsi="宋体"/>
          <w:color w:val="auto"/>
          <w:szCs w:val="21"/>
          <w:highlight w:val="none"/>
        </w:rPr>
        <w:t>1.满足《中华人民共和国政府采购法》第二十二条规定；</w:t>
      </w:r>
    </w:p>
    <w:p w14:paraId="7112A862">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none"/>
          <w:lang w:eastAsia="zh-CN"/>
        </w:rPr>
        <w:t>本项目属于专门面向中小企业采购的项目，服务的承接单位为符合政策要求的中型、小型或微型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14:paraId="39643BBA">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r>
        <w:rPr>
          <w:rFonts w:hint="eastAsia" w:ascii="宋体" w:hAnsi="宋体"/>
          <w:color w:val="auto"/>
          <w:szCs w:val="21"/>
          <w:highlight w:val="none"/>
        </w:rPr>
        <w:t>。</w:t>
      </w:r>
    </w:p>
    <w:p w14:paraId="69C374A4">
      <w:pPr>
        <w:shd w:val="clear" w:color="auto" w:fill="auto"/>
        <w:ind w:firstLine="354" w:firstLineChars="147"/>
        <w:rPr>
          <w:rFonts w:ascii="黑体" w:hAnsi="黑体" w:eastAsia="黑体"/>
          <w:b/>
          <w:color w:val="auto"/>
          <w:sz w:val="24"/>
          <w:highlight w:val="none"/>
        </w:rPr>
      </w:pPr>
      <w:bookmarkStart w:id="22" w:name="_Toc71365907"/>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38DC0056">
      <w:pPr>
        <w:shd w:val="clear" w:color="auto" w:fill="auto"/>
        <w:spacing w:line="360" w:lineRule="auto"/>
        <w:ind w:firstLine="420" w:firstLineChars="200"/>
        <w:rPr>
          <w:rFonts w:ascii="宋体" w:hAnsi="宋体" w:cs="宋体"/>
          <w:bCs/>
          <w:color w:val="auto"/>
          <w:kern w:val="0"/>
          <w:szCs w:val="21"/>
          <w:highlight w:val="none"/>
        </w:rPr>
      </w:pPr>
      <w:bookmarkStart w:id="23" w:name="_Toc44229881"/>
      <w:bookmarkStart w:id="24" w:name="_Toc35393632"/>
      <w:bookmarkStart w:id="25" w:name="_Toc35393801"/>
      <w:bookmarkStart w:id="26" w:name="_Toc28359092"/>
      <w:bookmarkStart w:id="27" w:name="_Toc28359015"/>
      <w:r>
        <w:rPr>
          <w:rFonts w:hint="eastAsia" w:ascii="宋体" w:hAnsi="宋体" w:cs="宋体"/>
          <w:bCs/>
          <w:color w:val="auto"/>
          <w:kern w:val="0"/>
          <w:szCs w:val="21"/>
          <w:highlight w:val="none"/>
        </w:rPr>
        <w:t>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18</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w:t>
      </w:r>
    </w:p>
    <w:p w14:paraId="78642704">
      <w:pPr>
        <w:shd w:val="clear" w:color="auto" w:fill="auto"/>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89B0617">
      <w:pPr>
        <w:shd w:val="clear" w:color="auto" w:fill="auto"/>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754F3695">
      <w:pPr>
        <w:shd w:val="clear" w:color="auto" w:fill="auto"/>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val="0"/>
          <w:iCs/>
          <w:color w:val="auto"/>
          <w:szCs w:val="21"/>
          <w:highlight w:val="none"/>
          <w:u w:val="single"/>
        </w:rPr>
        <w:t>0</w:t>
      </w:r>
      <w:r>
        <w:rPr>
          <w:rFonts w:hint="eastAsia" w:ascii="宋体" w:hAnsi="宋体" w:cs="宋体"/>
          <w:color w:val="auto"/>
          <w:szCs w:val="21"/>
          <w:highlight w:val="none"/>
        </w:rPr>
        <w:t>元</w:t>
      </w:r>
    </w:p>
    <w:p w14:paraId="676A87FB">
      <w:pPr>
        <w:shd w:val="clear" w:color="auto" w:fill="auto"/>
        <w:ind w:firstLine="354" w:firstLineChars="147"/>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637FE916">
      <w:pPr>
        <w:shd w:val="clear" w:color="auto" w:fill="auto"/>
        <w:spacing w:line="360" w:lineRule="auto"/>
        <w:ind w:firstLine="420" w:firstLineChars="200"/>
        <w:rPr>
          <w:rFonts w:ascii="宋体" w:hAnsi="宋体" w:cs="宋体"/>
          <w:color w:val="auto"/>
          <w:szCs w:val="21"/>
          <w:highlight w:val="none"/>
          <w:u w:val="single"/>
        </w:rPr>
      </w:pPr>
      <w:bookmarkStart w:id="29" w:name="_Toc35393633"/>
      <w:bookmarkStart w:id="30" w:name="_Toc28359093"/>
      <w:bookmarkStart w:id="31" w:name="_Toc35393802"/>
      <w:bookmarkStart w:id="32" w:name="_Toc28359016"/>
      <w:bookmarkStart w:id="33" w:name="_Toc44229882"/>
      <w:r>
        <w:rPr>
          <w:rFonts w:hint="eastAsia" w:ascii="宋体" w:hAnsi="宋体"/>
          <w:color w:val="auto"/>
          <w:szCs w:val="21"/>
          <w:highlight w:val="none"/>
        </w:rPr>
        <w:t>截止时间：</w:t>
      </w:r>
      <w:r>
        <w:rPr>
          <w:rFonts w:hint="eastAsia" w:ascii="宋体" w:hAnsi="宋体"/>
          <w:bCs/>
          <w:color w:val="auto"/>
          <w:szCs w:val="21"/>
          <w:highlight w:val="none"/>
          <w:lang w:eastAsia="zh-CN"/>
        </w:rPr>
        <w:t>2025年</w:t>
      </w:r>
      <w:r>
        <w:rPr>
          <w:rFonts w:hint="eastAsia" w:ascii="宋体" w:hAnsi="宋体"/>
          <w:bCs/>
          <w:color w:val="auto"/>
          <w:szCs w:val="21"/>
          <w:highlight w:val="none"/>
          <w:lang w:val="en-US" w:eastAsia="zh-CN"/>
        </w:rPr>
        <w:t>6</w:t>
      </w:r>
      <w:r>
        <w:rPr>
          <w:rFonts w:hint="eastAsia" w:ascii="宋体" w:hAnsi="宋体"/>
          <w:bCs/>
          <w:color w:val="auto"/>
          <w:szCs w:val="21"/>
          <w:highlight w:val="none"/>
          <w:lang w:eastAsia="zh-CN"/>
        </w:rPr>
        <w:t>月</w:t>
      </w:r>
      <w:r>
        <w:rPr>
          <w:rFonts w:hint="eastAsia" w:ascii="宋体" w:hAnsi="宋体"/>
          <w:bCs/>
          <w:color w:val="auto"/>
          <w:szCs w:val="21"/>
          <w:highlight w:val="none"/>
          <w:lang w:val="en-US" w:eastAsia="zh-CN"/>
        </w:rPr>
        <w:t>23</w:t>
      </w:r>
      <w:r>
        <w:rPr>
          <w:rFonts w:hint="eastAsia" w:ascii="宋体" w:hAnsi="宋体"/>
          <w:bCs/>
          <w:color w:val="auto"/>
          <w:szCs w:val="21"/>
          <w:highlight w:val="none"/>
          <w:lang w:eastAsia="zh-CN"/>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0（北京时间）</w:t>
      </w:r>
    </w:p>
    <w:p w14:paraId="5EE34CEB">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3996B97">
      <w:pPr>
        <w:shd w:val="clear" w:color="auto" w:fill="auto"/>
        <w:ind w:firstLine="354" w:firstLineChars="147"/>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154F48FF">
      <w:pPr>
        <w:shd w:val="clear" w:color="auto" w:fill="auto"/>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23</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bCs/>
          <w:color w:val="auto"/>
          <w:szCs w:val="21"/>
          <w:highlight w:val="none"/>
        </w:rPr>
        <w:t>（北京时间）</w:t>
      </w:r>
    </w:p>
    <w:p w14:paraId="1897C01C">
      <w:pPr>
        <w:shd w:val="clear" w:color="auto" w:fill="auto"/>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1029D21">
      <w:pPr>
        <w:shd w:val="clear" w:color="auto" w:fill="auto"/>
        <w:ind w:firstLine="354" w:firstLineChars="147"/>
        <w:rPr>
          <w:rFonts w:ascii="黑体" w:hAnsi="黑体" w:eastAsia="黑体"/>
          <w:b/>
          <w:color w:val="auto"/>
          <w:sz w:val="24"/>
          <w:highlight w:val="none"/>
        </w:rPr>
      </w:pPr>
      <w:bookmarkStart w:id="35" w:name="_Toc71365910"/>
      <w:bookmarkStart w:id="36" w:name="_Toc35393803"/>
      <w:bookmarkStart w:id="37" w:name="_Toc44229883"/>
      <w:bookmarkStart w:id="38" w:name="_Toc28359094"/>
      <w:bookmarkStart w:id="39" w:name="_Toc28359017"/>
      <w:bookmarkStart w:id="40" w:name="_Toc35393634"/>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100F95E1">
      <w:pPr>
        <w:shd w:val="clear" w:color="auto" w:fill="auto"/>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50D20873">
      <w:pPr>
        <w:shd w:val="clear" w:color="auto" w:fill="auto"/>
        <w:ind w:firstLine="354" w:firstLineChars="147"/>
        <w:rPr>
          <w:rFonts w:ascii="黑体" w:hAnsi="黑体" w:eastAsia="黑体"/>
          <w:b/>
          <w:color w:val="auto"/>
          <w:sz w:val="24"/>
          <w:highlight w:val="none"/>
        </w:rPr>
      </w:pPr>
      <w:bookmarkStart w:id="41" w:name="_Toc35393635"/>
      <w:bookmarkStart w:id="42" w:name="_Toc35393804"/>
      <w:bookmarkStart w:id="43" w:name="_Toc71365911"/>
      <w:bookmarkStart w:id="44" w:name="_Toc44229884"/>
      <w:r>
        <w:rPr>
          <w:rFonts w:hint="eastAsia" w:ascii="黑体" w:hAnsi="黑体" w:eastAsia="黑体"/>
          <w:b/>
          <w:color w:val="auto"/>
          <w:sz w:val="24"/>
          <w:highlight w:val="none"/>
        </w:rPr>
        <w:t>七、其他补充事宜</w:t>
      </w:r>
      <w:bookmarkEnd w:id="41"/>
      <w:bookmarkEnd w:id="42"/>
      <w:bookmarkEnd w:id="43"/>
      <w:bookmarkEnd w:id="44"/>
    </w:p>
    <w:p w14:paraId="4C798068">
      <w:pPr>
        <w:shd w:val="clear" w:color="auto" w:fill="auto"/>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1558FB61">
      <w:pPr>
        <w:shd w:val="clear" w:color="auto" w:fill="auto"/>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r>
        <w:rPr>
          <w:rFonts w:ascii="宋体" w:hAnsi="宋体" w:cs="宋体"/>
          <w:color w:val="auto"/>
          <w:kern w:val="0"/>
          <w:szCs w:val="21"/>
          <w:highlight w:val="none"/>
        </w:rPr>
        <w:t>http://117.141.250.58:10030/web/cgw/index.ptl</w:t>
      </w:r>
      <w:r>
        <w:rPr>
          <w:rFonts w:hint="eastAsia" w:ascii="宋体" w:hAnsi="宋体" w:cs="宋体"/>
          <w:color w:val="auto"/>
          <w:kern w:val="0"/>
          <w:szCs w:val="21"/>
          <w:highlight w:val="none"/>
        </w:rPr>
        <w:t>（梧州市政府采购网）</w:t>
      </w:r>
    </w:p>
    <w:p w14:paraId="2EEF9E9F">
      <w:pPr>
        <w:shd w:val="clear" w:color="auto" w:fill="auto"/>
        <w:spacing w:line="360" w:lineRule="auto"/>
        <w:ind w:firstLine="424" w:firstLineChars="202"/>
        <w:rPr>
          <w:rFonts w:hint="eastAsia" w:ascii="宋体" w:hAnsi="宋体" w:cs="宋体"/>
          <w:color w:val="auto"/>
          <w:kern w:val="0"/>
          <w:szCs w:val="21"/>
          <w:highlight w:val="none"/>
        </w:rPr>
      </w:pPr>
      <w:bookmarkStart w:id="45" w:name="_Hlk37429674"/>
      <w:bookmarkStart w:id="46" w:name="_Toc28359095"/>
      <w:bookmarkStart w:id="47" w:name="_Toc28359018"/>
      <w:bookmarkStart w:id="48" w:name="_Toc35393636"/>
      <w:bookmarkStart w:id="49" w:name="_Toc35393805"/>
      <w:bookmarkStart w:id="50" w:name="_Toc4422988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4058CC37">
      <w:pPr>
        <w:shd w:val="clear" w:color="auto" w:fill="auto"/>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3E5B5BC1">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19A1C0C7">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（3）政府采购促进残疾人就业政策。</w:t>
      </w:r>
    </w:p>
    <w:p w14:paraId="578114C1">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（4）政府采购支持监狱企业发展。</w:t>
      </w:r>
    </w:p>
    <w:bookmarkEnd w:id="45"/>
    <w:p w14:paraId="3B573829">
      <w:pPr>
        <w:keepNext w:val="0"/>
        <w:keepLines w:val="0"/>
        <w:pageBreakBefore w:val="0"/>
        <w:widowControl/>
        <w:shd w:val="clear" w:color="auto" w:fill="auto"/>
        <w:kinsoku/>
        <w:wordWrap/>
        <w:overflowPunct/>
        <w:topLinePunct w:val="0"/>
        <w:autoSpaceDE/>
        <w:autoSpaceDN/>
        <w:bidi w:val="0"/>
        <w:adjustRightInd/>
        <w:spacing w:line="360" w:lineRule="auto"/>
        <w:ind w:firstLine="420" w:firstLineChars="200"/>
        <w:jc w:val="left"/>
        <w:textAlignment w:val="auto"/>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0E640E9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ascii="Times New Roman" w:hAnsi="Times New Roman" w:eastAsia="宋体" w:cs="Times New Roman"/>
          <w:color w:val="auto"/>
          <w:highlight w:val="none"/>
        </w:rPr>
        <w:t>后缀名为“jm</w:t>
      </w:r>
      <w:r>
        <w:rPr>
          <w:rFonts w:ascii="Times New Roman" w:hAnsi="Times New Roman" w:eastAsia="宋体" w:cs="Times New Roman"/>
          <w:color w:val="auto"/>
          <w:highlight w:val="none"/>
        </w:rPr>
        <w:t>bs</w:t>
      </w:r>
      <w:r>
        <w:rPr>
          <w:rFonts w:hint="eastAsia" w:ascii="Times New Roman" w:hAnsi="Times New Roman" w:eastAsia="宋体" w:cs="Times New Roman"/>
          <w:color w:val="auto"/>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供应商在广西政府采购云平台提交电子响应文件时，请填写参加远程采购活动经办人联系方式。</w:t>
      </w:r>
      <w:r>
        <w:rPr>
          <w:rFonts w:hint="eastAsia" w:ascii="宋体" w:hAnsi="宋体" w:eastAsia="宋体" w:cs="Times New Roman"/>
          <w:color w:val="auto"/>
          <w:szCs w:val="21"/>
          <w:highlight w:val="none"/>
        </w:rPr>
        <w:t>供应商登录广西政府采购云平台，依次进入“服务中心－项目采购－操作流程－电子招投标－</w:t>
      </w:r>
      <w:r>
        <w:rPr>
          <w:rFonts w:hint="eastAsia" w:ascii="Times New Roman" w:hAnsi="Times New Roman" w:eastAsia="宋体" w:cs="Times New Roman"/>
          <w:color w:val="auto"/>
          <w:highlight w:val="none"/>
        </w:rPr>
        <w:t>政府采购项目电子交易管理操作指南－供应商</w:t>
      </w:r>
      <w:r>
        <w:rPr>
          <w:rFonts w:hint="eastAsia" w:ascii="宋体" w:hAnsi="宋体" w:eastAsia="宋体" w:cs="Times New Roman"/>
          <w:color w:val="auto"/>
          <w:szCs w:val="21"/>
          <w:highlight w:val="none"/>
        </w:rPr>
        <w:t>”查看电子竞标具体操作流程。</w:t>
      </w:r>
    </w:p>
    <w:p w14:paraId="0407599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szCs w:val="21"/>
          <w:highlight w:val="none"/>
        </w:rPr>
        <w:t>广西政府采购云平台，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如在操作过程中遇到问题或者需要技术支持，请致电客</w:t>
      </w:r>
      <w:r>
        <w:rPr>
          <w:rFonts w:hint="eastAsia" w:ascii="宋体" w:hAnsi="宋体" w:eastAsia="宋体" w:cs="宋体"/>
          <w:bCs/>
          <w:color w:val="auto"/>
          <w:kern w:val="0"/>
          <w:szCs w:val="21"/>
          <w:highlight w:val="none"/>
        </w:rPr>
        <w:t>服热线：95763或者0771-3381253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rPr>
        <w:t>。</w:t>
      </w:r>
    </w:p>
    <w:p w14:paraId="23A7B8E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62D69FD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572BA02">
      <w:pPr>
        <w:keepNext w:val="0"/>
        <w:keepLines w:val="0"/>
        <w:pageBreakBefore w:val="0"/>
        <w:shd w:val="clear" w:color="auto" w:fill="auto"/>
        <w:kinsoku/>
        <w:wordWrap/>
        <w:overflowPunct/>
        <w:topLinePunct w:val="0"/>
        <w:autoSpaceDE/>
        <w:autoSpaceDN/>
        <w:bidi w:val="0"/>
        <w:adjustRightInd/>
        <w:spacing w:line="360" w:lineRule="auto"/>
        <w:ind w:firstLine="308" w:firstLineChars="147"/>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65E1DA4F">
      <w:pPr>
        <w:keepNext w:val="0"/>
        <w:keepLines w:val="0"/>
        <w:pageBreakBefore w:val="0"/>
        <w:shd w:val="clear" w:color="auto" w:fill="auto"/>
        <w:kinsoku/>
        <w:wordWrap/>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36AFD8C3">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bookmarkStart w:id="51" w:name="_Toc35393637"/>
      <w:bookmarkStart w:id="52" w:name="_Toc28359096"/>
      <w:bookmarkStart w:id="53" w:name="_Toc28359019"/>
      <w:bookmarkStart w:id="54" w:name="_Toc35393806"/>
      <w:r>
        <w:rPr>
          <w:rFonts w:hint="eastAsia" w:ascii="宋体" w:hAnsi="宋体" w:cs="宋体"/>
          <w:color w:val="auto"/>
          <w:kern w:val="0"/>
          <w:szCs w:val="21"/>
          <w:highlight w:val="none"/>
        </w:rPr>
        <w:t>1.采购人信息</w:t>
      </w:r>
      <w:bookmarkEnd w:id="51"/>
      <w:bookmarkEnd w:id="52"/>
      <w:bookmarkEnd w:id="53"/>
      <w:bookmarkEnd w:id="54"/>
    </w:p>
    <w:p w14:paraId="61E632D4">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eastAsia="宋体" w:cs="Times New Roman"/>
          <w:color w:val="auto"/>
          <w:szCs w:val="21"/>
          <w:highlight w:val="none"/>
        </w:rPr>
      </w:pPr>
      <w:bookmarkStart w:id="55" w:name="_Toc35393638"/>
      <w:bookmarkStart w:id="56" w:name="_Toc28359097"/>
      <w:bookmarkStart w:id="57" w:name="_Toc35393807"/>
      <w:bookmarkStart w:id="58" w:name="_Toc28359020"/>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u w:val="single"/>
          <w:lang w:eastAsia="zh-CN"/>
        </w:rPr>
        <w:t>梧州市人民医院</w:t>
      </w:r>
    </w:p>
    <w:p w14:paraId="2EF2AFE0">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梧州市长洲区三龙大道139号</w:t>
      </w:r>
    </w:p>
    <w:p w14:paraId="279500DF">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w:t>
      </w:r>
      <w:r>
        <w:rPr>
          <w:rFonts w:hint="eastAsia" w:ascii="宋体" w:hAnsi="宋体" w:eastAsia="宋体" w:cs="Times New Roman"/>
          <w:color w:val="auto"/>
          <w:szCs w:val="21"/>
          <w:highlight w:val="none"/>
          <w:u w:val="single"/>
        </w:rPr>
        <w:t>钟晴虹，0774-2833676</w:t>
      </w:r>
    </w:p>
    <w:p w14:paraId="14125DA0">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bookmarkEnd w:id="55"/>
      <w:bookmarkEnd w:id="56"/>
      <w:bookmarkEnd w:id="57"/>
      <w:bookmarkEnd w:id="58"/>
    </w:p>
    <w:p w14:paraId="2E8147A5">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79F82A9F">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71DFF8B8">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朱梓烨</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覃文思</w:t>
      </w:r>
      <w:r>
        <w:rPr>
          <w:rFonts w:hint="eastAsia" w:ascii="宋体" w:hAnsi="宋体"/>
          <w:color w:val="auto"/>
          <w:szCs w:val="21"/>
          <w:highlight w:val="none"/>
          <w:u w:val="single"/>
        </w:rPr>
        <w:t>，0774-3859935</w:t>
      </w:r>
    </w:p>
    <w:p w14:paraId="5D002C30">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bookmarkStart w:id="59" w:name="_Toc35393808"/>
      <w:bookmarkStart w:id="60" w:name="_Toc28359098"/>
      <w:bookmarkStart w:id="61" w:name="_Toc28359021"/>
      <w:bookmarkStart w:id="62" w:name="_Toc35393639"/>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50454E61">
      <w:pPr>
        <w:pStyle w:val="16"/>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朱梓烨</w:t>
      </w:r>
      <w:r>
        <w:rPr>
          <w:rFonts w:hint="eastAsia" w:hAnsi="宋体"/>
          <w:color w:val="auto"/>
          <w:sz w:val="21"/>
          <w:highlight w:val="none"/>
          <w:u w:val="single"/>
          <w:lang w:eastAsia="zh-CN"/>
        </w:rPr>
        <w:t>、</w:t>
      </w:r>
      <w:r>
        <w:rPr>
          <w:rFonts w:hint="eastAsia" w:hAnsi="宋体"/>
          <w:color w:val="auto"/>
          <w:sz w:val="21"/>
          <w:highlight w:val="none"/>
          <w:u w:val="single"/>
          <w:lang w:val="en-US" w:eastAsia="zh-CN"/>
        </w:rPr>
        <w:t>覃文思</w:t>
      </w:r>
    </w:p>
    <w:p w14:paraId="1FBB0505">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电　　话：</w:t>
      </w:r>
      <w:r>
        <w:rPr>
          <w:rFonts w:ascii="宋体" w:hAnsi="宋体"/>
          <w:color w:val="auto"/>
          <w:szCs w:val="21"/>
          <w:highlight w:val="none"/>
          <w:u w:val="single"/>
        </w:rPr>
        <w:t>0774-3859935</w:t>
      </w:r>
      <w:bookmarkEnd w:id="4"/>
    </w:p>
    <w:p w14:paraId="533651E4">
      <w:pPr>
        <w:shd w:val="clear" w:color="auto" w:fill="auto"/>
        <w:jc w:val="center"/>
        <w:rPr>
          <w:color w:val="auto"/>
          <w:highlight w:val="none"/>
        </w:rPr>
      </w:pPr>
      <w:r>
        <w:rPr>
          <w:rFonts w:ascii="方正小标宋简体" w:eastAsia="方正小标宋简体"/>
          <w:b/>
          <w:color w:val="auto"/>
          <w:sz w:val="32"/>
          <w:szCs w:val="32"/>
          <w:highlight w:val="none"/>
        </w:rPr>
        <w:br w:type="page"/>
      </w:r>
    </w:p>
    <w:p w14:paraId="15C34983">
      <w:pPr>
        <w:pStyle w:val="2"/>
        <w:shd w:val="clear" w:color="auto" w:fill="auto"/>
        <w:jc w:val="center"/>
        <w:rPr>
          <w:rFonts w:hint="eastAsia"/>
          <w:color w:val="auto"/>
          <w:highlight w:val="none"/>
        </w:rPr>
      </w:pPr>
      <w:bookmarkStart w:id="63" w:name="_Toc74323457"/>
      <w:r>
        <w:rPr>
          <w:rFonts w:hint="eastAsia"/>
          <w:color w:val="auto"/>
          <w:highlight w:val="none"/>
        </w:rPr>
        <w:t>第二章 供应商须知</w:t>
      </w:r>
      <w:bookmarkEnd w:id="63"/>
    </w:p>
    <w:p w14:paraId="124472A0">
      <w:pPr>
        <w:shd w:val="clear" w:color="auto" w:fill="auto"/>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42352D3B">
      <w:pPr>
        <w:shd w:val="clear" w:color="auto" w:fill="auto"/>
        <w:spacing w:line="400" w:lineRule="exact"/>
        <w:jc w:val="center"/>
        <w:rPr>
          <w:rFonts w:hint="eastAsia" w:ascii="宋体" w:hAnsi="宋体"/>
          <w:b/>
          <w:color w:val="auto"/>
          <w:sz w:val="32"/>
          <w:szCs w:val="32"/>
          <w:highlight w:val="none"/>
        </w:rPr>
      </w:pPr>
    </w:p>
    <w:tbl>
      <w:tblPr>
        <w:tblStyle w:val="27"/>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8498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3D7DAB0A">
            <w:pPr>
              <w:shd w:val="clear" w:color="auto" w:fill="auto"/>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1190F4ED">
            <w:pPr>
              <w:shd w:val="clear" w:color="auto" w:fill="auto"/>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045F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1D843C5">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24B3C259">
            <w:pPr>
              <w:shd w:val="clear" w:color="auto" w:fill="auto"/>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F16983A">
            <w:pPr>
              <w:shd w:val="clear" w:color="auto" w:fill="auto"/>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427BE5B">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16FE97">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503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501D1F">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0D6F3DDF">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详见竞争性磋商公告</w:t>
            </w:r>
          </w:p>
        </w:tc>
      </w:tr>
      <w:tr w14:paraId="4584E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9980564">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52CBB6B2">
            <w:pPr>
              <w:shd w:val="clear" w:color="auto" w:fill="auto"/>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s="宋体"/>
                <w:color w:val="auto"/>
                <w:szCs w:val="21"/>
                <w:highlight w:val="none"/>
              </w:rPr>
              <w:t>无</w:t>
            </w:r>
          </w:p>
        </w:tc>
      </w:tr>
      <w:tr w14:paraId="4BCD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9898EAE">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29CB0A57">
            <w:pPr>
              <w:pStyle w:val="10"/>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不允许分包</w:t>
            </w:r>
          </w:p>
          <w:p w14:paraId="57AAB4A9">
            <w:pPr>
              <w:pStyle w:val="10"/>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□允许分包</w:t>
            </w:r>
          </w:p>
        </w:tc>
      </w:tr>
      <w:tr w14:paraId="3F25F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FB21343">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17E753AA">
            <w:pPr>
              <w:shd w:val="clear" w:color="auto" w:fill="auto"/>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69DC6214">
            <w:pPr>
              <w:pStyle w:val="10"/>
              <w:shd w:val="clear" w:color="auto" w:fill="auto"/>
              <w:spacing w:line="360" w:lineRule="auto"/>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D43DF4">
            <w:pPr>
              <w:shd w:val="clear" w:color="auto" w:fill="auto"/>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w:t>
            </w:r>
            <w:r>
              <w:rPr>
                <w:rFonts w:hint="eastAsia" w:ascii="宋体" w:hAnsi="宋体" w:cs="宋体"/>
                <w:color w:val="auto"/>
                <w:szCs w:val="21"/>
                <w:highlight w:val="none"/>
                <w:u w:val="single"/>
                <w:lang w:eastAsia="zh-CN"/>
              </w:rPr>
              <w:t>提</w:t>
            </w:r>
            <w:r>
              <w:rPr>
                <w:rFonts w:hint="eastAsia" w:ascii="宋体" w:hAnsi="宋体" w:cs="宋体"/>
                <w:color w:val="auto"/>
                <w:szCs w:val="21"/>
                <w:highlight w:val="none"/>
                <w:u w:val="single"/>
              </w:rPr>
              <w:t>交截止之日</w:t>
            </w:r>
            <w:r>
              <w:rPr>
                <w:rFonts w:hint="eastAsia" w:ascii="宋体" w:hAnsi="宋体" w:cs="宋体"/>
                <w:color w:val="auto"/>
                <w:szCs w:val="21"/>
                <w:highlight w:val="none"/>
              </w:rPr>
              <w:t>内连续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w:t>
            </w:r>
            <w:r>
              <w:rPr>
                <w:rFonts w:hint="eastAsia" w:ascii="宋体" w:hAnsi="宋体" w:cs="宋体"/>
                <w:color w:val="auto"/>
                <w:szCs w:val="21"/>
                <w:highlight w:val="none"/>
              </w:rPr>
              <w:t>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00D575">
            <w:pPr>
              <w:shd w:val="clear" w:color="auto" w:fill="auto"/>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w:t>
            </w:r>
            <w:r>
              <w:rPr>
                <w:rFonts w:hint="eastAsia" w:ascii="宋体" w:hAnsi="宋体" w:cs="宋体"/>
                <w:color w:val="auto"/>
                <w:szCs w:val="21"/>
                <w:highlight w:val="none"/>
                <w:u w:val="single"/>
                <w:lang w:eastAsia="zh-CN"/>
              </w:rPr>
              <w:t>提</w:t>
            </w:r>
            <w:r>
              <w:rPr>
                <w:rFonts w:hint="eastAsia" w:ascii="宋体" w:hAnsi="宋体" w:cs="宋体"/>
                <w:color w:val="auto"/>
                <w:szCs w:val="21"/>
                <w:highlight w:val="none"/>
                <w:u w:val="single"/>
              </w:rPr>
              <w:t>交截止之日</w:t>
            </w:r>
            <w:r>
              <w:rPr>
                <w:rFonts w:hint="eastAsia" w:ascii="宋体" w:hAnsi="宋体" w:cs="宋体"/>
                <w:color w:val="auto"/>
                <w:szCs w:val="21"/>
                <w:highlight w:val="none"/>
              </w:rPr>
              <w:t>内连续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个月的依法缴纳社会保障资金的缴费凭证（如：专用收据、社会保险缴纳清单或者社保部门的证明）复印件；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9186E5">
            <w:pPr>
              <w:shd w:val="clear" w:color="auto" w:fill="auto"/>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ascii="宋体" w:hAnsi="宋体" w:eastAsia="宋体" w:cs="宋体"/>
                <w:color w:val="auto"/>
                <w:szCs w:val="21"/>
                <w:highlight w:val="none"/>
                <w:lang w:val="en-US" w:eastAsia="zh-CN"/>
              </w:rPr>
              <w:t>[</w:t>
            </w:r>
            <w:r>
              <w:rPr>
                <w:rFonts w:hint="eastAsia"/>
                <w:color w:val="auto"/>
                <w:szCs w:val="21"/>
                <w:highlight w:val="none"/>
                <w:u w:val="single"/>
              </w:rPr>
              <w:t>202</w:t>
            </w:r>
            <w:r>
              <w:rPr>
                <w:rFonts w:hint="eastAsia"/>
                <w:color w:val="auto"/>
                <w:szCs w:val="21"/>
                <w:highlight w:val="none"/>
                <w:u w:val="single"/>
                <w:lang w:val="en-US" w:eastAsia="zh-CN"/>
              </w:rPr>
              <w:t>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263E1E0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5564E5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6.供应商直接管理关系信息表（格式后附）；（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2D4B396">
            <w:pPr>
              <w:shd w:val="clear" w:color="auto" w:fill="auto"/>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AB9F99">
            <w:pPr>
              <w:shd w:val="clear" w:color="auto" w:fill="auto"/>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rPr>
              <w:t>中小企业声明函【属于残疾人福利性单位的提供残疾人福利性单位声明函，属于监狱企业的提供由省级以上监狱管理局、戒毒管理局（含新疆生产建设兵团）出具的属于监狱企业的证明文件】；（</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2799A6B0">
            <w:pPr>
              <w:shd w:val="clear" w:color="auto" w:fill="auto"/>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r>
              <w:rPr>
                <w:rFonts w:hint="eastAsia" w:ascii="宋体" w:hAnsi="宋体" w:cs="宋体"/>
                <w:color w:val="auto"/>
                <w:szCs w:val="21"/>
                <w:highlight w:val="none"/>
                <w:lang w:eastAsia="zh-CN"/>
              </w:rPr>
              <w:t>。</w:t>
            </w:r>
          </w:p>
          <w:p w14:paraId="17FBCF8D">
            <w:pPr>
              <w:shd w:val="clear" w:color="auto" w:fill="auto"/>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46B7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39D484">
            <w:pPr>
              <w:shd w:val="clear" w:color="auto" w:fill="auto"/>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6387C798">
            <w:pPr>
              <w:shd w:val="clear" w:color="auto" w:fill="auto"/>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6001220F">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98F362E">
            <w:pPr>
              <w:shd w:val="clear" w:color="auto" w:fill="auto"/>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33E85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76106DA">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11519B02">
            <w:pPr>
              <w:shd w:val="clear" w:color="auto" w:fill="auto"/>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0FA46C93">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A50425">
            <w:pPr>
              <w:shd w:val="clear" w:color="auto" w:fill="auto"/>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BDCB3E7">
            <w:pPr>
              <w:shd w:val="clear" w:color="auto" w:fill="auto"/>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2F1EEED">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26AF33F">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0E22A13">
            <w:pPr>
              <w:shd w:val="clear" w:color="auto" w:fill="auto"/>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b/>
                <w:color w:val="auto"/>
                <w:szCs w:val="21"/>
                <w:highlight w:val="none"/>
                <w:lang w:eastAsia="zh-CN"/>
              </w:rPr>
              <w:t>）</w:t>
            </w:r>
          </w:p>
          <w:p w14:paraId="76E834DA">
            <w:pPr>
              <w:shd w:val="clear" w:color="auto" w:fill="auto"/>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.项目实施人员一览表（格式后附）； （</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477E55D">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技术方案【包括但不限于总体方案设计、质量保证措施和建设工期承诺、项目实施方案等，格式自拟】</w:t>
            </w:r>
            <w:r>
              <w:rPr>
                <w:rFonts w:hint="eastAsia" w:ascii="宋体" w:hAnsi="宋体" w:cs="宋体"/>
                <w:color w:val="auto"/>
                <w:szCs w:val="21"/>
                <w:highlight w:val="none"/>
              </w:rPr>
              <w:t>；（如有）</w:t>
            </w:r>
          </w:p>
          <w:p w14:paraId="559C3E76">
            <w:pPr>
              <w:shd w:val="clear" w:color="auto" w:fill="auto"/>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培训方案（格式自拟）；（如有）</w:t>
            </w:r>
          </w:p>
          <w:p w14:paraId="692A1127">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售后服务</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（格式自拟）；（如有）</w:t>
            </w:r>
          </w:p>
          <w:p w14:paraId="158807B8">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.代理服务费承诺书（格式后附）；</w:t>
            </w:r>
          </w:p>
          <w:p w14:paraId="3501F6D7">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对应采购需求的技术要求、商务要求提供的其他文件资料（格式自拟）；</w:t>
            </w:r>
          </w:p>
          <w:p w14:paraId="78985667">
            <w:pPr>
              <w:shd w:val="clear" w:color="auto" w:fill="auto"/>
              <w:spacing w:line="360" w:lineRule="auto"/>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.供应商认为需要提供的其他有关资料。</w:t>
            </w:r>
          </w:p>
          <w:p w14:paraId="2E8F5AFD">
            <w:pPr>
              <w:shd w:val="clear" w:color="auto" w:fill="auto"/>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6C08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B4733FB">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1E650AFA">
            <w:pPr>
              <w:shd w:val="clear" w:color="auto" w:fill="auto"/>
              <w:spacing w:line="360" w:lineRule="auto"/>
              <w:contextualSpacing/>
              <w:jc w:val="left"/>
              <w:rPr>
                <w:rFonts w:hint="eastAsia" w:ascii="宋体" w:hAnsi="宋体"/>
                <w:b/>
                <w:color w:val="auto"/>
                <w:szCs w:val="21"/>
                <w:highlight w:val="none"/>
              </w:rPr>
            </w:pPr>
            <w:r>
              <w:rPr>
                <w:rFonts w:hint="eastAsia" w:ascii="宋体" w:hAnsi="宋体"/>
                <w:color w:val="auto"/>
                <w:szCs w:val="21"/>
                <w:highlight w:val="none"/>
              </w:rPr>
              <w:t>竞标报价应当</w:t>
            </w:r>
            <w:r>
              <w:rPr>
                <w:rFonts w:hint="eastAsia" w:ascii="宋体" w:hAnsi="宋体"/>
                <w:color w:val="auto"/>
                <w:szCs w:val="21"/>
                <w:highlight w:val="none"/>
                <w:lang w:val="en-US" w:eastAsia="zh-CN"/>
              </w:rPr>
              <w:t>包含的一切设备、硬件、软件、附件、备件、运输、施工、安装调试、人员工资、税费、国产化适配、符合网络安全等保及密评要求、计量检测费、验收、培训、技术服务、系统接入服务、软件升级服务、信息系统对接、互联互通四甲及电子病历测评5级所需改造、旧系统数据迁移至新系统、后期维护服务等费用。</w:t>
            </w:r>
          </w:p>
        </w:tc>
      </w:tr>
      <w:tr w14:paraId="192B8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D032F01">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664B1C21">
            <w:pPr>
              <w:pStyle w:val="9"/>
              <w:widowControl w:val="0"/>
              <w:shd w:val="clear" w:color="auto" w:fill="auto"/>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326E4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14772C3">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276FF808">
            <w:pPr>
              <w:shd w:val="clear" w:color="auto" w:fill="auto"/>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5EEA35ED">
            <w:pPr>
              <w:shd w:val="clear" w:color="auto" w:fill="auto"/>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本项目收取磋商保证金，具体规定如下：</w:t>
            </w:r>
          </w:p>
          <w:p w14:paraId="39405B95">
            <w:pPr>
              <w:shd w:val="clear" w:color="auto" w:fill="auto"/>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8000</w:t>
            </w:r>
            <w:r>
              <w:rPr>
                <w:rFonts w:hint="eastAsia" w:ascii="宋体" w:hAnsi="宋体" w:cs="宋体"/>
                <w:color w:val="auto"/>
                <w:kern w:val="0"/>
                <w:szCs w:val="21"/>
                <w:highlight w:val="none"/>
              </w:rPr>
              <w:t>元。</w:t>
            </w:r>
          </w:p>
          <w:p w14:paraId="29BF427E">
            <w:pPr>
              <w:shd w:val="clear" w:color="auto" w:fill="auto"/>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包含电子保函），禁止采用现钞方式。采用银行转账方式的，在响应文件提交截止时间前交至指定账户并且到账（户名：云之龙咨询集团有限公司梧州分公司，开户行：中信银行南宁东葛支行，</w:t>
            </w:r>
            <w:r>
              <w:rPr>
                <w:rFonts w:hint="eastAsia" w:ascii="宋体" w:hAnsi="宋体" w:cs="宋体"/>
                <w:color w:val="auto"/>
                <w:kern w:val="0"/>
                <w:szCs w:val="21"/>
                <w:highlight w:val="none"/>
                <w:lang w:eastAsia="zh-CN"/>
              </w:rPr>
              <w:t>账号</w:t>
            </w:r>
            <w:r>
              <w:rPr>
                <w:rFonts w:hint="eastAsia" w:ascii="宋体" w:hAnsi="宋体" w:cs="宋体"/>
                <w:color w:val="auto"/>
                <w:kern w:val="0"/>
                <w:szCs w:val="21"/>
                <w:highlight w:val="none"/>
              </w:rPr>
              <w:t>：8113001013700074625）；采用支票、汇票、本票或者保函等方式的，在响应文件提交截止时间前，供应商必须提交单独密封的支票、汇票、本票或者保函原件（电子保函</w:t>
            </w:r>
            <w:r>
              <w:rPr>
                <w:rFonts w:hint="eastAsia" w:ascii="宋体" w:hAnsi="宋体" w:cs="宋体"/>
                <w:color w:val="auto"/>
                <w:kern w:val="0"/>
                <w:szCs w:val="21"/>
                <w:highlight w:val="none"/>
                <w:lang w:eastAsia="zh-CN"/>
              </w:rPr>
              <w:t>须提交复印件并加盖供应商公章</w:t>
            </w:r>
            <w:r>
              <w:rPr>
                <w:rFonts w:hint="eastAsia" w:ascii="宋体" w:hAnsi="宋体" w:cs="宋体"/>
                <w:color w:val="auto"/>
                <w:kern w:val="0"/>
                <w:szCs w:val="21"/>
                <w:highlight w:val="none"/>
              </w:rPr>
              <w:t>）。否则视为无效磋商保证金。</w:t>
            </w:r>
          </w:p>
          <w:p w14:paraId="4BBC5A21">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1BCC5776">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9980FB0">
            <w:pPr>
              <w:shd w:val="clear" w:color="auto" w:fill="auto"/>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银行、保险机构出具的保函（包含电子保函）交纳方式的，供应商应将支票、汇票、本票或者银行、保险机构出具的保函（包含电子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ascii="宋体" w:hAnsi="宋体"/>
                <w:color w:val="auto"/>
                <w:szCs w:val="21"/>
                <w:highlight w:val="none"/>
                <w:u w:val="single"/>
              </w:rPr>
              <w:t>梧州市新兴三路30号神冠豪都B栋1单元1008号房</w:t>
            </w:r>
            <w:r>
              <w:rPr>
                <w:rFonts w:hint="eastAsia"/>
                <w:color w:val="auto"/>
                <w:highlight w:val="none"/>
              </w:rPr>
              <w:t>；邮寄地址：</w:t>
            </w:r>
            <w:r>
              <w:rPr>
                <w:rFonts w:hint="eastAsia" w:ascii="宋体" w:hAnsi="宋体"/>
                <w:color w:val="auto"/>
                <w:szCs w:val="21"/>
                <w:highlight w:val="none"/>
                <w:u w:val="single"/>
              </w:rPr>
              <w:t>梧州市新兴三路30号神冠豪都B栋1单元1008号房</w:t>
            </w:r>
            <w:r>
              <w:rPr>
                <w:rFonts w:hint="eastAsia"/>
                <w:color w:val="auto"/>
                <w:highlight w:val="none"/>
              </w:rPr>
              <w:t>，收件人：</w:t>
            </w:r>
            <w:r>
              <w:rPr>
                <w:rFonts w:hint="eastAsia"/>
                <w:color w:val="auto"/>
                <w:highlight w:val="none"/>
                <w:u w:val="single"/>
              </w:rPr>
              <w:t>朱梓烨</w:t>
            </w:r>
            <w:r>
              <w:rPr>
                <w:rFonts w:hint="eastAsia"/>
                <w:color w:val="auto"/>
                <w:highlight w:val="none"/>
              </w:rPr>
              <w:t>，联系方式：</w:t>
            </w:r>
            <w:r>
              <w:rPr>
                <w:color w:val="auto"/>
                <w:highlight w:val="none"/>
                <w:u w:val="single"/>
              </w:rPr>
              <w:t>0774-3859935</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w:t>
            </w:r>
            <w:r>
              <w:rPr>
                <w:rFonts w:hint="eastAsia" w:ascii="宋体" w:hAnsi="宋体"/>
                <w:color w:val="auto"/>
                <w:szCs w:val="21"/>
                <w:highlight w:val="none"/>
                <w:lang w:eastAsia="zh-CN"/>
              </w:rPr>
              <w:t>须提交复印件并加盖供应商公章</w:t>
            </w:r>
            <w:r>
              <w:rPr>
                <w:rFonts w:hint="eastAsia" w:ascii="宋体" w:hAnsi="宋体"/>
                <w:color w:val="auto"/>
                <w:szCs w:val="21"/>
                <w:highlight w:val="none"/>
              </w:rPr>
              <w:t>）提交给采购人或者采购代理机构，并妥善保管。</w:t>
            </w:r>
          </w:p>
          <w:p w14:paraId="4E3F1E18">
            <w:pPr>
              <w:shd w:val="clear" w:color="auto" w:fill="auto"/>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3D3168AF">
            <w:pPr>
              <w:shd w:val="clear" w:color="auto" w:fill="auto"/>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78797B51">
            <w:pPr>
              <w:shd w:val="clear" w:color="auto" w:fill="auto"/>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4EA18E90">
            <w:pPr>
              <w:shd w:val="clear" w:color="auto" w:fill="auto"/>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7442630F">
            <w:pPr>
              <w:shd w:val="clear" w:color="auto" w:fill="auto"/>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4F276654">
            <w:pPr>
              <w:shd w:val="clear" w:color="auto" w:fill="auto"/>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743DA5BB">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5.采用银行、保险机构出具保函（包含电子保函）的，必须为无条件保函，否则视为无效磋商保证金。</w:t>
            </w:r>
          </w:p>
        </w:tc>
      </w:tr>
      <w:tr w14:paraId="723E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457BCC7">
            <w:pPr>
              <w:shd w:val="clear" w:color="auto" w:fill="auto"/>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noWrap w:val="0"/>
            <w:vAlign w:val="center"/>
          </w:tcPr>
          <w:p w14:paraId="649DC9CF">
            <w:pPr>
              <w:shd w:val="clear" w:color="auto" w:fill="auto"/>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66DA7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3E870E1">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72A00048">
            <w:pPr>
              <w:shd w:val="clear" w:color="auto" w:fill="auto"/>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3668BFD1">
            <w:pPr>
              <w:shd w:val="clear" w:color="auto" w:fill="auto"/>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55B1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1AA8B4">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7407B029">
            <w:pPr>
              <w:shd w:val="clear" w:color="auto" w:fill="auto"/>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14:paraId="046BA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46E967F">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79DF75EF">
            <w:pPr>
              <w:shd w:val="clear" w:color="auto" w:fill="auto"/>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9B9A610">
            <w:pPr>
              <w:shd w:val="clear" w:color="auto" w:fill="auto"/>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16EEE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7E4C8C38">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0"/>
            <w:vAlign w:val="center"/>
          </w:tcPr>
          <w:p w14:paraId="7E9746E6">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192E99F">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9F2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B72C4C4">
            <w:pPr>
              <w:shd w:val="clear" w:color="auto" w:fill="auto"/>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69C7FF45">
            <w:pPr>
              <w:shd w:val="clear" w:color="auto" w:fill="auto"/>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本项目不收取履约保证金。</w:t>
            </w:r>
          </w:p>
          <w:p w14:paraId="496804B8">
            <w:pPr>
              <w:shd w:val="clear" w:color="auto" w:fill="auto"/>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5A5F4077">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0</w:t>
            </w:r>
            <w:r>
              <w:rPr>
                <w:rFonts w:hint="eastAsia" w:ascii="宋体" w:hAnsi="宋体" w:cs="宋体"/>
                <w:color w:val="auto"/>
                <w:szCs w:val="21"/>
                <w:highlight w:val="none"/>
              </w:rPr>
              <w:t>。</w:t>
            </w:r>
          </w:p>
          <w:p w14:paraId="0B18E1AE">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履约保证金提交方式：银行转账、支票、汇票、本票或者银行、保险机构出具的保函等非现金方式（参照磋商保证金）。</w:t>
            </w:r>
          </w:p>
          <w:p w14:paraId="57A02A83">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由成交供应商向履约保证金收取单位提供《广西壮族自治区政府采购项目合同验收书》（详见桂财采〔2015〕22号），保证金收取单位在收到合格材料后5个工作日内办理退还手续（不计利息）。</w:t>
            </w:r>
          </w:p>
          <w:p w14:paraId="0343D014">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49915182">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w:t>
            </w:r>
          </w:p>
          <w:p w14:paraId="402E1F42">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w:t>
            </w:r>
          </w:p>
          <w:p w14:paraId="2735C7BD">
            <w:pPr>
              <w:shd w:val="clear" w:color="auto" w:fill="auto"/>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w:t>
            </w:r>
          </w:p>
          <w:p w14:paraId="4CCADC49">
            <w:pPr>
              <w:shd w:val="clear" w:color="auto" w:fill="auto"/>
              <w:spacing w:line="360" w:lineRule="auto"/>
              <w:contextualSpacing/>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64" w:name="_Hlk54170335"/>
            <w:r>
              <w:rPr>
                <w:rFonts w:hint="eastAsia" w:ascii="宋体" w:hAnsi="宋体"/>
                <w:b/>
                <w:color w:val="auto"/>
                <w:szCs w:val="21"/>
                <w:highlight w:val="none"/>
              </w:rPr>
              <w:t>根据</w:t>
            </w:r>
            <w:bookmarkEnd w:id="64"/>
            <w:r>
              <w:rPr>
                <w:rFonts w:hint="eastAsia" w:ascii="宋体" w:hAnsi="宋体"/>
                <w:b/>
                <w:color w:val="auto"/>
                <w:szCs w:val="21"/>
                <w:highlight w:val="none"/>
              </w:rPr>
              <w:t>《广西壮族自治区财政厅关于持续优化政府采购营商环境推动高质量发展的通知》（桂财采[2024]55号）的规定，履约保证金数额不得超过政府采购合同金额的5%；政府采购要加大对中小企业发展的扶持力度，对中小企业收取的履约保证金数额不得超过政府采购合同金额的2%。</w:t>
            </w:r>
          </w:p>
          <w:p w14:paraId="45488FB2">
            <w:pPr>
              <w:shd w:val="clear" w:color="auto" w:fill="auto"/>
              <w:spacing w:line="360" w:lineRule="auto"/>
              <w:contextualSpacing/>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auto"/>
                <w:szCs w:val="21"/>
                <w:highlight w:val="none"/>
              </w:rPr>
              <w:br w:type="textWrapping"/>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7EF3A79A">
            <w:pPr>
              <w:shd w:val="clear" w:color="auto" w:fill="auto"/>
              <w:snapToGrid w:val="0"/>
              <w:spacing w:line="360" w:lineRule="auto"/>
              <w:rPr>
                <w:rFonts w:hint="eastAsia"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2B20A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0E99AD">
            <w:pPr>
              <w:shd w:val="clear" w:color="auto" w:fill="auto"/>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14:paraId="6ECEB8FE">
            <w:pPr>
              <w:shd w:val="clear" w:color="auto" w:fill="auto"/>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E1F6E62">
            <w:pPr>
              <w:shd w:val="clear" w:color="auto" w:fill="auto"/>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047302AB">
            <w:pPr>
              <w:shd w:val="clear" w:color="auto" w:fill="auto"/>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0383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075A084">
            <w:pPr>
              <w:shd w:val="clear" w:color="auto" w:fill="auto"/>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07BF7FD7">
            <w:pPr>
              <w:shd w:val="clear" w:color="auto" w:fill="auto"/>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030C98FB">
            <w:pPr>
              <w:pStyle w:val="16"/>
              <w:shd w:val="clear" w:color="auto" w:fill="auto"/>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云之龙咨询集团有限公司，联系电话：0774-3859935，通讯地址：梧州市新兴三路30号神冠豪都B栋1单元1008号房</w:t>
            </w:r>
          </w:p>
          <w:p w14:paraId="74D9CA55">
            <w:pPr>
              <w:shd w:val="clear" w:color="auto" w:fill="auto"/>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20CF7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2A8BBC">
            <w:pPr>
              <w:shd w:val="clear" w:color="auto" w:fill="auto"/>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14:paraId="4701EEB1">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08DCEB92">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rPr>
              <w:sym w:font="Wingdings" w:char="F0FE"/>
            </w:r>
            <w:r>
              <w:rPr>
                <w:rFonts w:hint="eastAsia" w:hAnsi="宋体" w:cs="宋体"/>
                <w:color w:val="auto"/>
                <w:sz w:val="21"/>
                <w:highlight w:val="none"/>
                <w:lang w:val="en-US" w:eastAsia="zh-CN"/>
              </w:rPr>
              <w:t>本项目代理服务费由成交供应商一次性向采购代理机构支付。</w:t>
            </w:r>
          </w:p>
          <w:p w14:paraId="388F36F8">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05264C36">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549582FB">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以项目（</w:t>
            </w:r>
            <w:r>
              <w:rPr>
                <w:rFonts w:hint="eastAsia" w:hAnsi="宋体" w:cs="宋体"/>
                <w:color w:val="auto"/>
                <w:sz w:val="21"/>
                <w:highlight w:val="none"/>
                <w:lang w:eastAsia="zh-CN"/>
              </w:rPr>
              <w:t>□</w:t>
            </w:r>
            <w:r>
              <w:rPr>
                <w:rFonts w:hint="eastAsia" w:hAnsi="宋体" w:cs="宋体"/>
                <w:color w:val="auto"/>
                <w:sz w:val="21"/>
                <w:highlight w:val="none"/>
              </w:rPr>
              <w:t>成交金额/</w:t>
            </w:r>
            <w:r>
              <w:rPr>
                <w:rFonts w:hint="eastAsia" w:hAnsi="宋体" w:cs="宋体"/>
                <w:color w:val="auto"/>
                <w:sz w:val="21"/>
                <w:highlight w:val="none"/>
                <w:lang w:eastAsia="zh-CN"/>
              </w:rPr>
              <w:t>□</w:t>
            </w:r>
            <w:r>
              <w:rPr>
                <w:rFonts w:hint="eastAsia" w:hAnsi="宋体" w:cs="宋体"/>
                <w:color w:val="auto"/>
                <w:sz w:val="21"/>
                <w:highlight w:val="none"/>
              </w:rPr>
              <w:t>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w:t>
            </w:r>
            <w:r>
              <w:rPr>
                <w:rFonts w:hint="eastAsia" w:hAnsi="宋体" w:cs="宋体"/>
                <w:color w:val="auto"/>
                <w:sz w:val="21"/>
                <w:highlight w:val="none"/>
                <w:lang w:eastAsia="zh-CN"/>
              </w:rPr>
              <w:t>□</w:t>
            </w:r>
            <w:r>
              <w:rPr>
                <w:rFonts w:hint="eastAsia" w:hAnsi="宋体" w:cs="宋体"/>
                <w:color w:val="auto"/>
                <w:sz w:val="21"/>
                <w:highlight w:val="none"/>
              </w:rPr>
              <w:t>服务类/□工程类）采用差额定率累进法计算出收费基准价格，采购代理收费以（□收费基准价格/□收费基准价格下浮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lang w:eastAsia="zh-CN"/>
              </w:rPr>
              <w:t>□</w:t>
            </w:r>
            <w:r>
              <w:rPr>
                <w:rFonts w:hint="eastAsia" w:hAnsi="宋体" w:cs="宋体"/>
                <w:color w:val="auto"/>
                <w:sz w:val="21"/>
                <w:highlight w:val="none"/>
              </w:rPr>
              <w:t>收费基准价格上浮</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rPr>
              <w:t>）收取。</w:t>
            </w:r>
          </w:p>
          <w:p w14:paraId="373F9CE3">
            <w:pPr>
              <w:pStyle w:val="16"/>
              <w:shd w:val="clear" w:color="auto" w:fill="auto"/>
              <w:snapToGrid w:val="0"/>
              <w:spacing w:line="360" w:lineRule="auto"/>
              <w:rPr>
                <w:rFonts w:hAnsi="宋体" w:cs="宋体"/>
                <w:color w:val="auto"/>
                <w:sz w:val="21"/>
                <w:highlight w:val="none"/>
                <w:u w:val="single"/>
              </w:rPr>
            </w:pPr>
            <w:r>
              <w:rPr>
                <w:rFonts w:hint="eastAsia" w:hAnsi="宋体" w:cs="宋体"/>
                <w:color w:val="auto"/>
                <w:sz w:val="21"/>
                <w:highlight w:val="none"/>
              </w:rPr>
              <w:sym w:font="Wingdings" w:char="00FE"/>
            </w:r>
            <w:r>
              <w:rPr>
                <w:rFonts w:hint="eastAsia" w:hAnsi="宋体" w:cs="宋体"/>
                <w:color w:val="auto"/>
                <w:sz w:val="21"/>
                <w:highlight w:val="none"/>
              </w:rPr>
              <w:t>固定采购代理收费</w:t>
            </w:r>
            <w:r>
              <w:rPr>
                <w:rFonts w:hint="eastAsia" w:hAnsi="宋体" w:cs="宋体"/>
                <w:color w:val="auto"/>
                <w:sz w:val="21"/>
                <w:highlight w:val="none"/>
                <w:u w:val="single"/>
                <w:lang w:val="en-US" w:eastAsia="zh-CN"/>
              </w:rPr>
              <w:t>14670.00</w:t>
            </w:r>
            <w:r>
              <w:rPr>
                <w:rFonts w:hint="eastAsia" w:hAnsi="宋体" w:cs="宋体"/>
                <w:color w:val="auto"/>
                <w:sz w:val="21"/>
                <w:highlight w:val="none"/>
                <w:u w:val="single"/>
              </w:rPr>
              <w:t>元。</w:t>
            </w:r>
          </w:p>
          <w:p w14:paraId="0C35B727">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7B00F452">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lang w:val="en-US" w:eastAsia="zh-CN"/>
              </w:rPr>
              <w:t>开户名称</w:t>
            </w:r>
            <w:r>
              <w:rPr>
                <w:rFonts w:hint="eastAsia" w:hAnsi="宋体" w:cs="宋体"/>
                <w:color w:val="auto"/>
                <w:sz w:val="21"/>
                <w:highlight w:val="none"/>
              </w:rPr>
              <w:t>：云之龙咨询集团有限公司梧州分公司</w:t>
            </w:r>
          </w:p>
          <w:p w14:paraId="2EFAB971">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lang w:val="en-US" w:eastAsia="zh-CN"/>
              </w:rPr>
              <w:t>开户银行</w:t>
            </w:r>
            <w:r>
              <w:rPr>
                <w:rFonts w:hint="eastAsia" w:hAnsi="宋体" w:cs="宋体"/>
                <w:color w:val="auto"/>
                <w:sz w:val="21"/>
                <w:highlight w:val="none"/>
              </w:rPr>
              <w:t>：中信银行南宁东葛支行</w:t>
            </w:r>
          </w:p>
          <w:p w14:paraId="2F594ED5">
            <w:pPr>
              <w:pStyle w:val="16"/>
              <w:shd w:val="clear" w:color="auto" w:fill="auto"/>
              <w:snapToGrid w:val="0"/>
              <w:spacing w:line="360" w:lineRule="auto"/>
              <w:rPr>
                <w:rFonts w:hint="eastAsia" w:hAnsi="宋体" w:cs="宋体"/>
                <w:color w:val="auto"/>
                <w:sz w:val="21"/>
                <w:highlight w:val="none"/>
              </w:rPr>
            </w:pPr>
            <w:r>
              <w:rPr>
                <w:rFonts w:hint="eastAsia" w:hAnsi="宋体" w:cs="宋体"/>
                <w:color w:val="auto"/>
                <w:sz w:val="21"/>
                <w:highlight w:val="none"/>
                <w:lang w:val="en-US" w:eastAsia="zh-CN"/>
              </w:rPr>
              <w:t>银行账号</w:t>
            </w:r>
            <w:r>
              <w:rPr>
                <w:rFonts w:hint="eastAsia" w:hAnsi="宋体" w:cs="宋体"/>
                <w:color w:val="auto"/>
                <w:sz w:val="21"/>
                <w:highlight w:val="none"/>
              </w:rPr>
              <w:t>：8113001013700074625</w:t>
            </w:r>
          </w:p>
        </w:tc>
      </w:tr>
      <w:tr w14:paraId="1163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08D87F">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130F2585">
            <w:pPr>
              <w:pStyle w:val="16"/>
              <w:snapToGrid w:val="0"/>
              <w:spacing w:line="360" w:lineRule="auto"/>
              <w:rPr>
                <w:rFonts w:hint="eastAsia" w:hAnsi="宋体" w:cs="宋体"/>
                <w:color w:val="auto"/>
                <w:kern w:val="2"/>
                <w:sz w:val="21"/>
                <w:szCs w:val="21"/>
                <w:highlight w:val="none"/>
              </w:rPr>
            </w:pPr>
            <w:r>
              <w:rPr>
                <w:rFonts w:hint="eastAsia" w:hAnsi="宋体"/>
                <w:color w:val="auto"/>
                <w:sz w:val="21"/>
                <w:szCs w:val="21"/>
                <w:highlight w:val="none"/>
                <w:lang w:val="en-US" w:eastAsia="zh-CN"/>
              </w:rPr>
              <w:t>解释：</w:t>
            </w:r>
            <w:r>
              <w:rPr>
                <w:rFonts w:hAnsi="宋体"/>
                <w:color w:val="auto"/>
                <w:sz w:val="21"/>
                <w:szCs w:val="21"/>
                <w:highlight w:val="none"/>
                <w:lang w:val="en-US" w:eastAsia="zh-CN"/>
              </w:rPr>
              <w:t>构成本</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的各个组成文件应互为解释，互为说明；除</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中有特别规定外，仅适用于</w:t>
            </w:r>
            <w:r>
              <w:rPr>
                <w:rFonts w:hint="eastAsia" w:hAnsi="宋体"/>
                <w:color w:val="auto"/>
                <w:sz w:val="21"/>
                <w:szCs w:val="21"/>
                <w:highlight w:val="none"/>
                <w:lang w:val="en-US" w:eastAsia="zh-CN"/>
              </w:rPr>
              <w:t>竞标</w:t>
            </w:r>
            <w:r>
              <w:rPr>
                <w:rFonts w:hAnsi="宋体"/>
                <w:color w:val="auto"/>
                <w:sz w:val="21"/>
                <w:szCs w:val="21"/>
                <w:highlight w:val="none"/>
                <w:lang w:val="en-US" w:eastAsia="zh-CN"/>
              </w:rPr>
              <w:t>阶段的规定，按</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w:t>
            </w:r>
            <w:r>
              <w:rPr>
                <w:rFonts w:hint="eastAsia" w:hAnsi="宋体"/>
                <w:color w:val="auto"/>
                <w:sz w:val="21"/>
                <w:szCs w:val="21"/>
                <w:highlight w:val="none"/>
                <w:lang w:val="en-US" w:eastAsia="zh-CN"/>
              </w:rPr>
              <w:t>竞争性磋商</w:t>
            </w:r>
            <w:r>
              <w:rPr>
                <w:rFonts w:hAnsi="宋体"/>
                <w:color w:val="auto"/>
                <w:sz w:val="21"/>
                <w:szCs w:val="21"/>
                <w:highlight w:val="none"/>
                <w:lang w:val="en-US" w:eastAsia="zh-CN"/>
              </w:rPr>
              <w:t>公告</w:t>
            </w:r>
            <w:r>
              <w:rPr>
                <w:rFonts w:hint="eastAsia" w:hAnsi="宋体" w:cs="宋体"/>
                <w:color w:val="auto"/>
                <w:sz w:val="21"/>
                <w:szCs w:val="21"/>
                <w:highlight w:val="none"/>
                <w:lang w:val="en-US" w:eastAsia="zh-CN"/>
              </w:rPr>
              <w:t>或者竞标邀请函</w:t>
            </w:r>
            <w:r>
              <w:rPr>
                <w:rFonts w:hAnsi="宋体"/>
                <w:color w:val="auto"/>
                <w:sz w:val="21"/>
                <w:szCs w:val="21"/>
                <w:highlight w:val="none"/>
                <w:lang w:val="en-US" w:eastAsia="zh-CN"/>
              </w:rPr>
              <w:t>、</w:t>
            </w:r>
            <w:r>
              <w:rPr>
                <w:rFonts w:hint="eastAsia" w:hAnsi="宋体"/>
                <w:color w:val="auto"/>
                <w:sz w:val="21"/>
                <w:szCs w:val="21"/>
                <w:highlight w:val="none"/>
                <w:lang w:val="en-US" w:eastAsia="zh-CN"/>
              </w:rPr>
              <w:t>供应商</w:t>
            </w:r>
            <w:r>
              <w:rPr>
                <w:rFonts w:hAnsi="宋体"/>
                <w:color w:val="auto"/>
                <w:sz w:val="21"/>
                <w:szCs w:val="21"/>
                <w:highlight w:val="none"/>
                <w:lang w:val="en-US" w:eastAsia="zh-CN"/>
              </w:rPr>
              <w:t>须知</w:t>
            </w:r>
            <w:r>
              <w:rPr>
                <w:rFonts w:hint="eastAsia" w:hAnsi="宋体"/>
                <w:color w:val="auto"/>
                <w:sz w:val="21"/>
                <w:szCs w:val="21"/>
                <w:highlight w:val="none"/>
                <w:lang w:val="en-US" w:eastAsia="zh-CN"/>
              </w:rPr>
              <w:t>、采购需求</w:t>
            </w:r>
            <w:r>
              <w:rPr>
                <w:rFonts w:hAnsi="宋体"/>
                <w:color w:val="auto"/>
                <w:sz w:val="21"/>
                <w:szCs w:val="21"/>
                <w:highlight w:val="none"/>
                <w:lang w:val="en-US" w:eastAsia="zh-CN"/>
              </w:rPr>
              <w:t>、</w:t>
            </w:r>
            <w:r>
              <w:rPr>
                <w:rFonts w:hint="eastAsia"/>
                <w:color w:val="auto"/>
                <w:sz w:val="21"/>
                <w:szCs w:val="21"/>
                <w:highlight w:val="none"/>
                <w:lang w:val="en-US" w:eastAsia="zh-CN"/>
              </w:rPr>
              <w:t>评审程序、评审方法和评审标准</w:t>
            </w:r>
            <w:r>
              <w:rPr>
                <w:rFonts w:hAnsi="宋体"/>
                <w:color w:val="auto"/>
                <w:sz w:val="21"/>
                <w:szCs w:val="21"/>
                <w:highlight w:val="none"/>
                <w:lang w:val="en-US" w:eastAsia="zh-CN"/>
              </w:rPr>
              <w:t>、</w:t>
            </w:r>
            <w:r>
              <w:rPr>
                <w:rFonts w:hint="eastAsia" w:hAnsi="宋体"/>
                <w:color w:val="auto"/>
                <w:sz w:val="21"/>
                <w:szCs w:val="21"/>
                <w:highlight w:val="none"/>
                <w:lang w:val="en-US" w:eastAsia="zh-CN"/>
              </w:rPr>
              <w:t>响应</w:t>
            </w:r>
            <w:r>
              <w:rPr>
                <w:rFonts w:hAnsi="宋体"/>
                <w:color w:val="auto"/>
                <w:sz w:val="21"/>
                <w:szCs w:val="21"/>
                <w:highlight w:val="none"/>
                <w:lang w:val="en-US" w:eastAsia="zh-CN"/>
              </w:rPr>
              <w:t>文件格式</w:t>
            </w:r>
            <w:r>
              <w:rPr>
                <w:rFonts w:hint="eastAsia" w:hAnsi="宋体"/>
                <w:color w:val="auto"/>
                <w:sz w:val="21"/>
                <w:szCs w:val="21"/>
                <w:highlight w:val="none"/>
                <w:lang w:val="en-US" w:eastAsia="zh-CN"/>
              </w:rPr>
              <w:t>、合同文本</w:t>
            </w:r>
            <w:r>
              <w:rPr>
                <w:rFonts w:hAnsi="宋体"/>
                <w:color w:val="auto"/>
                <w:sz w:val="21"/>
                <w:szCs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与同步更新的</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不一致时以</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为准。按本款前述规定仍不能形成结论的，由</w:t>
            </w:r>
            <w:r>
              <w:rPr>
                <w:rFonts w:hint="eastAsia" w:hAnsi="宋体"/>
                <w:color w:val="auto"/>
                <w:sz w:val="21"/>
                <w:szCs w:val="21"/>
                <w:highlight w:val="none"/>
                <w:lang w:val="en-US" w:eastAsia="zh-CN"/>
              </w:rPr>
              <w:t>采购</w:t>
            </w:r>
            <w:r>
              <w:rPr>
                <w:rFonts w:hAnsi="宋体"/>
                <w:color w:val="auto"/>
                <w:sz w:val="21"/>
                <w:szCs w:val="21"/>
                <w:highlight w:val="none"/>
                <w:lang w:val="en-US" w:eastAsia="zh-CN"/>
              </w:rPr>
              <w:t>人</w:t>
            </w:r>
            <w:r>
              <w:rPr>
                <w:rFonts w:hint="eastAsia" w:hAnsi="宋体"/>
                <w:color w:val="auto"/>
                <w:sz w:val="21"/>
                <w:szCs w:val="21"/>
                <w:highlight w:val="none"/>
                <w:lang w:val="en-US" w:eastAsia="zh-CN"/>
              </w:rPr>
              <w:t>或者采购代理机构</w:t>
            </w:r>
            <w:r>
              <w:rPr>
                <w:rFonts w:hAnsi="宋体"/>
                <w:color w:val="auto"/>
                <w:sz w:val="21"/>
                <w:szCs w:val="21"/>
                <w:highlight w:val="none"/>
                <w:lang w:val="en-US" w:eastAsia="zh-CN"/>
              </w:rPr>
              <w:t>负责解释。</w:t>
            </w:r>
          </w:p>
        </w:tc>
      </w:tr>
      <w:tr w14:paraId="5BF14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F14B42">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23B6AB70">
            <w:pPr>
              <w:pStyle w:val="16"/>
              <w:snapToGrid w:val="0"/>
              <w:spacing w:line="360" w:lineRule="auto"/>
              <w:rPr>
                <w:rFonts w:hAnsi="宋体" w:cs="宋体"/>
                <w:color w:val="auto"/>
                <w:sz w:val="21"/>
                <w:szCs w:val="21"/>
                <w:highlight w:val="none"/>
                <w:lang w:val="en-US" w:eastAsia="zh-CN"/>
              </w:rPr>
            </w:pPr>
            <w:r>
              <w:rPr>
                <w:rFonts w:hint="eastAsia" w:hAnsi="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C1FDF6D">
            <w:pPr>
              <w:pStyle w:val="16"/>
              <w:snapToGrid w:val="0"/>
              <w:spacing w:line="360" w:lineRule="auto"/>
              <w:rPr>
                <w:rFonts w:hint="eastAsia" w:hAnsi="宋体" w:cs="宋体"/>
                <w:color w:val="auto"/>
                <w:sz w:val="21"/>
                <w:szCs w:val="21"/>
                <w:highlight w:val="none"/>
                <w:lang w:val="en-US" w:eastAsia="zh-CN"/>
              </w:rPr>
            </w:pPr>
            <w:r>
              <w:rPr>
                <w:rFonts w:hint="eastAsia" w:hAnsi="宋体" w:cs="宋体"/>
                <w:bCs/>
                <w:color w:val="auto"/>
                <w:sz w:val="21"/>
                <w:szCs w:val="21"/>
                <w:highlight w:val="none"/>
                <w:lang w:val="en-US" w:eastAsia="zh-CN"/>
              </w:rPr>
              <w:t>2.本磋商文件所称的“</w:t>
            </w:r>
            <w:r>
              <w:rPr>
                <w:rFonts w:hint="eastAsia" w:hAnsi="宋体"/>
                <w:color w:val="auto"/>
                <w:sz w:val="21"/>
                <w:szCs w:val="21"/>
                <w:highlight w:val="none"/>
                <w:lang w:val="en-US" w:eastAsia="zh-CN"/>
              </w:rPr>
              <w:t>电子签章</w:t>
            </w:r>
            <w:r>
              <w:rPr>
                <w:rFonts w:hint="eastAsia" w:hAnsi="宋体" w:cs="宋体"/>
                <w:bCs/>
                <w:color w:val="auto"/>
                <w:sz w:val="21"/>
                <w:szCs w:val="21"/>
                <w:highlight w:val="none"/>
                <w:lang w:val="en-US" w:eastAsia="zh-CN"/>
              </w:rPr>
              <w:t>”“电子签名”</w:t>
            </w:r>
            <w:r>
              <w:rPr>
                <w:rFonts w:hint="eastAsia" w:hAnsi="宋体"/>
                <w:color w:val="auto"/>
                <w:sz w:val="21"/>
                <w:szCs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059C09E3">
            <w:pPr>
              <w:pStyle w:val="16"/>
              <w:snapToGrid w:val="0"/>
              <w:spacing w:line="360" w:lineRule="auto"/>
              <w:rPr>
                <w:rFonts w:hint="eastAsia" w:hAnsi="宋体" w:cs="宋体"/>
                <w:bCs/>
                <w:color w:val="auto"/>
                <w:sz w:val="21"/>
                <w:szCs w:val="21"/>
                <w:highlight w:val="none"/>
                <w:lang w:val="en-US" w:eastAsia="zh-CN"/>
              </w:rPr>
            </w:pPr>
            <w:r>
              <w:rPr>
                <w:rFonts w:hAnsi="宋体" w:cs="宋体"/>
                <w:color w:val="auto"/>
                <w:sz w:val="21"/>
                <w:szCs w:val="21"/>
                <w:highlight w:val="none"/>
                <w:lang w:val="en-US" w:eastAsia="zh-CN"/>
              </w:rPr>
              <w:t>3</w:t>
            </w:r>
            <w:r>
              <w:rPr>
                <w:rFonts w:hint="eastAsia" w:hAnsi="宋体" w:cs="宋体"/>
                <w:color w:val="auto"/>
                <w:sz w:val="21"/>
                <w:szCs w:val="21"/>
                <w:highlight w:val="none"/>
                <w:lang w:val="en-US" w:eastAsia="zh-CN"/>
              </w:rPr>
              <w:t>.供应商为其他组织或者自然人时，本磋商文件规定的法定代表人指负责人或者自然人。本磋商文件所称负责人是指参加竞标的其他组织</w:t>
            </w:r>
            <w:r>
              <w:rPr>
                <w:rFonts w:hint="eastAsia" w:hAnsi="宋体" w:cs="宋体"/>
                <w:bCs/>
                <w:color w:val="auto"/>
                <w:sz w:val="21"/>
                <w:szCs w:val="21"/>
                <w:highlight w:val="none"/>
                <w:lang w:val="en-US" w:eastAsia="zh-CN"/>
              </w:rPr>
              <w:t>营业执照或者执业许可证等证照上的</w:t>
            </w:r>
            <w:r>
              <w:rPr>
                <w:rFonts w:hint="eastAsia" w:hAnsi="宋体" w:cs="宋体"/>
                <w:color w:val="auto"/>
                <w:sz w:val="21"/>
                <w:szCs w:val="21"/>
                <w:highlight w:val="none"/>
                <w:lang w:val="en-US" w:eastAsia="zh-CN"/>
              </w:rPr>
              <w:t>负责人，本磋商文件所称自然人指参与竞标的自然人本人，</w:t>
            </w:r>
            <w:r>
              <w:rPr>
                <w:rFonts w:hint="eastAsia" w:hAnsi="宋体" w:cs="宋体"/>
                <w:bCs/>
                <w:color w:val="auto"/>
                <w:sz w:val="21"/>
                <w:szCs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12303845">
            <w:pPr>
              <w:pStyle w:val="16"/>
              <w:snapToGrid w:val="0"/>
              <w:spacing w:line="360" w:lineRule="auto"/>
              <w:rPr>
                <w:rFonts w:hAnsi="宋体" w:cs="宋体"/>
                <w:color w:val="auto"/>
                <w:sz w:val="21"/>
                <w:szCs w:val="21"/>
                <w:highlight w:val="none"/>
                <w:lang w:val="en-US" w:eastAsia="zh-CN"/>
              </w:rPr>
            </w:pPr>
            <w:r>
              <w:rPr>
                <w:rFonts w:hAnsi="宋体" w:cs="宋体"/>
                <w:color w:val="auto"/>
                <w:sz w:val="21"/>
                <w:szCs w:val="21"/>
                <w:highlight w:val="none"/>
                <w:lang w:val="en-US" w:eastAsia="zh-CN"/>
              </w:rPr>
              <w:t>4.</w:t>
            </w:r>
            <w:r>
              <w:rPr>
                <w:rFonts w:hint="eastAsia" w:hAnsi="宋体" w:cs="宋体"/>
                <w:color w:val="auto"/>
                <w:sz w:val="21"/>
                <w:szCs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19557153">
            <w:pPr>
              <w:pStyle w:val="16"/>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5</w:t>
            </w:r>
            <w:r>
              <w:rPr>
                <w:rFonts w:hAnsi="宋体" w:cs="宋体"/>
                <w:color w:val="auto"/>
                <w:sz w:val="21"/>
                <w:szCs w:val="21"/>
                <w:highlight w:val="none"/>
                <w:lang w:val="en-US" w:eastAsia="zh-CN"/>
              </w:rPr>
              <w:t>.</w:t>
            </w:r>
            <w:r>
              <w:rPr>
                <w:rFonts w:hint="eastAsia" w:hAnsi="宋体" w:cs="宋体"/>
                <w:color w:val="auto"/>
                <w:sz w:val="21"/>
                <w:szCs w:val="21"/>
                <w:highlight w:val="none"/>
                <w:lang w:val="en-US" w:eastAsia="zh-CN"/>
              </w:rPr>
              <w:t>本磋商文件所称的“以上”“以下”“以内”“届满”，包括本数；所称的“不满”“超过”“以外”，不包括本数。</w:t>
            </w:r>
          </w:p>
        </w:tc>
      </w:tr>
    </w:tbl>
    <w:p w14:paraId="3A7226AD">
      <w:pPr>
        <w:spacing w:line="400" w:lineRule="exact"/>
        <w:jc w:val="center"/>
        <w:rPr>
          <w:rFonts w:hint="eastAsia" w:ascii="宋体" w:hAnsi="宋体" w:eastAsia="宋体" w:cs="Times New Roman"/>
          <w:b/>
          <w:color w:val="auto"/>
          <w:sz w:val="32"/>
          <w:szCs w:val="32"/>
          <w:highlight w:val="none"/>
        </w:rPr>
      </w:pPr>
      <w:r>
        <w:rPr>
          <w:rFonts w:ascii="宋体" w:hAnsi="宋体"/>
          <w:b/>
          <w:color w:val="auto"/>
          <w:sz w:val="32"/>
          <w:szCs w:val="32"/>
          <w:highlight w:val="none"/>
        </w:rPr>
        <w:br w:type="page"/>
      </w:r>
      <w:r>
        <w:rPr>
          <w:rFonts w:hint="eastAsia" w:ascii="宋体" w:hAnsi="宋体" w:eastAsia="宋体" w:cs="Times New Roman"/>
          <w:b/>
          <w:color w:val="auto"/>
          <w:sz w:val="32"/>
          <w:szCs w:val="32"/>
          <w:highlight w:val="none"/>
        </w:rPr>
        <w:t>供应商须知正文</w:t>
      </w:r>
    </w:p>
    <w:p w14:paraId="0FC0D94B">
      <w:pPr>
        <w:spacing w:line="400" w:lineRule="exact"/>
        <w:jc w:val="center"/>
        <w:rPr>
          <w:rFonts w:hint="eastAsia" w:ascii="宋体" w:hAnsi="宋体" w:eastAsia="宋体" w:cs="Times New Roman"/>
          <w:b/>
          <w:color w:val="auto"/>
          <w:sz w:val="32"/>
          <w:szCs w:val="32"/>
          <w:highlight w:val="none"/>
        </w:rPr>
      </w:pPr>
    </w:p>
    <w:p w14:paraId="4AF4535F">
      <w:pPr>
        <w:spacing w:line="40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一、总则</w:t>
      </w:r>
    </w:p>
    <w:p w14:paraId="5524DFA4">
      <w:pPr>
        <w:spacing w:line="400" w:lineRule="exact"/>
        <w:rPr>
          <w:rFonts w:hint="eastAsia" w:ascii="宋体" w:hAnsi="宋体" w:eastAsia="宋体" w:cs="Times New Roman"/>
          <w:color w:val="auto"/>
          <w:szCs w:val="21"/>
          <w:highlight w:val="none"/>
        </w:rPr>
      </w:pPr>
    </w:p>
    <w:p w14:paraId="52A2DC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1E857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eastAsia="宋体" w:cs="Times New Roman"/>
          <w:color w:val="auto"/>
          <w:szCs w:val="21"/>
          <w:highlight w:val="none"/>
        </w:rPr>
        <w:t>《政府采购竞争性磋商采购方式管理暂行办法》《财政部关于政府采购竞争性磋商采购方式管理暂行办法有关问题的补充通知》</w:t>
      </w:r>
      <w:r>
        <w:rPr>
          <w:rFonts w:hint="eastAsia" w:ascii="宋体" w:hAnsi="宋体" w:eastAsia="宋体" w:cs="宋体"/>
          <w:color w:val="auto"/>
          <w:szCs w:val="21"/>
          <w:highlight w:val="none"/>
        </w:rPr>
        <w:t>及本项目本级和上级财政部门政府采购有关规定的约束和保护。</w:t>
      </w:r>
    </w:p>
    <w:p w14:paraId="1FC985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E44CEF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B98F9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4F0E4F60">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EB3B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B431D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2.4“服务”是指除货物和工程以外的其他政府采购对象。</w:t>
      </w:r>
    </w:p>
    <w:p w14:paraId="783091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5</w:t>
      </w:r>
      <w:r>
        <w:rPr>
          <w:rFonts w:hint="eastAsia" w:ascii="宋体" w:hAnsi="宋体" w:eastAsia="宋体" w:cs="宋体"/>
          <w:color w:val="auto"/>
          <w:szCs w:val="21"/>
          <w:highlight w:val="none"/>
        </w:rPr>
        <w:t>“竞标”是指供应商按照本项目竞争性磋商公告规定的方式获取磋商文件、提交响应文件并希望获得标的的行为。</w:t>
      </w:r>
    </w:p>
    <w:p w14:paraId="634E874D">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0FFED8E0">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291EC222">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2.8“实质性要求”是指磋商文件中已经指明不满足则响应文件按无效响应处理的条款，或者不能负偏离的条款，或者采购需求中带“▲”的条款。</w:t>
      </w:r>
    </w:p>
    <w:p w14:paraId="1BC1BEFF">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161D3026">
      <w:pPr>
        <w:spacing w:line="360" w:lineRule="auto"/>
        <w:ind w:firstLine="420" w:firstLineChars="200"/>
        <w:contextualSpacing/>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10“负偏离”，是指响应文件对磋商文件“采购需求”中有关条款作出的响应不满足条款要求，导致采购人要求不能得到满足的情形。</w:t>
      </w:r>
    </w:p>
    <w:p w14:paraId="62EAA027">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01AC7202">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r>
        <w:rPr>
          <w:rFonts w:hint="eastAsia" w:ascii="宋体" w:hAnsi="宋体" w:eastAsia="宋体" w:cs="宋体"/>
          <w:color w:val="auto"/>
          <w:szCs w:val="21"/>
          <w:highlight w:val="none"/>
        </w:rPr>
        <w:t>2“首次报价”是指供应商提交的首次响应文件中的报价。</w:t>
      </w:r>
    </w:p>
    <w:p w14:paraId="0B665DD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7BF08E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278DA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7E5D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8DBA5B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076F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2D4B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AFF81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65" w:name="_Hlk66782192"/>
      <w:r>
        <w:rPr>
          <w:rFonts w:hint="eastAsia" w:ascii="宋体" w:hAnsi="宋体" w:eastAsia="宋体" w:cs="Times New Roman"/>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036E156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640B584C">
      <w:pPr>
        <w:pStyle w:val="6"/>
        <w:keepNext w:val="0"/>
        <w:keepLines w:val="0"/>
        <w:spacing w:before="0" w:after="0" w:line="360" w:lineRule="auto"/>
        <w:ind w:left="420" w:leftChars="200"/>
        <w:rPr>
          <w:rFonts w:hint="eastAsia" w:ascii="宋体" w:hAnsi="宋体" w:eastAsia="宋体" w:cs="Times New Roman"/>
          <w:b w:val="0"/>
          <w:bCs/>
          <w:color w:val="auto"/>
          <w:sz w:val="21"/>
          <w:szCs w:val="21"/>
          <w:highlight w:val="none"/>
        </w:rPr>
      </w:pPr>
      <w:bookmarkStart w:id="66" w:name="_Toc254970673"/>
      <w:bookmarkStart w:id="67" w:name="_Toc254970532"/>
      <w:r>
        <w:rPr>
          <w:rFonts w:hint="eastAsia" w:ascii="宋体" w:hAnsi="宋体" w:eastAsia="宋体" w:cs="Times New Roman"/>
          <w:b w:val="0"/>
          <w:bCs/>
          <w:color w:val="auto"/>
          <w:sz w:val="21"/>
          <w:szCs w:val="21"/>
          <w:highlight w:val="none"/>
        </w:rPr>
        <w:t>6.1本项目不允许转包。</w:t>
      </w:r>
    </w:p>
    <w:p w14:paraId="06C0F27D">
      <w:pPr>
        <w:pStyle w:val="6"/>
        <w:keepNext w:val="0"/>
        <w:keepLines w:val="0"/>
        <w:spacing w:before="0" w:after="0" w:line="360" w:lineRule="auto"/>
        <w:ind w:firstLine="315" w:firstLineChars="15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F7D1E78">
      <w:pPr>
        <w:pStyle w:val="6"/>
        <w:keepNext w:val="0"/>
        <w:keepLines w:val="0"/>
        <w:spacing w:before="0" w:after="0" w:line="360" w:lineRule="auto"/>
        <w:ind w:firstLine="315" w:firstLineChars="15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00405C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0BE97F8E">
      <w:pPr>
        <w:spacing w:line="360" w:lineRule="auto"/>
        <w:ind w:firstLine="420" w:firstLineChars="200"/>
        <w:rPr>
          <w:rFonts w:hint="eastAsia" w:ascii="宋体" w:hAnsi="宋体" w:eastAsia="宋体" w:cs="宋体"/>
          <w:color w:val="auto"/>
          <w:szCs w:val="21"/>
          <w:highlight w:val="none"/>
        </w:rPr>
      </w:pPr>
      <w:bookmarkStart w:id="68" w:name="_8.1提供相同品牌产品且通过资格审查、符合性审查的不同投标人参加同一合"/>
      <w:bookmarkEnd w:id="68"/>
      <w:r>
        <w:rPr>
          <w:rFonts w:hint="eastAsia" w:ascii="宋体" w:hAnsi="宋体" w:eastAsia="宋体" w:cs="宋体"/>
          <w:color w:val="auto"/>
          <w:szCs w:val="21"/>
          <w:highlight w:val="none"/>
        </w:rPr>
        <w:t>7.</w:t>
      </w:r>
      <w:r>
        <w:rPr>
          <w:rFonts w:ascii="宋体" w:hAnsi="宋体" w:eastAsia="宋体" w:cs="宋体"/>
          <w:color w:val="auto"/>
          <w:szCs w:val="21"/>
          <w:highlight w:val="none"/>
        </w:rPr>
        <w:t>1</w:t>
      </w:r>
      <w:bookmarkStart w:id="69" w:name="_Hlk65832145"/>
      <w:r>
        <w:rPr>
          <w:rFonts w:hint="eastAsia" w:ascii="宋体" w:hAnsi="宋体" w:eastAsia="宋体" w:cs="Times New Roman"/>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rPr>
        <w:t>。</w:t>
      </w:r>
    </w:p>
    <w:bookmarkEnd w:id="69"/>
    <w:p w14:paraId="75AA9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2</w:t>
      </w:r>
      <w:r>
        <w:rPr>
          <w:rFonts w:hint="eastAsia" w:ascii="宋体" w:hAnsi="宋体" w:eastAsia="宋体" w:cs="宋体"/>
          <w:color w:val="auto"/>
          <w:szCs w:val="21"/>
          <w:highlight w:val="none"/>
        </w:rPr>
        <w:t>供应商应仔细阅读磋商文件的所有内容，按照磋商文件的要求提交响应文件，并对所提供的全部资料的真实性承担法律责任。</w:t>
      </w:r>
    </w:p>
    <w:p w14:paraId="332DF1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3</w:t>
      </w:r>
      <w:r>
        <w:rPr>
          <w:rFonts w:hint="eastAsia" w:ascii="宋体" w:hAnsi="宋体" w:eastAsia="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71DB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4</w:t>
      </w:r>
      <w:r>
        <w:rPr>
          <w:rFonts w:hint="eastAsia" w:ascii="宋体" w:hAnsi="宋体" w:eastAsia="宋体" w:cs="宋体"/>
          <w:color w:val="auto"/>
          <w:szCs w:val="21"/>
          <w:highlight w:val="none"/>
        </w:rPr>
        <w:t>在政府采购活动中，采购人员及相关人员与供应商有下列利害关系之一的，应当回避：</w:t>
      </w:r>
    </w:p>
    <w:p w14:paraId="3BCBEF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28FFE8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2372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6288A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2B5BD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F50FB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D023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5</w:t>
      </w:r>
      <w:r>
        <w:rPr>
          <w:rFonts w:hint="eastAsia" w:ascii="宋体" w:hAnsi="宋体" w:eastAsia="宋体" w:cs="宋体"/>
          <w:color w:val="auto"/>
          <w:szCs w:val="21"/>
          <w:highlight w:val="none"/>
        </w:rPr>
        <w:t>有下列情形之一的视为供应商相互串通竞标，响应文件将被视为无效：</w:t>
      </w:r>
    </w:p>
    <w:p w14:paraId="1B10D4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2710DB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C8BEA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0E52E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0B781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6DC0926E">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ascii="宋体" w:hAnsi="宋体" w:eastAsia="宋体" w:cs="宋体"/>
          <w:color w:val="auto"/>
          <w:szCs w:val="21"/>
          <w:highlight w:val="none"/>
        </w:rPr>
        <w:tab/>
      </w:r>
    </w:p>
    <w:p w14:paraId="260BCB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6</w:t>
      </w:r>
      <w:r>
        <w:rPr>
          <w:rFonts w:hint="eastAsia" w:ascii="宋体" w:hAnsi="宋体" w:eastAsia="宋体" w:cs="宋体"/>
          <w:color w:val="auto"/>
          <w:szCs w:val="21"/>
          <w:highlight w:val="none"/>
        </w:rPr>
        <w:t>供应商有下列情形之一的，属于恶意串通行为，将报同级监督管理部门：</w:t>
      </w:r>
    </w:p>
    <w:p w14:paraId="3D49C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9AFE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60E2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E5507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E18BB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925AD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9E8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080D7808">
      <w:pPr>
        <w:spacing w:line="360" w:lineRule="auto"/>
        <w:ind w:firstLine="420" w:firstLineChars="200"/>
        <w:rPr>
          <w:rFonts w:hint="eastAsia" w:ascii="宋体" w:hAnsi="宋体" w:eastAsia="宋体" w:cs="宋体"/>
          <w:color w:val="auto"/>
          <w:szCs w:val="21"/>
          <w:highlight w:val="none"/>
        </w:rPr>
      </w:pPr>
    </w:p>
    <w:p w14:paraId="2E1E41FE">
      <w:pPr>
        <w:spacing w:line="360" w:lineRule="auto"/>
        <w:ind w:left="1" w:firstLine="417" w:firstLineChars="199"/>
        <w:jc w:val="center"/>
        <w:rPr>
          <w:rFonts w:hint="eastAsia" w:ascii="宋体" w:hAnsi="宋体" w:eastAsia="宋体" w:cs="Times New Roman"/>
          <w:color w:val="auto"/>
          <w:highlight w:val="none"/>
        </w:rPr>
      </w:pPr>
      <w:bookmarkStart w:id="70" w:name="_Toc254970534"/>
      <w:bookmarkStart w:id="71" w:name="_Toc254970675"/>
    </w:p>
    <w:p w14:paraId="2BCD4956">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二、磋商文件</w:t>
      </w:r>
      <w:bookmarkEnd w:id="70"/>
      <w:bookmarkEnd w:id="71"/>
    </w:p>
    <w:p w14:paraId="031E9806">
      <w:pPr>
        <w:spacing w:line="360" w:lineRule="auto"/>
        <w:rPr>
          <w:rFonts w:hint="eastAsia" w:ascii="宋体" w:hAnsi="宋体" w:eastAsia="宋体" w:cs="Times New Roman"/>
          <w:color w:val="auto"/>
          <w:szCs w:val="21"/>
          <w:highlight w:val="none"/>
        </w:rPr>
      </w:pPr>
    </w:p>
    <w:p w14:paraId="780CCB0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32678310">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（1）竞争性磋商公告/竞标邀请函；</w:t>
      </w:r>
    </w:p>
    <w:p w14:paraId="6B98D61E">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（2）供应商须知； </w:t>
      </w:r>
    </w:p>
    <w:p w14:paraId="40E260C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（3）采购需求；</w:t>
      </w:r>
    </w:p>
    <w:p w14:paraId="1D3B6E2E">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（4）评审程序、评审方法和评审标准；</w:t>
      </w:r>
    </w:p>
    <w:p w14:paraId="599FB906">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（5）响应文件格式；</w:t>
      </w:r>
    </w:p>
    <w:p w14:paraId="4AF7F703">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（6）合同文本。</w:t>
      </w:r>
    </w:p>
    <w:p w14:paraId="0021753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719D1B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供应商应认真阅读磋商文件的采购需求，如供应商对磋商文件有疑问的，如要求采购人作出澄清或者修改的，供应商应在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449EEC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EE9B4F1">
      <w:pPr>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eastAsia="宋体" w:cs="Times New Roman"/>
          <w:color w:val="auto"/>
          <w:szCs w:val="21"/>
          <w:highlight w:val="none"/>
        </w:rPr>
        <w:t>获取</w:t>
      </w:r>
      <w:r>
        <w:rPr>
          <w:rFonts w:ascii="宋体" w:hAnsi="宋体" w:eastAsia="宋体" w:cs="Times New Roman"/>
          <w:color w:val="auto"/>
          <w:szCs w:val="21"/>
          <w:highlight w:val="none"/>
        </w:rPr>
        <w:t>磋商文件的供应商，不足3个工作日的，应当顺延提交首次响应文件截止之日。</w:t>
      </w:r>
    </w:p>
    <w:p w14:paraId="05089C04">
      <w:pPr>
        <w:spacing w:line="360" w:lineRule="auto"/>
        <w:rPr>
          <w:rFonts w:hint="eastAsia" w:ascii="宋体" w:hAnsi="宋体" w:eastAsia="宋体" w:cs="Times New Roman"/>
          <w:color w:val="auto"/>
          <w:szCs w:val="21"/>
          <w:highlight w:val="none"/>
        </w:rPr>
      </w:pPr>
    </w:p>
    <w:p w14:paraId="496E10C5">
      <w:pPr>
        <w:spacing w:line="360"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 w:val="32"/>
          <w:szCs w:val="32"/>
          <w:highlight w:val="none"/>
        </w:rPr>
        <w:t>三、响应文件的编制</w:t>
      </w:r>
    </w:p>
    <w:p w14:paraId="313656D3">
      <w:pPr>
        <w:spacing w:line="360" w:lineRule="auto"/>
        <w:rPr>
          <w:rFonts w:hint="eastAsia" w:ascii="宋体" w:hAnsi="宋体" w:eastAsia="宋体" w:cs="Times New Roman"/>
          <w:color w:val="auto"/>
          <w:szCs w:val="21"/>
          <w:highlight w:val="none"/>
        </w:rPr>
      </w:pPr>
    </w:p>
    <w:p w14:paraId="17BDB88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08B821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eastAsia="宋体" w:cs="Times New Roman"/>
          <w:color w:val="auto"/>
          <w:szCs w:val="21"/>
          <w:highlight w:val="none"/>
        </w:rPr>
        <w:t>提出的要求和条件作出明确响应</w:t>
      </w:r>
      <w:r>
        <w:rPr>
          <w:rFonts w:hint="eastAsia" w:ascii="宋体" w:hAnsi="宋体" w:eastAsia="宋体" w:cs="宋体"/>
          <w:color w:val="auto"/>
          <w:szCs w:val="21"/>
          <w:highlight w:val="none"/>
        </w:rPr>
        <w:t>。</w:t>
      </w:r>
    </w:p>
    <w:p w14:paraId="6154C7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7DBB7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12.1响应文件由资格证明文件、报价文件、商务技术文件三部分组成。</w:t>
      </w:r>
    </w:p>
    <w:p w14:paraId="129E0FC6">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74521333">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12.1.2报价文件：详见“供应商须知前附表”</w:t>
      </w:r>
    </w:p>
    <w:p w14:paraId="6CC3CB0B">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12.1.3商务技术文件：详见“供应商须知前附表”</w:t>
      </w:r>
    </w:p>
    <w:p w14:paraId="5855C8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87543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295DF6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11C486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43C28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AAE3298">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4D74C04D">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14:paraId="2BB155D7">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2DB8002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5.3.1</w:t>
      </w:r>
      <w:r>
        <w:rPr>
          <w:rFonts w:hint="eastAsia" w:ascii="宋体" w:hAnsi="宋体" w:eastAsia="宋体" w:cs="宋体"/>
          <w:color w:val="auto"/>
          <w:szCs w:val="21"/>
          <w:highlight w:val="none"/>
        </w:rPr>
        <w:t>供应商的竞标报价应符合以下要求，否则响应文件按无效响应处理：</w:t>
      </w:r>
    </w:p>
    <w:p w14:paraId="485A45CF">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1DCBA52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1C6B188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）供应商必须就所竞标的分标的单项内容作唯一报价。</w:t>
      </w:r>
    </w:p>
    <w:p w14:paraId="1AF724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ascii="宋体" w:hAnsi="宋体" w:eastAsia="宋体" w:cs="宋体"/>
          <w:color w:val="auto"/>
          <w:szCs w:val="21"/>
          <w:highlight w:val="none"/>
        </w:rPr>
        <w:t>2</w:t>
      </w:r>
      <w:r>
        <w:rPr>
          <w:rFonts w:hint="eastAsia" w:ascii="宋体" w:hAnsi="宋体" w:eastAsia="宋体" w:cs="宋体"/>
          <w:color w:val="auto"/>
          <w:szCs w:val="21"/>
          <w:highlight w:val="none"/>
        </w:rPr>
        <w:t>竞标报价（包含首次报价、最后报价）超过所竞标分标规定的采购预算金额或者最高限价的，其响应文件将按无效处理。</w:t>
      </w:r>
    </w:p>
    <w:p w14:paraId="76CA6D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ascii="宋体" w:hAnsi="宋体" w:eastAsia="宋体" w:cs="宋体"/>
          <w:color w:val="auto"/>
          <w:szCs w:val="21"/>
          <w:highlight w:val="none"/>
        </w:rPr>
        <w:t>3</w:t>
      </w:r>
      <w:bookmarkStart w:id="72" w:name="_Hlk42592874"/>
      <w:r>
        <w:rPr>
          <w:rFonts w:hint="eastAsia" w:ascii="宋体" w:hAnsi="宋体" w:eastAsia="宋体" w:cs="宋体"/>
          <w:color w:val="auto"/>
          <w:szCs w:val="21"/>
          <w:highlight w:val="none"/>
        </w:rPr>
        <w:t>竞标报价（包含首次报价、最后报价）超过分项采购预算金额或者最高限价的，其响应文件将按无效处理。</w:t>
      </w:r>
    </w:p>
    <w:bookmarkEnd w:id="72"/>
    <w:p w14:paraId="7E7068E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42AF0B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776F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r>
        <w:rPr>
          <w:rFonts w:hint="eastAsia" w:ascii="宋体" w:hAnsi="宋体" w:eastAsia="宋体" w:cs="Times New Roman"/>
          <w:color w:val="auto"/>
          <w:szCs w:val="21"/>
          <w:highlight w:val="none"/>
        </w:rPr>
        <w:t>承诺的竞标有效期低于采购文件规定期限的，供应商的响应文件作无效处理。</w:t>
      </w:r>
    </w:p>
    <w:p w14:paraId="6F4627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40D85A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7C2FA4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4193231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7F68584D">
      <w:pPr>
        <w:spacing w:line="360" w:lineRule="auto"/>
        <w:ind w:firstLine="420" w:firstLineChars="200"/>
        <w:rPr>
          <w:rFonts w:hint="eastAsia" w:ascii="宋体" w:hAnsi="宋体" w:eastAsia="宋体" w:cs="宋体"/>
          <w:color w:val="auto"/>
          <w:szCs w:val="21"/>
          <w:highlight w:val="none"/>
        </w:rPr>
      </w:pPr>
      <w:bookmarkStart w:id="73" w:name="_Hlk66782243"/>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成交供应商的竞标保证金自成交通知书发出之日起5个工作日内退还；</w:t>
      </w:r>
      <w:r>
        <w:rPr>
          <w:rFonts w:hint="eastAsia" w:ascii="宋体" w:hAnsi="宋体" w:eastAsia="宋体" w:cs="宋体"/>
          <w:color w:val="auto"/>
          <w:szCs w:val="21"/>
          <w:highlight w:val="none"/>
        </w:rPr>
        <w:t>成交供应商的磋商保证金自签订合同之日起5个工作日内退还。</w:t>
      </w:r>
      <w:bookmarkEnd w:id="73"/>
      <w:r>
        <w:rPr>
          <w:rFonts w:hint="eastAsia" w:ascii="宋体" w:hAnsi="宋体" w:eastAsia="宋体" w:cs="宋体"/>
          <w:color w:val="auto"/>
          <w:szCs w:val="21"/>
          <w:highlight w:val="none"/>
        </w:rPr>
        <w:t xml:space="preserve"> </w:t>
      </w:r>
    </w:p>
    <w:p w14:paraId="17383BA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17.3除逾期退还磋商保证金和终止采购的情形以外，磋商保证金不计息。</w:t>
      </w:r>
    </w:p>
    <w:p w14:paraId="26126F75">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19ED53F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768EE9F2">
      <w:pPr>
        <w:spacing w:line="360" w:lineRule="auto"/>
        <w:ind w:left="420" w:left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（2）未按规定提交履约保证金的；</w:t>
      </w:r>
    </w:p>
    <w:p w14:paraId="38190E6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14:paraId="6458B7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（4）除因不可抗力或者磋商文件认可的情形以外，成交供应商不与采购人签订合同的；</w:t>
      </w:r>
    </w:p>
    <w:p w14:paraId="2A7CC23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14:paraId="24E67CA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44492F4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3FF1A8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54C71E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161B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18.3响应文件须由供应商在规定位置签字、盖章（具体以供应商须知前附表或响应文件格式规定为准），否则按无效响应处理。</w:t>
      </w:r>
    </w:p>
    <w:p w14:paraId="402E45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eastAsia="宋体" w:cs="Times New Roman"/>
          <w:b/>
          <w:color w:val="auto"/>
          <w:szCs w:val="21"/>
          <w:highlight w:val="none"/>
        </w:rPr>
        <w:t>并与广西政府采购云平台中获取采购文件的供应商名称一致，</w:t>
      </w:r>
      <w:r>
        <w:rPr>
          <w:rFonts w:hint="eastAsia" w:ascii="宋体" w:hAnsi="宋体" w:eastAsia="宋体" w:cs="宋体"/>
          <w:color w:val="auto"/>
          <w:szCs w:val="21"/>
          <w:highlight w:val="none"/>
        </w:rPr>
        <w:t>供应商为自然人的，标注的供应商名称应与身份证姓名及签名一致，否则其响应文件按无效响应处理。</w:t>
      </w:r>
    </w:p>
    <w:p w14:paraId="2A366A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CEF2D0B">
      <w:pPr>
        <w:spacing w:line="360" w:lineRule="auto"/>
        <w:ind w:firstLine="482" w:firstLineChars="200"/>
        <w:rPr>
          <w:rFonts w:hint="eastAsia" w:ascii="黑体" w:hAnsi="黑体" w:eastAsia="黑体" w:cs="Times New Roman"/>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cs="Times New Roman"/>
          <w:b/>
          <w:color w:val="auto"/>
          <w:sz w:val="24"/>
          <w:highlight w:val="none"/>
        </w:rPr>
        <w:t>备份响应文件</w:t>
      </w:r>
    </w:p>
    <w:p w14:paraId="0C991A02">
      <w:pPr>
        <w:spacing w:line="360" w:lineRule="auto"/>
        <w:ind w:firstLine="420" w:firstLineChars="20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rPr>
        <w:t>电子备份响应文件是指通过在线编制生成且后缀名为“</w:t>
      </w:r>
      <w:r>
        <w:rPr>
          <w:rFonts w:ascii="Times New Roman" w:hAnsi="Times New Roman" w:eastAsia="宋体" w:cs="Times New Roman"/>
          <w:color w:val="auto"/>
          <w:highlight w:val="none"/>
        </w:rPr>
        <w:t>bfbs</w:t>
      </w:r>
      <w:r>
        <w:rPr>
          <w:rFonts w:hint="eastAsia" w:ascii="Times New Roman" w:hAnsi="Times New Roman" w:eastAsia="宋体" w:cs="Times New Roman"/>
          <w:color w:val="auto"/>
          <w:highlight w:val="none"/>
        </w:rPr>
        <w:t>”的文件，是否接受电子备份响应文件</w:t>
      </w:r>
      <w:r>
        <w:rPr>
          <w:rFonts w:hint="eastAsia" w:ascii="Times New Roman" w:hAnsi="宋体" w:eastAsia="宋体" w:cs="Times New Roman"/>
          <w:bCs/>
          <w:color w:val="auto"/>
          <w:szCs w:val="21"/>
          <w:highlight w:val="none"/>
        </w:rPr>
        <w:t>详见“供应商须知前附表”。</w:t>
      </w:r>
    </w:p>
    <w:p w14:paraId="626A71E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08D51712">
      <w:pPr>
        <w:spacing w:line="360" w:lineRule="auto"/>
        <w:ind w:firstLine="420" w:firstLineChars="200"/>
        <w:rPr>
          <w:rFonts w:hint="eastAsia" w:ascii="Times New Roman" w:hAnsi="宋体" w:eastAsia="宋体" w:cs="Times New Roman"/>
          <w:b/>
          <w:color w:val="auto"/>
          <w:highlight w:val="none"/>
        </w:rPr>
      </w:pPr>
      <w:r>
        <w:rPr>
          <w:rFonts w:hint="eastAsia" w:ascii="Times New Roman" w:hAnsi="宋体" w:eastAsia="宋体" w:cs="Times New Roman"/>
          <w:bCs/>
          <w:color w:val="auto"/>
          <w:szCs w:val="21"/>
          <w:highlight w:val="none"/>
        </w:rPr>
        <w:t>20.1供应商必须按“供应商须知前附表”规定的</w:t>
      </w:r>
      <w:r>
        <w:rPr>
          <w:rFonts w:hint="eastAsia" w:ascii="宋体" w:hAnsi="宋体" w:eastAsia="宋体" w:cs="宋体"/>
          <w:color w:val="auto"/>
          <w:szCs w:val="21"/>
          <w:highlight w:val="none"/>
        </w:rPr>
        <w:t>时间</w:t>
      </w:r>
      <w:r>
        <w:rPr>
          <w:rFonts w:hint="eastAsia" w:ascii="宋体" w:hAnsi="宋体" w:eastAsia="宋体" w:cs="Times New Roman"/>
          <w:color w:val="auto"/>
          <w:szCs w:val="21"/>
          <w:highlight w:val="none"/>
        </w:rPr>
        <w:t>及</w:t>
      </w:r>
      <w:r>
        <w:rPr>
          <w:rFonts w:hint="eastAsia" w:ascii="Times New Roman" w:hAnsi="宋体" w:eastAsia="宋体" w:cs="Times New Roman"/>
          <w:bCs/>
          <w:color w:val="auto"/>
          <w:szCs w:val="21"/>
          <w:highlight w:val="none"/>
        </w:rPr>
        <w:t>地点提交响应文件。电子响应文件应在制作完成后，</w:t>
      </w:r>
      <w:r>
        <w:rPr>
          <w:rFonts w:ascii="Times New Roman" w:hAnsi="宋体" w:eastAsia="宋体" w:cs="Times New Roman"/>
          <w:bCs/>
          <w:color w:val="auto"/>
          <w:szCs w:val="21"/>
          <w:highlight w:val="none"/>
        </w:rPr>
        <w:t>在</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时间前</w:t>
      </w:r>
      <w:r>
        <w:rPr>
          <w:rFonts w:hint="eastAsia" w:ascii="Times New Roman" w:hAnsi="宋体" w:eastAsia="宋体" w:cs="Times New Roman"/>
          <w:bCs/>
          <w:color w:val="auto"/>
          <w:szCs w:val="21"/>
          <w:highlight w:val="none"/>
        </w:rPr>
        <w:t>通过有效数字证书（CA认证锁）进行电子签章、加密，然后通过网络将加密的电子响应文件提交至</w:t>
      </w:r>
      <w:r>
        <w:rPr>
          <w:rFonts w:hint="eastAsia" w:ascii="宋体" w:hAnsi="宋体" w:eastAsia="宋体" w:cs="Times New Roman"/>
          <w:color w:val="auto"/>
          <w:szCs w:val="21"/>
          <w:highlight w:val="none"/>
        </w:rPr>
        <w:t>广西政府采购云平台</w:t>
      </w:r>
      <w:r>
        <w:rPr>
          <w:rFonts w:hint="eastAsia" w:ascii="Times New Roman" w:hAnsi="宋体" w:eastAsia="宋体" w:cs="Times New Roman"/>
          <w:bCs/>
          <w:color w:val="auto"/>
          <w:szCs w:val="21"/>
          <w:highlight w:val="none"/>
        </w:rPr>
        <w:t xml:space="preserve">。 </w:t>
      </w:r>
      <w:r>
        <w:rPr>
          <w:rFonts w:hint="eastAsia" w:ascii="Times New Roman" w:hAnsi="宋体" w:eastAsia="宋体" w:cs="Times New Roman"/>
          <w:b/>
          <w:color w:val="auto"/>
          <w:highlight w:val="none"/>
        </w:rPr>
        <w:t xml:space="preserve"> </w:t>
      </w:r>
    </w:p>
    <w:p w14:paraId="14B4D19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Times New Roman"/>
          <w:b/>
          <w:color w:val="auto"/>
          <w:szCs w:val="21"/>
          <w:highlight w:val="none"/>
        </w:rPr>
        <w:t>20.</w:t>
      </w:r>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未在规定时间内提交或者未按照磋商文件要求加密的电子响应文件，广西政府采购云平台将拒收。</w:t>
      </w:r>
    </w:p>
    <w:p w14:paraId="631361E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5B1B4A2B">
      <w:pPr>
        <w:snapToGrid w:val="0"/>
        <w:spacing w:line="360" w:lineRule="auto"/>
        <w:ind w:firstLine="420"/>
        <w:jc w:val="left"/>
        <w:rPr>
          <w:rFonts w:hint="eastAsia" w:ascii="宋体" w:hAnsi="宋体" w:eastAsia="宋体" w:cs="Times New Roman"/>
          <w:color w:val="auto"/>
          <w:szCs w:val="21"/>
          <w:highlight w:val="none"/>
        </w:rPr>
      </w:pPr>
      <w:bookmarkStart w:id="74" w:name="_Toc254970543"/>
      <w:bookmarkStart w:id="75" w:name="_Toc254970684"/>
      <w:r>
        <w:rPr>
          <w:rFonts w:ascii="宋体" w:hAnsi="宋体" w:eastAsia="宋体" w:cs="宋体"/>
          <w:color w:val="auto"/>
          <w:szCs w:val="21"/>
          <w:highlight w:val="none"/>
        </w:rPr>
        <w:t>2</w:t>
      </w:r>
      <w:r>
        <w:rPr>
          <w:rFonts w:hint="eastAsia" w:ascii="宋体" w:hAnsi="宋体" w:eastAsia="宋体" w:cs="宋体"/>
          <w:color w:val="auto"/>
          <w:szCs w:val="21"/>
          <w:highlight w:val="none"/>
        </w:rPr>
        <w:t>1.1</w:t>
      </w:r>
      <w:r>
        <w:rPr>
          <w:rFonts w:hint="eastAsia" w:ascii="宋体" w:hAnsi="宋体" w:eastAsia="宋体" w:cs="Times New Roman"/>
          <w:bCs/>
          <w:color w:val="auto"/>
          <w:szCs w:val="21"/>
          <w:highlight w:val="none"/>
        </w:rPr>
        <w:t>供应商应当在</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宋体" w:hAnsi="宋体" w:eastAsia="宋体" w:cs="Times New Roman"/>
          <w:bCs/>
          <w:color w:val="auto"/>
          <w:szCs w:val="21"/>
          <w:highlight w:val="none"/>
        </w:rPr>
        <w:t>前完成电子响应文件的提交（上传），</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Times New Roman" w:hAnsi="宋体" w:eastAsia="宋体" w:cs="Times New Roman"/>
          <w:bCs/>
          <w:color w:val="auto"/>
          <w:szCs w:val="21"/>
          <w:highlight w:val="none"/>
        </w:rPr>
        <w:t>前</w:t>
      </w:r>
      <w:r>
        <w:rPr>
          <w:rFonts w:hint="eastAsia" w:ascii="宋体" w:hAnsi="宋体" w:eastAsia="宋体" w:cs="Times New Roman"/>
          <w:bCs/>
          <w:color w:val="auto"/>
          <w:szCs w:val="21"/>
          <w:highlight w:val="none"/>
        </w:rPr>
        <w:t>可以补充、修改或者撤回响应文件。补充或者修改响应文件的，应当先行撤回原响应文件，补充、修改后重新提交（上传），</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Times New Roman" w:hAnsi="宋体" w:eastAsia="宋体" w:cs="Times New Roman"/>
          <w:bCs/>
          <w:color w:val="auto"/>
          <w:szCs w:val="21"/>
          <w:highlight w:val="none"/>
        </w:rPr>
        <w:t>前</w:t>
      </w:r>
      <w:r>
        <w:rPr>
          <w:rFonts w:hint="eastAsia" w:ascii="宋体" w:hAnsi="宋体" w:eastAsia="宋体" w:cs="Times New Roman"/>
          <w:bCs/>
          <w:color w:val="auto"/>
          <w:szCs w:val="21"/>
          <w:highlight w:val="none"/>
        </w:rPr>
        <w:t>未完成提交（上传）的，视为撤回响应文件。</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宋体" w:hAnsi="宋体" w:eastAsia="宋体" w:cs="Times New Roman"/>
          <w:bCs/>
          <w:color w:val="auto"/>
          <w:szCs w:val="21"/>
          <w:highlight w:val="none"/>
        </w:rPr>
        <w:t>以后提交（上传）的响应文件，广西政府采购云平台将予以拒收。</w:t>
      </w:r>
      <w:r>
        <w:rPr>
          <w:rFonts w:hint="eastAsia" w:ascii="宋体" w:hAnsi="宋体" w:eastAsia="宋体" w:cs="宋体"/>
          <w:color w:val="auto"/>
          <w:szCs w:val="21"/>
          <w:highlight w:val="none"/>
        </w:rPr>
        <w:t>（补充、修改或者撤回方式可</w:t>
      </w:r>
      <w:r>
        <w:rPr>
          <w:rFonts w:hint="eastAsia" w:ascii="宋体" w:hAnsi="宋体" w:eastAsia="宋体" w:cs="Times New Roman"/>
          <w:color w:val="auto"/>
          <w:szCs w:val="21"/>
          <w:highlight w:val="none"/>
        </w:rPr>
        <w:t>登录</w:t>
      </w:r>
      <w:r>
        <w:rPr>
          <w:rFonts w:hint="eastAsia" w:ascii="宋体" w:hAnsi="宋体" w:eastAsia="宋体" w:cs="宋体"/>
          <w:color w:val="auto"/>
          <w:kern w:val="0"/>
          <w:szCs w:val="21"/>
          <w:highlight w:val="none"/>
        </w:rPr>
        <w:t>广西政府采购云平台，</w:t>
      </w:r>
      <w:r>
        <w:rPr>
          <w:rFonts w:hint="eastAsia" w:ascii="宋体" w:hAnsi="宋体" w:eastAsia="宋体" w:cs="Times New Roman"/>
          <w:color w:val="auto"/>
          <w:szCs w:val="21"/>
          <w:highlight w:val="none"/>
        </w:rPr>
        <w:t>进入“服务中心”中查看</w:t>
      </w:r>
      <w:r>
        <w:rPr>
          <w:rFonts w:hint="eastAsia" w:ascii="宋体" w:hAnsi="宋体" w:eastAsia="宋体" w:cs="宋体"/>
          <w:color w:val="auto"/>
          <w:szCs w:val="21"/>
          <w:highlight w:val="none"/>
        </w:rPr>
        <w:t xml:space="preserve"> “电子投标文件制作与投送教程”）</w:t>
      </w:r>
    </w:p>
    <w:bookmarkEnd w:id="74"/>
    <w:bookmarkEnd w:id="75"/>
    <w:p w14:paraId="2BC9469E">
      <w:pPr>
        <w:pStyle w:val="70"/>
        <w:spacing w:before="0"/>
        <w:ind w:firstLine="420"/>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2在提交响应文件截止时间前，除供应商补充、修改或者撤回响应文件外，任何单位和个人不得解密或提取响应文件。</w:t>
      </w:r>
    </w:p>
    <w:p w14:paraId="170BEB3B">
      <w:pPr>
        <w:spacing w:line="360" w:lineRule="auto"/>
        <w:ind w:firstLine="482" w:firstLineChars="200"/>
        <w:rPr>
          <w:rFonts w:ascii="黑体" w:hAnsi="黑体" w:eastAsia="黑体" w:cs="宋体"/>
          <w:b/>
          <w:bCs/>
          <w:color w:val="auto"/>
          <w:sz w:val="24"/>
          <w:highlight w:val="none"/>
        </w:rPr>
      </w:pPr>
      <w:bookmarkStart w:id="76" w:name="_Hlk45702405"/>
      <w:r>
        <w:rPr>
          <w:rFonts w:hint="eastAsia" w:ascii="黑体" w:hAnsi="黑体" w:eastAsia="黑体" w:cs="宋体"/>
          <w:b/>
          <w:bCs/>
          <w:color w:val="auto"/>
          <w:sz w:val="24"/>
          <w:highlight w:val="none"/>
        </w:rPr>
        <w:t>22.响应文件的退回</w:t>
      </w:r>
    </w:p>
    <w:p w14:paraId="292DEE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采购人和采购代理机构对已提交的响应文件概不退回。</w:t>
      </w:r>
    </w:p>
    <w:p w14:paraId="0F3E128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43C336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供应商在响应文件提交截止时间后向采购人、采购代理机构书面申请撤回响应文件的，将根据本须知正文17.4的规定不予退还其磋商保证金。</w:t>
      </w:r>
    </w:p>
    <w:bookmarkEnd w:id="76"/>
    <w:p w14:paraId="0474F2E7">
      <w:pPr>
        <w:spacing w:line="360" w:lineRule="auto"/>
        <w:rPr>
          <w:rFonts w:hint="eastAsia" w:ascii="宋体" w:hAnsi="宋体" w:eastAsia="宋体" w:cs="Times New Roman"/>
          <w:color w:val="auto"/>
          <w:szCs w:val="21"/>
          <w:highlight w:val="none"/>
        </w:rPr>
      </w:pPr>
    </w:p>
    <w:p w14:paraId="21768ED2">
      <w:pPr>
        <w:spacing w:line="360" w:lineRule="auto"/>
        <w:ind w:left="420" w:firstLine="42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四、评审及磋商</w:t>
      </w:r>
    </w:p>
    <w:p w14:paraId="6F31149B">
      <w:pPr>
        <w:spacing w:line="360" w:lineRule="auto"/>
        <w:ind w:left="420" w:firstLine="420"/>
        <w:rPr>
          <w:rFonts w:hint="eastAsia" w:ascii="宋体" w:hAnsi="宋体" w:eastAsia="宋体" w:cs="Times New Roman"/>
          <w:color w:val="auto"/>
          <w:szCs w:val="21"/>
          <w:highlight w:val="none"/>
        </w:rPr>
      </w:pPr>
    </w:p>
    <w:p w14:paraId="3C2F547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0D869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473560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A2A511F">
      <w:pPr>
        <w:spacing w:line="360" w:lineRule="auto"/>
        <w:ind w:firstLine="420" w:firstLineChars="200"/>
        <w:rPr>
          <w:rFonts w:hint="eastAsia" w:ascii="Times New Roman" w:hAnsi="宋体" w:eastAsia="宋体" w:cs="Times New Roman"/>
          <w:bCs/>
          <w:color w:val="auto"/>
          <w:szCs w:val="21"/>
          <w:highlight w:val="none"/>
        </w:rPr>
      </w:pPr>
      <w:r>
        <w:rPr>
          <w:rFonts w:hint="eastAsia" w:ascii="宋体" w:hAnsi="宋体" w:eastAsia="宋体" w:cs="宋体"/>
          <w:color w:val="auto"/>
          <w:szCs w:val="21"/>
          <w:highlight w:val="none"/>
        </w:rPr>
        <w:t>24.3</w:t>
      </w:r>
      <w:r>
        <w:rPr>
          <w:rFonts w:hint="eastAsia" w:ascii="Times New Roman" w:hAnsi="宋体" w:eastAsia="宋体" w:cs="Times New Roman"/>
          <w:bCs/>
          <w:color w:val="auto"/>
          <w:szCs w:val="21"/>
          <w:highlight w:val="none"/>
        </w:rPr>
        <w:t>采购代理机构</w:t>
      </w:r>
      <w:r>
        <w:rPr>
          <w:rFonts w:hint="eastAsia" w:ascii="Times New Roman" w:hAnsi="宋体" w:eastAsia="宋体" w:cs="Times New Roman"/>
          <w:bCs/>
          <w:color w:val="auto"/>
          <w:highlight w:val="none"/>
        </w:rPr>
        <w:t>应当</w:t>
      </w:r>
      <w:r>
        <w:rPr>
          <w:rFonts w:hint="eastAsia" w:ascii="Times New Roman" w:hAnsi="宋体" w:eastAsia="宋体" w:cs="Times New Roman"/>
          <w:bCs/>
          <w:color w:val="auto"/>
          <w:szCs w:val="21"/>
          <w:highlight w:val="none"/>
        </w:rPr>
        <w:t>基于广西政府采购云平台</w:t>
      </w:r>
      <w:r>
        <w:rPr>
          <w:rFonts w:hint="eastAsia" w:ascii="Times New Roman" w:hAnsi="宋体" w:eastAsia="宋体" w:cs="Times New Roman"/>
          <w:bCs/>
          <w:color w:val="auto"/>
          <w:highlight w:val="none"/>
        </w:rPr>
        <w:t>抽（选）取</w:t>
      </w:r>
      <w:r>
        <w:rPr>
          <w:rFonts w:hint="eastAsia" w:ascii="Times New Roman" w:hAnsi="宋体" w:eastAsia="宋体" w:cs="Times New Roman"/>
          <w:bCs/>
          <w:color w:val="auto"/>
          <w:szCs w:val="21"/>
          <w:highlight w:val="none"/>
        </w:rPr>
        <w:t>评审专家。</w:t>
      </w:r>
    </w:p>
    <w:p w14:paraId="47B39D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24.4参加过采购项目前期咨询论证的专家，不得参加该采购项目的评审活动。</w:t>
      </w:r>
    </w:p>
    <w:p w14:paraId="7EB4851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002C7B5">
      <w:pPr>
        <w:spacing w:line="360" w:lineRule="auto"/>
        <w:ind w:firstLine="420" w:firstLineChars="200"/>
        <w:rPr>
          <w:rFonts w:hint="eastAsia" w:ascii="宋体" w:hAnsi="宋体" w:eastAsia="宋体" w:cs="宋体"/>
          <w:color w:val="auto"/>
          <w:szCs w:val="21"/>
          <w:highlight w:val="none"/>
        </w:rPr>
      </w:pPr>
      <w:r>
        <w:rPr>
          <w:rFonts w:hint="eastAsia" w:ascii="Times New Roman" w:hAnsi="宋体" w:eastAsia="宋体" w:cs="Times New Roman"/>
          <w:bCs/>
          <w:color w:val="auto"/>
          <w:highlight w:val="none"/>
        </w:rPr>
        <w:t>采购代理机构将在“供应商须知前附表”规定的时</w:t>
      </w:r>
      <w:r>
        <w:rPr>
          <w:rFonts w:hint="eastAsia" w:ascii="Times New Roman" w:hAnsi="宋体" w:eastAsia="宋体" w:cs="Times New Roman"/>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ascii="Times New Roman" w:hAnsi="Times New Roman" w:eastAsia="宋体" w:cs="Times New Roman"/>
          <w:color w:val="auto"/>
          <w:highlight w:val="none"/>
        </w:rPr>
        <w:t>采购代理机构依托广西政府采购云平台向各供应商发出电子加密响应文件【开始解密】通知，由供应商按</w:t>
      </w:r>
      <w:r>
        <w:rPr>
          <w:rFonts w:hint="eastAsia" w:ascii="Times New Roman" w:hAnsi="宋体" w:eastAsia="宋体" w:cs="Times New Roman"/>
          <w:bCs/>
          <w:color w:val="auto"/>
          <w:szCs w:val="21"/>
          <w:highlight w:val="none"/>
        </w:rPr>
        <w:t>“供应商须知前附表”</w:t>
      </w:r>
      <w:r>
        <w:rPr>
          <w:rFonts w:hint="eastAsia" w:ascii="Times New Roman" w:hAnsi="Times New Roman" w:eastAsia="宋体" w:cs="Times New Roman"/>
          <w:color w:val="auto"/>
          <w:highlight w:val="none"/>
        </w:rPr>
        <w:t>规定的时间内自行进行响应文件解密</w:t>
      </w:r>
      <w:r>
        <w:rPr>
          <w:rFonts w:hint="eastAsia" w:ascii="Times New Roman" w:hAnsi="宋体" w:eastAsia="宋体" w:cs="Times New Roman"/>
          <w:color w:val="auto"/>
          <w:highlight w:val="none"/>
        </w:rPr>
        <w:t>。</w:t>
      </w:r>
      <w:r>
        <w:rPr>
          <w:rFonts w:hint="eastAsia" w:ascii="Times New Roman" w:hAnsi="Times New Roman" w:eastAsia="宋体" w:cs="Times New Roman"/>
          <w:b/>
          <w:color w:val="auto"/>
          <w:highlight w:val="none"/>
        </w:rPr>
        <w:t>供应商未在</w:t>
      </w:r>
      <w:r>
        <w:rPr>
          <w:rFonts w:ascii="Times New Roman" w:hAnsi="Times New Roman" w:eastAsia="宋体" w:cs="Times New Roman"/>
          <w:b/>
          <w:color w:val="auto"/>
          <w:highlight w:val="none"/>
        </w:rPr>
        <w:t>规定的时间内解密</w:t>
      </w:r>
      <w:r>
        <w:rPr>
          <w:rFonts w:hint="eastAsia" w:ascii="Times New Roman" w:hAnsi="Times New Roman" w:eastAsia="宋体" w:cs="Times New Roman"/>
          <w:b/>
          <w:color w:val="auto"/>
          <w:highlight w:val="none"/>
        </w:rPr>
        <w:t>响应文件</w:t>
      </w:r>
      <w:r>
        <w:rPr>
          <w:rFonts w:ascii="Times New Roman" w:hAnsi="Times New Roman" w:eastAsia="宋体" w:cs="Times New Roman"/>
          <w:b/>
          <w:color w:val="auto"/>
          <w:highlight w:val="none"/>
        </w:rPr>
        <w:t>或</w:t>
      </w:r>
      <w:r>
        <w:rPr>
          <w:rFonts w:hint="eastAsia" w:ascii="Times New Roman" w:hAnsi="Times New Roman" w:eastAsia="宋体" w:cs="Times New Roman"/>
          <w:b/>
          <w:color w:val="auto"/>
          <w:highlight w:val="none"/>
        </w:rPr>
        <w:t>者</w:t>
      </w:r>
      <w:r>
        <w:rPr>
          <w:rFonts w:ascii="Times New Roman" w:hAnsi="Times New Roman" w:eastAsia="宋体" w:cs="Times New Roman"/>
          <w:b/>
          <w:color w:val="auto"/>
          <w:highlight w:val="none"/>
        </w:rPr>
        <w:t>解密失败的</w:t>
      </w:r>
      <w:r>
        <w:rPr>
          <w:rFonts w:hint="eastAsia" w:ascii="Times New Roman" w:hAnsi="Times New Roman" w:eastAsia="宋体" w:cs="Times New Roman"/>
          <w:b/>
          <w:color w:val="auto"/>
          <w:highlight w:val="none"/>
        </w:rPr>
        <w:t>，供应商</w:t>
      </w:r>
      <w:r>
        <w:rPr>
          <w:rFonts w:hint="eastAsia" w:ascii="宋体" w:hAnsi="宋体" w:eastAsia="宋体" w:cs="Times New Roman"/>
          <w:b/>
          <w:color w:val="auto"/>
          <w:szCs w:val="21"/>
          <w:highlight w:val="none"/>
        </w:rPr>
        <w:t>的响应文件作无效处理</w:t>
      </w:r>
      <w:r>
        <w:rPr>
          <w:rFonts w:ascii="Times New Roman" w:hAnsi="Times New Roman" w:eastAsia="宋体" w:cs="Times New Roman"/>
          <w:b/>
          <w:color w:val="auto"/>
          <w:highlight w:val="none"/>
        </w:rPr>
        <w:t>。</w:t>
      </w:r>
    </w:p>
    <w:p w14:paraId="2E7747A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19760F9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w:t>
      </w:r>
      <w:r>
        <w:rPr>
          <w:rFonts w:hint="eastAsia" w:ascii="宋体" w:hAnsi="宋体" w:eastAsia="宋体" w:cs="宋体"/>
          <w:color w:val="auto"/>
          <w:szCs w:val="21"/>
          <w:highlight w:val="none"/>
        </w:rPr>
        <w:t>.1本项目的评审方法为综合评分法。</w:t>
      </w:r>
    </w:p>
    <w:p w14:paraId="677BD958">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26.2</w:t>
      </w:r>
      <w:r>
        <w:rPr>
          <w:rFonts w:hint="eastAsia" w:ascii="宋体" w:hAnsi="宋体" w:eastAsia="宋体" w:cs="宋体"/>
          <w:color w:val="auto"/>
          <w:szCs w:val="21"/>
          <w:highlight w:val="none"/>
        </w:rPr>
        <w:t>磋商小组</w:t>
      </w:r>
      <w:r>
        <w:rPr>
          <w:rFonts w:ascii="宋体" w:hAnsi="宋体" w:eastAsia="宋体" w:cs="宋体"/>
          <w:color w:val="auto"/>
          <w:szCs w:val="21"/>
          <w:highlight w:val="none"/>
        </w:rPr>
        <w:t>按照</w:t>
      </w:r>
      <w:r>
        <w:rPr>
          <w:rFonts w:hint="eastAsia" w:ascii="宋体" w:hAnsi="宋体" w:eastAsia="宋体" w:cs="宋体"/>
          <w:color w:val="auto"/>
          <w:szCs w:val="21"/>
          <w:highlight w:val="none"/>
        </w:rPr>
        <w:t>“第四章 评审程序、评审方法和评审标准”</w:t>
      </w:r>
      <w:r>
        <w:rPr>
          <w:rFonts w:ascii="宋体" w:hAnsi="宋体" w:eastAsia="宋体" w:cs="宋体"/>
          <w:color w:val="auto"/>
          <w:szCs w:val="21"/>
          <w:highlight w:val="none"/>
        </w:rPr>
        <w:t>规定的方法、评审因素、标准和程序对</w:t>
      </w:r>
      <w:r>
        <w:rPr>
          <w:rFonts w:hint="eastAsia" w:ascii="宋体" w:hAnsi="宋体" w:eastAsia="宋体" w:cs="宋体"/>
          <w:color w:val="auto"/>
          <w:szCs w:val="21"/>
          <w:highlight w:val="none"/>
        </w:rPr>
        <w:t>响应</w:t>
      </w:r>
      <w:r>
        <w:rPr>
          <w:rFonts w:ascii="宋体" w:hAnsi="宋体" w:eastAsia="宋体" w:cs="宋体"/>
          <w:color w:val="auto"/>
          <w:szCs w:val="21"/>
          <w:highlight w:val="none"/>
        </w:rPr>
        <w:t>文件进行评审。</w:t>
      </w:r>
    </w:p>
    <w:p w14:paraId="316011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 xml:space="preserve">6.3 </w:t>
      </w:r>
      <w:r>
        <w:rPr>
          <w:rFonts w:hint="eastAsia" w:ascii="宋体" w:hAnsi="宋体" w:eastAsia="宋体" w:cs="Times New Roman"/>
          <w:color w:val="auto"/>
          <w:szCs w:val="21"/>
          <w:highlight w:val="none"/>
        </w:rPr>
        <w:t>商务/技术要求允许负偏离的条款数详见“供应商须知前附表”。</w:t>
      </w:r>
    </w:p>
    <w:p w14:paraId="177344C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highlight w:val="none"/>
        </w:rPr>
        <w:t>26.</w:t>
      </w:r>
      <w:r>
        <w:rPr>
          <w:rFonts w:ascii="宋体" w:hAnsi="宋体" w:eastAsia="宋体" w:cs="宋体"/>
          <w:color w:val="auto"/>
          <w:highlight w:val="none"/>
        </w:rPr>
        <w:t>4</w:t>
      </w:r>
      <w:r>
        <w:rPr>
          <w:rFonts w:hint="eastAsia" w:ascii="宋体" w:hAnsi="宋体" w:eastAsia="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59560773">
      <w:pPr>
        <w:spacing w:line="360" w:lineRule="auto"/>
        <w:ind w:firstLine="420" w:firstLineChars="200"/>
        <w:rPr>
          <w:rFonts w:hint="eastAsia" w:ascii="Times New Roman" w:hAnsi="宋体" w:eastAsia="宋体" w:cs="Times New Roman"/>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6.5</w:t>
      </w:r>
      <w:r>
        <w:rPr>
          <w:rFonts w:hint="eastAsia" w:ascii="Times New Roman" w:hAnsi="宋体" w:eastAsia="宋体" w:cs="Times New Roman"/>
          <w:color w:val="auto"/>
          <w:highlight w:val="none"/>
        </w:rPr>
        <w:t>电子交易活动的中止。采购过程中出现以下情形，导致电子交易平台无法正常运行，或者无法保证电子交易的公平、公正和安全时，采购机构可中止电子交易活动：</w:t>
      </w:r>
    </w:p>
    <w:p w14:paraId="6DD11DC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 xml:space="preserve">（1）电子交易平台发生故障而无法登录访问的； </w:t>
      </w:r>
    </w:p>
    <w:p w14:paraId="23DCD5A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F9072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14296BF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 xml:space="preserve">（4）病毒发作导致不能进行正常操作的； </w:t>
      </w:r>
    </w:p>
    <w:p w14:paraId="39BB93F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（5）其他无法保证电子交易的公平、公正和安全的情况。</w:t>
      </w:r>
    </w:p>
    <w:p w14:paraId="050DC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26.</w:t>
      </w:r>
      <w:r>
        <w:rPr>
          <w:rFonts w:ascii="宋体" w:hAnsi="宋体" w:eastAsia="宋体" w:cs="Times New Roman"/>
          <w:color w:val="auto"/>
          <w:highlight w:val="none"/>
        </w:rPr>
        <w:t>6</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2AAE713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0547E55">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628A4C">
      <w:pPr>
        <w:spacing w:line="360" w:lineRule="auto"/>
        <w:ind w:firstLine="420" w:firstLineChars="200"/>
        <w:rPr>
          <w:rFonts w:hint="eastAsia" w:ascii="宋体" w:hAnsi="宋体" w:eastAsia="宋体" w:cs="Courier New"/>
          <w:color w:val="auto"/>
          <w:szCs w:val="21"/>
          <w:highlight w:val="none"/>
        </w:rPr>
      </w:pPr>
      <w:r>
        <w:rPr>
          <w:rFonts w:ascii="宋体" w:hAnsi="宋体" w:eastAsia="宋体" w:cs="宋体"/>
          <w:color w:val="auto"/>
          <w:szCs w:val="21"/>
          <w:highlight w:val="none"/>
        </w:rPr>
        <w:t>27</w:t>
      </w:r>
      <w:r>
        <w:rPr>
          <w:rFonts w:hint="eastAsia" w:ascii="宋体" w:hAnsi="宋体" w:eastAsia="宋体" w:cs="宋体"/>
          <w:color w:val="auto"/>
          <w:szCs w:val="21"/>
          <w:highlight w:val="none"/>
        </w:rPr>
        <w:t>.2采购代理机构应当在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7" w:name="_Hlk66782294"/>
      <w:r>
        <w:rPr>
          <w:rFonts w:hint="eastAsia" w:ascii="宋体" w:hAnsi="宋体" w:eastAsia="宋体" w:cs="Courier New"/>
          <w:color w:val="auto"/>
          <w:szCs w:val="21"/>
          <w:highlight w:val="none"/>
        </w:rPr>
        <w:t>成交供应商享受</w:t>
      </w:r>
      <w:r>
        <w:rPr>
          <w:rFonts w:hint="eastAsia" w:ascii="宋体" w:hAnsi="宋体" w:eastAsia="宋体" w:cs="Times New Roman"/>
          <w:color w:val="auto"/>
          <w:szCs w:val="21"/>
          <w:highlight w:val="none"/>
        </w:rPr>
        <w:t>《政府采购促进中小企业发展管理办法》（财库〔2020〕46号）规定的中小企业扶持</w:t>
      </w:r>
      <w:r>
        <w:rPr>
          <w:rFonts w:hint="eastAsia" w:ascii="宋体" w:hAnsi="宋体" w:eastAsia="宋体" w:cs="Courier New"/>
          <w:color w:val="auto"/>
          <w:szCs w:val="21"/>
          <w:highlight w:val="none"/>
        </w:rPr>
        <w:t>政策的，采购人、采购代理机构应当随成交结果公开成交供应商的《中小企业声明函》。</w:t>
      </w:r>
      <w:bookmarkEnd w:id="77"/>
    </w:p>
    <w:p w14:paraId="1F56469B">
      <w:pPr>
        <w:spacing w:line="360" w:lineRule="auto"/>
        <w:ind w:firstLine="420"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27.3出现下列情形之一的，采购人或者采购代理机构应当终止竞争性磋商采购活动，发布项目终止公告并说明原因，重新开展采购活动：</w:t>
      </w:r>
    </w:p>
    <w:p w14:paraId="2A05277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（1）因情况变化，不再符合规定的竞争性磋商采购方式适用情形的；</w:t>
      </w:r>
    </w:p>
    <w:p w14:paraId="27CCE4F7">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（2）出现影响采购公正的违法、违规行为的；</w:t>
      </w:r>
    </w:p>
    <w:p w14:paraId="11BA2A9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（3）除“第四章 评审程序、评审方法和评审标准”第4.3条规定的情形外，在采购过程中符合要求的供应商或者报价未超过采购预算的供应商不足3家的。</w:t>
      </w:r>
    </w:p>
    <w:p w14:paraId="388C1082">
      <w:pPr>
        <w:spacing w:line="360" w:lineRule="auto"/>
        <w:ind w:firstLine="420" w:firstLineChars="200"/>
        <w:rPr>
          <w:rFonts w:ascii="宋体" w:hAnsi="宋体" w:eastAsia="宋体" w:cs="宋体"/>
          <w:color w:val="auto"/>
          <w:szCs w:val="21"/>
          <w:highlight w:val="none"/>
        </w:rPr>
      </w:pPr>
      <w:r>
        <w:rPr>
          <w:rFonts w:hint="eastAsia" w:ascii="宋体" w:hAnsi="宋体" w:eastAsia="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26039E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42FE9C00">
      <w:pPr>
        <w:spacing w:line="360" w:lineRule="auto"/>
        <w:ind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28</w:t>
      </w:r>
      <w:r>
        <w:rPr>
          <w:rFonts w:hint="eastAsia" w:ascii="宋体" w:hAnsi="宋体" w:eastAsia="宋体" w:cs="宋体"/>
          <w:color w:val="auto"/>
          <w:szCs w:val="21"/>
          <w:highlight w:val="none"/>
        </w:rPr>
        <w:t>.1</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履约保证金的金额、提交方式、缴纳期限、退付的时间和条件详见 “供应商须知前附表”。成交供应商未按规定提交履约保证金的，视为拒绝</w:t>
      </w:r>
      <w:r>
        <w:rPr>
          <w:rFonts w:ascii="宋体" w:hAnsi="宋体" w:eastAsia="宋体" w:cs="Times New Roman"/>
          <w:color w:val="auto"/>
          <w:highlight w:val="none"/>
        </w:rPr>
        <w:t>与采购人</w:t>
      </w:r>
      <w:r>
        <w:rPr>
          <w:rFonts w:hint="eastAsia" w:ascii="宋体" w:hAnsi="宋体" w:eastAsia="宋体" w:cs="宋体"/>
          <w:color w:val="auto"/>
          <w:szCs w:val="21"/>
          <w:highlight w:val="none"/>
        </w:rPr>
        <w:t>签订合同。</w:t>
      </w:r>
    </w:p>
    <w:p w14:paraId="0BD0EE4C">
      <w:pPr>
        <w:spacing w:line="360" w:lineRule="auto"/>
        <w:ind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28</w:t>
      </w:r>
      <w:r>
        <w:rPr>
          <w:rFonts w:hint="eastAsia" w:ascii="宋体" w:hAnsi="宋体" w:eastAsia="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6DCC623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1154509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29.1签订电子采购合同：成交供应商领取电子成交通知书后，在</w:t>
      </w:r>
      <w:r>
        <w:rPr>
          <w:rFonts w:hint="eastAsia" w:ascii="宋体" w:hAnsi="宋体" w:eastAsia="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502E3F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线下签订纸质合同：供应商领取成交通知书后，按“供应商须知前附表”规定向采购人出示相关证明材料，经采购人核验合格后方可签订合同。</w:t>
      </w:r>
    </w:p>
    <w:p w14:paraId="051FD2A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29.2签订合同时间：按成交通知书规定的时间与采购人签订合同。</w:t>
      </w:r>
    </w:p>
    <w:p w14:paraId="221581A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r>
        <w:rPr>
          <w:rFonts w:ascii="宋体" w:hAnsi="宋体" w:eastAsia="宋体" w:cs="宋体"/>
          <w:color w:val="auto"/>
          <w:szCs w:val="21"/>
          <w:highlight w:val="none"/>
        </w:rPr>
        <w:t>3</w:t>
      </w:r>
      <w:r>
        <w:rPr>
          <w:rFonts w:hint="eastAsia" w:ascii="宋体" w:hAnsi="宋体" w:eastAsia="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CFD5F7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97D780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3FEF7295">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29.6如签订合同并生效后，供应商无故拒绝或延期，除按照合同条款处理外，将承担相应的法律责任。</w:t>
      </w:r>
    </w:p>
    <w:p w14:paraId="409B267E">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F5B910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3CEB09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2CC4E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1489C51F">
      <w:pPr>
        <w:pStyle w:val="7"/>
        <w:spacing w:line="360" w:lineRule="auto"/>
        <w:rPr>
          <w:rFonts w:hint="eastAsia" w:ascii="宋体" w:hAnsi="宋体" w:eastAsia="宋体" w:cs="Times New Roman"/>
          <w:color w:val="auto"/>
          <w:szCs w:val="21"/>
          <w:highlight w:val="none"/>
        </w:rPr>
      </w:pPr>
      <w:r>
        <w:rPr>
          <w:rFonts w:hint="eastAsia" w:ascii="宋体" w:hAnsi="宋体" w:eastAsia="宋体" w:cs="宋体"/>
          <w:color w:val="auto"/>
          <w:highlight w:val="none"/>
        </w:rPr>
        <w:t>3</w:t>
      </w:r>
      <w:r>
        <w:rPr>
          <w:rFonts w:ascii="宋体" w:hAnsi="宋体" w:eastAsia="宋体" w:cs="宋体"/>
          <w:color w:val="auto"/>
          <w:highlight w:val="none"/>
        </w:rPr>
        <w:t>1</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Times New Roman"/>
          <w:color w:val="auto"/>
          <w:szCs w:val="21"/>
          <w:highlight w:val="none"/>
        </w:rPr>
        <w:t>但答复的内容不得涉及商业秘密</w:t>
      </w:r>
      <w:r>
        <w:rPr>
          <w:rFonts w:hint="eastAsia" w:ascii="宋体" w:hAnsi="宋体" w:eastAsia="宋体" w:cs="宋体"/>
          <w:color w:val="auto"/>
          <w:highlight w:val="none"/>
        </w:rPr>
        <w:t>。</w:t>
      </w:r>
    </w:p>
    <w:p w14:paraId="1A44E4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1</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eastAsia="宋体" w:cs="Arial"/>
          <w:color w:val="auto"/>
          <w:highlight w:val="none"/>
          <w:shd w:val="clear" w:color="auto" w:fill="FFFFFF"/>
        </w:rPr>
        <w:t>接收质疑函的方式、联系部门、联系电话和通讯地址等信息</w:t>
      </w:r>
      <w:r>
        <w:rPr>
          <w:rFonts w:hint="eastAsia" w:ascii="宋体" w:hAnsi="宋体" w:eastAsia="宋体" w:cs="Arial"/>
          <w:color w:val="auto"/>
          <w:highlight w:val="none"/>
          <w:shd w:val="clear" w:color="auto" w:fill="FFFFFF"/>
        </w:rPr>
        <w:t>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84D0F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w:t>
      </w:r>
      <w:r>
        <w:rPr>
          <w:rFonts w:hint="eastAsia" w:ascii="宋体" w:hAnsi="宋体" w:eastAsia="宋体" w:cs="Times New Roman"/>
          <w:color w:val="auto"/>
          <w:highlight w:val="none"/>
        </w:rPr>
        <w:t>竞争性磋商公告期限届满之日</w:t>
      </w:r>
      <w:r>
        <w:rPr>
          <w:rFonts w:hint="eastAsia" w:ascii="宋体" w:hAnsi="宋体" w:eastAsia="宋体" w:cs="宋体"/>
          <w:color w:val="auto"/>
          <w:highlight w:val="none"/>
        </w:rPr>
        <w:t>；</w:t>
      </w:r>
    </w:p>
    <w:p w14:paraId="7A7A29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A1266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19E050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1</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A8742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1</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Times New Roman" w:hAnsi="宋体" w:eastAsia="宋体" w:cs="Times New Roman"/>
          <w:bCs/>
          <w:color w:val="auto"/>
          <w:highlight w:val="none"/>
        </w:rPr>
        <w:t>（质疑函格式后附）</w:t>
      </w:r>
      <w:r>
        <w:rPr>
          <w:rFonts w:hint="eastAsia" w:ascii="宋体" w:hAnsi="宋体" w:eastAsia="宋体" w:cs="宋体"/>
          <w:color w:val="auto"/>
          <w:highlight w:val="none"/>
        </w:rPr>
        <w:t>：</w:t>
      </w:r>
    </w:p>
    <w:p w14:paraId="037D67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1F6FA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8050F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A607B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F6502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7D428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A16B13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3C08F4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1.5</w:t>
      </w:r>
      <w:r>
        <w:rPr>
          <w:rFonts w:hint="eastAsia" w:ascii="宋体" w:hAnsi="宋体" w:eastAsia="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18ECFF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B781EF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89B23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FFD400A">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highlight w:val="none"/>
        </w:rPr>
        <w:t>31</w:t>
      </w:r>
      <w:r>
        <w:rPr>
          <w:rFonts w:hint="eastAsia" w:ascii="宋体" w:hAnsi="宋体" w:eastAsia="宋体" w:cs="宋体"/>
          <w:color w:val="auto"/>
          <w:highlight w:val="none"/>
        </w:rPr>
        <w:t>.</w:t>
      </w:r>
      <w:r>
        <w:rPr>
          <w:rFonts w:ascii="宋体" w:hAnsi="宋体" w:eastAsia="宋体" w:cs="宋体"/>
          <w:color w:val="auto"/>
          <w:highlight w:val="none"/>
        </w:rPr>
        <w:t>6</w:t>
      </w:r>
      <w:r>
        <w:rPr>
          <w:rFonts w:hint="eastAsia" w:ascii="宋体" w:hAnsi="宋体" w:eastAsia="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2CAE14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4B2D060F">
      <w:pPr>
        <w:tabs>
          <w:tab w:val="left" w:pos="2835"/>
        </w:tabs>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32</w:t>
      </w:r>
      <w:r>
        <w:rPr>
          <w:rFonts w:hint="eastAsia" w:ascii="宋体" w:hAnsi="宋体" w:eastAsia="宋体" w:cs="宋体"/>
          <w:color w:val="auto"/>
          <w:szCs w:val="21"/>
          <w:highlight w:val="none"/>
        </w:rPr>
        <w:t>.1代理服务收取标准及缴费账户详见“供应商须知前附表”，供应商为联合体的，可以由联合体中的一方或者多方共同交纳代理服务费。</w:t>
      </w:r>
    </w:p>
    <w:p w14:paraId="5E1D2C66">
      <w:pPr>
        <w:tabs>
          <w:tab w:val="left" w:pos="2835"/>
        </w:tabs>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32.2</w:t>
      </w:r>
      <w:r>
        <w:rPr>
          <w:rFonts w:hint="eastAsia" w:ascii="宋体" w:hAnsi="宋体" w:eastAsia="宋体" w:cs="宋体"/>
          <w:color w:val="auto"/>
          <w:szCs w:val="21"/>
          <w:highlight w:val="none"/>
        </w:rPr>
        <w:t>代理服务费收费计算标准：</w:t>
      </w:r>
    </w:p>
    <w:tbl>
      <w:tblPr>
        <w:tblStyle w:val="27"/>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1A1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27651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15BBAE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6B692F41">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2887CA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2ACDA3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48D5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21E54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ED0CDF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2E90D04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78C699B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0BD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9D70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rPr>
              <w:t>～500万元</w:t>
            </w:r>
          </w:p>
        </w:tc>
        <w:tc>
          <w:tcPr>
            <w:tcW w:w="1659" w:type="dxa"/>
            <w:noWrap w:val="0"/>
            <w:vAlign w:val="top"/>
          </w:tcPr>
          <w:p w14:paraId="2E46852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71BC5DF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17217D3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874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9FE40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rPr>
              <w:t>～1000万元</w:t>
            </w:r>
          </w:p>
        </w:tc>
        <w:tc>
          <w:tcPr>
            <w:tcW w:w="1659" w:type="dxa"/>
            <w:noWrap w:val="0"/>
            <w:vAlign w:val="top"/>
          </w:tcPr>
          <w:p w14:paraId="24156554">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4E822B1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2422042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472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5ED6D1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rPr>
              <w:t>～5000万元</w:t>
            </w:r>
          </w:p>
        </w:tc>
        <w:tc>
          <w:tcPr>
            <w:tcW w:w="1659" w:type="dxa"/>
            <w:noWrap w:val="0"/>
            <w:vAlign w:val="top"/>
          </w:tcPr>
          <w:p w14:paraId="173C7C0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75F71EA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4B68F60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150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B8F2D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487E628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6E29AAE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31D1D07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24D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2F1AE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亿</w:t>
            </w:r>
            <w:r>
              <w:rPr>
                <w:rFonts w:hint="eastAsia" w:ascii="宋体" w:hAnsi="宋体" w:eastAsia="宋体" w:cs="宋体"/>
                <w:color w:val="auto"/>
                <w:szCs w:val="21"/>
                <w:highlight w:val="none"/>
              </w:rPr>
              <w:t>～5亿元</w:t>
            </w:r>
          </w:p>
        </w:tc>
        <w:tc>
          <w:tcPr>
            <w:tcW w:w="1659" w:type="dxa"/>
            <w:noWrap w:val="0"/>
            <w:vAlign w:val="top"/>
          </w:tcPr>
          <w:p w14:paraId="346F88E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0A5A28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55C00A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59D4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5CB4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亿</w:t>
            </w:r>
            <w:r>
              <w:rPr>
                <w:rFonts w:hint="eastAsia" w:ascii="宋体" w:hAnsi="宋体" w:eastAsia="宋体" w:cs="宋体"/>
                <w:color w:val="auto"/>
                <w:szCs w:val="21"/>
                <w:highlight w:val="none"/>
              </w:rPr>
              <w:t>～10亿元</w:t>
            </w:r>
          </w:p>
        </w:tc>
        <w:tc>
          <w:tcPr>
            <w:tcW w:w="1659" w:type="dxa"/>
            <w:noWrap w:val="0"/>
            <w:vAlign w:val="top"/>
          </w:tcPr>
          <w:p w14:paraId="3F27CCB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68141F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6793430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0F81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6523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rPr>
              <w:t>亿</w:t>
            </w:r>
            <w:r>
              <w:rPr>
                <w:rFonts w:hint="eastAsia" w:ascii="宋体" w:hAnsi="宋体" w:eastAsia="宋体" w:cs="宋体"/>
                <w:color w:val="auto"/>
                <w:szCs w:val="21"/>
                <w:highlight w:val="none"/>
              </w:rPr>
              <w:t>～50亿元</w:t>
            </w:r>
          </w:p>
        </w:tc>
        <w:tc>
          <w:tcPr>
            <w:tcW w:w="1659" w:type="dxa"/>
            <w:noWrap w:val="0"/>
            <w:vAlign w:val="top"/>
          </w:tcPr>
          <w:p w14:paraId="69FE97E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17A3F3C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44E6C88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1B9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819AD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r>
              <w:rPr>
                <w:rFonts w:hint="eastAsia" w:ascii="宋体" w:hAnsi="宋体" w:eastAsia="宋体" w:cs="宋体"/>
                <w:color w:val="auto"/>
                <w:szCs w:val="21"/>
                <w:highlight w:val="none"/>
              </w:rPr>
              <w:t>亿</w:t>
            </w:r>
            <w:r>
              <w:rPr>
                <w:rFonts w:hint="eastAsia" w:ascii="宋体" w:hAnsi="宋体" w:eastAsia="宋体" w:cs="宋体"/>
                <w:color w:val="auto"/>
                <w:szCs w:val="21"/>
                <w:highlight w:val="none"/>
              </w:rPr>
              <w:t>～100亿元</w:t>
            </w:r>
          </w:p>
        </w:tc>
        <w:tc>
          <w:tcPr>
            <w:tcW w:w="1659" w:type="dxa"/>
            <w:noWrap w:val="0"/>
            <w:vAlign w:val="top"/>
          </w:tcPr>
          <w:p w14:paraId="57B5E1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79E046C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0E96A34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101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E6266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448060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5CA1E28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26EBBB3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D67CCCB">
      <w:pPr>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注：</w:t>
      </w:r>
    </w:p>
    <w:p w14:paraId="177ADC1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按本表费率计算的收费为</w:t>
      </w:r>
      <w:r>
        <w:rPr>
          <w:rFonts w:hint="eastAsia" w:ascii="宋体" w:hAnsi="宋体" w:eastAsia="宋体" w:cs="宋体"/>
          <w:color w:val="auto"/>
          <w:highlight w:val="none"/>
        </w:rPr>
        <w:t>采购</w:t>
      </w:r>
      <w:r>
        <w:rPr>
          <w:rFonts w:ascii="宋体" w:hAnsi="宋体" w:eastAsia="宋体" w:cs="宋体"/>
          <w:color w:val="auto"/>
          <w:highlight w:val="none"/>
        </w:rPr>
        <w:t>代理的收费基准价格</w:t>
      </w:r>
      <w:r>
        <w:rPr>
          <w:rFonts w:hint="eastAsia" w:ascii="宋体" w:hAnsi="宋体" w:eastAsia="宋体" w:cs="宋体"/>
          <w:color w:val="auto"/>
          <w:highlight w:val="none"/>
        </w:rPr>
        <w:t>；</w:t>
      </w:r>
    </w:p>
    <w:p w14:paraId="23F0532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（2）采购</w:t>
      </w:r>
      <w:r>
        <w:rPr>
          <w:rFonts w:ascii="宋体" w:hAnsi="宋体" w:eastAsia="宋体" w:cs="宋体"/>
          <w:color w:val="auto"/>
          <w:highlight w:val="none"/>
        </w:rPr>
        <w:t>代理收费按差额定率累进法计算。</w:t>
      </w:r>
    </w:p>
    <w:p w14:paraId="23321997">
      <w:pPr>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例如：某</w:t>
      </w:r>
      <w:r>
        <w:rPr>
          <w:rFonts w:hint="eastAsia" w:ascii="宋体" w:hAnsi="宋体" w:eastAsia="宋体" w:cs="宋体"/>
          <w:color w:val="auto"/>
          <w:highlight w:val="none"/>
        </w:rPr>
        <w:t>服务采购</w:t>
      </w:r>
      <w:r>
        <w:rPr>
          <w:rFonts w:ascii="宋体" w:hAnsi="宋体" w:eastAsia="宋体" w:cs="宋体"/>
          <w:color w:val="auto"/>
          <w:highlight w:val="none"/>
        </w:rPr>
        <w:t>代理业务</w:t>
      </w:r>
      <w:r>
        <w:rPr>
          <w:rFonts w:hint="eastAsia" w:ascii="宋体" w:hAnsi="宋体" w:eastAsia="宋体" w:cs="宋体"/>
          <w:color w:val="auto"/>
          <w:highlight w:val="none"/>
        </w:rPr>
        <w:t>成交</w:t>
      </w:r>
      <w:r>
        <w:rPr>
          <w:rFonts w:ascii="宋体" w:hAnsi="宋体" w:eastAsia="宋体" w:cs="宋体"/>
          <w:color w:val="auto"/>
          <w:highlight w:val="none"/>
        </w:rPr>
        <w:t>金额</w:t>
      </w:r>
      <w:r>
        <w:rPr>
          <w:rFonts w:hint="eastAsia" w:ascii="宋体" w:hAnsi="宋体" w:eastAsia="宋体" w:cs="宋体"/>
          <w:color w:val="auto"/>
          <w:highlight w:val="none"/>
        </w:rPr>
        <w:t>或者暂定价</w:t>
      </w:r>
      <w:r>
        <w:rPr>
          <w:rFonts w:ascii="宋体" w:hAnsi="宋体" w:eastAsia="宋体" w:cs="宋体"/>
          <w:color w:val="auto"/>
          <w:highlight w:val="none"/>
        </w:rPr>
        <w:t>为150万元，计算</w:t>
      </w:r>
      <w:r>
        <w:rPr>
          <w:rFonts w:hint="eastAsia" w:ascii="宋体" w:hAnsi="宋体" w:eastAsia="宋体" w:cs="宋体"/>
          <w:color w:val="auto"/>
          <w:highlight w:val="none"/>
        </w:rPr>
        <w:t>采购</w:t>
      </w:r>
      <w:r>
        <w:rPr>
          <w:rFonts w:ascii="宋体" w:hAnsi="宋体" w:eastAsia="宋体" w:cs="宋体"/>
          <w:color w:val="auto"/>
          <w:highlight w:val="none"/>
        </w:rPr>
        <w:t>代理收费额如下：</w:t>
      </w:r>
    </w:p>
    <w:p w14:paraId="54AD1046">
      <w:pPr>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100 万元 ×l.5 %＝ 1.5 万元</w:t>
      </w:r>
    </w:p>
    <w:p w14:paraId="6F66698E">
      <w:pPr>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 150 － 100 ）万元 ×0.8%＝ 0.4万元</w:t>
      </w:r>
    </w:p>
    <w:p w14:paraId="0A4D7FC0">
      <w:pPr>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合计收费＝ 1.5 ＋ 0.4＝ 1.9 万元</w:t>
      </w:r>
    </w:p>
    <w:p w14:paraId="5C252B4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463B2371">
      <w:pPr>
        <w:widowControl w:val="0"/>
        <w:spacing w:line="360" w:lineRule="auto"/>
        <w:ind w:firstLine="420" w:firstLineChars="20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ascii="宋体" w:hAnsi="宋体" w:eastAsia="宋体" w:cs="宋体"/>
          <w:color w:val="auto"/>
          <w:kern w:val="2"/>
          <w:sz w:val="21"/>
          <w:szCs w:val="21"/>
          <w:highlight w:val="none"/>
          <w:lang w:val="en-US" w:eastAsia="zh-CN" w:bidi="ar-SA"/>
        </w:rPr>
        <w:t>3.1</w:t>
      </w:r>
      <w:r>
        <w:rPr>
          <w:rFonts w:hint="eastAsia" w:ascii="宋体" w:hAnsi="宋体" w:eastAsia="宋体" w:cs="宋体"/>
          <w:color w:val="auto"/>
          <w:kern w:val="2"/>
          <w:sz w:val="21"/>
          <w:szCs w:val="21"/>
          <w:highlight w:val="none"/>
          <w:lang w:val="en-US" w:eastAsia="zh-CN" w:bidi="ar-SA"/>
        </w:rPr>
        <w:t>本磋商文件解释规则详见“供应商须知前附表”。</w:t>
      </w:r>
    </w:p>
    <w:p w14:paraId="1C74F5EA">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33.2</w:t>
      </w:r>
      <w:r>
        <w:rPr>
          <w:rFonts w:hint="eastAsia" w:ascii="宋体" w:hAnsi="宋体" w:eastAsia="宋体" w:cs="宋体"/>
          <w:color w:val="auto"/>
          <w:kern w:val="2"/>
          <w:sz w:val="21"/>
          <w:szCs w:val="21"/>
          <w:highlight w:val="none"/>
          <w:lang w:val="en-US" w:eastAsia="zh-CN" w:bidi="ar-SA"/>
        </w:rPr>
        <w:t xml:space="preserve"> 其他事项详见“供应商须知前附表”。</w:t>
      </w:r>
    </w:p>
    <w:p w14:paraId="3AAEEAEA">
      <w:pPr>
        <w:widowControl w:val="0"/>
        <w:spacing w:line="360" w:lineRule="auto"/>
        <w:ind w:firstLine="420" w:firstLineChars="20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ascii="宋体" w:hAnsi="宋体" w:eastAsia="宋体" w:cs="宋体"/>
          <w:color w:val="auto"/>
          <w:kern w:val="2"/>
          <w:sz w:val="21"/>
          <w:szCs w:val="21"/>
          <w:highlight w:val="none"/>
          <w:lang w:val="en-US" w:eastAsia="zh-CN" w:bidi="ar-SA"/>
        </w:rPr>
        <w:t>3.3</w:t>
      </w:r>
      <w:r>
        <w:rPr>
          <w:rFonts w:hint="eastAsia" w:ascii="宋体" w:hAnsi="宋体" w:eastAsia="宋体" w:cs="宋体"/>
          <w:color w:val="auto"/>
          <w:kern w:val="2"/>
          <w:sz w:val="21"/>
          <w:szCs w:val="21"/>
          <w:highlight w:val="none"/>
          <w:lang w:val="en-US" w:eastAsia="zh-CN" w:bidi="ar-SA"/>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FEC5FFD">
      <w:pPr>
        <w:widowControl w:val="0"/>
        <w:spacing w:line="360" w:lineRule="auto"/>
        <w:ind w:firstLine="420" w:firstLineChars="200"/>
        <w:contextualSpacing/>
        <w:jc w:val="both"/>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（1）在货物采购项目中，货物由中小企业制造，即货物由中小企业生产且使用该中小企业商号或者注册商标，不对其中涉及的工程承建商和服务的承接商作出要求；</w:t>
      </w:r>
    </w:p>
    <w:p w14:paraId="470C3B73">
      <w:pPr>
        <w:widowControl w:val="0"/>
        <w:spacing w:line="360" w:lineRule="auto"/>
        <w:ind w:firstLine="420" w:firstLineChars="200"/>
        <w:contextualSpacing/>
        <w:jc w:val="both"/>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（2）在工程采购项目中，工程由中小企业承建，即工程施工单位为中小企业，不对其中涉及的货物的制造商和服务的承接商作出要求；</w:t>
      </w:r>
    </w:p>
    <w:p w14:paraId="73F6EFD7">
      <w:pPr>
        <w:widowControl w:val="0"/>
        <w:spacing w:line="360" w:lineRule="auto"/>
        <w:ind w:firstLine="420" w:firstLineChars="200"/>
        <w:contextualSpacing/>
        <w:jc w:val="both"/>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w:t>
      </w:r>
    </w:p>
    <w:p w14:paraId="2FA7B4F8">
      <w:pPr>
        <w:widowControl w:val="0"/>
        <w:spacing w:line="360" w:lineRule="auto"/>
        <w:ind w:firstLine="420" w:firstLineChars="20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47010F4">
      <w:pPr>
        <w:pStyle w:val="16"/>
        <w:shd w:val="clear" w:color="auto" w:fill="auto"/>
        <w:spacing w:line="360" w:lineRule="auto"/>
        <w:ind w:firstLine="420" w:firstLineChars="200"/>
        <w:textAlignment w:val="center"/>
        <w:rPr>
          <w:rFonts w:hint="eastAsia" w:hAnsi="宋体"/>
          <w:b/>
          <w:color w:val="auto"/>
          <w:sz w:val="32"/>
          <w:szCs w:val="32"/>
          <w:highlight w:val="none"/>
        </w:rPr>
      </w:pPr>
      <w:r>
        <w:rPr>
          <w:rFonts w:hint="eastAsia" w:ascii="宋体" w:hAnsi="宋体" w:eastAsia="宋体" w:cs="宋体"/>
          <w:color w:val="auto"/>
          <w:kern w:val="2"/>
          <w:sz w:val="21"/>
          <w:szCs w:val="21"/>
          <w:highlight w:val="none"/>
          <w:lang w:val="en-US" w:eastAsia="zh-CN" w:bidi="ar-SA"/>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6C9DC565">
      <w:pPr>
        <w:pStyle w:val="2"/>
        <w:shd w:val="clear" w:color="auto" w:fill="auto"/>
        <w:jc w:val="center"/>
        <w:rPr>
          <w:rFonts w:hint="eastAsia"/>
          <w:color w:val="auto"/>
          <w:highlight w:val="none"/>
        </w:rPr>
      </w:pPr>
      <w:bookmarkStart w:id="78" w:name="_Toc74323458"/>
      <w:r>
        <w:rPr>
          <w:rFonts w:hint="eastAsia"/>
          <w:color w:val="auto"/>
          <w:highlight w:val="none"/>
        </w:rPr>
        <w:t>第三章 采购需求</w:t>
      </w:r>
      <w:bookmarkEnd w:id="78"/>
    </w:p>
    <w:p w14:paraId="0BBF460D">
      <w:pPr>
        <w:shd w:val="clear" w:color="auto" w:fill="auto"/>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6D01478">
      <w:pPr>
        <w:shd w:val="clear" w:color="auto" w:fill="auto"/>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78628141">
      <w:pPr>
        <w:shd w:val="clear" w:color="auto" w:fill="auto"/>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653FB32C">
      <w:pPr>
        <w:shd w:val="clear" w:color="auto" w:fill="auto"/>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03B499B3">
      <w:pPr>
        <w:shd w:val="clear" w:color="auto" w:fill="auto"/>
        <w:spacing w:line="360" w:lineRule="auto"/>
        <w:ind w:firstLine="424" w:firstLineChars="202"/>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供应商应根据自身实际情况如实响应磋商文件</w:t>
      </w:r>
      <w:r>
        <w:rPr>
          <w:rFonts w:hint="eastAsia" w:ascii="宋体" w:hAnsi="宋体"/>
          <w:color w:val="auto"/>
          <w:szCs w:val="21"/>
          <w:highlight w:val="none"/>
        </w:rPr>
        <w:t>，</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3BE6AFEE">
      <w:pPr>
        <w:shd w:val="clear" w:color="auto" w:fill="auto"/>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14:paraId="00496E42">
      <w:pPr>
        <w:shd w:val="clear" w:color="auto" w:fill="auto"/>
        <w:spacing w:line="360" w:lineRule="auto"/>
        <w:ind w:firstLine="308" w:firstLineChars="147"/>
        <w:jc w:val="left"/>
        <w:rPr>
          <w:rFonts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81.5</w:t>
      </w:r>
      <w:r>
        <w:rPr>
          <w:rFonts w:hint="eastAsia" w:ascii="宋体" w:hAnsi="宋体" w:cs="Arial"/>
          <w:bCs/>
          <w:color w:val="auto"/>
          <w:szCs w:val="21"/>
          <w:highlight w:val="none"/>
          <w:u w:val="single"/>
        </w:rPr>
        <w:t xml:space="preserve">万元 </w:t>
      </w:r>
    </w:p>
    <w:tbl>
      <w:tblPr>
        <w:tblStyle w:val="27"/>
        <w:tblW w:w="88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905"/>
        <w:gridCol w:w="234"/>
        <w:gridCol w:w="307"/>
        <w:gridCol w:w="224"/>
        <w:gridCol w:w="780"/>
        <w:gridCol w:w="5698"/>
      </w:tblGrid>
      <w:tr w14:paraId="5815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54" w:type="dxa"/>
            <w:noWrap w:val="0"/>
            <w:vAlign w:val="center"/>
          </w:tcPr>
          <w:p w14:paraId="1A1EDF7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05" w:type="dxa"/>
            <w:noWrap w:val="0"/>
            <w:vAlign w:val="center"/>
          </w:tcPr>
          <w:p w14:paraId="703634F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标的的名称</w:t>
            </w:r>
          </w:p>
        </w:tc>
        <w:tc>
          <w:tcPr>
            <w:tcW w:w="765" w:type="dxa"/>
            <w:gridSpan w:val="3"/>
            <w:tcBorders>
              <w:right w:val="single" w:color="auto" w:sz="4" w:space="0"/>
            </w:tcBorders>
            <w:noWrap w:val="0"/>
            <w:vAlign w:val="center"/>
          </w:tcPr>
          <w:p w14:paraId="381CAA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所属行业</w:t>
            </w:r>
          </w:p>
        </w:tc>
        <w:tc>
          <w:tcPr>
            <w:tcW w:w="780" w:type="dxa"/>
            <w:tcBorders>
              <w:right w:val="single" w:color="auto" w:sz="4" w:space="0"/>
            </w:tcBorders>
            <w:noWrap w:val="0"/>
            <w:vAlign w:val="center"/>
          </w:tcPr>
          <w:p w14:paraId="5E5BF4E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w:t>
            </w:r>
          </w:p>
        </w:tc>
        <w:tc>
          <w:tcPr>
            <w:tcW w:w="5698" w:type="dxa"/>
            <w:tcBorders>
              <w:left w:val="single" w:color="auto" w:sz="4" w:space="0"/>
            </w:tcBorders>
            <w:noWrap w:val="0"/>
            <w:vAlign w:val="center"/>
          </w:tcPr>
          <w:p w14:paraId="5539216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cs="宋体"/>
                <w:color w:val="auto"/>
                <w:szCs w:val="21"/>
                <w:highlight w:val="none"/>
              </w:rPr>
              <w:t>▲</w:t>
            </w:r>
            <w:r>
              <w:rPr>
                <w:rFonts w:hint="eastAsia" w:ascii="宋体" w:hAnsi="宋体" w:eastAsia="宋体" w:cs="宋体"/>
                <w:b/>
                <w:color w:val="auto"/>
                <w:sz w:val="21"/>
                <w:szCs w:val="21"/>
                <w:highlight w:val="none"/>
                <w:lang w:eastAsia="zh-CN"/>
              </w:rPr>
              <w:t>技术要求</w:t>
            </w:r>
          </w:p>
        </w:tc>
      </w:tr>
      <w:tr w14:paraId="07413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noWrap w:val="0"/>
            <w:vAlign w:val="center"/>
          </w:tcPr>
          <w:p w14:paraId="503DDBB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5" w:type="dxa"/>
            <w:noWrap w:val="0"/>
            <w:vAlign w:val="center"/>
          </w:tcPr>
          <w:p w14:paraId="29FE9B6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健康（慢病）体检系统提升项目</w:t>
            </w:r>
          </w:p>
        </w:tc>
        <w:tc>
          <w:tcPr>
            <w:tcW w:w="765" w:type="dxa"/>
            <w:gridSpan w:val="3"/>
            <w:tcBorders>
              <w:right w:val="single" w:color="auto" w:sz="4" w:space="0"/>
            </w:tcBorders>
            <w:noWrap w:val="0"/>
            <w:vAlign w:val="center"/>
          </w:tcPr>
          <w:p w14:paraId="71A8EA6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软件和信息技术服务业</w:t>
            </w:r>
          </w:p>
        </w:tc>
        <w:tc>
          <w:tcPr>
            <w:tcW w:w="780" w:type="dxa"/>
            <w:tcBorders>
              <w:right w:val="single" w:color="auto" w:sz="4" w:space="0"/>
            </w:tcBorders>
            <w:noWrap w:val="0"/>
            <w:vAlign w:val="center"/>
          </w:tcPr>
          <w:p w14:paraId="318F1E6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5698" w:type="dxa"/>
            <w:tcBorders>
              <w:left w:val="single" w:color="auto" w:sz="4" w:space="0"/>
            </w:tcBorders>
            <w:noWrap w:val="0"/>
            <w:vAlign w:val="center"/>
          </w:tcPr>
          <w:tbl>
            <w:tblPr>
              <w:tblStyle w:val="27"/>
              <w:tblW w:w="5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07"/>
              <w:gridCol w:w="919"/>
              <w:gridCol w:w="3554"/>
            </w:tblGrid>
            <w:tr w14:paraId="72DE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2D601A88">
                  <w:pPr>
                    <w:keepNext w:val="0"/>
                    <w:keepLines w:val="0"/>
                    <w:pageBreakBefore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rPr>
                    <w:t>检前管理系统功能要求</w:t>
                  </w:r>
                </w:p>
              </w:tc>
            </w:tr>
            <w:tr w14:paraId="6004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10A11A2B">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1、客户关系管理</w:t>
                  </w:r>
                </w:p>
              </w:tc>
            </w:tr>
            <w:tr w14:paraId="36DC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Merge w:val="restart"/>
                  <w:noWrap w:val="0"/>
                  <w:vAlign w:val="center"/>
                </w:tcPr>
                <w:p w14:paraId="3911E95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企业客户中心</w:t>
                  </w:r>
                </w:p>
              </w:tc>
              <w:tc>
                <w:tcPr>
                  <w:tcW w:w="4580" w:type="dxa"/>
                  <w:gridSpan w:val="3"/>
                  <w:noWrap w:val="0"/>
                  <w:vAlign w:val="center"/>
                </w:tcPr>
                <w:p w14:paraId="0C48563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支持创建团检单位基本信息、子单位信息、单位联系人等；</w:t>
                  </w:r>
                </w:p>
              </w:tc>
            </w:tr>
            <w:tr w14:paraId="6268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vMerge w:val="continue"/>
                  <w:noWrap w:val="0"/>
                  <w:vAlign w:val="center"/>
                </w:tcPr>
                <w:p w14:paraId="6960BAC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4580" w:type="dxa"/>
                  <w:gridSpan w:val="3"/>
                  <w:noWrap w:val="0"/>
                  <w:vAlign w:val="center"/>
                </w:tcPr>
                <w:p w14:paraId="63C26C2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支持查看团检单位历年历次体检进度、人员结构等；</w:t>
                  </w:r>
                </w:p>
              </w:tc>
            </w:tr>
            <w:tr w14:paraId="66B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92" w:type="dxa"/>
                  <w:vMerge w:val="continue"/>
                  <w:noWrap w:val="0"/>
                  <w:vAlign w:val="center"/>
                </w:tcPr>
                <w:p w14:paraId="433BC87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4580" w:type="dxa"/>
                  <w:gridSpan w:val="3"/>
                  <w:noWrap w:val="0"/>
                  <w:vAlign w:val="center"/>
                </w:tcPr>
                <w:p w14:paraId="330E309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支持查看团检单位历年历次体检人数、单位总配额、项目总金额、应收总金额、自费总金额、平均金额等，并支持相关运营分析数据统计。</w:t>
                  </w:r>
                </w:p>
              </w:tc>
            </w:tr>
            <w:tr w14:paraId="3A8B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1D31D12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2、体检健康问卷</w:t>
                  </w:r>
                </w:p>
              </w:tc>
            </w:tr>
            <w:tr w14:paraId="0841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07951A8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客户问卷列表</w:t>
                  </w:r>
                </w:p>
              </w:tc>
              <w:tc>
                <w:tcPr>
                  <w:tcW w:w="4580" w:type="dxa"/>
                  <w:gridSpan w:val="3"/>
                  <w:noWrap w:val="0"/>
                  <w:vAlign w:val="top"/>
                </w:tcPr>
                <w:p w14:paraId="3B1603A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支持根据体检日期、预约日期、问卷状态、预约状态、预约来源、选项方式、审核状态等维度统计并查看客户问卷列表，支持批量删除、批量撤销、批量审核，支持EXCEL格式导出相关数据；</w:t>
                  </w:r>
                </w:p>
                <w:p w14:paraId="0131A80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体检类型支持健康体检（包括</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普通人员健康体检、干部保健体检、公务员体检、教师体检、学生体检、从业人员体检、证件体检、驾驶员体检、儿童体检、入托体检、运动员体检、征兵体检</w:t>
                  </w:r>
                  <w:r>
                    <w:rPr>
                      <w:rFonts w:hint="eastAsia" w:ascii="宋体" w:hAnsi="宋体" w:eastAsia="宋体" w:cs="宋体"/>
                      <w:color w:val="auto"/>
                      <w:sz w:val="21"/>
                      <w:szCs w:val="21"/>
                      <w:highlight w:val="none"/>
                      <w:lang w:eastAsia="zh-CN"/>
                    </w:rPr>
                    <w:t>、特殊工种体检、入职体检、健康证体检</w:t>
                  </w:r>
                  <w:r>
                    <w:rPr>
                      <w:rFonts w:hint="eastAsia" w:ascii="宋体" w:hAnsi="宋体" w:eastAsia="宋体" w:cs="宋体"/>
                      <w:color w:val="auto"/>
                      <w:sz w:val="21"/>
                      <w:szCs w:val="21"/>
                      <w:highlight w:val="none"/>
                    </w:rPr>
                    <w:t>等）、职业病体检等多种体检类型；</w:t>
                  </w:r>
                </w:p>
              </w:tc>
            </w:tr>
            <w:tr w14:paraId="2CE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3110C86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问卷种类设置</w:t>
                  </w:r>
                </w:p>
              </w:tc>
              <w:tc>
                <w:tcPr>
                  <w:tcW w:w="4580" w:type="dxa"/>
                  <w:gridSpan w:val="3"/>
                  <w:noWrap w:val="0"/>
                  <w:vAlign w:val="top"/>
                </w:tcPr>
                <w:p w14:paraId="15DB5EA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支持自定义维护问卷种类及相关题目配置；</w:t>
                  </w:r>
                </w:p>
              </w:tc>
            </w:tr>
            <w:tr w14:paraId="49F6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33FC119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问卷题目分类</w:t>
                  </w:r>
                </w:p>
              </w:tc>
              <w:tc>
                <w:tcPr>
                  <w:tcW w:w="4580" w:type="dxa"/>
                  <w:gridSpan w:val="3"/>
                  <w:noWrap w:val="0"/>
                  <w:vAlign w:val="top"/>
                </w:tcPr>
                <w:p w14:paraId="23FCC31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支持自定义配置个性化问卷推荐套餐题库，系统自带问卷题库，支持自定义增删改；</w:t>
                  </w:r>
                </w:p>
              </w:tc>
            </w:tr>
            <w:tr w14:paraId="4223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30C69D1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问卷题目设置</w:t>
                  </w:r>
                </w:p>
              </w:tc>
              <w:tc>
                <w:tcPr>
                  <w:tcW w:w="4580" w:type="dxa"/>
                  <w:gridSpan w:val="3"/>
                  <w:noWrap w:val="0"/>
                  <w:vAlign w:val="top"/>
                </w:tcPr>
                <w:p w14:paraId="31A7D93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支持根据适用性别、婚姻状况、答案类型、题目类型等维度自定义维护问卷题目；</w:t>
                  </w:r>
                  <w:r>
                    <w:rPr>
                      <w:rFonts w:hint="eastAsia" w:ascii="宋体" w:hAnsi="宋体" w:eastAsia="宋体" w:cs="宋体"/>
                      <w:color w:val="auto"/>
                      <w:sz w:val="21"/>
                      <w:szCs w:val="21"/>
                      <w:highlight w:val="none"/>
                      <w:lang w:eastAsia="zh-CN"/>
                    </w:rPr>
                    <w:t>包括但不限于生活史、家族史、既往史、手术史、外伤史、精神创伤史、生产史、家庭史、过敏史、遗传史、女士月经初潮、女士月经周期、女士月经史-白带、女士月经史绝经、女士月经史-流产等。</w:t>
                  </w:r>
                </w:p>
              </w:tc>
            </w:tr>
            <w:tr w14:paraId="056E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227C63C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1+X</w:t>
                  </w:r>
                  <w:r>
                    <w:rPr>
                      <w:rFonts w:hint="eastAsia" w:ascii="宋体" w:hAnsi="宋体" w:eastAsia="宋体" w:cs="宋体"/>
                      <w:color w:val="auto"/>
                      <w:sz w:val="21"/>
                      <w:szCs w:val="21"/>
                      <w:highlight w:val="none"/>
                    </w:rPr>
                    <w:t>问卷选项设置</w:t>
                  </w:r>
                </w:p>
              </w:tc>
              <w:tc>
                <w:tcPr>
                  <w:tcW w:w="4580" w:type="dxa"/>
                  <w:gridSpan w:val="3"/>
                  <w:noWrap w:val="0"/>
                  <w:vAlign w:val="top"/>
                </w:tcPr>
                <w:p w14:paraId="67CBF67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支持根据问卷题目及选项自定义配置基础套餐、深度套餐及尊享套餐的必选项目、可选项目及排除项目。</w:t>
                  </w:r>
                </w:p>
              </w:tc>
            </w:tr>
            <w:tr w14:paraId="3475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5544A7A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3、体检预约管理（医护管理端）</w:t>
                  </w:r>
                </w:p>
              </w:tc>
            </w:tr>
            <w:tr w14:paraId="4E25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448B56B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客户预约登记</w:t>
                  </w:r>
                </w:p>
              </w:tc>
              <w:tc>
                <w:tcPr>
                  <w:tcW w:w="4580" w:type="dxa"/>
                  <w:gridSpan w:val="3"/>
                  <w:noWrap w:val="0"/>
                  <w:vAlign w:val="center"/>
                </w:tcPr>
                <w:p w14:paraId="4A55A93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支持人工添加或修改客户预约信息（如电话预约信息等）；</w:t>
                  </w:r>
                </w:p>
              </w:tc>
            </w:tr>
            <w:tr w14:paraId="435E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92" w:type="dxa"/>
                  <w:noWrap w:val="0"/>
                  <w:vAlign w:val="center"/>
                </w:tcPr>
                <w:p w14:paraId="1A356BA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客户预约查询</w:t>
                  </w:r>
                </w:p>
              </w:tc>
              <w:tc>
                <w:tcPr>
                  <w:tcW w:w="4580" w:type="dxa"/>
                  <w:gridSpan w:val="3"/>
                  <w:noWrap w:val="0"/>
                  <w:vAlign w:val="center"/>
                </w:tcPr>
                <w:p w14:paraId="1AE910C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支持预约信息自动同步到体检中心管理系统，支持多维度查询客户预约信息（如：体检单位、体检日期、预约日期、预约来源、问卷状态、选项方式等），并支持预约日志查询；</w:t>
                  </w:r>
                </w:p>
                <w:p w14:paraId="469B530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支持对客户预约信息进行批量审核、批量撤销、批量删除（如客户预约不合理的，可将审核意见自动短信通知客户）以及更改客户预约日期等，并支持EXCEL格式导出；</w:t>
                  </w:r>
                </w:p>
              </w:tc>
            </w:tr>
            <w:tr w14:paraId="0C6C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92" w:type="dxa"/>
                  <w:noWrap w:val="0"/>
                  <w:vAlign w:val="center"/>
                </w:tcPr>
                <w:p w14:paraId="7AE3052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预约排班设置</w:t>
                  </w:r>
                </w:p>
              </w:tc>
              <w:tc>
                <w:tcPr>
                  <w:tcW w:w="4580" w:type="dxa"/>
                  <w:gridSpan w:val="3"/>
                  <w:noWrap w:val="0"/>
                  <w:vAlign w:val="center"/>
                </w:tcPr>
                <w:p w14:paraId="7607B3A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支持号源全局精细化管理，支持按区域、按单位、按项目等多维度管控个检、团检人数；</w:t>
                  </w:r>
                </w:p>
                <w:p w14:paraId="15AF931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支持公共号源配置，可设置男女是否分开、单位公共号源、个人公共号源；</w:t>
                  </w:r>
                </w:p>
                <w:p w14:paraId="0487E7D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支持瓶颈项目及特殊检查项目（如CT、核磁、胃肠镜检查等）预约管理，超过限制人数或项目数时，客户自助预约平台不能再进行预约；</w:t>
                  </w:r>
                </w:p>
                <w:p w14:paraId="2D8D5B4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支持通过分时段预约控制体检流量；</w:t>
                  </w:r>
                </w:p>
                <w:p w14:paraId="1BF9141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支持自定义设置休息日及节假日；</w:t>
                  </w:r>
                </w:p>
              </w:tc>
            </w:tr>
            <w:tr w14:paraId="7AA7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92" w:type="dxa"/>
                  <w:noWrap w:val="0"/>
                  <w:vAlign w:val="center"/>
                </w:tcPr>
                <w:p w14:paraId="39836E0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预约数据驾驶舱</w:t>
                  </w:r>
                </w:p>
              </w:tc>
              <w:tc>
                <w:tcPr>
                  <w:tcW w:w="4580" w:type="dxa"/>
                  <w:gridSpan w:val="3"/>
                  <w:noWrap w:val="0"/>
                  <w:vAlign w:val="center"/>
                </w:tcPr>
                <w:p w14:paraId="51DDF3A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支持按检线、日期等维度汇总展示预约数据（包括排期可约人数、全部预约人数、单位预约人数、预约单位数量、个检预约人数、特殊项目数量等）；</w:t>
                  </w:r>
                </w:p>
                <w:p w14:paraId="2912A667">
                  <w:pPr>
                    <w:pStyle w:val="2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支持到检汇总、年龄段分布、预约项目前十、当日营收及重点关注客户等。</w:t>
                  </w:r>
                </w:p>
              </w:tc>
            </w:tr>
            <w:tr w14:paraId="1344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6B15E35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4、机构微信端</w:t>
                  </w:r>
                </w:p>
              </w:tc>
            </w:tr>
            <w:tr w14:paraId="7C36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2" w:type="dxa"/>
                  <w:noWrap w:val="0"/>
                  <w:vAlign w:val="center"/>
                </w:tcPr>
                <w:p w14:paraId="768D315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体检服务</w:t>
                  </w:r>
                </w:p>
              </w:tc>
              <w:tc>
                <w:tcPr>
                  <w:tcW w:w="4580" w:type="dxa"/>
                  <w:gridSpan w:val="3"/>
                  <w:noWrap w:val="0"/>
                  <w:vAlign w:val="center"/>
                </w:tcPr>
                <w:p w14:paraId="2AA239A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体检客户关注机构微信公众号，首次登录需进行身份验证及绑定，可自定义设置免登录时间；</w:t>
                  </w:r>
                </w:p>
                <w:p w14:paraId="6867386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支持根据体检机构业务需要，定制机构介绍、体检流程介绍、体检须知、交通指引等功能；</w:t>
                  </w:r>
                </w:p>
              </w:tc>
            </w:tr>
            <w:tr w14:paraId="4F05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92" w:type="dxa"/>
                  <w:noWrap w:val="0"/>
                  <w:vAlign w:val="center"/>
                </w:tcPr>
                <w:p w14:paraId="59B5AFB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个人体检预约</w:t>
                  </w:r>
                </w:p>
              </w:tc>
              <w:tc>
                <w:tcPr>
                  <w:tcW w:w="4580" w:type="dxa"/>
                  <w:gridSpan w:val="3"/>
                  <w:noWrap w:val="0"/>
                  <w:vAlign w:val="center"/>
                </w:tcPr>
                <w:p w14:paraId="76467A9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支持根据医护端设置的预约规则进行体检预约，支持仅预约体检时间、标准套餐预约及个性化问卷套餐预约；</w:t>
                  </w:r>
                </w:p>
                <w:p w14:paraId="64428C3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个性化问卷预约支持</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从个人基本情况、家族史、既往史、体感情况、生活习惯等多维度进行问卷调查，系统根据客户如实填写的问卷内容，自动生成三个不同检查深度的个性化体检套餐；</w:t>
                  </w:r>
                </w:p>
                <w:p w14:paraId="7989AAB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支持体检套餐详情展示，并直观展示预约须知及检前注意事项；</w:t>
                  </w:r>
                </w:p>
                <w:p w14:paraId="39D6FE5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支持客户微信端自主加项，支持项目互斥；</w:t>
                  </w:r>
                </w:p>
                <w:p w14:paraId="22F657F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预约完成后，系统自动生成预约二维码，客户可凭此码或二代身份证</w:t>
                  </w:r>
                  <w:r>
                    <w:rPr>
                      <w:rFonts w:hint="eastAsia" w:ascii="宋体" w:hAnsi="宋体" w:eastAsia="宋体" w:cs="宋体"/>
                      <w:color w:val="auto"/>
                      <w:sz w:val="21"/>
                      <w:szCs w:val="21"/>
                      <w:highlight w:val="none"/>
                      <w:lang w:eastAsia="zh-CN"/>
                    </w:rPr>
                    <w:t>或电子医保码</w:t>
                  </w:r>
                  <w:r>
                    <w:rPr>
                      <w:rFonts w:hint="eastAsia" w:ascii="宋体" w:hAnsi="宋体" w:eastAsia="宋体" w:cs="宋体"/>
                      <w:color w:val="auto"/>
                      <w:sz w:val="21"/>
                      <w:szCs w:val="21"/>
                      <w:highlight w:val="none"/>
                    </w:rPr>
                    <w:t>到体检中心自助服务终端或前台打印体检指引单；</w:t>
                  </w:r>
                </w:p>
              </w:tc>
            </w:tr>
            <w:tr w14:paraId="6FA5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92" w:type="dxa"/>
                  <w:noWrap w:val="0"/>
                  <w:vAlign w:val="center"/>
                </w:tcPr>
                <w:p w14:paraId="4A4601C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单位体检预约</w:t>
                  </w:r>
                </w:p>
              </w:tc>
              <w:tc>
                <w:tcPr>
                  <w:tcW w:w="4580" w:type="dxa"/>
                  <w:gridSpan w:val="3"/>
                  <w:noWrap w:val="0"/>
                  <w:vAlign w:val="center"/>
                </w:tcPr>
                <w:p w14:paraId="3FAF365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支持团检排期精细化管理，合理分配同一时段不同企业团检号源；</w:t>
                  </w:r>
                </w:p>
                <w:p w14:paraId="117CFB2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支持设置指定单位是否开放微信预约功能，支持人员名单备单批量导入，</w:t>
                  </w:r>
                </w:p>
                <w:p w14:paraId="423F80F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团检客户通过身份证号或手机号自动匹配团检信息，选择已绑定单位套餐或金额后可完成选定体检项目-体检时间-线上支付全套预约流程；</w:t>
                  </w:r>
                </w:p>
                <w:p w14:paraId="71CEE8B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支持团检客户帮助亲属代预约体检；</w:t>
                  </w:r>
                </w:p>
                <w:p w14:paraId="12B308F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体检类型支持健康体检（包括</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普通人员健康体检、干部保健体检、公务员体检、教师体检、学生体检、从业人员体检、证件体检、驾驶员体检、儿童体检、入托体检、运动员体检、征兵体检</w:t>
                  </w:r>
                  <w:r>
                    <w:rPr>
                      <w:rFonts w:hint="eastAsia" w:ascii="宋体" w:hAnsi="宋体" w:eastAsia="宋体" w:cs="宋体"/>
                      <w:color w:val="auto"/>
                      <w:sz w:val="21"/>
                      <w:szCs w:val="21"/>
                      <w:highlight w:val="none"/>
                      <w:lang w:eastAsia="zh-CN"/>
                    </w:rPr>
                    <w:t>、特殊工种体检、入职体检、健康证体检</w:t>
                  </w:r>
                  <w:r>
                    <w:rPr>
                      <w:rFonts w:hint="eastAsia" w:ascii="宋体" w:hAnsi="宋体" w:eastAsia="宋体" w:cs="宋体"/>
                      <w:color w:val="auto"/>
                      <w:sz w:val="21"/>
                      <w:szCs w:val="21"/>
                      <w:highlight w:val="none"/>
                    </w:rPr>
                    <w:t>等）、职业病体检等多种体检类型；</w:t>
                  </w:r>
                </w:p>
              </w:tc>
            </w:tr>
            <w:tr w14:paraId="3E87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54A7548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体检支付</w:t>
                  </w:r>
                </w:p>
              </w:tc>
              <w:tc>
                <w:tcPr>
                  <w:tcW w:w="4580" w:type="dxa"/>
                  <w:gridSpan w:val="3"/>
                  <w:noWrap w:val="0"/>
                  <w:vAlign w:val="center"/>
                </w:tcPr>
                <w:p w14:paraId="35D744B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支持客户预约完成后通过微信程序支付体检费用，</w:t>
                  </w:r>
                  <w:r>
                    <w:rPr>
                      <w:rFonts w:hint="eastAsia" w:ascii="宋体" w:hAnsi="宋体" w:eastAsia="宋体" w:cs="宋体"/>
                      <w:color w:val="auto"/>
                      <w:sz w:val="21"/>
                      <w:szCs w:val="21"/>
                      <w:highlight w:val="none"/>
                      <w:lang w:eastAsia="zh-CN"/>
                    </w:rPr>
                    <w:t>实现</w:t>
                  </w:r>
                  <w:r>
                    <w:rPr>
                      <w:rFonts w:hint="eastAsia" w:ascii="宋体" w:hAnsi="宋体" w:eastAsia="宋体" w:cs="宋体"/>
                      <w:color w:val="auto"/>
                      <w:sz w:val="21"/>
                      <w:szCs w:val="21"/>
                      <w:highlight w:val="none"/>
                    </w:rPr>
                    <w:t>与院方互联网医院支付平台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统一支付平台</w:t>
                  </w:r>
                  <w:r>
                    <w:rPr>
                      <w:rFonts w:hint="eastAsia" w:ascii="宋体" w:hAnsi="宋体" w:eastAsia="宋体" w:cs="宋体"/>
                      <w:color w:val="auto"/>
                      <w:sz w:val="21"/>
                      <w:szCs w:val="21"/>
                      <w:highlight w:val="none"/>
                    </w:rPr>
                    <w:t>实现接口对接；</w:t>
                  </w:r>
                </w:p>
              </w:tc>
            </w:tr>
            <w:tr w14:paraId="004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2" w:type="dxa"/>
                  <w:noWrap w:val="0"/>
                  <w:vAlign w:val="center"/>
                </w:tcPr>
                <w:p w14:paraId="0AE9F0C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消息推送</w:t>
                  </w:r>
                </w:p>
              </w:tc>
              <w:tc>
                <w:tcPr>
                  <w:tcW w:w="4580" w:type="dxa"/>
                  <w:gridSpan w:val="3"/>
                  <w:noWrap w:val="0"/>
                  <w:vAlign w:val="center"/>
                </w:tcPr>
                <w:p w14:paraId="1E6B78D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支持通过微信或短信方式对客户进行预约成功、检前提醒等即时通知；</w:t>
                  </w:r>
                </w:p>
              </w:tc>
            </w:tr>
            <w:tr w14:paraId="039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92" w:type="dxa"/>
                  <w:noWrap w:val="0"/>
                  <w:vAlign w:val="center"/>
                </w:tcPr>
                <w:p w14:paraId="7CB1DAD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报告查看</w:t>
                  </w:r>
                </w:p>
              </w:tc>
              <w:tc>
                <w:tcPr>
                  <w:tcW w:w="4580" w:type="dxa"/>
                  <w:gridSpan w:val="3"/>
                  <w:noWrap w:val="0"/>
                  <w:vAlign w:val="center"/>
                </w:tcPr>
                <w:p w14:paraId="1C543EF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支持体检客户微信端查看及下载历年历次体检报告；</w:t>
                  </w:r>
                </w:p>
              </w:tc>
            </w:tr>
            <w:tr w14:paraId="6E22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92" w:type="dxa"/>
                  <w:noWrap w:val="0"/>
                  <w:vAlign w:val="center"/>
                </w:tcPr>
                <w:p w14:paraId="1D9E63B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微信导检</w:t>
                  </w:r>
                </w:p>
              </w:tc>
              <w:tc>
                <w:tcPr>
                  <w:tcW w:w="4580" w:type="dxa"/>
                  <w:gridSpan w:val="3"/>
                  <w:noWrap w:val="0"/>
                  <w:vAlign w:val="center"/>
                </w:tcPr>
                <w:p w14:paraId="48F22DA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支持微信端电子指引单导检提醒，提升体检客户体验感；</w:t>
                  </w:r>
                </w:p>
              </w:tc>
            </w:tr>
            <w:tr w14:paraId="54CD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2" w:type="dxa"/>
                  <w:noWrap w:val="0"/>
                  <w:vAlign w:val="center"/>
                </w:tcPr>
                <w:p w14:paraId="764EAE3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健康资讯</w:t>
                  </w:r>
                </w:p>
              </w:tc>
              <w:tc>
                <w:tcPr>
                  <w:tcW w:w="4580" w:type="dxa"/>
                  <w:gridSpan w:val="3"/>
                  <w:noWrap w:val="0"/>
                  <w:vAlign w:val="center"/>
                </w:tcPr>
                <w:p w14:paraId="78FF4D3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支持健康资讯管理，可在微信公众号定期推送宣教文章及资讯等；</w:t>
                  </w:r>
                </w:p>
              </w:tc>
            </w:tr>
            <w:tr w14:paraId="16E8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4EC3596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个人中心</w:t>
                  </w:r>
                </w:p>
              </w:tc>
              <w:tc>
                <w:tcPr>
                  <w:tcW w:w="4580" w:type="dxa"/>
                  <w:gridSpan w:val="3"/>
                  <w:noWrap w:val="0"/>
                  <w:vAlign w:val="center"/>
                </w:tcPr>
                <w:p w14:paraId="505405C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支持查看订单记录，支持修改预约日期、取消订单等；</w:t>
                  </w:r>
                </w:p>
                <w:p w14:paraId="5401556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支持亲属关联及代预约；</w:t>
                  </w:r>
                </w:p>
                <w:p w14:paraId="7A81194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支持密码修改及其他设置。</w:t>
                  </w:r>
                </w:p>
              </w:tc>
            </w:tr>
            <w:tr w14:paraId="361F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5CE4247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5、体检自助服务终端</w:t>
                  </w:r>
                </w:p>
              </w:tc>
            </w:tr>
            <w:tr w14:paraId="6117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72" w:type="dxa"/>
                  <w:gridSpan w:val="4"/>
                  <w:noWrap w:val="0"/>
                  <w:vAlign w:val="center"/>
                </w:tcPr>
                <w:p w14:paraId="6C95186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支持客户在自助服务终端机上完成体检预约、自助打印指引单、自助签到、导检队列查询</w:t>
                  </w:r>
                  <w:r>
                    <w:rPr>
                      <w:rFonts w:hint="eastAsia" w:ascii="宋体" w:hAnsi="宋体" w:eastAsia="宋体" w:cs="宋体"/>
                      <w:color w:val="auto"/>
                      <w:sz w:val="21"/>
                      <w:szCs w:val="21"/>
                      <w:highlight w:val="none"/>
                      <w:lang w:eastAsia="zh-CN"/>
                    </w:rPr>
                    <w:t>、自助填写体检问卷</w:t>
                  </w:r>
                  <w:r>
                    <w:rPr>
                      <w:rFonts w:hint="eastAsia" w:ascii="宋体" w:hAnsi="宋体" w:eastAsia="宋体" w:cs="宋体"/>
                      <w:color w:val="auto"/>
                      <w:sz w:val="21"/>
                      <w:szCs w:val="21"/>
                      <w:highlight w:val="none"/>
                    </w:rPr>
                    <w:t>等。</w:t>
                  </w:r>
                </w:p>
              </w:tc>
            </w:tr>
            <w:tr w14:paraId="1CDB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5E1ACF1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二、检中体检管理系统功能要求</w:t>
                  </w:r>
                </w:p>
              </w:tc>
            </w:tr>
            <w:tr w14:paraId="5F3F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18DE4CE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1、技术参数要求</w:t>
                  </w:r>
                </w:p>
              </w:tc>
            </w:tr>
            <w:tr w14:paraId="16E1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0DCF03D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系统架构</w:t>
                  </w:r>
                </w:p>
              </w:tc>
              <w:tc>
                <w:tcPr>
                  <w:tcW w:w="4580" w:type="dxa"/>
                  <w:gridSpan w:val="3"/>
                  <w:noWrap w:val="0"/>
                  <w:vAlign w:val="center"/>
                </w:tcPr>
                <w:p w14:paraId="17933C1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系统框架要求严格遵循以B/S架构为主、C/S架构为辅的搭建模式，其中功能实现采用B/S架构，与硬件设备通讯采用C/S架构；</w:t>
                  </w:r>
                </w:p>
              </w:tc>
            </w:tr>
            <w:tr w14:paraId="19C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7B76E24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整体要求</w:t>
                  </w:r>
                </w:p>
              </w:tc>
              <w:tc>
                <w:tcPr>
                  <w:tcW w:w="4580" w:type="dxa"/>
                  <w:gridSpan w:val="3"/>
                  <w:noWrap w:val="0"/>
                  <w:vAlign w:val="center"/>
                </w:tcPr>
                <w:p w14:paraId="26CA7BC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为了下一步达到信创国产化适配要求，软件系统必须是B/S 架构，使用 JAVA 开发，系统</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要能使用</w:t>
                  </w:r>
                  <w:r>
                    <w:rPr>
                      <w:rFonts w:hint="eastAsia" w:ascii="宋体" w:hAnsi="宋体" w:eastAsia="宋体" w:cs="宋体"/>
                      <w:color w:val="auto"/>
                      <w:sz w:val="21"/>
                      <w:szCs w:val="21"/>
                      <w:highlight w:val="none"/>
                      <w:lang w:eastAsia="zh-CN"/>
                    </w:rPr>
                    <w:t>信创</w:t>
                  </w:r>
                  <w:r>
                    <w:rPr>
                      <w:rFonts w:hint="eastAsia" w:ascii="宋体" w:hAnsi="宋体" w:eastAsia="宋体" w:cs="宋体"/>
                      <w:color w:val="auto"/>
                      <w:sz w:val="21"/>
                      <w:szCs w:val="21"/>
                      <w:highlight w:val="none"/>
                    </w:rPr>
                    <w:t>国产化数据库，适配国产</w:t>
                  </w:r>
                  <w:r>
                    <w:rPr>
                      <w:rFonts w:hint="eastAsia" w:ascii="宋体" w:hAnsi="宋体" w:eastAsia="宋体" w:cs="宋体"/>
                      <w:color w:val="auto"/>
                      <w:sz w:val="21"/>
                      <w:szCs w:val="21"/>
                      <w:highlight w:val="none"/>
                      <w:lang w:eastAsia="zh-CN"/>
                    </w:rPr>
                    <w:t>操作系统，适配国产中间件等国产自主安全平台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实现以上要求所需费用均须包含在竞标报价中，采购人不另外支付。</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eastAsia="zh-CN"/>
                    </w:rPr>
                    <w:t>在响应文件中</w:t>
                  </w:r>
                  <w:r>
                    <w:rPr>
                      <w:rFonts w:hint="eastAsia" w:ascii="宋体" w:hAnsi="宋体" w:eastAsia="宋体" w:cs="宋体"/>
                      <w:b/>
                      <w:bCs/>
                      <w:color w:val="auto"/>
                      <w:sz w:val="21"/>
                      <w:szCs w:val="21"/>
                      <w:highlight w:val="none"/>
                    </w:rPr>
                    <w:t>提供承诺函）</w:t>
                  </w:r>
                </w:p>
              </w:tc>
            </w:tr>
            <w:tr w14:paraId="4B1A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72" w:type="dxa"/>
                  <w:gridSpan w:val="4"/>
                  <w:noWrap w:val="0"/>
                  <w:vAlign w:val="center"/>
                </w:tcPr>
                <w:p w14:paraId="0A1598D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2、主要功能要求</w:t>
                  </w:r>
                </w:p>
              </w:tc>
            </w:tr>
            <w:tr w14:paraId="79AD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72" w:type="dxa"/>
                  <w:gridSpan w:val="4"/>
                  <w:noWrap w:val="0"/>
                  <w:vAlign w:val="center"/>
                </w:tcPr>
                <w:p w14:paraId="1C2C4DC8">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系统基础设置</w:t>
                  </w:r>
                </w:p>
              </w:tc>
            </w:tr>
            <w:tr w14:paraId="0220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472" w:type="dxa"/>
                  <w:gridSpan w:val="4"/>
                  <w:noWrap w:val="0"/>
                  <w:vAlign w:val="center"/>
                </w:tcPr>
                <w:p w14:paraId="55110D0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科室、体检项目、常见结果、组合项目及组合关系设置，同时支持项目类别、体检类别、年龄阶段设置，另外为了满足各体检中心的不同业务需求，系统支持客户属性设置、报表格式设置及系统参数设置等；</w:t>
                  </w:r>
                </w:p>
              </w:tc>
            </w:tr>
            <w:tr w14:paraId="476C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72" w:type="dxa"/>
                  <w:gridSpan w:val="4"/>
                  <w:noWrap w:val="0"/>
                  <w:vAlign w:val="center"/>
                </w:tcPr>
                <w:p w14:paraId="1C40A3B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体检流程管理</w:t>
                  </w:r>
                </w:p>
              </w:tc>
            </w:tr>
            <w:tr w14:paraId="125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92" w:type="dxa"/>
                  <w:noWrap w:val="0"/>
                  <w:vAlign w:val="center"/>
                </w:tcPr>
                <w:p w14:paraId="179A7DF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体检检前准备</w:t>
                  </w:r>
                </w:p>
              </w:tc>
              <w:tc>
                <w:tcPr>
                  <w:tcW w:w="4580" w:type="dxa"/>
                  <w:gridSpan w:val="3"/>
                  <w:noWrap w:val="0"/>
                  <w:vAlign w:val="center"/>
                </w:tcPr>
                <w:p w14:paraId="5A7F994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支持客户资料搜索、体检单位设置、体检套餐设置、单位体检批量导入等，方便完成体检前的信息登记、项目输入及体检单据打印等；</w:t>
                  </w:r>
                </w:p>
                <w:p w14:paraId="1FB92A3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支持按单位及单位分组、体检区域、体检日期、年龄段、体检类别等维度查询并导出数据；</w:t>
                  </w:r>
                </w:p>
                <w:p w14:paraId="1E8CFB7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支持批量签到、锁定、解锁、改体检时间、改配额、换套餐、加减项、申请收费及退费等；</w:t>
                  </w:r>
                </w:p>
              </w:tc>
            </w:tr>
            <w:tr w14:paraId="0090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92" w:type="dxa"/>
                  <w:noWrap w:val="0"/>
                  <w:vAlign w:val="center"/>
                </w:tcPr>
                <w:p w14:paraId="60D4A25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w:t>
                  </w:r>
                  <w:r>
                    <w:rPr>
                      <w:rFonts w:hint="eastAsia" w:ascii="宋体" w:hAnsi="宋体" w:eastAsia="宋体" w:cs="宋体"/>
                      <w:color w:val="auto"/>
                      <w:sz w:val="21"/>
                      <w:szCs w:val="21"/>
                      <w:highlight w:val="none"/>
                      <w:lang w:eastAsia="zh-CN"/>
                    </w:rPr>
                    <w:t>财务</w:t>
                  </w:r>
                  <w:r>
                    <w:rPr>
                      <w:rFonts w:hint="eastAsia" w:ascii="宋体" w:hAnsi="宋体" w:eastAsia="宋体" w:cs="宋体"/>
                      <w:color w:val="auto"/>
                      <w:sz w:val="21"/>
                      <w:szCs w:val="21"/>
                      <w:highlight w:val="none"/>
                    </w:rPr>
                    <w:t>管理</w:t>
                  </w:r>
                </w:p>
              </w:tc>
              <w:tc>
                <w:tcPr>
                  <w:tcW w:w="4580" w:type="dxa"/>
                  <w:gridSpan w:val="3"/>
                  <w:noWrap w:val="0"/>
                  <w:vAlign w:val="center"/>
                </w:tcPr>
                <w:p w14:paraId="066A492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支持个人体检及单位体检收费管理，支持扩展多种收费、退费方式，具有完善的收费员日结等财务管理功能;</w:t>
                  </w:r>
                </w:p>
                <w:p w14:paraId="1EE16DE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eastAsia="zh-CN"/>
                    </w:rPr>
                    <w:t>多种</w:t>
                  </w:r>
                  <w:r>
                    <w:rPr>
                      <w:rFonts w:hint="eastAsia" w:ascii="宋体" w:hAnsi="宋体" w:eastAsia="宋体" w:cs="宋体"/>
                      <w:color w:val="auto"/>
                      <w:sz w:val="21"/>
                      <w:szCs w:val="21"/>
                      <w:highlight w:val="none"/>
                    </w:rPr>
                    <w:t>支付方式及折扣方式设置，包括正常收费、全部退费、项目调整引起的加收\退费、发票补打\重打;结算时套餐打折、单项打折等多种折扣方式;</w:t>
                  </w:r>
                </w:p>
                <w:p w14:paraId="0FEE8A1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支持团体结算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支持自费、公费、自动补差等,支持按人员结算、按项目结算、预结、迟结、禁检、结算分析、项目构成等</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能够统计各种情况下的体检费用:按照登记人员、以套餐为计价单位的体检费用;按照登记人员、以明细项目为计价单位的体检费用;按照实检人员、以套餐为计价单位、并且不可拆分时的体检费用:按照实检人员、以套餐为计价单位、可拆分时的体检费用;</w:t>
                  </w:r>
                </w:p>
                <w:p w14:paraId="522D058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支持防止漏费功能:个人体检能够通过参数控制不交费是否可以检查;对于团体体检，在加做项目时，能够分别处理个人支付和团体支付。</w:t>
                  </w:r>
                </w:p>
                <w:p w14:paraId="2665FC7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发票：</w:t>
                  </w:r>
                  <w:r>
                    <w:rPr>
                      <w:rFonts w:hint="eastAsia" w:ascii="宋体" w:hAnsi="宋体" w:eastAsia="宋体" w:cs="宋体"/>
                      <w:color w:val="auto"/>
                      <w:sz w:val="21"/>
                      <w:szCs w:val="21"/>
                      <w:highlight w:val="none"/>
                    </w:rPr>
                    <w:t>个人,团体发票,支持发票拆分与合并等</w:t>
                  </w:r>
                  <w:r>
                    <w:rPr>
                      <w:rFonts w:hint="eastAsia" w:ascii="宋体" w:hAnsi="宋体" w:eastAsia="宋体" w:cs="宋体"/>
                      <w:color w:val="auto"/>
                      <w:sz w:val="21"/>
                      <w:szCs w:val="21"/>
                      <w:highlight w:val="none"/>
                      <w:lang w:eastAsia="zh-CN"/>
                    </w:rPr>
                    <w:t>。</w:t>
                  </w:r>
                </w:p>
                <w:p w14:paraId="3F491FF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支持多种结算方式，包括但不限于医保结算、自费结算、微信结算、支付宝结算、电子医保、医保卡、银联结算等。</w:t>
                  </w:r>
                </w:p>
                <w:p w14:paraId="157FD22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实现与智业统一支付对账平台进行对接，按照统一支付对账平台的接口要求实施。</w:t>
                  </w:r>
                </w:p>
              </w:tc>
            </w:tr>
            <w:tr w14:paraId="56F2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92" w:type="dxa"/>
                  <w:noWrap w:val="0"/>
                  <w:vAlign w:val="center"/>
                </w:tcPr>
                <w:p w14:paraId="7333491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个人体检登记</w:t>
                  </w:r>
                </w:p>
              </w:tc>
              <w:tc>
                <w:tcPr>
                  <w:tcW w:w="4580" w:type="dxa"/>
                  <w:gridSpan w:val="3"/>
                  <w:noWrap w:val="0"/>
                  <w:vAlign w:val="center"/>
                </w:tcPr>
                <w:p w14:paraId="605FAF7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支持二代身份证</w:t>
                  </w:r>
                  <w:r>
                    <w:rPr>
                      <w:rFonts w:hint="eastAsia" w:ascii="宋体" w:hAnsi="宋体" w:eastAsia="宋体" w:cs="宋体"/>
                      <w:color w:val="auto"/>
                      <w:sz w:val="21"/>
                      <w:szCs w:val="21"/>
                      <w:highlight w:val="none"/>
                      <w:lang w:eastAsia="zh-CN"/>
                    </w:rPr>
                    <w:t>、医保卡、电子医保卡、电子健康卡</w:t>
                  </w:r>
                  <w:r>
                    <w:rPr>
                      <w:rFonts w:hint="eastAsia" w:ascii="宋体" w:hAnsi="宋体" w:eastAsia="宋体" w:cs="宋体"/>
                      <w:color w:val="auto"/>
                      <w:sz w:val="21"/>
                      <w:szCs w:val="21"/>
                      <w:highlight w:val="none"/>
                      <w:lang w:eastAsia="zh-CN"/>
                    </w:rPr>
                    <w:t>、永居证</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读取功能；</w:t>
                  </w:r>
                </w:p>
                <w:p w14:paraId="6874C0D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支持按科室、套餐、类别等条件录入体检项目；</w:t>
                  </w:r>
                </w:p>
                <w:p w14:paraId="153E28E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支持克隆登记功能，可以复制本人往年体检项目及基本资料，也可以复制其他客户的体检项目，并在此基础上进行调整，以提高登记工作效率；</w:t>
                  </w:r>
                </w:p>
                <w:p w14:paraId="1CA7F89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支持已预约信息快捷登记；</w:t>
                  </w:r>
                </w:p>
                <w:p w14:paraId="209BE5A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支持清项目功能快捷登记；</w:t>
                  </w:r>
                </w:p>
                <w:p w14:paraId="042054D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支持替检管理；</w:t>
                  </w:r>
                </w:p>
                <w:p w14:paraId="48834F5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体检类型支持健康体检（包括</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普通人员健康体检、干部保健体检、公务员体检、教师体检、学生体检、从业人员体检、证件体检、驾驶员体检、儿童体检、入托体检、运动员体检、征兵体检</w:t>
                  </w:r>
                  <w:r>
                    <w:rPr>
                      <w:rFonts w:hint="eastAsia" w:ascii="宋体" w:hAnsi="宋体" w:eastAsia="宋体" w:cs="宋体"/>
                      <w:color w:val="auto"/>
                      <w:sz w:val="21"/>
                      <w:szCs w:val="21"/>
                      <w:highlight w:val="none"/>
                      <w:lang w:eastAsia="zh-CN"/>
                    </w:rPr>
                    <w:t>、特殊工种体检、入职体检、健康证体检</w:t>
                  </w:r>
                  <w:r>
                    <w:rPr>
                      <w:rFonts w:hint="eastAsia" w:ascii="宋体" w:hAnsi="宋体" w:eastAsia="宋体" w:cs="宋体"/>
                      <w:color w:val="auto"/>
                      <w:sz w:val="21"/>
                      <w:szCs w:val="21"/>
                      <w:highlight w:val="none"/>
                    </w:rPr>
                    <w:t>等）、职业病体检等多种体检类型；</w:t>
                  </w:r>
                </w:p>
              </w:tc>
            </w:tr>
            <w:tr w14:paraId="26E9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92" w:type="dxa"/>
                  <w:noWrap w:val="0"/>
                  <w:vAlign w:val="center"/>
                </w:tcPr>
                <w:p w14:paraId="71DEA96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单位体检登记</w:t>
                  </w:r>
                </w:p>
              </w:tc>
              <w:tc>
                <w:tcPr>
                  <w:tcW w:w="4580" w:type="dxa"/>
                  <w:gridSpan w:val="3"/>
                  <w:noWrap w:val="0"/>
                  <w:vAlign w:val="center"/>
                </w:tcPr>
                <w:p w14:paraId="1357413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支持批量导入团体体检信息，包括客户基本资料、单位支付金额、折扣率、套餐、体检类型、加做项目、备注信息等，导入信息可根据客户身份证、电话、姓名等信息自动识别是否是同一人；</w:t>
                  </w:r>
                </w:p>
                <w:p w14:paraId="2EF3768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支持通过身份证号、电话号码、性别、年龄等信息校验，如电话号码位数不对，身份证性别与导入表格不对应等；</w:t>
                  </w:r>
                </w:p>
                <w:p w14:paraId="7F4FF5E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支持单个客户导入时预约多个套餐、单独加做某些项目功能；</w:t>
                  </w:r>
                </w:p>
                <w:p w14:paraId="3884462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支持智能匹配套餐功能，可根据性别、年龄段、婚姻状况等信息，在不指定套餐情况下自动匹配套餐；</w:t>
                  </w:r>
                </w:p>
                <w:p w14:paraId="2DE3B12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支持在单位下自动创建子单位及部门功能，并将客户自动归入到指定部门下；</w:t>
                  </w:r>
                </w:p>
                <w:p w14:paraId="6CF6178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体检类型支持健康体检（包括</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普通人员健康体检、干部保健体检、公务员体检、教师体检、学生体检、从业人员体检、证件体检、驾驶员体检、儿童体检、入托体检、运动员体检、征兵体检</w:t>
                  </w:r>
                  <w:r>
                    <w:rPr>
                      <w:rFonts w:hint="eastAsia" w:ascii="宋体" w:hAnsi="宋体" w:eastAsia="宋体" w:cs="宋体"/>
                      <w:color w:val="auto"/>
                      <w:sz w:val="21"/>
                      <w:szCs w:val="21"/>
                      <w:highlight w:val="none"/>
                      <w:lang w:eastAsia="zh-CN"/>
                    </w:rPr>
                    <w:t>、特殊工种体检、入职体检、健康证体检</w:t>
                  </w:r>
                  <w:r>
                    <w:rPr>
                      <w:rFonts w:hint="eastAsia" w:ascii="宋体" w:hAnsi="宋体" w:eastAsia="宋体" w:cs="宋体"/>
                      <w:color w:val="auto"/>
                      <w:sz w:val="21"/>
                      <w:szCs w:val="21"/>
                      <w:highlight w:val="none"/>
                    </w:rPr>
                    <w:t>等）、职业病体检等多种体检类型；</w:t>
                  </w:r>
                </w:p>
              </w:tc>
            </w:tr>
            <w:tr w14:paraId="70C9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92" w:type="dxa"/>
                  <w:noWrap w:val="0"/>
                  <w:vAlign w:val="center"/>
                </w:tcPr>
                <w:p w14:paraId="02E9E59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体检登记信息校验</w:t>
                  </w:r>
                </w:p>
              </w:tc>
              <w:tc>
                <w:tcPr>
                  <w:tcW w:w="4580" w:type="dxa"/>
                  <w:gridSpan w:val="3"/>
                  <w:noWrap w:val="0"/>
                  <w:vAlign w:val="center"/>
                </w:tcPr>
                <w:p w14:paraId="09AC8FE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体检登记信息逻辑性错误的验证，性别不符项目不能选择、重复检查项目不能选择、关联性检查项目不能漏选，如男性不能选择女性的检查项目，选择了肝功能八项后再选择功能十二项提示项目重复，选择TCT项目时自动带出妇科检查项目等；</w:t>
                  </w:r>
                </w:p>
              </w:tc>
            </w:tr>
            <w:tr w14:paraId="0370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92" w:type="dxa"/>
                  <w:noWrap w:val="0"/>
                  <w:vAlign w:val="center"/>
                </w:tcPr>
                <w:p w14:paraId="6FF915E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客户属性设置</w:t>
                  </w:r>
                </w:p>
              </w:tc>
              <w:tc>
                <w:tcPr>
                  <w:tcW w:w="4580" w:type="dxa"/>
                  <w:gridSpan w:val="3"/>
                  <w:noWrap w:val="0"/>
                  <w:vAlign w:val="center"/>
                </w:tcPr>
                <w:p w14:paraId="6545CF2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支持设置客户属性，如VIP客户、投诉客户、黑名单客户等，并支持按照设置好的通知方案，在客户来检时第一时间通过短信通知到相关工作人员；</w:t>
                  </w:r>
                </w:p>
                <w:p w14:paraId="7DB9B9B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支持在体检医生诊台、主检医生诊台等界面显示客户标签；</w:t>
                  </w:r>
                </w:p>
              </w:tc>
            </w:tr>
            <w:tr w14:paraId="234E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14224CE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VIP客户亲属关联</w:t>
                  </w:r>
                </w:p>
              </w:tc>
              <w:tc>
                <w:tcPr>
                  <w:tcW w:w="4580" w:type="dxa"/>
                  <w:gridSpan w:val="3"/>
                  <w:noWrap w:val="0"/>
                  <w:vAlign w:val="center"/>
                </w:tcPr>
                <w:p w14:paraId="2A56A78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支持体检VIP客户家属或朋友来体检时，可与VIP客户进行信息关联设置，方便开展优质服务；</w:t>
                  </w:r>
                </w:p>
              </w:tc>
            </w:tr>
            <w:tr w14:paraId="7A56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92" w:type="dxa"/>
                  <w:noWrap w:val="0"/>
                  <w:vAlign w:val="center"/>
                </w:tcPr>
                <w:p w14:paraId="05A3FDA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特殊检查项目处理</w:t>
                  </w:r>
                </w:p>
              </w:tc>
              <w:tc>
                <w:tcPr>
                  <w:tcW w:w="4580" w:type="dxa"/>
                  <w:gridSpan w:val="3"/>
                  <w:noWrap w:val="0"/>
                  <w:vAlign w:val="center"/>
                </w:tcPr>
                <w:p w14:paraId="72E0C14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系统可设置特殊检查项目，可在体检指引单上自动打印知情同意书（如乙肝检查项目）；</w:t>
                  </w:r>
                </w:p>
                <w:p w14:paraId="37251E2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支持特殊检查项目报告独立打印； </w:t>
                  </w:r>
                </w:p>
              </w:tc>
            </w:tr>
            <w:tr w14:paraId="7B23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455E841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指引单、条码打印</w:t>
                  </w:r>
                </w:p>
              </w:tc>
              <w:tc>
                <w:tcPr>
                  <w:tcW w:w="4580" w:type="dxa"/>
                  <w:gridSpan w:val="3"/>
                  <w:noWrap w:val="0"/>
                  <w:vAlign w:val="center"/>
                </w:tcPr>
                <w:p w14:paraId="3BEC0AD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支持根据体检项目打印指引单及条码，条码数量自动计算。既可以在前台集中打印，也可以在医生诊台、采血处等分散打印各诊室条码，支持条码补打功能；</w:t>
                  </w:r>
                </w:p>
              </w:tc>
            </w:tr>
            <w:tr w14:paraId="5810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0661B56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检验标本采集管理</w:t>
                  </w:r>
                </w:p>
              </w:tc>
              <w:tc>
                <w:tcPr>
                  <w:tcW w:w="4580" w:type="dxa"/>
                  <w:gridSpan w:val="3"/>
                  <w:noWrap w:val="0"/>
                  <w:vAlign w:val="center"/>
                </w:tcPr>
                <w:p w14:paraId="41E559E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支持检验采血管理功能，采血界面能显示客户的基本资料及项目，项目根据不同采血管进行分组显示，采血时可拍照及打印条码，打印条码数量系统自动计算；</w:t>
                  </w:r>
                </w:p>
              </w:tc>
            </w:tr>
            <w:tr w14:paraId="0C26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jc w:val="center"/>
              </w:trPr>
              <w:tc>
                <w:tcPr>
                  <w:tcW w:w="892" w:type="dxa"/>
                  <w:noWrap w:val="0"/>
                  <w:vAlign w:val="center"/>
                </w:tcPr>
                <w:p w14:paraId="59E7373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体检医生诊台</w:t>
                  </w:r>
                </w:p>
              </w:tc>
              <w:tc>
                <w:tcPr>
                  <w:tcW w:w="4580" w:type="dxa"/>
                  <w:gridSpan w:val="3"/>
                  <w:noWrap w:val="0"/>
                  <w:vAlign w:val="center"/>
                </w:tcPr>
                <w:p w14:paraId="5DC67C8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系统具备完善的诊断结果及诊断建议知识库模板，支持自定义维护；</w:t>
                  </w:r>
                </w:p>
                <w:p w14:paraId="6B402DF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支持自动判断项目结果是否异常并自动小结；</w:t>
                  </w:r>
                </w:p>
                <w:p w14:paraId="77A42A3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支持有相关权限的科室医生进行诊间加项；</w:t>
                  </w:r>
                </w:p>
                <w:p w14:paraId="0B8AB7F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支持防漏检和拒检登记功能，提供多种查询报表，以便查阅未检人员、未检项目，并且可以记录拒检项目；</w:t>
                  </w:r>
                </w:p>
                <w:p w14:paraId="4BAFA36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提醒诊断功能，支持手工输入或模板输入，也可以另存为模板，提醒诊断可以输入客户的既往病史及当次检查的注意事项，也可以直接将项目的小结一键导入到提醒诊断中，医生诊台可以显示客户历次体检的提醒诊断，方便进行相互验证，避免医疗纠纷；</w:t>
                  </w:r>
                </w:p>
                <w:p w14:paraId="2C37728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历年历次结果对比功能，所有项目可自动列出近三次或手动添加体检次数查看多次体检详细结果，同时数值型结果可以在医生诊台通过曲线图表的方式查看每个项目历年结果的变化情况，影像类数据支持普通视图及对比视图；</w:t>
                  </w:r>
                </w:p>
                <w:p w14:paraId="3B12179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支持历年历次照片调阅对比，以防止替检情况发生；</w:t>
                  </w:r>
                </w:p>
                <w:p w14:paraId="558E80D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支持查看客户检前问卷内容；</w:t>
                  </w:r>
                </w:p>
                <w:p w14:paraId="0C08189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支持拒检、续检标识及报告先出；</w:t>
                  </w:r>
                </w:p>
                <w:p w14:paraId="3BDD139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支持锁屏功能；</w:t>
                  </w:r>
                </w:p>
              </w:tc>
            </w:tr>
            <w:tr w14:paraId="45F7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892" w:type="dxa"/>
                  <w:noWrap w:val="0"/>
                  <w:vAlign w:val="center"/>
                </w:tcPr>
                <w:p w14:paraId="657F7A5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主检医生平台</w:t>
                  </w:r>
                </w:p>
              </w:tc>
              <w:tc>
                <w:tcPr>
                  <w:tcW w:w="4580" w:type="dxa"/>
                  <w:gridSpan w:val="3"/>
                  <w:noWrap w:val="0"/>
                  <w:vAlign w:val="center"/>
                </w:tcPr>
                <w:p w14:paraId="132B225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支持初检、主检、总审三级管理，初检完成一些简单的、常识性报告修正；主检在初检的基础上，结合医生的临床经验，出具个性化、专业化的医学建议；总审审核把关；</w:t>
                  </w:r>
                </w:p>
                <w:p w14:paraId="1CFE7B4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支持直观显示客户历年体检情况，对多次体检客户至少自动显示最近三次的体检结果，数值型结果可显示历次结果曲线图，对于结果不齐的项目（含单项漏结果）及拒检、续检项目能直观显示；</w:t>
                  </w:r>
                </w:p>
                <w:p w14:paraId="4D5559E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支持个性化主检，主检建议可以根据性别、年龄段、体检类别等条件自动生成不同的建议，支持相关性的诊断结果自动或手动合并生成一个建议，以提高主检的工作效率和总检报告的质量； </w:t>
                  </w:r>
                </w:p>
                <w:p w14:paraId="6AE25EB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支持重要阳性结果自动放在最前面，也可手动调整阳性结果的位置，相应的建议自动改变顺序进行位置对应；</w:t>
                  </w:r>
                </w:p>
                <w:p w14:paraId="763966E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支持设置客户复查信息；</w:t>
                  </w:r>
                </w:p>
                <w:p w14:paraId="235D211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支持主检诊断字典自定义增删改，且不定期更新；</w:t>
                  </w:r>
                </w:p>
                <w:p w14:paraId="2099F17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支持主检任务分配、批量总检处理、主检进度查询、主检工作量统计及主检效率分析等；</w:t>
                  </w:r>
                </w:p>
                <w:p w14:paraId="4E70FDA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支持主检痕迹管理，可通过对比视图查看初检、主检及总审医生操作痕迹；</w:t>
                  </w:r>
                </w:p>
                <w:p w14:paraId="37420A1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支持同一客户按不同体检类别一键生成不同格式要求的总检报告；</w:t>
                  </w:r>
                </w:p>
                <w:p w14:paraId="3D95CAB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支持锁屏功能；</w:t>
                  </w:r>
                </w:p>
              </w:tc>
            </w:tr>
            <w:tr w14:paraId="720A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92" w:type="dxa"/>
                  <w:noWrap w:val="0"/>
                  <w:vAlign w:val="center"/>
                </w:tcPr>
                <w:p w14:paraId="3A8F058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体检完成登记</w:t>
                  </w:r>
                </w:p>
              </w:tc>
              <w:tc>
                <w:tcPr>
                  <w:tcW w:w="4580" w:type="dxa"/>
                  <w:gridSpan w:val="3"/>
                  <w:noWrap w:val="0"/>
                  <w:vAlign w:val="center"/>
                </w:tcPr>
                <w:p w14:paraId="1A3D35A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支持体检完成时记录客户项目拒检、续检及原因；</w:t>
                  </w:r>
                </w:p>
                <w:p w14:paraId="2B60446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支持记录客户报告领取方式（包括发放单位、邮寄、个人自取等）；</w:t>
                  </w:r>
                </w:p>
                <w:p w14:paraId="311F991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支持导引单电子化存档，且可以在前台开单、医生诊台、主检医生、报告打印等界面查阅导引单电子存档图片。</w:t>
                  </w:r>
                </w:p>
              </w:tc>
            </w:tr>
            <w:tr w14:paraId="71D4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72" w:type="dxa"/>
                  <w:gridSpan w:val="4"/>
                  <w:noWrap w:val="0"/>
                  <w:vAlign w:val="center"/>
                </w:tcPr>
                <w:p w14:paraId="5C5CC40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体检质控管理</w:t>
                  </w:r>
                </w:p>
              </w:tc>
            </w:tr>
            <w:tr w14:paraId="3B0C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92" w:type="dxa"/>
                  <w:noWrap w:val="0"/>
                  <w:vAlign w:val="center"/>
                </w:tcPr>
                <w:p w14:paraId="607F2C9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系统权限管理</w:t>
                  </w:r>
                </w:p>
              </w:tc>
              <w:tc>
                <w:tcPr>
                  <w:tcW w:w="4580" w:type="dxa"/>
                  <w:gridSpan w:val="3"/>
                  <w:noWrap w:val="0"/>
                  <w:vAlign w:val="center"/>
                </w:tcPr>
                <w:p w14:paraId="7E0C1AB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支持系统管理员为每个工作人员开通帐号并提供初始化密码；</w:t>
                  </w:r>
                  <w:r>
                    <w:rPr>
                      <w:rFonts w:hint="eastAsia" w:ascii="宋体" w:hAnsi="宋体" w:eastAsia="宋体" w:cs="宋体"/>
                      <w:color w:val="auto"/>
                      <w:sz w:val="21"/>
                      <w:szCs w:val="21"/>
                      <w:highlight w:val="none"/>
                      <w:lang w:eastAsia="zh-CN"/>
                    </w:rPr>
                    <w:t>支持密码策略设置，密码强制支持符合等保要求的强密码强制类型。</w:t>
                  </w:r>
                </w:p>
                <w:p w14:paraId="0128EEC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支持采用角色的方式进行分配权限，同一个工作岗位员工只需要选择一个岗位角色即可完成权限设置；</w:t>
                  </w:r>
                </w:p>
                <w:p w14:paraId="153F172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支持对离职及调离岗位人员设置帐号停用；</w:t>
                  </w:r>
                </w:p>
                <w:p w14:paraId="5E12520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支持权限管理机制，能够进行菜单权限管理、医生的科室权限限制、重要页面功能（如删除按钮权限）控制，对所有检查结果的改动具有合理的控制功能，防止检查结果的随意修改；</w:t>
                  </w:r>
                </w:p>
              </w:tc>
            </w:tr>
            <w:tr w14:paraId="42B7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92" w:type="dxa"/>
                  <w:noWrap w:val="0"/>
                  <w:vAlign w:val="center"/>
                </w:tcPr>
                <w:p w14:paraId="5A2FA92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体检类型</w:t>
                  </w:r>
                </w:p>
              </w:tc>
              <w:tc>
                <w:tcPr>
                  <w:tcW w:w="4580" w:type="dxa"/>
                  <w:gridSpan w:val="3"/>
                  <w:noWrap w:val="0"/>
                  <w:vAlign w:val="center"/>
                </w:tcPr>
                <w:p w14:paraId="3D91F13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健康体检（包括普通人员健康体检、干部保健体检、公务员体检、教师体检、学生体检、从业人员体检、证件体检、驾驶员体检、儿童体检、入托体检、运动员体检、征兵体检等）、职业病体检等多种体检类型；</w:t>
                  </w:r>
                </w:p>
              </w:tc>
            </w:tr>
            <w:tr w14:paraId="783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92" w:type="dxa"/>
                  <w:noWrap w:val="0"/>
                  <w:vAlign w:val="center"/>
                </w:tcPr>
                <w:p w14:paraId="7CB974F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档案管理</w:t>
                  </w:r>
                </w:p>
              </w:tc>
              <w:tc>
                <w:tcPr>
                  <w:tcW w:w="4580" w:type="dxa"/>
                  <w:gridSpan w:val="3"/>
                  <w:noWrap w:val="0"/>
                  <w:vAlign w:val="center"/>
                </w:tcPr>
                <w:p w14:paraId="6117092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支持体检档案号“一号制”功能，防止同一个人的多次体检使用不同的体检档案号，支持人员合并管理；</w:t>
                  </w:r>
                </w:p>
                <w:p w14:paraId="45574FB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支持医生诊台、主检医生诊台、客户中心等界面进行客户数据对比显示，数值型结果可以显示历年结果曲线图；</w:t>
                  </w:r>
                </w:p>
              </w:tc>
            </w:tr>
            <w:tr w14:paraId="5439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070DDC7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第三方电子报告</w:t>
                  </w:r>
                </w:p>
              </w:tc>
              <w:tc>
                <w:tcPr>
                  <w:tcW w:w="4580" w:type="dxa"/>
                  <w:gridSpan w:val="3"/>
                  <w:noWrap w:val="0"/>
                  <w:vAlign w:val="center"/>
                </w:tcPr>
                <w:p w14:paraId="4000D97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支持将第三方电子报告导入到体检系统，支持</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PDF、JPG、BMP等格式；</w:t>
                  </w:r>
                </w:p>
              </w:tc>
            </w:tr>
            <w:tr w14:paraId="42FA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92" w:type="dxa"/>
                  <w:noWrap w:val="0"/>
                  <w:vAlign w:val="center"/>
                </w:tcPr>
                <w:p w14:paraId="7A601A3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体检复核管理</w:t>
                  </w:r>
                </w:p>
              </w:tc>
              <w:tc>
                <w:tcPr>
                  <w:tcW w:w="4580" w:type="dxa"/>
                  <w:gridSpan w:val="3"/>
                  <w:noWrap w:val="0"/>
                  <w:vAlign w:val="center"/>
                </w:tcPr>
                <w:p w14:paraId="32E0459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支持体检结果复核及结果复核查询，支持按客户信息、检查日期、复核人、处理人、科室名称、复核状态、体检状态、处理状态等维度进行查询；</w:t>
                  </w:r>
                </w:p>
                <w:p w14:paraId="38376F2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支持个性化设置复核项目；</w:t>
                  </w:r>
                </w:p>
                <w:p w14:paraId="0774BC1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支持体检流程复核，医技科室、普检科室在检查后，系统可以进行结果交叉复核，严格查对，权责分明，有效杜绝医疗隐患；</w:t>
                  </w:r>
                </w:p>
              </w:tc>
            </w:tr>
            <w:tr w14:paraId="5DC4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92" w:type="dxa"/>
                  <w:noWrap w:val="0"/>
                  <w:vAlign w:val="center"/>
                </w:tcPr>
                <w:p w14:paraId="7A7BE16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差错警示功能</w:t>
                  </w:r>
                </w:p>
              </w:tc>
              <w:tc>
                <w:tcPr>
                  <w:tcW w:w="4580" w:type="dxa"/>
                  <w:gridSpan w:val="3"/>
                  <w:noWrap w:val="0"/>
                  <w:vAlign w:val="center"/>
                </w:tcPr>
                <w:p w14:paraId="4056424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支持纠错知识库建立功能，当报告中出现低级矛盾性错误（如历年体检身高超出合理范围）时系统可以自动提示；</w:t>
                  </w:r>
                </w:p>
              </w:tc>
            </w:tr>
            <w:tr w14:paraId="4BE2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728A7C6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危急值及阳性结果上报</w:t>
                  </w:r>
                </w:p>
              </w:tc>
              <w:tc>
                <w:tcPr>
                  <w:tcW w:w="4580" w:type="dxa"/>
                  <w:gridSpan w:val="3"/>
                  <w:noWrap w:val="0"/>
                  <w:vAlign w:val="center"/>
                </w:tcPr>
                <w:p w14:paraId="5E4AED4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支持危急值及阳性结果上报功能，可以在医生诊台界面直接上报，提高医生工作效率，检验类数值型结果根据系统设置可自动上报危急值及重要阳性；</w:t>
                  </w:r>
                </w:p>
              </w:tc>
            </w:tr>
            <w:tr w14:paraId="373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92" w:type="dxa"/>
                  <w:noWrap w:val="0"/>
                  <w:vAlign w:val="center"/>
                </w:tcPr>
                <w:p w14:paraId="7E56207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今日数据</w:t>
                  </w:r>
                </w:p>
              </w:tc>
              <w:tc>
                <w:tcPr>
                  <w:tcW w:w="4580" w:type="dxa"/>
                  <w:gridSpan w:val="3"/>
                  <w:noWrap w:val="0"/>
                  <w:vAlign w:val="center"/>
                </w:tcPr>
                <w:p w14:paraId="52A182A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支持实时显示体检中心动态数据，不同用户权限显示内容可通过权限控制，如当前体检中心压力图、当日客户到检分布情况、当日营收、当日在检单位、个人今日任务、通知公告、我的工单、重点关注客户等；</w:t>
                  </w:r>
                </w:p>
              </w:tc>
            </w:tr>
            <w:tr w14:paraId="485C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92" w:type="dxa"/>
                  <w:noWrap w:val="0"/>
                  <w:vAlign w:val="center"/>
                </w:tcPr>
                <w:p w14:paraId="104FFAB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AI工单管理</w:t>
                  </w:r>
                </w:p>
              </w:tc>
              <w:tc>
                <w:tcPr>
                  <w:tcW w:w="4580" w:type="dxa"/>
                  <w:gridSpan w:val="3"/>
                  <w:noWrap w:val="0"/>
                  <w:vAlign w:val="center"/>
                </w:tcPr>
                <w:p w14:paraId="29D8CBC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针对客户资料异常、结果输入超期、体检结果异常、报告总检超期、报告打印超期等任务类别，可以自动产生工单并推送给相关责任人，责任人可对工单可进行转交、拒绝、完成等状态处理。管理层人员可对所有工单进行实时查询监控，及时掌握重要任务完成进度；</w:t>
                  </w:r>
                </w:p>
              </w:tc>
            </w:tr>
            <w:tr w14:paraId="1985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3A2813E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系统操作痕迹管理</w:t>
                  </w:r>
                </w:p>
              </w:tc>
              <w:tc>
                <w:tcPr>
                  <w:tcW w:w="4580" w:type="dxa"/>
                  <w:gridSpan w:val="3"/>
                  <w:noWrap w:val="0"/>
                  <w:vAlign w:val="center"/>
                </w:tcPr>
                <w:p w14:paraId="42E80B6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支持记录并追溯操作日志，比如添加项目、删除结果、打印报告、修改资料等，可以有效规范医护人员的操作，避免客户资料损失；</w:t>
                  </w:r>
                </w:p>
                <w:p w14:paraId="3D81435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支持误删除的客户资料一键恢复。</w:t>
                  </w:r>
                </w:p>
              </w:tc>
            </w:tr>
            <w:tr w14:paraId="306E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72" w:type="dxa"/>
                  <w:gridSpan w:val="4"/>
                  <w:noWrap w:val="0"/>
                  <w:vAlign w:val="center"/>
                </w:tcPr>
                <w:p w14:paraId="7425475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体检报告管理</w:t>
                  </w:r>
                </w:p>
              </w:tc>
            </w:tr>
            <w:tr w14:paraId="6CB1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2EA0246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体检报告打印</w:t>
                  </w:r>
                </w:p>
              </w:tc>
              <w:tc>
                <w:tcPr>
                  <w:tcW w:w="4580" w:type="dxa"/>
                  <w:gridSpan w:val="3"/>
                  <w:noWrap w:val="0"/>
                  <w:vAlign w:val="center"/>
                </w:tcPr>
                <w:p w14:paraId="2D970E8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支持记录客户是否需要纸质报告，并提供单个报告打印和批量报告打印功能；</w:t>
                  </w:r>
                </w:p>
                <w:p w14:paraId="6FC1382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支持体检报告自定义导出Excel、</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PDF等格式文件；</w:t>
                  </w:r>
                </w:p>
              </w:tc>
            </w:tr>
            <w:tr w14:paraId="0684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2" w:type="dxa"/>
                  <w:noWrap w:val="0"/>
                  <w:vAlign w:val="center"/>
                </w:tcPr>
                <w:p w14:paraId="08CB420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健康证明打印</w:t>
                  </w:r>
                </w:p>
              </w:tc>
              <w:tc>
                <w:tcPr>
                  <w:tcW w:w="4580" w:type="dxa"/>
                  <w:gridSpan w:val="3"/>
                  <w:noWrap w:val="0"/>
                  <w:vAlign w:val="center"/>
                </w:tcPr>
                <w:p w14:paraId="2D4A1CE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支持自定义健康证明格式及打印；</w:t>
                  </w:r>
                </w:p>
              </w:tc>
            </w:tr>
            <w:tr w14:paraId="3B6E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1759535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报告复制</w:t>
                  </w:r>
                </w:p>
              </w:tc>
              <w:tc>
                <w:tcPr>
                  <w:tcW w:w="4580" w:type="dxa"/>
                  <w:gridSpan w:val="3"/>
                  <w:noWrap w:val="0"/>
                  <w:vAlign w:val="center"/>
                </w:tcPr>
                <w:p w14:paraId="468FE65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支持单个和批量报告复制功能，实现从上次体检结果中复制指定项目结果到本次体检项目中的功能；</w:t>
                  </w:r>
                </w:p>
              </w:tc>
            </w:tr>
            <w:tr w14:paraId="2C70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92" w:type="dxa"/>
                  <w:noWrap w:val="0"/>
                  <w:vAlign w:val="center"/>
                </w:tcPr>
                <w:p w14:paraId="7A0F8E4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单位体检统计分析报告</w:t>
                  </w:r>
                </w:p>
              </w:tc>
              <w:tc>
                <w:tcPr>
                  <w:tcW w:w="4580" w:type="dxa"/>
                  <w:gridSpan w:val="3"/>
                  <w:noWrap w:val="0"/>
                  <w:vAlign w:val="center"/>
                </w:tcPr>
                <w:p w14:paraId="707F8A5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支持自动生成单位体检汇总报告，包括封面、体检单位基本信息、整体阳性结果汇总、阳性结果分布情况、检出前十阳性结果统计、女性相关阳性结果统计、常见慢病情况统计、重要阳性结果指导意见、结尾等；</w:t>
                  </w:r>
                </w:p>
                <w:p w14:paraId="59BA9D3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支持根据不同体检单位情况差异化配置报告内容，生成的团体检报告可进行修改，修改之后可以保存在系统中，支持审核机制，且审核之后只有审核人才能再修改；</w:t>
                  </w:r>
                </w:p>
                <w:p w14:paraId="12E651A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支持同一单位生成多份单位体检报告，且可以在系统中存档及查询；</w:t>
                  </w:r>
                </w:p>
                <w:p w14:paraId="5D00970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支持导出</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PDF、Word格式电子档文件；</w:t>
                  </w:r>
                </w:p>
              </w:tc>
            </w:tr>
            <w:tr w14:paraId="301A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37716C9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仓储管理</w:t>
                  </w:r>
                </w:p>
              </w:tc>
              <w:tc>
                <w:tcPr>
                  <w:tcW w:w="4580" w:type="dxa"/>
                  <w:gridSpan w:val="3"/>
                  <w:noWrap w:val="0"/>
                  <w:vAlign w:val="center"/>
                </w:tcPr>
                <w:p w14:paraId="49BBBB9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支持体检报告及胶片仓储式管理，可在系统上进行报告发放、单页报告出入柜管理、交接班管理等；</w:t>
                  </w:r>
                </w:p>
              </w:tc>
            </w:tr>
            <w:tr w14:paraId="6AF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239A8EA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报告流转管理</w:t>
                  </w:r>
                </w:p>
              </w:tc>
              <w:tc>
                <w:tcPr>
                  <w:tcW w:w="4580" w:type="dxa"/>
                  <w:gridSpan w:val="3"/>
                  <w:noWrap w:val="0"/>
                  <w:vAlign w:val="center"/>
                </w:tcPr>
                <w:p w14:paraId="7C3A6C1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支持完善的纸质报告流转管理，可详细记录报告流转过程，可随时查看报告当前由何人保管以及存放在何处等；</w:t>
                  </w:r>
                </w:p>
              </w:tc>
            </w:tr>
            <w:tr w14:paraId="705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6A666E5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邮寄管理</w:t>
                  </w:r>
                </w:p>
              </w:tc>
              <w:tc>
                <w:tcPr>
                  <w:tcW w:w="4580" w:type="dxa"/>
                  <w:gridSpan w:val="3"/>
                  <w:noWrap w:val="0"/>
                  <w:vAlign w:val="center"/>
                </w:tcPr>
                <w:p w14:paraId="5EA8A9B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支持报告邮寄管理，系统可记录或调用客户的邮寄地址，并在后续流程中直接将该地址打印到快递单上，以提高工作效率及减少差错率，支持标识多个客户共寄一份快递；</w:t>
                  </w:r>
                </w:p>
              </w:tc>
            </w:tr>
            <w:tr w14:paraId="0B3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72" w:type="dxa"/>
                  <w:gridSpan w:val="4"/>
                  <w:noWrap w:val="0"/>
                  <w:vAlign w:val="center"/>
                </w:tcPr>
                <w:p w14:paraId="51C91A1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查询统计管理</w:t>
                  </w:r>
                </w:p>
              </w:tc>
            </w:tr>
            <w:tr w14:paraId="5D45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2" w:type="dxa"/>
                  <w:noWrap w:val="0"/>
                  <w:vAlign w:val="center"/>
                </w:tcPr>
                <w:p w14:paraId="78751AE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工作量统计</w:t>
                  </w:r>
                </w:p>
              </w:tc>
              <w:tc>
                <w:tcPr>
                  <w:tcW w:w="4580" w:type="dxa"/>
                  <w:gridSpan w:val="3"/>
                  <w:noWrap w:val="0"/>
                  <w:vAlign w:val="center"/>
                </w:tcPr>
                <w:p w14:paraId="043CB56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支持工作量统计，包括但不限于如下统计方式：</w:t>
                  </w:r>
                </w:p>
                <w:p w14:paraId="1B076BE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支持登记工作量统计，可区分个人体检和团单开单数；</w:t>
                  </w:r>
                </w:p>
                <w:p w14:paraId="2AC5543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支持采血工作量统计，可统计时间范围内每个抽血人员的工作量；</w:t>
                  </w:r>
                </w:p>
                <w:p w14:paraId="6D0184D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支持医生工作量统计，可按医生、诊室、时间段来统计医生工作量，包括检查项目数及金额；</w:t>
                  </w:r>
                </w:p>
                <w:p w14:paraId="0515465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支持主检医生工作量统计，可按医生、时间范围等条件统计初检医生、主检医生的工作量；</w:t>
                  </w:r>
                </w:p>
                <w:p w14:paraId="703A689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支持项目开单数量统计，可以统计指定项目在一定的时间范围内开出的总数；</w:t>
                  </w:r>
                </w:p>
                <w:p w14:paraId="787F733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支持项目人员清单统计，可以统计一定时间范围内选择了某个项目的所有人员清单；</w:t>
                  </w:r>
                </w:p>
                <w:p w14:paraId="375DF29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支持以Excel、Word、</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PDF等格式导出电子文档</w:t>
                  </w:r>
                  <w:r>
                    <w:rPr>
                      <w:rFonts w:hint="eastAsia" w:ascii="宋体" w:hAnsi="宋体" w:eastAsia="宋体" w:cs="宋体"/>
                      <w:color w:val="auto"/>
                      <w:sz w:val="21"/>
                      <w:szCs w:val="21"/>
                      <w:highlight w:val="none"/>
                      <w:lang w:eastAsia="zh-CN"/>
                    </w:rPr>
                    <w:t>。</w:t>
                  </w:r>
                </w:p>
              </w:tc>
            </w:tr>
            <w:tr w14:paraId="7973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92" w:type="dxa"/>
                  <w:noWrap w:val="0"/>
                  <w:vAlign w:val="center"/>
                </w:tcPr>
                <w:p w14:paraId="3B71D07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体检流程统计</w:t>
                  </w:r>
                </w:p>
              </w:tc>
              <w:tc>
                <w:tcPr>
                  <w:tcW w:w="4580" w:type="dxa"/>
                  <w:gridSpan w:val="3"/>
                  <w:noWrap w:val="0"/>
                  <w:vAlign w:val="center"/>
                </w:tcPr>
                <w:p w14:paraId="1D1C0B2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支持操作日志查询统计，可以查询到系统各种操作日志，如删除人员、删除项目、修改结果、新增项目、打印报告、取消主检等操作痕迹；</w:t>
                  </w:r>
                </w:p>
                <w:p w14:paraId="7DC591B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支持体检结果进度查询统计，可查询指定单位或日期范围的体检客户所有结果的完成情况，如检验结果有没有漏传、漏项等；</w:t>
                  </w:r>
                </w:p>
                <w:p w14:paraId="07840FE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支持单位到检查询统计，可查询单位客户到检情况，如已检客户清单、未检客户清单、客户体检项目详细清单、单位客户体检项目进度汇总等；</w:t>
                  </w:r>
                </w:p>
                <w:p w14:paraId="0AA851B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支持体检报告发放方式统计及套餐外加项统计；</w:t>
                  </w:r>
                </w:p>
                <w:p w14:paraId="06F8ED5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支持以Excel、Word、</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PDF等格式导出电子文档；</w:t>
                  </w:r>
                </w:p>
              </w:tc>
            </w:tr>
            <w:tr w14:paraId="6A66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892" w:type="dxa"/>
                  <w:noWrap w:val="0"/>
                  <w:vAlign w:val="center"/>
                </w:tcPr>
                <w:p w14:paraId="524576B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体检结果统计</w:t>
                  </w:r>
                </w:p>
              </w:tc>
              <w:tc>
                <w:tcPr>
                  <w:tcW w:w="4580" w:type="dxa"/>
                  <w:gridSpan w:val="3"/>
                  <w:noWrap w:val="0"/>
                  <w:vAlign w:val="center"/>
                </w:tcPr>
                <w:p w14:paraId="36FCAC4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支持自定义条件查询体检数据，并显示需要的其它数据，如查询血糖大于6.1的客户，并且将其糖化血红蛋白、甘油三酯、体检指数结果显示到查询页面中；</w:t>
                  </w:r>
                </w:p>
                <w:p w14:paraId="329B015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支持阳性上报统计，包括危急值、重要阳性、一般阳性人员清单；</w:t>
                  </w:r>
                </w:p>
                <w:p w14:paraId="2800D0A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支持阳性结果分布统计，可按年龄段、时间范围、性别、单位统计各种阳性结果的人数、检出率等数据；</w:t>
                  </w:r>
                </w:p>
                <w:p w14:paraId="1B0FE5C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支持阳性结果人员清单统计，可按年龄段、时间范围、性别、单位统计各种阳性结果的人员清单；</w:t>
                  </w:r>
                </w:p>
                <w:p w14:paraId="7BFFBF0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支持主检报告汇总统计，可按指定单位或时间范围将所有已主检客户的综述汇总统计显示；</w:t>
                  </w:r>
                </w:p>
                <w:p w14:paraId="7979FA5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支持以Excel、Word、</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PDF等格式导出电子文档；</w:t>
                  </w:r>
                </w:p>
              </w:tc>
            </w:tr>
            <w:tr w14:paraId="1458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892" w:type="dxa"/>
                  <w:noWrap w:val="0"/>
                  <w:vAlign w:val="center"/>
                </w:tcPr>
                <w:p w14:paraId="0F5A7A8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运营数据统计</w:t>
                  </w:r>
                </w:p>
              </w:tc>
              <w:tc>
                <w:tcPr>
                  <w:tcW w:w="4580" w:type="dxa"/>
                  <w:gridSpan w:val="3"/>
                  <w:noWrap w:val="0"/>
                  <w:vAlign w:val="center"/>
                </w:tcPr>
                <w:p w14:paraId="2DCDBDB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支持运营数据统计，包括但不限于如下统计方式：</w:t>
                  </w:r>
                </w:p>
                <w:p w14:paraId="7033CB9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支持体检金额统计，可统计每个客户的体检金额、实际金额、折扣、单位付费金额、个人付费金额等；</w:t>
                  </w:r>
                </w:p>
                <w:p w14:paraId="0DE2D56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支持业务量统计，可按单位、时间范围、体检类别等条件统计体检收入情况，包括合计的单位支付金额、个人支付金额、平均金额等；</w:t>
                  </w:r>
                </w:p>
                <w:p w14:paraId="3F8A1B1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支持客户分布情况统计，可按照各年龄段、性别统计客户体检金额、平均金额、自付金额等，以了解和分析各类人群体检消费习惯；</w:t>
                  </w:r>
                </w:p>
                <w:p w14:paraId="6DA3BC8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支持业务量对比统计，可按月、年对比统计体检人数、体检金额、平均金额情况；支持单位历年对比统计，可以统计同一单位历年到检情况对比，包括人数、体检金额、平均金额，以方便开展针对性营销活动；</w:t>
                  </w:r>
                </w:p>
                <w:p w14:paraId="0E2F364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支持体检项目销售统计，可以统计某时间范围内各个项目的销售数量、销售金额，依据从高到低进行排序；</w:t>
                  </w:r>
                </w:p>
                <w:p w14:paraId="328E89A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支持单位历年到检情况统计，可以统计历年来检单位到检情况，如去年来检过的，今年未到检的可一目了然显示，方便业务部门跟进了解；</w:t>
                  </w:r>
                </w:p>
                <w:p w14:paraId="288C2AD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支持以Excel、Word、</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PDF等格式导出电子文档；</w:t>
                  </w:r>
                </w:p>
                <w:p w14:paraId="4B61AAF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实现与医院运营BI平台的对接，通过视图或其他接口方式将数据传送至数据中心，集中在BI展示。</w:t>
                  </w:r>
                </w:p>
              </w:tc>
            </w:tr>
            <w:tr w14:paraId="346E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92" w:type="dxa"/>
                  <w:noWrap w:val="0"/>
                  <w:vAlign w:val="center"/>
                </w:tcPr>
                <w:p w14:paraId="4E038F9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财务相关统计</w:t>
                  </w:r>
                </w:p>
              </w:tc>
              <w:tc>
                <w:tcPr>
                  <w:tcW w:w="4580" w:type="dxa"/>
                  <w:gridSpan w:val="3"/>
                  <w:noWrap w:val="0"/>
                  <w:vAlign w:val="center"/>
                </w:tcPr>
                <w:p w14:paraId="68F5858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支持财务相关统计，包括但不限于如下统计方式：</w:t>
                  </w:r>
                </w:p>
                <w:p w14:paraId="3A8636B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支持多种收费结算模式，可按打折、套餐、固定金额等多种方式收费，提供收费员日结、月结数据统计；</w:t>
                  </w:r>
                </w:p>
                <w:p w14:paraId="78CDEFD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支持针对单位可以设置部分项目免费或单项价格优惠；</w:t>
                  </w:r>
                </w:p>
                <w:p w14:paraId="1458A28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支持现金支付、微信支付、支付宝支付、充值卡支付等多种支付形式；</w:t>
                  </w:r>
                </w:p>
                <w:p w14:paraId="2207B0B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支持单项退费及收费，支持发票管理，发票可自定义抬头，开票记录系统详细记录；</w:t>
                  </w:r>
                </w:p>
                <w:p w14:paraId="7CC465E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支持针对单位可按大单位或子单位分别结算，可分多次结算；支持可控制结算后单位不能新增人员及继续体检；</w:t>
                  </w:r>
                </w:p>
                <w:p w14:paraId="70B6D66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支持单位预结算统计，可按体检状态、性别、体检日期、结算状态等条件查询统计并导出数据；且支持根据体检进度按单位实检人数或实检项目等方式统计并导出数据；</w:t>
                  </w:r>
                </w:p>
                <w:p w14:paraId="7562978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支持单位结算统计，可根据结算日期、结算状态、是否开票等条件查询统计并导出数据。</w:t>
                  </w:r>
                </w:p>
                <w:p w14:paraId="74FCBCD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实现与医院运营BI平台的对接，通过视图或其他接口方式将数据传送至数据中心，集中在BI展示。</w:t>
                  </w:r>
                </w:p>
              </w:tc>
            </w:tr>
            <w:tr w14:paraId="1D00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72" w:type="dxa"/>
                  <w:gridSpan w:val="4"/>
                  <w:noWrap w:val="0"/>
                  <w:vAlign w:val="center"/>
                </w:tcPr>
                <w:p w14:paraId="5FFC3E6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外检管理</w:t>
                  </w:r>
                </w:p>
              </w:tc>
            </w:tr>
            <w:tr w14:paraId="3B18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72" w:type="dxa"/>
                  <w:gridSpan w:val="4"/>
                  <w:noWrap w:val="0"/>
                  <w:vAlign w:val="center"/>
                </w:tcPr>
                <w:p w14:paraId="2725042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支持院内部署前置机，外出体检时，可通过互联网访问前置机实现远程登录体检管理系统，实现院内院外数据实时互联互通。</w:t>
                  </w:r>
                </w:p>
              </w:tc>
            </w:tr>
            <w:tr w14:paraId="4B68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72" w:type="dxa"/>
                  <w:gridSpan w:val="4"/>
                  <w:noWrap w:val="0"/>
                  <w:vAlign w:val="center"/>
                </w:tcPr>
                <w:p w14:paraId="5B47BDF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第三方接口管理</w:t>
                  </w:r>
                </w:p>
              </w:tc>
            </w:tr>
            <w:tr w14:paraId="5C6E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2F9668C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系统接口</w:t>
                  </w:r>
                </w:p>
              </w:tc>
              <w:tc>
                <w:tcPr>
                  <w:tcW w:w="4580" w:type="dxa"/>
                  <w:gridSpan w:val="3"/>
                  <w:noWrap w:val="0"/>
                  <w:vAlign w:val="center"/>
                </w:tcPr>
                <w:p w14:paraId="1826F0C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实现</w:t>
                  </w:r>
                  <w:r>
                    <w:rPr>
                      <w:rFonts w:hint="eastAsia" w:ascii="宋体" w:hAnsi="宋体" w:eastAsia="宋体" w:cs="宋体"/>
                      <w:color w:val="auto"/>
                      <w:sz w:val="21"/>
                      <w:szCs w:val="21"/>
                      <w:highlight w:val="none"/>
                    </w:rPr>
                    <w:t>与医院</w:t>
                  </w:r>
                  <w:r>
                    <w:rPr>
                      <w:rFonts w:hint="eastAsia" w:ascii="宋体" w:hAnsi="宋体" w:eastAsia="宋体" w:cs="宋体"/>
                      <w:color w:val="auto"/>
                      <w:sz w:val="21"/>
                      <w:szCs w:val="21"/>
                      <w:highlight w:val="none"/>
                      <w:lang w:eastAsia="zh-CN"/>
                    </w:rPr>
                    <w:t>的智业医疗信息</w:t>
                  </w:r>
                  <w:r>
                    <w:rPr>
                      <w:rFonts w:hint="eastAsia" w:ascii="宋体" w:hAnsi="宋体" w:eastAsia="宋体" w:cs="宋体"/>
                      <w:color w:val="auto"/>
                      <w:sz w:val="21"/>
                      <w:szCs w:val="21"/>
                      <w:highlight w:val="none"/>
                    </w:rPr>
                    <w:t>集成平台系统</w:t>
                  </w:r>
                  <w:r>
                    <w:rPr>
                      <w:rFonts w:hint="eastAsia" w:ascii="宋体" w:hAnsi="宋体" w:eastAsia="宋体" w:cs="宋体"/>
                      <w:color w:val="auto"/>
                      <w:sz w:val="21"/>
                      <w:szCs w:val="21"/>
                      <w:highlight w:val="none"/>
                      <w:lang w:eastAsia="zh-CN"/>
                    </w:rPr>
                    <w:t>对接；</w:t>
                  </w:r>
                  <w:r>
                    <w:rPr>
                      <w:rFonts w:hint="eastAsia" w:ascii="宋体" w:hAnsi="宋体" w:eastAsia="宋体" w:cs="宋体"/>
                      <w:color w:val="auto"/>
                      <w:sz w:val="21"/>
                      <w:szCs w:val="21"/>
                      <w:highlight w:val="none"/>
                      <w:lang w:val="en-US" w:eastAsia="zh-CN"/>
                    </w:rPr>
                    <w:t>实现体检数据与数据中心的交互；</w:t>
                  </w:r>
                  <w:r>
                    <w:rPr>
                      <w:rFonts w:hint="eastAsia" w:ascii="宋体" w:hAnsi="宋体" w:eastAsia="宋体" w:cs="宋体"/>
                      <w:color w:val="auto"/>
                      <w:sz w:val="21"/>
                      <w:szCs w:val="21"/>
                      <w:highlight w:val="none"/>
                      <w:lang w:eastAsia="zh-CN"/>
                    </w:rPr>
                    <w:t>实现包括但不限于</w:t>
                  </w:r>
                  <w:r>
                    <w:rPr>
                      <w:rFonts w:hint="eastAsia" w:ascii="宋体" w:hAnsi="宋体" w:eastAsia="宋体" w:cs="宋体"/>
                      <w:color w:val="auto"/>
                      <w:sz w:val="21"/>
                      <w:szCs w:val="21"/>
                      <w:highlight w:val="none"/>
                    </w:rPr>
                    <w:t>与医院</w:t>
                  </w:r>
                  <w:r>
                    <w:rPr>
                      <w:rFonts w:hint="eastAsia" w:ascii="宋体" w:hAnsi="宋体" w:eastAsia="宋体" w:cs="宋体"/>
                      <w:color w:val="auto"/>
                      <w:sz w:val="21"/>
                      <w:szCs w:val="21"/>
                      <w:highlight w:val="none"/>
                      <w:lang w:eastAsia="zh-CN"/>
                    </w:rPr>
                    <w:t>的智业医院信息管理信息系统（</w:t>
                  </w:r>
                  <w:r>
                    <w:rPr>
                      <w:rFonts w:hint="eastAsia" w:ascii="宋体" w:hAnsi="宋体" w:eastAsia="宋体" w:cs="宋体"/>
                      <w:color w:val="auto"/>
                      <w:sz w:val="21"/>
                      <w:szCs w:val="21"/>
                      <w:highlight w:val="none"/>
                      <w:lang w:val="en-US" w:eastAsia="zh-CN"/>
                    </w:rPr>
                    <w:t>HIS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智业电子病历系统</w:t>
                  </w:r>
                  <w:r>
                    <w:rPr>
                      <w:rFonts w:hint="eastAsia" w:ascii="宋体" w:hAnsi="宋体" w:eastAsia="宋体" w:cs="宋体"/>
                      <w:color w:val="auto"/>
                      <w:sz w:val="21"/>
                      <w:szCs w:val="21"/>
                      <w:highlight w:val="none"/>
                      <w:lang w:val="en-US" w:eastAsia="zh-CN"/>
                    </w:rPr>
                    <w:t>(EMR)、创惠临床医学检验信息管理系统（</w:t>
                  </w:r>
                  <w:r>
                    <w:rPr>
                      <w:rFonts w:hint="eastAsia" w:ascii="宋体" w:hAnsi="宋体" w:eastAsia="宋体" w:cs="宋体"/>
                      <w:color w:val="auto"/>
                      <w:sz w:val="21"/>
                      <w:szCs w:val="21"/>
                      <w:highlight w:val="none"/>
                    </w:rPr>
                    <w:t>LIS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易联众临床医学影像信息管理系统（</w:t>
                  </w:r>
                  <w:r>
                    <w:rPr>
                      <w:rFonts w:hint="eastAsia" w:ascii="宋体" w:hAnsi="宋体" w:eastAsia="宋体" w:cs="宋体"/>
                      <w:color w:val="auto"/>
                      <w:sz w:val="21"/>
                      <w:szCs w:val="21"/>
                      <w:highlight w:val="none"/>
                    </w:rPr>
                    <w:t>PACS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纳龙心电与电生理网络系统</w:t>
                  </w:r>
                  <w:r>
                    <w:rPr>
                      <w:rFonts w:hint="eastAsia" w:ascii="宋体" w:hAnsi="宋体" w:eastAsia="宋体" w:cs="宋体"/>
                      <w:color w:val="auto"/>
                      <w:sz w:val="21"/>
                      <w:szCs w:val="21"/>
                      <w:highlight w:val="none"/>
                    </w:rPr>
                    <w:t>、病理</w:t>
                  </w:r>
                  <w:r>
                    <w:rPr>
                      <w:rFonts w:hint="eastAsia" w:ascii="宋体" w:hAnsi="宋体" w:eastAsia="宋体" w:cs="宋体"/>
                      <w:color w:val="auto"/>
                      <w:sz w:val="21"/>
                      <w:szCs w:val="21"/>
                      <w:highlight w:val="none"/>
                      <w:lang w:eastAsia="zh-CN"/>
                    </w:rPr>
                    <w:t>全流程</w:t>
                  </w:r>
                  <w:r>
                    <w:rPr>
                      <w:rFonts w:hint="eastAsia" w:ascii="宋体" w:hAnsi="宋体" w:eastAsia="宋体" w:cs="宋体"/>
                      <w:color w:val="auto"/>
                      <w:sz w:val="21"/>
                      <w:szCs w:val="21"/>
                      <w:highlight w:val="none"/>
                    </w:rPr>
                    <w:t>信息管理</w:t>
                  </w:r>
                  <w:r>
                    <w:rPr>
                      <w:rFonts w:hint="eastAsia" w:ascii="宋体" w:hAnsi="宋体" w:eastAsia="宋体" w:cs="宋体"/>
                      <w:color w:val="auto"/>
                      <w:sz w:val="21"/>
                      <w:szCs w:val="21"/>
                      <w:highlight w:val="none"/>
                      <w:lang w:eastAsia="zh-CN"/>
                    </w:rPr>
                    <w:t>系统、</w:t>
                  </w:r>
                  <w:r>
                    <w:rPr>
                      <w:rFonts w:hint="eastAsia" w:ascii="宋体" w:hAnsi="宋体" w:eastAsia="宋体" w:cs="宋体"/>
                      <w:color w:val="auto"/>
                      <w:sz w:val="21"/>
                      <w:szCs w:val="21"/>
                      <w:highlight w:val="none"/>
                      <w:lang w:val="en-US" w:eastAsia="zh-CN"/>
                    </w:rPr>
                    <w:t>医防融合慢病管理平台、医信签电子签名系统、财政电子票据、国家医保管理系统、广西和湛互联网医院系统、智业运营决策支持系统、亿联康优呼吸肺功能检查综合信息管理系统、智业统一支付对账平台、自治区健康体检监督管理系统等系统的对接，实现数据交互；包括与各系统对接的所有接口费用，包括各种设备接入费用。</w:t>
                  </w:r>
                </w:p>
              </w:tc>
            </w:tr>
            <w:tr w14:paraId="7F89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7AD2171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仪器设备接口</w:t>
                  </w:r>
                </w:p>
              </w:tc>
              <w:tc>
                <w:tcPr>
                  <w:tcW w:w="4580" w:type="dxa"/>
                  <w:gridSpan w:val="3"/>
                  <w:noWrap w:val="0"/>
                  <w:vAlign w:val="center"/>
                </w:tcPr>
                <w:p w14:paraId="7C06244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支持与体检中心现有仪器设备接口（如身高体重、血压、动脉硬化、人体成分、骨密度、碳呼气实验等），能获取图片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文字报告</w:t>
                  </w:r>
                  <w:r>
                    <w:rPr>
                      <w:rFonts w:hint="eastAsia" w:ascii="宋体" w:hAnsi="宋体" w:eastAsia="宋体" w:cs="宋体"/>
                      <w:color w:val="auto"/>
                      <w:sz w:val="21"/>
                      <w:szCs w:val="21"/>
                      <w:highlight w:val="none"/>
                      <w:lang w:val="en-US" w:eastAsia="zh-CN"/>
                    </w:rPr>
                    <w:t>及结构化报告结果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包括设备各系统对接的所有接口费用。并且承诺系统维保期间，负责接入健康管理中心新增的各种体检设备，接入费用包含在竞标报价中</w:t>
                  </w:r>
                  <w:r>
                    <w:rPr>
                      <w:rFonts w:hint="eastAsia" w:ascii="宋体" w:hAnsi="宋体" w:eastAsia="宋体" w:cs="宋体"/>
                      <w:b/>
                      <w:bCs/>
                      <w:color w:val="auto"/>
                      <w:sz w:val="21"/>
                      <w:szCs w:val="21"/>
                      <w:highlight w:val="none"/>
                      <w:lang w:val="en-US" w:eastAsia="zh-CN"/>
                    </w:rPr>
                    <w:t>（需在响应文件中提供承诺函）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tc>
            </w:tr>
            <w:tr w14:paraId="7A98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2" w:type="dxa"/>
                  <w:gridSpan w:val="4"/>
                  <w:noWrap w:val="0"/>
                  <w:vAlign w:val="center"/>
                </w:tcPr>
                <w:p w14:paraId="3D6C3AD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短信微信管理</w:t>
                  </w:r>
                </w:p>
              </w:tc>
            </w:tr>
            <w:tr w14:paraId="3289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noWrap w:val="0"/>
                  <w:vAlign w:val="center"/>
                </w:tcPr>
                <w:p w14:paraId="60A7D5A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模板管理</w:t>
                  </w:r>
                </w:p>
              </w:tc>
              <w:tc>
                <w:tcPr>
                  <w:tcW w:w="4580" w:type="dxa"/>
                  <w:gridSpan w:val="3"/>
                  <w:noWrap w:val="0"/>
                  <w:vAlign w:val="center"/>
                </w:tcPr>
                <w:p w14:paraId="0CA2815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支持在系统自带的短信模板及微信通知模板基础上自定义维护；</w:t>
                  </w:r>
                </w:p>
              </w:tc>
            </w:tr>
            <w:tr w14:paraId="7C25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635F916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群组设置</w:t>
                  </w:r>
                </w:p>
              </w:tc>
              <w:tc>
                <w:tcPr>
                  <w:tcW w:w="4580" w:type="dxa"/>
                  <w:gridSpan w:val="3"/>
                  <w:noWrap w:val="0"/>
                  <w:vAlign w:val="center"/>
                </w:tcPr>
                <w:p w14:paraId="4A24D0C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支持按业务需要针对客户或体检中心工作人员设置群组，以实现消息按群组批量发送功能；</w:t>
                  </w:r>
                </w:p>
              </w:tc>
            </w:tr>
            <w:tr w14:paraId="34A3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noWrap w:val="0"/>
                  <w:vAlign w:val="center"/>
                </w:tcPr>
                <w:p w14:paraId="274197E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通知方案设置</w:t>
                  </w:r>
                </w:p>
              </w:tc>
              <w:tc>
                <w:tcPr>
                  <w:tcW w:w="4580" w:type="dxa"/>
                  <w:gridSpan w:val="3"/>
                  <w:noWrap w:val="0"/>
                  <w:vAlign w:val="center"/>
                </w:tcPr>
                <w:p w14:paraId="5B66FF5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支持通知方案自定义设置，如VIP客户到访通知方案设置，方便更好的做好客户接待工作；</w:t>
                  </w:r>
                </w:p>
              </w:tc>
            </w:tr>
            <w:tr w14:paraId="41C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2" w:type="dxa"/>
                  <w:noWrap w:val="0"/>
                  <w:vAlign w:val="center"/>
                </w:tcPr>
                <w:p w14:paraId="3D2977C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消息发送</w:t>
                  </w:r>
                </w:p>
              </w:tc>
              <w:tc>
                <w:tcPr>
                  <w:tcW w:w="4580" w:type="dxa"/>
                  <w:gridSpan w:val="3"/>
                  <w:noWrap w:val="0"/>
                  <w:vAlign w:val="center"/>
                </w:tcPr>
                <w:p w14:paraId="782C7E1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支持单条、批量短信发送，可设置短信发送时间，可查看客户短信回复情况。</w:t>
                  </w:r>
                </w:p>
              </w:tc>
            </w:tr>
            <w:tr w14:paraId="3785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208F7AA5">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职业病体检管理系统功能要求</w:t>
                  </w:r>
                </w:p>
              </w:tc>
            </w:tr>
            <w:tr w14:paraId="7DBA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92" w:type="dxa"/>
                  <w:noWrap w:val="0"/>
                  <w:vAlign w:val="center"/>
                </w:tcPr>
                <w:p w14:paraId="68FD669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基础资料维护</w:t>
                  </w:r>
                </w:p>
              </w:tc>
              <w:tc>
                <w:tcPr>
                  <w:tcW w:w="4580" w:type="dxa"/>
                  <w:gridSpan w:val="3"/>
                  <w:noWrap w:val="0"/>
                  <w:vAlign w:val="center"/>
                </w:tcPr>
                <w:p w14:paraId="44EE4A7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职业体检工种设置、放射工种类型设置、危害因素种类设置、危害因素设置、职业病种类设置、目标疾病设置、职业病症状设置、职业病评价依据设置、听力修正值设置、主检输入模板设置、职业病体检结论设置、职业病体检报告编制等；</w:t>
                  </w:r>
                </w:p>
              </w:tc>
            </w:tr>
            <w:tr w14:paraId="791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92" w:type="dxa"/>
                  <w:noWrap w:val="0"/>
                  <w:vAlign w:val="center"/>
                </w:tcPr>
                <w:p w14:paraId="538565B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职业病体检登记</w:t>
                  </w:r>
                </w:p>
              </w:tc>
              <w:tc>
                <w:tcPr>
                  <w:tcW w:w="4580" w:type="dxa"/>
                  <w:gridSpan w:val="3"/>
                  <w:noWrap w:val="0"/>
                  <w:vAlign w:val="center"/>
                </w:tcPr>
                <w:p w14:paraId="703C0B6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支持通过预约信息导入、Excel批量导入等方式实现体检人员预登记；</w:t>
                  </w:r>
                </w:p>
                <w:p w14:paraId="42CED02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支持通过手工输入、身份证识别等方式确认登记，快捷选择体检项目及接害因素；</w:t>
                  </w:r>
                </w:p>
                <w:p w14:paraId="3CA7C6E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支持根据接害因素自动匹配必检项目；</w:t>
                  </w:r>
                </w:p>
                <w:p w14:paraId="387C910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支持职业性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tn=50000022_hao_pg&amp;wd=%E8%81%8C%E4%B8%9A%E6%80%A7%E5%B0%98%E8%82%BA%E7%97%85&amp;usm=6&amp;ie=utf-8&amp;rsv_pq=cb96a6710004cd3d&amp;oq=%E8%81%8C%E4%B8%9A%E7%97%85%E7%B1%BB%E5%9E%8B%E6%9C%89%E5%93%AA%E4%BA%9B&amp;rsv_t=5c00AJxUpMd2sfpBPRXCdESIvntTaGTUWGeodjzLok4sDoPILniLtZ3gALVHmTcEz1JcTnBc&amp;rsv_dl=re_dqa_generate&amp;sa=re_dqa_generate" \t "https://www.baidu.com/_self"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职业性尘肺病</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tn=50000022_hao_pg&amp;wd=%E8%81%8C%E4%B8%9A%E6%80%A7%E6%94%BE%E5%B0%84%E7%97%85&amp;usm=6&amp;ie=utf-8&amp;rsv_pq=cb96a6710004cd3d&amp;oq=%E8%81%8C%E4%B8%9A%E7%97%85%E7%B1%BB%E5%9E%8B%E6%9C%89%E5%93%AA%E4%BA%9B&amp;rsv_t=1b65jeqWGToxcHLOia8Ua+HlWrUTq0jjfEm3vlBNSU4RHZUaWj/N+K6UmtrzVdAgcggqV0jJ&amp;rsv_dl=re_dqa_generate&amp;sa=re_dqa_generate" \t "https://www.baidu.com/_self"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职业性放射病</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tn=50000022_hao_pg&amp;wd=%E8%81%8C%E4%B8%9A%E6%80%A7%E5%8C%96%E5%AD%A6%E4%B8%AD%E6%AF%92&amp;usm=6&amp;ie=utf-8&amp;rsv_pq=cb96a6710004cd3d&amp;oq=%E8%81%8C%E4%B8%9A%E7%97%85%E7%B1%BB%E5%9E%8B%E6%9C%89%E5%93%AA%E4%BA%9B&amp;rsv_t=15abR156zXuXWU92GwEynBTZ09h5m06if994bVD/6SO8Tfjm5oG30lSzES+DM6RSEOyAUvgU&amp;rsv_dl=re_dqa_generate&amp;sa=re_dqa_generate" \t "https://www.baidu.com/_self"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职业性化学中毒</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tn=50000022_hao_pg&amp;wd=%E8%81%8C%E4%B8%9A%E6%80%A7%E7%9A%AE%E8%82%A4%E7%97%85&amp;usm=6&amp;ie=utf-8&amp;rsv_pq=cb96a6710004cd3d&amp;oq=%E8%81%8C%E4%B8%9A%E7%97%85%E7%B1%BB%E5%9E%8B%E6%9C%89%E5%93%AA%E4%BA%9B&amp;rsv_t=3f4aZe3x/V6k5O03yUkIJR61FDx21NqjUblRGP632ettSuuf+MhDlhfvTVK5Q6JHqiQw82D7&amp;rsv_dl=re_dqa_generate&amp;sa=re_dqa_generate" \t "https://www.baidu.com/_self"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职业性皮肤病</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tn=50000022_hao_pg&amp;wd=%E8%81%8C%E4%B8%9A%E6%80%A7%E8%80%B3%E9%BC%BB%E5%96%89%E7%96%BE%E7%97%85&amp;usm=6&amp;ie=utf-8&amp;rsv_pq=cb96a6710004cd3d&amp;oq=%E8%81%8C%E4%B8%9A%E7%97%85%E7%B1%BB%E5%9E%8B%E6%9C%89%E5%93%AA%E4%BA%9B&amp;rsv_t=24f04VktzUaU3rPgKDGqdlMeFQKgk3cJy2qAshq6RTfxRAco2v3kfMwtEPfUY9HOHiIAtoOy&amp;rsv_dl=re_dqa_generate&amp;sa=re_dqa_generate" \t "https://www.baidu.com/_self"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职业性耳鼻喉疾病</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等多种类型职业病。</w:t>
                  </w:r>
                </w:p>
              </w:tc>
            </w:tr>
            <w:tr w14:paraId="67EC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2E16A3B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职业体检检前问诊</w:t>
                  </w:r>
                </w:p>
              </w:tc>
              <w:tc>
                <w:tcPr>
                  <w:tcW w:w="4580" w:type="dxa"/>
                  <w:gridSpan w:val="3"/>
                  <w:noWrap w:val="0"/>
                  <w:vAlign w:val="center"/>
                </w:tcPr>
                <w:p w14:paraId="2E2E713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支持职业病体检检前问诊，严格遵循GBZ-188标准，可快速输入客户问卷结果；</w:t>
                  </w:r>
                </w:p>
              </w:tc>
            </w:tr>
            <w:tr w14:paraId="07C3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1FD500E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表格打印</w:t>
                  </w:r>
                </w:p>
              </w:tc>
              <w:tc>
                <w:tcPr>
                  <w:tcW w:w="4580" w:type="dxa"/>
                  <w:gridSpan w:val="3"/>
                  <w:noWrap w:val="0"/>
                  <w:vAlign w:val="center"/>
                </w:tcPr>
                <w:p w14:paraId="3AD8815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支持根据套餐情况打印出相应的体检指引单、检查申请单、职业病问卷表格、复查通知单、疑似职业病通知单等；</w:t>
                  </w:r>
                </w:p>
              </w:tc>
            </w:tr>
            <w:tr w14:paraId="04F3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000A127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电测听结果录入</w:t>
                  </w:r>
                </w:p>
              </w:tc>
              <w:tc>
                <w:tcPr>
                  <w:tcW w:w="4580" w:type="dxa"/>
                  <w:gridSpan w:val="3"/>
                  <w:noWrap w:val="0"/>
                  <w:vAlign w:val="center"/>
                </w:tcPr>
                <w:p w14:paraId="1DD32D8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支持电测听结果录入功能，可自动生成电测听检查结论及图文报告；</w:t>
                  </w:r>
                </w:p>
              </w:tc>
            </w:tr>
            <w:tr w14:paraId="3B4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1B99652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科室医生诊台</w:t>
                  </w:r>
                </w:p>
              </w:tc>
              <w:tc>
                <w:tcPr>
                  <w:tcW w:w="4580" w:type="dxa"/>
                  <w:gridSpan w:val="3"/>
                  <w:noWrap w:val="0"/>
                  <w:vAlign w:val="center"/>
                </w:tcPr>
                <w:p w14:paraId="6564373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支持通过指引单条码、体检编号等方式快速获取人员信息，支持模板化快速录入、默认结果正常等方式，尽量减少科室人员工作量；</w:t>
                  </w:r>
                </w:p>
              </w:tc>
            </w:tr>
            <w:tr w14:paraId="0E75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61FAD1F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主检平台</w:t>
                  </w:r>
                </w:p>
              </w:tc>
              <w:tc>
                <w:tcPr>
                  <w:tcW w:w="4580" w:type="dxa"/>
                  <w:gridSpan w:val="3"/>
                  <w:noWrap w:val="0"/>
                  <w:vAlign w:val="center"/>
                </w:tcPr>
                <w:p w14:paraId="0C0FEEF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支持各科室结果自动汇总并生成异常诊断及建议，支持个性化总检，可同时生成职业病总检结论、建议和健康体检结论、建议；</w:t>
                  </w:r>
                </w:p>
              </w:tc>
            </w:tr>
            <w:tr w14:paraId="5737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021E687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报告打印</w:t>
                  </w:r>
                </w:p>
              </w:tc>
              <w:tc>
                <w:tcPr>
                  <w:tcW w:w="4580" w:type="dxa"/>
                  <w:gridSpan w:val="3"/>
                  <w:noWrap w:val="0"/>
                  <w:vAlign w:val="center"/>
                </w:tcPr>
                <w:p w14:paraId="6C1E623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支持单个报告打印和批量报告打印功能，支持</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PDF格式报告导出；</w:t>
                  </w:r>
                </w:p>
              </w:tc>
            </w:tr>
            <w:tr w14:paraId="14E2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4776CC1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数据查询</w:t>
                  </w:r>
                </w:p>
              </w:tc>
              <w:tc>
                <w:tcPr>
                  <w:tcW w:w="4580" w:type="dxa"/>
                  <w:gridSpan w:val="3"/>
                  <w:noWrap w:val="0"/>
                  <w:vAlign w:val="center"/>
                </w:tcPr>
                <w:p w14:paraId="35A474F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支持各种查询统计报表，并导出EXCEL、</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PDF、WORD等格式电子文件；</w:t>
                  </w:r>
                </w:p>
              </w:tc>
            </w:tr>
            <w:tr w14:paraId="25E6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109080B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接口平台</w:t>
                  </w:r>
                </w:p>
              </w:tc>
              <w:tc>
                <w:tcPr>
                  <w:tcW w:w="4580" w:type="dxa"/>
                  <w:gridSpan w:val="3"/>
                  <w:noWrap w:val="0"/>
                  <w:vAlign w:val="center"/>
                </w:tcPr>
                <w:p w14:paraId="3AB59B5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实现</w:t>
                  </w:r>
                  <w:r>
                    <w:rPr>
                      <w:rFonts w:hint="eastAsia" w:ascii="宋体" w:hAnsi="宋体" w:eastAsia="宋体" w:cs="宋体"/>
                      <w:color w:val="auto"/>
                      <w:sz w:val="21"/>
                      <w:szCs w:val="21"/>
                      <w:highlight w:val="none"/>
                    </w:rPr>
                    <w:t>与省级职业病数据平台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目前使用的是</w:t>
                  </w:r>
                  <w:r>
                    <w:rPr>
                      <w:rFonts w:hint="eastAsia" w:ascii="宋体" w:hAnsi="宋体" w:eastAsia="宋体" w:cs="宋体"/>
                      <w:color w:val="auto"/>
                      <w:sz w:val="21"/>
                      <w:szCs w:val="21"/>
                      <w:highlight w:val="none"/>
                      <w:lang w:eastAsia="zh-CN"/>
                    </w:rPr>
                    <w:t>河北网星）</w:t>
                  </w:r>
                  <w:r>
                    <w:rPr>
                      <w:rFonts w:hint="eastAsia" w:ascii="宋体" w:hAnsi="宋体" w:eastAsia="宋体" w:cs="宋体"/>
                      <w:color w:val="auto"/>
                      <w:sz w:val="21"/>
                      <w:szCs w:val="21"/>
                      <w:highlight w:val="none"/>
                    </w:rPr>
                    <w:t>、国家职业病平台的</w:t>
                  </w:r>
                  <w:r>
                    <w:rPr>
                      <w:rFonts w:hint="eastAsia" w:ascii="宋体" w:hAnsi="宋体" w:eastAsia="宋体" w:cs="宋体"/>
                      <w:color w:val="auto"/>
                      <w:sz w:val="21"/>
                      <w:szCs w:val="21"/>
                      <w:highlight w:val="none"/>
                      <w:lang w:eastAsia="zh-CN"/>
                    </w:rPr>
                    <w:t>对接，实现</w:t>
                  </w:r>
                  <w:r>
                    <w:rPr>
                      <w:rFonts w:hint="eastAsia" w:ascii="宋体" w:hAnsi="宋体" w:eastAsia="宋体" w:cs="宋体"/>
                      <w:color w:val="auto"/>
                      <w:sz w:val="21"/>
                      <w:szCs w:val="21"/>
                      <w:highlight w:val="none"/>
                    </w:rPr>
                    <w:t>数据</w:t>
                  </w:r>
                  <w:r>
                    <w:rPr>
                      <w:rFonts w:hint="eastAsia" w:ascii="宋体" w:hAnsi="宋体" w:eastAsia="宋体" w:cs="宋体"/>
                      <w:color w:val="auto"/>
                      <w:sz w:val="21"/>
                      <w:szCs w:val="21"/>
                      <w:highlight w:val="none"/>
                      <w:lang w:eastAsia="zh-CN"/>
                    </w:rPr>
                    <w:t>交互</w:t>
                  </w:r>
                  <w:r>
                    <w:rPr>
                      <w:rFonts w:hint="eastAsia" w:ascii="宋体" w:hAnsi="宋体" w:eastAsia="宋体" w:cs="宋体"/>
                      <w:color w:val="auto"/>
                      <w:sz w:val="21"/>
                      <w:szCs w:val="21"/>
                      <w:highlight w:val="none"/>
                    </w:rPr>
                    <w:t>。</w:t>
                  </w:r>
                </w:p>
              </w:tc>
            </w:tr>
            <w:tr w14:paraId="79FE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59D5E051">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rPr>
                    <w:t>智能导检系统功能要求</w:t>
                  </w:r>
                </w:p>
              </w:tc>
            </w:tr>
            <w:tr w14:paraId="48C4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6AF5E7A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1、医护管理端</w:t>
                  </w:r>
                </w:p>
              </w:tc>
            </w:tr>
            <w:tr w14:paraId="350D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53D0FAF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系统设置</w:t>
                  </w:r>
                </w:p>
              </w:tc>
              <w:tc>
                <w:tcPr>
                  <w:tcW w:w="4580" w:type="dxa"/>
                  <w:gridSpan w:val="3"/>
                  <w:noWrap w:val="0"/>
                  <w:vAlign w:val="center"/>
                </w:tcPr>
                <w:p w14:paraId="2F09FF9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支持用户多角色、多权限配置管理；</w:t>
                  </w:r>
                </w:p>
                <w:p w14:paraId="3C02D9C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支持体检诊台设置、体检区域设置、导检屏幕设置、体检检线设置等；</w:t>
                  </w:r>
                </w:p>
              </w:tc>
            </w:tr>
            <w:tr w14:paraId="3B55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92" w:type="dxa"/>
                  <w:noWrap w:val="0"/>
                  <w:vAlign w:val="center"/>
                </w:tcPr>
                <w:p w14:paraId="4BA7BDB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导检控制总台</w:t>
                  </w:r>
                </w:p>
              </w:tc>
              <w:tc>
                <w:tcPr>
                  <w:tcW w:w="4580" w:type="dxa"/>
                  <w:gridSpan w:val="3"/>
                  <w:noWrap w:val="0"/>
                  <w:vAlign w:val="center"/>
                </w:tcPr>
                <w:p w14:paraId="68C572A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支持可视化展示体检中心各区域各科室队列信息及未排队人员信息；</w:t>
                  </w:r>
                </w:p>
                <w:p w14:paraId="58EB477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支持医护人员增开科室、关闭科室以及队列调整等；</w:t>
                  </w:r>
                </w:p>
              </w:tc>
            </w:tr>
            <w:tr w14:paraId="52B1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65D2360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开始体检登记</w:t>
                  </w:r>
                </w:p>
              </w:tc>
              <w:tc>
                <w:tcPr>
                  <w:tcW w:w="4580" w:type="dxa"/>
                  <w:gridSpan w:val="3"/>
                  <w:noWrap w:val="0"/>
                  <w:vAlign w:val="center"/>
                </w:tcPr>
                <w:p w14:paraId="740B947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支持体检中心前台及自助机签到自动进入导检队列；</w:t>
                  </w:r>
                </w:p>
                <w:p w14:paraId="4D6D141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支持智能提示首检科室；</w:t>
                  </w:r>
                </w:p>
                <w:p w14:paraId="049DD52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支持记录客户体检全流程时间节点；</w:t>
                  </w:r>
                </w:p>
              </w:tc>
            </w:tr>
            <w:tr w14:paraId="57AD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892" w:type="dxa"/>
                  <w:noWrap w:val="0"/>
                  <w:vAlign w:val="center"/>
                </w:tcPr>
                <w:p w14:paraId="11A5D62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智能导检规则配置</w:t>
                  </w:r>
                </w:p>
              </w:tc>
              <w:tc>
                <w:tcPr>
                  <w:tcW w:w="4580" w:type="dxa"/>
                  <w:gridSpan w:val="3"/>
                  <w:noWrap w:val="0"/>
                  <w:vAlign w:val="center"/>
                </w:tcPr>
                <w:p w14:paraId="1FB903F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支持导检队列智能分配功能，能够根据体检中心实际运行情况实时自动调整排队策略，并将排队信息实时展示在窗口屏、综合屏、导检台、医生工作站以及客户微信端；</w:t>
                  </w:r>
                </w:p>
                <w:p w14:paraId="481FB42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遵循科室分区原则（男宾区、女宾区、普检区、深度体检区等）；</w:t>
                  </w:r>
                </w:p>
                <w:p w14:paraId="7166B36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遵循空腹项目、特殊项目、特殊条件等优先原则；</w:t>
                  </w:r>
                </w:p>
                <w:p w14:paraId="12AD702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遵循时间最短原则；</w:t>
                  </w:r>
                </w:p>
                <w:p w14:paraId="6DE77AE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遵循区域优先、距离优先、排序优先、人数优先原则；</w:t>
                  </w:r>
                </w:p>
              </w:tc>
            </w:tr>
            <w:tr w14:paraId="7B27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92" w:type="dxa"/>
                  <w:noWrap w:val="0"/>
                  <w:vAlign w:val="center"/>
                </w:tcPr>
                <w:p w14:paraId="6728333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智能队列优化配置</w:t>
                  </w:r>
                </w:p>
              </w:tc>
              <w:tc>
                <w:tcPr>
                  <w:tcW w:w="4580" w:type="dxa"/>
                  <w:gridSpan w:val="3"/>
                  <w:noWrap w:val="0"/>
                  <w:vAlign w:val="center"/>
                </w:tcPr>
                <w:p w14:paraId="459253F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支持体检人员过号后自动挂起，挂起规则可配置；</w:t>
                  </w:r>
                </w:p>
                <w:p w14:paraId="0D777B6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支持过号再分配到其他检查科室或重新签到进入正常队列，可配置优先入队列规则，支持医护人员转移科室及调整体检人员队列；</w:t>
                  </w:r>
                </w:p>
                <w:p w14:paraId="4706B26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支持多队列管理；</w:t>
                  </w:r>
                </w:p>
              </w:tc>
            </w:tr>
            <w:tr w14:paraId="416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92" w:type="dxa"/>
                  <w:noWrap w:val="0"/>
                  <w:vAlign w:val="center"/>
                </w:tcPr>
                <w:p w14:paraId="50AE322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智能导检提醒配置</w:t>
                  </w:r>
                </w:p>
              </w:tc>
              <w:tc>
                <w:tcPr>
                  <w:tcW w:w="4580" w:type="dxa"/>
                  <w:gridSpan w:val="3"/>
                  <w:noWrap w:val="0"/>
                  <w:vAlign w:val="center"/>
                </w:tcPr>
                <w:p w14:paraId="2F03773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支持通过医生工作站、科室屏、综合显示屏、分诊台、微信等多种终端发布信息，为体检客户推送最优体检路径；</w:t>
                  </w:r>
                </w:p>
                <w:p w14:paraId="6375397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支持体检者在自助查询机查询当前排队情况及体检项目完成情况；</w:t>
                  </w:r>
                </w:p>
                <w:p w14:paraId="4361EC8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支持客户就检信息微信端全程指引，实时掌握已检、未检等信息。</w:t>
                  </w:r>
                </w:p>
              </w:tc>
            </w:tr>
            <w:tr w14:paraId="7DB3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58FC2D8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2、医护工作站</w:t>
                  </w:r>
                </w:p>
              </w:tc>
            </w:tr>
            <w:tr w14:paraId="1A8B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472" w:type="dxa"/>
                  <w:gridSpan w:val="4"/>
                  <w:noWrap w:val="0"/>
                  <w:vAlign w:val="center"/>
                </w:tcPr>
                <w:p w14:paraId="1392A1A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支持实时显示本科室最新的候诊队列信息；</w:t>
                  </w:r>
                </w:p>
                <w:p w14:paraId="76F4891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支持呼叫、重呼、挂起、选呼、呼叫下一人等功能；</w:t>
                  </w:r>
                </w:p>
                <w:p w14:paraId="7247DCC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支持插队、待检；</w:t>
                  </w:r>
                </w:p>
                <w:p w14:paraId="002A268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支持同一诊室队列多个医生同时呼叫，或同一诊室多项检查合并成一个队列排队。</w:t>
                  </w:r>
                </w:p>
              </w:tc>
            </w:tr>
            <w:tr w14:paraId="518E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0685D07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3、其他功能要求</w:t>
                  </w:r>
                </w:p>
              </w:tc>
            </w:tr>
            <w:tr w14:paraId="6C74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4D6A96E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二次体检项目</w:t>
                  </w:r>
                </w:p>
              </w:tc>
              <w:tc>
                <w:tcPr>
                  <w:tcW w:w="4580" w:type="dxa"/>
                  <w:gridSpan w:val="3"/>
                  <w:noWrap w:val="0"/>
                  <w:vAlign w:val="center"/>
                </w:tcPr>
                <w:p w14:paraId="71F571F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支持C13、C14等检查项目二次导检；</w:t>
                  </w:r>
                </w:p>
              </w:tc>
            </w:tr>
            <w:tr w14:paraId="60E1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92" w:type="dxa"/>
                  <w:noWrap w:val="0"/>
                  <w:vAlign w:val="center"/>
                </w:tcPr>
                <w:p w14:paraId="11D846D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体检早餐管理</w:t>
                  </w:r>
                </w:p>
              </w:tc>
              <w:tc>
                <w:tcPr>
                  <w:tcW w:w="4580" w:type="dxa"/>
                  <w:gridSpan w:val="3"/>
                  <w:noWrap w:val="0"/>
                  <w:vAlign w:val="center"/>
                </w:tcPr>
                <w:p w14:paraId="1E3BF85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支持餐厅接待处扫码用餐，如有空腹项目或特殊项目未做，可以语音提示并确认是否用餐；</w:t>
                  </w:r>
                </w:p>
                <w:p w14:paraId="75BA3A1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支持显示未吃早餐、已吃早餐及正在吃早餐客户清单，支持后台数据统计，为体检中心合理备餐提供数据依据；</w:t>
                  </w:r>
                </w:p>
              </w:tc>
            </w:tr>
            <w:tr w14:paraId="40D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3A1A8CA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客户车辆管理</w:t>
                  </w:r>
                </w:p>
              </w:tc>
              <w:tc>
                <w:tcPr>
                  <w:tcW w:w="4580" w:type="dxa"/>
                  <w:gridSpan w:val="3"/>
                  <w:noWrap w:val="0"/>
                  <w:vAlign w:val="center"/>
                </w:tcPr>
                <w:p w14:paraId="4F94F79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支持查询及记录客户车辆信息并发放停车券，支持相关数据统计功能。</w:t>
                  </w:r>
                </w:p>
              </w:tc>
            </w:tr>
            <w:tr w14:paraId="42C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5DC255B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4、智能屏显功能要求</w:t>
                  </w:r>
                </w:p>
              </w:tc>
            </w:tr>
            <w:tr w14:paraId="4D5E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92" w:type="dxa"/>
                  <w:noWrap w:val="0"/>
                  <w:vAlign w:val="center"/>
                </w:tcPr>
                <w:p w14:paraId="1E6891F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科室显示终端</w:t>
                  </w:r>
                </w:p>
              </w:tc>
              <w:tc>
                <w:tcPr>
                  <w:tcW w:w="4580" w:type="dxa"/>
                  <w:gridSpan w:val="3"/>
                  <w:noWrap w:val="0"/>
                  <w:vAlign w:val="center"/>
                </w:tcPr>
                <w:p w14:paraId="41FCDF1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支持自定义设置LOGO、科室名称，可按需设置字体颜色、大小及背景；</w:t>
                  </w:r>
                </w:p>
                <w:p w14:paraId="18C68FE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支持静态显示或滚动显示排队队列信息；</w:t>
                  </w:r>
                </w:p>
                <w:p w14:paraId="5DC3CA9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支持语音播放，提示下一位检查者进入检室，并告知已检人员下一站体检科室；</w:t>
                  </w:r>
                </w:p>
                <w:p w14:paraId="60BBFF1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支持视频播放、图片单个播放及轮播；</w:t>
                  </w:r>
                </w:p>
              </w:tc>
            </w:tr>
            <w:tr w14:paraId="6DF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2BA2A79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自助查询终端</w:t>
                  </w:r>
                </w:p>
              </w:tc>
              <w:tc>
                <w:tcPr>
                  <w:tcW w:w="4580" w:type="dxa"/>
                  <w:gridSpan w:val="3"/>
                  <w:noWrap w:val="0"/>
                  <w:vAlign w:val="center"/>
                </w:tcPr>
                <w:p w14:paraId="3AF55A0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支持查询当前体检进度（包括已检、未检项目）、排队队列查询</w:t>
                  </w:r>
                </w:p>
              </w:tc>
            </w:tr>
            <w:tr w14:paraId="54F3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2" w:type="dxa"/>
                  <w:noWrap w:val="0"/>
                  <w:vAlign w:val="center"/>
                </w:tcPr>
                <w:p w14:paraId="04383E1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微信程序端</w:t>
                  </w:r>
                </w:p>
              </w:tc>
              <w:tc>
                <w:tcPr>
                  <w:tcW w:w="4580" w:type="dxa"/>
                  <w:gridSpan w:val="3"/>
                  <w:noWrap w:val="0"/>
                  <w:vAlign w:val="center"/>
                </w:tcPr>
                <w:p w14:paraId="2038AF9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支持客户通过微信电子指引单进行全流程导检指引；</w:t>
                  </w:r>
                </w:p>
                <w:p w14:paraId="0772CA6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支持微信端查看基本信息、已检项目、未检项目及温馨提示；</w:t>
                  </w:r>
                </w:p>
                <w:p w14:paraId="453A4DE8">
                  <w:pPr>
                    <w:pStyle w:val="2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支持科室医生扫电子指引单签到进队列等。</w:t>
                  </w:r>
                </w:p>
              </w:tc>
            </w:tr>
            <w:tr w14:paraId="1F99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7FD370EC">
                  <w:pPr>
                    <w:keepNext w:val="0"/>
                    <w:keepLines w:val="0"/>
                    <w:pageBreakBefore w:val="0"/>
                    <w:numPr>
                      <w:ilvl w:val="0"/>
                      <w:numId w:val="1"/>
                    </w:numPr>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检后随访管理系统功能要求</w:t>
                  </w:r>
                </w:p>
              </w:tc>
            </w:tr>
            <w:tr w14:paraId="3310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7A2B531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1、客户管理</w:t>
                  </w:r>
                </w:p>
              </w:tc>
            </w:tr>
            <w:tr w14:paraId="293B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2FCF3F1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客户检索</w:t>
                  </w:r>
                </w:p>
              </w:tc>
              <w:tc>
                <w:tcPr>
                  <w:tcW w:w="4580" w:type="dxa"/>
                  <w:gridSpan w:val="3"/>
                  <w:noWrap w:val="0"/>
                  <w:vAlign w:val="center"/>
                </w:tcPr>
                <w:p w14:paraId="630ABEF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9" w:name="_Hlk106955671"/>
                  <w:r>
                    <w:rPr>
                      <w:rFonts w:hint="eastAsia" w:ascii="宋体" w:hAnsi="宋体" w:eastAsia="宋体" w:cs="宋体"/>
                      <w:color w:val="auto"/>
                      <w:sz w:val="21"/>
                      <w:szCs w:val="21"/>
                      <w:highlight w:val="none"/>
                    </w:rPr>
                    <w:t>支持通过客户姓名、体检编号、体检流水号、体检日期、手机号码、单位等信息检索客户资料，并可由此进入客户个人中心；</w:t>
                  </w:r>
                  <w:bookmarkEnd w:id="79"/>
                  <w:r>
                    <w:rPr>
                      <w:rFonts w:hint="eastAsia" w:ascii="宋体" w:hAnsi="宋体" w:eastAsia="宋体" w:cs="宋体"/>
                      <w:color w:val="auto"/>
                      <w:sz w:val="21"/>
                      <w:szCs w:val="21"/>
                      <w:highlight w:val="none"/>
                    </w:rPr>
                    <w:t xml:space="preserve"> </w:t>
                  </w:r>
                </w:p>
              </w:tc>
            </w:tr>
            <w:tr w14:paraId="76E5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92" w:type="dxa"/>
                  <w:noWrap w:val="0"/>
                  <w:vAlign w:val="center"/>
                </w:tcPr>
                <w:p w14:paraId="5DAF4D9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基本信息</w:t>
                  </w:r>
                </w:p>
              </w:tc>
              <w:tc>
                <w:tcPr>
                  <w:tcW w:w="4580" w:type="dxa"/>
                  <w:gridSpan w:val="3"/>
                  <w:noWrap w:val="0"/>
                  <w:vAlign w:val="center"/>
                </w:tcPr>
                <w:p w14:paraId="60A715C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支持管理及查看客户姓名、体检编号、手机号码、年龄、身份证号、疾病风险等级、单位、所属健康管理师、阳性级别及其他备注信息等；</w:t>
                  </w:r>
                </w:p>
              </w:tc>
            </w:tr>
            <w:tr w14:paraId="2947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6B3E7C3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体检报告</w:t>
                  </w:r>
                </w:p>
              </w:tc>
              <w:tc>
                <w:tcPr>
                  <w:tcW w:w="4580" w:type="dxa"/>
                  <w:gridSpan w:val="3"/>
                  <w:noWrap w:val="0"/>
                  <w:vAlign w:val="center"/>
                </w:tcPr>
                <w:p w14:paraId="24E5626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支持查看客户历年历次体检报告汇总，可查阅历年报告详情，可对比分析历年结果；</w:t>
                  </w:r>
                </w:p>
              </w:tc>
            </w:tr>
            <w:tr w14:paraId="7CB8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1C6DBD8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咨询记录</w:t>
                  </w:r>
                </w:p>
              </w:tc>
              <w:tc>
                <w:tcPr>
                  <w:tcW w:w="4580" w:type="dxa"/>
                  <w:gridSpan w:val="3"/>
                  <w:noWrap w:val="0"/>
                  <w:vAlign w:val="center"/>
                </w:tcPr>
                <w:p w14:paraId="181D2E7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支持查看客户历次咨询记录，可细分为网络咨询、电话咨询、现场咨询等；</w:t>
                  </w:r>
                </w:p>
              </w:tc>
            </w:tr>
            <w:tr w14:paraId="58DB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6327C1D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回访记录</w:t>
                  </w:r>
                </w:p>
              </w:tc>
              <w:tc>
                <w:tcPr>
                  <w:tcW w:w="4580" w:type="dxa"/>
                  <w:gridSpan w:val="3"/>
                  <w:noWrap w:val="0"/>
                  <w:vAlign w:val="center"/>
                </w:tcPr>
                <w:p w14:paraId="50758FB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支持查看健康管理师回访记录，包括历次回访内容汇总，可对当次回访内容进行文字记录，同时可对客户的依从性进行评价。</w:t>
                  </w:r>
                </w:p>
              </w:tc>
            </w:tr>
            <w:tr w14:paraId="2CF0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44CEC34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信息推送</w:t>
                  </w:r>
                </w:p>
              </w:tc>
              <w:tc>
                <w:tcPr>
                  <w:tcW w:w="4580" w:type="dxa"/>
                  <w:gridSpan w:val="3"/>
                  <w:noWrap w:val="0"/>
                  <w:vAlign w:val="center"/>
                </w:tcPr>
                <w:p w14:paraId="1FE2E9B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针对在体检中心的做过体检的所有客户按特定分类</w:t>
                  </w:r>
                  <w:r>
                    <w:rPr>
                      <w:rFonts w:hint="eastAsia" w:ascii="宋体" w:hAnsi="宋体" w:eastAsia="宋体" w:cs="宋体"/>
                      <w:color w:val="auto"/>
                      <w:sz w:val="21"/>
                      <w:szCs w:val="21"/>
                      <w:highlight w:val="none"/>
                      <w:lang w:eastAsia="zh-CN"/>
                    </w:rPr>
                    <w:t>（可根据需要进行设置）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周期性</w:t>
                  </w:r>
                  <w:r>
                    <w:rPr>
                      <w:rFonts w:hint="eastAsia" w:ascii="宋体" w:hAnsi="宋体" w:eastAsia="宋体" w:cs="宋体"/>
                      <w:color w:val="auto"/>
                      <w:sz w:val="21"/>
                      <w:szCs w:val="21"/>
                      <w:highlight w:val="none"/>
                    </w:rPr>
                    <w:t>的健康指导、</w:t>
                  </w:r>
                  <w:r>
                    <w:rPr>
                      <w:rFonts w:hint="eastAsia" w:ascii="宋体" w:hAnsi="宋体" w:eastAsia="宋体" w:cs="宋体"/>
                      <w:color w:val="auto"/>
                      <w:sz w:val="21"/>
                      <w:szCs w:val="21"/>
                      <w:highlight w:val="none"/>
                      <w:lang w:eastAsia="zh-CN"/>
                    </w:rPr>
                    <w:t>实现将</w:t>
                  </w:r>
                  <w:r>
                    <w:rPr>
                      <w:rFonts w:hint="eastAsia" w:ascii="宋体" w:hAnsi="宋体" w:eastAsia="宋体" w:cs="宋体"/>
                      <w:color w:val="auto"/>
                      <w:sz w:val="21"/>
                      <w:szCs w:val="21"/>
                      <w:highlight w:val="none"/>
                    </w:rPr>
                    <w:t>体检之后的报告进展情况，健康教育、健康知识、节日提醒、生日祝福等</w:t>
                  </w:r>
                  <w:r>
                    <w:rPr>
                      <w:rFonts w:hint="eastAsia" w:ascii="宋体" w:hAnsi="宋体" w:eastAsia="宋体" w:cs="宋体"/>
                      <w:color w:val="auto"/>
                      <w:sz w:val="21"/>
                      <w:szCs w:val="21"/>
                      <w:highlight w:val="none"/>
                      <w:lang w:eastAsia="zh-CN"/>
                    </w:rPr>
                    <w:t>提醒</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eastAsia="zh-CN"/>
                    </w:rPr>
                    <w:t>进行单独或批量通过短信或微信</w:t>
                  </w:r>
                  <w:r>
                    <w:rPr>
                      <w:rFonts w:hint="eastAsia" w:ascii="宋体" w:hAnsi="宋体" w:eastAsia="宋体" w:cs="宋体"/>
                      <w:color w:val="auto"/>
                      <w:sz w:val="21"/>
                      <w:szCs w:val="21"/>
                      <w:highlight w:val="none"/>
                    </w:rPr>
                    <w:t>推送。</w:t>
                  </w:r>
                </w:p>
              </w:tc>
            </w:tr>
            <w:tr w14:paraId="356E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2191774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2、随访任务管理</w:t>
                  </w:r>
                </w:p>
              </w:tc>
            </w:tr>
            <w:tr w14:paraId="77B3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031C05B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健康管理师分配</w:t>
                  </w:r>
                </w:p>
              </w:tc>
              <w:tc>
                <w:tcPr>
                  <w:tcW w:w="4580" w:type="dxa"/>
                  <w:gridSpan w:val="3"/>
                  <w:noWrap w:val="0"/>
                  <w:vAlign w:val="center"/>
                </w:tcPr>
                <w:p w14:paraId="145301B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支持给健康管理师按设定好的规则进行自动分配任务，规则包括按比例、按人数、VIP客户独立分配等；</w:t>
                  </w:r>
                </w:p>
              </w:tc>
            </w:tr>
            <w:tr w14:paraId="6E95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44846DA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创建随访计划</w:t>
                  </w:r>
                </w:p>
              </w:tc>
              <w:tc>
                <w:tcPr>
                  <w:tcW w:w="4580" w:type="dxa"/>
                  <w:gridSpan w:val="3"/>
                  <w:noWrap w:val="0"/>
                  <w:vAlign w:val="center"/>
                </w:tcPr>
                <w:p w14:paraId="56F6A86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支持健康管理师对当日已总检且打印报告的客户，根据客户的阳性结果等级等条件创建随访计划；</w:t>
                  </w:r>
                </w:p>
              </w:tc>
            </w:tr>
            <w:tr w14:paraId="0FD8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2" w:type="dxa"/>
                  <w:noWrap w:val="0"/>
                  <w:vAlign w:val="center"/>
                </w:tcPr>
                <w:p w14:paraId="2E4BB3F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随访计划汇总</w:t>
                  </w:r>
                </w:p>
              </w:tc>
              <w:tc>
                <w:tcPr>
                  <w:tcW w:w="4580" w:type="dxa"/>
                  <w:gridSpan w:val="3"/>
                  <w:noWrap w:val="0"/>
                  <w:vAlign w:val="center"/>
                </w:tcPr>
                <w:p w14:paraId="71DF79A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支持根据人员性别、随访方式、随访时间、处理方法、随访状态、阳性级别、管理师、单位等条件进行自定义检索筛选；管理人员可了解所有医护人员的回访任务完成情况；</w:t>
                  </w:r>
                </w:p>
              </w:tc>
            </w:tr>
            <w:tr w14:paraId="1C9E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68ECD99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今日待办任务</w:t>
                  </w:r>
                </w:p>
              </w:tc>
              <w:tc>
                <w:tcPr>
                  <w:tcW w:w="4580" w:type="dxa"/>
                  <w:gridSpan w:val="3"/>
                  <w:noWrap w:val="0"/>
                  <w:vAlign w:val="center"/>
                </w:tcPr>
                <w:p w14:paraId="3530784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支持汇总展示今日需随访客户，支持快速检索及批量操作，可实现随访转移等；</w:t>
                  </w:r>
                </w:p>
              </w:tc>
            </w:tr>
            <w:tr w14:paraId="1E20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497304F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阳性追踪</w:t>
                  </w:r>
                </w:p>
              </w:tc>
              <w:tc>
                <w:tcPr>
                  <w:tcW w:w="4580" w:type="dxa"/>
                  <w:gridSpan w:val="3"/>
                  <w:noWrap w:val="0"/>
                  <w:vAlign w:val="center"/>
                </w:tcPr>
                <w:p w14:paraId="7C53440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支持根据科室上报情况，系统自动生成重大阳性（重要阳性）回访任务及随访任务执行；</w:t>
                  </w:r>
                </w:p>
              </w:tc>
            </w:tr>
            <w:tr w14:paraId="5D58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0B3A1D2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个人中心</w:t>
                  </w:r>
                </w:p>
              </w:tc>
              <w:tc>
                <w:tcPr>
                  <w:tcW w:w="4580" w:type="dxa"/>
                  <w:gridSpan w:val="3"/>
                  <w:noWrap w:val="0"/>
                  <w:vAlign w:val="center"/>
                </w:tcPr>
                <w:p w14:paraId="28ED2C0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支持查看客户基本信息、体检报告、随访任务、历史随访记录及随访详情等。</w:t>
                  </w:r>
                </w:p>
              </w:tc>
            </w:tr>
            <w:tr w14:paraId="217B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24489CE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3、短信管理</w:t>
                  </w:r>
                </w:p>
              </w:tc>
            </w:tr>
            <w:tr w14:paraId="5E4D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11CFDFE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短信发送</w:t>
                  </w:r>
                </w:p>
              </w:tc>
              <w:tc>
                <w:tcPr>
                  <w:tcW w:w="4580" w:type="dxa"/>
                  <w:gridSpan w:val="3"/>
                  <w:noWrap w:val="0"/>
                  <w:vAlign w:val="center"/>
                </w:tcPr>
                <w:p w14:paraId="00BB459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0" w:name="_Hlk106956380"/>
                  <w:r>
                    <w:rPr>
                      <w:rFonts w:hint="eastAsia" w:ascii="宋体" w:hAnsi="宋体" w:eastAsia="宋体" w:cs="宋体"/>
                      <w:color w:val="auto"/>
                      <w:sz w:val="21"/>
                      <w:szCs w:val="21"/>
                      <w:highlight w:val="none"/>
                    </w:rPr>
                    <w:t>支持单独发送或群发消息，且可预设发送时间；</w:t>
                  </w:r>
                  <w:bookmarkEnd w:id="80"/>
                </w:p>
              </w:tc>
            </w:tr>
            <w:tr w14:paraId="596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60EE292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短信记录</w:t>
                  </w:r>
                </w:p>
              </w:tc>
              <w:tc>
                <w:tcPr>
                  <w:tcW w:w="4580" w:type="dxa"/>
                  <w:gridSpan w:val="3"/>
                  <w:noWrap w:val="0"/>
                  <w:vAlign w:val="center"/>
                </w:tcPr>
                <w:p w14:paraId="1D040DB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支持查看健康管理师发送给客户的短信记录汇总，包括已发送的短信内容、发送时间等；</w:t>
                  </w:r>
                </w:p>
              </w:tc>
            </w:tr>
            <w:tr w14:paraId="5AE3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271BD06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短信统计</w:t>
                  </w:r>
                </w:p>
              </w:tc>
              <w:tc>
                <w:tcPr>
                  <w:tcW w:w="4580" w:type="dxa"/>
                  <w:gridSpan w:val="3"/>
                  <w:noWrap w:val="0"/>
                  <w:vAlign w:val="center"/>
                </w:tcPr>
                <w:p w14:paraId="08C16F3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1" w:name="_Hlk106956405"/>
                  <w:r>
                    <w:rPr>
                      <w:rFonts w:hint="eastAsia" w:ascii="宋体" w:hAnsi="宋体" w:eastAsia="宋体" w:cs="宋体"/>
                      <w:color w:val="auto"/>
                      <w:sz w:val="21"/>
                      <w:szCs w:val="21"/>
                      <w:highlight w:val="none"/>
                    </w:rPr>
                    <w:t>支持汇总已发送的短信记录，支持按时间、短信类别等条件进行统计；</w:t>
                  </w:r>
                  <w:bookmarkEnd w:id="81"/>
                </w:p>
              </w:tc>
            </w:tr>
            <w:tr w14:paraId="52B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0B152BC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短信模板</w:t>
                  </w:r>
                </w:p>
              </w:tc>
              <w:tc>
                <w:tcPr>
                  <w:tcW w:w="4580" w:type="dxa"/>
                  <w:gridSpan w:val="3"/>
                  <w:noWrap w:val="0"/>
                  <w:vAlign w:val="center"/>
                </w:tcPr>
                <w:p w14:paraId="5352F2F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2" w:name="_Hlk106956424"/>
                  <w:r>
                    <w:rPr>
                      <w:rFonts w:hint="eastAsia" w:ascii="宋体" w:hAnsi="宋体" w:eastAsia="宋体" w:cs="宋体"/>
                      <w:color w:val="auto"/>
                      <w:sz w:val="21"/>
                      <w:szCs w:val="21"/>
                      <w:highlight w:val="none"/>
                    </w:rPr>
                    <w:t>支持自定义添加不同类别的短信模板，支持按客户姓名、性别等条件自动匹配；</w:t>
                  </w:r>
                  <w:bookmarkEnd w:id="82"/>
                </w:p>
              </w:tc>
            </w:tr>
            <w:tr w14:paraId="082F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72" w:type="dxa"/>
                  <w:gridSpan w:val="4"/>
                  <w:noWrap w:val="0"/>
                  <w:vAlign w:val="center"/>
                </w:tcPr>
                <w:p w14:paraId="2E0B931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4、统计分析</w:t>
                  </w:r>
                </w:p>
              </w:tc>
            </w:tr>
            <w:tr w14:paraId="378B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54EECEE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随访任务统计</w:t>
                  </w:r>
                </w:p>
              </w:tc>
              <w:tc>
                <w:tcPr>
                  <w:tcW w:w="4580" w:type="dxa"/>
                  <w:gridSpan w:val="3"/>
                  <w:noWrap w:val="0"/>
                  <w:vAlign w:val="center"/>
                </w:tcPr>
                <w:p w14:paraId="5EA482F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支持根据时间段、随访人员等条件，统计该时间段内医护人员及科室的客户回访情况；</w:t>
                  </w:r>
                </w:p>
              </w:tc>
            </w:tr>
            <w:tr w14:paraId="7A5C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2" w:type="dxa"/>
                  <w:noWrap w:val="0"/>
                  <w:vAlign w:val="center"/>
                </w:tcPr>
                <w:p w14:paraId="297AA82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疾病统计</w:t>
                  </w:r>
                </w:p>
              </w:tc>
              <w:tc>
                <w:tcPr>
                  <w:tcW w:w="4580" w:type="dxa"/>
                  <w:gridSpan w:val="3"/>
                  <w:noWrap w:val="0"/>
                  <w:vAlign w:val="center"/>
                </w:tcPr>
                <w:p w14:paraId="65D3D76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支持通过体检日期、单位、年龄段、项目及阳性结果等维度统计相关的信息。</w:t>
                  </w:r>
                </w:p>
              </w:tc>
            </w:tr>
            <w:tr w14:paraId="4180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72" w:type="dxa"/>
                  <w:gridSpan w:val="4"/>
                  <w:noWrap w:val="0"/>
                  <w:vAlign w:val="center"/>
                </w:tcPr>
                <w:p w14:paraId="62DC7C1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六、配套</w:t>
                  </w:r>
                  <w:r>
                    <w:rPr>
                      <w:rFonts w:hint="eastAsia" w:ascii="宋体" w:hAnsi="宋体" w:eastAsia="宋体" w:cs="宋体"/>
                      <w:b/>
                      <w:bCs/>
                      <w:color w:val="auto"/>
                      <w:sz w:val="21"/>
                      <w:szCs w:val="21"/>
                      <w:highlight w:val="none"/>
                      <w:lang w:val="en-US" w:eastAsia="zh-CN"/>
                    </w:rPr>
                    <w:t>产品</w:t>
                  </w:r>
                </w:p>
              </w:tc>
            </w:tr>
            <w:tr w14:paraId="173F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9" w:type="dxa"/>
                  <w:gridSpan w:val="2"/>
                  <w:noWrap w:val="0"/>
                  <w:vAlign w:val="center"/>
                </w:tcPr>
                <w:p w14:paraId="18A8487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产品名称</w:t>
                  </w:r>
                </w:p>
              </w:tc>
              <w:tc>
                <w:tcPr>
                  <w:tcW w:w="919" w:type="dxa"/>
                  <w:noWrap w:val="0"/>
                  <w:vAlign w:val="center"/>
                </w:tcPr>
                <w:p w14:paraId="1278A6DE">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数量（台）</w:t>
                  </w:r>
                </w:p>
              </w:tc>
              <w:tc>
                <w:tcPr>
                  <w:tcW w:w="3554" w:type="dxa"/>
                  <w:noWrap w:val="0"/>
                  <w:vAlign w:val="center"/>
                </w:tcPr>
                <w:p w14:paraId="55F883E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功能参数</w:t>
                  </w:r>
                </w:p>
              </w:tc>
            </w:tr>
            <w:tr w14:paraId="034D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9" w:type="dxa"/>
                  <w:gridSpan w:val="2"/>
                  <w:noWrap w:val="0"/>
                  <w:vAlign w:val="center"/>
                </w:tcPr>
                <w:p w14:paraId="77525E70">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体检服务机</w:t>
                  </w:r>
                </w:p>
                <w:p w14:paraId="5EAEA271">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snapToGrid w:val="0"/>
                      <w:color w:val="auto"/>
                      <w:kern w:val="0"/>
                      <w:sz w:val="21"/>
                      <w:szCs w:val="21"/>
                      <w:highlight w:val="none"/>
                      <w:lang w:bidi="ar"/>
                    </w:rPr>
                  </w:pPr>
                  <w:r>
                    <w:rPr>
                      <w:rFonts w:hint="eastAsia" w:ascii="宋体" w:hAnsi="宋体" w:eastAsia="宋体" w:cs="宋体"/>
                      <w:color w:val="auto"/>
                      <w:sz w:val="21"/>
                      <w:szCs w:val="21"/>
                      <w:highlight w:val="none"/>
                    </w:rPr>
                    <w:t>（体检预约、自助签到、打印指引单、导检队列查询等）</w:t>
                  </w:r>
                </w:p>
              </w:tc>
              <w:tc>
                <w:tcPr>
                  <w:tcW w:w="919" w:type="dxa"/>
                  <w:noWrap w:val="0"/>
                  <w:vAlign w:val="center"/>
                </w:tcPr>
                <w:p w14:paraId="60FAC277">
                  <w:pPr>
                    <w:keepNext w:val="0"/>
                    <w:keepLines w:val="0"/>
                    <w:pageBreakBefore w:val="0"/>
                    <w:kinsoku/>
                    <w:wordWrap/>
                    <w:overflowPunct/>
                    <w:topLinePunct w:val="0"/>
                    <w:bidi w:val="0"/>
                    <w:snapToGrid/>
                    <w:spacing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54" w:type="dxa"/>
                  <w:noWrap w:val="0"/>
                  <w:vAlign w:val="center"/>
                </w:tcPr>
                <w:p w14:paraId="2C26CE9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1.尺寸：≥32 英寸； </w:t>
                  </w:r>
                </w:p>
                <w:p w14:paraId="6F075B6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2.分辨率：支持≥1920×1080； </w:t>
                  </w:r>
                </w:p>
                <w:p w14:paraId="6347DFB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3.主机配置：</w:t>
                  </w:r>
                </w:p>
                <w:p w14:paraId="49565E83">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CPU：双核 3.6Ghz；</w:t>
                  </w:r>
                </w:p>
                <w:p w14:paraId="10D7272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运行内存：≥4G；</w:t>
                  </w:r>
                </w:p>
                <w:p w14:paraId="031B943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硬盘：≥128G；</w:t>
                  </w:r>
                </w:p>
                <w:p w14:paraId="1D72D06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喇叭功率：10W/8欧</w:t>
                  </w:r>
                </w:p>
                <w:p w14:paraId="39B4386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4.功能配置：扫描功能支持一维、二维扫描；配置摄像头、身份证阅读器、打印输出设备及金属键盘；</w:t>
                  </w:r>
                </w:p>
                <w:p w14:paraId="7726DF0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5.安装方式：落地方式；</w:t>
                  </w:r>
                </w:p>
                <w:p w14:paraId="46DAB5F5">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6.能兼容</w:t>
                  </w:r>
                  <w:r>
                    <w:rPr>
                      <w:rFonts w:hint="eastAsia" w:ascii="宋体" w:hAnsi="宋体" w:eastAsia="宋体" w:cs="宋体"/>
                      <w:color w:val="auto"/>
                      <w:sz w:val="21"/>
                      <w:szCs w:val="21"/>
                      <w:highlight w:val="none"/>
                      <w:lang w:eastAsia="zh-CN"/>
                    </w:rPr>
                    <w:t>健康（慢病）体检系统</w:t>
                  </w:r>
                  <w:r>
                    <w:rPr>
                      <w:rFonts w:hint="eastAsia" w:ascii="宋体" w:hAnsi="宋体" w:eastAsia="宋体" w:cs="宋体"/>
                      <w:color w:val="auto"/>
                      <w:sz w:val="21"/>
                      <w:szCs w:val="21"/>
                      <w:highlight w:val="none"/>
                    </w:rPr>
                    <w:t>自助服务系统，可开放接口。</w:t>
                  </w:r>
                </w:p>
                <w:p w14:paraId="54FE55EA">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7.质保期：3年。</w:t>
                  </w:r>
                </w:p>
              </w:tc>
            </w:tr>
            <w:tr w14:paraId="3288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72" w:type="dxa"/>
                  <w:gridSpan w:val="4"/>
                  <w:noWrap w:val="0"/>
                  <w:vAlign w:val="center"/>
                </w:tcPr>
                <w:p w14:paraId="72E539A0">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七、其他</w:t>
                  </w:r>
                </w:p>
              </w:tc>
            </w:tr>
            <w:tr w14:paraId="054A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5472" w:type="dxa"/>
                  <w:gridSpan w:val="4"/>
                  <w:noWrap w:val="0"/>
                  <w:vAlign w:val="center"/>
                </w:tcPr>
                <w:p w14:paraId="649648B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1、包含医院电子病历应用水平评级及互联互通测评系统改造服务。</w:t>
                  </w:r>
                </w:p>
                <w:p w14:paraId="2C3CF04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2、多机构管理：</w:t>
                  </w:r>
                  <w:r>
                    <w:rPr>
                      <w:rFonts w:hint="eastAsia" w:ascii="宋体" w:hAnsi="宋体" w:eastAsia="宋体" w:cs="宋体"/>
                      <w:color w:val="auto"/>
                      <w:sz w:val="21"/>
                      <w:szCs w:val="21"/>
                      <w:highlight w:val="none"/>
                      <w:lang w:val="en-US" w:eastAsia="zh-CN"/>
                    </w:rPr>
                    <w:t>实现</w:t>
                  </w:r>
                  <w:r>
                    <w:rPr>
                      <w:rFonts w:hint="eastAsia" w:ascii="宋体" w:hAnsi="宋体" w:eastAsia="宋体" w:cs="宋体"/>
                      <w:color w:val="auto"/>
                      <w:sz w:val="21"/>
                      <w:szCs w:val="21"/>
                      <w:highlight w:val="none"/>
                      <w:lang w:val="en-US" w:eastAsia="zh-CN"/>
                    </w:rPr>
                    <w:t>体检多分支机构管理功能，分院体检中心、干部保健中心及社区卫生服务中心等机构可以同时使用系统，做到数据统一管理；各分院业务独立运行，具备各院区综合性数据分析统计功能，提供不同院区体检的差异化设置。</w:t>
                  </w:r>
                </w:p>
                <w:p w14:paraId="4AC8650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一号制管理及历年历次数据对比：具有体检档案号“一号制”的功能，防止同一个人的多次体检使用不同的体检档案号；对于同一个档案号的客户，可以在医生诊台、主检医生诊台、客户中心等界面进行对比显示，数值型结果可以显示历年结果曲线图。</w:t>
                  </w:r>
                </w:p>
                <w:p w14:paraId="6F6D7FD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4、特殊客户权限管理：可设置指定客户的人员类别，如重要客户、保密客户等；针对客户类别，可设置工作人员对该类客户资料的查看权限，无该类别客户管理权限的人员不能查看客户的任何资料。</w:t>
                  </w:r>
                </w:p>
              </w:tc>
            </w:tr>
          </w:tbl>
          <w:p w14:paraId="710A0999">
            <w:pPr>
              <w:pStyle w:val="65"/>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tc>
      </w:tr>
      <w:tr w14:paraId="6CF78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02" w:type="dxa"/>
            <w:gridSpan w:val="7"/>
            <w:tcBorders>
              <w:top w:val="single" w:color="auto" w:sz="4" w:space="0"/>
              <w:left w:val="single" w:color="auto" w:sz="4" w:space="0"/>
              <w:bottom w:val="single" w:color="auto" w:sz="4" w:space="0"/>
              <w:right w:val="single" w:color="auto" w:sz="4" w:space="0"/>
            </w:tcBorders>
            <w:noWrap w:val="0"/>
            <w:vAlign w:val="top"/>
          </w:tcPr>
          <w:p w14:paraId="3F2EB087">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一、商务要求</w:t>
            </w:r>
          </w:p>
        </w:tc>
      </w:tr>
      <w:tr w14:paraId="0A72F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32313C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地点</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40A7D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1.合同履行期限：在合同签订后</w:t>
            </w:r>
            <w:r>
              <w:rPr>
                <w:rFonts w:hint="eastAsia" w:ascii="宋体" w:hAnsi="宋体" w:eastAsia="宋体" w:cs="宋体"/>
                <w:b w:val="0"/>
                <w:bCs/>
                <w:color w:val="auto"/>
                <w:sz w:val="21"/>
                <w:szCs w:val="21"/>
                <w:highlight w:val="none"/>
                <w:lang w:val="en-US" w:eastAsia="zh-CN"/>
              </w:rPr>
              <w:t>60天</w:t>
            </w:r>
            <w:r>
              <w:rPr>
                <w:rFonts w:hint="eastAsia" w:ascii="宋体" w:hAnsi="宋体" w:eastAsia="宋体" w:cs="宋体"/>
                <w:b w:val="0"/>
                <w:bCs/>
                <w:color w:val="auto"/>
                <w:sz w:val="21"/>
                <w:szCs w:val="21"/>
                <w:highlight w:val="none"/>
                <w:lang w:val="en-US" w:eastAsia="zh-CN"/>
              </w:rPr>
              <w:t>内完成系统开发、系统调试、系统测试并交付使用。</w:t>
            </w:r>
          </w:p>
          <w:p w14:paraId="021D08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2.地点：梧州市人民医院。</w:t>
            </w:r>
          </w:p>
        </w:tc>
      </w:tr>
      <w:tr w14:paraId="7D597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02CA7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整体要求</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4224E1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须实现与医院的集成平台系统对接；实现体检数据与数据中心的交互；实现包括但不限于与医院的智业医院信息管理信息系统（HIS）、智业电子病历系统(EMR)、创惠临床医学检验信息管理系统（LIS）、易联众临床医学影像信息管理系统（PACS）、纳龙心电与电生理网络系统、病理全流程信息管理系统、医防融合慢病管理平台、医信签电子签名系统、财政电子票据、国家医保管理系统、广西和湛互联网医院系统、智业运营决策支持系统、亿联康优呼吸肺功能检查综合信息管理系统、</w:t>
            </w:r>
            <w:r>
              <w:rPr>
                <w:rFonts w:hint="eastAsia" w:ascii="宋体" w:hAnsi="宋体" w:eastAsia="宋体" w:cs="宋体"/>
                <w:color w:val="auto"/>
                <w:sz w:val="21"/>
                <w:szCs w:val="21"/>
                <w:highlight w:val="none"/>
                <w:lang w:eastAsia="zh-CN"/>
              </w:rPr>
              <w:t>智业统一支付对账平台</w:t>
            </w:r>
            <w:r>
              <w:rPr>
                <w:rFonts w:hint="eastAsia" w:ascii="宋体" w:hAnsi="宋体" w:eastAsia="宋体" w:cs="宋体"/>
                <w:color w:val="auto"/>
                <w:sz w:val="21"/>
                <w:szCs w:val="21"/>
                <w:highlight w:val="none"/>
                <w:lang w:val="en-US" w:eastAsia="zh-CN"/>
              </w:rPr>
              <w:t>、自治区健康体检监督管理系统</w:t>
            </w:r>
            <w:r>
              <w:rPr>
                <w:rFonts w:hint="eastAsia" w:ascii="宋体" w:hAnsi="宋体" w:eastAsia="宋体" w:cs="宋体"/>
                <w:b w:val="0"/>
                <w:bCs/>
                <w:color w:val="auto"/>
                <w:sz w:val="21"/>
                <w:szCs w:val="21"/>
                <w:highlight w:val="none"/>
                <w:lang w:val="en-US" w:eastAsia="zh-CN"/>
              </w:rPr>
              <w:t>等系统的对接，实现数据交互。系统必须要能使用信创国产化数据库，必须适配国产操作系统，必须适配国产中间件等国产自主安全平台。系统不得用注册码或序列号等任何方式限制系统及功能模块的使用及时限。</w:t>
            </w:r>
          </w:p>
          <w:p w14:paraId="378D5B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新旧系统切换要求：实现对原有系统的数据迁移至新系统，保证新旧系统的平稳过渡。</w:t>
            </w:r>
          </w:p>
          <w:p w14:paraId="01BE1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lang w:val="en-US" w:eastAsia="zh-CN"/>
              </w:rPr>
              <w:t>（实现以上要求所需费用须包含在竞标报价中，采购人不另外支付。）</w:t>
            </w:r>
          </w:p>
        </w:tc>
      </w:tr>
      <w:tr w14:paraId="62AEA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612906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合同签订时间</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7204E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自成交通知书发出之日起 </w:t>
            </w:r>
            <w:r>
              <w:rPr>
                <w:rFonts w:hint="eastAsia" w:ascii="宋体" w:hAnsi="宋体" w:eastAsia="宋体" w:cs="宋体"/>
                <w:color w:val="auto"/>
                <w:sz w:val="21"/>
                <w:szCs w:val="21"/>
                <w:highlight w:val="none"/>
                <w:u w:val="single"/>
              </w:rPr>
              <w:t xml:space="preserve">15 </w:t>
            </w:r>
            <w:r>
              <w:rPr>
                <w:rFonts w:hint="eastAsia" w:ascii="宋体" w:hAnsi="宋体" w:eastAsia="宋体" w:cs="宋体"/>
                <w:color w:val="auto"/>
                <w:sz w:val="21"/>
                <w:szCs w:val="21"/>
                <w:highlight w:val="none"/>
              </w:rPr>
              <w:t>日内</w:t>
            </w:r>
          </w:p>
        </w:tc>
      </w:tr>
      <w:tr w14:paraId="630C4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291F18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竞标报价</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61AAC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en-US" w:eastAsia="zh-CN"/>
              </w:rPr>
              <w:t>竞标报价包含的一切设备、硬件、软件、附件、备件、运输、施工、安装调试、人员工资、税费、国产化适配、符合网络安全等保及密评要求、计量检测费、验收、培训、技术服务、系统接入服务、软件升级服务、信息系统对接、互联互通四甲及电子病历测评5级所需改造、旧系统数据迁移至新系统、后期维护服务等费用。</w:t>
            </w:r>
          </w:p>
        </w:tc>
      </w:tr>
      <w:tr w14:paraId="5491F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0EAEC2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付款条件</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78ED3F2C">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无预付款，成交供应商货物到达采购人指定位置经安装调试，且完成系统开发、系统调试、系统测试并交付使用，并经验收合格后在收到成交供应商合法有效发票之日起</w:t>
            </w:r>
            <w:r>
              <w:rPr>
                <w:rFonts w:hint="eastAsia" w:ascii="宋体" w:hAnsi="宋体" w:cs="宋体"/>
                <w:color w:val="auto"/>
                <w:sz w:val="21"/>
                <w:szCs w:val="21"/>
                <w:highlight w:val="none"/>
                <w:lang w:val="en-US" w:eastAsia="zh-CN"/>
              </w:rPr>
              <w:t>一年</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，采购人支付合同款（含税）的100%。</w:t>
            </w:r>
          </w:p>
        </w:tc>
      </w:tr>
      <w:tr w14:paraId="0E9C5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48103D02">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6702" w:type="dxa"/>
            <w:gridSpan w:val="3"/>
            <w:tcBorders>
              <w:top w:val="single" w:color="auto" w:sz="4" w:space="0"/>
              <w:left w:val="single" w:color="auto" w:sz="4" w:space="0"/>
              <w:bottom w:val="single" w:color="auto" w:sz="4" w:space="0"/>
              <w:right w:val="single" w:color="auto" w:sz="4" w:space="0"/>
            </w:tcBorders>
            <w:noWrap w:val="0"/>
            <w:vAlign w:val="top"/>
          </w:tcPr>
          <w:p w14:paraId="4D6C1337">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年（国家法律法规、规章、规范性文件或相关技术标准、规范有更长质保期规定的，</w:t>
            </w:r>
            <w:bookmarkStart w:id="83" w:name="OLE_LINK1"/>
            <w:r>
              <w:rPr>
                <w:rFonts w:hint="eastAsia" w:ascii="宋体" w:hAnsi="宋体" w:eastAsia="宋体" w:cs="宋体"/>
                <w:color w:val="auto"/>
                <w:sz w:val="21"/>
                <w:szCs w:val="21"/>
                <w:highlight w:val="none"/>
                <w:lang w:val="en-US" w:eastAsia="zh-CN"/>
              </w:rPr>
              <w:t>及分项有规定的，从其规定</w:t>
            </w:r>
            <w:bookmarkEnd w:id="83"/>
            <w:r>
              <w:rPr>
                <w:rFonts w:hint="eastAsia" w:ascii="宋体" w:hAnsi="宋体" w:eastAsia="宋体" w:cs="宋体"/>
                <w:color w:val="auto"/>
                <w:sz w:val="21"/>
                <w:szCs w:val="21"/>
                <w:highlight w:val="none"/>
                <w:lang w:val="en-US" w:eastAsia="zh-CN"/>
              </w:rPr>
              <w:t>）,从验收合格之日起计算。</w:t>
            </w:r>
          </w:p>
          <w:p w14:paraId="43A65DC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按照质保期内售后服务内容及标准继续提供质保服务，直至采购人确认更换维保单位或设备报废。若质保期满后存在质保期内未解决的技术问题、未完成的任务，成交供应商不能因质保期满而出现缓修、拒修等情况，应继续履行服务至问题解决、任务完成为止。</w:t>
            </w:r>
          </w:p>
          <w:p w14:paraId="1946EFA8">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成交供应商维护所产生费用由成交人和采购人通过合同或协议商定，另行结算。维护金额每年不得超过合同额的8%，维护成本超过该数额的一概由成交人自行承担，项目质保维护期满后可另行签订维护和售后服务合同，具体事项以实际磋商为准。</w:t>
            </w:r>
          </w:p>
          <w:p w14:paraId="72E06AD0">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质保期内，出现故障，成交供应商须派出有相应资格的技术工程师到达现场处理故障，并承担一切费用。若质保期届满后存在未解决的技术问题、未完成的任务，成交供应商应当按照合同约定继续履行至问题解决、任务完成为止。</w:t>
            </w:r>
          </w:p>
        </w:tc>
      </w:tr>
      <w:tr w14:paraId="5FA12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112783A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培训</w:t>
            </w:r>
          </w:p>
        </w:tc>
        <w:tc>
          <w:tcPr>
            <w:tcW w:w="6702" w:type="dxa"/>
            <w:gridSpan w:val="3"/>
            <w:tcBorders>
              <w:top w:val="single" w:color="auto" w:sz="4" w:space="0"/>
              <w:left w:val="single" w:color="auto" w:sz="4" w:space="0"/>
              <w:bottom w:val="single" w:color="auto" w:sz="4" w:space="0"/>
              <w:right w:val="single" w:color="auto" w:sz="4" w:space="0"/>
            </w:tcBorders>
            <w:noWrap w:val="0"/>
            <w:vAlign w:val="top"/>
          </w:tcPr>
          <w:p w14:paraId="1377F6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成交供应商基于系统软件的功能特性与用户实际操作能力，提供详尽的系统培训方案。旨在通过系统化的培训，确保系统管理人员能够独立胜任对成交供应商所供系统软件的全面管理以及日常维护工作，同时促使各级业务人员熟练掌握系统软件的操作技巧，进而确保应用系统得以充分、有效地应用。</w:t>
            </w:r>
          </w:p>
          <w:p w14:paraId="2E4441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成交供应商自行准备培训方案，对采购人各类人员进行相关的培训，明确培训的内容、次数和方式等。</w:t>
            </w:r>
          </w:p>
          <w:p w14:paraId="1FEDDC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培训对象可以分为普通业务操作员、系统管理员，成交供应商可以针对不同的对象制定不同的培训计划，并分别培训。</w:t>
            </w:r>
            <w:r>
              <w:rPr>
                <w:rFonts w:hint="eastAsia" w:ascii="宋体" w:hAnsi="宋体" w:eastAsia="宋体" w:cs="宋体"/>
                <w:b/>
                <w:bCs/>
                <w:color w:val="auto"/>
                <w:spacing w:val="0"/>
                <w:sz w:val="21"/>
                <w:szCs w:val="21"/>
                <w:highlight w:val="none"/>
              </w:rPr>
              <w:t>所提供的培训课程表随响应文件一起提交</w:t>
            </w:r>
            <w:r>
              <w:rPr>
                <w:rFonts w:hint="eastAsia" w:ascii="宋体" w:hAnsi="宋体" w:eastAsia="宋体" w:cs="宋体"/>
                <w:b/>
                <w:bCs/>
                <w:color w:val="auto"/>
                <w:spacing w:val="0"/>
                <w:sz w:val="21"/>
                <w:szCs w:val="21"/>
                <w:highlight w:val="none"/>
                <w:lang w:eastAsia="zh-CN"/>
              </w:rPr>
              <w:t>，否则响应文件做无效响应处理</w:t>
            </w:r>
            <w:r>
              <w:rPr>
                <w:rFonts w:hint="eastAsia" w:ascii="宋体" w:hAnsi="宋体" w:eastAsia="宋体" w:cs="宋体"/>
                <w:b/>
                <w:bCs/>
                <w:color w:val="auto"/>
                <w:spacing w:val="0"/>
                <w:sz w:val="21"/>
                <w:szCs w:val="21"/>
                <w:highlight w:val="none"/>
              </w:rPr>
              <w:t>。</w:t>
            </w:r>
          </w:p>
          <w:p w14:paraId="51BD1C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成交供应商可以提供有经验的教员，使采购人相关人员在培训后能够独立地对系统进行管理、维护，而不需成交供应商的人员在场指导。</w:t>
            </w:r>
          </w:p>
          <w:p w14:paraId="7B9F38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培训内容包括</w:t>
            </w:r>
            <w:r>
              <w:rPr>
                <w:rFonts w:hint="eastAsia" w:ascii="宋体" w:hAnsi="宋体" w:eastAsia="宋体" w:cs="宋体"/>
                <w:color w:val="auto"/>
                <w:spacing w:val="0"/>
                <w:sz w:val="21"/>
                <w:szCs w:val="21"/>
                <w:highlight w:val="none"/>
                <w:lang w:eastAsia="zh-CN"/>
              </w:rPr>
              <w:t>行业应用软件开发服务</w:t>
            </w:r>
            <w:r>
              <w:rPr>
                <w:rFonts w:hint="eastAsia" w:ascii="宋体" w:hAnsi="宋体" w:eastAsia="宋体" w:cs="宋体"/>
                <w:color w:val="auto"/>
                <w:spacing w:val="0"/>
                <w:sz w:val="21"/>
                <w:szCs w:val="21"/>
                <w:highlight w:val="none"/>
              </w:rPr>
              <w:t>操作、操作系统、后台数据库管理等培训。</w:t>
            </w:r>
          </w:p>
          <w:p w14:paraId="1B9921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成交供应商应为所有被培训人员进行现场培训。</w:t>
            </w:r>
          </w:p>
          <w:p w14:paraId="39081C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业务系统操作培训工作应在系统安装之前结束。</w:t>
            </w:r>
          </w:p>
          <w:p w14:paraId="5C906F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7</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采购人仅负责提供培训场地、培训电脑和培训人员的召集。</w:t>
            </w:r>
          </w:p>
          <w:p w14:paraId="3F5782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成交供应商负责培训环境的搭建、培训文档的准备、培训的实施、培训人员的考核等。</w:t>
            </w:r>
          </w:p>
          <w:p w14:paraId="4806A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9</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与培训相关的费用由成交供应商自行承担，相关费用应包含在报价中，采购人不另外支付。</w:t>
            </w:r>
          </w:p>
        </w:tc>
      </w:tr>
      <w:tr w14:paraId="4236F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5B6F7C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质量要求</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4B250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符合现行国家相关标准、行业标准、地方标准或者其他标准、规范。采购人在中华人民共和国境内使用成交供应商提供的产品及服务时免受第三方提出的侵犯其专利权或其它知识产权的起诉。如果第三方提出侵权指控，成交供应商承担由此而引起的一切法律责任和费用。</w:t>
            </w:r>
          </w:p>
        </w:tc>
      </w:tr>
      <w:tr w14:paraId="0D1DB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649182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安全要求</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02600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上线前软件需通过漏洞扫描、渗透测试等安全检查，成交供应商根据检测结果对安全漏洞进行整改，安全检查及整改费用由成交供应商支付。配合采购人医院每年的信息安全等级保护测评、上级部门年度安全检查、公安部门的护网行动，对检查和演练中发现问题，凡属于成交供应商系统引起的，成交供应商必须无条件组织整改。</w:t>
            </w:r>
          </w:p>
        </w:tc>
      </w:tr>
      <w:tr w14:paraId="2563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54B5C7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售后服务要求</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1EBCA6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（1）成交供应商应提供7×24小时热线电话、远程网络、现场等服务方式。热线电话和远程网络应立即响应。如电话、远程未能处理的，成交供应商应当在收到首次通知后24小时内到现场解决。</w:t>
            </w:r>
          </w:p>
          <w:p w14:paraId="1BD1E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（2）提供软件部分验收后每年升级服务；硬件部分在维保期间，如需更换新配件或整个设备更换不再收取任何费用。</w:t>
            </w:r>
          </w:p>
          <w:p w14:paraId="456527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（3）现场巡检服务：项目经理每年至少1次，由成交供应商委派项目经理到现场了解系统的运行状况，为系统定期维护保养，使系统处于最佳运行状态。</w:t>
            </w:r>
          </w:p>
          <w:p w14:paraId="49817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定期巡检：每季度进行一次定期远程巡检，对系统的软硬件环境进行检查，发现系统稳定运行的隐患因素并及时排除，出具系统巡检报告，内容包含巡检范围、结果及巡检建议，每次巡检完后提交盖有公章的纸质巡检报告。</w:t>
            </w:r>
          </w:p>
          <w:p w14:paraId="346C6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（5）以上全部内容相关费用应包含在报价中，采购人不另外支付。</w:t>
            </w:r>
          </w:p>
        </w:tc>
      </w:tr>
      <w:tr w14:paraId="63CD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2AAB7F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6702" w:type="dxa"/>
            <w:gridSpan w:val="3"/>
            <w:tcBorders>
              <w:top w:val="single" w:color="auto" w:sz="4" w:space="0"/>
              <w:left w:val="single" w:color="auto" w:sz="4" w:space="0"/>
              <w:bottom w:val="single" w:color="auto" w:sz="4" w:space="0"/>
              <w:right w:val="single" w:color="auto" w:sz="4" w:space="0"/>
            </w:tcBorders>
            <w:noWrap w:val="0"/>
            <w:vAlign w:val="center"/>
          </w:tcPr>
          <w:p w14:paraId="5D71C3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(1）成交供应商货物完成安装调试，且系统开发、系统调试、系统测试完毕并正式运行壹个月后，向采购人提交书面验收申请，采购人经确认供应商完成合同内容后，对项目进行验收。项目整体验收合格后，进入</w:t>
            </w:r>
            <w:r>
              <w:rPr>
                <w:rFonts w:hint="eastAsia" w:ascii="宋体" w:hAnsi="宋体" w:eastAsia="宋体" w:cs="宋体"/>
                <w:color w:val="auto"/>
                <w:sz w:val="21"/>
                <w:szCs w:val="21"/>
                <w:highlight w:val="none"/>
                <w:lang w:val="en-US" w:eastAsia="zh-CN"/>
              </w:rPr>
              <w:t>软件部分</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1年质保期、配套产品</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3年质保期</w:t>
            </w:r>
            <w:r>
              <w:rPr>
                <w:rFonts w:hint="eastAsia" w:ascii="宋体" w:hAnsi="宋体" w:eastAsia="宋体" w:cs="宋体"/>
                <w:color w:val="auto"/>
                <w:sz w:val="21"/>
                <w:szCs w:val="21"/>
                <w:highlight w:val="none"/>
                <w:lang w:val="en-US" w:eastAsia="zh-CN"/>
              </w:rPr>
              <w:t>（质保期起始日期为项目整体验收合格第二天起）。</w:t>
            </w:r>
          </w:p>
          <w:p w14:paraId="772F4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(2）验收时，须提供原厂售后服务承诺函以及硬件设备原厂供货证明函原件，否则不予验收。验收过程中所产生的一切费用均由成交供应商承担。报价时应考虑相关费用。</w:t>
            </w:r>
          </w:p>
          <w:p w14:paraId="489EA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在硬件和软件交付验收时，由采购人对照采购文件（及成交供应商响应文件）的硬件和软件要求及技术需求，全面核对检验，对采购参数的每项指标进行功能有效性验证，若为了不出现负偏离，在响应文件中提供虚假材料，而实际产品并不完全符合参数要求，将认定为无效响应。如不符合采购文件（及成交供应商响应文件）的技术需求及要求以及提供虚假承诺的，按相关规定做违约处理，成交供应商承担所有责任和费用，采购人保留进一步追究责任的权利。</w:t>
            </w:r>
          </w:p>
          <w:p w14:paraId="5FCE04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（4）符合相关验收标准，如验收过程中，采购人发现硬件存在不符相关标准的或软件功能未达到要求的，供应商应无条件置换和整改，否则不给予验收。</w:t>
            </w:r>
          </w:p>
        </w:tc>
      </w:tr>
      <w:tr w14:paraId="7EB28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02" w:type="dxa"/>
            <w:gridSpan w:val="7"/>
            <w:tcBorders>
              <w:top w:val="single" w:color="auto" w:sz="4" w:space="0"/>
              <w:left w:val="single" w:color="auto" w:sz="4" w:space="0"/>
              <w:bottom w:val="single" w:color="auto" w:sz="4" w:space="0"/>
              <w:right w:val="single" w:color="auto" w:sz="4" w:space="0"/>
            </w:tcBorders>
            <w:noWrap w:val="0"/>
            <w:vAlign w:val="center"/>
          </w:tcPr>
          <w:p w14:paraId="2009F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二、与实现项目目标相关的其他要求</w:t>
            </w:r>
          </w:p>
        </w:tc>
      </w:tr>
      <w:tr w14:paraId="08D34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02" w:type="dxa"/>
            <w:gridSpan w:val="7"/>
            <w:tcBorders>
              <w:top w:val="single" w:color="auto" w:sz="4" w:space="0"/>
              <w:left w:val="single" w:color="auto" w:sz="4" w:space="0"/>
              <w:bottom w:val="single" w:color="auto" w:sz="4" w:space="0"/>
              <w:right w:val="single" w:color="auto" w:sz="4" w:space="0"/>
            </w:tcBorders>
            <w:noWrap w:val="0"/>
            <w:vAlign w:val="center"/>
          </w:tcPr>
          <w:p w14:paraId="75620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供应商的履约能力要求</w:t>
            </w:r>
          </w:p>
        </w:tc>
      </w:tr>
      <w:tr w14:paraId="2232E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gridSpan w:val="3"/>
            <w:tcBorders>
              <w:top w:val="single" w:color="auto" w:sz="4" w:space="0"/>
              <w:left w:val="single" w:color="auto" w:sz="4" w:space="0"/>
              <w:bottom w:val="single" w:color="auto" w:sz="4" w:space="0"/>
              <w:right w:val="single" w:color="auto" w:sz="4" w:space="0"/>
            </w:tcBorders>
            <w:noWrap w:val="0"/>
            <w:vAlign w:val="center"/>
          </w:tcPr>
          <w:p w14:paraId="589075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拟投入的实施团队</w:t>
            </w:r>
          </w:p>
        </w:tc>
        <w:tc>
          <w:tcPr>
            <w:tcW w:w="7009" w:type="dxa"/>
            <w:gridSpan w:val="4"/>
            <w:tcBorders>
              <w:top w:val="single" w:color="auto" w:sz="4" w:space="0"/>
              <w:left w:val="single" w:color="auto" w:sz="4" w:space="0"/>
              <w:bottom w:val="single" w:color="auto" w:sz="4" w:space="0"/>
              <w:right w:val="single" w:color="auto" w:sz="4" w:space="0"/>
            </w:tcBorders>
            <w:noWrap w:val="0"/>
            <w:vAlign w:val="center"/>
          </w:tcPr>
          <w:p w14:paraId="650EC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供应商可针对本项目特点，成立针对采购人信息系统建设的项目工作组。成员至少包括：</w:t>
            </w:r>
          </w:p>
          <w:p w14:paraId="79EA6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（1）项目经理：全权代表供应商执行各项技术及管理工作；</w:t>
            </w:r>
          </w:p>
          <w:p w14:paraId="6CCFC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（2）研发人员：进行现场需求分析及研发，通过研发满足临床需求；</w:t>
            </w:r>
          </w:p>
          <w:p w14:paraId="70D9B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（3）项目实施人员：负责项目的现场实施工作，直至项目结束。</w:t>
            </w:r>
          </w:p>
          <w:p w14:paraId="7A8293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（4）供应商对于此项目，承诺成立总人数不少于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人的实施团队，其中至少包括项目经理1人，实施人员1人、研发人员1人。</w:t>
            </w:r>
          </w:p>
        </w:tc>
      </w:tr>
    </w:tbl>
    <w:p w14:paraId="3133C3DA">
      <w:pPr>
        <w:shd w:val="clear" w:color="auto" w:fill="auto"/>
        <w:tabs>
          <w:tab w:val="left" w:pos="180"/>
          <w:tab w:val="left" w:pos="1620"/>
        </w:tabs>
        <w:spacing w:line="360" w:lineRule="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lang w:val="en-US" w:eastAsia="zh-CN"/>
        </w:rPr>
        <w:t>附件1：</w:t>
      </w:r>
    </w:p>
    <w:p w14:paraId="0B866A7C">
      <w:pPr>
        <w:pStyle w:val="12"/>
        <w:jc w:val="cente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中小企业划型标准规定</w:t>
      </w:r>
    </w:p>
    <w:p w14:paraId="01AC426D">
      <w:pPr>
        <w:pStyle w:val="12"/>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工信部联企业</w:t>
      </w:r>
      <w:r>
        <w:rPr>
          <w:rFonts w:hint="eastAsia" w:ascii="宋体" w:hAnsi="宋体" w:eastAsia="宋体" w:cs="Times New Roman"/>
          <w:color w:val="auto"/>
          <w:szCs w:val="21"/>
          <w:highlight w:val="none"/>
          <w:lang w:eastAsia="zh-CN"/>
        </w:rPr>
        <w:t>〔2011〕300号</w:t>
      </w:r>
    </w:p>
    <w:p w14:paraId="3CC7B68F">
      <w:pPr>
        <w:pStyle w:val="12"/>
        <w:rPr>
          <w:rFonts w:hint="eastAsia" w:ascii="Times New Roman" w:hAnsi="Times New Roman" w:eastAsia="宋体" w:cs="Times New Roman"/>
          <w:color w:val="auto"/>
          <w:szCs w:val="21"/>
          <w:highlight w:val="none"/>
        </w:rPr>
      </w:pPr>
    </w:p>
    <w:p w14:paraId="4C727CD5">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一、根据《中华人民共和国中小企业促进法》和《国务院关于进一步促进中小企业发展的若干意见》</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国发</w:t>
      </w:r>
      <w:r>
        <w:rPr>
          <w:rFonts w:hint="eastAsia" w:ascii="Times New Roman" w:hAnsi="Times New Roman" w:eastAsia="宋体" w:cs="Times New Roman"/>
          <w:color w:val="auto"/>
          <w:szCs w:val="21"/>
          <w:highlight w:val="none"/>
          <w:lang w:eastAsia="zh-CN"/>
        </w:rPr>
        <w:t>〔2009〕36号</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，制定本规定。</w:t>
      </w:r>
    </w:p>
    <w:p w14:paraId="44EB56AE">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二、中小企业划分为中型、小型、微型三种类型，具体标准根据企业从业人员、营业收入、资产总额等指标，结合行业特点制定。</w:t>
      </w:r>
    </w:p>
    <w:p w14:paraId="351AA625">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2B4B62">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四、各行业划型标准为：</w:t>
      </w:r>
    </w:p>
    <w:p w14:paraId="06BD2FDF">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（一）农、林、牧、渔业。营业收入</w:t>
      </w:r>
      <w:r>
        <w:rPr>
          <w:rFonts w:ascii="Times New Roman" w:hAnsi="Times New Roman" w:eastAsia="宋体" w:cs="Times New Roman"/>
          <w:color w:val="auto"/>
          <w:szCs w:val="21"/>
          <w:highlight w:val="none"/>
        </w:rPr>
        <w:t>20000</w:t>
      </w:r>
      <w:r>
        <w:rPr>
          <w:rFonts w:hint="eastAsia" w:ascii="Times New Roman" w:hAnsi="Times New Roman" w:eastAsia="宋体" w:cs="Times New Roman"/>
          <w:color w:val="auto"/>
          <w:szCs w:val="21"/>
          <w:highlight w:val="none"/>
        </w:rPr>
        <w:t>万元以下的为中小微型企业。其中，营业收入</w:t>
      </w:r>
      <w:r>
        <w:rPr>
          <w:rFonts w:ascii="Times New Roman" w:hAnsi="Times New Roman" w:eastAsia="宋体" w:cs="Times New Roman"/>
          <w:color w:val="auto"/>
          <w:szCs w:val="21"/>
          <w:highlight w:val="none"/>
        </w:rPr>
        <w:t>500</w:t>
      </w:r>
      <w:r>
        <w:rPr>
          <w:rFonts w:hint="eastAsia" w:ascii="Times New Roman" w:hAnsi="Times New Roman" w:eastAsia="宋体" w:cs="Times New Roman"/>
          <w:color w:val="auto"/>
          <w:szCs w:val="21"/>
          <w:highlight w:val="none"/>
        </w:rPr>
        <w:t>万元及以上的为中型企业，营业收入</w:t>
      </w:r>
      <w:r>
        <w:rPr>
          <w:rFonts w:ascii="Times New Roman" w:hAnsi="Times New Roman" w:eastAsia="宋体" w:cs="Times New Roman"/>
          <w:color w:val="auto"/>
          <w:szCs w:val="21"/>
          <w:highlight w:val="none"/>
        </w:rPr>
        <w:t>50</w:t>
      </w:r>
      <w:r>
        <w:rPr>
          <w:rFonts w:hint="eastAsia" w:ascii="Times New Roman" w:hAnsi="Times New Roman" w:eastAsia="宋体" w:cs="Times New Roman"/>
          <w:color w:val="auto"/>
          <w:szCs w:val="21"/>
          <w:highlight w:val="none"/>
        </w:rPr>
        <w:t>万元及以上的为小型企业，营业收入</w:t>
      </w:r>
      <w:r>
        <w:rPr>
          <w:rFonts w:ascii="Times New Roman" w:hAnsi="Times New Roman" w:eastAsia="宋体" w:cs="Times New Roman"/>
          <w:color w:val="auto"/>
          <w:szCs w:val="21"/>
          <w:highlight w:val="none"/>
        </w:rPr>
        <w:t>50</w:t>
      </w:r>
      <w:r>
        <w:rPr>
          <w:rFonts w:hint="eastAsia" w:ascii="Times New Roman" w:hAnsi="Times New Roman" w:eastAsia="宋体" w:cs="Times New Roman"/>
          <w:color w:val="auto"/>
          <w:szCs w:val="21"/>
          <w:highlight w:val="none"/>
        </w:rPr>
        <w:t>万元以下的为微型企业。</w:t>
      </w:r>
    </w:p>
    <w:p w14:paraId="1C7B0083">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（二）工业。从业人员</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40000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万元以下的为微型企业。</w:t>
      </w:r>
    </w:p>
    <w:p w14:paraId="0F2E3C37">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（三）建筑业。营业收入</w:t>
      </w:r>
      <w:r>
        <w:rPr>
          <w:rFonts w:ascii="Times New Roman" w:hAnsi="Times New Roman" w:eastAsia="宋体" w:cs="Times New Roman"/>
          <w:color w:val="auto"/>
          <w:szCs w:val="21"/>
          <w:highlight w:val="none"/>
        </w:rPr>
        <w:t>80000</w:t>
      </w:r>
      <w:r>
        <w:rPr>
          <w:rFonts w:hint="eastAsia" w:ascii="Times New Roman" w:hAnsi="Times New Roman" w:eastAsia="宋体" w:cs="Times New Roman"/>
          <w:color w:val="auto"/>
          <w:szCs w:val="21"/>
          <w:highlight w:val="none"/>
        </w:rPr>
        <w:t>万元以下或资产总额</w:t>
      </w:r>
      <w:r>
        <w:rPr>
          <w:rFonts w:ascii="Times New Roman" w:hAnsi="Times New Roman" w:eastAsia="宋体" w:cs="Times New Roman"/>
          <w:color w:val="auto"/>
          <w:szCs w:val="21"/>
          <w:highlight w:val="none"/>
        </w:rPr>
        <w:t>80000</w:t>
      </w:r>
      <w:r>
        <w:rPr>
          <w:rFonts w:hint="eastAsia" w:ascii="Times New Roman" w:hAnsi="Times New Roman" w:eastAsia="宋体" w:cs="Times New Roman"/>
          <w:color w:val="auto"/>
          <w:szCs w:val="21"/>
          <w:highlight w:val="none"/>
        </w:rPr>
        <w:t>万元以下的为中小微型企业。其中，营业收入</w:t>
      </w:r>
      <w:r>
        <w:rPr>
          <w:rFonts w:ascii="Times New Roman" w:hAnsi="Times New Roman" w:eastAsia="宋体" w:cs="Times New Roman"/>
          <w:color w:val="auto"/>
          <w:szCs w:val="21"/>
          <w:highlight w:val="none"/>
        </w:rPr>
        <w:t>6000</w:t>
      </w:r>
      <w:r>
        <w:rPr>
          <w:rFonts w:hint="eastAsia" w:ascii="Times New Roman" w:hAnsi="Times New Roman" w:eastAsia="宋体" w:cs="Times New Roman"/>
          <w:color w:val="auto"/>
          <w:szCs w:val="21"/>
          <w:highlight w:val="none"/>
        </w:rPr>
        <w:t>万元及以上，且资产总额</w:t>
      </w:r>
      <w:r>
        <w:rPr>
          <w:rFonts w:ascii="Times New Roman" w:hAnsi="Times New Roman" w:eastAsia="宋体" w:cs="Times New Roman"/>
          <w:color w:val="auto"/>
          <w:szCs w:val="21"/>
          <w:highlight w:val="none"/>
        </w:rPr>
        <w:t>5000</w:t>
      </w:r>
      <w:r>
        <w:rPr>
          <w:rFonts w:hint="eastAsia" w:ascii="Times New Roman" w:hAnsi="Times New Roman" w:eastAsia="宋体" w:cs="Times New Roman"/>
          <w:color w:val="auto"/>
          <w:szCs w:val="21"/>
          <w:highlight w:val="none"/>
        </w:rPr>
        <w:t>万元及以上的为中型企业；营业收入</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万元及以上，且资产总额</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万元及以上的为小型企业；营业收入</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万元以下或资产总额</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万元以下的为微型企业。</w:t>
      </w:r>
    </w:p>
    <w:p w14:paraId="4FAE7A55">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（四）批发业。从业人员</w:t>
      </w:r>
      <w:r>
        <w:rPr>
          <w:rFonts w:ascii="Times New Roman" w:hAnsi="Times New Roman" w:eastAsia="宋体" w:cs="Times New Roman"/>
          <w:color w:val="auto"/>
          <w:szCs w:val="21"/>
          <w:highlight w:val="none"/>
        </w:rPr>
        <w:t>200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40000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5000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万元以下的为微型企业。</w:t>
      </w:r>
    </w:p>
    <w:p w14:paraId="3B5ABC50">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（五）零售业。从业人员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20000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50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500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018E0551">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（六）交通运输业。从业人员</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30000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3000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200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200</w:t>
      </w:r>
      <w:r>
        <w:rPr>
          <w:rFonts w:hint="eastAsia" w:ascii="Times New Roman" w:hAnsi="Times New Roman" w:eastAsia="宋体" w:cs="Times New Roman"/>
          <w:color w:val="auto"/>
          <w:szCs w:val="21"/>
          <w:highlight w:val="none"/>
        </w:rPr>
        <w:t>万元以下的为微型企业。</w:t>
      </w:r>
    </w:p>
    <w:p w14:paraId="033B338E">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（七）仓储业。从业人员</w:t>
      </w:r>
      <w:r>
        <w:rPr>
          <w:rFonts w:ascii="Times New Roman" w:hAnsi="Times New Roman" w:eastAsia="宋体" w:cs="Times New Roman"/>
          <w:color w:val="auto"/>
          <w:szCs w:val="21"/>
          <w:highlight w:val="none"/>
        </w:rPr>
        <w:t>200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30000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38A6790B">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（八）邮政业。从业人员</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30000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4ED93860">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（九）住宿业。从业人员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1CB44E5F">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（十）餐饮业。从业人员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7ADCCBD7">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（十一）信息传输业。从业人员</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256099C4">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（十二）软件和信息技术服务业。从业人员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10000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50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50</w:t>
      </w:r>
      <w:r>
        <w:rPr>
          <w:rFonts w:hint="eastAsia" w:ascii="Times New Roman" w:hAnsi="Times New Roman" w:eastAsia="宋体" w:cs="Times New Roman"/>
          <w:color w:val="auto"/>
          <w:szCs w:val="21"/>
          <w:highlight w:val="none"/>
        </w:rPr>
        <w:t>万元以下的为微型企业。</w:t>
      </w:r>
    </w:p>
    <w:p w14:paraId="06DA6530">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（十三）房地产开发经营。营业收入</w:t>
      </w:r>
      <w:r>
        <w:rPr>
          <w:rFonts w:ascii="Times New Roman" w:hAnsi="Times New Roman" w:eastAsia="宋体" w:cs="Times New Roman"/>
          <w:color w:val="auto"/>
          <w:szCs w:val="21"/>
          <w:highlight w:val="none"/>
        </w:rPr>
        <w:t>200000</w:t>
      </w:r>
      <w:r>
        <w:rPr>
          <w:rFonts w:hint="eastAsia" w:ascii="Times New Roman" w:hAnsi="Times New Roman" w:eastAsia="宋体" w:cs="Times New Roman"/>
          <w:color w:val="auto"/>
          <w:szCs w:val="21"/>
          <w:highlight w:val="none"/>
        </w:rPr>
        <w:t>万元以下或资产总额</w:t>
      </w:r>
      <w:r>
        <w:rPr>
          <w:rFonts w:ascii="Times New Roman" w:hAnsi="Times New Roman" w:eastAsia="宋体" w:cs="Times New Roman"/>
          <w:color w:val="auto"/>
          <w:szCs w:val="21"/>
          <w:highlight w:val="none"/>
        </w:rPr>
        <w:t>10000</w:t>
      </w:r>
      <w:r>
        <w:rPr>
          <w:rFonts w:hint="eastAsia" w:ascii="Times New Roman" w:hAnsi="Times New Roman" w:eastAsia="宋体" w:cs="Times New Roman"/>
          <w:color w:val="auto"/>
          <w:szCs w:val="21"/>
          <w:highlight w:val="none"/>
        </w:rPr>
        <w:t>万元以下的为中小微型企业。其中，营业收入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万元及以上，且资产总额</w:t>
      </w:r>
      <w:r>
        <w:rPr>
          <w:rFonts w:ascii="Times New Roman" w:hAnsi="Times New Roman" w:eastAsia="宋体" w:cs="Times New Roman"/>
          <w:color w:val="auto"/>
          <w:szCs w:val="21"/>
          <w:highlight w:val="none"/>
        </w:rPr>
        <w:t>5000</w:t>
      </w:r>
      <w:r>
        <w:rPr>
          <w:rFonts w:hint="eastAsia" w:ascii="Times New Roman" w:hAnsi="Times New Roman" w:eastAsia="宋体" w:cs="Times New Roman"/>
          <w:color w:val="auto"/>
          <w:szCs w:val="21"/>
          <w:highlight w:val="none"/>
        </w:rPr>
        <w:t>万元及以上的为中型企业；营业收入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万元及以上，且资产总额</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万元及以上的为小型企业；营业收入</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万元以下或资产总额</w:t>
      </w:r>
      <w:r>
        <w:rPr>
          <w:rFonts w:ascii="Times New Roman" w:hAnsi="Times New Roman" w:eastAsia="宋体" w:cs="Times New Roman"/>
          <w:color w:val="auto"/>
          <w:szCs w:val="21"/>
          <w:highlight w:val="none"/>
        </w:rPr>
        <w:t>2000</w:t>
      </w:r>
      <w:r>
        <w:rPr>
          <w:rFonts w:hint="eastAsia" w:ascii="Times New Roman" w:hAnsi="Times New Roman" w:eastAsia="宋体" w:cs="Times New Roman"/>
          <w:color w:val="auto"/>
          <w:szCs w:val="21"/>
          <w:highlight w:val="none"/>
        </w:rPr>
        <w:t>万元以下的为微型企业。</w:t>
      </w:r>
    </w:p>
    <w:p w14:paraId="27C1D004">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（十四）物业管理。从业人员</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5000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1000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人及以上，且营业收入</w:t>
      </w:r>
      <w:r>
        <w:rPr>
          <w:rFonts w:ascii="Times New Roman" w:hAnsi="Times New Roman" w:eastAsia="宋体" w:cs="Times New Roman"/>
          <w:color w:val="auto"/>
          <w:szCs w:val="21"/>
          <w:highlight w:val="none"/>
        </w:rPr>
        <w:t>500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人以下或营业收入</w:t>
      </w:r>
      <w:r>
        <w:rPr>
          <w:rFonts w:ascii="Times New Roman" w:hAnsi="Times New Roman" w:eastAsia="宋体" w:cs="Times New Roman"/>
          <w:color w:val="auto"/>
          <w:szCs w:val="21"/>
          <w:highlight w:val="none"/>
        </w:rPr>
        <w:t>500</w:t>
      </w:r>
      <w:r>
        <w:rPr>
          <w:rFonts w:hint="eastAsia" w:ascii="Times New Roman" w:hAnsi="Times New Roman" w:eastAsia="宋体" w:cs="Times New Roman"/>
          <w:color w:val="auto"/>
          <w:szCs w:val="21"/>
          <w:highlight w:val="none"/>
        </w:rPr>
        <w:t>万元以下的为微型企业。</w:t>
      </w:r>
    </w:p>
    <w:p w14:paraId="21970D16">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（十五）租赁和商务服务业。从业人员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人以下或资产总额</w:t>
      </w:r>
      <w:r>
        <w:rPr>
          <w:rFonts w:ascii="Times New Roman" w:hAnsi="Times New Roman" w:eastAsia="宋体" w:cs="Times New Roman"/>
          <w:color w:val="auto"/>
          <w:szCs w:val="21"/>
          <w:highlight w:val="none"/>
        </w:rPr>
        <w:t>120000</w:t>
      </w:r>
      <w:r>
        <w:rPr>
          <w:rFonts w:hint="eastAsia" w:ascii="Times New Roman" w:hAnsi="Times New Roman" w:eastAsia="宋体" w:cs="Times New Roman"/>
          <w:color w:val="auto"/>
          <w:szCs w:val="21"/>
          <w:highlight w:val="none"/>
        </w:rPr>
        <w:t>万元以下的为中小微型企业。其中，从业人员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人及以上，且资产总额</w:t>
      </w:r>
      <w:r>
        <w:rPr>
          <w:rFonts w:ascii="Times New Roman" w:hAnsi="Times New Roman" w:eastAsia="宋体" w:cs="Times New Roman"/>
          <w:color w:val="auto"/>
          <w:szCs w:val="21"/>
          <w:highlight w:val="none"/>
        </w:rPr>
        <w:t>8000</w:t>
      </w:r>
      <w:r>
        <w:rPr>
          <w:rFonts w:hint="eastAsia" w:ascii="Times New Roman" w:hAnsi="Times New Roman" w:eastAsia="宋体" w:cs="Times New Roman"/>
          <w:color w:val="auto"/>
          <w:szCs w:val="21"/>
          <w:highlight w:val="none"/>
        </w:rPr>
        <w:t>万元及以上的为中型企业；从业人员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人及以上，且资产总额</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人以下或资产总额</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万元以下的为微型企业。</w:t>
      </w:r>
    </w:p>
    <w:p w14:paraId="3BCAB353">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（十六）其他未列明行业。从业人员</w:t>
      </w:r>
      <w:r>
        <w:rPr>
          <w:rFonts w:ascii="Times New Roman" w:hAnsi="Times New Roman" w:eastAsia="宋体" w:cs="Times New Roman"/>
          <w:color w:val="auto"/>
          <w:szCs w:val="21"/>
          <w:highlight w:val="none"/>
        </w:rPr>
        <w:t>300</w:t>
      </w:r>
      <w:r>
        <w:rPr>
          <w:rFonts w:hint="eastAsia" w:ascii="Times New Roman" w:hAnsi="Times New Roman" w:eastAsia="宋体" w:cs="Times New Roman"/>
          <w:color w:val="auto"/>
          <w:szCs w:val="21"/>
          <w:highlight w:val="none"/>
        </w:rPr>
        <w:t>人以下的为中小微型企业。其中，从业人员</w:t>
      </w:r>
      <w:r>
        <w:rPr>
          <w:rFonts w:ascii="Times New Roman" w:hAnsi="Times New Roman" w:eastAsia="宋体" w:cs="Times New Roman"/>
          <w:color w:val="auto"/>
          <w:szCs w:val="21"/>
          <w:highlight w:val="none"/>
        </w:rPr>
        <w:t>100</w:t>
      </w:r>
      <w:r>
        <w:rPr>
          <w:rFonts w:hint="eastAsia" w:ascii="Times New Roman" w:hAnsi="Times New Roman" w:eastAsia="宋体" w:cs="Times New Roman"/>
          <w:color w:val="auto"/>
          <w:szCs w:val="21"/>
          <w:highlight w:val="none"/>
        </w:rPr>
        <w:t>人及以上的为中型企业；从业人员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人及以上的为小型企业；从业人员</w:t>
      </w:r>
      <w:r>
        <w:rPr>
          <w:rFonts w:ascii="Times New Roman" w:hAnsi="Times New Roman" w:eastAsia="宋体" w:cs="Times New Roman"/>
          <w:color w:val="auto"/>
          <w:szCs w:val="21"/>
          <w:highlight w:val="none"/>
        </w:rPr>
        <w:t>10</w:t>
      </w:r>
      <w:r>
        <w:rPr>
          <w:rFonts w:hint="eastAsia" w:ascii="Times New Roman" w:hAnsi="Times New Roman" w:eastAsia="宋体" w:cs="Times New Roman"/>
          <w:color w:val="auto"/>
          <w:szCs w:val="21"/>
          <w:highlight w:val="none"/>
        </w:rPr>
        <w:t>人以下的为微型企业。</w:t>
      </w:r>
    </w:p>
    <w:p w14:paraId="7D936979">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五、企业类型的划分以统计部门的统计数据为依据。</w:t>
      </w:r>
    </w:p>
    <w:p w14:paraId="4C854B83">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六、本规定适用于在中华人民共和国境内依法设立的各类所有制和各种组织形式的企业。个体工商户和本规定以外的行业，参照本规定进行划型。</w:t>
      </w:r>
    </w:p>
    <w:p w14:paraId="118D0520">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6591B0A">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八、本规定由工业和信息化部、国家统计局会同有关部门根据《国民经济行业分类》修订情况和企业发展变化情况适时修订。</w:t>
      </w:r>
    </w:p>
    <w:p w14:paraId="5A11383B">
      <w:pPr>
        <w:pStyle w:val="1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九、本规定由工业和信息化部、国家统计局会同有关部门负责解释。</w:t>
      </w:r>
    </w:p>
    <w:p w14:paraId="58C6415C">
      <w:pPr>
        <w:pStyle w:val="12"/>
        <w:ind w:firstLine="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十、本规定自发布之日起执行，原国家经贸委、原国家计委、财政部和国家统计局</w:t>
      </w:r>
      <w:r>
        <w:rPr>
          <w:rFonts w:ascii="Times New Roman" w:hAnsi="Times New Roman" w:eastAsia="宋体" w:cs="Times New Roman"/>
          <w:color w:val="auto"/>
          <w:szCs w:val="21"/>
          <w:highlight w:val="none"/>
        </w:rPr>
        <w:t>2003</w:t>
      </w:r>
      <w:r>
        <w:rPr>
          <w:rFonts w:hint="eastAsia" w:ascii="Times New Roman" w:hAnsi="Times New Roman" w:eastAsia="宋体" w:cs="Times New Roman"/>
          <w:color w:val="auto"/>
          <w:szCs w:val="21"/>
          <w:highlight w:val="none"/>
        </w:rPr>
        <w:t>年颁布的《中小企业标准暂行规定》同时废止。</w:t>
      </w:r>
    </w:p>
    <w:p w14:paraId="47509A0D">
      <w:pPr>
        <w:shd w:val="clear" w:color="auto" w:fill="auto"/>
        <w:tabs>
          <w:tab w:val="left" w:pos="180"/>
          <w:tab w:val="left" w:pos="1620"/>
        </w:tabs>
        <w:spacing w:line="360" w:lineRule="auto"/>
        <w:rPr>
          <w:rFonts w:hint="default" w:ascii="宋体" w:hAnsi="宋体" w:cs="宋体"/>
          <w:b/>
          <w:bCs/>
          <w:color w:val="auto"/>
          <w:sz w:val="32"/>
          <w:szCs w:val="32"/>
          <w:highlight w:val="none"/>
          <w:lang w:val="en-US" w:eastAsia="zh-CN"/>
        </w:rPr>
      </w:pPr>
    </w:p>
    <w:p w14:paraId="1EDF5245">
      <w:pPr>
        <w:shd w:val="clear" w:color="auto" w:fill="auto"/>
        <w:tabs>
          <w:tab w:val="left" w:pos="180"/>
          <w:tab w:val="left" w:pos="1620"/>
        </w:tabs>
        <w:spacing w:line="360" w:lineRule="auto"/>
        <w:ind w:firstLine="422" w:firstLineChars="200"/>
        <w:rPr>
          <w:rFonts w:ascii="宋体" w:hAnsi="宋体" w:cs="宋体"/>
          <w:b/>
          <w:bCs/>
          <w:color w:val="auto"/>
          <w:szCs w:val="21"/>
          <w:highlight w:val="none"/>
        </w:rPr>
      </w:pPr>
    </w:p>
    <w:p w14:paraId="2C860787">
      <w:pPr>
        <w:shd w:val="clear" w:color="auto" w:fill="auto"/>
        <w:tabs>
          <w:tab w:val="left" w:pos="180"/>
          <w:tab w:val="left" w:pos="1620"/>
        </w:tabs>
        <w:spacing w:line="360" w:lineRule="auto"/>
        <w:ind w:firstLine="422" w:firstLineChars="200"/>
        <w:rPr>
          <w:rFonts w:hint="eastAsia" w:ascii="宋体" w:hAnsi="宋体" w:cs="宋体"/>
          <w:b/>
          <w:bCs/>
          <w:color w:val="auto"/>
          <w:szCs w:val="21"/>
          <w:highlight w:val="none"/>
        </w:rPr>
      </w:pPr>
    </w:p>
    <w:p w14:paraId="7528B08F">
      <w:pPr>
        <w:pStyle w:val="2"/>
        <w:shd w:val="clear" w:color="auto" w:fill="auto"/>
        <w:jc w:val="center"/>
        <w:rPr>
          <w:rFonts w:hint="eastAsia"/>
          <w:color w:val="auto"/>
          <w:highlight w:val="none"/>
        </w:rPr>
      </w:pPr>
      <w:r>
        <w:rPr>
          <w:rFonts w:ascii="宋体" w:hAnsi="宋体" w:cs="宋体"/>
          <w:color w:val="auto"/>
          <w:sz w:val="20"/>
          <w:szCs w:val="20"/>
          <w:highlight w:val="none"/>
        </w:rPr>
        <w:br w:type="page"/>
      </w:r>
      <w:bookmarkStart w:id="84" w:name="_Toc74323459"/>
      <w:r>
        <w:rPr>
          <w:rFonts w:hint="eastAsia"/>
          <w:color w:val="auto"/>
          <w:highlight w:val="none"/>
        </w:rPr>
        <w:t>第四章  评审程序、评审方法和评审标准</w:t>
      </w:r>
      <w:bookmarkEnd w:id="84"/>
    </w:p>
    <w:p w14:paraId="360CFB1F">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一、评审程序和评审方法</w:t>
      </w:r>
    </w:p>
    <w:p w14:paraId="35A50CE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03A2F7B5">
      <w:pPr>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.1</w:t>
      </w:r>
      <w:r>
        <w:rPr>
          <w:rFonts w:hint="eastAsia" w:ascii="宋体" w:hAnsi="宋体" w:eastAsia="宋体" w:cs="Times New Roman"/>
          <w:color w:val="auto"/>
          <w:szCs w:val="21"/>
          <w:highlight w:val="none"/>
        </w:rPr>
        <w:t>响应文件开启后，磋商小组依法对供应商的资格证明文件进行审查。</w:t>
      </w:r>
    </w:p>
    <w:p w14:paraId="325999E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Times New Roman" w:hAnsi="Times New Roman" w:eastAsia="宋体" w:cs="Times New Roman"/>
          <w:color w:val="auto"/>
          <w:highlight w:val="none"/>
        </w:rPr>
        <w:t>磋商小组</w:t>
      </w:r>
      <w:r>
        <w:rPr>
          <w:rFonts w:hint="eastAsia" w:ascii="宋体" w:hAnsi="宋体" w:eastAsia="宋体" w:cs="宋体"/>
          <w:color w:val="auto"/>
          <w:szCs w:val="21"/>
          <w:highlight w:val="none"/>
        </w:rPr>
        <w:t>在资格审查结束前，对供应商进行信用查询。</w:t>
      </w:r>
    </w:p>
    <w:p w14:paraId="0074BA6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 “信用中国”网站(www.creditchina.gov.cn)、中国政府采购网(www.ccgp.gov.cn)。</w:t>
      </w:r>
    </w:p>
    <w:p w14:paraId="58AB5D4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218B9E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（3）查询记录和证据留存方式：在查询网站中直接查询，截图另存为电子文档作为评审资料保存。</w:t>
      </w:r>
    </w:p>
    <w:p w14:paraId="7D31716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eastAsia="宋体" w:cs="宋体"/>
          <w:color w:val="auto"/>
          <w:szCs w:val="21"/>
          <w:highlight w:val="none"/>
        </w:rPr>
        <w:t>。</w:t>
      </w:r>
    </w:p>
    <w:p w14:paraId="342B1FF4">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38CAAA0">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.3供应商有下列情形之一的，资格审查不通过，其响应文件按无效响应处理：</w:t>
      </w:r>
    </w:p>
    <w:p w14:paraId="6DC715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）不具备磋商文件中规定的资格要求的；</w:t>
      </w:r>
    </w:p>
    <w:p w14:paraId="63AD50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（2）未按磋商文件规定的方式获取本磋商文件的供应商；</w:t>
      </w:r>
    </w:p>
    <w:p w14:paraId="4B2244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）响应文件的资格证明文件缺少任一项“供应商须知前附表”资格证明文件规定的“必须提供”的文件资料的；</w:t>
      </w:r>
    </w:p>
    <w:p w14:paraId="56EC44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）响应文件中的资格证明文件出现任一项不符合“供应商须知前附表”资格证明文件规定的“必须提供”的文件资料要求或者无效的；</w:t>
      </w:r>
    </w:p>
    <w:p w14:paraId="78150B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2552C04">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.4通过资格审查的合格供应商不足3家的，不得进入符合性审查环节，</w:t>
      </w:r>
      <w:r>
        <w:rPr>
          <w:rFonts w:hint="eastAsia" w:ascii="宋体" w:hAnsi="宋体" w:eastAsia="宋体" w:cs="Times New Roman"/>
          <w:color w:val="auto"/>
          <w:szCs w:val="21"/>
          <w:highlight w:val="none"/>
        </w:rPr>
        <w:t>采购人或者采购代理机构应当重新开展采购活动。</w:t>
      </w:r>
    </w:p>
    <w:p w14:paraId="10440B4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B3048E5">
      <w:pPr>
        <w:spacing w:line="360" w:lineRule="auto"/>
        <w:ind w:firstLine="420" w:firstLineChars="200"/>
        <w:rPr>
          <w:rFonts w:hint="eastAsia" w:ascii="宋体" w:hAnsi="宋体" w:eastAsia="宋体" w:cs="宋体"/>
          <w:color w:val="auto"/>
          <w:szCs w:val="21"/>
          <w:highlight w:val="none"/>
        </w:rPr>
      </w:pPr>
      <w:bookmarkStart w:id="85" w:name="_Hlk42528882"/>
      <w:r>
        <w:rPr>
          <w:rFonts w:ascii="宋体" w:hAnsi="宋体" w:eastAsia="宋体" w:cs="宋体"/>
          <w:color w:val="auto"/>
          <w:szCs w:val="21"/>
          <w:highlight w:val="none"/>
        </w:rPr>
        <w:t>2.1</w:t>
      </w:r>
      <w:r>
        <w:rPr>
          <w:rFonts w:hint="eastAsia" w:ascii="宋体" w:hAnsi="宋体" w:eastAsia="宋体" w:cs="宋体"/>
          <w:color w:val="auto"/>
          <w:szCs w:val="21"/>
          <w:highlight w:val="none"/>
        </w:rPr>
        <w:t>由磋商小组对</w:t>
      </w:r>
      <w:r>
        <w:rPr>
          <w:rFonts w:hint="eastAsia" w:ascii="宋体" w:hAnsi="宋体" w:eastAsia="宋体" w:cs="Times New Roman"/>
          <w:color w:val="auto"/>
          <w:szCs w:val="21"/>
          <w:highlight w:val="none"/>
        </w:rPr>
        <w:t>通过资格审查的合格供应商</w:t>
      </w:r>
      <w:r>
        <w:rPr>
          <w:rFonts w:hint="eastAsia" w:ascii="宋体" w:hAnsi="宋体" w:eastAsia="宋体" w:cs="宋体"/>
          <w:color w:val="auto"/>
          <w:szCs w:val="21"/>
          <w:highlight w:val="none"/>
        </w:rPr>
        <w:t>的响应文件的竞标报价、商务、技术等实质性要求进行符合性审查，以确定其是否满足磋商文件的实质性要求。</w:t>
      </w:r>
    </w:p>
    <w:bookmarkEnd w:id="85"/>
    <w:p w14:paraId="52291D3B">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2.2</w:t>
      </w:r>
      <w:r>
        <w:rPr>
          <w:rFonts w:hint="eastAsia" w:ascii="宋体" w:hAnsi="宋体" w:eastAsia="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E076AC">
      <w:pPr>
        <w:spacing w:line="360" w:lineRule="auto"/>
        <w:ind w:firstLine="420" w:firstLineChars="200"/>
        <w:rPr>
          <w:rFonts w:hint="eastAsia" w:ascii="宋体" w:hAnsi="宋体" w:eastAsia="宋体" w:cs="宋体"/>
          <w:color w:val="auto"/>
          <w:spacing w:val="-6"/>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磋商小组要求供应商澄清、说明或者更正响应文件应当以电子澄清函形式作出。供应商的澄清、说明或者更正应当</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Times New Roman" w:hAnsi="宋体" w:eastAsia="宋体" w:cs="Times New Roman"/>
          <w:color w:val="auto"/>
          <w:highlight w:val="none"/>
        </w:rPr>
        <w:t>签章</w:t>
      </w:r>
      <w:r>
        <w:rPr>
          <w:rFonts w:hint="eastAsia" w:ascii="宋体" w:hAnsi="宋体" w:eastAsia="宋体" w:cs="宋体"/>
          <w:color w:val="auto"/>
          <w:spacing w:val="-6"/>
          <w:szCs w:val="21"/>
          <w:highlight w:val="none"/>
        </w:rPr>
        <w:t>。</w:t>
      </w:r>
    </w:p>
    <w:p w14:paraId="57FAECA5">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47D44B">
      <w:pPr>
        <w:spacing w:line="360" w:lineRule="auto"/>
        <w:ind w:firstLine="396" w:firstLineChars="200"/>
        <w:rPr>
          <w:rFonts w:hint="eastAsia" w:ascii="宋体" w:hAnsi="宋体" w:eastAsia="宋体" w:cs="宋体"/>
          <w:color w:val="auto"/>
          <w:szCs w:val="21"/>
          <w:highlight w:val="none"/>
        </w:rPr>
      </w:pPr>
      <w:r>
        <w:rPr>
          <w:rFonts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5942D5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67F20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EC73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D975F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8B00D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8F3DE55">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商务技术报价评审</w:t>
      </w:r>
    </w:p>
    <w:p w14:paraId="1240D9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91A78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630FBF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189CA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2）委托代理人未能出具有效身份证或者出具的身份证与授权委托书中的信息不符的； </w:t>
      </w:r>
    </w:p>
    <w:p w14:paraId="73E71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08A461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1DDBF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5）商务、技术要求允许负偏离的条款数超过“供应商须知前附表”规定项数的；</w:t>
      </w:r>
    </w:p>
    <w:p w14:paraId="3C9E54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6）未对竞标有效期作出响应或者响应文件承诺的竞标有效期不满足磋商文件要求；</w:t>
      </w:r>
    </w:p>
    <w:p w14:paraId="76256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7）响应文件的实质性内容未使用中文表述、使用计量单位不符合磋商文件要求；</w:t>
      </w:r>
    </w:p>
    <w:p w14:paraId="358F2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8）响应文件中的文件资料因填写不齐全或者内容虚假或者出现其他情形而导致被磋商小组认定无效；</w:t>
      </w:r>
    </w:p>
    <w:p w14:paraId="5538F5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w:t>
      </w:r>
    </w:p>
    <w:p w14:paraId="45153B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10）属于“供应商须知正文”第7.</w:t>
      </w:r>
      <w:r>
        <w:rPr>
          <w:rFonts w:ascii="宋体" w:hAnsi="宋体" w:eastAsia="宋体" w:cs="宋体"/>
          <w:color w:val="auto"/>
          <w:szCs w:val="21"/>
          <w:highlight w:val="none"/>
        </w:rPr>
        <w:t>5</w:t>
      </w:r>
      <w:r>
        <w:rPr>
          <w:rFonts w:hint="eastAsia" w:ascii="宋体" w:hAnsi="宋体" w:eastAsia="宋体" w:cs="宋体"/>
          <w:color w:val="auto"/>
          <w:szCs w:val="21"/>
          <w:highlight w:val="none"/>
        </w:rPr>
        <w:t>条情形；</w:t>
      </w:r>
    </w:p>
    <w:p w14:paraId="50C9D505">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1）虚假竞标，或者出现其他情形而导致被磋商小组认定无效；</w:t>
      </w:r>
    </w:p>
    <w:p w14:paraId="04C325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bookmarkStart w:id="86" w:name="_Hlk71704147"/>
      <w:r>
        <w:rPr>
          <w:rFonts w:hint="eastAsia" w:ascii="宋体" w:hAnsi="宋体" w:eastAsia="宋体" w:cs="宋体"/>
          <w:color w:val="auto"/>
          <w:szCs w:val="21"/>
          <w:highlight w:val="none"/>
        </w:rPr>
        <w:t>磋商文件未载明允许提供备选（替代）竞标方案或明确不允许提供备选（替代）竞标方案时，供应商提供了备选（替代）竞标方案的；</w:t>
      </w:r>
      <w:bookmarkEnd w:id="86"/>
    </w:p>
    <w:p w14:paraId="1DB81DA9">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3）响应文件标注的项目名称或者项目编号与磋商文件标注的项目名称或者项目编号不一致的；</w:t>
      </w:r>
    </w:p>
    <w:p w14:paraId="0A85F8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Times New Roman"/>
          <w:color w:val="auto"/>
          <w:szCs w:val="21"/>
          <w:highlight w:val="none"/>
        </w:rPr>
        <w:t>竞争性磋商文件明确不允许分包，响应文件拟分包的；</w:t>
      </w:r>
    </w:p>
    <w:p w14:paraId="59031177">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5）未响应磋商文件实质性要求；</w:t>
      </w:r>
    </w:p>
    <w:p w14:paraId="05E78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14:paraId="2AC99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）报价评审</w:t>
      </w:r>
    </w:p>
    <w:p w14:paraId="47AD6B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响应文件未提供“供应商须知前附表” 报价文件中规定的“竞标报价表”；</w:t>
      </w:r>
    </w:p>
    <w:p w14:paraId="1D7BCE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EA14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7377B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87" w:name="_Hlk42596405"/>
      <w:r>
        <w:rPr>
          <w:rFonts w:hint="eastAsia" w:ascii="宋体" w:hAnsi="宋体" w:eastAsia="宋体" w:cs="宋体"/>
          <w:color w:val="auto"/>
          <w:szCs w:val="21"/>
          <w:highlight w:val="none"/>
        </w:rPr>
        <w:t>分项竞标报价（包含首次报价、最后报价）</w:t>
      </w:r>
      <w:bookmarkEnd w:id="87"/>
      <w:bookmarkStart w:id="88" w:name="_Hlk42596276"/>
      <w:r>
        <w:rPr>
          <w:rFonts w:hint="eastAsia" w:ascii="宋体" w:hAnsi="宋体" w:eastAsia="宋体" w:cs="宋体"/>
          <w:color w:val="auto"/>
          <w:szCs w:val="21"/>
          <w:highlight w:val="none"/>
        </w:rPr>
        <w:t>超过磋商文件分项采购预算金额或者最高限价的</w:t>
      </w:r>
      <w:bookmarkEnd w:id="88"/>
      <w:r>
        <w:rPr>
          <w:rFonts w:hint="eastAsia" w:ascii="宋体" w:hAnsi="宋体" w:eastAsia="宋体" w:cs="宋体"/>
          <w:color w:val="auto"/>
          <w:szCs w:val="21"/>
          <w:highlight w:val="none"/>
        </w:rPr>
        <w:t>（如本项目公布了最高限价）；</w:t>
      </w:r>
    </w:p>
    <w:p w14:paraId="0E4D4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23481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Times New Roman"/>
          <w:color w:val="auto"/>
          <w:szCs w:val="21"/>
          <w:highlight w:val="none"/>
        </w:rPr>
        <w:t>响应文件响应的标的数量及单位与竞争性磋商采购文件要求实质性不一致的。</w:t>
      </w:r>
    </w:p>
    <w:p w14:paraId="6EF7C5AA">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2.6</w:t>
      </w:r>
      <w:r>
        <w:rPr>
          <w:rFonts w:hint="eastAsia" w:ascii="宋体" w:hAnsi="宋体" w:eastAsia="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637434B">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2.7</w:t>
      </w:r>
      <w:r>
        <w:rPr>
          <w:rFonts w:hint="eastAsia" w:ascii="宋体" w:hAnsi="宋体" w:eastAsia="宋体" w:cs="Times New Roman"/>
          <w:color w:val="auto"/>
          <w:szCs w:val="21"/>
          <w:highlight w:val="none"/>
        </w:rPr>
        <w:t>通过符合性审查的合格供应商不足3家的，不得进入磋商环节，采购人或者采购代理机构应当重新开展采购活动。</w:t>
      </w:r>
    </w:p>
    <w:p w14:paraId="6452473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E7F8F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磋商小组</w:t>
      </w:r>
      <w:r>
        <w:rPr>
          <w:rFonts w:hint="eastAsia" w:ascii="宋体" w:hAnsi="宋体" w:eastAsia="宋体" w:cs="宋体"/>
          <w:color w:val="auto"/>
          <w:szCs w:val="21"/>
          <w:highlight w:val="none"/>
        </w:rPr>
        <w:t>集中与单一供应商分别进行磋商，并给予所有参加磋商的供应商平等的磋商机会。符合磋商资格的供应商必须在接到磋商通知后</w:t>
      </w:r>
      <w:r>
        <w:rPr>
          <w:rFonts w:ascii="Times New Roman" w:hAnsi="Times New Roman" w:eastAsia="宋体" w:cs="Times New Roman"/>
          <w:color w:val="auto"/>
          <w:highlight w:val="none"/>
        </w:rPr>
        <w:t>在规定时间内在广西政府采购云平台上参加</w:t>
      </w:r>
      <w:r>
        <w:rPr>
          <w:rFonts w:hint="eastAsia" w:ascii="Times New Roman" w:hAnsi="Times New Roman" w:eastAsia="宋体" w:cs="Times New Roman"/>
          <w:color w:val="auto"/>
          <w:highlight w:val="none"/>
        </w:rPr>
        <w:t>磋商</w:t>
      </w:r>
      <w:r>
        <w:rPr>
          <w:rFonts w:hint="eastAsia" w:ascii="宋体" w:hAnsi="宋体" w:eastAsia="宋体" w:cs="宋体"/>
          <w:color w:val="auto"/>
          <w:szCs w:val="21"/>
          <w:highlight w:val="none"/>
        </w:rPr>
        <w:t>，未在规定时间内参加磋商的视同放弃参加磋商权利，其响应文件按无效响应处理。</w:t>
      </w:r>
    </w:p>
    <w:p w14:paraId="6E0EBC7F">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3.2</w:t>
      </w:r>
      <w:r>
        <w:rPr>
          <w:rFonts w:hint="eastAsia" w:ascii="宋体" w:hAnsi="宋体" w:eastAsia="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0151960">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3.3</w:t>
      </w:r>
      <w:r>
        <w:rPr>
          <w:rFonts w:hint="eastAsia" w:ascii="宋体" w:hAnsi="宋体" w:eastAsia="宋体" w:cs="宋体"/>
          <w:color w:val="auto"/>
          <w:szCs w:val="21"/>
          <w:highlight w:val="none"/>
        </w:rPr>
        <w:t>对磋商文件作出的实质性变动是磋商文件的有效组成部分，由磋商小组及时以电子澄清函形式同时通知所有参加磋商的供应商。</w:t>
      </w:r>
    </w:p>
    <w:p w14:paraId="1D625389">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3.4</w:t>
      </w:r>
      <w:r>
        <w:rPr>
          <w:rFonts w:hint="eastAsia" w:ascii="宋体" w:hAnsi="宋体" w:eastAsia="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1795AA5D">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3.5</w:t>
      </w:r>
      <w:r>
        <w:rPr>
          <w:rFonts w:hint="eastAsia" w:ascii="宋体" w:hAnsi="宋体" w:eastAsia="宋体" w:cs="宋体"/>
          <w:color w:val="auto"/>
          <w:szCs w:val="21"/>
          <w:highlight w:val="none"/>
        </w:rPr>
        <w:t>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7828B15">
      <w:pPr>
        <w:widowControl/>
        <w:tabs>
          <w:tab w:val="left" w:pos="540"/>
        </w:tabs>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3.6</w:t>
      </w:r>
      <w:r>
        <w:rPr>
          <w:rFonts w:hint="eastAsia" w:ascii="宋体" w:hAnsi="宋体" w:eastAsia="宋体" w:cs="宋体"/>
          <w:color w:val="auto"/>
          <w:szCs w:val="21"/>
          <w:highlight w:val="none"/>
        </w:rPr>
        <w:t>采购代理机构对磋商过程和重要磋商内容进行记录。</w:t>
      </w:r>
    </w:p>
    <w:p w14:paraId="0E86B33B">
      <w:pPr>
        <w:tabs>
          <w:tab w:val="left" w:pos="2835"/>
        </w:tabs>
        <w:spacing w:line="360" w:lineRule="auto"/>
        <w:ind w:firstLine="420" w:firstLineChars="200"/>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.7</w:t>
      </w:r>
      <w:r>
        <w:rPr>
          <w:rFonts w:ascii="Times New Roman" w:hAnsi="Times New Roman" w:eastAsia="宋体" w:cs="Times New Roman"/>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B55E3C3">
      <w:pPr>
        <w:tabs>
          <w:tab w:val="left" w:pos="2835"/>
        </w:tabs>
        <w:spacing w:line="360" w:lineRule="auto"/>
        <w:ind w:firstLine="420" w:firstLineChars="200"/>
        <w:rPr>
          <w:rFonts w:hint="eastAsia" w:ascii="宋体" w:hAnsi="宋体" w:eastAsia="宋体" w:cs="宋体"/>
          <w:color w:val="auto"/>
          <w:szCs w:val="21"/>
          <w:highlight w:val="none"/>
        </w:rPr>
      </w:pPr>
      <w:r>
        <w:rPr>
          <w:rFonts w:ascii="Times New Roman" w:hAnsi="Times New Roman" w:eastAsia="宋体" w:cs="Times New Roman"/>
          <w:color w:val="auto"/>
          <w:highlight w:val="none"/>
        </w:rPr>
        <w:t>3.8除本章第3.7条情形</w:t>
      </w:r>
      <w:r>
        <w:rPr>
          <w:rFonts w:hint="eastAsia" w:ascii="Times New Roman" w:hAnsi="Times New Roman" w:eastAsia="宋体" w:cs="Times New Roman"/>
          <w:color w:val="auto"/>
          <w:highlight w:val="none"/>
        </w:rPr>
        <w:t>外，</w:t>
      </w:r>
      <w:r>
        <w:rPr>
          <w:rFonts w:hint="eastAsia" w:ascii="宋体" w:hAnsi="宋体" w:eastAsia="宋体" w:cs="Times New Roman"/>
          <w:color w:val="auto"/>
          <w:szCs w:val="21"/>
          <w:highlight w:val="none"/>
        </w:rPr>
        <w:t>对磋商过程提交的响应文件进行有效性、完整性和响应程度审查，通过审查的合格供应商不足3家的，采购人或者采购代理机构应当重新开展采购活动。</w:t>
      </w:r>
    </w:p>
    <w:p w14:paraId="2D9B397E">
      <w:pPr>
        <w:spacing w:line="360" w:lineRule="auto"/>
        <w:ind w:firstLine="482" w:firstLineChars="200"/>
        <w:rPr>
          <w:rFonts w:ascii="宋体" w:hAnsi="宋体" w:eastAsia="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6EA1F32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.1</w:t>
      </w:r>
      <w:r>
        <w:rPr>
          <w:rFonts w:hint="eastAsia" w:ascii="宋体" w:hAnsi="宋体" w:eastAsia="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eastAsia="宋体" w:cs="宋体"/>
          <w:color w:val="auto"/>
          <w:szCs w:val="21"/>
          <w:highlight w:val="none"/>
        </w:rPr>
        <w:t>4.3</w:t>
      </w:r>
      <w:r>
        <w:rPr>
          <w:rFonts w:hint="eastAsia" w:ascii="宋体" w:hAnsi="宋体" w:eastAsia="宋体" w:cs="宋体"/>
          <w:color w:val="auto"/>
          <w:szCs w:val="21"/>
          <w:highlight w:val="none"/>
        </w:rPr>
        <w:t>条外，提交最后报价的供应商不得少于3家，否则必须重新采购。</w:t>
      </w:r>
    </w:p>
    <w:p w14:paraId="436A348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.2</w:t>
      </w:r>
      <w:r>
        <w:rPr>
          <w:rFonts w:hint="eastAsia" w:ascii="宋体" w:hAnsi="宋体" w:eastAsia="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33D8162">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4.3</w:t>
      </w:r>
      <w:r>
        <w:rPr>
          <w:rFonts w:hint="eastAsia" w:ascii="宋体" w:hAnsi="宋体" w:eastAsia="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Times New Roman" w:hAnsi="Times New Roman" w:eastAsia="宋体" w:cs="Times New Roman"/>
          <w:color w:val="auto"/>
          <w:highlight w:val="none"/>
        </w:rPr>
        <w:t>本</w:t>
      </w:r>
      <w:r>
        <w:rPr>
          <w:rFonts w:ascii="宋体" w:hAnsi="宋体" w:eastAsia="宋体" w:cs="宋体"/>
          <w:color w:val="auto"/>
          <w:szCs w:val="21"/>
          <w:highlight w:val="none"/>
        </w:rPr>
        <w:t>章第3.7条情</w:t>
      </w:r>
      <w:r>
        <w:rPr>
          <w:rFonts w:ascii="Times New Roman" w:hAnsi="Times New Roman" w:eastAsia="宋体" w:cs="Times New Roman"/>
          <w:color w:val="auto"/>
          <w:highlight w:val="none"/>
        </w:rPr>
        <w:t>形的，</w:t>
      </w:r>
      <w:r>
        <w:rPr>
          <w:rFonts w:hint="eastAsia" w:ascii="宋体" w:hAnsi="宋体" w:eastAsia="宋体" w:cs="宋体"/>
          <w:color w:val="auto"/>
          <w:szCs w:val="21"/>
          <w:highlight w:val="none"/>
        </w:rPr>
        <w:t>提交最后报价的供应商可以为2家。</w:t>
      </w:r>
    </w:p>
    <w:p w14:paraId="7F532508">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4.4</w:t>
      </w:r>
      <w:r>
        <w:rPr>
          <w:rFonts w:hint="eastAsia" w:ascii="宋体" w:hAnsi="宋体" w:eastAsia="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3701DF13">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4.5</w:t>
      </w:r>
      <w:r>
        <w:rPr>
          <w:rFonts w:hint="eastAsia" w:ascii="宋体" w:hAnsi="宋体" w:eastAsia="宋体" w:cs="宋体"/>
          <w:color w:val="auto"/>
          <w:szCs w:val="21"/>
          <w:highlight w:val="none"/>
        </w:rPr>
        <w:t>供应商未在规定时间内提交最后报价的，视同退出磋商，其响应文件按无效处理。</w:t>
      </w:r>
    </w:p>
    <w:p w14:paraId="06DB4154">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4.6</w:t>
      </w:r>
      <w:r>
        <w:rPr>
          <w:rFonts w:hint="eastAsia" w:ascii="宋体" w:hAnsi="宋体" w:eastAsia="宋体" w:cs="宋体"/>
          <w:color w:val="auto"/>
          <w:szCs w:val="21"/>
          <w:highlight w:val="none"/>
        </w:rPr>
        <w:t>最后报价统一开启后，磋商小组对最后报价进行有效性、完整性和响应程度的审查。</w:t>
      </w:r>
    </w:p>
    <w:p w14:paraId="27552111">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4.7</w:t>
      </w:r>
      <w:r>
        <w:rPr>
          <w:rFonts w:hint="eastAsia" w:ascii="宋体" w:hAnsi="宋体" w:eastAsia="宋体" w:cs="宋体"/>
          <w:color w:val="auto"/>
          <w:szCs w:val="21"/>
          <w:highlight w:val="none"/>
        </w:rPr>
        <w:t>最后报价出现前后不一致的，按照本章第</w:t>
      </w:r>
      <w:r>
        <w:rPr>
          <w:rFonts w:ascii="宋体" w:hAnsi="宋体" w:eastAsia="宋体" w:cs="宋体"/>
          <w:color w:val="auto"/>
          <w:szCs w:val="21"/>
          <w:highlight w:val="none"/>
        </w:rPr>
        <w:t>2.4</w:t>
      </w:r>
      <w:r>
        <w:rPr>
          <w:rFonts w:hint="eastAsia" w:ascii="宋体" w:hAnsi="宋体" w:eastAsia="宋体" w:cs="宋体"/>
          <w:color w:val="auto"/>
          <w:szCs w:val="21"/>
          <w:highlight w:val="none"/>
        </w:rPr>
        <w:t xml:space="preserve">条的规定修正。 </w:t>
      </w:r>
    </w:p>
    <w:p w14:paraId="2685EBA4">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4.8</w:t>
      </w:r>
      <w:r>
        <w:rPr>
          <w:rFonts w:hint="eastAsia" w:ascii="宋体" w:hAnsi="宋体" w:eastAsia="宋体" w:cs="宋体"/>
          <w:color w:val="auto"/>
          <w:szCs w:val="21"/>
          <w:highlight w:val="none"/>
        </w:rPr>
        <w:t>修正后的报价出现下列情形的，按无效响应处理：</w:t>
      </w:r>
    </w:p>
    <w:p w14:paraId="7E06D9C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7EB1ED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26CE95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25C9FE31">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4.9</w:t>
      </w:r>
      <w:r>
        <w:rPr>
          <w:rFonts w:hint="eastAsia" w:ascii="宋体" w:hAnsi="宋体" w:eastAsia="宋体" w:cs="宋体"/>
          <w:color w:val="auto"/>
          <w:szCs w:val="21"/>
          <w:highlight w:val="none"/>
        </w:rPr>
        <w:t>经供应商确认修正后的最后报价作为评审及签订合同的依据。</w:t>
      </w:r>
    </w:p>
    <w:p w14:paraId="54D8E6D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w:t>
      </w:r>
      <w:r>
        <w:rPr>
          <w:rFonts w:hint="eastAsia" w:ascii="宋体" w:hAnsi="宋体" w:eastAsia="宋体" w:cs="Times New Roman"/>
          <w:color w:val="auto"/>
          <w:sz w:val="22"/>
          <w:szCs w:val="22"/>
          <w:highlight w:val="none"/>
        </w:rPr>
        <w:t>，磋商小组应当告知有关供应商</w:t>
      </w:r>
      <w:r>
        <w:rPr>
          <w:rFonts w:hint="eastAsia" w:ascii="宋体" w:hAnsi="宋体" w:eastAsia="宋体" w:cs="宋体"/>
          <w:color w:val="auto"/>
          <w:szCs w:val="21"/>
          <w:highlight w:val="none"/>
        </w:rPr>
        <w:t>。</w:t>
      </w:r>
    </w:p>
    <w:p w14:paraId="4AABC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.1</w:t>
      </w:r>
      <w:r>
        <w:rPr>
          <w:rFonts w:hint="eastAsia" w:ascii="宋体" w:hAnsi="宋体" w:eastAsia="宋体" w:cs="宋体"/>
          <w:color w:val="auto"/>
          <w:szCs w:val="21"/>
          <w:highlight w:val="none"/>
        </w:rPr>
        <w:t>1最后报价结束后，磋商小组不得再与供应商进行任何形式的商谈。</w:t>
      </w:r>
    </w:p>
    <w:p w14:paraId="0450FA3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26312F0C">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5.1</w:t>
      </w:r>
      <w:r>
        <w:rPr>
          <w:rFonts w:hint="eastAsia" w:ascii="宋体" w:hAnsi="宋体" w:eastAsia="宋体" w:cs="宋体"/>
          <w:color w:val="auto"/>
          <w:szCs w:val="21"/>
          <w:highlight w:val="none"/>
        </w:rPr>
        <w:t>评审方法：综合评分法。</w:t>
      </w:r>
    </w:p>
    <w:p w14:paraId="14B401DF">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5.2</w:t>
      </w:r>
      <w:r>
        <w:rPr>
          <w:rFonts w:hint="eastAsia" w:ascii="宋体" w:hAnsi="宋体" w:eastAsia="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FC17838">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5.3</w:t>
      </w:r>
      <w:r>
        <w:rPr>
          <w:rFonts w:hint="eastAsia" w:ascii="宋体" w:hAnsi="宋体" w:eastAsia="宋体" w:cs="宋体"/>
          <w:color w:val="auto"/>
          <w:szCs w:val="21"/>
          <w:highlight w:val="none"/>
        </w:rPr>
        <w:t>评审时，磋商小组各成员应当独立对每个有效响应的文件进行评价、打分，然后汇总每个供应商每项评分因素的得分。</w:t>
      </w:r>
    </w:p>
    <w:p w14:paraId="605F2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2E8304E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5892E65">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5.4</w:t>
      </w:r>
      <w:r>
        <w:rPr>
          <w:rFonts w:hint="eastAsia" w:ascii="宋体" w:hAnsi="宋体" w:eastAsia="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57C74DF">
      <w:pPr>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宋体"/>
          <w:color w:val="auto"/>
          <w:szCs w:val="21"/>
          <w:highlight w:val="none"/>
        </w:rPr>
        <w:t>5.5</w:t>
      </w:r>
      <w:r>
        <w:rPr>
          <w:rFonts w:hint="eastAsia" w:ascii="宋体" w:hAnsi="宋体" w:eastAsia="宋体" w:cs="宋体"/>
          <w:color w:val="auto"/>
          <w:szCs w:val="21"/>
          <w:highlight w:val="none"/>
        </w:rPr>
        <w:t>由磋商小组根据综合评分情况，按照评审得分由高到低顺序推荐3名以上成交候选供应商，并编写评</w:t>
      </w:r>
      <w:r>
        <w:rPr>
          <w:rFonts w:hint="eastAsia" w:ascii="宋体" w:hAnsi="宋体" w:eastAsia="宋体" w:cs="Times New Roman"/>
          <w:color w:val="auto"/>
          <w:kern w:val="0"/>
          <w:szCs w:val="21"/>
          <w:highlight w:val="none"/>
        </w:rPr>
        <w:t>审报告。符合本章第</w:t>
      </w:r>
      <w:r>
        <w:rPr>
          <w:rFonts w:ascii="宋体" w:hAnsi="宋体" w:eastAsia="宋体" w:cs="Times New Roman"/>
          <w:color w:val="auto"/>
          <w:kern w:val="0"/>
          <w:szCs w:val="21"/>
          <w:highlight w:val="none"/>
        </w:rPr>
        <w:t>4.3</w:t>
      </w:r>
      <w:r>
        <w:rPr>
          <w:rFonts w:hint="eastAsia" w:ascii="宋体" w:hAnsi="宋体" w:eastAsia="宋体" w:cs="Times New Roman"/>
          <w:color w:val="auto"/>
          <w:kern w:val="0"/>
          <w:szCs w:val="21"/>
          <w:highlight w:val="none"/>
        </w:rPr>
        <w:t>条情形的，可以推荐2家成交候选供应商。评审得分相同的，按照最后报价由低到高的顺序推荐。评审得分且最后报价相同的，按照技术指标优劣顺序推荐。</w:t>
      </w:r>
    </w:p>
    <w:p w14:paraId="4D8437AE">
      <w:pPr>
        <w:shd w:val="clear" w:color="auto" w:fill="auto"/>
        <w:spacing w:line="360" w:lineRule="auto"/>
        <w:ind w:firstLine="420" w:firstLineChars="200"/>
        <w:rPr>
          <w:rFonts w:hint="eastAsia" w:ascii="宋体" w:hAnsi="宋体" w:cs="宋体"/>
          <w:color w:val="auto"/>
          <w:szCs w:val="21"/>
          <w:highlight w:val="none"/>
        </w:rPr>
      </w:pPr>
      <w:r>
        <w:rPr>
          <w:rFonts w:ascii="宋体" w:hAnsi="宋体" w:eastAsia="宋体" w:cs="Times New Roman"/>
          <w:color w:val="auto"/>
          <w:kern w:val="0"/>
          <w:szCs w:val="21"/>
          <w:highlight w:val="none"/>
        </w:rPr>
        <w:t>5.6</w:t>
      </w:r>
      <w:r>
        <w:rPr>
          <w:rFonts w:hint="eastAsia" w:ascii="宋体" w:hAnsi="宋体" w:eastAsia="宋体" w:cs="Times New Roman"/>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E6E72E">
      <w:pPr>
        <w:shd w:val="clear" w:color="auto" w:fill="auto"/>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7B4D9225">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2"/>
        <w:gridCol w:w="6"/>
        <w:gridCol w:w="851"/>
      </w:tblGrid>
      <w:tr w14:paraId="7940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624BA9F8">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18" w:type="dxa"/>
            <w:noWrap w:val="0"/>
            <w:vAlign w:val="center"/>
          </w:tcPr>
          <w:p w14:paraId="25C59E7E">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288" w:type="dxa"/>
            <w:gridSpan w:val="2"/>
            <w:noWrap w:val="0"/>
            <w:vAlign w:val="center"/>
          </w:tcPr>
          <w:p w14:paraId="562675CB">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51" w:type="dxa"/>
            <w:noWrap w:val="0"/>
            <w:vAlign w:val="center"/>
          </w:tcPr>
          <w:p w14:paraId="1D73543D">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020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7C3CA207">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18" w:type="dxa"/>
            <w:noWrap w:val="0"/>
            <w:vAlign w:val="center"/>
          </w:tcPr>
          <w:p w14:paraId="2D748A3B">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288" w:type="dxa"/>
            <w:gridSpan w:val="2"/>
            <w:noWrap w:val="0"/>
            <w:vAlign w:val="center"/>
          </w:tcPr>
          <w:p w14:paraId="4CC1EAD6">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（1）因本项目属于专门面向中小企业采购的项目，不享受价格扣除优惠政策。评审价为供应商的最后报价（如有修正，以确认修正后的最后报价为准）。</w:t>
            </w:r>
          </w:p>
          <w:p w14:paraId="303DEDB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（2）以进入比较与评价环节的最低的评审价为基准价，基准价得分为30分。</w:t>
            </w:r>
          </w:p>
          <w:p w14:paraId="21CF8503">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（3）价格分计算公式：</w:t>
            </w:r>
          </w:p>
          <w:p w14:paraId="3BE4B49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报价得分=（基准价/最后报价）×30分</w:t>
            </w:r>
          </w:p>
        </w:tc>
        <w:tc>
          <w:tcPr>
            <w:tcW w:w="851" w:type="dxa"/>
            <w:noWrap w:val="0"/>
            <w:vAlign w:val="center"/>
          </w:tcPr>
          <w:p w14:paraId="652E5FDB">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14:paraId="103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5F994F84">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18" w:type="dxa"/>
            <w:noWrap w:val="0"/>
            <w:vAlign w:val="center"/>
          </w:tcPr>
          <w:p w14:paraId="16A59B4B">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7139" w:type="dxa"/>
            <w:gridSpan w:val="3"/>
            <w:noWrap w:val="0"/>
            <w:vAlign w:val="top"/>
          </w:tcPr>
          <w:p w14:paraId="41C7CC11">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63EA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2D8D72F3">
            <w:pPr>
              <w:keepNext w:val="0"/>
              <w:keepLines w:val="0"/>
              <w:pageBreakBefore w:val="0"/>
              <w:shd w:val="clear" w:color="auto" w:fill="auto"/>
              <w:kinsoku/>
              <w:overflowPunct/>
              <w:topLinePunct w:val="0"/>
              <w:autoSpaceDE/>
              <w:autoSpaceDN/>
              <w:bidi w:val="0"/>
              <w:adjustRightInd w:val="0"/>
              <w:snapToGrid/>
              <w:spacing w:line="360" w:lineRule="auto"/>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2.1</w:t>
            </w:r>
          </w:p>
        </w:tc>
        <w:tc>
          <w:tcPr>
            <w:tcW w:w="1418" w:type="dxa"/>
            <w:noWrap w:val="0"/>
            <w:vAlign w:val="center"/>
          </w:tcPr>
          <w:p w14:paraId="2B89C2D1">
            <w:pPr>
              <w:keepNext w:val="0"/>
              <w:keepLines w:val="0"/>
              <w:pageBreakBefore w:val="0"/>
              <w:kinsoku/>
              <w:overflowPunct/>
              <w:topLinePunct w:val="0"/>
              <w:autoSpaceDE/>
              <w:autoSpaceDN/>
              <w:bidi w:val="0"/>
              <w:snapToGri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总体方案设计</w:t>
            </w:r>
          </w:p>
        </w:tc>
        <w:tc>
          <w:tcPr>
            <w:tcW w:w="6288" w:type="dxa"/>
            <w:gridSpan w:val="2"/>
            <w:noWrap w:val="0"/>
            <w:vAlign w:val="center"/>
          </w:tcPr>
          <w:p w14:paraId="4DE96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一档（0分）：总体方案设计未提供。</w:t>
            </w:r>
          </w:p>
          <w:p w14:paraId="0F5689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二档（4分）：总体方案设计提供了软件开发方案，内容清晰合理、贴合项目实际，阐述系统的体系架构、功能模块、实现思路和关键技术，具有先进性、条理性；</w:t>
            </w:r>
          </w:p>
          <w:p w14:paraId="4DA04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三档（8分）：在二档的基础上，提供技术路线、总体架构、功能架构、业务流程、数据架构等技术方案说明内容清晰合理，以及对功能设计和实施计划的建议贴合项目实际。</w:t>
            </w:r>
          </w:p>
          <w:p w14:paraId="36A41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四档（12分）：在三档的基础上，还提供应急设计方案，业务对接及系统改造的业务系统国产化适配等符合本项目建设需求的相关技术方案说明内容完整、合理。对本项目建设的重难点分析及解决方案贴合项目实际。</w:t>
            </w:r>
          </w:p>
        </w:tc>
        <w:tc>
          <w:tcPr>
            <w:tcW w:w="851" w:type="dxa"/>
            <w:noWrap w:val="0"/>
            <w:vAlign w:val="center"/>
          </w:tcPr>
          <w:p w14:paraId="2070746B">
            <w:pPr>
              <w:keepNext w:val="0"/>
              <w:keepLines w:val="0"/>
              <w:pageBreakBefore w:val="0"/>
              <w:kinsoku/>
              <w:overflowPunct/>
              <w:topLinePunct w:val="0"/>
              <w:autoSpaceDE/>
              <w:autoSpaceDN/>
              <w:bidi w:val="0"/>
              <w:snapToGrid/>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12分</w:t>
            </w:r>
          </w:p>
        </w:tc>
      </w:tr>
      <w:tr w14:paraId="647F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23C09DE0">
            <w:pPr>
              <w:keepNext w:val="0"/>
              <w:keepLines w:val="0"/>
              <w:pageBreakBefore w:val="0"/>
              <w:shd w:val="clear" w:color="auto" w:fill="auto"/>
              <w:kinsoku/>
              <w:overflowPunct/>
              <w:topLinePunct w:val="0"/>
              <w:autoSpaceDE/>
              <w:autoSpaceDN/>
              <w:bidi w:val="0"/>
              <w:adjustRightInd w:val="0"/>
              <w:snapToGrid/>
              <w:spacing w:line="360" w:lineRule="auto"/>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2</w:t>
            </w:r>
          </w:p>
        </w:tc>
        <w:tc>
          <w:tcPr>
            <w:tcW w:w="1418" w:type="dxa"/>
            <w:noWrap w:val="0"/>
            <w:vAlign w:val="center"/>
          </w:tcPr>
          <w:p w14:paraId="2FCF412B">
            <w:pPr>
              <w:keepNext w:val="0"/>
              <w:keepLines w:val="0"/>
              <w:pageBreakBefore w:val="0"/>
              <w:kinsoku/>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质量保证措施和建设工期承诺</w:t>
            </w:r>
          </w:p>
        </w:tc>
        <w:tc>
          <w:tcPr>
            <w:tcW w:w="6288" w:type="dxa"/>
            <w:gridSpan w:val="2"/>
            <w:noWrap w:val="0"/>
            <w:vAlign w:val="center"/>
          </w:tcPr>
          <w:p w14:paraId="765E16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一档（0分）：质量保证措施和建设工期承诺未提供。</w:t>
            </w:r>
          </w:p>
          <w:p w14:paraId="74A486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二档（4分）：有质量保证方案，包含质量保证目标、质量保证措施和体系实施，内容清晰合理，包含项目的质量要求及相应承诺，承诺切实可行，贴合项目实际；</w:t>
            </w:r>
          </w:p>
          <w:p w14:paraId="5C596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rPr>
              <w:t>三档（8分）：在二档的基础上，包含能完成软件开发、安装调试、系统上线运行、验收进度及确保按时交付、正常运行的保证措施，措施科学合理，针对性精确；包含违约条件及违约处罚措施，切实可行，贴合项目实际。</w:t>
            </w:r>
          </w:p>
        </w:tc>
        <w:tc>
          <w:tcPr>
            <w:tcW w:w="851" w:type="dxa"/>
            <w:noWrap w:val="0"/>
            <w:vAlign w:val="center"/>
          </w:tcPr>
          <w:p w14:paraId="17CD437E">
            <w:pPr>
              <w:keepNext w:val="0"/>
              <w:keepLines w:val="0"/>
              <w:pageBreakBefore w:val="0"/>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4014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6BE4CCB7">
            <w:pPr>
              <w:keepNext w:val="0"/>
              <w:keepLines w:val="0"/>
              <w:pageBreakBefore w:val="0"/>
              <w:shd w:val="clear" w:color="auto" w:fill="auto"/>
              <w:kinsoku/>
              <w:overflowPunct/>
              <w:topLinePunct w:val="0"/>
              <w:autoSpaceDE/>
              <w:autoSpaceDN/>
              <w:bidi w:val="0"/>
              <w:adjustRightInd w:val="0"/>
              <w:snapToGrid/>
              <w:spacing w:line="360" w:lineRule="auto"/>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18" w:type="dxa"/>
            <w:noWrap w:val="0"/>
            <w:vAlign w:val="center"/>
          </w:tcPr>
          <w:p w14:paraId="0B17AFB5">
            <w:pPr>
              <w:keepNext w:val="0"/>
              <w:keepLines w:val="0"/>
              <w:pageBreakBefore w:val="0"/>
              <w:kinsoku/>
              <w:overflowPunct/>
              <w:topLinePunct w:val="0"/>
              <w:autoSpaceDE/>
              <w:autoSpaceDN/>
              <w:bidi w:val="0"/>
              <w:adjustRightInd w:val="0"/>
              <w:snapToGrid/>
              <w:spacing w:line="360" w:lineRule="auto"/>
              <w:jc w:val="center"/>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项目实施方案</w:t>
            </w:r>
          </w:p>
        </w:tc>
        <w:tc>
          <w:tcPr>
            <w:tcW w:w="6288" w:type="dxa"/>
            <w:gridSpan w:val="2"/>
            <w:noWrap w:val="0"/>
            <w:vAlign w:val="center"/>
          </w:tcPr>
          <w:p w14:paraId="03ACF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一档（0分）：项目实施方案未提供。</w:t>
            </w:r>
          </w:p>
          <w:p w14:paraId="06277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二档（4分）：对项目理解较到位，实施管理、实施组织方案、系统测试、试运行、验收等内容完整，方案能详细说明各个阶段工作安排及施工进度，内容清晰合理，贴合项目实际；</w:t>
            </w:r>
          </w:p>
          <w:p w14:paraId="66C365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三档（8分）：在二档的基础上，提供详细完整的系统上线方案，包括系统上线应急预案、上线前安全检查、上线执行管理等，符合采购人实际需求；</w:t>
            </w:r>
          </w:p>
          <w:p w14:paraId="71F81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四档（12分）：在三档的基础上，提供的系统对接方案符合项目的整体要求，针对各平台系统的对接有详细的实施计划；维护人员派遣计划描述合理、完整，贴合项目实际；</w:t>
            </w:r>
          </w:p>
          <w:p w14:paraId="61B1F4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五档（16分）：在四档的基础上，日常故障解决方案、日常维护方案描述合理、完整，内容与项目相关，有利于项目实施；维护服务标准符合项目要求，贴合项目实际。</w:t>
            </w:r>
          </w:p>
        </w:tc>
        <w:tc>
          <w:tcPr>
            <w:tcW w:w="851" w:type="dxa"/>
            <w:noWrap w:val="0"/>
            <w:vAlign w:val="center"/>
          </w:tcPr>
          <w:p w14:paraId="4281171F">
            <w:pPr>
              <w:keepNext w:val="0"/>
              <w:keepLines w:val="0"/>
              <w:pageBreakBefore w:val="0"/>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16分</w:t>
            </w:r>
          </w:p>
        </w:tc>
      </w:tr>
      <w:tr w14:paraId="247C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291DE4BD">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18" w:type="dxa"/>
            <w:noWrap w:val="0"/>
            <w:vAlign w:val="center"/>
          </w:tcPr>
          <w:p w14:paraId="636DD67A">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tc>
        <w:tc>
          <w:tcPr>
            <w:tcW w:w="7139" w:type="dxa"/>
            <w:gridSpan w:val="3"/>
            <w:noWrap w:val="0"/>
            <w:vAlign w:val="center"/>
          </w:tcPr>
          <w:p w14:paraId="7BCE8A56">
            <w:pPr>
              <w:keepNext w:val="0"/>
              <w:keepLines w:val="0"/>
              <w:pageBreakBefore w:val="0"/>
              <w:widowControl/>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565B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35A4D9BF">
            <w:pPr>
              <w:keepNext w:val="0"/>
              <w:keepLines w:val="0"/>
              <w:pageBreakBefore w:val="0"/>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w:t>
            </w:r>
          </w:p>
        </w:tc>
        <w:tc>
          <w:tcPr>
            <w:tcW w:w="1418" w:type="dxa"/>
            <w:noWrap w:val="0"/>
            <w:vAlign w:val="center"/>
          </w:tcPr>
          <w:p w14:paraId="60DB67F7">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en-US" w:eastAsia="zh-CN"/>
              </w:rPr>
              <w:t>拟投入的实施团队</w:t>
            </w:r>
          </w:p>
        </w:tc>
        <w:tc>
          <w:tcPr>
            <w:tcW w:w="6288" w:type="dxa"/>
            <w:gridSpan w:val="2"/>
            <w:noWrap w:val="0"/>
            <w:vAlign w:val="center"/>
          </w:tcPr>
          <w:p w14:paraId="5EA706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拟派项目经理的：具有计算机技术与软件专业技术资格（水平）高级资格证书的（高级资格包括：信息系统项目管理师、系统分析师、系统架构设计师、网络规划设计师、系统规划与管理师等同类级别证书）的得3分。</w:t>
            </w:r>
          </w:p>
          <w:p w14:paraId="0AF550D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2.拟派技术人员（除项目经理外）具有信息系统专业职称证书的，高级工程师职称每人得1分，中级工程师每人得0.5分，满分4分。</w:t>
            </w:r>
          </w:p>
          <w:p w14:paraId="3BE5FF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SA"/>
              </w:rPr>
              <w:t>（注：响应文件中提供相应有效的证书复印件，加盖供应商电子签章）</w:t>
            </w:r>
          </w:p>
        </w:tc>
        <w:tc>
          <w:tcPr>
            <w:tcW w:w="851" w:type="dxa"/>
            <w:noWrap w:val="0"/>
            <w:vAlign w:val="center"/>
          </w:tcPr>
          <w:p w14:paraId="4A113658">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7分</w:t>
            </w:r>
          </w:p>
        </w:tc>
      </w:tr>
      <w:tr w14:paraId="6D0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6081B186">
            <w:pPr>
              <w:keepNext w:val="0"/>
              <w:keepLines w:val="0"/>
              <w:pageBreakBefore w:val="0"/>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418" w:type="dxa"/>
            <w:noWrap w:val="0"/>
            <w:vAlign w:val="center"/>
          </w:tcPr>
          <w:p w14:paraId="0AE5D598">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eastAsia="zh-CN"/>
              </w:rPr>
              <w:t>培训方案</w:t>
            </w:r>
          </w:p>
        </w:tc>
        <w:tc>
          <w:tcPr>
            <w:tcW w:w="6288" w:type="dxa"/>
            <w:gridSpan w:val="2"/>
            <w:noWrap w:val="0"/>
            <w:vAlign w:val="center"/>
          </w:tcPr>
          <w:p w14:paraId="4A9422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根据供应商提供的响应文件中的培训方案进行评审，评审内容包含：</w:t>
            </w:r>
          </w:p>
          <w:p w14:paraId="221665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①培训的内容、次数及方式</w:t>
            </w:r>
          </w:p>
          <w:p w14:paraId="58D754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②培训的对象及培训计划</w:t>
            </w:r>
          </w:p>
          <w:p w14:paraId="46265C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③培训考核方案</w:t>
            </w:r>
          </w:p>
          <w:p w14:paraId="2C7580D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提供有以上各项内容的每项得1分，内容清晰合理的每项得1分，内容贴合项目实际，有利于项目顺利实施的每项得1分，每项满分3分，共9分。</w:t>
            </w:r>
          </w:p>
        </w:tc>
        <w:tc>
          <w:tcPr>
            <w:tcW w:w="851" w:type="dxa"/>
            <w:noWrap w:val="0"/>
            <w:vAlign w:val="center"/>
          </w:tcPr>
          <w:p w14:paraId="028A0ADA">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9分</w:t>
            </w:r>
          </w:p>
        </w:tc>
      </w:tr>
      <w:tr w14:paraId="7E16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0C831E3F">
            <w:pPr>
              <w:keepNext w:val="0"/>
              <w:keepLines w:val="0"/>
              <w:pageBreakBefore w:val="0"/>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418" w:type="dxa"/>
            <w:noWrap w:val="0"/>
            <w:vAlign w:val="center"/>
          </w:tcPr>
          <w:p w14:paraId="11830113">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项目业绩分</w:t>
            </w:r>
          </w:p>
        </w:tc>
        <w:tc>
          <w:tcPr>
            <w:tcW w:w="6282" w:type="dxa"/>
            <w:noWrap w:val="0"/>
            <w:vAlign w:val="top"/>
          </w:tcPr>
          <w:p w14:paraId="509DC8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年1月1日以来具有</w:t>
            </w:r>
            <w:r>
              <w:rPr>
                <w:rFonts w:hint="eastAsia" w:ascii="宋体" w:hAnsi="宋体" w:eastAsia="宋体" w:cs="宋体"/>
                <w:color w:val="auto"/>
                <w:sz w:val="21"/>
                <w:szCs w:val="21"/>
                <w:highlight w:val="none"/>
                <w:lang w:eastAsia="zh-CN"/>
              </w:rPr>
              <w:t>同类项目</w:t>
            </w:r>
            <w:r>
              <w:rPr>
                <w:rFonts w:hint="eastAsia" w:ascii="宋体" w:hAnsi="宋体" w:eastAsia="宋体" w:cs="宋体"/>
                <w:color w:val="auto"/>
                <w:sz w:val="21"/>
                <w:szCs w:val="21"/>
                <w:highlight w:val="none"/>
              </w:rPr>
              <w:t>业绩的，每个</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以合同或者中标（成交）通知书复印件为准，并加盖供应商公章或电子签章]。</w:t>
            </w:r>
          </w:p>
        </w:tc>
        <w:tc>
          <w:tcPr>
            <w:tcW w:w="857" w:type="dxa"/>
            <w:gridSpan w:val="2"/>
            <w:noWrap w:val="0"/>
            <w:vAlign w:val="center"/>
          </w:tcPr>
          <w:p w14:paraId="1D8F4E03">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2DDD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107596F3">
            <w:pPr>
              <w:keepNext w:val="0"/>
              <w:keepLines w:val="0"/>
              <w:pageBreakBefore w:val="0"/>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418" w:type="dxa"/>
            <w:noWrap w:val="0"/>
            <w:vAlign w:val="center"/>
          </w:tcPr>
          <w:p w14:paraId="4DB555C0">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eastAsia="zh-CN"/>
              </w:rPr>
              <w:t>资信分</w:t>
            </w:r>
          </w:p>
        </w:tc>
        <w:tc>
          <w:tcPr>
            <w:tcW w:w="6282" w:type="dxa"/>
            <w:noWrap w:val="0"/>
            <w:vAlign w:val="top"/>
          </w:tcPr>
          <w:p w14:paraId="43A38E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1.供应商通过质量管理体系认证的，得1分；</w:t>
            </w:r>
          </w:p>
          <w:p w14:paraId="672A0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2.供应商通过信息安全管理体系认证的，得1分；</w:t>
            </w:r>
          </w:p>
          <w:p w14:paraId="3F08A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3.供应商通过信息技术服务安全管理体系认证的，得1分；</w:t>
            </w:r>
          </w:p>
          <w:p w14:paraId="3EAE8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供应商具有与需求相关的软件著作权证书的</w:t>
            </w:r>
            <w:r>
              <w:rPr>
                <w:rFonts w:hint="eastAsia" w:ascii="宋体" w:hAnsi="宋体" w:eastAsia="宋体" w:cs="宋体"/>
                <w:color w:val="auto"/>
                <w:sz w:val="21"/>
                <w:szCs w:val="21"/>
                <w:highlight w:val="none"/>
                <w:lang w:val="en-US" w:eastAsia="zh-CN"/>
              </w:rPr>
              <w:t>（如体检预约管理系统、体检中心管理系统、职业病体检管理系统等），每个得0.5分，满分3分。</w:t>
            </w:r>
          </w:p>
          <w:p w14:paraId="7D21A3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注：需提供以上有效证书的复印件并加盖供应商公章或电子签章，否则不得分。</w:t>
            </w:r>
          </w:p>
        </w:tc>
        <w:tc>
          <w:tcPr>
            <w:tcW w:w="857" w:type="dxa"/>
            <w:gridSpan w:val="2"/>
            <w:noWrap w:val="0"/>
            <w:vAlign w:val="center"/>
          </w:tcPr>
          <w:p w14:paraId="57795BDC">
            <w:pPr>
              <w:keepNext w:val="0"/>
              <w:keepLines w:val="0"/>
              <w:pageBreakBefore w:val="0"/>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24DB6C35">
            <w:pPr>
              <w:keepNext w:val="0"/>
              <w:keepLines w:val="0"/>
              <w:pageBreakBefore w:val="0"/>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66F7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3446A80A">
            <w:pPr>
              <w:keepNext w:val="0"/>
              <w:keepLines w:val="0"/>
              <w:pageBreakBefore w:val="0"/>
              <w:shd w:val="clear" w:color="auto" w:fill="auto"/>
              <w:kinsoku/>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1418" w:type="dxa"/>
            <w:noWrap w:val="0"/>
            <w:vAlign w:val="center"/>
          </w:tcPr>
          <w:p w14:paraId="06AE88E0">
            <w:pPr>
              <w:keepNext w:val="0"/>
              <w:keepLines w:val="0"/>
              <w:pageBreakBefore w:val="0"/>
              <w:widowControl/>
              <w:kinsoku/>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eastAsia="zh-CN"/>
              </w:rPr>
              <w:t>售后服务</w:t>
            </w:r>
          </w:p>
        </w:tc>
        <w:tc>
          <w:tcPr>
            <w:tcW w:w="6282" w:type="dxa"/>
            <w:noWrap w:val="0"/>
            <w:vAlign w:val="top"/>
          </w:tcPr>
          <w:p w14:paraId="69B4F4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91" w:name="_GoBack"/>
            <w:r>
              <w:rPr>
                <w:rFonts w:hint="eastAsia" w:ascii="宋体" w:hAnsi="宋体" w:eastAsia="宋体" w:cs="宋体"/>
                <w:color w:val="auto"/>
                <w:sz w:val="21"/>
                <w:szCs w:val="21"/>
                <w:highlight w:val="none"/>
                <w:lang w:val="en-US" w:eastAsia="zh-CN"/>
              </w:rPr>
              <w:t>一档（0分）：售后服务方案未提供。</w:t>
            </w:r>
          </w:p>
          <w:p w14:paraId="3361CD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供应商提供了售后服务方案，方案内容包含但不限于：到达现场解决问题的时间、故障出现解决方案、现场巡检、定期巡检的具体方案或流程，内容齐全，但提出的方案仅为通用性描述，缺乏针对性，未能针对本项目进一步细化、明确措施的；</w:t>
            </w:r>
          </w:p>
          <w:p w14:paraId="338F4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8分）：供应商提供了售后服务方案，方案内容包含但不限于：到达现场解决问题的时间、故障出现解决方案、现场巡检、定期巡检的具体方案或流程，质保期内和质保期外的服务方案，有完整的售后服务监督及保障机制，内容齐全、内容无漏项、与项目相关、利于项目实施的，提出的实施方案有针对性，能针对本项目进一步细化、明确措施。</w:t>
            </w:r>
            <w:bookmarkEnd w:id="191"/>
          </w:p>
        </w:tc>
        <w:tc>
          <w:tcPr>
            <w:tcW w:w="857" w:type="dxa"/>
            <w:gridSpan w:val="2"/>
            <w:noWrap w:val="0"/>
            <w:vAlign w:val="center"/>
          </w:tcPr>
          <w:p w14:paraId="3B3DFAA6">
            <w:pPr>
              <w:keepNext w:val="0"/>
              <w:keepLines w:val="0"/>
              <w:pageBreakBefore w:val="0"/>
              <w:kinsoku/>
              <w:overflowPunct/>
              <w:topLinePunct w:val="0"/>
              <w:autoSpaceDE/>
              <w:autoSpaceDN/>
              <w:bidi w:val="0"/>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分</w:t>
            </w:r>
          </w:p>
        </w:tc>
      </w:tr>
      <w:tr w14:paraId="5C88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5"/>
            <w:noWrap w:val="0"/>
            <w:vAlign w:val="top"/>
          </w:tcPr>
          <w:p w14:paraId="0C2A5EFF">
            <w:pPr>
              <w:keepNext w:val="0"/>
              <w:keepLines w:val="0"/>
              <w:pageBreakBefore w:val="0"/>
              <w:widowControl/>
              <w:shd w:val="clear" w:color="auto" w:fill="auto"/>
              <w:kinsoku/>
              <w:overflowPunct/>
              <w:topLinePunct w:val="0"/>
              <w:autoSpaceDE/>
              <w:autoSpaceDN/>
              <w:bidi w:val="0"/>
              <w:snapToGrid/>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eastAsia="zh-CN"/>
              </w:rPr>
              <w:t>总得分为以上各项评审因素得分合计</w:t>
            </w:r>
          </w:p>
        </w:tc>
      </w:tr>
    </w:tbl>
    <w:p w14:paraId="1F3E4C79">
      <w:pPr>
        <w:shd w:val="clear" w:color="auto" w:fill="auto"/>
        <w:spacing w:line="360" w:lineRule="auto"/>
        <w:ind w:firstLine="420" w:firstLineChars="200"/>
        <w:rPr>
          <w:rFonts w:hint="eastAsia" w:ascii="宋体" w:hAnsi="宋体" w:cs="宋体"/>
          <w:color w:val="auto"/>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621FDFB6">
      <w:pPr>
        <w:pStyle w:val="2"/>
        <w:shd w:val="clear" w:color="auto" w:fill="auto"/>
        <w:jc w:val="center"/>
        <w:rPr>
          <w:rFonts w:hint="eastAsia"/>
          <w:color w:val="auto"/>
          <w:highlight w:val="none"/>
        </w:rPr>
      </w:pPr>
      <w:r>
        <w:rPr>
          <w:color w:val="auto"/>
          <w:highlight w:val="none"/>
        </w:rPr>
        <w:br w:type="page"/>
      </w:r>
    </w:p>
    <w:p w14:paraId="3BAF25DC">
      <w:pPr>
        <w:shd w:val="clear" w:color="auto" w:fill="auto"/>
        <w:rPr>
          <w:rFonts w:hint="eastAsia"/>
          <w:color w:val="auto"/>
          <w:highlight w:val="none"/>
        </w:rPr>
      </w:pPr>
    </w:p>
    <w:p w14:paraId="273FA41E">
      <w:pPr>
        <w:shd w:val="clear" w:color="auto" w:fill="auto"/>
        <w:rPr>
          <w:rFonts w:hint="eastAsia"/>
          <w:color w:val="auto"/>
          <w:highlight w:val="none"/>
        </w:rPr>
      </w:pPr>
    </w:p>
    <w:p w14:paraId="07E749B6">
      <w:pPr>
        <w:shd w:val="clear" w:color="auto" w:fill="auto"/>
        <w:rPr>
          <w:rFonts w:hint="eastAsia"/>
          <w:color w:val="auto"/>
          <w:highlight w:val="none"/>
        </w:rPr>
      </w:pPr>
    </w:p>
    <w:p w14:paraId="22374142">
      <w:pPr>
        <w:shd w:val="clear" w:color="auto" w:fill="auto"/>
        <w:rPr>
          <w:rFonts w:hint="eastAsia"/>
          <w:color w:val="auto"/>
          <w:highlight w:val="none"/>
        </w:rPr>
      </w:pPr>
    </w:p>
    <w:p w14:paraId="658C388A">
      <w:pPr>
        <w:shd w:val="clear" w:color="auto" w:fill="auto"/>
        <w:rPr>
          <w:rFonts w:hint="eastAsia"/>
          <w:color w:val="auto"/>
          <w:highlight w:val="none"/>
        </w:rPr>
      </w:pPr>
    </w:p>
    <w:p w14:paraId="48C0550F">
      <w:pPr>
        <w:shd w:val="clear" w:color="auto" w:fill="auto"/>
        <w:rPr>
          <w:rFonts w:hint="eastAsia"/>
          <w:color w:val="auto"/>
          <w:highlight w:val="none"/>
        </w:rPr>
      </w:pPr>
    </w:p>
    <w:p w14:paraId="109D61B3">
      <w:pPr>
        <w:shd w:val="clear" w:color="auto" w:fill="auto"/>
        <w:rPr>
          <w:rFonts w:hint="eastAsia"/>
          <w:color w:val="auto"/>
          <w:highlight w:val="none"/>
        </w:rPr>
      </w:pPr>
    </w:p>
    <w:p w14:paraId="75583483">
      <w:pPr>
        <w:shd w:val="clear" w:color="auto" w:fill="auto"/>
        <w:rPr>
          <w:rFonts w:hint="eastAsia"/>
          <w:color w:val="auto"/>
          <w:highlight w:val="none"/>
        </w:rPr>
      </w:pPr>
    </w:p>
    <w:p w14:paraId="587ECC42">
      <w:pPr>
        <w:shd w:val="clear" w:color="auto" w:fill="auto"/>
        <w:rPr>
          <w:rFonts w:hint="eastAsia"/>
          <w:color w:val="auto"/>
          <w:highlight w:val="none"/>
        </w:rPr>
      </w:pPr>
    </w:p>
    <w:p w14:paraId="73FF6F7A">
      <w:pPr>
        <w:shd w:val="clear" w:color="auto" w:fill="auto"/>
        <w:rPr>
          <w:rFonts w:hint="eastAsia"/>
          <w:color w:val="auto"/>
          <w:highlight w:val="none"/>
        </w:rPr>
      </w:pPr>
    </w:p>
    <w:p w14:paraId="451BFADE">
      <w:pPr>
        <w:shd w:val="clear" w:color="auto" w:fill="auto"/>
        <w:rPr>
          <w:rFonts w:hint="eastAsia"/>
          <w:color w:val="auto"/>
          <w:highlight w:val="none"/>
        </w:rPr>
      </w:pPr>
    </w:p>
    <w:p w14:paraId="01E64C0F">
      <w:pPr>
        <w:shd w:val="clear" w:color="auto" w:fill="auto"/>
        <w:rPr>
          <w:rFonts w:hint="eastAsia"/>
          <w:color w:val="auto"/>
          <w:highlight w:val="none"/>
        </w:rPr>
      </w:pPr>
    </w:p>
    <w:p w14:paraId="0AF5275C">
      <w:pPr>
        <w:shd w:val="clear" w:color="auto" w:fill="auto"/>
        <w:rPr>
          <w:rFonts w:hint="eastAsia"/>
          <w:color w:val="auto"/>
          <w:highlight w:val="none"/>
        </w:rPr>
      </w:pPr>
    </w:p>
    <w:p w14:paraId="62B0B169">
      <w:pPr>
        <w:pStyle w:val="2"/>
        <w:shd w:val="clear" w:color="auto" w:fill="auto"/>
        <w:jc w:val="center"/>
        <w:rPr>
          <w:rFonts w:hint="eastAsia"/>
          <w:color w:val="auto"/>
          <w:highlight w:val="none"/>
        </w:rPr>
      </w:pPr>
      <w:bookmarkStart w:id="89" w:name="_Toc74323460"/>
      <w:r>
        <w:rPr>
          <w:rFonts w:hint="eastAsia"/>
          <w:color w:val="auto"/>
          <w:highlight w:val="none"/>
        </w:rPr>
        <w:t>第五章 响应文件格式</w:t>
      </w:r>
      <w:bookmarkEnd w:id="89"/>
    </w:p>
    <w:p w14:paraId="069BFDF9">
      <w:pPr>
        <w:shd w:val="clear" w:color="auto" w:fill="auto"/>
        <w:spacing w:line="240" w:lineRule="atLeast"/>
        <w:rPr>
          <w:rFonts w:hint="eastAsia" w:ascii="宋体" w:hAnsi="宋体"/>
          <w:b/>
          <w:color w:val="auto"/>
          <w:sz w:val="32"/>
          <w:szCs w:val="32"/>
          <w:highlight w:val="none"/>
        </w:rPr>
      </w:pPr>
    </w:p>
    <w:p w14:paraId="30061566">
      <w:pPr>
        <w:shd w:val="clear" w:color="auto" w:fill="auto"/>
        <w:spacing w:line="240" w:lineRule="atLeast"/>
        <w:rPr>
          <w:rFonts w:hint="eastAsia" w:ascii="宋体" w:hAnsi="宋体"/>
          <w:b/>
          <w:color w:val="auto"/>
          <w:sz w:val="32"/>
          <w:szCs w:val="32"/>
          <w:highlight w:val="none"/>
        </w:rPr>
      </w:pPr>
    </w:p>
    <w:p w14:paraId="0E8C3CFD">
      <w:pPr>
        <w:shd w:val="clear" w:color="auto" w:fill="auto"/>
        <w:spacing w:line="240" w:lineRule="atLeast"/>
        <w:rPr>
          <w:rFonts w:hint="eastAsia" w:ascii="宋体" w:hAnsi="宋体"/>
          <w:b/>
          <w:color w:val="auto"/>
          <w:sz w:val="32"/>
          <w:szCs w:val="32"/>
          <w:highlight w:val="none"/>
        </w:rPr>
      </w:pPr>
    </w:p>
    <w:p w14:paraId="7C9A6F06">
      <w:pPr>
        <w:shd w:val="clear" w:color="auto" w:fill="auto"/>
        <w:spacing w:line="240" w:lineRule="atLeast"/>
        <w:rPr>
          <w:rFonts w:hint="eastAsia" w:ascii="宋体" w:hAnsi="宋体"/>
          <w:b/>
          <w:color w:val="auto"/>
          <w:sz w:val="32"/>
          <w:szCs w:val="32"/>
          <w:highlight w:val="none"/>
        </w:rPr>
      </w:pPr>
    </w:p>
    <w:p w14:paraId="5CF9A1BE">
      <w:pPr>
        <w:shd w:val="clear" w:color="auto" w:fill="auto"/>
        <w:spacing w:line="240" w:lineRule="atLeast"/>
        <w:rPr>
          <w:rFonts w:hint="eastAsia" w:ascii="宋体" w:hAnsi="宋体"/>
          <w:b/>
          <w:color w:val="auto"/>
          <w:sz w:val="32"/>
          <w:szCs w:val="32"/>
          <w:highlight w:val="none"/>
        </w:rPr>
      </w:pPr>
    </w:p>
    <w:p w14:paraId="70B34440">
      <w:pPr>
        <w:shd w:val="clear" w:color="auto" w:fill="auto"/>
        <w:spacing w:line="240" w:lineRule="atLeast"/>
        <w:rPr>
          <w:rFonts w:hint="eastAsia" w:ascii="宋体" w:hAnsi="宋体"/>
          <w:b/>
          <w:color w:val="auto"/>
          <w:sz w:val="32"/>
          <w:szCs w:val="32"/>
          <w:highlight w:val="none"/>
        </w:rPr>
      </w:pPr>
    </w:p>
    <w:p w14:paraId="1CB4B565">
      <w:pPr>
        <w:shd w:val="clear" w:color="auto" w:fill="auto"/>
        <w:spacing w:line="240" w:lineRule="atLeast"/>
        <w:rPr>
          <w:rFonts w:hint="eastAsia" w:ascii="宋体" w:hAnsi="宋体"/>
          <w:b/>
          <w:color w:val="auto"/>
          <w:sz w:val="32"/>
          <w:szCs w:val="32"/>
          <w:highlight w:val="none"/>
        </w:rPr>
      </w:pPr>
    </w:p>
    <w:p w14:paraId="3B71A8C3">
      <w:pPr>
        <w:shd w:val="clear" w:color="auto" w:fill="auto"/>
        <w:spacing w:line="240" w:lineRule="atLeast"/>
        <w:rPr>
          <w:rFonts w:hint="eastAsia" w:ascii="宋体" w:hAnsi="宋体"/>
          <w:b/>
          <w:color w:val="auto"/>
          <w:sz w:val="32"/>
          <w:szCs w:val="32"/>
          <w:highlight w:val="none"/>
        </w:rPr>
      </w:pPr>
    </w:p>
    <w:p w14:paraId="604556C7">
      <w:pPr>
        <w:shd w:val="clear" w:color="auto" w:fill="auto"/>
        <w:spacing w:line="240" w:lineRule="atLeast"/>
        <w:rPr>
          <w:rFonts w:hint="eastAsia" w:ascii="宋体" w:hAnsi="宋体"/>
          <w:b/>
          <w:color w:val="auto"/>
          <w:sz w:val="32"/>
          <w:szCs w:val="32"/>
          <w:highlight w:val="none"/>
        </w:rPr>
      </w:pPr>
    </w:p>
    <w:p w14:paraId="7EA87620">
      <w:pPr>
        <w:shd w:val="clear" w:color="auto" w:fill="auto"/>
        <w:spacing w:line="240" w:lineRule="atLeast"/>
        <w:rPr>
          <w:rFonts w:hint="eastAsia" w:ascii="宋体" w:hAnsi="宋体"/>
          <w:b/>
          <w:color w:val="auto"/>
          <w:sz w:val="32"/>
          <w:szCs w:val="32"/>
          <w:highlight w:val="none"/>
        </w:rPr>
      </w:pPr>
    </w:p>
    <w:p w14:paraId="70BA58F8">
      <w:pPr>
        <w:shd w:val="clear" w:color="auto" w:fill="auto"/>
        <w:spacing w:line="240" w:lineRule="atLeast"/>
        <w:rPr>
          <w:rFonts w:hint="eastAsia" w:ascii="宋体" w:hAnsi="宋体"/>
          <w:b/>
          <w:color w:val="auto"/>
          <w:sz w:val="32"/>
          <w:szCs w:val="32"/>
          <w:highlight w:val="none"/>
        </w:rPr>
      </w:pPr>
    </w:p>
    <w:p w14:paraId="044BA258">
      <w:pPr>
        <w:shd w:val="clear" w:color="auto" w:fill="auto"/>
        <w:rPr>
          <w:rFonts w:hint="eastAsia"/>
          <w:b/>
          <w:color w:val="auto"/>
          <w:sz w:val="32"/>
          <w:szCs w:val="32"/>
          <w:highlight w:val="none"/>
        </w:rPr>
      </w:pPr>
      <w:bookmarkStart w:id="90" w:name="_Toc35611516"/>
      <w:bookmarkStart w:id="91" w:name="_Toc31728084"/>
      <w:bookmarkStart w:id="92" w:name="_Toc44229899"/>
      <w:bookmarkStart w:id="93" w:name="_Toc71366186"/>
      <w:bookmarkStart w:id="94" w:name="_Toc35611438"/>
      <w:bookmarkStart w:id="95" w:name="_Toc31723070"/>
      <w:r>
        <w:rPr>
          <w:b/>
          <w:color w:val="auto"/>
          <w:sz w:val="32"/>
          <w:szCs w:val="32"/>
          <w:highlight w:val="none"/>
        </w:rPr>
        <w:br w:type="page"/>
      </w:r>
      <w:r>
        <w:rPr>
          <w:rFonts w:hint="eastAsia"/>
          <w:b/>
          <w:color w:val="auto"/>
          <w:sz w:val="32"/>
          <w:szCs w:val="32"/>
          <w:highlight w:val="none"/>
        </w:rPr>
        <w:t>一、资格证明文件格式</w:t>
      </w:r>
      <w:bookmarkEnd w:id="90"/>
      <w:bookmarkEnd w:id="91"/>
      <w:bookmarkEnd w:id="92"/>
      <w:bookmarkEnd w:id="93"/>
      <w:bookmarkEnd w:id="94"/>
      <w:bookmarkEnd w:id="95"/>
    </w:p>
    <w:p w14:paraId="3A19AA21">
      <w:pPr>
        <w:shd w:val="clear" w:color="auto" w:fill="auto"/>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8D06254">
      <w:pPr>
        <w:shd w:val="clear" w:color="auto" w:fill="auto"/>
        <w:snapToGrid w:val="0"/>
        <w:spacing w:before="156" w:beforeLines="50" w:after="50"/>
        <w:jc w:val="center"/>
        <w:rPr>
          <w:rFonts w:ascii="宋体" w:hAnsi="宋体"/>
          <w:color w:val="auto"/>
          <w:sz w:val="44"/>
          <w:szCs w:val="44"/>
          <w:highlight w:val="none"/>
        </w:rPr>
      </w:pPr>
    </w:p>
    <w:p w14:paraId="28C765FA">
      <w:pPr>
        <w:shd w:val="clear" w:color="auto" w:fill="auto"/>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EEEE94C">
      <w:pPr>
        <w:shd w:val="clear" w:color="auto" w:fill="auto"/>
        <w:snapToGrid w:val="0"/>
        <w:spacing w:before="156" w:beforeLines="50" w:after="50"/>
        <w:rPr>
          <w:rFonts w:hint="eastAsia" w:ascii="宋体" w:hAnsi="宋体"/>
          <w:color w:val="auto"/>
          <w:sz w:val="24"/>
          <w:szCs w:val="20"/>
          <w:highlight w:val="none"/>
        </w:rPr>
      </w:pPr>
    </w:p>
    <w:p w14:paraId="0CB5A5C4">
      <w:pPr>
        <w:shd w:val="clear" w:color="auto" w:fill="auto"/>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A70CCDF">
      <w:pPr>
        <w:shd w:val="clear" w:color="auto" w:fill="auto"/>
        <w:snapToGrid w:val="0"/>
        <w:spacing w:before="156" w:beforeLines="50" w:after="50"/>
        <w:rPr>
          <w:rFonts w:hint="eastAsia" w:ascii="宋体" w:hAnsi="宋体"/>
          <w:bCs/>
          <w:color w:val="auto"/>
          <w:sz w:val="24"/>
          <w:szCs w:val="20"/>
          <w:highlight w:val="none"/>
        </w:rPr>
      </w:pPr>
    </w:p>
    <w:p w14:paraId="7D15B132">
      <w:pPr>
        <w:shd w:val="clear" w:color="auto" w:fill="auto"/>
        <w:snapToGrid w:val="0"/>
        <w:spacing w:before="156" w:beforeLines="50" w:after="50"/>
        <w:rPr>
          <w:rFonts w:hint="eastAsia" w:ascii="宋体" w:hAnsi="宋体"/>
          <w:bCs/>
          <w:color w:val="auto"/>
          <w:sz w:val="24"/>
          <w:szCs w:val="20"/>
          <w:highlight w:val="none"/>
        </w:rPr>
      </w:pPr>
    </w:p>
    <w:p w14:paraId="15023B43">
      <w:pPr>
        <w:shd w:val="clear" w:color="auto" w:fill="auto"/>
        <w:snapToGrid w:val="0"/>
        <w:spacing w:before="156" w:beforeLines="50" w:after="50"/>
        <w:rPr>
          <w:rFonts w:hint="eastAsia" w:ascii="宋体" w:hAnsi="宋体"/>
          <w:bCs/>
          <w:color w:val="auto"/>
          <w:sz w:val="24"/>
          <w:szCs w:val="20"/>
          <w:highlight w:val="none"/>
        </w:rPr>
      </w:pPr>
    </w:p>
    <w:p w14:paraId="1C5FD46A">
      <w:pPr>
        <w:shd w:val="clear" w:color="auto" w:fill="auto"/>
        <w:snapToGrid w:val="0"/>
        <w:spacing w:before="156" w:beforeLines="50" w:after="50"/>
        <w:rPr>
          <w:rFonts w:hint="eastAsia" w:ascii="宋体" w:hAnsi="宋体"/>
          <w:bCs/>
          <w:color w:val="auto"/>
          <w:sz w:val="24"/>
          <w:szCs w:val="20"/>
          <w:highlight w:val="none"/>
        </w:rPr>
      </w:pPr>
    </w:p>
    <w:p w14:paraId="556C7378">
      <w:pPr>
        <w:shd w:val="clear" w:color="auto" w:fill="auto"/>
        <w:snapToGrid w:val="0"/>
        <w:spacing w:before="156" w:beforeLines="50" w:after="50"/>
        <w:rPr>
          <w:rFonts w:hint="eastAsia" w:ascii="宋体" w:hAnsi="宋体"/>
          <w:bCs/>
          <w:color w:val="auto"/>
          <w:sz w:val="24"/>
          <w:szCs w:val="20"/>
          <w:highlight w:val="none"/>
        </w:rPr>
      </w:pPr>
    </w:p>
    <w:p w14:paraId="05B2BA7D">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B0B4021">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p>
    <w:p w14:paraId="0DC1FDB5">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A37BBC3">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BA912D3">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B8992F1">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p>
    <w:p w14:paraId="0C20105C">
      <w:pPr>
        <w:pStyle w:val="7"/>
        <w:shd w:val="clear" w:color="auto" w:fill="auto"/>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673CF5E">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p>
    <w:p w14:paraId="4BEE508B">
      <w:pPr>
        <w:pStyle w:val="7"/>
        <w:shd w:val="clear" w:color="auto" w:fill="auto"/>
        <w:snapToGrid w:val="0"/>
        <w:spacing w:before="50" w:after="50"/>
        <w:ind w:firstLine="720" w:firstLineChars="225"/>
        <w:rPr>
          <w:rFonts w:hint="eastAsia" w:ascii="宋体" w:hAnsi="宋体" w:cs="仿宋_GB2312"/>
          <w:bCs/>
          <w:color w:val="auto"/>
          <w:sz w:val="32"/>
          <w:szCs w:val="32"/>
          <w:highlight w:val="none"/>
        </w:rPr>
      </w:pPr>
    </w:p>
    <w:p w14:paraId="1B34A599">
      <w:pPr>
        <w:pStyle w:val="7"/>
        <w:shd w:val="clear" w:color="auto" w:fill="auto"/>
        <w:snapToGrid w:val="0"/>
        <w:spacing w:before="50" w:after="50"/>
        <w:ind w:firstLine="720" w:firstLineChars="225"/>
        <w:rPr>
          <w:rFonts w:hint="eastAsia" w:ascii="宋体" w:hAnsi="宋体" w:cs="仿宋_GB2312"/>
          <w:bCs/>
          <w:color w:val="auto"/>
          <w:sz w:val="32"/>
          <w:szCs w:val="32"/>
          <w:highlight w:val="none"/>
        </w:rPr>
      </w:pPr>
    </w:p>
    <w:p w14:paraId="2269FF16">
      <w:pPr>
        <w:pStyle w:val="7"/>
        <w:shd w:val="clear" w:color="auto" w:fill="auto"/>
        <w:snapToGrid w:val="0"/>
        <w:spacing w:before="50" w:after="50"/>
        <w:ind w:firstLine="1280" w:firstLineChars="400"/>
        <w:rPr>
          <w:rFonts w:hint="eastAsia" w:ascii="宋体" w:hAnsi="宋体" w:cs="仿宋_GB2312"/>
          <w:bCs/>
          <w:color w:val="auto"/>
          <w:sz w:val="32"/>
          <w:szCs w:val="32"/>
          <w:highlight w:val="none"/>
        </w:rPr>
      </w:pPr>
    </w:p>
    <w:p w14:paraId="0D397191">
      <w:pPr>
        <w:shd w:val="clear" w:color="auto" w:fill="auto"/>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73206EF">
      <w:pPr>
        <w:shd w:val="clear" w:color="auto" w:fill="auto"/>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1D27402">
      <w:pPr>
        <w:shd w:val="clear" w:color="auto" w:fill="auto"/>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C33C9CC">
      <w:pPr>
        <w:shd w:val="clear" w:color="auto" w:fill="auto"/>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EEC0BEE">
      <w:pPr>
        <w:shd w:val="clear" w:color="auto" w:fill="auto"/>
        <w:spacing w:line="300" w:lineRule="auto"/>
        <w:rPr>
          <w:rFonts w:hint="eastAsia" w:ascii="宋体" w:hAnsi="宋体"/>
          <w:color w:val="auto"/>
          <w:szCs w:val="21"/>
          <w:highlight w:val="none"/>
        </w:rPr>
      </w:pPr>
    </w:p>
    <w:p w14:paraId="6A93AB33">
      <w:pPr>
        <w:shd w:val="clear" w:color="auto" w:fill="auto"/>
        <w:spacing w:line="300" w:lineRule="auto"/>
        <w:rPr>
          <w:rFonts w:hint="eastAsia" w:ascii="宋体" w:hAnsi="宋体"/>
          <w:color w:val="auto"/>
          <w:szCs w:val="21"/>
          <w:highlight w:val="none"/>
        </w:rPr>
      </w:pPr>
    </w:p>
    <w:p w14:paraId="7332ABE6">
      <w:pPr>
        <w:shd w:val="clear" w:color="auto" w:fill="auto"/>
        <w:spacing w:line="300" w:lineRule="auto"/>
        <w:rPr>
          <w:rFonts w:hint="eastAsia" w:ascii="宋体" w:hAnsi="宋体"/>
          <w:color w:val="auto"/>
          <w:szCs w:val="21"/>
          <w:highlight w:val="none"/>
        </w:rPr>
      </w:pPr>
    </w:p>
    <w:p w14:paraId="37BDC5F4">
      <w:pPr>
        <w:shd w:val="clear" w:color="auto" w:fill="auto"/>
        <w:spacing w:line="300" w:lineRule="auto"/>
        <w:rPr>
          <w:rFonts w:hint="eastAsia" w:ascii="宋体" w:hAnsi="宋体"/>
          <w:color w:val="auto"/>
          <w:szCs w:val="21"/>
          <w:highlight w:val="none"/>
        </w:rPr>
      </w:pPr>
    </w:p>
    <w:p w14:paraId="2E2B9C9C">
      <w:pPr>
        <w:shd w:val="clear" w:color="auto" w:fill="auto"/>
        <w:spacing w:line="300" w:lineRule="auto"/>
        <w:rPr>
          <w:rFonts w:hint="eastAsia" w:ascii="宋体" w:hAnsi="宋体"/>
          <w:color w:val="auto"/>
          <w:szCs w:val="21"/>
          <w:highlight w:val="none"/>
        </w:rPr>
      </w:pPr>
    </w:p>
    <w:p w14:paraId="735F1799">
      <w:pPr>
        <w:shd w:val="clear" w:color="auto" w:fill="auto"/>
        <w:spacing w:line="300" w:lineRule="auto"/>
        <w:rPr>
          <w:rFonts w:hint="eastAsia" w:ascii="宋体" w:hAnsi="宋体"/>
          <w:color w:val="auto"/>
          <w:szCs w:val="21"/>
          <w:highlight w:val="none"/>
        </w:rPr>
      </w:pPr>
    </w:p>
    <w:p w14:paraId="6FA9E2E9">
      <w:pPr>
        <w:shd w:val="clear" w:color="auto" w:fill="auto"/>
        <w:spacing w:line="300" w:lineRule="auto"/>
        <w:rPr>
          <w:rFonts w:hint="eastAsia" w:ascii="宋体" w:hAnsi="宋体"/>
          <w:color w:val="auto"/>
          <w:szCs w:val="21"/>
          <w:highlight w:val="none"/>
        </w:rPr>
      </w:pPr>
    </w:p>
    <w:p w14:paraId="6E23C2E8">
      <w:pPr>
        <w:shd w:val="clear" w:color="auto" w:fill="auto"/>
        <w:spacing w:line="300" w:lineRule="auto"/>
        <w:rPr>
          <w:rFonts w:hint="eastAsia" w:ascii="宋体" w:hAnsi="宋体"/>
          <w:color w:val="auto"/>
          <w:szCs w:val="21"/>
          <w:highlight w:val="none"/>
        </w:rPr>
      </w:pPr>
    </w:p>
    <w:p w14:paraId="16C68678">
      <w:pPr>
        <w:shd w:val="clear" w:color="auto" w:fill="auto"/>
        <w:spacing w:line="300" w:lineRule="auto"/>
        <w:rPr>
          <w:rFonts w:hint="eastAsia" w:ascii="宋体" w:hAnsi="宋体"/>
          <w:color w:val="auto"/>
          <w:szCs w:val="21"/>
          <w:highlight w:val="none"/>
        </w:rPr>
      </w:pPr>
    </w:p>
    <w:p w14:paraId="6F4176FA">
      <w:pPr>
        <w:shd w:val="clear" w:color="auto" w:fill="auto"/>
        <w:spacing w:line="300" w:lineRule="auto"/>
        <w:rPr>
          <w:rFonts w:hint="eastAsia" w:ascii="宋体" w:hAnsi="宋体"/>
          <w:color w:val="auto"/>
          <w:szCs w:val="21"/>
          <w:highlight w:val="none"/>
        </w:rPr>
      </w:pPr>
    </w:p>
    <w:p w14:paraId="655D07C3">
      <w:pPr>
        <w:shd w:val="clear" w:color="auto" w:fill="auto"/>
        <w:spacing w:line="300" w:lineRule="auto"/>
        <w:rPr>
          <w:rFonts w:hint="eastAsia" w:ascii="宋体" w:hAnsi="宋体"/>
          <w:color w:val="auto"/>
          <w:szCs w:val="21"/>
          <w:highlight w:val="none"/>
        </w:rPr>
      </w:pPr>
    </w:p>
    <w:p w14:paraId="5D91C72D">
      <w:pPr>
        <w:shd w:val="clear" w:color="auto" w:fill="auto"/>
        <w:spacing w:line="300" w:lineRule="auto"/>
        <w:rPr>
          <w:rFonts w:hint="eastAsia" w:ascii="宋体" w:hAnsi="宋体"/>
          <w:color w:val="auto"/>
          <w:szCs w:val="21"/>
          <w:highlight w:val="none"/>
        </w:rPr>
      </w:pPr>
    </w:p>
    <w:p w14:paraId="28107924">
      <w:pPr>
        <w:shd w:val="clear" w:color="auto" w:fill="auto"/>
        <w:spacing w:line="300" w:lineRule="auto"/>
        <w:rPr>
          <w:rFonts w:hint="eastAsia" w:ascii="宋体" w:hAnsi="宋体"/>
          <w:color w:val="auto"/>
          <w:szCs w:val="21"/>
          <w:highlight w:val="none"/>
        </w:rPr>
      </w:pPr>
    </w:p>
    <w:p w14:paraId="02220716">
      <w:pPr>
        <w:shd w:val="clear" w:color="auto" w:fill="auto"/>
        <w:spacing w:line="300" w:lineRule="auto"/>
        <w:rPr>
          <w:rFonts w:hint="eastAsia" w:ascii="宋体" w:hAnsi="宋体"/>
          <w:color w:val="auto"/>
          <w:szCs w:val="21"/>
          <w:highlight w:val="none"/>
        </w:rPr>
      </w:pPr>
    </w:p>
    <w:p w14:paraId="3534B08D">
      <w:pPr>
        <w:shd w:val="clear" w:color="auto" w:fill="auto"/>
        <w:spacing w:line="300" w:lineRule="auto"/>
        <w:rPr>
          <w:rFonts w:hint="eastAsia" w:ascii="宋体" w:hAnsi="宋体"/>
          <w:color w:val="auto"/>
          <w:szCs w:val="21"/>
          <w:highlight w:val="none"/>
        </w:rPr>
      </w:pPr>
    </w:p>
    <w:p w14:paraId="388124E4">
      <w:pPr>
        <w:snapToGrid w:val="0"/>
        <w:spacing w:before="120" w:beforeLines="50" w:after="50"/>
        <w:jc w:val="left"/>
        <w:rPr>
          <w:rFonts w:ascii="宋体" w:hAnsi="宋体" w:eastAsia="宋体" w:cs="Times New Roman"/>
          <w:b/>
          <w:color w:val="auto"/>
          <w:sz w:val="24"/>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r>
        <w:rPr>
          <w:rFonts w:hint="eastAsia" w:ascii="宋体" w:hAnsi="宋体" w:eastAsia="宋体" w:cs="Times New Roman"/>
          <w:b/>
          <w:color w:val="auto"/>
          <w:sz w:val="24"/>
          <w:highlight w:val="none"/>
        </w:rPr>
        <w:t>3.</w:t>
      </w:r>
      <w:r>
        <w:rPr>
          <w:rFonts w:hint="eastAsia" w:ascii="宋体" w:hAnsi="宋体" w:eastAsia="宋体" w:cs="Times New Roman"/>
          <w:b/>
          <w:color w:val="auto"/>
          <w:sz w:val="28"/>
          <w:szCs w:val="28"/>
          <w:highlight w:val="none"/>
        </w:rPr>
        <w:t>供应商直接控股股东信息表</w:t>
      </w:r>
    </w:p>
    <w:p w14:paraId="6D40CCE6">
      <w:pPr>
        <w:snapToGrid w:val="0"/>
        <w:spacing w:before="50" w:after="120" w:afterLines="50"/>
        <w:jc w:val="center"/>
        <w:rPr>
          <w:rFonts w:hint="eastAsia" w:ascii="宋体" w:hAnsi="宋体" w:eastAsia="宋体" w:cs="Times New Roman"/>
          <w:b/>
          <w:color w:val="auto"/>
          <w:sz w:val="28"/>
          <w:szCs w:val="28"/>
          <w:highlight w:val="none"/>
        </w:rPr>
      </w:pPr>
    </w:p>
    <w:p w14:paraId="491EBFB0">
      <w:pPr>
        <w:snapToGrid w:val="0"/>
        <w:spacing w:before="50" w:after="120" w:afterLines="50"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4BBA59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42C5D3">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F3267F">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144C186">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16E326">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A26F9F">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5B5F0A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165119">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1FF0D3">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DB03AB">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F3CFF7">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553097">
            <w:pPr>
              <w:spacing w:line="360" w:lineRule="auto"/>
              <w:jc w:val="center"/>
              <w:rPr>
                <w:rFonts w:ascii="宋体" w:hAnsi="宋体" w:eastAsia="宋体" w:cs="宋体"/>
                <w:color w:val="auto"/>
                <w:kern w:val="0"/>
                <w:sz w:val="24"/>
                <w:highlight w:val="none"/>
              </w:rPr>
            </w:pPr>
          </w:p>
        </w:tc>
      </w:tr>
      <w:tr w14:paraId="6F8A64A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31C6A6">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361F46">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D16EA3">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B19AE1">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2AEAB8">
            <w:pPr>
              <w:spacing w:line="360" w:lineRule="auto"/>
              <w:jc w:val="center"/>
              <w:rPr>
                <w:rFonts w:ascii="宋体" w:hAnsi="宋体" w:eastAsia="宋体" w:cs="宋体"/>
                <w:color w:val="auto"/>
                <w:kern w:val="0"/>
                <w:sz w:val="24"/>
                <w:highlight w:val="none"/>
              </w:rPr>
            </w:pPr>
          </w:p>
        </w:tc>
      </w:tr>
      <w:tr w14:paraId="421B82D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9D3C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021997">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D7699D">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DBD592">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BCD3B5">
            <w:pPr>
              <w:spacing w:line="360" w:lineRule="auto"/>
              <w:jc w:val="center"/>
              <w:rPr>
                <w:rFonts w:ascii="宋体" w:hAnsi="宋体" w:eastAsia="宋体" w:cs="宋体"/>
                <w:color w:val="auto"/>
                <w:kern w:val="0"/>
                <w:sz w:val="24"/>
                <w:highlight w:val="none"/>
              </w:rPr>
            </w:pPr>
          </w:p>
        </w:tc>
      </w:tr>
      <w:tr w14:paraId="5A132F7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CA478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00F132">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C3C1D8">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E25361">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0FD18A">
            <w:pPr>
              <w:spacing w:line="360" w:lineRule="auto"/>
              <w:jc w:val="center"/>
              <w:rPr>
                <w:rFonts w:ascii="宋体" w:hAnsi="宋体" w:eastAsia="宋体" w:cs="宋体"/>
                <w:color w:val="auto"/>
                <w:kern w:val="0"/>
                <w:sz w:val="24"/>
                <w:highlight w:val="none"/>
              </w:rPr>
            </w:pPr>
          </w:p>
        </w:tc>
      </w:tr>
    </w:tbl>
    <w:p w14:paraId="652D2203">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72EBBD30">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24D357">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14:paraId="186404B2">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3.供应商不存在直接控股股东的，则在“</w:t>
      </w:r>
      <w:r>
        <w:rPr>
          <w:rFonts w:hint="eastAsia" w:ascii="宋体" w:hAnsi="宋体" w:eastAsia="宋体" w:cs="宋体"/>
          <w:b/>
          <w:bCs/>
          <w:color w:val="auto"/>
          <w:kern w:val="0"/>
          <w:sz w:val="24"/>
          <w:highlight w:val="none"/>
        </w:rPr>
        <w:t>直接控股股东名称</w:t>
      </w:r>
      <w:r>
        <w:rPr>
          <w:rFonts w:hint="eastAsia" w:ascii="宋体" w:hAnsi="宋体" w:eastAsia="宋体" w:cs="Times New Roman"/>
          <w:color w:val="auto"/>
          <w:sz w:val="24"/>
          <w:highlight w:val="none"/>
        </w:rPr>
        <w:t>”中填“无”。</w:t>
      </w:r>
    </w:p>
    <w:p w14:paraId="2FA4D184">
      <w:pPr>
        <w:snapToGrid w:val="0"/>
        <w:spacing w:line="360" w:lineRule="auto"/>
        <w:jc w:val="left"/>
        <w:rPr>
          <w:rFonts w:hint="eastAsia" w:ascii="宋体" w:hAnsi="宋体" w:eastAsia="宋体" w:cs="Times New Roman"/>
          <w:color w:val="auto"/>
          <w:sz w:val="24"/>
          <w:highlight w:val="none"/>
        </w:rPr>
      </w:pPr>
    </w:p>
    <w:p w14:paraId="0E6D1F2F">
      <w:pPr>
        <w:snapToGrid w:val="0"/>
        <w:spacing w:line="360" w:lineRule="auto"/>
        <w:jc w:val="left"/>
        <w:rPr>
          <w:rFonts w:hint="eastAsia" w:ascii="宋体" w:hAnsi="宋体" w:eastAsia="宋体" w:cs="Times New Roman"/>
          <w:color w:val="auto"/>
          <w:sz w:val="24"/>
          <w:highlight w:val="none"/>
        </w:rPr>
      </w:pPr>
    </w:p>
    <w:p w14:paraId="0FAAD020">
      <w:pPr>
        <w:snapToGrid w:val="0"/>
        <w:spacing w:line="360" w:lineRule="auto"/>
        <w:jc w:val="left"/>
        <w:rPr>
          <w:rFonts w:hint="eastAsia" w:ascii="宋体" w:hAnsi="宋体" w:eastAsia="宋体" w:cs="Times New Roman"/>
          <w:color w:val="auto"/>
          <w:sz w:val="24"/>
          <w:highlight w:val="none"/>
        </w:rPr>
      </w:pPr>
    </w:p>
    <w:p w14:paraId="4ED3A2A7">
      <w:pPr>
        <w:snapToGrid w:val="0"/>
        <w:spacing w:line="360" w:lineRule="auto"/>
        <w:ind w:left="-2" w:leftChars="-1" w:right="-817" w:rightChars="-38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法定代表人或者委托代理人（签字或者电子签名）：</w:t>
      </w:r>
    </w:p>
    <w:p w14:paraId="41C52C44">
      <w:pPr>
        <w:snapToGrid w:val="0"/>
        <w:spacing w:line="360" w:lineRule="auto"/>
        <w:ind w:left="-3" w:leftChars="-15" w:right="-817" w:rightChars="-389" w:hanging="28" w:hangingChars="1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供应商名称（电子签章）：</w:t>
      </w:r>
    </w:p>
    <w:p w14:paraId="2629F012">
      <w:pPr>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 w:val="24"/>
          <w:highlight w:val="none"/>
        </w:rPr>
        <w:t xml:space="preserve">                                    日期：    年   月   日</w:t>
      </w:r>
    </w:p>
    <w:p w14:paraId="5D9695E5">
      <w:pPr>
        <w:snapToGrid w:val="0"/>
        <w:jc w:val="center"/>
        <w:rPr>
          <w:rFonts w:hint="eastAsia" w:ascii="宋体" w:hAnsi="宋体" w:eastAsia="宋体" w:cs="Times New Roman"/>
          <w:b/>
          <w:color w:val="auto"/>
          <w:sz w:val="28"/>
          <w:szCs w:val="28"/>
          <w:highlight w:val="none"/>
        </w:rPr>
      </w:pPr>
    </w:p>
    <w:p w14:paraId="3B31CF9E">
      <w:pPr>
        <w:snapToGrid w:val="0"/>
        <w:spacing w:line="360" w:lineRule="auto"/>
        <w:jc w:val="left"/>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r>
        <w:rPr>
          <w:rFonts w:hint="eastAsia" w:ascii="宋体" w:hAnsi="宋体" w:eastAsia="宋体" w:cs="Times New Roman"/>
          <w:b/>
          <w:color w:val="auto"/>
          <w:sz w:val="24"/>
          <w:highlight w:val="none"/>
        </w:rPr>
        <w:t>4.</w:t>
      </w:r>
      <w:r>
        <w:rPr>
          <w:rFonts w:ascii="Times New Roman" w:hAnsi="Times New Roman" w:eastAsia="宋体" w:cs="Times New Roman"/>
          <w:color w:val="auto"/>
          <w:highlight w:val="none"/>
        </w:rPr>
        <w:t xml:space="preserve"> </w:t>
      </w:r>
      <w:r>
        <w:rPr>
          <w:rFonts w:hint="eastAsia" w:ascii="宋体" w:hAnsi="宋体" w:eastAsia="宋体" w:cs="Times New Roman"/>
          <w:b/>
          <w:color w:val="auto"/>
          <w:sz w:val="28"/>
          <w:szCs w:val="28"/>
          <w:highlight w:val="none"/>
        </w:rPr>
        <w:t>供应商直接管理关系信息表</w:t>
      </w:r>
    </w:p>
    <w:p w14:paraId="6C989B55">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27"/>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A33CE4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4A3A5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BF6F79D">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3AFBE6">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065F18">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82694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4086A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6092A9">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715E01">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77182">
            <w:pPr>
              <w:spacing w:line="360" w:lineRule="auto"/>
              <w:jc w:val="center"/>
              <w:rPr>
                <w:rFonts w:ascii="宋体" w:hAnsi="宋体" w:eastAsia="宋体" w:cs="宋体"/>
                <w:color w:val="auto"/>
                <w:kern w:val="0"/>
                <w:sz w:val="24"/>
                <w:highlight w:val="none"/>
              </w:rPr>
            </w:pPr>
          </w:p>
        </w:tc>
      </w:tr>
      <w:tr w14:paraId="4B05A1D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F25DF3">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049340">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560670">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6C8B59">
            <w:pPr>
              <w:spacing w:line="360" w:lineRule="auto"/>
              <w:jc w:val="center"/>
              <w:rPr>
                <w:rFonts w:ascii="宋体" w:hAnsi="宋体" w:eastAsia="宋体" w:cs="宋体"/>
                <w:color w:val="auto"/>
                <w:kern w:val="0"/>
                <w:sz w:val="24"/>
                <w:highlight w:val="none"/>
              </w:rPr>
            </w:pPr>
          </w:p>
        </w:tc>
      </w:tr>
      <w:tr w14:paraId="39AF694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66F23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A4B3E7">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C608DC">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AC85EC">
            <w:pPr>
              <w:spacing w:line="360" w:lineRule="auto"/>
              <w:jc w:val="center"/>
              <w:rPr>
                <w:rFonts w:ascii="宋体" w:hAnsi="宋体" w:eastAsia="宋体" w:cs="宋体"/>
                <w:color w:val="auto"/>
                <w:kern w:val="0"/>
                <w:sz w:val="24"/>
                <w:highlight w:val="none"/>
              </w:rPr>
            </w:pPr>
          </w:p>
        </w:tc>
      </w:tr>
      <w:tr w14:paraId="18F3A0B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AAAC9D">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4FF20C">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130588">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60A5F">
            <w:pPr>
              <w:spacing w:line="360" w:lineRule="auto"/>
              <w:jc w:val="center"/>
              <w:rPr>
                <w:rFonts w:ascii="宋体" w:hAnsi="宋体" w:eastAsia="宋体" w:cs="宋体"/>
                <w:color w:val="auto"/>
                <w:kern w:val="0"/>
                <w:sz w:val="24"/>
                <w:highlight w:val="none"/>
              </w:rPr>
            </w:pPr>
          </w:p>
        </w:tc>
      </w:tr>
    </w:tbl>
    <w:p w14:paraId="58C5B653">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646A185F">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14:paraId="2DA8CEAE">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14:paraId="6CD0AF13">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3.供应商不存在直接管理关系的，则在“</w:t>
      </w:r>
      <w:r>
        <w:rPr>
          <w:rFonts w:hint="eastAsia" w:ascii="宋体" w:hAnsi="宋体" w:eastAsia="宋体" w:cs="宋体"/>
          <w:b/>
          <w:bCs/>
          <w:color w:val="auto"/>
          <w:kern w:val="0"/>
          <w:sz w:val="24"/>
          <w:highlight w:val="none"/>
        </w:rPr>
        <w:t>直接管理关系单位名称</w:t>
      </w:r>
      <w:r>
        <w:rPr>
          <w:rFonts w:hint="eastAsia" w:ascii="宋体" w:hAnsi="宋体" w:eastAsia="宋体" w:cs="Times New Roman"/>
          <w:color w:val="auto"/>
          <w:sz w:val="24"/>
          <w:highlight w:val="none"/>
        </w:rPr>
        <w:t>”中填“无”。</w:t>
      </w:r>
    </w:p>
    <w:p w14:paraId="7E717BFC">
      <w:pPr>
        <w:snapToGrid w:val="0"/>
        <w:spacing w:line="360" w:lineRule="auto"/>
        <w:jc w:val="left"/>
        <w:rPr>
          <w:rFonts w:hint="eastAsia" w:ascii="宋体" w:hAnsi="宋体" w:eastAsia="宋体" w:cs="Times New Roman"/>
          <w:color w:val="auto"/>
          <w:sz w:val="24"/>
          <w:highlight w:val="none"/>
        </w:rPr>
      </w:pPr>
    </w:p>
    <w:p w14:paraId="667D760D">
      <w:pPr>
        <w:snapToGrid w:val="0"/>
        <w:spacing w:line="360" w:lineRule="auto"/>
        <w:jc w:val="left"/>
        <w:rPr>
          <w:rFonts w:hint="eastAsia" w:ascii="宋体" w:hAnsi="宋体" w:eastAsia="宋体" w:cs="Times New Roman"/>
          <w:color w:val="auto"/>
          <w:sz w:val="24"/>
          <w:highlight w:val="none"/>
        </w:rPr>
      </w:pPr>
    </w:p>
    <w:p w14:paraId="7BD8FD20">
      <w:pPr>
        <w:snapToGrid w:val="0"/>
        <w:spacing w:line="360" w:lineRule="auto"/>
        <w:jc w:val="left"/>
        <w:rPr>
          <w:rFonts w:hint="eastAsia" w:ascii="宋体" w:hAnsi="宋体" w:eastAsia="宋体" w:cs="Times New Roman"/>
          <w:color w:val="auto"/>
          <w:sz w:val="24"/>
          <w:highlight w:val="none"/>
        </w:rPr>
      </w:pPr>
    </w:p>
    <w:p w14:paraId="4E29CADF">
      <w:pPr>
        <w:snapToGrid w:val="0"/>
        <w:spacing w:line="360" w:lineRule="auto"/>
        <w:jc w:val="left"/>
        <w:rPr>
          <w:rFonts w:hint="eastAsia" w:ascii="Times New Roman" w:hAnsi="Times New Roman" w:eastAsia="宋体" w:cs="Times New Roman"/>
          <w:color w:val="auto"/>
          <w:sz w:val="24"/>
          <w:highlight w:val="none"/>
        </w:rPr>
      </w:pPr>
    </w:p>
    <w:p w14:paraId="6A4AB00F">
      <w:pPr>
        <w:snapToGrid w:val="0"/>
        <w:spacing w:line="360" w:lineRule="auto"/>
        <w:ind w:left="-2" w:leftChars="-1" w:right="-817" w:rightChars="-389"/>
        <w:rPr>
          <w:rFonts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法定代表人或者委托代理人（签字或者电子签名）：</w:t>
      </w:r>
    </w:p>
    <w:p w14:paraId="0A530E3C">
      <w:pPr>
        <w:snapToGrid w:val="0"/>
        <w:spacing w:line="360" w:lineRule="auto"/>
        <w:ind w:left="-3" w:leftChars="-15" w:right="-817" w:rightChars="-389" w:hanging="28" w:hangingChars="1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供应商名称（电子签章）：</w:t>
      </w:r>
    </w:p>
    <w:p w14:paraId="767DDD8A">
      <w:pPr>
        <w:shd w:val="clear" w:color="auto" w:fill="auto"/>
        <w:spacing w:line="360" w:lineRule="auto"/>
        <w:ind w:firstLine="480" w:firstLineChars="200"/>
        <w:contextualSpacing/>
        <w:jc w:val="left"/>
        <w:rPr>
          <w:rFonts w:ascii="宋体" w:hAnsi="宋体"/>
          <w:color w:val="auto"/>
          <w:sz w:val="28"/>
          <w:szCs w:val="28"/>
          <w:highlight w:val="none"/>
        </w:rPr>
      </w:pPr>
      <w:r>
        <w:rPr>
          <w:rFonts w:hint="eastAsia" w:ascii="宋体" w:hAnsi="宋体" w:eastAsia="宋体" w:cs="Times New Roman"/>
          <w:color w:val="auto"/>
          <w:sz w:val="24"/>
          <w:highlight w:val="none"/>
        </w:rPr>
        <w:t xml:space="preserve">                                日期：    年   月   日</w:t>
      </w:r>
    </w:p>
    <w:p w14:paraId="7ADDF181">
      <w:pPr>
        <w:shd w:val="clear" w:color="auto" w:fill="auto"/>
        <w:spacing w:after="120"/>
        <w:rPr>
          <w:rFonts w:ascii="宋体" w:hAnsi="宋体" w:eastAsia="宋体" w:cs="宋体"/>
          <w:color w:val="auto"/>
          <w:kern w:val="0"/>
          <w:sz w:val="24"/>
          <w:highlight w:val="none"/>
        </w:rPr>
      </w:pPr>
    </w:p>
    <w:p w14:paraId="6D70DC99">
      <w:pPr>
        <w:shd w:val="clear" w:color="auto" w:fill="auto"/>
        <w:snapToGrid w:val="0"/>
        <w:spacing w:before="120" w:beforeLines="50" w:after="50"/>
        <w:jc w:val="left"/>
        <w:rPr>
          <w:rFonts w:ascii="宋体" w:hAnsi="宋体" w:eastAsia="宋体" w:cs="Times New Roman"/>
          <w:b/>
          <w:color w:val="auto"/>
          <w:sz w:val="24"/>
          <w:highlight w:val="none"/>
        </w:rPr>
      </w:pPr>
    </w:p>
    <w:p w14:paraId="3B2B1B30">
      <w:pPr>
        <w:shd w:val="clear" w:color="auto" w:fill="auto"/>
        <w:spacing w:line="320" w:lineRule="exact"/>
        <w:jc w:val="left"/>
        <w:rPr>
          <w:rFonts w:hint="eastAsia" w:ascii="宋体" w:hAnsi="宋体"/>
          <w:b/>
          <w:color w:val="auto"/>
          <w:sz w:val="24"/>
          <w:highlight w:val="none"/>
        </w:rPr>
      </w:pPr>
      <w:r>
        <w:rPr>
          <w:rFonts w:ascii="宋体" w:hAnsi="宋体"/>
          <w:color w:val="auto"/>
          <w:sz w:val="28"/>
          <w:szCs w:val="28"/>
          <w:highlight w:val="none"/>
        </w:rPr>
        <w:br w:type="page"/>
      </w:r>
      <w:r>
        <w:rPr>
          <w:rFonts w:hint="eastAsia" w:ascii="宋体" w:hAnsi="宋体"/>
          <w:b/>
          <w:color w:val="auto"/>
          <w:sz w:val="24"/>
          <w:highlight w:val="none"/>
        </w:rPr>
        <w:t>5.竞标声明</w:t>
      </w:r>
    </w:p>
    <w:p w14:paraId="153AD991">
      <w:pPr>
        <w:shd w:val="clear" w:color="auto" w:fill="auto"/>
        <w:spacing w:line="320" w:lineRule="exact"/>
        <w:jc w:val="left"/>
        <w:rPr>
          <w:rFonts w:hint="eastAsia" w:ascii="宋体" w:hAnsi="宋体"/>
          <w:b/>
          <w:color w:val="auto"/>
          <w:sz w:val="24"/>
          <w:highlight w:val="none"/>
        </w:rPr>
      </w:pPr>
    </w:p>
    <w:p w14:paraId="29F313B5">
      <w:pPr>
        <w:shd w:val="clear" w:color="auto" w:fill="auto"/>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竞标声明</w:t>
      </w:r>
    </w:p>
    <w:p w14:paraId="7D8ADFDA">
      <w:pPr>
        <w:shd w:val="clear" w:color="auto" w:fill="auto"/>
        <w:spacing w:line="320" w:lineRule="exact"/>
        <w:jc w:val="center"/>
        <w:rPr>
          <w:rFonts w:hint="eastAsia" w:ascii="宋体" w:hAnsi="宋体"/>
          <w:color w:val="auto"/>
          <w:sz w:val="24"/>
          <w:szCs w:val="20"/>
          <w:highlight w:val="none"/>
        </w:rPr>
      </w:pPr>
    </w:p>
    <w:p w14:paraId="2DE27EAC">
      <w:pPr>
        <w:shd w:val="clear" w:color="auto" w:fill="auto"/>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1BC8D8A">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9D4173">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06FDF7A">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F7BEF72">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0AF88BE">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D5131E1">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C1B2A97">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625E4AD">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E8D651E">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0AF7BAFE">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7248524">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CAD38B7">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1611217">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D7482B">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81CA792">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4F274CD">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20CE1F5">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BB6439">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2D71AE">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CE2CE59">
      <w:pPr>
        <w:shd w:val="clear" w:color="auto" w:fill="auto"/>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86B10E6">
      <w:pPr>
        <w:pStyle w:val="16"/>
        <w:shd w:val="clear" w:color="auto" w:fill="auto"/>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6F9DFF18">
      <w:pPr>
        <w:pStyle w:val="16"/>
        <w:shd w:val="clear" w:color="auto" w:fill="auto"/>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0538877">
      <w:pPr>
        <w:pStyle w:val="15"/>
        <w:shd w:val="clear" w:color="auto" w:fill="auto"/>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5D8451C">
      <w:pPr>
        <w:pStyle w:val="15"/>
        <w:shd w:val="clear" w:color="auto" w:fill="auto"/>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6161B98">
      <w:pPr>
        <w:pStyle w:val="15"/>
        <w:shd w:val="clear" w:color="auto" w:fill="auto"/>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13DD4D4">
      <w:pPr>
        <w:shd w:val="clear" w:color="auto" w:fill="auto"/>
        <w:spacing w:line="360" w:lineRule="auto"/>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F9E0C00">
      <w:pPr>
        <w:shd w:val="clear" w:color="auto" w:fill="auto"/>
        <w:spacing w:line="360" w:lineRule="auto"/>
        <w:contextualSpacing/>
        <w:jc w:val="left"/>
        <w:rPr>
          <w:rFonts w:hint="eastAsia" w:ascii="宋体" w:hAnsi="宋体" w:cs="宋体"/>
          <w:color w:val="auto"/>
          <w:szCs w:val="21"/>
          <w:highlight w:val="none"/>
        </w:rPr>
      </w:pPr>
    </w:p>
    <w:p w14:paraId="732111E4">
      <w:pPr>
        <w:shd w:val="clear" w:color="auto" w:fill="auto"/>
        <w:spacing w:line="360" w:lineRule="auto"/>
        <w:ind w:firstLine="1807" w:firstLineChars="750"/>
        <w:contextualSpacing/>
        <w:rPr>
          <w:rFonts w:hint="eastAsia"/>
          <w:color w:val="auto"/>
          <w:highlight w:val="none"/>
        </w:rPr>
      </w:pPr>
      <w:r>
        <w:rPr>
          <w:rFonts w:hint="eastAsia"/>
          <w:b/>
          <w:bCs/>
          <w:color w:val="auto"/>
          <w:sz w:val="24"/>
          <w:szCs w:val="32"/>
          <w:highlight w:val="none"/>
        </w:rPr>
        <w:t>法定代表人</w:t>
      </w:r>
      <w:r>
        <w:rPr>
          <w:rFonts w:hint="eastAsia"/>
          <w:color w:val="auto"/>
          <w:highlight w:val="none"/>
        </w:rPr>
        <w:t>（</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0638EE0E">
      <w:pPr>
        <w:shd w:val="clear" w:color="auto" w:fill="auto"/>
        <w:spacing w:line="360" w:lineRule="auto"/>
        <w:ind w:firstLine="4320" w:firstLineChars="1800"/>
        <w:contextualSpacing/>
        <w:rPr>
          <w:rFonts w:hint="eastAsia" w:ascii="宋体" w:hAnsi="宋体" w:cs="宋体"/>
          <w:color w:val="auto"/>
          <w:szCs w:val="21"/>
          <w:highlight w:val="none"/>
          <w:u w:val="single"/>
        </w:rPr>
      </w:pPr>
      <w:r>
        <w:rPr>
          <w:rFonts w:hint="eastAsia"/>
          <w:color w:val="auto"/>
          <w:sz w:val="24"/>
          <w:szCs w:val="32"/>
          <w:highlight w:val="none"/>
        </w:rPr>
        <w:t>供应商（电子签章）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1C514385">
      <w:pPr>
        <w:pStyle w:val="15"/>
        <w:shd w:val="clear" w:color="auto" w:fill="auto"/>
        <w:tabs>
          <w:tab w:val="left" w:pos="939"/>
        </w:tabs>
        <w:spacing w:line="360" w:lineRule="auto"/>
        <w:ind w:left="0" w:leftChars="0" w:firstLine="420" w:firstLineChars="200"/>
        <w:rPr>
          <w:rFonts w:hint="eastAsia"/>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5DCC16D5">
      <w:pPr>
        <w:pStyle w:val="7"/>
        <w:shd w:val="clear" w:color="auto" w:fill="auto"/>
        <w:overflowPunct w:val="0"/>
        <w:spacing w:line="520" w:lineRule="exact"/>
        <w:ind w:firstLine="0"/>
        <w:rPr>
          <w:rFonts w:ascii="宋体" w:hAnsi="宋体"/>
          <w:b/>
          <w:bCs/>
          <w:color w:val="auto"/>
          <w:sz w:val="32"/>
          <w:szCs w:val="32"/>
          <w:highlight w:val="none"/>
        </w:rPr>
      </w:pPr>
    </w:p>
    <w:p w14:paraId="67BA8498">
      <w:pPr>
        <w:shd w:val="clear" w:color="auto" w:fill="auto"/>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F0E8C6B">
      <w:pPr>
        <w:shd w:val="clear" w:color="auto" w:fill="auto"/>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44353009">
      <w:pPr>
        <w:shd w:val="clear" w:color="auto" w:fill="auto"/>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7EA757C">
      <w:pPr>
        <w:shd w:val="clear" w:color="auto" w:fill="auto"/>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0E84F1FA">
      <w:pPr>
        <w:shd w:val="clear" w:color="auto" w:fill="auto"/>
        <w:snapToGrid w:val="0"/>
        <w:spacing w:before="156" w:beforeLines="50" w:after="50"/>
        <w:rPr>
          <w:rFonts w:hint="eastAsia" w:ascii="宋体" w:hAnsi="宋体"/>
          <w:color w:val="auto"/>
          <w:sz w:val="24"/>
          <w:szCs w:val="20"/>
          <w:highlight w:val="none"/>
        </w:rPr>
      </w:pPr>
    </w:p>
    <w:p w14:paraId="707C16A1">
      <w:pPr>
        <w:shd w:val="clear" w:color="auto" w:fill="auto"/>
        <w:snapToGrid w:val="0"/>
        <w:spacing w:before="156" w:beforeLines="50" w:after="50"/>
        <w:rPr>
          <w:rFonts w:hint="eastAsia" w:ascii="宋体" w:hAnsi="宋体"/>
          <w:color w:val="auto"/>
          <w:sz w:val="24"/>
          <w:szCs w:val="20"/>
          <w:highlight w:val="none"/>
        </w:rPr>
      </w:pPr>
    </w:p>
    <w:p w14:paraId="62B09F9D">
      <w:pPr>
        <w:shd w:val="clear" w:color="auto" w:fill="auto"/>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F056EB1">
      <w:pPr>
        <w:shd w:val="clear" w:color="auto" w:fill="auto"/>
        <w:snapToGrid w:val="0"/>
        <w:spacing w:before="156" w:beforeLines="50" w:after="50"/>
        <w:rPr>
          <w:rFonts w:hint="eastAsia" w:ascii="宋体" w:hAnsi="宋体"/>
          <w:bCs/>
          <w:color w:val="auto"/>
          <w:sz w:val="24"/>
          <w:szCs w:val="20"/>
          <w:highlight w:val="none"/>
        </w:rPr>
      </w:pPr>
    </w:p>
    <w:p w14:paraId="73A32D40">
      <w:pPr>
        <w:shd w:val="clear" w:color="auto" w:fill="auto"/>
        <w:snapToGrid w:val="0"/>
        <w:spacing w:before="156" w:beforeLines="50" w:after="50"/>
        <w:rPr>
          <w:rFonts w:hint="eastAsia" w:ascii="宋体" w:hAnsi="宋体"/>
          <w:bCs/>
          <w:color w:val="auto"/>
          <w:sz w:val="24"/>
          <w:szCs w:val="20"/>
          <w:highlight w:val="none"/>
        </w:rPr>
      </w:pPr>
    </w:p>
    <w:p w14:paraId="6E08B638">
      <w:pPr>
        <w:shd w:val="clear" w:color="auto" w:fill="auto"/>
        <w:snapToGrid w:val="0"/>
        <w:spacing w:before="156" w:beforeLines="50" w:after="50"/>
        <w:rPr>
          <w:rFonts w:hint="eastAsia" w:ascii="宋体" w:hAnsi="宋体"/>
          <w:bCs/>
          <w:color w:val="auto"/>
          <w:sz w:val="24"/>
          <w:szCs w:val="20"/>
          <w:highlight w:val="none"/>
        </w:rPr>
      </w:pPr>
    </w:p>
    <w:p w14:paraId="1BF4131F">
      <w:pPr>
        <w:shd w:val="clear" w:color="auto" w:fill="auto"/>
        <w:snapToGrid w:val="0"/>
        <w:spacing w:before="156" w:beforeLines="50" w:after="50"/>
        <w:rPr>
          <w:rFonts w:hint="eastAsia" w:ascii="宋体" w:hAnsi="宋体"/>
          <w:bCs/>
          <w:color w:val="auto"/>
          <w:sz w:val="24"/>
          <w:szCs w:val="20"/>
          <w:highlight w:val="none"/>
        </w:rPr>
      </w:pPr>
    </w:p>
    <w:p w14:paraId="497E3375">
      <w:pPr>
        <w:shd w:val="clear" w:color="auto" w:fill="auto"/>
        <w:snapToGrid w:val="0"/>
        <w:spacing w:before="156" w:beforeLines="50" w:after="50"/>
        <w:rPr>
          <w:rFonts w:hint="eastAsia" w:ascii="宋体" w:hAnsi="宋体"/>
          <w:bCs/>
          <w:color w:val="auto"/>
          <w:sz w:val="24"/>
          <w:szCs w:val="20"/>
          <w:highlight w:val="none"/>
        </w:rPr>
      </w:pPr>
    </w:p>
    <w:p w14:paraId="333C0E5C">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E578AE0">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p>
    <w:p w14:paraId="0B01219E">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D33ABDF">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2283AB8">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50343B2">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p>
    <w:p w14:paraId="71AA9C7E">
      <w:pPr>
        <w:pStyle w:val="7"/>
        <w:shd w:val="clear" w:color="auto" w:fill="auto"/>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2647702">
      <w:pPr>
        <w:pStyle w:val="7"/>
        <w:shd w:val="clear" w:color="auto" w:fill="auto"/>
        <w:snapToGrid w:val="0"/>
        <w:spacing w:before="50" w:after="50"/>
        <w:ind w:firstLine="640" w:firstLineChars="200"/>
        <w:rPr>
          <w:rFonts w:hint="eastAsia" w:ascii="宋体" w:hAnsi="宋体" w:cs="仿宋_GB2312"/>
          <w:bCs/>
          <w:color w:val="auto"/>
          <w:sz w:val="32"/>
          <w:szCs w:val="32"/>
          <w:highlight w:val="none"/>
        </w:rPr>
      </w:pPr>
    </w:p>
    <w:p w14:paraId="195BDCCC">
      <w:pPr>
        <w:pStyle w:val="7"/>
        <w:shd w:val="clear" w:color="auto" w:fill="auto"/>
        <w:snapToGrid w:val="0"/>
        <w:spacing w:before="50" w:after="50"/>
        <w:ind w:firstLine="720" w:firstLineChars="225"/>
        <w:rPr>
          <w:rFonts w:hint="eastAsia" w:ascii="宋体" w:hAnsi="宋体" w:cs="仿宋_GB2312"/>
          <w:bCs/>
          <w:color w:val="auto"/>
          <w:sz w:val="32"/>
          <w:szCs w:val="32"/>
          <w:highlight w:val="none"/>
        </w:rPr>
      </w:pPr>
    </w:p>
    <w:p w14:paraId="408258F2">
      <w:pPr>
        <w:pStyle w:val="7"/>
        <w:shd w:val="clear" w:color="auto" w:fill="auto"/>
        <w:snapToGrid w:val="0"/>
        <w:spacing w:before="50" w:after="50"/>
        <w:ind w:firstLine="0"/>
        <w:rPr>
          <w:rFonts w:hint="eastAsia" w:ascii="宋体" w:hAnsi="宋体" w:cs="仿宋_GB2312"/>
          <w:bCs/>
          <w:color w:val="auto"/>
          <w:sz w:val="32"/>
          <w:szCs w:val="32"/>
          <w:highlight w:val="none"/>
        </w:rPr>
      </w:pPr>
    </w:p>
    <w:p w14:paraId="19CF93B2">
      <w:pPr>
        <w:pStyle w:val="7"/>
        <w:shd w:val="clear" w:color="auto" w:fill="auto"/>
        <w:snapToGrid w:val="0"/>
        <w:spacing w:before="50" w:after="50"/>
        <w:ind w:firstLine="1280" w:firstLineChars="400"/>
        <w:rPr>
          <w:rFonts w:hint="eastAsia" w:ascii="宋体" w:hAnsi="宋体" w:cs="仿宋_GB2312"/>
          <w:bCs/>
          <w:color w:val="auto"/>
          <w:sz w:val="32"/>
          <w:szCs w:val="32"/>
          <w:highlight w:val="none"/>
        </w:rPr>
      </w:pPr>
    </w:p>
    <w:p w14:paraId="70FDC71E">
      <w:pPr>
        <w:shd w:val="clear" w:color="auto" w:fill="auto"/>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3296CF1">
      <w:pPr>
        <w:shd w:val="clear" w:color="auto" w:fill="auto"/>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3BA3C12E">
      <w:pPr>
        <w:shd w:val="clear" w:color="auto" w:fill="auto"/>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39EE11D4">
      <w:pPr>
        <w:shd w:val="clear" w:color="auto" w:fill="auto"/>
        <w:spacing w:line="440" w:lineRule="exact"/>
        <w:jc w:val="center"/>
        <w:rPr>
          <w:rFonts w:hint="eastAsia" w:ascii="方正小标宋简体" w:hAnsi="方正小标宋简体" w:eastAsia="方正小标宋简体" w:cs="方正小标宋简体"/>
          <w:bCs/>
          <w:color w:val="auto"/>
          <w:sz w:val="32"/>
          <w:szCs w:val="32"/>
          <w:highlight w:val="none"/>
        </w:rPr>
      </w:pPr>
    </w:p>
    <w:p w14:paraId="711B024D">
      <w:pPr>
        <w:shd w:val="clear" w:color="auto" w:fill="auto"/>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7F8B612">
      <w:pPr>
        <w:shd w:val="clear" w:color="auto" w:fill="auto"/>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2B198EB2">
      <w:pPr>
        <w:shd w:val="clear" w:color="auto" w:fill="auto"/>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D89AA29">
      <w:pPr>
        <w:shd w:val="clear" w:color="auto" w:fill="auto"/>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477"/>
        <w:gridCol w:w="733"/>
        <w:gridCol w:w="1005"/>
        <w:gridCol w:w="2109"/>
        <w:gridCol w:w="1184"/>
      </w:tblGrid>
      <w:tr w14:paraId="15B8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02E98C7">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77" w:type="dxa"/>
            <w:tcBorders>
              <w:top w:val="single" w:color="auto" w:sz="4" w:space="0"/>
              <w:left w:val="single" w:color="auto" w:sz="4" w:space="0"/>
              <w:bottom w:val="single" w:color="auto" w:sz="4" w:space="0"/>
              <w:right w:val="single" w:color="auto" w:sz="4" w:space="0"/>
            </w:tcBorders>
            <w:noWrap w:val="0"/>
            <w:vAlign w:val="center"/>
          </w:tcPr>
          <w:p w14:paraId="1D8A378D">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标的的名称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645A72E">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673E511">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6571328C">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竞标报价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93BEAC5">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3D3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ABD95AF">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E23145A">
            <w:pPr>
              <w:shd w:val="clear" w:color="auto" w:fill="auto"/>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健康（慢病）体检系统提升项目</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D96A23E">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3283A9A">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2686AC26">
            <w:pPr>
              <w:shd w:val="clear" w:color="auto" w:fill="auto"/>
              <w:spacing w:line="440" w:lineRule="exact"/>
              <w:jc w:val="center"/>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9C3472B">
            <w:pPr>
              <w:shd w:val="clear" w:color="auto" w:fill="auto"/>
              <w:spacing w:line="440" w:lineRule="exact"/>
              <w:jc w:val="center"/>
              <w:rPr>
                <w:rFonts w:hint="eastAsia" w:ascii="宋体" w:hAnsi="宋体" w:cs="宋体"/>
                <w:color w:val="auto"/>
                <w:sz w:val="24"/>
                <w:highlight w:val="none"/>
              </w:rPr>
            </w:pPr>
          </w:p>
        </w:tc>
      </w:tr>
      <w:tr w14:paraId="5B9E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2B046D4D">
            <w:pPr>
              <w:shd w:val="clear" w:color="auto" w:fill="auto"/>
              <w:spacing w:line="440" w:lineRule="exact"/>
              <w:rPr>
                <w:rFonts w:hint="eastAsia" w:ascii="宋体" w:hAnsi="宋体" w:cs="宋体"/>
                <w:color w:val="auto"/>
                <w:sz w:val="24"/>
                <w:highlight w:val="none"/>
              </w:rPr>
            </w:pPr>
            <w:r>
              <w:rPr>
                <w:rFonts w:hint="eastAsia" w:ascii="宋体" w:hAnsi="宋体" w:cs="宋体"/>
                <w:color w:val="auto"/>
                <w:sz w:val="24"/>
                <w:highlight w:val="none"/>
              </w:rPr>
              <w:t>人民币合计金额：</w:t>
            </w:r>
            <w:r>
              <w:rPr>
                <w:rFonts w:hint="eastAsia" w:ascii="宋体" w:hAnsi="宋体" w:cs="宋体"/>
                <w:color w:val="auto"/>
                <w:sz w:val="24"/>
                <w:highlight w:val="none"/>
                <w:u w:val="single"/>
              </w:rPr>
              <w:t>（大写）          （¥                ）</w:t>
            </w:r>
          </w:p>
        </w:tc>
      </w:tr>
    </w:tbl>
    <w:p w14:paraId="747C0435">
      <w:pPr>
        <w:shd w:val="clear" w:color="auto" w:fill="auto"/>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34E5DBC5">
      <w:pPr>
        <w:shd w:val="clear" w:color="auto" w:fill="auto"/>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供应商的报价表必须加盖供应商电子签章并由法定代表人或者委托代理人签字或者盖章或者电子签名，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57732312">
      <w:pPr>
        <w:shd w:val="clear" w:color="auto" w:fill="auto"/>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F70A51F">
      <w:pPr>
        <w:shd w:val="clear" w:color="auto" w:fill="auto"/>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49A0DF8E">
      <w:pPr>
        <w:shd w:val="clear" w:color="auto" w:fill="auto"/>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265BE80A">
      <w:pPr>
        <w:shd w:val="clear" w:color="auto" w:fill="auto"/>
        <w:spacing w:line="360"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02FA6F9B">
      <w:pPr>
        <w:shd w:val="clear" w:color="auto" w:fill="auto"/>
        <w:spacing w:line="360" w:lineRule="auto"/>
        <w:ind w:right="-817" w:rightChars="-389"/>
        <w:contextualSpacing/>
        <w:rPr>
          <w:rFonts w:hint="eastAsia" w:ascii="宋体" w:hAnsi="宋体" w:cs="仿宋_GB2312"/>
          <w:color w:val="auto"/>
          <w:sz w:val="24"/>
          <w:highlight w:val="none"/>
        </w:rPr>
      </w:pPr>
    </w:p>
    <w:p w14:paraId="5AA6FC63">
      <w:pPr>
        <w:shd w:val="clear" w:color="auto" w:fill="auto"/>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法定代表人或者委托代理人（签字或者盖章或者电子签名）：                    </w:t>
      </w:r>
    </w:p>
    <w:p w14:paraId="541FC581">
      <w:pPr>
        <w:shd w:val="clear" w:color="auto" w:fill="auto"/>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E2BCD00">
      <w:pPr>
        <w:shd w:val="clear" w:color="auto" w:fill="auto"/>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571BCE53">
      <w:pPr>
        <w:shd w:val="clear" w:color="auto" w:fill="auto"/>
        <w:spacing w:line="360" w:lineRule="auto"/>
        <w:ind w:right="420"/>
        <w:contextualSpacing/>
        <w:jc w:val="left"/>
        <w:rPr>
          <w:rFonts w:hint="eastAsia"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24C0F354">
      <w:pPr>
        <w:shd w:val="clear" w:color="auto" w:fill="auto"/>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732FEBA4">
      <w:pPr>
        <w:shd w:val="clear" w:color="auto" w:fill="auto"/>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9F363BB">
      <w:pPr>
        <w:shd w:val="clear" w:color="auto" w:fill="auto"/>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2371215">
      <w:pPr>
        <w:shd w:val="clear" w:color="auto" w:fill="auto"/>
        <w:snapToGrid w:val="0"/>
        <w:spacing w:before="156" w:beforeLines="50" w:after="50"/>
        <w:rPr>
          <w:rFonts w:hint="eastAsia" w:ascii="宋体" w:hAnsi="宋体"/>
          <w:color w:val="auto"/>
          <w:sz w:val="24"/>
          <w:szCs w:val="20"/>
          <w:highlight w:val="none"/>
        </w:rPr>
      </w:pPr>
    </w:p>
    <w:p w14:paraId="1C320E4C">
      <w:pPr>
        <w:shd w:val="clear" w:color="auto" w:fill="auto"/>
        <w:snapToGrid w:val="0"/>
        <w:spacing w:before="156" w:beforeLines="50" w:after="50"/>
        <w:rPr>
          <w:rFonts w:hint="eastAsia" w:ascii="宋体" w:hAnsi="宋体"/>
          <w:color w:val="auto"/>
          <w:sz w:val="24"/>
          <w:szCs w:val="20"/>
          <w:highlight w:val="none"/>
        </w:rPr>
      </w:pPr>
    </w:p>
    <w:p w14:paraId="3636DDDB">
      <w:pPr>
        <w:shd w:val="clear" w:color="auto" w:fill="auto"/>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A1C4CC2">
      <w:pPr>
        <w:shd w:val="clear" w:color="auto" w:fill="auto"/>
        <w:snapToGrid w:val="0"/>
        <w:spacing w:before="156" w:beforeLines="50" w:after="50"/>
        <w:rPr>
          <w:rFonts w:hint="eastAsia" w:ascii="宋体" w:hAnsi="宋体"/>
          <w:bCs/>
          <w:color w:val="auto"/>
          <w:sz w:val="24"/>
          <w:szCs w:val="20"/>
          <w:highlight w:val="none"/>
        </w:rPr>
      </w:pPr>
    </w:p>
    <w:p w14:paraId="413FE904">
      <w:pPr>
        <w:shd w:val="clear" w:color="auto" w:fill="auto"/>
        <w:snapToGrid w:val="0"/>
        <w:spacing w:before="156" w:beforeLines="50" w:after="50"/>
        <w:rPr>
          <w:rFonts w:hint="eastAsia" w:ascii="宋体" w:hAnsi="宋体"/>
          <w:bCs/>
          <w:color w:val="auto"/>
          <w:sz w:val="24"/>
          <w:szCs w:val="20"/>
          <w:highlight w:val="none"/>
        </w:rPr>
      </w:pPr>
    </w:p>
    <w:p w14:paraId="35CA1C6F">
      <w:pPr>
        <w:shd w:val="clear" w:color="auto" w:fill="auto"/>
        <w:snapToGrid w:val="0"/>
        <w:spacing w:before="156" w:beforeLines="50" w:after="50"/>
        <w:rPr>
          <w:rFonts w:hint="eastAsia" w:ascii="宋体" w:hAnsi="宋体"/>
          <w:bCs/>
          <w:color w:val="auto"/>
          <w:sz w:val="24"/>
          <w:szCs w:val="20"/>
          <w:highlight w:val="none"/>
        </w:rPr>
      </w:pPr>
    </w:p>
    <w:p w14:paraId="35D3913D">
      <w:pPr>
        <w:shd w:val="clear" w:color="auto" w:fill="auto"/>
        <w:snapToGrid w:val="0"/>
        <w:spacing w:before="156" w:beforeLines="50" w:after="50"/>
        <w:rPr>
          <w:rFonts w:hint="eastAsia" w:ascii="宋体" w:hAnsi="宋体"/>
          <w:bCs/>
          <w:color w:val="auto"/>
          <w:sz w:val="24"/>
          <w:szCs w:val="20"/>
          <w:highlight w:val="none"/>
        </w:rPr>
      </w:pPr>
    </w:p>
    <w:p w14:paraId="32D4BC67">
      <w:pPr>
        <w:shd w:val="clear" w:color="auto" w:fill="auto"/>
        <w:snapToGrid w:val="0"/>
        <w:spacing w:before="156" w:beforeLines="50" w:after="50"/>
        <w:rPr>
          <w:rFonts w:hint="eastAsia" w:ascii="宋体" w:hAnsi="宋体"/>
          <w:bCs/>
          <w:color w:val="auto"/>
          <w:sz w:val="24"/>
          <w:szCs w:val="20"/>
          <w:highlight w:val="none"/>
        </w:rPr>
      </w:pPr>
    </w:p>
    <w:p w14:paraId="39AEE2A2">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1EFFB5C">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p>
    <w:p w14:paraId="2E1B53DE">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D301D26">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C6B338A">
      <w:pPr>
        <w:shd w:val="clear" w:color="auto" w:fill="auto"/>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874597F">
      <w:pPr>
        <w:shd w:val="clear" w:color="auto" w:fill="auto"/>
        <w:snapToGrid w:val="0"/>
        <w:spacing w:before="156" w:beforeLines="50" w:after="50"/>
        <w:ind w:firstLine="720" w:firstLineChars="225"/>
        <w:rPr>
          <w:rFonts w:hint="eastAsia" w:ascii="宋体" w:hAnsi="宋体" w:cs="仿宋_GB2312"/>
          <w:bCs/>
          <w:color w:val="auto"/>
          <w:sz w:val="32"/>
          <w:szCs w:val="32"/>
          <w:highlight w:val="none"/>
        </w:rPr>
      </w:pPr>
    </w:p>
    <w:p w14:paraId="5B348971">
      <w:pPr>
        <w:pStyle w:val="7"/>
        <w:shd w:val="clear" w:color="auto" w:fill="auto"/>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19522F4">
      <w:pPr>
        <w:pStyle w:val="7"/>
        <w:shd w:val="clear" w:color="auto" w:fill="auto"/>
        <w:snapToGrid w:val="0"/>
        <w:spacing w:before="50" w:after="50"/>
        <w:ind w:firstLine="640" w:firstLineChars="200"/>
        <w:rPr>
          <w:rFonts w:hint="eastAsia" w:ascii="宋体" w:hAnsi="宋体" w:cs="仿宋_GB2312"/>
          <w:bCs/>
          <w:color w:val="auto"/>
          <w:sz w:val="32"/>
          <w:szCs w:val="32"/>
          <w:highlight w:val="none"/>
        </w:rPr>
      </w:pPr>
    </w:p>
    <w:p w14:paraId="4A2375D9">
      <w:pPr>
        <w:pStyle w:val="7"/>
        <w:shd w:val="clear" w:color="auto" w:fill="auto"/>
        <w:snapToGrid w:val="0"/>
        <w:spacing w:before="50" w:after="50"/>
        <w:ind w:firstLine="720" w:firstLineChars="225"/>
        <w:rPr>
          <w:rFonts w:hint="eastAsia" w:ascii="宋体" w:hAnsi="宋体" w:cs="仿宋_GB2312"/>
          <w:bCs/>
          <w:color w:val="auto"/>
          <w:sz w:val="32"/>
          <w:szCs w:val="32"/>
          <w:highlight w:val="none"/>
        </w:rPr>
      </w:pPr>
    </w:p>
    <w:p w14:paraId="4F854998">
      <w:pPr>
        <w:pStyle w:val="7"/>
        <w:shd w:val="clear" w:color="auto" w:fill="auto"/>
        <w:snapToGrid w:val="0"/>
        <w:spacing w:before="50" w:after="50"/>
        <w:ind w:firstLine="0"/>
        <w:rPr>
          <w:rFonts w:hint="eastAsia" w:ascii="宋体" w:hAnsi="宋体" w:cs="仿宋_GB2312"/>
          <w:bCs/>
          <w:color w:val="auto"/>
          <w:sz w:val="32"/>
          <w:szCs w:val="32"/>
          <w:highlight w:val="none"/>
        </w:rPr>
      </w:pPr>
    </w:p>
    <w:p w14:paraId="27C37F76">
      <w:pPr>
        <w:pStyle w:val="7"/>
        <w:shd w:val="clear" w:color="auto" w:fill="auto"/>
        <w:snapToGrid w:val="0"/>
        <w:spacing w:before="50" w:after="50"/>
        <w:ind w:firstLine="1280" w:firstLineChars="400"/>
        <w:rPr>
          <w:rFonts w:hint="eastAsia" w:ascii="宋体" w:hAnsi="宋体" w:cs="仿宋_GB2312"/>
          <w:bCs/>
          <w:color w:val="auto"/>
          <w:sz w:val="32"/>
          <w:szCs w:val="32"/>
          <w:highlight w:val="none"/>
        </w:rPr>
      </w:pPr>
    </w:p>
    <w:p w14:paraId="016D8637">
      <w:pPr>
        <w:shd w:val="clear" w:color="auto" w:fill="auto"/>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017D7AF">
      <w:pPr>
        <w:shd w:val="clear" w:color="auto" w:fill="auto"/>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61114E5">
      <w:pPr>
        <w:shd w:val="clear" w:color="auto" w:fill="auto"/>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E45226B">
      <w:pPr>
        <w:shd w:val="clear" w:color="auto" w:fill="auto"/>
        <w:spacing w:line="400" w:lineRule="exact"/>
        <w:rPr>
          <w:rFonts w:hint="eastAsia" w:ascii="仿宋_GB2312" w:hAnsi="仿宋_GB2312" w:eastAsia="仿宋_GB2312" w:cs="仿宋_GB2312"/>
          <w:color w:val="auto"/>
          <w:sz w:val="32"/>
          <w:szCs w:val="32"/>
          <w:highlight w:val="none"/>
        </w:rPr>
      </w:pPr>
    </w:p>
    <w:p w14:paraId="5280CD58">
      <w:pPr>
        <w:shd w:val="clear" w:color="auto" w:fill="auto"/>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3EA3F85">
      <w:pPr>
        <w:shd w:val="clear" w:color="auto" w:fill="auto"/>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98B11EF">
      <w:pPr>
        <w:shd w:val="clear" w:color="auto" w:fill="auto"/>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90F62FD">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0EEBC9C">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D19D5D1">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7164EBB1">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C7C46C5">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49A6C42">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3D88A72">
      <w:pPr>
        <w:shd w:val="clear" w:color="auto" w:fill="auto"/>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AC5CA4D">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3E7F0B5">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01F0B6E">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6E3E49C">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66E4FC8">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5FAD414">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868C929">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A1AACC7">
      <w:pPr>
        <w:shd w:val="clear" w:color="auto" w:fill="auto"/>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3623FCD">
      <w:pPr>
        <w:shd w:val="clear" w:color="auto" w:fill="auto"/>
        <w:spacing w:line="360" w:lineRule="auto"/>
        <w:contextualSpacing/>
        <w:rPr>
          <w:rFonts w:hint="eastAsia" w:ascii="宋体" w:hAnsi="宋体" w:cs="仿宋_GB2312"/>
          <w:color w:val="auto"/>
          <w:sz w:val="24"/>
          <w:highlight w:val="none"/>
        </w:rPr>
      </w:pPr>
    </w:p>
    <w:p w14:paraId="2F05C54B">
      <w:pPr>
        <w:shd w:val="clear" w:color="auto" w:fill="auto"/>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0E2A6AF9">
      <w:pPr>
        <w:shd w:val="clear" w:color="auto" w:fill="auto"/>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2300DFC">
      <w:pPr>
        <w:shd w:val="clear" w:color="auto" w:fill="auto"/>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98DF4BD">
      <w:pPr>
        <w:shd w:val="clear" w:color="auto" w:fill="auto"/>
        <w:spacing w:line="360" w:lineRule="auto"/>
        <w:ind w:left="540"/>
        <w:contextualSpacing/>
        <w:rPr>
          <w:rFonts w:hint="eastAsia" w:ascii="仿宋_GB2312" w:hAnsi="仿宋_GB2312" w:eastAsia="仿宋_GB2312" w:cs="仿宋_GB2312"/>
          <w:color w:val="auto"/>
          <w:sz w:val="32"/>
          <w:szCs w:val="32"/>
          <w:highlight w:val="none"/>
        </w:rPr>
      </w:pPr>
    </w:p>
    <w:p w14:paraId="1150B61E">
      <w:pPr>
        <w:shd w:val="clear" w:color="auto" w:fill="auto"/>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4CF05B26">
      <w:pPr>
        <w:shd w:val="clear" w:color="auto" w:fill="auto"/>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013CBEC">
      <w:pPr>
        <w:shd w:val="clear" w:color="auto" w:fill="auto"/>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DDB81D1">
      <w:pPr>
        <w:shd w:val="clear" w:color="auto" w:fill="auto"/>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2138D6B">
      <w:pPr>
        <w:shd w:val="clear" w:color="auto" w:fill="auto"/>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4652A4A">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AE52816">
      <w:pPr>
        <w:shd w:val="clear" w:color="auto" w:fill="auto"/>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2E5BD955">
      <w:pPr>
        <w:shd w:val="clear" w:color="auto" w:fill="auto"/>
        <w:spacing w:line="360" w:lineRule="auto"/>
        <w:ind w:left="540"/>
        <w:contextualSpacing/>
        <w:rPr>
          <w:rFonts w:hint="eastAsia" w:ascii="宋体" w:hAnsi="宋体" w:cs="仿宋_GB2312"/>
          <w:color w:val="auto"/>
          <w:sz w:val="24"/>
          <w:highlight w:val="none"/>
        </w:rPr>
      </w:pPr>
    </w:p>
    <w:p w14:paraId="585702D7">
      <w:pPr>
        <w:shd w:val="clear" w:color="auto" w:fill="auto"/>
        <w:spacing w:line="360" w:lineRule="auto"/>
        <w:ind w:left="540"/>
        <w:contextualSpacing/>
        <w:rPr>
          <w:rFonts w:hint="eastAsia" w:ascii="宋体" w:hAnsi="宋体" w:cs="仿宋_GB2312"/>
          <w:color w:val="auto"/>
          <w:sz w:val="24"/>
          <w:highlight w:val="none"/>
        </w:rPr>
      </w:pPr>
    </w:p>
    <w:p w14:paraId="3D008B63">
      <w:pPr>
        <w:shd w:val="clear" w:color="auto" w:fill="auto"/>
        <w:spacing w:line="360" w:lineRule="auto"/>
        <w:ind w:left="540"/>
        <w:contextualSpacing/>
        <w:rPr>
          <w:rFonts w:hint="eastAsia" w:ascii="宋体" w:hAnsi="宋体" w:cs="仿宋_GB2312"/>
          <w:color w:val="auto"/>
          <w:sz w:val="24"/>
          <w:highlight w:val="none"/>
        </w:rPr>
      </w:pPr>
    </w:p>
    <w:p w14:paraId="1B6F7294">
      <w:pPr>
        <w:shd w:val="clear" w:color="auto" w:fill="auto"/>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0FD24BB">
      <w:pPr>
        <w:shd w:val="clear" w:color="auto" w:fill="auto"/>
        <w:spacing w:line="360" w:lineRule="auto"/>
        <w:ind w:left="540"/>
        <w:contextualSpacing/>
        <w:rPr>
          <w:rFonts w:hint="eastAsia" w:ascii="宋体" w:hAnsi="宋体" w:cs="仿宋_GB2312"/>
          <w:color w:val="auto"/>
          <w:sz w:val="24"/>
          <w:highlight w:val="none"/>
        </w:rPr>
      </w:pPr>
    </w:p>
    <w:p w14:paraId="094E1FB8">
      <w:pPr>
        <w:shd w:val="clear" w:color="auto" w:fill="auto"/>
        <w:spacing w:line="360" w:lineRule="auto"/>
        <w:ind w:left="540"/>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7963EB7B">
      <w:pPr>
        <w:shd w:val="clear" w:color="auto" w:fill="auto"/>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7930BF4A">
      <w:pPr>
        <w:shd w:val="clear" w:color="auto" w:fill="auto"/>
        <w:spacing w:line="360" w:lineRule="auto"/>
        <w:contextualSpacing/>
        <w:jc w:val="center"/>
        <w:rPr>
          <w:rFonts w:hint="eastAsia" w:ascii="宋体" w:hAnsi="宋体" w:cs="仿宋_GB2312"/>
          <w:b/>
          <w:color w:val="auto"/>
          <w:sz w:val="24"/>
          <w:highlight w:val="none"/>
        </w:rPr>
      </w:pPr>
    </w:p>
    <w:p w14:paraId="34B5049E">
      <w:pPr>
        <w:shd w:val="clear" w:color="auto" w:fill="auto"/>
        <w:spacing w:line="360" w:lineRule="auto"/>
        <w:contextualSpacing/>
        <w:jc w:val="left"/>
        <w:rPr>
          <w:rFonts w:hint="eastAsia" w:ascii="宋体" w:hAnsi="宋体" w:cs="仿宋_GB2312"/>
          <w:color w:val="auto"/>
          <w:sz w:val="24"/>
          <w:highlight w:val="none"/>
        </w:rPr>
      </w:pPr>
    </w:p>
    <w:p w14:paraId="1C611A26">
      <w:pPr>
        <w:shd w:val="clear" w:color="auto" w:fill="auto"/>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CBC46ED">
      <w:pPr>
        <w:shd w:val="clear" w:color="auto" w:fill="auto"/>
        <w:adjustRightInd w:val="0"/>
        <w:snapToGrid w:val="0"/>
        <w:spacing w:line="300" w:lineRule="auto"/>
        <w:jc w:val="left"/>
        <w:rPr>
          <w:rFonts w:hint="eastAsia" w:ascii="宋体" w:hAnsi="宋体"/>
          <w:b/>
          <w:color w:val="auto"/>
          <w:szCs w:val="21"/>
          <w:highlight w:val="none"/>
        </w:rPr>
      </w:pPr>
    </w:p>
    <w:p w14:paraId="162EF7A4">
      <w:pPr>
        <w:shd w:val="clear" w:color="auto" w:fill="auto"/>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74604B05">
      <w:pPr>
        <w:shd w:val="clear" w:color="auto" w:fill="auto"/>
        <w:spacing w:line="520" w:lineRule="exact"/>
        <w:jc w:val="center"/>
        <w:rPr>
          <w:rFonts w:hint="eastAsia" w:ascii="方正小标宋简体" w:hAnsi="方正小标宋简体" w:eastAsia="方正小标宋简体" w:cs="方正小标宋简体"/>
          <w:color w:val="auto"/>
          <w:sz w:val="44"/>
          <w:szCs w:val="44"/>
          <w:highlight w:val="none"/>
        </w:rPr>
      </w:pPr>
      <w:bookmarkStart w:id="96" w:name="_Hlk65853643"/>
      <w:r>
        <w:rPr>
          <w:rFonts w:hint="eastAsia" w:ascii="方正小标宋简体" w:hAnsi="方正小标宋简体" w:eastAsia="方正小标宋简体" w:cs="方正小标宋简体"/>
          <w:color w:val="auto"/>
          <w:sz w:val="44"/>
          <w:szCs w:val="44"/>
          <w:highlight w:val="none"/>
        </w:rPr>
        <w:t>授权委托书</w:t>
      </w:r>
    </w:p>
    <w:p w14:paraId="0D0C1C80">
      <w:pPr>
        <w:shd w:val="clear" w:color="auto" w:fill="auto"/>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F575DCA">
      <w:pPr>
        <w:shd w:val="clear" w:color="auto" w:fill="auto"/>
        <w:spacing w:line="520" w:lineRule="exact"/>
        <w:rPr>
          <w:rFonts w:hint="eastAsia" w:ascii="仿宋_GB2312" w:hAnsi="仿宋_GB2312" w:eastAsia="仿宋_GB2312" w:cs="仿宋_GB2312"/>
          <w:color w:val="auto"/>
          <w:sz w:val="32"/>
          <w:szCs w:val="32"/>
          <w:highlight w:val="none"/>
        </w:rPr>
      </w:pPr>
    </w:p>
    <w:p w14:paraId="7687B6C5">
      <w:pPr>
        <w:shd w:val="clear" w:color="auto" w:fill="auto"/>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CE2E09F">
      <w:pPr>
        <w:shd w:val="clear" w:color="auto" w:fill="auto"/>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1F56FE4">
      <w:pPr>
        <w:shd w:val="clear" w:color="auto" w:fill="auto"/>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我方对委托代理人的签字或者盖章或者电子签名事项负全部责任。</w:t>
      </w:r>
    </w:p>
    <w:p w14:paraId="00461250">
      <w:pPr>
        <w:shd w:val="clear" w:color="auto" w:fill="auto"/>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BAFF1FC">
      <w:pPr>
        <w:shd w:val="clear" w:color="auto" w:fill="auto"/>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969648B">
      <w:pPr>
        <w:shd w:val="clear" w:color="auto" w:fill="auto"/>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32DC89AC">
      <w:pPr>
        <w:shd w:val="clear" w:color="auto" w:fill="auto"/>
        <w:spacing w:line="360" w:lineRule="auto"/>
        <w:rPr>
          <w:rFonts w:hint="eastAsia" w:ascii="宋体" w:hAnsi="宋体" w:cs="仿宋_GB2312"/>
          <w:color w:val="auto"/>
          <w:sz w:val="24"/>
          <w:highlight w:val="none"/>
        </w:rPr>
      </w:pPr>
    </w:p>
    <w:p w14:paraId="2F4D1039">
      <w:pPr>
        <w:shd w:val="clear" w:color="auto" w:fill="auto"/>
        <w:spacing w:line="360" w:lineRule="auto"/>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委托代理人</w:t>
      </w:r>
      <w:r>
        <w:rPr>
          <w:rFonts w:hint="eastAsia" w:ascii="宋体" w:hAnsi="宋体" w:cs="仿宋_GB2312"/>
          <w:color w:val="auto"/>
          <w:sz w:val="24"/>
          <w:highlight w:val="none"/>
        </w:rPr>
        <w:t>（</w:t>
      </w:r>
      <w:r>
        <w:rPr>
          <w:rFonts w:hint="eastAsia" w:ascii="宋体" w:hAnsi="宋体"/>
          <w:color w:val="auto"/>
          <w:sz w:val="24"/>
          <w:highlight w:val="none"/>
        </w:rPr>
        <w:t>签字或者盖章或者电子签名</w:t>
      </w:r>
      <w:r>
        <w:rPr>
          <w:rFonts w:hint="eastAsia" w:ascii="宋体" w:hAnsi="宋体" w:cs="仿宋_GB2312"/>
          <w:color w:val="auto"/>
          <w:sz w:val="24"/>
          <w:highlight w:val="none"/>
        </w:rPr>
        <w:t xml:space="preserve">）：    </w:t>
      </w:r>
      <w:r>
        <w:rPr>
          <w:rFonts w:hint="eastAsia" w:ascii="宋体" w:hAnsi="宋体" w:cs="仿宋_GB2312"/>
          <w:b/>
          <w:bCs/>
          <w:color w:val="auto"/>
          <w:sz w:val="24"/>
          <w:highlight w:val="none"/>
        </w:rPr>
        <w:t xml:space="preserve"> </w:t>
      </w:r>
    </w:p>
    <w:p w14:paraId="6725A6CC">
      <w:pPr>
        <w:shd w:val="clear" w:color="auto" w:fill="auto"/>
        <w:spacing w:line="360" w:lineRule="auto"/>
        <w:contextualSpacing/>
        <w:rPr>
          <w:rFonts w:hint="eastAsia" w:ascii="宋体" w:hAnsi="宋体" w:cs="仿宋_GB2312"/>
          <w:color w:val="auto"/>
          <w:sz w:val="24"/>
          <w:highlight w:val="none"/>
        </w:rPr>
      </w:pPr>
      <w:r>
        <w:rPr>
          <w:rFonts w:hint="eastAsia" w:ascii="宋体" w:hAnsi="宋体" w:cs="仿宋_GB2312"/>
          <w:b/>
          <w:bCs/>
          <w:color w:val="auto"/>
          <w:sz w:val="24"/>
          <w:highlight w:val="none"/>
        </w:rPr>
        <w:t>法定代表人</w:t>
      </w:r>
      <w:r>
        <w:rPr>
          <w:rFonts w:hint="eastAsia" w:ascii="宋体" w:hAnsi="宋体" w:cs="仿宋_GB2312"/>
          <w:color w:val="auto"/>
          <w:sz w:val="24"/>
          <w:highlight w:val="none"/>
        </w:rPr>
        <w:t xml:space="preserve">（签字或者盖章或者电子签名）：                    </w:t>
      </w:r>
    </w:p>
    <w:p w14:paraId="0E9ED9FB">
      <w:pPr>
        <w:shd w:val="clear" w:color="auto" w:fill="auto"/>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790D58C">
      <w:pPr>
        <w:shd w:val="clear" w:color="auto" w:fill="auto"/>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0934D286">
      <w:pPr>
        <w:shd w:val="clear" w:color="auto" w:fill="auto"/>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1FAF2F4">
      <w:pPr>
        <w:shd w:val="clear" w:color="auto" w:fill="auto"/>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3885551A">
      <w:pPr>
        <w:shd w:val="clear" w:color="auto" w:fill="auto"/>
        <w:spacing w:line="360" w:lineRule="auto"/>
        <w:rPr>
          <w:rFonts w:hint="eastAsia" w:ascii="宋体" w:hAnsi="宋体" w:cs="仿宋_GB2312"/>
          <w:color w:val="auto"/>
          <w:sz w:val="24"/>
          <w:highlight w:val="none"/>
        </w:rPr>
      </w:pPr>
    </w:p>
    <w:p w14:paraId="3B29F01A">
      <w:pPr>
        <w:shd w:val="clear" w:color="auto" w:fill="auto"/>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，委托代理人必须在授权委托书上签字或者盖章或者电子签名，</w:t>
      </w:r>
      <w:r>
        <w:rPr>
          <w:rFonts w:hint="eastAsia" w:ascii="宋体" w:hAnsi="宋体" w:cs="仿宋_GB2312"/>
          <w:b/>
          <w:color w:val="auto"/>
          <w:sz w:val="24"/>
          <w:highlight w:val="none"/>
        </w:rPr>
        <w:t>否则其响应文件按无效响应处理。</w:t>
      </w:r>
    </w:p>
    <w:p w14:paraId="433BEE81">
      <w:pPr>
        <w:shd w:val="clear" w:color="auto" w:fill="auto"/>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97" w:name="_Hlk65853109"/>
      <w:bookmarkStart w:id="98" w:name="_Hlk65853542"/>
      <w:r>
        <w:rPr>
          <w:rFonts w:hint="eastAsia" w:ascii="宋体" w:hAnsi="宋体" w:cs="仿宋_GB2312"/>
          <w:color w:val="auto"/>
          <w:sz w:val="24"/>
          <w:highlight w:val="none"/>
        </w:rPr>
        <w:t>法人、其他组织竞标时“我方”是指“我单位”，自然人竞标时“我方”是指“本人”。</w:t>
      </w:r>
      <w:bookmarkEnd w:id="97"/>
    </w:p>
    <w:bookmarkEnd w:id="98"/>
    <w:p w14:paraId="716361DD">
      <w:pPr>
        <w:shd w:val="clear" w:color="auto" w:fill="auto"/>
        <w:spacing w:line="360" w:lineRule="auto"/>
        <w:ind w:firstLine="420" w:firstLineChars="200"/>
        <w:jc w:val="left"/>
        <w:rPr>
          <w:rFonts w:hint="eastAsia" w:ascii="仿宋_GB2312" w:hAnsi="仿宋_GB2312" w:eastAsia="仿宋_GB2312" w:cs="仿宋_GB2312"/>
          <w:color w:val="auto"/>
          <w:szCs w:val="21"/>
          <w:highlight w:val="none"/>
        </w:rPr>
      </w:pPr>
    </w:p>
    <w:p w14:paraId="7E12D7E1">
      <w:pPr>
        <w:shd w:val="clear" w:color="auto" w:fill="auto"/>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96"/>
    </w:p>
    <w:p w14:paraId="6853DBC1">
      <w:pPr>
        <w:shd w:val="clear" w:color="auto" w:fill="auto"/>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商务要求偏离表格式</w:t>
      </w:r>
    </w:p>
    <w:p w14:paraId="64614BAA">
      <w:pPr>
        <w:shd w:val="clear" w:color="auto" w:fill="auto"/>
        <w:spacing w:line="360" w:lineRule="auto"/>
        <w:contextualSpacing/>
        <w:jc w:val="left"/>
        <w:rPr>
          <w:rFonts w:hint="eastAsia" w:ascii="宋体" w:hAnsi="宋体"/>
          <w:color w:val="auto"/>
          <w:sz w:val="24"/>
          <w:highlight w:val="none"/>
        </w:rPr>
      </w:pPr>
    </w:p>
    <w:p w14:paraId="3C337A72">
      <w:pPr>
        <w:pStyle w:val="16"/>
        <w:shd w:val="clear" w:color="auto" w:fill="auto"/>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29ED5AA4">
      <w:pPr>
        <w:shd w:val="clear" w:color="auto" w:fill="auto"/>
        <w:spacing w:line="360" w:lineRule="auto"/>
        <w:contextualSpacing/>
        <w:jc w:val="left"/>
        <w:rPr>
          <w:rFonts w:hint="eastAsia" w:ascii="宋体" w:hAnsi="宋体" w:cs="仿宋_GB2312"/>
          <w:color w:val="auto"/>
          <w:sz w:val="24"/>
          <w:highlight w:val="none"/>
          <w:u w:val="single"/>
        </w:rPr>
      </w:pPr>
    </w:p>
    <w:tbl>
      <w:tblPr>
        <w:tblStyle w:val="27"/>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B2FC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FF14934">
            <w:pPr>
              <w:shd w:val="clear" w:color="auto" w:fill="auto"/>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1535843">
            <w:pPr>
              <w:shd w:val="clear" w:color="auto" w:fill="auto"/>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1606505">
            <w:pPr>
              <w:shd w:val="clear" w:color="auto" w:fill="auto"/>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E94205F">
            <w:pPr>
              <w:shd w:val="clear" w:color="auto" w:fill="auto"/>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78DD4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7D66D7">
            <w:pPr>
              <w:shd w:val="clear" w:color="auto" w:fill="auto"/>
              <w:jc w:val="center"/>
              <w:rPr>
                <w:rFonts w:ascii="宋体" w:hAnsi="宋体"/>
                <w:color w:val="auto"/>
                <w:sz w:val="24"/>
                <w:highlight w:val="none"/>
              </w:rPr>
            </w:pPr>
            <w:r>
              <w:rPr>
                <w:rFonts w:hint="eastAsia" w:ascii="宋体" w:hAnsi="宋体"/>
                <w:color w:val="auto"/>
                <w:sz w:val="24"/>
                <w:highlight w:val="none"/>
                <w:lang w:val="en-US" w:eastAsia="zh-CN"/>
              </w:rPr>
              <w:t>合同履行期限</w:t>
            </w:r>
            <w:r>
              <w:rPr>
                <w:rFonts w:hint="eastAsia" w:ascii="宋体" w:hAnsi="宋体"/>
                <w:color w:val="auto"/>
                <w:sz w:val="24"/>
                <w:highlight w:val="none"/>
                <w:lang w:eastAsia="zh-CN"/>
              </w:rPr>
              <w:t>及</w:t>
            </w:r>
            <w:r>
              <w:rPr>
                <w:rFonts w:hint="eastAsia" w:ascii="宋体" w:hAnsi="宋体"/>
                <w:color w:val="auto"/>
                <w:sz w:val="24"/>
                <w:highlight w:val="none"/>
              </w:rPr>
              <w:t>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BFCD6C8">
            <w:pPr>
              <w:shd w:val="clear" w:color="auto" w:fill="auto"/>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A65F7D0">
            <w:pPr>
              <w:shd w:val="clear" w:color="auto" w:fill="auto"/>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9307598">
            <w:pPr>
              <w:shd w:val="clear" w:color="auto" w:fill="auto"/>
              <w:spacing w:line="360" w:lineRule="auto"/>
              <w:contextualSpacing/>
              <w:jc w:val="center"/>
              <w:rPr>
                <w:rFonts w:hint="eastAsia" w:ascii="宋体" w:hAnsi="宋体" w:cs="仿宋_GB2312"/>
                <w:color w:val="auto"/>
                <w:sz w:val="24"/>
                <w:highlight w:val="none"/>
              </w:rPr>
            </w:pPr>
          </w:p>
        </w:tc>
      </w:tr>
      <w:tr w14:paraId="38BBA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AA26435">
            <w:pPr>
              <w:shd w:val="clear" w:color="auto" w:fill="auto"/>
              <w:jc w:val="center"/>
              <w:rPr>
                <w:rFonts w:ascii="宋体" w:hAnsi="宋体"/>
                <w:color w:val="auto"/>
                <w:sz w:val="24"/>
                <w:highlight w:val="none"/>
              </w:rPr>
            </w:pPr>
            <w:r>
              <w:rPr>
                <w:rFonts w:hint="eastAsia" w:ascii="宋体" w:hAnsi="宋体"/>
                <w:color w:val="auto"/>
                <w:sz w:val="24"/>
                <w:highlight w:val="none"/>
                <w:lang w:val="en-US" w:eastAsia="zh-CN"/>
              </w:rPr>
              <w:t>整体要求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E519B08">
            <w:pPr>
              <w:shd w:val="clear" w:color="auto" w:fill="auto"/>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22A0144">
            <w:pPr>
              <w:shd w:val="clear" w:color="auto" w:fill="auto"/>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0F7871A">
            <w:pPr>
              <w:shd w:val="clear" w:color="auto" w:fill="auto"/>
              <w:spacing w:line="360" w:lineRule="auto"/>
              <w:ind w:left="43"/>
              <w:contextualSpacing/>
              <w:jc w:val="center"/>
              <w:rPr>
                <w:rFonts w:hint="eastAsia" w:ascii="宋体" w:hAnsi="宋体" w:cs="仿宋_GB2312"/>
                <w:color w:val="auto"/>
                <w:sz w:val="24"/>
                <w:highlight w:val="none"/>
              </w:rPr>
            </w:pPr>
          </w:p>
        </w:tc>
      </w:tr>
      <w:tr w14:paraId="7D26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4902C01">
            <w:pPr>
              <w:shd w:val="clear" w:color="auto" w:fill="auto"/>
              <w:jc w:val="center"/>
              <w:rPr>
                <w:rFonts w:hint="eastAsia"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C6A2F22">
            <w:pPr>
              <w:shd w:val="clear" w:color="auto" w:fill="auto"/>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F97291F">
            <w:pPr>
              <w:shd w:val="clear" w:color="auto" w:fill="auto"/>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2DC1DC4">
            <w:pPr>
              <w:shd w:val="clear" w:color="auto" w:fill="auto"/>
              <w:spacing w:line="360" w:lineRule="auto"/>
              <w:ind w:left="43"/>
              <w:contextualSpacing/>
              <w:jc w:val="center"/>
              <w:rPr>
                <w:rFonts w:hint="eastAsia" w:ascii="宋体" w:hAnsi="宋体" w:cs="仿宋_GB2312"/>
                <w:color w:val="auto"/>
                <w:sz w:val="24"/>
                <w:highlight w:val="none"/>
              </w:rPr>
            </w:pPr>
          </w:p>
        </w:tc>
      </w:tr>
      <w:tr w14:paraId="2089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8E9D942">
            <w:pPr>
              <w:shd w:val="clear" w:color="auto" w:fill="auto"/>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B6A97E">
            <w:pPr>
              <w:shd w:val="clear" w:color="auto" w:fill="auto"/>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6B2959B">
            <w:pPr>
              <w:shd w:val="clear" w:color="auto" w:fill="auto"/>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3D948CC">
            <w:pPr>
              <w:shd w:val="clear" w:color="auto" w:fill="auto"/>
              <w:spacing w:line="360" w:lineRule="auto"/>
              <w:contextualSpacing/>
              <w:jc w:val="center"/>
              <w:rPr>
                <w:rFonts w:hint="eastAsia" w:ascii="宋体" w:hAnsi="宋体" w:cs="仿宋_GB2312"/>
                <w:color w:val="auto"/>
                <w:sz w:val="24"/>
                <w:highlight w:val="none"/>
              </w:rPr>
            </w:pPr>
          </w:p>
        </w:tc>
      </w:tr>
    </w:tbl>
    <w:p w14:paraId="38DE132F">
      <w:pPr>
        <w:pStyle w:val="11"/>
        <w:shd w:val="clear" w:color="auto" w:fill="auto"/>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18200764">
      <w:pPr>
        <w:pStyle w:val="11"/>
        <w:shd w:val="clear" w:color="auto" w:fill="auto"/>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66AF06EE">
      <w:pPr>
        <w:shd w:val="clear" w:color="auto" w:fill="auto"/>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2A729FA6">
      <w:pPr>
        <w:shd w:val="clear" w:color="auto" w:fill="auto"/>
        <w:spacing w:line="360" w:lineRule="auto"/>
        <w:ind w:right="-817" w:rightChars="-389"/>
        <w:contextualSpacing/>
        <w:rPr>
          <w:rFonts w:hint="eastAsia" w:ascii="宋体" w:hAnsi="宋体" w:cs="仿宋_GB2312"/>
          <w:color w:val="auto"/>
          <w:sz w:val="24"/>
          <w:highlight w:val="none"/>
        </w:rPr>
      </w:pPr>
    </w:p>
    <w:p w14:paraId="4B2409B0">
      <w:pPr>
        <w:shd w:val="clear" w:color="auto" w:fill="auto"/>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法定代表人或者委托代理人（签字或者盖章或者电子签名）：</w:t>
      </w:r>
    </w:p>
    <w:p w14:paraId="0422F163">
      <w:pPr>
        <w:shd w:val="clear" w:color="auto" w:fill="auto"/>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8629AFD">
      <w:pPr>
        <w:shd w:val="clear" w:color="auto" w:fill="auto"/>
        <w:spacing w:line="360" w:lineRule="auto"/>
        <w:ind w:right="-817" w:rightChars="-389" w:firstLine="4080" w:firstLineChars="17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4EB4EC33">
      <w:pPr>
        <w:shd w:val="clear" w:color="auto" w:fill="auto"/>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3A21E7EC">
      <w:pPr>
        <w:shd w:val="clear" w:color="auto" w:fill="auto"/>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29EB085A">
      <w:pPr>
        <w:shd w:val="clear" w:color="auto" w:fill="auto"/>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27E72557">
      <w:pPr>
        <w:shd w:val="clear" w:color="auto" w:fill="auto"/>
        <w:spacing w:line="520" w:lineRule="exact"/>
        <w:rPr>
          <w:rFonts w:hint="eastAsia" w:ascii="仿宋_GB2312" w:hAnsi="仿宋_GB2312" w:eastAsia="仿宋_GB2312" w:cs="仿宋_GB2312"/>
          <w:color w:val="auto"/>
          <w:sz w:val="32"/>
          <w:szCs w:val="32"/>
          <w:highlight w:val="none"/>
        </w:rPr>
      </w:pPr>
    </w:p>
    <w:p w14:paraId="2A2BA62F">
      <w:pPr>
        <w:shd w:val="clear" w:color="auto" w:fill="auto"/>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B02394A">
      <w:pPr>
        <w:shd w:val="clear" w:color="auto" w:fill="auto"/>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77242DD9">
      <w:pPr>
        <w:shd w:val="clear" w:color="auto" w:fill="auto"/>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7"/>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568"/>
        <w:gridCol w:w="2760"/>
        <w:gridCol w:w="2360"/>
        <w:gridCol w:w="1492"/>
      </w:tblGrid>
      <w:tr w14:paraId="0C1D4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608A3548">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99" w:name="_Toc173211900"/>
            <w:bookmarkStart w:id="100" w:name="_Toc383699906"/>
            <w:bookmarkStart w:id="101" w:name="_Toc254970588"/>
            <w:bookmarkStart w:id="102" w:name="_Toc297193185"/>
            <w:bookmarkStart w:id="103" w:name="_Toc173066401"/>
            <w:bookmarkStart w:id="104" w:name="_Toc254970729"/>
            <w:bookmarkStart w:id="105" w:name="_Toc373333689"/>
            <w:bookmarkStart w:id="106" w:name="_Toc295404981"/>
            <w:bookmarkStart w:id="107" w:name="_Toc301781611"/>
            <w:r>
              <w:rPr>
                <w:rFonts w:hint="eastAsia" w:ascii="宋体" w:hAnsi="宋体" w:eastAsia="宋体" w:cs="仿宋_GB2312"/>
                <w:color w:val="auto"/>
                <w:kern w:val="2"/>
                <w:sz w:val="24"/>
                <w:szCs w:val="24"/>
                <w:highlight w:val="none"/>
              </w:rPr>
              <w:t>序号</w:t>
            </w:r>
            <w:bookmarkEnd w:id="99"/>
            <w:bookmarkEnd w:id="100"/>
            <w:bookmarkEnd w:id="101"/>
            <w:bookmarkEnd w:id="102"/>
            <w:bookmarkEnd w:id="103"/>
            <w:bookmarkEnd w:id="104"/>
            <w:bookmarkEnd w:id="105"/>
            <w:bookmarkEnd w:id="106"/>
            <w:bookmarkEnd w:id="107"/>
          </w:p>
        </w:tc>
        <w:tc>
          <w:tcPr>
            <w:tcW w:w="1568" w:type="dxa"/>
            <w:tcBorders>
              <w:right w:val="single" w:color="auto" w:sz="4" w:space="0"/>
            </w:tcBorders>
            <w:noWrap w:val="0"/>
            <w:vAlign w:val="center"/>
          </w:tcPr>
          <w:p w14:paraId="023AC964">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标的的名称</w:t>
            </w:r>
          </w:p>
        </w:tc>
        <w:tc>
          <w:tcPr>
            <w:tcW w:w="2760" w:type="dxa"/>
            <w:tcBorders>
              <w:left w:val="single" w:color="auto" w:sz="4" w:space="0"/>
            </w:tcBorders>
            <w:noWrap w:val="0"/>
            <w:vAlign w:val="center"/>
          </w:tcPr>
          <w:p w14:paraId="44D6492F">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360" w:type="dxa"/>
            <w:noWrap w:val="0"/>
            <w:vAlign w:val="center"/>
          </w:tcPr>
          <w:p w14:paraId="0F6CFDD1">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08" w:name="_Toc173211902"/>
            <w:bookmarkStart w:id="109" w:name="_Toc301781613"/>
            <w:bookmarkStart w:id="110" w:name="_Toc297193187"/>
            <w:bookmarkStart w:id="111" w:name="_Toc295404983"/>
            <w:bookmarkStart w:id="112" w:name="_Toc373333691"/>
            <w:bookmarkStart w:id="113" w:name="_Toc173066403"/>
            <w:bookmarkStart w:id="114" w:name="_Toc383699908"/>
            <w:bookmarkStart w:id="115" w:name="_Toc254970590"/>
            <w:bookmarkStart w:id="116" w:name="_Toc254970731"/>
            <w:r>
              <w:rPr>
                <w:rFonts w:hint="eastAsia" w:ascii="宋体" w:hAnsi="宋体" w:eastAsia="宋体" w:cs="仿宋_GB2312"/>
                <w:color w:val="auto"/>
                <w:kern w:val="2"/>
                <w:sz w:val="24"/>
                <w:szCs w:val="24"/>
                <w:highlight w:val="none"/>
              </w:rPr>
              <w:t>竞标响应</w:t>
            </w:r>
            <w:bookmarkEnd w:id="108"/>
            <w:bookmarkEnd w:id="109"/>
            <w:bookmarkEnd w:id="110"/>
            <w:bookmarkEnd w:id="111"/>
            <w:bookmarkEnd w:id="112"/>
            <w:bookmarkEnd w:id="113"/>
            <w:bookmarkEnd w:id="114"/>
            <w:bookmarkEnd w:id="115"/>
            <w:bookmarkEnd w:id="116"/>
          </w:p>
        </w:tc>
        <w:tc>
          <w:tcPr>
            <w:tcW w:w="1492" w:type="dxa"/>
            <w:noWrap w:val="0"/>
            <w:vAlign w:val="center"/>
          </w:tcPr>
          <w:p w14:paraId="109EF509">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17" w:name="_Toc173211903"/>
            <w:bookmarkStart w:id="118" w:name="_Toc383699909"/>
            <w:bookmarkStart w:id="119" w:name="_Toc297193188"/>
            <w:bookmarkStart w:id="120" w:name="_Toc254970732"/>
            <w:bookmarkStart w:id="121" w:name="_Toc173066404"/>
            <w:bookmarkStart w:id="122" w:name="_Toc373333692"/>
            <w:bookmarkStart w:id="123" w:name="_Toc254970591"/>
            <w:bookmarkStart w:id="124" w:name="_Toc295404984"/>
            <w:bookmarkStart w:id="125" w:name="_Toc301781614"/>
            <w:r>
              <w:rPr>
                <w:rFonts w:hint="eastAsia" w:ascii="宋体" w:hAnsi="宋体" w:eastAsia="宋体" w:cs="仿宋_GB2312"/>
                <w:color w:val="auto"/>
                <w:kern w:val="2"/>
                <w:sz w:val="24"/>
                <w:szCs w:val="24"/>
                <w:highlight w:val="none"/>
              </w:rPr>
              <w:t>偏离</w:t>
            </w:r>
            <w:bookmarkEnd w:id="117"/>
            <w:bookmarkEnd w:id="118"/>
            <w:bookmarkEnd w:id="119"/>
            <w:bookmarkEnd w:id="120"/>
            <w:bookmarkEnd w:id="121"/>
            <w:bookmarkEnd w:id="122"/>
            <w:bookmarkEnd w:id="123"/>
            <w:bookmarkEnd w:id="124"/>
            <w:bookmarkEnd w:id="125"/>
            <w:bookmarkStart w:id="126" w:name="_Toc173211904"/>
            <w:bookmarkStart w:id="127" w:name="_Toc295404985"/>
            <w:bookmarkStart w:id="128" w:name="_Toc383699910"/>
            <w:bookmarkStart w:id="129" w:name="_Toc254970592"/>
            <w:bookmarkStart w:id="130" w:name="_Toc254970733"/>
            <w:bookmarkStart w:id="131" w:name="_Toc373333693"/>
            <w:bookmarkStart w:id="132" w:name="_Toc173066405"/>
            <w:bookmarkStart w:id="133" w:name="_Toc301781615"/>
            <w:bookmarkStart w:id="134" w:name="_Toc297193189"/>
            <w:r>
              <w:rPr>
                <w:rFonts w:hint="eastAsia" w:ascii="宋体" w:hAnsi="宋体" w:eastAsia="宋体" w:cs="仿宋_GB2312"/>
                <w:color w:val="auto"/>
                <w:kern w:val="2"/>
                <w:sz w:val="24"/>
                <w:szCs w:val="24"/>
                <w:highlight w:val="none"/>
              </w:rPr>
              <w:t>说明</w:t>
            </w:r>
            <w:bookmarkEnd w:id="126"/>
            <w:bookmarkEnd w:id="127"/>
            <w:bookmarkEnd w:id="128"/>
            <w:bookmarkEnd w:id="129"/>
            <w:bookmarkEnd w:id="130"/>
            <w:bookmarkEnd w:id="131"/>
            <w:bookmarkEnd w:id="132"/>
            <w:bookmarkEnd w:id="133"/>
            <w:bookmarkEnd w:id="134"/>
          </w:p>
        </w:tc>
      </w:tr>
      <w:tr w14:paraId="1BDE2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3E185BBF">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5" w:name="_Toc297193190"/>
            <w:bookmarkStart w:id="136" w:name="_Toc254970593"/>
            <w:bookmarkStart w:id="137" w:name="_Toc383699911"/>
            <w:bookmarkStart w:id="138" w:name="_Toc173066406"/>
            <w:bookmarkStart w:id="139" w:name="_Toc301781616"/>
            <w:bookmarkStart w:id="140" w:name="_Toc173211905"/>
            <w:bookmarkStart w:id="141" w:name="_Toc295404986"/>
            <w:bookmarkStart w:id="142" w:name="_Toc373333694"/>
            <w:bookmarkStart w:id="143" w:name="_Toc254970734"/>
            <w:r>
              <w:rPr>
                <w:rFonts w:hint="eastAsia" w:ascii="宋体" w:hAnsi="宋体" w:eastAsia="宋体" w:cs="仿宋_GB2312"/>
                <w:color w:val="auto"/>
                <w:kern w:val="2"/>
                <w:sz w:val="24"/>
                <w:szCs w:val="24"/>
                <w:highlight w:val="none"/>
              </w:rPr>
              <w:t>1</w:t>
            </w:r>
            <w:bookmarkEnd w:id="135"/>
            <w:bookmarkEnd w:id="136"/>
            <w:bookmarkEnd w:id="137"/>
            <w:bookmarkEnd w:id="138"/>
            <w:bookmarkEnd w:id="139"/>
            <w:bookmarkEnd w:id="140"/>
            <w:bookmarkEnd w:id="141"/>
            <w:bookmarkEnd w:id="142"/>
            <w:bookmarkEnd w:id="143"/>
          </w:p>
        </w:tc>
        <w:tc>
          <w:tcPr>
            <w:tcW w:w="1568" w:type="dxa"/>
            <w:tcBorders>
              <w:right w:val="single" w:color="auto" w:sz="4" w:space="0"/>
            </w:tcBorders>
            <w:noWrap w:val="0"/>
            <w:vAlign w:val="center"/>
          </w:tcPr>
          <w:p w14:paraId="24DF6660">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60" w:type="dxa"/>
            <w:tcBorders>
              <w:left w:val="single" w:color="auto" w:sz="4" w:space="0"/>
            </w:tcBorders>
            <w:noWrap w:val="0"/>
            <w:vAlign w:val="center"/>
          </w:tcPr>
          <w:p w14:paraId="7DBF9CDF">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360" w:type="dxa"/>
            <w:noWrap w:val="0"/>
            <w:vAlign w:val="center"/>
          </w:tcPr>
          <w:p w14:paraId="26E83701">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118A73A6">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0D8D4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220CF2E1">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44" w:name="_Toc301781617"/>
            <w:bookmarkStart w:id="145" w:name="_Toc383699912"/>
            <w:bookmarkStart w:id="146" w:name="_Toc295404987"/>
            <w:bookmarkStart w:id="147" w:name="_Toc173066407"/>
            <w:bookmarkStart w:id="148" w:name="_Toc173211906"/>
            <w:bookmarkStart w:id="149" w:name="_Toc254970735"/>
            <w:bookmarkStart w:id="150" w:name="_Toc297193191"/>
            <w:bookmarkStart w:id="151" w:name="_Toc254970594"/>
            <w:bookmarkStart w:id="152" w:name="_Toc373333695"/>
            <w:r>
              <w:rPr>
                <w:rFonts w:hint="eastAsia" w:ascii="宋体" w:hAnsi="宋体" w:eastAsia="宋体" w:cs="仿宋_GB2312"/>
                <w:color w:val="auto"/>
                <w:kern w:val="2"/>
                <w:sz w:val="24"/>
                <w:szCs w:val="24"/>
                <w:highlight w:val="none"/>
              </w:rPr>
              <w:t>2</w:t>
            </w:r>
            <w:bookmarkEnd w:id="144"/>
            <w:bookmarkEnd w:id="145"/>
            <w:bookmarkEnd w:id="146"/>
            <w:bookmarkEnd w:id="147"/>
            <w:bookmarkEnd w:id="148"/>
            <w:bookmarkEnd w:id="149"/>
            <w:bookmarkEnd w:id="150"/>
            <w:bookmarkEnd w:id="151"/>
            <w:bookmarkEnd w:id="152"/>
          </w:p>
        </w:tc>
        <w:tc>
          <w:tcPr>
            <w:tcW w:w="1568" w:type="dxa"/>
            <w:tcBorders>
              <w:right w:val="single" w:color="auto" w:sz="4" w:space="0"/>
            </w:tcBorders>
            <w:noWrap w:val="0"/>
            <w:vAlign w:val="center"/>
          </w:tcPr>
          <w:p w14:paraId="1CCF43A8">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60" w:type="dxa"/>
            <w:tcBorders>
              <w:left w:val="single" w:color="auto" w:sz="4" w:space="0"/>
            </w:tcBorders>
            <w:noWrap w:val="0"/>
            <w:vAlign w:val="center"/>
          </w:tcPr>
          <w:p w14:paraId="4137D30A">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360" w:type="dxa"/>
            <w:noWrap w:val="0"/>
            <w:vAlign w:val="center"/>
          </w:tcPr>
          <w:p w14:paraId="663DEB15">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05EDE2E0">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11604F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108B5100">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53" w:name="_Toc254970736"/>
            <w:bookmarkStart w:id="154" w:name="_Toc173211907"/>
            <w:bookmarkStart w:id="155" w:name="_Toc373333696"/>
            <w:bookmarkStart w:id="156" w:name="_Toc254970595"/>
            <w:bookmarkStart w:id="157" w:name="_Toc173066408"/>
            <w:bookmarkStart w:id="158" w:name="_Toc383699913"/>
            <w:bookmarkStart w:id="159" w:name="_Toc301781618"/>
            <w:bookmarkStart w:id="160" w:name="_Toc295404988"/>
            <w:bookmarkStart w:id="161" w:name="_Toc297193192"/>
            <w:r>
              <w:rPr>
                <w:rFonts w:hint="eastAsia" w:ascii="宋体" w:hAnsi="宋体" w:eastAsia="宋体" w:cs="仿宋_GB2312"/>
                <w:color w:val="auto"/>
                <w:kern w:val="2"/>
                <w:sz w:val="24"/>
                <w:szCs w:val="24"/>
                <w:highlight w:val="none"/>
              </w:rPr>
              <w:t>3</w:t>
            </w:r>
            <w:bookmarkEnd w:id="153"/>
            <w:bookmarkEnd w:id="154"/>
            <w:bookmarkEnd w:id="155"/>
            <w:bookmarkEnd w:id="156"/>
            <w:bookmarkEnd w:id="157"/>
            <w:bookmarkEnd w:id="158"/>
            <w:bookmarkEnd w:id="159"/>
            <w:bookmarkEnd w:id="160"/>
            <w:bookmarkEnd w:id="161"/>
          </w:p>
        </w:tc>
        <w:tc>
          <w:tcPr>
            <w:tcW w:w="1568" w:type="dxa"/>
            <w:tcBorders>
              <w:right w:val="single" w:color="auto" w:sz="4" w:space="0"/>
            </w:tcBorders>
            <w:noWrap w:val="0"/>
            <w:vAlign w:val="center"/>
          </w:tcPr>
          <w:p w14:paraId="6CC8C72F">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60" w:type="dxa"/>
            <w:tcBorders>
              <w:left w:val="single" w:color="auto" w:sz="4" w:space="0"/>
            </w:tcBorders>
            <w:noWrap w:val="0"/>
            <w:vAlign w:val="center"/>
          </w:tcPr>
          <w:p w14:paraId="0F9B6344">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360" w:type="dxa"/>
            <w:noWrap w:val="0"/>
            <w:vAlign w:val="center"/>
          </w:tcPr>
          <w:p w14:paraId="4DD7CD7C">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1E280BEF">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7AABD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4779B3AA">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62" w:name="_Toc254970596"/>
            <w:bookmarkStart w:id="163" w:name="_Toc295404989"/>
            <w:bookmarkStart w:id="164" w:name="_Toc254970737"/>
            <w:bookmarkStart w:id="165" w:name="_Toc173211908"/>
            <w:bookmarkStart w:id="166" w:name="_Toc173066409"/>
            <w:bookmarkStart w:id="167" w:name="_Toc383699914"/>
            <w:bookmarkStart w:id="168" w:name="_Toc301781619"/>
            <w:bookmarkStart w:id="169" w:name="_Toc373333697"/>
            <w:bookmarkStart w:id="170" w:name="_Toc297193193"/>
            <w:r>
              <w:rPr>
                <w:rFonts w:hint="eastAsia" w:ascii="宋体" w:hAnsi="宋体" w:eastAsia="宋体" w:cs="仿宋_GB2312"/>
                <w:color w:val="auto"/>
                <w:kern w:val="2"/>
                <w:sz w:val="24"/>
                <w:szCs w:val="24"/>
                <w:highlight w:val="none"/>
              </w:rPr>
              <w:t>4</w:t>
            </w:r>
            <w:bookmarkEnd w:id="162"/>
            <w:bookmarkEnd w:id="163"/>
            <w:bookmarkEnd w:id="164"/>
            <w:bookmarkEnd w:id="165"/>
            <w:bookmarkEnd w:id="166"/>
            <w:bookmarkEnd w:id="167"/>
            <w:bookmarkEnd w:id="168"/>
            <w:bookmarkEnd w:id="169"/>
            <w:bookmarkEnd w:id="170"/>
          </w:p>
        </w:tc>
        <w:tc>
          <w:tcPr>
            <w:tcW w:w="1568" w:type="dxa"/>
            <w:tcBorders>
              <w:right w:val="single" w:color="auto" w:sz="4" w:space="0"/>
            </w:tcBorders>
            <w:noWrap w:val="0"/>
            <w:vAlign w:val="center"/>
          </w:tcPr>
          <w:p w14:paraId="03B5F749">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60" w:type="dxa"/>
            <w:tcBorders>
              <w:left w:val="single" w:color="auto" w:sz="4" w:space="0"/>
            </w:tcBorders>
            <w:noWrap w:val="0"/>
            <w:vAlign w:val="center"/>
          </w:tcPr>
          <w:p w14:paraId="32900599">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360" w:type="dxa"/>
            <w:noWrap w:val="0"/>
            <w:vAlign w:val="center"/>
          </w:tcPr>
          <w:p w14:paraId="550F2B83">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01158A9E">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EF910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14:paraId="6BFB8FD6">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71" w:name="_Toc295404990"/>
            <w:bookmarkStart w:id="172" w:name="_Toc301781620"/>
            <w:bookmarkStart w:id="173" w:name="_Toc254970597"/>
            <w:bookmarkStart w:id="174" w:name="_Toc383699915"/>
            <w:bookmarkStart w:id="175" w:name="_Toc254970738"/>
            <w:bookmarkStart w:id="176" w:name="_Toc173066410"/>
            <w:bookmarkStart w:id="177" w:name="_Toc297193194"/>
            <w:bookmarkStart w:id="178" w:name="_Toc173211909"/>
            <w:bookmarkStart w:id="179" w:name="_Toc373333698"/>
            <w:r>
              <w:rPr>
                <w:rFonts w:hint="eastAsia" w:ascii="宋体" w:hAnsi="宋体" w:eastAsia="宋体" w:cs="仿宋_GB2312"/>
                <w:color w:val="auto"/>
                <w:kern w:val="2"/>
                <w:sz w:val="24"/>
                <w:szCs w:val="24"/>
                <w:highlight w:val="none"/>
              </w:rPr>
              <w:t>5</w:t>
            </w:r>
            <w:bookmarkEnd w:id="171"/>
            <w:bookmarkEnd w:id="172"/>
            <w:bookmarkEnd w:id="173"/>
            <w:bookmarkEnd w:id="174"/>
            <w:bookmarkEnd w:id="175"/>
            <w:bookmarkEnd w:id="176"/>
            <w:bookmarkEnd w:id="177"/>
            <w:bookmarkEnd w:id="178"/>
            <w:bookmarkEnd w:id="179"/>
          </w:p>
        </w:tc>
        <w:tc>
          <w:tcPr>
            <w:tcW w:w="1568" w:type="dxa"/>
            <w:tcBorders>
              <w:right w:val="single" w:color="auto" w:sz="4" w:space="0"/>
            </w:tcBorders>
            <w:noWrap w:val="0"/>
            <w:vAlign w:val="center"/>
          </w:tcPr>
          <w:p w14:paraId="2786D321">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60" w:type="dxa"/>
            <w:tcBorders>
              <w:left w:val="single" w:color="auto" w:sz="4" w:space="0"/>
            </w:tcBorders>
            <w:noWrap w:val="0"/>
            <w:vAlign w:val="center"/>
          </w:tcPr>
          <w:p w14:paraId="7A412E87">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360" w:type="dxa"/>
            <w:noWrap w:val="0"/>
            <w:vAlign w:val="center"/>
          </w:tcPr>
          <w:p w14:paraId="1D11007F">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noWrap w:val="0"/>
            <w:vAlign w:val="center"/>
          </w:tcPr>
          <w:p w14:paraId="63BDD902">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84E40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5" w:type="dxa"/>
            <w:noWrap w:val="0"/>
            <w:vAlign w:val="center"/>
          </w:tcPr>
          <w:p w14:paraId="75714962">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80" w:name="_Toc295404991"/>
            <w:bookmarkStart w:id="181" w:name="_Toc254970602"/>
            <w:bookmarkStart w:id="182" w:name="_Toc173066415"/>
            <w:bookmarkStart w:id="183" w:name="_Toc301781621"/>
            <w:bookmarkStart w:id="184" w:name="_Toc254970743"/>
            <w:bookmarkStart w:id="185" w:name="_Toc297193195"/>
            <w:bookmarkStart w:id="186" w:name="_Toc383699916"/>
            <w:bookmarkStart w:id="187" w:name="_Toc373333699"/>
            <w:bookmarkStart w:id="188" w:name="_Toc173211914"/>
            <w:r>
              <w:rPr>
                <w:rFonts w:hint="eastAsia" w:ascii="宋体" w:hAnsi="宋体" w:eastAsia="宋体" w:cs="仿宋_GB2312"/>
                <w:color w:val="auto"/>
                <w:kern w:val="2"/>
                <w:sz w:val="24"/>
                <w:szCs w:val="24"/>
                <w:highlight w:val="none"/>
              </w:rPr>
              <w:t>…</w:t>
            </w:r>
            <w:bookmarkEnd w:id="180"/>
            <w:bookmarkEnd w:id="181"/>
            <w:bookmarkEnd w:id="182"/>
            <w:bookmarkEnd w:id="183"/>
            <w:bookmarkEnd w:id="184"/>
            <w:bookmarkEnd w:id="185"/>
            <w:bookmarkEnd w:id="186"/>
            <w:bookmarkEnd w:id="187"/>
            <w:bookmarkEnd w:id="188"/>
          </w:p>
        </w:tc>
        <w:tc>
          <w:tcPr>
            <w:tcW w:w="1568" w:type="dxa"/>
            <w:tcBorders>
              <w:right w:val="single" w:color="auto" w:sz="4" w:space="0"/>
            </w:tcBorders>
            <w:noWrap w:val="0"/>
            <w:vAlign w:val="center"/>
          </w:tcPr>
          <w:p w14:paraId="330C8270">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760" w:type="dxa"/>
            <w:tcBorders>
              <w:left w:val="single" w:color="auto" w:sz="4" w:space="0"/>
            </w:tcBorders>
            <w:noWrap w:val="0"/>
            <w:vAlign w:val="center"/>
          </w:tcPr>
          <w:p w14:paraId="2921BD3C">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360" w:type="dxa"/>
            <w:noWrap w:val="0"/>
            <w:vAlign w:val="center"/>
          </w:tcPr>
          <w:p w14:paraId="1A70BC53">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92" w:type="dxa"/>
            <w:tcBorders>
              <w:right w:val="single" w:color="auto" w:sz="4" w:space="0"/>
            </w:tcBorders>
            <w:noWrap w:val="0"/>
            <w:vAlign w:val="center"/>
          </w:tcPr>
          <w:p w14:paraId="0B688838">
            <w:pPr>
              <w:pStyle w:val="14"/>
              <w:shd w:val="clear" w:color="auto" w:fill="auto"/>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bl>
    <w:p w14:paraId="52109248">
      <w:pPr>
        <w:shd w:val="clear" w:color="auto" w:fill="auto"/>
        <w:adjustRightInd w:val="0"/>
        <w:spacing w:line="360" w:lineRule="auto"/>
        <w:contextualSpacing/>
        <w:rPr>
          <w:rFonts w:hint="eastAsia" w:ascii="宋体" w:hAnsi="宋体" w:cs="仿宋_GB2312"/>
          <w:color w:val="auto"/>
          <w:sz w:val="24"/>
          <w:highlight w:val="none"/>
        </w:rPr>
      </w:pPr>
    </w:p>
    <w:p w14:paraId="06B96956">
      <w:pPr>
        <w:pStyle w:val="14"/>
        <w:shd w:val="clear" w:color="auto" w:fill="auto"/>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3C0AC1B9">
      <w:pPr>
        <w:pStyle w:val="14"/>
        <w:shd w:val="clear" w:color="auto" w:fill="auto"/>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42804900">
      <w:pPr>
        <w:pStyle w:val="14"/>
        <w:shd w:val="clear" w:color="auto" w:fill="auto"/>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2A164767">
      <w:pPr>
        <w:shd w:val="clear" w:color="auto" w:fill="auto"/>
        <w:spacing w:line="360" w:lineRule="auto"/>
        <w:ind w:right="-817" w:rightChars="-389"/>
        <w:contextualSpacing/>
        <w:rPr>
          <w:rFonts w:hint="eastAsia" w:ascii="宋体" w:hAnsi="宋体" w:cs="仿宋_GB2312"/>
          <w:color w:val="auto"/>
          <w:sz w:val="24"/>
          <w:highlight w:val="none"/>
        </w:rPr>
      </w:pPr>
    </w:p>
    <w:p w14:paraId="7FD53186">
      <w:pPr>
        <w:shd w:val="clear" w:color="auto" w:fill="auto"/>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法定代表人或者委托代理人（签字或者盖章或者电子签名）：</w:t>
      </w:r>
    </w:p>
    <w:p w14:paraId="506F035C">
      <w:pPr>
        <w:shd w:val="clear" w:color="auto" w:fill="auto"/>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EF2E7D2">
      <w:pPr>
        <w:shd w:val="clear" w:color="auto" w:fill="auto"/>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FA8B6DB">
      <w:pPr>
        <w:shd w:val="clear" w:color="auto" w:fill="auto"/>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1933633E">
      <w:pPr>
        <w:shd w:val="clear" w:color="auto" w:fill="auto"/>
        <w:snapToGrid w:val="0"/>
        <w:spacing w:before="156" w:beforeLines="50" w:after="50"/>
        <w:ind w:left="142"/>
        <w:jc w:val="left"/>
        <w:rPr>
          <w:rFonts w:hint="eastAsia" w:ascii="宋体" w:hAnsi="宋体"/>
          <w:b/>
          <w:color w:val="auto"/>
          <w:sz w:val="24"/>
          <w:highlight w:val="none"/>
        </w:rPr>
      </w:pPr>
    </w:p>
    <w:p w14:paraId="4AD2129D">
      <w:pPr>
        <w:shd w:val="clear" w:color="auto" w:fill="auto"/>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3E595CCE">
      <w:pPr>
        <w:pStyle w:val="16"/>
        <w:shd w:val="clear" w:color="auto" w:fill="auto"/>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29E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DC00D8B">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75A52E7F">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350925A7">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30BBBDDB">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41D6E153">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4A354121">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CC1BD00">
            <w:pPr>
              <w:shd w:val="clear" w:color="auto" w:fill="auto"/>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38AD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3F8D246">
            <w:pPr>
              <w:shd w:val="clear" w:color="auto" w:fill="auto"/>
              <w:spacing w:line="360" w:lineRule="auto"/>
              <w:contextualSpacing/>
              <w:jc w:val="center"/>
              <w:rPr>
                <w:rFonts w:hint="eastAsia" w:ascii="宋体" w:hAnsi="宋体"/>
                <w:color w:val="auto"/>
                <w:sz w:val="24"/>
                <w:szCs w:val="20"/>
                <w:highlight w:val="none"/>
              </w:rPr>
            </w:pPr>
          </w:p>
        </w:tc>
        <w:tc>
          <w:tcPr>
            <w:tcW w:w="709" w:type="dxa"/>
            <w:noWrap w:val="0"/>
            <w:vAlign w:val="center"/>
          </w:tcPr>
          <w:p w14:paraId="284A2191">
            <w:pPr>
              <w:shd w:val="clear" w:color="auto" w:fill="auto"/>
              <w:spacing w:line="360" w:lineRule="auto"/>
              <w:contextualSpacing/>
              <w:jc w:val="center"/>
              <w:rPr>
                <w:rFonts w:hint="eastAsia" w:ascii="宋体" w:hAnsi="宋体"/>
                <w:color w:val="auto"/>
                <w:sz w:val="24"/>
                <w:szCs w:val="20"/>
                <w:highlight w:val="none"/>
              </w:rPr>
            </w:pPr>
          </w:p>
        </w:tc>
        <w:tc>
          <w:tcPr>
            <w:tcW w:w="1701" w:type="dxa"/>
            <w:noWrap w:val="0"/>
            <w:vAlign w:val="center"/>
          </w:tcPr>
          <w:p w14:paraId="7C04A2E5">
            <w:pPr>
              <w:shd w:val="clear" w:color="auto" w:fill="auto"/>
              <w:spacing w:line="360" w:lineRule="auto"/>
              <w:contextualSpacing/>
              <w:jc w:val="center"/>
              <w:rPr>
                <w:rFonts w:hint="eastAsia" w:ascii="宋体" w:hAnsi="宋体"/>
                <w:color w:val="auto"/>
                <w:sz w:val="24"/>
                <w:szCs w:val="20"/>
                <w:highlight w:val="none"/>
              </w:rPr>
            </w:pPr>
          </w:p>
        </w:tc>
        <w:tc>
          <w:tcPr>
            <w:tcW w:w="1420" w:type="dxa"/>
            <w:noWrap w:val="0"/>
            <w:vAlign w:val="center"/>
          </w:tcPr>
          <w:p w14:paraId="34A5DCD7">
            <w:pPr>
              <w:shd w:val="clear" w:color="auto" w:fill="auto"/>
              <w:spacing w:line="360" w:lineRule="auto"/>
              <w:contextualSpacing/>
              <w:jc w:val="center"/>
              <w:rPr>
                <w:rFonts w:hint="eastAsia" w:ascii="宋体" w:hAnsi="宋体"/>
                <w:color w:val="auto"/>
                <w:sz w:val="24"/>
                <w:szCs w:val="20"/>
                <w:highlight w:val="none"/>
              </w:rPr>
            </w:pPr>
          </w:p>
        </w:tc>
        <w:tc>
          <w:tcPr>
            <w:tcW w:w="1698" w:type="dxa"/>
            <w:noWrap w:val="0"/>
            <w:vAlign w:val="center"/>
          </w:tcPr>
          <w:p w14:paraId="77ADDFA6">
            <w:pPr>
              <w:shd w:val="clear" w:color="auto" w:fill="auto"/>
              <w:spacing w:line="360" w:lineRule="auto"/>
              <w:contextualSpacing/>
              <w:jc w:val="center"/>
              <w:rPr>
                <w:rFonts w:hint="eastAsia" w:ascii="宋体" w:hAnsi="宋体"/>
                <w:color w:val="auto"/>
                <w:sz w:val="24"/>
                <w:szCs w:val="20"/>
                <w:highlight w:val="none"/>
              </w:rPr>
            </w:pPr>
          </w:p>
        </w:tc>
        <w:tc>
          <w:tcPr>
            <w:tcW w:w="1843" w:type="dxa"/>
            <w:noWrap w:val="0"/>
            <w:vAlign w:val="center"/>
          </w:tcPr>
          <w:p w14:paraId="268AE8C2">
            <w:pPr>
              <w:shd w:val="clear" w:color="auto" w:fill="auto"/>
              <w:spacing w:line="360" w:lineRule="auto"/>
              <w:contextualSpacing/>
              <w:jc w:val="center"/>
              <w:rPr>
                <w:rFonts w:hint="eastAsia" w:ascii="宋体" w:hAnsi="宋体"/>
                <w:color w:val="auto"/>
                <w:sz w:val="24"/>
                <w:szCs w:val="20"/>
                <w:highlight w:val="none"/>
              </w:rPr>
            </w:pPr>
          </w:p>
        </w:tc>
      </w:tr>
      <w:tr w14:paraId="5266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FAB85DB">
            <w:pPr>
              <w:shd w:val="clear" w:color="auto" w:fill="auto"/>
              <w:spacing w:line="360" w:lineRule="auto"/>
              <w:contextualSpacing/>
              <w:jc w:val="center"/>
              <w:rPr>
                <w:rFonts w:hint="eastAsia" w:ascii="宋体" w:hAnsi="宋体"/>
                <w:color w:val="auto"/>
                <w:sz w:val="24"/>
                <w:szCs w:val="20"/>
                <w:highlight w:val="none"/>
              </w:rPr>
            </w:pPr>
          </w:p>
        </w:tc>
        <w:tc>
          <w:tcPr>
            <w:tcW w:w="709" w:type="dxa"/>
            <w:noWrap w:val="0"/>
            <w:vAlign w:val="center"/>
          </w:tcPr>
          <w:p w14:paraId="5FE6811D">
            <w:pPr>
              <w:shd w:val="clear" w:color="auto" w:fill="auto"/>
              <w:spacing w:line="360" w:lineRule="auto"/>
              <w:contextualSpacing/>
              <w:jc w:val="center"/>
              <w:rPr>
                <w:rFonts w:hint="eastAsia" w:ascii="宋体" w:hAnsi="宋体"/>
                <w:color w:val="auto"/>
                <w:sz w:val="24"/>
                <w:szCs w:val="20"/>
                <w:highlight w:val="none"/>
              </w:rPr>
            </w:pPr>
          </w:p>
        </w:tc>
        <w:tc>
          <w:tcPr>
            <w:tcW w:w="1701" w:type="dxa"/>
            <w:noWrap w:val="0"/>
            <w:vAlign w:val="center"/>
          </w:tcPr>
          <w:p w14:paraId="70F29E2A">
            <w:pPr>
              <w:shd w:val="clear" w:color="auto" w:fill="auto"/>
              <w:spacing w:line="360" w:lineRule="auto"/>
              <w:contextualSpacing/>
              <w:jc w:val="center"/>
              <w:rPr>
                <w:rFonts w:hint="eastAsia" w:ascii="宋体" w:hAnsi="宋体"/>
                <w:color w:val="auto"/>
                <w:sz w:val="24"/>
                <w:szCs w:val="20"/>
                <w:highlight w:val="none"/>
              </w:rPr>
            </w:pPr>
          </w:p>
        </w:tc>
        <w:tc>
          <w:tcPr>
            <w:tcW w:w="1420" w:type="dxa"/>
            <w:noWrap w:val="0"/>
            <w:vAlign w:val="center"/>
          </w:tcPr>
          <w:p w14:paraId="65A5A71A">
            <w:pPr>
              <w:shd w:val="clear" w:color="auto" w:fill="auto"/>
              <w:spacing w:line="360" w:lineRule="auto"/>
              <w:contextualSpacing/>
              <w:jc w:val="center"/>
              <w:rPr>
                <w:rFonts w:hint="eastAsia" w:ascii="宋体" w:hAnsi="宋体"/>
                <w:color w:val="auto"/>
                <w:sz w:val="24"/>
                <w:szCs w:val="20"/>
                <w:highlight w:val="none"/>
              </w:rPr>
            </w:pPr>
          </w:p>
        </w:tc>
        <w:tc>
          <w:tcPr>
            <w:tcW w:w="1698" w:type="dxa"/>
            <w:noWrap w:val="0"/>
            <w:vAlign w:val="center"/>
          </w:tcPr>
          <w:p w14:paraId="7FB2DB71">
            <w:pPr>
              <w:shd w:val="clear" w:color="auto" w:fill="auto"/>
              <w:spacing w:line="360" w:lineRule="auto"/>
              <w:contextualSpacing/>
              <w:jc w:val="center"/>
              <w:rPr>
                <w:rFonts w:hint="eastAsia" w:ascii="宋体" w:hAnsi="宋体"/>
                <w:color w:val="auto"/>
                <w:sz w:val="24"/>
                <w:szCs w:val="20"/>
                <w:highlight w:val="none"/>
              </w:rPr>
            </w:pPr>
          </w:p>
        </w:tc>
        <w:tc>
          <w:tcPr>
            <w:tcW w:w="1843" w:type="dxa"/>
            <w:noWrap w:val="0"/>
            <w:vAlign w:val="center"/>
          </w:tcPr>
          <w:p w14:paraId="1ED052B9">
            <w:pPr>
              <w:shd w:val="clear" w:color="auto" w:fill="auto"/>
              <w:spacing w:line="360" w:lineRule="auto"/>
              <w:contextualSpacing/>
              <w:jc w:val="center"/>
              <w:rPr>
                <w:rFonts w:hint="eastAsia" w:ascii="宋体" w:hAnsi="宋体"/>
                <w:color w:val="auto"/>
                <w:sz w:val="24"/>
                <w:szCs w:val="20"/>
                <w:highlight w:val="none"/>
              </w:rPr>
            </w:pPr>
          </w:p>
        </w:tc>
      </w:tr>
      <w:tr w14:paraId="6AE7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AC2061A">
            <w:pPr>
              <w:shd w:val="clear" w:color="auto" w:fill="auto"/>
              <w:spacing w:line="360" w:lineRule="auto"/>
              <w:contextualSpacing/>
              <w:jc w:val="center"/>
              <w:rPr>
                <w:rFonts w:hint="eastAsia" w:ascii="宋体" w:hAnsi="宋体"/>
                <w:color w:val="auto"/>
                <w:sz w:val="24"/>
                <w:szCs w:val="20"/>
                <w:highlight w:val="none"/>
              </w:rPr>
            </w:pPr>
          </w:p>
        </w:tc>
        <w:tc>
          <w:tcPr>
            <w:tcW w:w="709" w:type="dxa"/>
            <w:noWrap w:val="0"/>
            <w:vAlign w:val="center"/>
          </w:tcPr>
          <w:p w14:paraId="6B5E6AF9">
            <w:pPr>
              <w:shd w:val="clear" w:color="auto" w:fill="auto"/>
              <w:spacing w:line="360" w:lineRule="auto"/>
              <w:contextualSpacing/>
              <w:jc w:val="center"/>
              <w:rPr>
                <w:rFonts w:hint="eastAsia" w:ascii="宋体" w:hAnsi="宋体"/>
                <w:color w:val="auto"/>
                <w:sz w:val="24"/>
                <w:szCs w:val="20"/>
                <w:highlight w:val="none"/>
              </w:rPr>
            </w:pPr>
          </w:p>
        </w:tc>
        <w:tc>
          <w:tcPr>
            <w:tcW w:w="1701" w:type="dxa"/>
            <w:noWrap w:val="0"/>
            <w:vAlign w:val="center"/>
          </w:tcPr>
          <w:p w14:paraId="1BBA088F">
            <w:pPr>
              <w:shd w:val="clear" w:color="auto" w:fill="auto"/>
              <w:spacing w:line="360" w:lineRule="auto"/>
              <w:contextualSpacing/>
              <w:jc w:val="center"/>
              <w:rPr>
                <w:rFonts w:hint="eastAsia" w:ascii="宋体" w:hAnsi="宋体"/>
                <w:color w:val="auto"/>
                <w:sz w:val="24"/>
                <w:szCs w:val="20"/>
                <w:highlight w:val="none"/>
              </w:rPr>
            </w:pPr>
          </w:p>
        </w:tc>
        <w:tc>
          <w:tcPr>
            <w:tcW w:w="1420" w:type="dxa"/>
            <w:noWrap w:val="0"/>
            <w:vAlign w:val="center"/>
          </w:tcPr>
          <w:p w14:paraId="135B1D64">
            <w:pPr>
              <w:shd w:val="clear" w:color="auto" w:fill="auto"/>
              <w:spacing w:line="360" w:lineRule="auto"/>
              <w:contextualSpacing/>
              <w:jc w:val="center"/>
              <w:rPr>
                <w:rFonts w:hint="eastAsia" w:ascii="宋体" w:hAnsi="宋体"/>
                <w:color w:val="auto"/>
                <w:sz w:val="24"/>
                <w:szCs w:val="20"/>
                <w:highlight w:val="none"/>
              </w:rPr>
            </w:pPr>
          </w:p>
        </w:tc>
        <w:tc>
          <w:tcPr>
            <w:tcW w:w="1698" w:type="dxa"/>
            <w:noWrap w:val="0"/>
            <w:vAlign w:val="center"/>
          </w:tcPr>
          <w:p w14:paraId="2751D55A">
            <w:pPr>
              <w:shd w:val="clear" w:color="auto" w:fill="auto"/>
              <w:spacing w:line="360" w:lineRule="auto"/>
              <w:contextualSpacing/>
              <w:jc w:val="center"/>
              <w:rPr>
                <w:rFonts w:hint="eastAsia" w:ascii="宋体" w:hAnsi="宋体"/>
                <w:color w:val="auto"/>
                <w:sz w:val="24"/>
                <w:szCs w:val="20"/>
                <w:highlight w:val="none"/>
              </w:rPr>
            </w:pPr>
          </w:p>
        </w:tc>
        <w:tc>
          <w:tcPr>
            <w:tcW w:w="1843" w:type="dxa"/>
            <w:noWrap w:val="0"/>
            <w:vAlign w:val="center"/>
          </w:tcPr>
          <w:p w14:paraId="4C6458AD">
            <w:pPr>
              <w:shd w:val="clear" w:color="auto" w:fill="auto"/>
              <w:spacing w:line="360" w:lineRule="auto"/>
              <w:contextualSpacing/>
              <w:jc w:val="center"/>
              <w:rPr>
                <w:rFonts w:hint="eastAsia" w:ascii="宋体" w:hAnsi="宋体"/>
                <w:color w:val="auto"/>
                <w:sz w:val="24"/>
                <w:szCs w:val="20"/>
                <w:highlight w:val="none"/>
              </w:rPr>
            </w:pPr>
          </w:p>
        </w:tc>
      </w:tr>
    </w:tbl>
    <w:p w14:paraId="27023243">
      <w:pPr>
        <w:shd w:val="clear" w:color="auto" w:fill="auto"/>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2A8D723A">
      <w:pPr>
        <w:shd w:val="clear" w:color="auto" w:fill="auto"/>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72C26A90">
      <w:pPr>
        <w:shd w:val="clear" w:color="auto" w:fill="auto"/>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023448F6">
      <w:pPr>
        <w:shd w:val="clear" w:color="auto" w:fill="auto"/>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（签字或者盖章或者电子签名）：</w:t>
      </w:r>
      <w:r>
        <w:rPr>
          <w:rFonts w:hint="eastAsia" w:ascii="宋体" w:hAnsi="宋体"/>
          <w:color w:val="auto"/>
          <w:spacing w:val="20"/>
          <w:sz w:val="24"/>
          <w:highlight w:val="none"/>
          <w:u w:val="single"/>
        </w:rPr>
        <w:t xml:space="preserve">        </w:t>
      </w:r>
    </w:p>
    <w:p w14:paraId="44CC79A4">
      <w:pPr>
        <w:shd w:val="clear" w:color="auto" w:fill="auto"/>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480A81C1">
      <w:pPr>
        <w:shd w:val="clear" w:color="auto" w:fill="auto"/>
        <w:snapToGrid w:val="0"/>
        <w:spacing w:before="50" w:after="156" w:afterLines="50"/>
        <w:jc w:val="left"/>
        <w:rPr>
          <w:rFonts w:hint="eastAsia" w:ascii="宋体" w:hAnsi="宋体"/>
          <w:color w:val="auto"/>
          <w:sz w:val="24"/>
          <w:szCs w:val="20"/>
          <w:highlight w:val="none"/>
        </w:rPr>
      </w:pPr>
    </w:p>
    <w:p w14:paraId="013059AA">
      <w:pPr>
        <w:shd w:val="clear" w:color="auto" w:fill="auto"/>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4BCE1834">
      <w:pPr>
        <w:snapToGrid w:val="0"/>
        <w:spacing w:before="120" w:beforeLines="50" w:after="50"/>
        <w:jc w:val="left"/>
        <w:rPr>
          <w:rFonts w:ascii="方正小标宋简体" w:hAnsi="方正小标宋简体" w:eastAsia="方正小标宋简体" w:cs="方正小标宋简体"/>
          <w:bCs/>
          <w:color w:val="auto"/>
          <w:szCs w:val="21"/>
          <w:highlight w:val="none"/>
        </w:rPr>
      </w:pPr>
      <w:r>
        <w:rPr>
          <w:rFonts w:ascii="宋体" w:hAnsi="宋体"/>
          <w:b/>
          <w:bCs/>
          <w:color w:val="auto"/>
          <w:sz w:val="24"/>
          <w:highlight w:val="none"/>
        </w:rPr>
        <w:br w:type="page"/>
      </w:r>
      <w:r>
        <w:rPr>
          <w:rFonts w:hint="eastAsia" w:ascii="宋体" w:hAnsi="宋体" w:eastAsia="宋体" w:cs="Times New Roman"/>
          <w:b/>
          <w:color w:val="auto"/>
          <w:sz w:val="24"/>
          <w:highlight w:val="none"/>
        </w:rPr>
        <w:t>代理服务费承诺书</w:t>
      </w:r>
    </w:p>
    <w:p w14:paraId="2CBE1699">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p>
    <w:p w14:paraId="1A8A2A3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10EF4ECA">
      <w:pPr>
        <w:snapToGrid w:val="0"/>
        <w:spacing w:before="120" w:beforeLines="50" w:after="50"/>
        <w:jc w:val="center"/>
        <w:rPr>
          <w:rFonts w:hint="eastAsia" w:ascii="宋体" w:hAnsi="宋体" w:eastAsia="宋体" w:cs="Times New Roman"/>
          <w:b/>
          <w:color w:val="auto"/>
          <w:sz w:val="24"/>
          <w:highlight w:val="none"/>
        </w:rPr>
      </w:pPr>
    </w:p>
    <w:p w14:paraId="12534610">
      <w:pPr>
        <w:spacing w:line="360" w:lineRule="auto"/>
        <w:rPr>
          <w:rFonts w:hint="eastAsia" w:ascii="宋体" w:hAnsi="宋体" w:eastAsia="宋体" w:cs="Times New Roman"/>
          <w:b/>
          <w:bCs/>
          <w:color w:val="auto"/>
          <w:sz w:val="24"/>
          <w:highlight w:val="none"/>
        </w:rPr>
      </w:pPr>
      <w:r>
        <w:rPr>
          <w:rFonts w:hint="eastAsia" w:ascii="宋体" w:hAnsi="宋体" w:eastAsia="宋体" w:cs="Times New Roman"/>
          <w:bCs/>
          <w:color w:val="auto"/>
          <w:sz w:val="24"/>
          <w:highlight w:val="none"/>
        </w:rPr>
        <w:t>致：</w:t>
      </w:r>
      <w:r>
        <w:rPr>
          <w:rFonts w:hint="eastAsia" w:ascii="宋体" w:hAnsi="宋体" w:eastAsia="宋体" w:cs="Times New Roman"/>
          <w:color w:val="auto"/>
          <w:sz w:val="24"/>
          <w:highlight w:val="none"/>
          <w:u w:val="single"/>
        </w:rPr>
        <w:t>招标代理机构名称</w:t>
      </w:r>
      <w:r>
        <w:rPr>
          <w:rFonts w:hint="eastAsia" w:ascii="宋体" w:hAnsi="宋体" w:eastAsia="宋体" w:cs="Times New Roman"/>
          <w:color w:val="auto"/>
          <w:sz w:val="24"/>
          <w:highlight w:val="none"/>
        </w:rPr>
        <w:t>：</w:t>
      </w:r>
    </w:p>
    <w:p w14:paraId="05C1FC4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本单位参加了贵方组织的</w:t>
      </w:r>
      <w:r>
        <w:rPr>
          <w:rFonts w:hint="eastAsia" w:ascii="宋体" w:hAnsi="宋体" w:eastAsia="宋体" w:cs="Times New Roman"/>
          <w:color w:val="auto"/>
          <w:sz w:val="24"/>
          <w:highlight w:val="none"/>
          <w:u w:val="single"/>
        </w:rPr>
        <w:t xml:space="preserve">  项目名称（项目编号）  </w:t>
      </w:r>
      <w:r>
        <w:rPr>
          <w:rFonts w:hint="eastAsia" w:ascii="宋体" w:hAnsi="宋体" w:eastAsia="宋体" w:cs="Times New Roman"/>
          <w:color w:val="auto"/>
          <w:sz w:val="24"/>
          <w:highlight w:val="none"/>
        </w:rPr>
        <w:t>项目， 在此说明如下：</w:t>
      </w:r>
    </w:p>
    <w:p w14:paraId="1137DD29">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2A02460B">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2.本单位选择第</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种方式作为代理服务费开票类型：</w:t>
      </w:r>
    </w:p>
    <w:p w14:paraId="16619E0A">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第一种方式：开具增值税普通发票。开票信息如下：</w:t>
      </w:r>
    </w:p>
    <w:p w14:paraId="2908634A">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（1）公司名称</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7490AFE6">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（2）纳税人识别号</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7855E8B2">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第二种方式：开具增值税专用发票，开票信息如下：</w:t>
      </w:r>
    </w:p>
    <w:p w14:paraId="46E642AD">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（1）公司名称</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5C11A544">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（2）纳税人识别号</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75422720">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（3）在税局登记的地址</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5B54E1D1">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（4）在税局登记的电话</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1863E3CB">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（5）开户银行</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507706FB">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（6）银行账户</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3BD36AA9">
      <w:pPr>
        <w:spacing w:line="440" w:lineRule="exact"/>
        <w:rPr>
          <w:rFonts w:hint="eastAsia" w:ascii="宋体" w:hAnsi="宋体" w:eastAsia="宋体" w:cs="Times New Roman"/>
          <w:color w:val="auto"/>
          <w:sz w:val="24"/>
          <w:highlight w:val="none"/>
        </w:rPr>
      </w:pPr>
    </w:p>
    <w:p w14:paraId="0FAC9B37">
      <w:pPr>
        <w:spacing w:line="440" w:lineRule="exact"/>
        <w:rPr>
          <w:rFonts w:hint="eastAsia" w:ascii="宋体" w:hAnsi="宋体" w:eastAsia="宋体" w:cs="Times New Roman"/>
          <w:color w:val="auto"/>
          <w:sz w:val="24"/>
          <w:highlight w:val="none"/>
        </w:rPr>
      </w:pPr>
    </w:p>
    <w:p w14:paraId="373DE039">
      <w:pPr>
        <w:spacing w:line="440" w:lineRule="exact"/>
        <w:rPr>
          <w:rFonts w:hint="eastAsia" w:ascii="宋体" w:hAnsi="宋体" w:eastAsia="宋体" w:cs="Times New Roman"/>
          <w:color w:val="auto"/>
          <w:sz w:val="24"/>
          <w:highlight w:val="none"/>
        </w:rPr>
      </w:pPr>
    </w:p>
    <w:p w14:paraId="045DF9A3">
      <w:pPr>
        <w:snapToGrid w:val="0"/>
        <w:spacing w:line="360" w:lineRule="auto"/>
        <w:ind w:left="-2" w:leftChars="-1" w:right="-817" w:rightChars="-389" w:firstLine="1920" w:firstLineChars="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法定代表人或者委托代理人（签字或者电子签名）： </w:t>
      </w:r>
    </w:p>
    <w:p w14:paraId="597353C2">
      <w:pPr>
        <w:snapToGrid w:val="0"/>
        <w:spacing w:line="360" w:lineRule="auto"/>
        <w:ind w:left="-3" w:leftChars="-15" w:right="-817" w:rightChars="-389" w:hanging="28" w:hangingChars="1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供应商公章（电子签章）：</w:t>
      </w:r>
    </w:p>
    <w:p w14:paraId="5D969F73">
      <w:pPr>
        <w:shd w:val="clear" w:color="auto" w:fill="auto"/>
        <w:spacing w:line="300" w:lineRule="auto"/>
        <w:rPr>
          <w:rFonts w:hint="eastAsia" w:ascii="宋体" w:hAnsi="宋体"/>
          <w:color w:val="auto"/>
          <w:szCs w:val="21"/>
          <w:highlight w:val="none"/>
        </w:rPr>
      </w:pPr>
      <w:r>
        <w:rPr>
          <w:rFonts w:hint="eastAsia" w:ascii="宋体" w:hAnsi="宋体" w:eastAsia="宋体" w:cs="Times New Roman"/>
          <w:color w:val="auto"/>
          <w:sz w:val="24"/>
          <w:highlight w:val="none"/>
        </w:rPr>
        <w:t xml:space="preserve">                                    日期：    年   月   日</w:t>
      </w: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204F53D1">
      <w:pPr>
        <w:shd w:val="clear" w:color="auto" w:fill="auto"/>
        <w:jc w:val="center"/>
        <w:rPr>
          <w:rFonts w:hint="eastAsia" w:ascii="方正小标宋简体" w:hAnsi="方正小标宋简体" w:eastAsia="方正小标宋简体" w:cs="方正小标宋简体"/>
          <w:color w:val="auto"/>
          <w:sz w:val="44"/>
          <w:szCs w:val="44"/>
          <w:highlight w:val="none"/>
        </w:rPr>
      </w:pPr>
      <w:bookmarkStart w:id="189" w:name="_Toc71365926"/>
      <w:r>
        <w:rPr>
          <w:rFonts w:hint="eastAsia" w:ascii="方正小标宋简体" w:hAnsi="方正小标宋简体" w:eastAsia="方正小标宋简体" w:cs="方正小标宋简体"/>
          <w:color w:val="auto"/>
          <w:sz w:val="44"/>
          <w:szCs w:val="44"/>
          <w:highlight w:val="none"/>
        </w:rPr>
        <w:t>中小企业声明函（服务）</w:t>
      </w:r>
      <w:bookmarkEnd w:id="189"/>
    </w:p>
    <w:p w14:paraId="71BFECAE">
      <w:pPr>
        <w:shd w:val="clear" w:color="auto" w:fill="auto"/>
        <w:spacing w:before="2" w:line="500" w:lineRule="exact"/>
        <w:ind w:firstLine="708" w:firstLineChars="294"/>
        <w:rPr>
          <w:rFonts w:ascii="宋体" w:hAnsi="宋体" w:cs="宋体"/>
          <w:b/>
          <w:bCs/>
          <w:color w:val="auto"/>
          <w:sz w:val="24"/>
          <w:highlight w:val="none"/>
        </w:rPr>
      </w:pPr>
    </w:p>
    <w:p w14:paraId="65F06A2B">
      <w:pPr>
        <w:pStyle w:val="12"/>
        <w:shd w:val="clear" w:color="auto" w:fill="auto"/>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118C6224">
      <w:pPr>
        <w:shd w:val="clear" w:color="auto" w:fill="auto"/>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7D0D620">
      <w:pPr>
        <w:shd w:val="clear" w:color="auto" w:fill="auto"/>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D394CB6">
      <w:pPr>
        <w:pStyle w:val="12"/>
        <w:shd w:val="clear" w:color="auto" w:fill="auto"/>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425B7784">
      <w:pPr>
        <w:pStyle w:val="12"/>
        <w:shd w:val="clear" w:color="auto" w:fill="auto"/>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B1A8BDF">
      <w:pPr>
        <w:pStyle w:val="12"/>
        <w:shd w:val="clear" w:color="auto" w:fill="auto"/>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CCBAFB9">
      <w:pPr>
        <w:pStyle w:val="12"/>
        <w:shd w:val="clear" w:color="auto" w:fill="auto"/>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6F9D3550">
      <w:pPr>
        <w:pStyle w:val="12"/>
        <w:shd w:val="clear" w:color="auto" w:fill="auto"/>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1FF400B0">
      <w:pPr>
        <w:shd w:val="clear" w:color="auto" w:fill="auto"/>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0298CA">
      <w:pPr>
        <w:shd w:val="clear" w:color="auto" w:fill="auto"/>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6B23CB80">
      <w:pPr>
        <w:shd w:val="clear" w:color="auto" w:fill="auto"/>
        <w:spacing w:line="360" w:lineRule="auto"/>
        <w:contextualSpacing/>
        <w:rPr>
          <w:rFonts w:hint="eastAsia" w:ascii="仿宋_GB2312" w:hAnsi="仿宋_GB2312" w:eastAsia="仿宋_GB2312" w:cs="仿宋_GB2312"/>
          <w:color w:val="auto"/>
          <w:sz w:val="32"/>
          <w:szCs w:val="32"/>
          <w:highlight w:val="none"/>
        </w:rPr>
      </w:pPr>
    </w:p>
    <w:p w14:paraId="686CBCF4">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BD5347">
      <w:pPr>
        <w:shd w:val="clear" w:color="auto" w:fill="auto"/>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2B99E37">
      <w:pPr>
        <w:shd w:val="clear" w:color="auto" w:fill="auto"/>
        <w:spacing w:line="360" w:lineRule="auto"/>
        <w:contextualSpacing/>
        <w:rPr>
          <w:rFonts w:hint="eastAsia" w:ascii="宋体" w:hAnsi="宋体" w:cs="仿宋_GB2312"/>
          <w:color w:val="auto"/>
          <w:sz w:val="24"/>
          <w:highlight w:val="none"/>
        </w:rPr>
      </w:pPr>
    </w:p>
    <w:p w14:paraId="2E5BA175">
      <w:pPr>
        <w:shd w:val="clear" w:color="auto" w:fill="auto"/>
        <w:spacing w:line="360" w:lineRule="auto"/>
        <w:contextualSpacing/>
        <w:rPr>
          <w:rFonts w:hint="eastAsia" w:ascii="宋体" w:hAnsi="宋体" w:cs="仿宋_GB2312"/>
          <w:color w:val="auto"/>
          <w:sz w:val="24"/>
          <w:highlight w:val="none"/>
        </w:rPr>
      </w:pPr>
    </w:p>
    <w:p w14:paraId="12C92B5A">
      <w:pPr>
        <w:shd w:val="clear" w:color="auto" w:fill="auto"/>
        <w:spacing w:line="360" w:lineRule="auto"/>
        <w:contextualSpacing/>
        <w:rPr>
          <w:rFonts w:hint="eastAsia" w:ascii="宋体" w:hAnsi="宋体" w:cs="仿宋_GB2312"/>
          <w:color w:val="auto"/>
          <w:sz w:val="24"/>
          <w:highlight w:val="none"/>
        </w:rPr>
      </w:pPr>
    </w:p>
    <w:p w14:paraId="6D2C16E2">
      <w:pPr>
        <w:shd w:val="clear" w:color="auto" w:fill="auto"/>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62B98EFF">
      <w:pPr>
        <w:shd w:val="clear" w:color="auto" w:fill="auto"/>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3B7C0E00">
      <w:pPr>
        <w:shd w:val="clear" w:color="auto" w:fill="auto"/>
        <w:spacing w:line="360" w:lineRule="auto"/>
        <w:contextualSpacing/>
        <w:rPr>
          <w:rFonts w:hint="eastAsia" w:ascii="宋体" w:hAnsi="宋体" w:cs="仿宋_GB2312"/>
          <w:color w:val="auto"/>
          <w:sz w:val="24"/>
          <w:highlight w:val="none"/>
        </w:rPr>
      </w:pPr>
    </w:p>
    <w:p w14:paraId="4DFBD263">
      <w:pPr>
        <w:shd w:val="clear" w:color="auto" w:fill="auto"/>
        <w:spacing w:line="360" w:lineRule="auto"/>
        <w:contextualSpacing/>
        <w:rPr>
          <w:rFonts w:hint="eastAsia" w:ascii="宋体" w:hAnsi="宋体" w:cs="仿宋_GB2312"/>
          <w:color w:val="auto"/>
          <w:sz w:val="24"/>
          <w:highlight w:val="none"/>
        </w:rPr>
      </w:pPr>
    </w:p>
    <w:p w14:paraId="065D4F71">
      <w:pPr>
        <w:shd w:val="clear" w:color="auto" w:fill="auto"/>
        <w:spacing w:line="360" w:lineRule="auto"/>
        <w:contextualSpacing/>
        <w:rPr>
          <w:rFonts w:hint="eastAsia" w:ascii="宋体" w:hAnsi="宋体" w:cs="仿宋_GB2312"/>
          <w:color w:val="auto"/>
          <w:sz w:val="24"/>
          <w:highlight w:val="none"/>
        </w:rPr>
      </w:pPr>
    </w:p>
    <w:p w14:paraId="56E59CAA">
      <w:pPr>
        <w:shd w:val="clear" w:color="auto" w:fill="auto"/>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9BDF21E">
      <w:pPr>
        <w:shd w:val="clear" w:color="auto" w:fill="auto"/>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59324A15">
      <w:pPr>
        <w:shd w:val="clear" w:color="auto" w:fill="auto"/>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9AF4823">
      <w:pPr>
        <w:pStyle w:val="16"/>
        <w:shd w:val="clear" w:color="auto" w:fill="auto"/>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6B9CCA04">
      <w:pPr>
        <w:pStyle w:val="16"/>
        <w:shd w:val="clear" w:color="auto" w:fill="auto"/>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95B1A6">
      <w:pPr>
        <w:pStyle w:val="16"/>
        <w:shd w:val="clear" w:color="auto" w:fill="auto"/>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BB2E8C6">
      <w:pPr>
        <w:pStyle w:val="16"/>
        <w:shd w:val="clear" w:color="auto" w:fill="auto"/>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DEE2752">
      <w:pPr>
        <w:pStyle w:val="16"/>
        <w:shd w:val="clear" w:color="auto" w:fill="auto"/>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29D1444">
      <w:pPr>
        <w:pStyle w:val="16"/>
        <w:shd w:val="clear" w:color="auto" w:fill="auto"/>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868B088">
      <w:pPr>
        <w:pStyle w:val="16"/>
        <w:shd w:val="clear" w:color="auto" w:fill="auto"/>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605DDF8">
      <w:pPr>
        <w:pStyle w:val="16"/>
        <w:shd w:val="clear" w:color="auto" w:fill="auto"/>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00541CAE">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1E765A3">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DF022A0">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5E35277">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3A09EF6A">
      <w:pPr>
        <w:pStyle w:val="16"/>
        <w:shd w:val="clear" w:color="auto" w:fill="auto"/>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1348E581">
      <w:pPr>
        <w:pStyle w:val="16"/>
        <w:shd w:val="clear" w:color="auto" w:fill="auto"/>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23A8B9B3">
      <w:pPr>
        <w:pStyle w:val="16"/>
        <w:shd w:val="clear" w:color="auto" w:fill="auto"/>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6A536F7E">
      <w:pPr>
        <w:pStyle w:val="16"/>
        <w:shd w:val="clear" w:color="auto" w:fill="auto"/>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405FCFA1">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39C48C3">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66FAA3DF">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EC6D244">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14F8EAC0">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59B3E939">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2237092">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6094BD8">
      <w:pPr>
        <w:pStyle w:val="16"/>
        <w:shd w:val="clear" w:color="auto" w:fill="auto"/>
        <w:spacing w:line="360" w:lineRule="auto"/>
        <w:ind w:left="25" w:leftChars="12" w:firstLine="352" w:firstLineChars="147"/>
        <w:contextualSpacing/>
        <w:rPr>
          <w:rFonts w:hint="eastAsia" w:hAnsi="宋体"/>
          <w:color w:val="auto"/>
          <w:sz w:val="24"/>
          <w:szCs w:val="24"/>
          <w:highlight w:val="none"/>
        </w:rPr>
      </w:pPr>
    </w:p>
    <w:p w14:paraId="2EEA569C">
      <w:pPr>
        <w:pStyle w:val="16"/>
        <w:shd w:val="clear" w:color="auto" w:fill="auto"/>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4A324314">
      <w:pPr>
        <w:pStyle w:val="16"/>
        <w:shd w:val="clear" w:color="auto" w:fill="auto"/>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494D0997">
      <w:pPr>
        <w:pStyle w:val="16"/>
        <w:shd w:val="clear" w:color="auto" w:fill="auto"/>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4200E12">
      <w:pPr>
        <w:pStyle w:val="16"/>
        <w:shd w:val="clear" w:color="auto" w:fill="auto"/>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59613F2">
      <w:pPr>
        <w:pStyle w:val="16"/>
        <w:shd w:val="clear" w:color="auto" w:fill="auto"/>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68CE3C">
      <w:pPr>
        <w:pStyle w:val="16"/>
        <w:shd w:val="clear" w:color="auto" w:fill="auto"/>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431CB70">
      <w:pPr>
        <w:pStyle w:val="16"/>
        <w:shd w:val="clear" w:color="auto" w:fill="auto"/>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2324D8D5">
      <w:pPr>
        <w:pStyle w:val="16"/>
        <w:shd w:val="clear" w:color="auto" w:fill="auto"/>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DFE8605">
      <w:pPr>
        <w:pStyle w:val="16"/>
        <w:shd w:val="clear" w:color="auto" w:fill="auto"/>
        <w:snapToGrid w:val="0"/>
        <w:rPr>
          <w:rFonts w:hint="eastAsia"/>
          <w:b/>
          <w:color w:val="auto"/>
          <w:sz w:val="24"/>
          <w:szCs w:val="24"/>
          <w:highlight w:val="none"/>
        </w:rPr>
      </w:pPr>
    </w:p>
    <w:p w14:paraId="4AF6FF34">
      <w:pPr>
        <w:shd w:val="clear" w:color="auto" w:fill="auto"/>
        <w:rPr>
          <w:rFonts w:hint="eastAsia"/>
          <w:color w:val="auto"/>
          <w:sz w:val="32"/>
          <w:szCs w:val="40"/>
          <w:highlight w:val="none"/>
        </w:rPr>
      </w:pPr>
    </w:p>
    <w:p w14:paraId="187EBE0F">
      <w:pPr>
        <w:shd w:val="clear" w:color="auto" w:fill="auto"/>
        <w:rPr>
          <w:rFonts w:hint="eastAsia"/>
          <w:color w:val="auto"/>
          <w:sz w:val="32"/>
          <w:szCs w:val="40"/>
          <w:highlight w:val="none"/>
        </w:rPr>
      </w:pPr>
    </w:p>
    <w:p w14:paraId="6BAA4833">
      <w:pPr>
        <w:shd w:val="clear" w:color="auto" w:fill="auto"/>
        <w:rPr>
          <w:rFonts w:hint="eastAsia"/>
          <w:color w:val="auto"/>
          <w:sz w:val="32"/>
          <w:szCs w:val="40"/>
          <w:highlight w:val="none"/>
        </w:rPr>
      </w:pPr>
    </w:p>
    <w:p w14:paraId="2F23B9DA">
      <w:pPr>
        <w:shd w:val="clear" w:color="auto" w:fill="auto"/>
        <w:rPr>
          <w:rFonts w:hint="eastAsia"/>
          <w:color w:val="auto"/>
          <w:sz w:val="32"/>
          <w:szCs w:val="40"/>
          <w:highlight w:val="none"/>
        </w:rPr>
      </w:pPr>
    </w:p>
    <w:p w14:paraId="4F2C8DD0">
      <w:pPr>
        <w:shd w:val="clear" w:color="auto" w:fill="auto"/>
        <w:rPr>
          <w:rFonts w:hint="eastAsia"/>
          <w:color w:val="auto"/>
          <w:sz w:val="32"/>
          <w:szCs w:val="40"/>
          <w:highlight w:val="none"/>
        </w:rPr>
      </w:pPr>
    </w:p>
    <w:p w14:paraId="7D8480B5">
      <w:pPr>
        <w:shd w:val="clear" w:color="auto" w:fill="auto"/>
        <w:rPr>
          <w:rFonts w:hint="eastAsia"/>
          <w:color w:val="auto"/>
          <w:sz w:val="32"/>
          <w:szCs w:val="40"/>
          <w:highlight w:val="none"/>
        </w:rPr>
      </w:pPr>
    </w:p>
    <w:p w14:paraId="1EFB63D4">
      <w:pPr>
        <w:shd w:val="clear" w:color="auto" w:fill="auto"/>
        <w:rPr>
          <w:rFonts w:hint="eastAsia"/>
          <w:color w:val="auto"/>
          <w:sz w:val="32"/>
          <w:szCs w:val="40"/>
          <w:highlight w:val="none"/>
        </w:rPr>
      </w:pPr>
    </w:p>
    <w:p w14:paraId="17CF1772">
      <w:pPr>
        <w:shd w:val="clear" w:color="auto" w:fill="auto"/>
        <w:rPr>
          <w:rFonts w:hint="eastAsia"/>
          <w:color w:val="auto"/>
          <w:sz w:val="32"/>
          <w:szCs w:val="40"/>
          <w:highlight w:val="none"/>
        </w:rPr>
      </w:pPr>
    </w:p>
    <w:p w14:paraId="5A85B2FD">
      <w:pPr>
        <w:shd w:val="clear" w:color="auto" w:fill="auto"/>
        <w:rPr>
          <w:rFonts w:hint="eastAsia"/>
          <w:color w:val="auto"/>
          <w:sz w:val="32"/>
          <w:szCs w:val="40"/>
          <w:highlight w:val="none"/>
        </w:rPr>
      </w:pPr>
    </w:p>
    <w:p w14:paraId="2C5941A6">
      <w:pPr>
        <w:shd w:val="clear" w:color="auto" w:fill="auto"/>
        <w:rPr>
          <w:rFonts w:hint="eastAsia"/>
          <w:color w:val="auto"/>
          <w:sz w:val="32"/>
          <w:szCs w:val="40"/>
          <w:highlight w:val="none"/>
        </w:rPr>
      </w:pPr>
    </w:p>
    <w:p w14:paraId="60830896">
      <w:pPr>
        <w:shd w:val="clear" w:color="auto" w:fill="auto"/>
        <w:rPr>
          <w:rFonts w:hint="eastAsia"/>
          <w:color w:val="auto"/>
          <w:sz w:val="32"/>
          <w:szCs w:val="40"/>
          <w:highlight w:val="none"/>
        </w:rPr>
      </w:pPr>
    </w:p>
    <w:p w14:paraId="13C13F44">
      <w:pPr>
        <w:shd w:val="clear" w:color="auto" w:fill="auto"/>
        <w:rPr>
          <w:rFonts w:hint="eastAsia"/>
          <w:color w:val="auto"/>
          <w:sz w:val="32"/>
          <w:szCs w:val="40"/>
          <w:highlight w:val="none"/>
        </w:rPr>
      </w:pPr>
    </w:p>
    <w:p w14:paraId="7B717806">
      <w:pPr>
        <w:shd w:val="clear" w:color="auto" w:fill="auto"/>
        <w:rPr>
          <w:rFonts w:hint="eastAsia"/>
          <w:color w:val="auto"/>
          <w:sz w:val="32"/>
          <w:szCs w:val="40"/>
          <w:highlight w:val="none"/>
        </w:rPr>
      </w:pPr>
    </w:p>
    <w:p w14:paraId="2411B800">
      <w:pPr>
        <w:shd w:val="clear" w:color="auto" w:fill="auto"/>
        <w:rPr>
          <w:rFonts w:hint="eastAsia"/>
          <w:color w:val="auto"/>
          <w:sz w:val="32"/>
          <w:szCs w:val="40"/>
          <w:highlight w:val="none"/>
        </w:rPr>
      </w:pPr>
    </w:p>
    <w:p w14:paraId="3DCBAA86">
      <w:pPr>
        <w:shd w:val="clear" w:color="auto" w:fill="auto"/>
        <w:spacing w:line="360" w:lineRule="auto"/>
        <w:jc w:val="center"/>
        <w:rPr>
          <w:rFonts w:hint="eastAsia"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投诉书（格式）</w:t>
      </w:r>
    </w:p>
    <w:p w14:paraId="0BA50F45">
      <w:pPr>
        <w:pStyle w:val="16"/>
        <w:shd w:val="clear" w:color="auto" w:fill="auto"/>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66F3BF9">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94A7B98">
      <w:pPr>
        <w:pStyle w:val="16"/>
        <w:shd w:val="clear" w:color="auto" w:fill="auto"/>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C5B8984">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3BF0A85">
      <w:pPr>
        <w:pStyle w:val="16"/>
        <w:shd w:val="clear" w:color="auto" w:fill="auto"/>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B0A8005">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6F1091D">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8F70832">
      <w:pPr>
        <w:pStyle w:val="16"/>
        <w:shd w:val="clear" w:color="auto" w:fill="auto"/>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66FCEA3">
      <w:pPr>
        <w:pStyle w:val="16"/>
        <w:shd w:val="clear" w:color="auto" w:fill="auto"/>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4CD16447">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5218409">
      <w:pPr>
        <w:pStyle w:val="16"/>
        <w:shd w:val="clear" w:color="auto" w:fill="auto"/>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9562B35">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72BC803">
      <w:pPr>
        <w:pStyle w:val="16"/>
        <w:shd w:val="clear" w:color="auto" w:fill="auto"/>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6E7CF058">
      <w:pPr>
        <w:pStyle w:val="16"/>
        <w:shd w:val="clear" w:color="auto" w:fill="auto"/>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1C88ADF8">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D7E5DBF">
      <w:pPr>
        <w:pStyle w:val="16"/>
        <w:shd w:val="clear" w:color="auto" w:fill="auto"/>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A4A3101">
      <w:pPr>
        <w:pStyle w:val="16"/>
        <w:shd w:val="clear" w:color="auto" w:fill="auto"/>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8512202">
      <w:pPr>
        <w:pStyle w:val="16"/>
        <w:shd w:val="clear" w:color="auto" w:fill="auto"/>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03A7BE74">
      <w:pPr>
        <w:pStyle w:val="16"/>
        <w:shd w:val="clear" w:color="auto" w:fill="auto"/>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11A3CFF">
      <w:pPr>
        <w:pStyle w:val="16"/>
        <w:shd w:val="clear" w:color="auto" w:fill="auto"/>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D75B654">
      <w:pPr>
        <w:pStyle w:val="16"/>
        <w:shd w:val="clear" w:color="auto" w:fill="auto"/>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41CC539">
      <w:pPr>
        <w:pStyle w:val="16"/>
        <w:shd w:val="clear" w:color="auto" w:fill="auto"/>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51473D3">
      <w:pPr>
        <w:pStyle w:val="16"/>
        <w:shd w:val="clear" w:color="auto" w:fill="auto"/>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2F19369">
      <w:pPr>
        <w:pStyle w:val="16"/>
        <w:shd w:val="clear" w:color="auto" w:fill="auto"/>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C652E09">
      <w:pPr>
        <w:pStyle w:val="16"/>
        <w:shd w:val="clear" w:color="auto" w:fill="auto"/>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438CE5D2">
      <w:pPr>
        <w:pStyle w:val="16"/>
        <w:shd w:val="clear" w:color="auto" w:fill="auto"/>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B29652E">
      <w:pPr>
        <w:pStyle w:val="16"/>
        <w:shd w:val="clear" w:color="auto" w:fill="auto"/>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97D328A">
      <w:pPr>
        <w:pStyle w:val="16"/>
        <w:shd w:val="clear" w:color="auto" w:fill="auto"/>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85C3C05">
      <w:pPr>
        <w:pStyle w:val="16"/>
        <w:shd w:val="clear" w:color="auto" w:fill="auto"/>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20E9CA1">
      <w:pPr>
        <w:pStyle w:val="16"/>
        <w:shd w:val="clear" w:color="auto" w:fill="auto"/>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0FBAFFDF">
      <w:pPr>
        <w:pStyle w:val="16"/>
        <w:shd w:val="clear" w:color="auto" w:fill="auto"/>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F180FEF">
      <w:pPr>
        <w:pStyle w:val="16"/>
        <w:shd w:val="clear" w:color="auto" w:fill="auto"/>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449225">
      <w:pPr>
        <w:pStyle w:val="16"/>
        <w:shd w:val="clear" w:color="auto" w:fill="auto"/>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7620A4D0">
      <w:pPr>
        <w:pStyle w:val="16"/>
        <w:shd w:val="clear" w:color="auto" w:fill="auto"/>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6D945DD">
      <w:pPr>
        <w:pStyle w:val="16"/>
        <w:shd w:val="clear" w:color="auto" w:fill="auto"/>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98D2F4D">
      <w:pPr>
        <w:pStyle w:val="16"/>
        <w:shd w:val="clear" w:color="auto" w:fill="auto"/>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10F2543">
      <w:pPr>
        <w:pStyle w:val="16"/>
        <w:shd w:val="clear" w:color="auto" w:fill="auto"/>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EC5316F">
      <w:pPr>
        <w:pStyle w:val="16"/>
        <w:shd w:val="clear" w:color="auto" w:fill="auto"/>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7E471315">
      <w:pPr>
        <w:pStyle w:val="16"/>
        <w:shd w:val="clear" w:color="auto" w:fill="auto"/>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BBE4666">
      <w:pPr>
        <w:pStyle w:val="16"/>
        <w:shd w:val="clear" w:color="auto" w:fill="auto"/>
        <w:spacing w:line="360" w:lineRule="auto"/>
        <w:ind w:left="25" w:leftChars="12" w:firstLine="352" w:firstLineChars="147"/>
        <w:rPr>
          <w:rFonts w:hint="eastAsia" w:hAnsi="宋体"/>
          <w:color w:val="auto"/>
          <w:sz w:val="24"/>
          <w:szCs w:val="24"/>
          <w:highlight w:val="none"/>
        </w:rPr>
      </w:pPr>
    </w:p>
    <w:p w14:paraId="669AC869">
      <w:pPr>
        <w:pStyle w:val="16"/>
        <w:shd w:val="clear" w:color="auto" w:fill="auto"/>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C41827B">
      <w:pPr>
        <w:pStyle w:val="16"/>
        <w:shd w:val="clear" w:color="auto" w:fill="auto"/>
        <w:spacing w:line="360" w:lineRule="auto"/>
        <w:ind w:left="25" w:leftChars="12" w:firstLine="352" w:firstLineChars="147"/>
        <w:rPr>
          <w:rFonts w:hint="eastAsia" w:hAnsi="宋体"/>
          <w:color w:val="auto"/>
          <w:sz w:val="24"/>
          <w:szCs w:val="24"/>
          <w:highlight w:val="none"/>
        </w:rPr>
      </w:pPr>
    </w:p>
    <w:p w14:paraId="30D5A966">
      <w:pPr>
        <w:pStyle w:val="16"/>
        <w:shd w:val="clear" w:color="auto" w:fill="auto"/>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72DC5E18">
      <w:pPr>
        <w:pStyle w:val="16"/>
        <w:shd w:val="clear" w:color="auto" w:fill="auto"/>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664DA7F4">
      <w:pPr>
        <w:pStyle w:val="16"/>
        <w:shd w:val="clear" w:color="auto" w:fill="auto"/>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75C9029">
      <w:pPr>
        <w:pStyle w:val="16"/>
        <w:shd w:val="clear" w:color="auto" w:fill="auto"/>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75DBDC5F">
      <w:pPr>
        <w:pStyle w:val="16"/>
        <w:shd w:val="clear" w:color="auto" w:fill="auto"/>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B93874A">
      <w:pPr>
        <w:pStyle w:val="16"/>
        <w:shd w:val="clear" w:color="auto" w:fill="auto"/>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40E663F">
      <w:pPr>
        <w:pStyle w:val="16"/>
        <w:shd w:val="clear" w:color="auto" w:fill="auto"/>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D4B72E4">
      <w:pPr>
        <w:pStyle w:val="16"/>
        <w:shd w:val="clear" w:color="auto" w:fill="auto"/>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791FEA1E">
      <w:pPr>
        <w:pStyle w:val="16"/>
        <w:shd w:val="clear" w:color="auto" w:fill="auto"/>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805A1E5">
      <w:pPr>
        <w:pStyle w:val="2"/>
        <w:shd w:val="clear" w:color="auto" w:fill="auto"/>
        <w:jc w:val="center"/>
        <w:rPr>
          <w:color w:val="auto"/>
          <w:highlight w:val="none"/>
        </w:rPr>
      </w:pPr>
      <w:bookmarkStart w:id="190" w:name="_Toc74323461"/>
      <w:r>
        <w:rPr>
          <w:color w:val="auto"/>
          <w:highlight w:val="none"/>
        </w:rPr>
        <w:br w:type="page"/>
      </w:r>
    </w:p>
    <w:p w14:paraId="61B99212">
      <w:pPr>
        <w:pStyle w:val="2"/>
        <w:shd w:val="clear" w:color="auto" w:fill="auto"/>
        <w:jc w:val="center"/>
        <w:rPr>
          <w:color w:val="auto"/>
          <w:highlight w:val="none"/>
        </w:rPr>
      </w:pPr>
    </w:p>
    <w:p w14:paraId="53E0F3B1">
      <w:pPr>
        <w:pStyle w:val="2"/>
        <w:shd w:val="clear" w:color="auto" w:fill="auto"/>
        <w:jc w:val="center"/>
        <w:rPr>
          <w:color w:val="auto"/>
          <w:highlight w:val="none"/>
        </w:rPr>
      </w:pPr>
    </w:p>
    <w:p w14:paraId="3A8B09C6">
      <w:pPr>
        <w:pStyle w:val="2"/>
        <w:shd w:val="clear" w:color="auto" w:fill="auto"/>
        <w:jc w:val="center"/>
        <w:rPr>
          <w:color w:val="auto"/>
          <w:highlight w:val="none"/>
        </w:rPr>
      </w:pPr>
    </w:p>
    <w:p w14:paraId="47A37767">
      <w:pPr>
        <w:pStyle w:val="2"/>
        <w:shd w:val="clear" w:color="auto" w:fill="auto"/>
        <w:jc w:val="center"/>
        <w:rPr>
          <w:rFonts w:hint="eastAsia"/>
          <w:color w:val="auto"/>
          <w:highlight w:val="none"/>
        </w:rPr>
      </w:pPr>
      <w:r>
        <w:rPr>
          <w:rFonts w:hint="eastAsia"/>
          <w:color w:val="auto"/>
          <w:highlight w:val="none"/>
        </w:rPr>
        <w:t>第六章 合同文本</w:t>
      </w:r>
      <w:bookmarkEnd w:id="190"/>
    </w:p>
    <w:p w14:paraId="49DE7D5E">
      <w:pPr>
        <w:shd w:val="clear" w:color="auto" w:fill="auto"/>
        <w:wordWrap w:val="0"/>
        <w:jc w:val="center"/>
        <w:rPr>
          <w:rFonts w:ascii="宋体" w:hAnsi="宋体" w:cs="Courier New"/>
          <w:color w:val="auto"/>
          <w:szCs w:val="21"/>
          <w:highlight w:val="none"/>
        </w:rPr>
      </w:pPr>
      <w:r>
        <w:rPr>
          <w:rFonts w:hint="eastAsia" w:ascii="宋体" w:hAnsi="宋体" w:cs="Courier New"/>
          <w:color w:val="auto"/>
          <w:szCs w:val="21"/>
          <w:highlight w:val="none"/>
        </w:rPr>
        <w:t xml:space="preserve"> </w:t>
      </w:r>
    </w:p>
    <w:p w14:paraId="54988086">
      <w:pPr>
        <w:shd w:val="clear" w:color="auto" w:fill="auto"/>
        <w:wordWrap w:val="0"/>
        <w:spacing w:line="360" w:lineRule="auto"/>
        <w:ind w:firstLine="420" w:firstLineChars="200"/>
        <w:rPr>
          <w:rFonts w:hint="eastAsia" w:ascii="宋体" w:hAnsi="宋体" w:cs="宋体"/>
          <w:color w:val="auto"/>
          <w:szCs w:val="21"/>
          <w:highlight w:val="none"/>
        </w:rPr>
      </w:pPr>
    </w:p>
    <w:p w14:paraId="02D0BC17">
      <w:pPr>
        <w:snapToGrid w:val="0"/>
        <w:spacing w:line="360" w:lineRule="auto"/>
        <w:jc w:val="center"/>
        <w:rPr>
          <w:rFonts w:hint="eastAsia" w:ascii="宋体" w:hAnsi="宋体" w:eastAsia="宋体" w:cs="Times New Roman"/>
          <w:b/>
          <w:bCs/>
          <w:color w:val="auto"/>
          <w:sz w:val="32"/>
          <w:szCs w:val="32"/>
          <w:highlight w:val="none"/>
        </w:rPr>
      </w:pPr>
      <w:r>
        <w:rPr>
          <w:rFonts w:hint="eastAsia" w:ascii="宋体" w:hAnsi="宋体" w:cs="宋体"/>
          <w:color w:val="auto"/>
          <w:szCs w:val="21"/>
          <w:highlight w:val="none"/>
        </w:rPr>
        <w:br w:type="page"/>
      </w:r>
      <w:r>
        <w:rPr>
          <w:rFonts w:hint="eastAsia" w:ascii="宋体" w:hAnsi="宋体" w:eastAsia="宋体" w:cs="Times New Roman"/>
          <w:b/>
          <w:bCs/>
          <w:color w:val="auto"/>
          <w:sz w:val="32"/>
          <w:szCs w:val="32"/>
          <w:highlight w:val="none"/>
        </w:rPr>
        <w:t>医院信息系统建设合同</w:t>
      </w:r>
    </w:p>
    <w:p w14:paraId="1042A82A">
      <w:pPr>
        <w:snapToGrid w:val="0"/>
        <w:spacing w:line="360" w:lineRule="auto"/>
        <w:ind w:right="480" w:firstLine="5250" w:firstLineChars="2500"/>
        <w:rPr>
          <w:rFonts w:ascii="宋体" w:hAnsi="宋体" w:eastAsia="宋体" w:cs="Times New Roman"/>
          <w:bCs/>
          <w:color w:val="auto"/>
          <w:szCs w:val="21"/>
          <w:highlight w:val="none"/>
          <w:u w:val="single"/>
        </w:rPr>
      </w:pPr>
      <w:r>
        <w:rPr>
          <w:rFonts w:hint="eastAsia" w:ascii="宋体" w:hAnsi="宋体" w:eastAsia="宋体" w:cs="Times New Roman"/>
          <w:bCs/>
          <w:color w:val="auto"/>
          <w:szCs w:val="21"/>
          <w:highlight w:val="none"/>
        </w:rPr>
        <w:t>合同编号：</w:t>
      </w:r>
    </w:p>
    <w:p w14:paraId="0CF84403">
      <w:pPr>
        <w:snapToGrid w:val="0"/>
        <w:spacing w:line="360" w:lineRule="auto"/>
        <w:rPr>
          <w:rFonts w:hint="eastAsia" w:ascii="宋体" w:hAnsi="宋体" w:eastAsia="宋体" w:cs="Times New Roman"/>
          <w:color w:val="auto"/>
          <w:szCs w:val="21"/>
          <w:highlight w:val="none"/>
        </w:rPr>
      </w:pPr>
    </w:p>
    <w:p w14:paraId="18826171">
      <w:pPr>
        <w:keepNext w:val="0"/>
        <w:keepLines w:val="0"/>
        <w:pageBreakBefore w:val="0"/>
        <w:widowControl w:val="0"/>
        <w:kinsoku/>
        <w:wordWrap/>
        <w:overflowPunct/>
        <w:topLinePunct w:val="0"/>
        <w:bidi w:val="0"/>
        <w:snapToGrid w:val="0"/>
        <w:spacing w:line="360" w:lineRule="auto"/>
        <w:ind w:left="0" w:leftChars="0" w:right="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采购人（甲方）：</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w:t>
      </w:r>
    </w:p>
    <w:p w14:paraId="46E2277F">
      <w:pPr>
        <w:keepNext w:val="0"/>
        <w:keepLines w:val="0"/>
        <w:pageBreakBefore w:val="0"/>
        <w:widowControl w:val="0"/>
        <w:kinsoku/>
        <w:wordWrap/>
        <w:overflowPunct/>
        <w:topLinePunct w:val="0"/>
        <w:bidi w:val="0"/>
        <w:snapToGrid w:val="0"/>
        <w:spacing w:line="360" w:lineRule="auto"/>
        <w:ind w:left="0" w:leftChars="0" w:right="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供应商（乙方）：</w:t>
      </w:r>
      <w:r>
        <w:rPr>
          <w:rFonts w:hint="eastAsia" w:ascii="宋体" w:hAnsi="宋体" w:eastAsia="宋体" w:cs="Times New Roman"/>
          <w:color w:val="auto"/>
          <w:szCs w:val="21"/>
          <w:highlight w:val="none"/>
          <w:u w:val="single"/>
        </w:rPr>
        <w:t xml:space="preserve">                          </w:t>
      </w:r>
    </w:p>
    <w:p w14:paraId="3D4C2236">
      <w:pPr>
        <w:keepNext w:val="0"/>
        <w:keepLines w:val="0"/>
        <w:pageBreakBefore w:val="0"/>
        <w:widowControl w:val="0"/>
        <w:kinsoku/>
        <w:wordWrap/>
        <w:overflowPunct/>
        <w:topLinePunct w:val="0"/>
        <w:bidi w:val="0"/>
        <w:snapToGrid w:val="0"/>
        <w:spacing w:line="360" w:lineRule="auto"/>
        <w:ind w:left="0" w:leftChars="0" w:right="0"/>
        <w:rPr>
          <w:rFonts w:hint="eastAsia" w:ascii="宋体" w:hAnsi="宋体" w:eastAsia="宋体" w:cs="Times New Roman"/>
          <w:color w:val="auto"/>
          <w:szCs w:val="21"/>
          <w:highlight w:val="none"/>
        </w:rPr>
      </w:pPr>
      <w:r>
        <w:rPr>
          <w:rFonts w:hint="eastAsia" w:ascii="宋体" w:hAnsi="宋体" w:eastAsia="宋体" w:cs="Times New Roman"/>
          <w:color w:val="auto"/>
          <w:spacing w:val="-20"/>
          <w:szCs w:val="21"/>
          <w:highlight w:val="none"/>
        </w:rPr>
        <w:t>采 购 计 划 号：</w:t>
      </w:r>
      <w:r>
        <w:rPr>
          <w:rFonts w:hint="eastAsia" w:ascii="宋体" w:hAnsi="宋体" w:eastAsia="宋体" w:cs="Times New Roman"/>
          <w:color w:val="auto"/>
          <w:szCs w:val="21"/>
          <w:highlight w:val="none"/>
          <w:u w:val="single"/>
        </w:rPr>
        <w:t xml:space="preserve">                         </w:t>
      </w:r>
    </w:p>
    <w:p w14:paraId="0EF4668D">
      <w:pPr>
        <w:keepNext w:val="0"/>
        <w:keepLines w:val="0"/>
        <w:pageBreakBefore w:val="0"/>
        <w:widowControl w:val="0"/>
        <w:kinsoku/>
        <w:wordWrap/>
        <w:overflowPunct/>
        <w:topLinePunct w:val="0"/>
        <w:bidi w:val="0"/>
        <w:snapToGrid w:val="0"/>
        <w:spacing w:line="360" w:lineRule="auto"/>
        <w:ind w:left="0" w:leftChars="0" w:right="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u w:val="single"/>
        </w:rPr>
        <w:t xml:space="preserve">                       </w:t>
      </w:r>
    </w:p>
    <w:p w14:paraId="4694B498">
      <w:pPr>
        <w:keepNext w:val="0"/>
        <w:keepLines w:val="0"/>
        <w:pageBreakBefore w:val="0"/>
        <w:widowControl w:val="0"/>
        <w:kinsoku/>
        <w:wordWrap/>
        <w:overflowPunct/>
        <w:topLinePunct w:val="0"/>
        <w:bidi w:val="0"/>
        <w:snapToGrid w:val="0"/>
        <w:spacing w:line="360" w:lineRule="auto"/>
        <w:ind w:left="0" w:leftChars="0" w:right="0"/>
        <w:rPr>
          <w:rFonts w:hint="eastAsia" w:ascii="宋体" w:hAnsi="宋体" w:eastAsia="宋体" w:cs="Times New Roman"/>
          <w:color w:val="auto"/>
          <w:highlight w:val="none"/>
        </w:rPr>
      </w:pPr>
      <w:r>
        <w:rPr>
          <w:rFonts w:hint="eastAsia" w:ascii="宋体" w:hAnsi="宋体" w:eastAsia="宋体" w:cs="Times New Roman"/>
          <w:color w:val="auto"/>
          <w:szCs w:val="21"/>
          <w:highlight w:val="none"/>
        </w:rPr>
        <w:t>合同</w:t>
      </w:r>
      <w:r>
        <w:rPr>
          <w:rFonts w:hint="eastAsia" w:ascii="宋体" w:hAnsi="宋体" w:eastAsia="宋体" w:cs="Times New Roman"/>
          <w:color w:val="auto"/>
          <w:highlight w:val="none"/>
        </w:rPr>
        <w:t>类型：</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技术</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合同</w:t>
      </w:r>
    </w:p>
    <w:p w14:paraId="75C5DF61">
      <w:pPr>
        <w:keepNext w:val="0"/>
        <w:keepLines w:val="0"/>
        <w:pageBreakBefore w:val="0"/>
        <w:widowControl w:val="0"/>
        <w:kinsoku/>
        <w:wordWrap/>
        <w:overflowPunct/>
        <w:topLinePunct w:val="0"/>
        <w:bidi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i/>
          <w:color w:val="auto"/>
          <w:szCs w:val="21"/>
          <w:highlight w:val="none"/>
          <w:u w:val="single"/>
        </w:rPr>
        <w:t>（是）</w:t>
      </w:r>
      <w:r>
        <w:rPr>
          <w:rFonts w:hint="eastAsia" w:ascii="宋体" w:hAnsi="宋体" w:eastAsia="宋体" w:cs="宋体"/>
          <w:color w:val="auto"/>
          <w:szCs w:val="21"/>
          <w:highlight w:val="none"/>
        </w:rPr>
        <w:t>。</w:t>
      </w:r>
    </w:p>
    <w:p w14:paraId="73433F22">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根据《中华人民共和国政府采购法》、《中华人民共和国民法典》等法律、法规规定，按照</w:t>
      </w:r>
      <w:r>
        <w:rPr>
          <w:rFonts w:hint="eastAsia" w:ascii="宋体" w:hAnsi="宋体" w:eastAsia="宋体" w:cs="宋体"/>
          <w:color w:val="auto"/>
          <w:kern w:val="0"/>
          <w:sz w:val="21"/>
          <w:szCs w:val="21"/>
          <w:highlight w:val="none"/>
          <w:lang w:eastAsia="zh-CN"/>
        </w:rPr>
        <w:t>竞争性磋商</w:t>
      </w:r>
      <w:r>
        <w:rPr>
          <w:rFonts w:hint="eastAsia" w:ascii="宋体" w:hAnsi="宋体" w:eastAsia="宋体" w:cs="宋体"/>
          <w:color w:val="auto"/>
          <w:kern w:val="0"/>
          <w:sz w:val="21"/>
          <w:szCs w:val="21"/>
          <w:highlight w:val="none"/>
        </w:rPr>
        <w:t>文件规定条款和乙方响应文件及其承诺，甲乙双方签订本合同。</w:t>
      </w:r>
    </w:p>
    <w:p w14:paraId="059FD560">
      <w:pPr>
        <w:keepNext w:val="0"/>
        <w:keepLines w:val="0"/>
        <w:pageBreakBefore w:val="0"/>
        <w:widowControl w:val="0"/>
        <w:kinsoku/>
        <w:wordWrap/>
        <w:overflowPunct/>
        <w:topLinePunct w:val="0"/>
        <w:bidi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719C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35503CC">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F02A772">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1327F39">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59C3047">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5E5F07C">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6754193">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价</w:t>
            </w:r>
          </w:p>
          <w:p w14:paraId="4A3D3C20">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C87DE6C">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  价</w:t>
            </w:r>
          </w:p>
          <w:p w14:paraId="51179518">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154A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C1A0560">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ACE64CB">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50CC278">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026F0E2">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87927D2">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9D294C8">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5AE9BC9">
            <w:pPr>
              <w:keepNext w:val="0"/>
              <w:keepLines w:val="0"/>
              <w:pageBreakBefore w:val="0"/>
              <w:widowControl w:val="0"/>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rPr>
            </w:pPr>
          </w:p>
        </w:tc>
      </w:tr>
      <w:tr w14:paraId="71B1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51251434">
            <w:pPr>
              <w:keepNext w:val="0"/>
              <w:keepLines w:val="0"/>
              <w:pageBreakBefore w:val="0"/>
              <w:widowControl w:val="0"/>
              <w:kinsoku/>
              <w:wordWrap/>
              <w:overflowPunct/>
              <w:topLinePunct w:val="0"/>
              <w:bidi w:val="0"/>
              <w:spacing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合计金额（人民币）：</w:t>
            </w:r>
            <w:r>
              <w:rPr>
                <w:rFonts w:hint="eastAsia" w:ascii="宋体" w:hAnsi="宋体" w:eastAsia="宋体" w:cs="宋体"/>
                <w:color w:val="auto"/>
                <w:sz w:val="21"/>
                <w:szCs w:val="21"/>
                <w:highlight w:val="none"/>
                <w:u w:val="single"/>
              </w:rPr>
              <w:t xml:space="preserve">（大写）                          （小写）                   </w:t>
            </w:r>
            <w:r>
              <w:rPr>
                <w:rFonts w:hint="eastAsia" w:ascii="宋体" w:hAnsi="宋体" w:eastAsia="宋体" w:cs="宋体"/>
                <w:color w:val="auto"/>
                <w:sz w:val="21"/>
                <w:szCs w:val="21"/>
                <w:highlight w:val="none"/>
              </w:rPr>
              <w:t xml:space="preserve">             </w:t>
            </w:r>
          </w:p>
        </w:tc>
      </w:tr>
    </w:tbl>
    <w:p w14:paraId="0304FB97">
      <w:pPr>
        <w:keepNext w:val="0"/>
        <w:keepLines w:val="0"/>
        <w:pageBreakBefore w:val="0"/>
        <w:widowControl w:val="0"/>
        <w:kinsoku/>
        <w:wordWrap/>
        <w:overflowPunct/>
        <w:topLinePunct w:val="0"/>
        <w:bidi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质量保证</w:t>
      </w:r>
    </w:p>
    <w:p w14:paraId="0652B465">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所提供的服务及服务内容必须与响应承诺相一致，且满足项目实施要求，有国家强制性标准的，还必须符合国家强制性标准的规定，没有国家强制性标准但有其他强制性标准的，必须符合其他强制性标准的规定。</w:t>
      </w:r>
    </w:p>
    <w:p w14:paraId="6E63D709">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2、乙方指导甲方进行基础数据准备和维护工作。根据甲方建设小组提出并确认的系统功能修改意见，乙方在系统正式运行前进行客户化适应性修改。</w:t>
      </w:r>
    </w:p>
    <w:p w14:paraId="3F4270F3">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  履行时间（期限）、地点和方式</w:t>
      </w:r>
    </w:p>
    <w:p w14:paraId="072BDF6C">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i/>
          <w:color w:val="auto"/>
          <w:sz w:val="21"/>
          <w:szCs w:val="21"/>
          <w:highlight w:val="none"/>
        </w:rPr>
      </w:pPr>
      <w:r>
        <w:rPr>
          <w:rFonts w:hint="eastAsia" w:ascii="宋体" w:hAnsi="宋体" w:eastAsia="宋体" w:cs="宋体"/>
          <w:color w:val="auto"/>
          <w:sz w:val="21"/>
          <w:szCs w:val="21"/>
          <w:highlight w:val="none"/>
        </w:rPr>
        <w:t>1.履行时间（期限）：</w:t>
      </w:r>
      <w:r>
        <w:rPr>
          <w:rFonts w:hint="eastAsia" w:ascii="宋体" w:hAnsi="宋体" w:eastAsia="宋体" w:cs="宋体"/>
          <w:i w:val="0"/>
          <w:iCs/>
          <w:color w:val="auto"/>
          <w:sz w:val="21"/>
          <w:szCs w:val="21"/>
          <w:highlight w:val="none"/>
          <w:u w:val="single"/>
          <w:lang w:val="en-US" w:eastAsia="zh-CN"/>
        </w:rPr>
        <w:t xml:space="preserve">          </w:t>
      </w:r>
    </w:p>
    <w:p w14:paraId="4E7875AE">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w:t>
      </w:r>
    </w:p>
    <w:p w14:paraId="4DD28116">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3.履行方式</w:t>
      </w:r>
    </w:p>
    <w:p w14:paraId="3D9FD14E">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32ADB4">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（2）伴随货物的，乙方负责货物运输，货物的运输方式：</w:t>
      </w:r>
      <w:r>
        <w:rPr>
          <w:rFonts w:hint="eastAsia" w:ascii="宋体" w:hAnsi="宋体" w:eastAsia="宋体" w:cs="宋体"/>
          <w:color w:val="auto"/>
          <w:sz w:val="21"/>
          <w:szCs w:val="21"/>
          <w:highlight w:val="none"/>
          <w:u w:val="single"/>
          <w:lang w:eastAsia="zh-CN"/>
        </w:rPr>
        <w:t>不限</w:t>
      </w:r>
      <w:r>
        <w:rPr>
          <w:rFonts w:hint="eastAsia" w:ascii="宋体" w:hAnsi="宋体" w:eastAsia="宋体" w:cs="宋体"/>
          <w:color w:val="auto"/>
          <w:sz w:val="21"/>
          <w:szCs w:val="21"/>
          <w:highlight w:val="none"/>
        </w:rPr>
        <w:t>，交货方式：</w:t>
      </w:r>
    </w:p>
    <w:p w14:paraId="30982F53">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乙方将货物送到甲方指定地点。</w:t>
      </w:r>
    </w:p>
    <w:p w14:paraId="432A46DC">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□甲方自行到乙方指定地点提货。</w:t>
      </w:r>
    </w:p>
    <w:p w14:paraId="38521DEA">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 xml:space="preserve"> </w:t>
      </w:r>
    </w:p>
    <w:p w14:paraId="18B1BC04">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包装方式（如有伴随货物的）</w:t>
      </w:r>
    </w:p>
    <w:p w14:paraId="1D4C354B">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1.乙方提供的货物均应按响应文件承诺的要求的包装材料、包装标准、包装方式进行包装。</w:t>
      </w:r>
    </w:p>
    <w:p w14:paraId="7DEBB93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2.乙方应在货物发运前对其进行满足运输距离、防水、防潮、防震、防锈和防破损装卸等要求包装，以保证货物安全运达甲方指定地点。</w:t>
      </w:r>
    </w:p>
    <w:p w14:paraId="1615933E">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3.货物的使用说明书、质量检验证明书、质量合格证、随配附件和工具以及清单一并附于货物包装内。</w:t>
      </w:r>
    </w:p>
    <w:p w14:paraId="7C3ACB91">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第五条　实施和培训</w:t>
      </w:r>
    </w:p>
    <w:p w14:paraId="07255717">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完成期限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6894CA">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履行</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ACB6C">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3.乙方应按响应文件的承诺向甲方提供相应的服务，并提供所服务内容的相关技术资料，乙方提供不符合响应文件和本合同规定的服务成果，甲方有权拒绝接受。</w:t>
      </w:r>
    </w:p>
    <w:p w14:paraId="6FD82468">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实施：</w:t>
      </w:r>
    </w:p>
    <w:p w14:paraId="4C3C7D65">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实施团队的工作地点和工作内容由甲方安排并提供办公场地。项目组成员需严格遵守医院有关管理制度，包括考勤制度、着装要求等。</w:t>
      </w:r>
    </w:p>
    <w:p w14:paraId="71965076">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乙方不得擅自变动团队成员，如遇特殊情况须变动需征得甲方同意。 </w:t>
      </w:r>
    </w:p>
    <w:p w14:paraId="5F1EF05D">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确保在整个项目过程中遵守国家及行业相关法规、标准和规范，如果投标人已有产品或工作模式在标准和规范方面存在缺陷，乙方必须在本项目实施过程中予以改正，乙方可以满足甲方合理的需求修改进行产品的二次研发。</w:t>
      </w:r>
    </w:p>
    <w:p w14:paraId="554B0468">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乙方承诺本次提供软件产品为公司最新产品。</w:t>
      </w:r>
    </w:p>
    <w:p w14:paraId="06A5A4C1">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乙方必须在对整个项目过程进行科学、有效的项目管理。</w:t>
      </w:r>
    </w:p>
    <w:p w14:paraId="50F3A93A">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乙方在实施文件中，应针对项目制定合理的实施步骤，包含需求调研、客户化改造、测试、数据准备、培训考核等。</w:t>
      </w:r>
    </w:p>
    <w:p w14:paraId="175409B6">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乙方在实施文件中应提供切实可行的实施工作进度保障方案及控制措施，以确保项目质量和进度。</w:t>
      </w:r>
    </w:p>
    <w:p w14:paraId="1304C31C">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如在项目实施过程中需要调整内容、进度等，需经双方共同同意，按合同变更程序办理。</w:t>
      </w:r>
    </w:p>
    <w:p w14:paraId="170D936A">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实施团队：乙方应成立针对甲方信息系统建设的项目工作组（提供以下成员的有效社保证明），成员至少包括：</w:t>
      </w:r>
    </w:p>
    <w:p w14:paraId="1B3F1975">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项目经理：全权代表乙方执行各项技术及管理工作；</w:t>
      </w:r>
    </w:p>
    <w:p w14:paraId="7D8557A4">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研发人员：进行现场需求分析及研发，通过研发满足临床需求；</w:t>
      </w:r>
    </w:p>
    <w:p w14:paraId="38746AB6">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项目实施人员：负责项目的现场实施工作，直至项目结束。</w:t>
      </w:r>
    </w:p>
    <w:p w14:paraId="6F8D46A7">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乙方对于此项目，承诺成立总人数不少于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人的实施团队，其中至少包括项目经理1人，实施人员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人、研发人员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p w14:paraId="02C7AE5A">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6.新旧系统切换要求：实现对原有系统的数据迁移至新系统，保证新旧系统的平稳过渡。</w:t>
      </w:r>
    </w:p>
    <w:p w14:paraId="6FC34E3B">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必须根据系统软件的功能和特点，充分考虑到甲方系统使用人员的实际水平，提出详细的系统培训方案。目标是通过系统培训以达到甲方系统管理人员能够具备独立管理乙方所提供的系统软件和日常的维护处理能力，各级业务人员能够熟练使用系统软件，确保应用系统能够真正使用。</w:t>
      </w:r>
    </w:p>
    <w:p w14:paraId="7FD92422">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（1）乙方要准备完整的培训方案，对甲方各类人员进行相关的培训，明确培训的内容、次数和方式。</w:t>
      </w:r>
    </w:p>
    <w:p w14:paraId="15B26741">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（2）培训对象分为普通业务操作员、系统管理员，乙方必须针对不同的对象制定不同的培训计划，并分别培训。所提供的培训课程表随响应文件一起提交。</w:t>
      </w:r>
    </w:p>
    <w:p w14:paraId="4F51D7F4">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（3）乙方应保证提供有经验的教员，使甲方相关人员在培训后能够独立地对系统进行管理、维护，而不需乙方的人员在场指导。</w:t>
      </w:r>
    </w:p>
    <w:p w14:paraId="147368B0">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（4）培训内容包括应用软件操作、操作系统、后台数据库管理等培训。</w:t>
      </w:r>
    </w:p>
    <w:p w14:paraId="08B5C10C">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（5）乙方必须为甲方所有被培训人员进行现场培训。</w:t>
      </w:r>
    </w:p>
    <w:p w14:paraId="7B482DA6">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（6）业务系统操作培训工作应在系统安装之前结束。</w:t>
      </w:r>
    </w:p>
    <w:p w14:paraId="0C0BA792">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（7）甲方仅负责提供培训场地、培训电脑和培训人员的召集。</w:t>
      </w:r>
    </w:p>
    <w:p w14:paraId="026C29E2">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（8）乙方负责培训环境的搭建、培训文档的准备、培训的实施、培训人员的考核等。</w:t>
      </w:r>
    </w:p>
    <w:p w14:paraId="6E80BF67">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（9）与培训相关的费用，乙方应当一并计算在竞标报价中。</w:t>
      </w:r>
    </w:p>
    <w:p w14:paraId="3EAC4B4D">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合同价款及支付</w:t>
      </w:r>
    </w:p>
    <w:p w14:paraId="00B0A5FD">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1.本合同以人民币付款。</w:t>
      </w:r>
    </w:p>
    <w:p w14:paraId="7A914017">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2.合同价款：</w:t>
      </w:r>
      <w:r>
        <w:rPr>
          <w:rFonts w:hint="eastAsia" w:ascii="宋体" w:hAnsi="宋体" w:eastAsia="宋体" w:cs="宋体"/>
          <w:color w:val="auto"/>
          <w:kern w:val="0"/>
          <w:sz w:val="21"/>
          <w:szCs w:val="21"/>
          <w:highlight w:val="none"/>
          <w:u w:val="single"/>
          <w:lang w:val="en-US" w:eastAsia="zh-CN" w:bidi="ar-SA"/>
        </w:rPr>
        <w:t xml:space="preserve"> 人民币（大写：）        （¥  ） </w:t>
      </w:r>
      <w:r>
        <w:rPr>
          <w:rFonts w:hint="eastAsia" w:ascii="宋体" w:hAnsi="宋体" w:eastAsia="宋体" w:cs="宋体"/>
          <w:color w:val="auto"/>
          <w:kern w:val="0"/>
          <w:sz w:val="21"/>
          <w:szCs w:val="21"/>
          <w:highlight w:val="none"/>
          <w:lang w:val="en-US" w:eastAsia="zh-CN" w:bidi="ar-SA"/>
        </w:rPr>
        <w:t>。</w:t>
      </w:r>
    </w:p>
    <w:p w14:paraId="6B00FC81">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3.合同价款包括</w:t>
      </w:r>
      <w:r>
        <w:rPr>
          <w:rFonts w:hint="eastAsia" w:ascii="宋体" w:hAnsi="宋体" w:eastAsia="宋体" w:cs="宋体"/>
          <w:i w:val="0"/>
          <w:iCs/>
          <w:color w:val="auto"/>
          <w:sz w:val="21"/>
          <w:szCs w:val="21"/>
          <w:highlight w:val="none"/>
          <w:u w:val="single"/>
        </w:rPr>
        <w:t>但不限于</w:t>
      </w:r>
      <w:r>
        <w:rPr>
          <w:rFonts w:hint="eastAsia" w:ascii="宋体" w:hAnsi="宋体" w:eastAsia="宋体" w:cs="宋体"/>
          <w:i w:val="0"/>
          <w:iCs/>
          <w:color w:val="auto"/>
          <w:sz w:val="21"/>
          <w:szCs w:val="21"/>
          <w:highlight w:val="none"/>
          <w:u w:val="single"/>
          <w:lang w:val="en-US" w:eastAsia="zh-CN"/>
        </w:rPr>
        <w:t>服务包含的一切设备、硬件、软件、附件、备件、运输、施工、安装调试、人员工资、税费、国产化适配、符合网络安全等保及密评要求、计量检测费、验收、培训、技术服务、系统接入服务、软件升级服务、信息系统对接、互联互通四甲及电子病历测评5级所需改造、旧系统数据迁移至新系统、后期维护服务等费用。</w:t>
      </w:r>
    </w:p>
    <w:p w14:paraId="05B7870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bCs/>
          <w:i w:val="0"/>
          <w:i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4.预付款：</w:t>
      </w:r>
      <w:r>
        <w:rPr>
          <w:rFonts w:hint="eastAsia" w:ascii="宋体" w:hAnsi="宋体" w:eastAsia="宋体" w:cs="宋体"/>
          <w:bCs/>
          <w:i w:val="0"/>
          <w:iCs/>
          <w:color w:val="auto"/>
          <w:kern w:val="0"/>
          <w:sz w:val="21"/>
          <w:szCs w:val="21"/>
          <w:highlight w:val="none"/>
          <w:lang w:val="en-US" w:eastAsia="zh-CN" w:bidi="ar-SA"/>
        </w:rPr>
        <w:t>无。</w:t>
      </w:r>
    </w:p>
    <w:p w14:paraId="13EEDA06">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付款进度安排</w:t>
      </w:r>
      <w:r>
        <w:rPr>
          <w:rFonts w:hint="eastAsia" w:ascii="宋体" w:hAnsi="宋体" w:eastAsia="宋体" w:cs="宋体"/>
          <w:i/>
          <w:color w:val="auto"/>
          <w:sz w:val="21"/>
          <w:szCs w:val="21"/>
          <w:highlight w:val="none"/>
        </w:rPr>
        <w:t>：</w:t>
      </w:r>
      <w:r>
        <w:rPr>
          <w:rFonts w:hint="eastAsia" w:ascii="宋体" w:hAnsi="宋体" w:eastAsia="宋体" w:cs="宋体"/>
          <w:color w:val="auto"/>
          <w:sz w:val="21"/>
          <w:szCs w:val="21"/>
          <w:highlight w:val="none"/>
        </w:rPr>
        <w:t>本合同价款的支付按以下第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项约定执行：</w:t>
      </w:r>
    </w:p>
    <w:p w14:paraId="3198AD9E">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（1）一次性支付：</w:t>
      </w:r>
      <w:r>
        <w:rPr>
          <w:rFonts w:hint="eastAsia" w:ascii="宋体" w:hAnsi="宋体" w:eastAsia="宋体" w:cs="宋体"/>
          <w:i w:val="0"/>
          <w:iCs/>
          <w:color w:val="auto"/>
          <w:sz w:val="21"/>
          <w:szCs w:val="21"/>
          <w:highlight w:val="none"/>
          <w:u w:val="single"/>
          <w:lang w:val="en-US" w:eastAsia="zh-CN"/>
        </w:rPr>
        <w:t>无预付款，乙方货物到达甲方指定位置经安装调试，且完成系统开发、系统调试、系统测试并交付使用，并经验收合格后在收到乙方合法有效发票之日起</w:t>
      </w:r>
      <w:r>
        <w:rPr>
          <w:rFonts w:hint="eastAsia" w:ascii="宋体" w:hAnsi="宋体" w:cs="宋体"/>
          <w:i w:val="0"/>
          <w:iCs/>
          <w:color w:val="auto"/>
          <w:sz w:val="21"/>
          <w:szCs w:val="21"/>
          <w:highlight w:val="none"/>
          <w:u w:val="single"/>
          <w:lang w:val="en-US" w:eastAsia="zh-CN"/>
        </w:rPr>
        <w:t>一年</w:t>
      </w:r>
      <w:r>
        <w:rPr>
          <w:rFonts w:hint="eastAsia" w:ascii="宋体" w:hAnsi="宋体" w:eastAsia="宋体" w:cs="宋体"/>
          <w:i w:val="0"/>
          <w:iCs/>
          <w:color w:val="auto"/>
          <w:sz w:val="21"/>
          <w:szCs w:val="21"/>
          <w:highlight w:val="none"/>
          <w:u w:val="single"/>
          <w:lang w:val="en-US" w:eastAsia="zh-CN"/>
        </w:rPr>
        <w:t>内，甲方支付合同款（含税）的100%。</w:t>
      </w:r>
    </w:p>
    <w:p w14:paraId="4F61EDFE">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（2）分期支付：</w:t>
      </w:r>
      <w:r>
        <w:rPr>
          <w:rFonts w:hint="eastAsia" w:ascii="宋体" w:hAnsi="宋体" w:eastAsia="宋体" w:cs="宋体"/>
          <w:color w:val="auto"/>
          <w:sz w:val="21"/>
          <w:szCs w:val="21"/>
          <w:highlight w:val="none"/>
          <w:u w:val="single"/>
          <w:lang w:val="en-US" w:eastAsia="zh-CN"/>
        </w:rPr>
        <w:t>/。</w:t>
      </w:r>
    </w:p>
    <w:p w14:paraId="2D6D91BB">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6.资金支付方式：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i w:val="0"/>
          <w:iCs/>
          <w:color w:val="auto"/>
          <w:sz w:val="21"/>
          <w:szCs w:val="21"/>
          <w:highlight w:val="none"/>
          <w:u w:val="single"/>
        </w:rPr>
        <w:t xml:space="preserve">  （银行转账）</w:t>
      </w:r>
      <w:r>
        <w:rPr>
          <w:rFonts w:hint="eastAsia" w:ascii="宋体" w:hAnsi="宋体" w:eastAsia="宋体" w:cs="宋体"/>
          <w:i/>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E4B430">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验收、交付标准和方法</w:t>
      </w:r>
    </w:p>
    <w:p w14:paraId="29B1D97D">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1.验收标准和方法</w:t>
      </w:r>
    </w:p>
    <w:p w14:paraId="0DB8E7A9">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（1）验收标准</w:t>
      </w:r>
      <w:r>
        <w:rPr>
          <w:rFonts w:hint="eastAsia" w:ascii="宋体" w:hAnsi="宋体" w:eastAsia="宋体" w:cs="宋体"/>
          <w:i w:val="0"/>
          <w:iCs w:val="0"/>
          <w:color w:val="auto"/>
          <w:sz w:val="21"/>
          <w:szCs w:val="21"/>
          <w:highlight w:val="none"/>
        </w:rPr>
        <w:t>：符合现行国家相关标准、行业标准、地方标准或者其他标准、规范</w:t>
      </w:r>
      <w:r>
        <w:rPr>
          <w:rFonts w:hint="eastAsia" w:ascii="宋体" w:hAnsi="宋体" w:eastAsia="宋体" w:cs="宋体"/>
          <w:i w:val="0"/>
          <w:iCs w:val="0"/>
          <w:color w:val="auto"/>
          <w:sz w:val="21"/>
          <w:szCs w:val="21"/>
          <w:highlight w:val="none"/>
          <w:lang w:eastAsia="zh-CN"/>
        </w:rPr>
        <w:t>。</w:t>
      </w:r>
    </w:p>
    <w:p w14:paraId="7C062428">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（2）验收程序及方法：</w:t>
      </w:r>
    </w:p>
    <w:p w14:paraId="504C2516">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乙方货物完成安装调试，且系统开发、系统调试、系统测试完毕并正式运行壹个月后，向甲方提交书面验收申请，甲方经确认乙方完成合同内容后，对项目进行验收。项目整体验收合格后，进入</w:t>
      </w:r>
      <w:r>
        <w:rPr>
          <w:rFonts w:hint="eastAsia" w:ascii="宋体" w:hAnsi="宋体" w:eastAsia="宋体" w:cs="宋体"/>
          <w:color w:val="auto"/>
          <w:sz w:val="21"/>
          <w:szCs w:val="21"/>
          <w:highlight w:val="none"/>
          <w:lang w:val="en-US" w:eastAsia="zh-CN"/>
        </w:rPr>
        <w:t>软件部分</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1年质保期、配套产品</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3年质保期</w:t>
      </w:r>
      <w:r>
        <w:rPr>
          <w:rFonts w:hint="eastAsia" w:ascii="宋体" w:hAnsi="宋体" w:eastAsia="宋体" w:cs="宋体"/>
          <w:color w:val="auto"/>
          <w:sz w:val="21"/>
          <w:szCs w:val="21"/>
          <w:highlight w:val="none"/>
          <w:lang w:val="en-US" w:eastAsia="zh-CN"/>
        </w:rPr>
        <w:t>（质保期起始日期为项目整体验收合格第二天起）。</w:t>
      </w:r>
    </w:p>
    <w:p w14:paraId="6D2A4B37">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2）甲方收到乙方验收申请之日起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个工作日内组织开展履约验收。甲方委托第三方机构组织项目验收的，其验收时间以该项目验收方案确定的验收时间为准。</w:t>
      </w:r>
    </w:p>
    <w:p w14:paraId="02440682">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3）负责本项目验收的单位按下列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方式确定：</w:t>
      </w:r>
    </w:p>
    <w:p w14:paraId="79888D6B">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①甲方自行组织；</w:t>
      </w:r>
    </w:p>
    <w:p w14:paraId="5BDFDBB3">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②甲方委托的第三方机构组织；</w:t>
      </w:r>
    </w:p>
    <w:p w14:paraId="7DAD6D57">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乙方在硬件和软件交付验收时，由甲方对照采购文件（及乙方响应文件）的硬件和软件要求及技术需求，全面核对检验，对采购参数的每项指标进行功能有效性验证，若为了不出现负偏离，在响应文件中提供虚假材料，而实际产品并不完全符合参数要求，将认定为无效响应。如不符合采购文件（及乙方响应文件）的技术需求及要求以及提供虚假承诺的，按相关规定做违约处理，乙方承担所有责任和费用，甲方保留进一步追究责任的权利。</w:t>
      </w:r>
    </w:p>
    <w:p w14:paraId="75C2B934">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F6275E9">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份、受托第三方机构一份（如有）。 </w:t>
      </w:r>
    </w:p>
    <w:p w14:paraId="53AA4607">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7）验收结论不合格的，乙方应自收到验收书后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日内及时予以解决。</w:t>
      </w:r>
      <w:r>
        <w:rPr>
          <w:rFonts w:hint="eastAsia" w:ascii="宋体" w:hAnsi="宋体" w:eastAsia="宋体" w:cs="宋体"/>
          <w:color w:val="auto"/>
          <w:sz w:val="21"/>
          <w:szCs w:val="21"/>
          <w:highlight w:val="none"/>
          <w:lang w:val="en-US" w:eastAsia="zh-CN"/>
        </w:rPr>
        <w:t>如验收过程中，甲方发现硬件存在不符相关标准的或软件功能未达到要求的，乙方应无条件置换和整改，整改后</w:t>
      </w:r>
      <w:r>
        <w:rPr>
          <w:rFonts w:hint="eastAsia" w:ascii="宋体" w:hAnsi="宋体" w:eastAsia="宋体" w:cs="宋体"/>
          <w:color w:val="auto"/>
          <w:sz w:val="21"/>
          <w:szCs w:val="21"/>
          <w:highlight w:val="none"/>
        </w:rPr>
        <w:t>仍然达不到要求的，经双方协商，可按以下办法处理：</w:t>
      </w:r>
    </w:p>
    <w:p w14:paraId="66BECD35">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①更换：由乙方承担所发生的全部费用。</w:t>
      </w:r>
    </w:p>
    <w:p w14:paraId="10B53420">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退货</w:t>
      </w:r>
      <w:r>
        <w:rPr>
          <w:rFonts w:hint="eastAsia" w:ascii="宋体" w:hAnsi="宋体" w:eastAsia="宋体" w:cs="宋体"/>
          <w:color w:val="auto"/>
          <w:sz w:val="21"/>
          <w:szCs w:val="21"/>
          <w:highlight w:val="none"/>
        </w:rPr>
        <w:t>处理：</w:t>
      </w:r>
      <w:r>
        <w:rPr>
          <w:rFonts w:hint="eastAsia" w:ascii="宋体" w:hAnsi="宋体" w:eastAsia="宋体" w:cs="宋体"/>
          <w:color w:val="auto"/>
          <w:sz w:val="21"/>
          <w:szCs w:val="21"/>
          <w:highlight w:val="none"/>
          <w:lang w:val="en-US" w:eastAsia="zh-CN"/>
        </w:rPr>
        <w:t>乙方应退还甲方支付的全部货款，同时应承担该货物的直接费用（运输、保险、检验、货款利息及银行手续费等）</w:t>
      </w:r>
      <w:r>
        <w:rPr>
          <w:rFonts w:hint="eastAsia" w:ascii="宋体" w:hAnsi="宋体" w:eastAsia="宋体" w:cs="宋体"/>
          <w:color w:val="auto"/>
          <w:sz w:val="21"/>
          <w:szCs w:val="21"/>
          <w:highlight w:val="none"/>
        </w:rPr>
        <w:t>。</w:t>
      </w:r>
    </w:p>
    <w:p w14:paraId="71B2C3F9">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8）验收费用按下列</w:t>
      </w:r>
      <w:r>
        <w:rPr>
          <w:rFonts w:hint="eastAsia" w:ascii="宋体" w:hAnsi="宋体" w:eastAsia="宋体" w:cs="宋体"/>
          <w:color w:val="auto"/>
          <w:sz w:val="21"/>
          <w:szCs w:val="21"/>
          <w:highlight w:val="none"/>
          <w:u w:val="single"/>
        </w:rPr>
        <w:t xml:space="preserve"> ② </w:t>
      </w:r>
      <w:r>
        <w:rPr>
          <w:rFonts w:hint="eastAsia" w:ascii="宋体" w:hAnsi="宋体" w:eastAsia="宋体" w:cs="宋体"/>
          <w:color w:val="auto"/>
          <w:sz w:val="21"/>
          <w:szCs w:val="21"/>
          <w:highlight w:val="none"/>
        </w:rPr>
        <w:t>方式确定：</w:t>
      </w:r>
    </w:p>
    <w:p w14:paraId="346423CD">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①甲方支付；</w:t>
      </w:r>
    </w:p>
    <w:p w14:paraId="512E47DB">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②乙方支付；</w:t>
      </w:r>
    </w:p>
    <w:p w14:paraId="52B6246F">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2.交付标准和方法</w:t>
      </w:r>
    </w:p>
    <w:p w14:paraId="127A4E8C">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（1）除售后服务验收外，验收结论合格的，乙方应自收到验收书/报告后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日内向甲方交付使用。</w:t>
      </w:r>
    </w:p>
    <w:p w14:paraId="174090AD">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（2）甲方在初步验收或者最终验收过程中如发现乙方提供的服务成果不满足响应文件及本合同规定的，暂停向乙方付款，直到乙方及时完善并提交相应的服务成果且经甲方验收合格后，方可办理付款。</w:t>
      </w:r>
    </w:p>
    <w:p w14:paraId="1F02978A">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（3）伴随货物的，其所有权和风险自交付时起由乙方转移至甲方，货物交付给甲方之前所有风险均由乙方承担。</w:t>
      </w:r>
    </w:p>
    <w:p w14:paraId="2EC1A083">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售后服务</w:t>
      </w:r>
    </w:p>
    <w:p w14:paraId="751E0591">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乙方应按照国家有关法律法规规定以及响应文件承诺，为甲方提供售后服务。</w:t>
      </w:r>
    </w:p>
    <w:p w14:paraId="12977BAB">
      <w:pPr>
        <w:keepNext w:val="0"/>
        <w:keepLines w:val="0"/>
        <w:pageBreakBefore w:val="0"/>
        <w:widowControl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2.伴随货物的质量保修范围: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质保</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B5F0BFE">
      <w:pPr>
        <w:keepNext w:val="0"/>
        <w:keepLines w:val="0"/>
        <w:pageBreakBefore w:val="0"/>
        <w:widowControl w:val="0"/>
        <w:kinsoku/>
        <w:wordWrap/>
        <w:overflowPunct/>
        <w:topLinePunct w:val="0"/>
        <w:bidi w:val="0"/>
        <w:snapToGrid w:val="0"/>
        <w:spacing w:line="360" w:lineRule="auto"/>
        <w:ind w:left="0" w:leftChars="0" w:right="0" w:firstLine="517" w:firstLineChars="2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履约保证金</w:t>
      </w:r>
    </w:p>
    <w:p w14:paraId="3CAB33BC">
      <w:pPr>
        <w:keepNext w:val="0"/>
        <w:keepLines w:val="0"/>
        <w:pageBreakBefore w:val="0"/>
        <w:widowControl w:val="0"/>
        <w:kinsoku/>
        <w:wordWrap/>
        <w:overflowPunct/>
        <w:topLinePunct w:val="0"/>
        <w:autoSpaceDE w:val="0"/>
        <w:autoSpaceDN w:val="0"/>
        <w:bidi w:val="0"/>
        <w:snapToGrid w:val="0"/>
        <w:spacing w:line="360" w:lineRule="auto"/>
        <w:ind w:left="0" w:leftChars="0" w:right="0" w:firstLine="424" w:firstLineChars="202"/>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履约保证金金额：</w:t>
      </w:r>
      <w:r>
        <w:rPr>
          <w:rFonts w:hint="eastAsia" w:ascii="宋体" w:hAnsi="宋体" w:eastAsia="宋体" w:cs="宋体"/>
          <w:color w:val="auto"/>
          <w:sz w:val="21"/>
          <w:szCs w:val="21"/>
          <w:highlight w:val="none"/>
          <w:lang w:val="en-US" w:eastAsia="zh-CN"/>
        </w:rPr>
        <w:t>无</w:t>
      </w:r>
    </w:p>
    <w:p w14:paraId="7AD8280C">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违约责任</w:t>
      </w:r>
    </w:p>
    <w:p w14:paraId="3C0E678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1.合同一方不履行合同义务、履行合同义务不符合约定或者违反合同项下所作保证的， 应向对方承担继续履行、采取修理、更换、退货等补救措施或者赔偿损失等违约责任。</w:t>
      </w:r>
    </w:p>
    <w:p w14:paraId="0A76E4F1">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2.乙方未能按时交付服务的，应向甲方支付迟延交付违约金。迟延交付违约金的计算方法如下：</w:t>
      </w:r>
    </w:p>
    <w:p w14:paraId="33F292F6">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（1）从迟交的第一周到第四周，每周迟延交付违约金为合同价款（报酬）的</w:t>
      </w:r>
      <w:r>
        <w:rPr>
          <w:rFonts w:hint="eastAsia" w:ascii="宋体" w:hAnsi="宋体" w:eastAsia="宋体" w:cs="宋体"/>
          <w:i/>
          <w:color w:val="auto"/>
          <w:kern w:val="0"/>
          <w:sz w:val="21"/>
          <w:szCs w:val="21"/>
          <w:highlight w:val="none"/>
          <w:u w:val="single"/>
          <w:lang w:val="en-US" w:eastAsia="zh-CN" w:bidi="ar-SA"/>
        </w:rPr>
        <w:t xml:space="preserve"> 0.5%</w:t>
      </w:r>
      <w:r>
        <w:rPr>
          <w:rFonts w:hint="eastAsia" w:ascii="宋体" w:hAnsi="宋体" w:eastAsia="宋体" w:cs="宋体"/>
          <w:color w:val="auto"/>
          <w:kern w:val="0"/>
          <w:sz w:val="21"/>
          <w:szCs w:val="21"/>
          <w:highlight w:val="none"/>
          <w:lang w:val="en-US" w:eastAsia="zh-CN" w:bidi="ar-SA"/>
        </w:rPr>
        <w:t>；</w:t>
      </w:r>
    </w:p>
    <w:p w14:paraId="3702C0B8">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（2）从迟交的第五周到第八周，每周迟延交付违约金为合同价款（报酬）的</w:t>
      </w:r>
      <w:r>
        <w:rPr>
          <w:rFonts w:hint="eastAsia" w:ascii="宋体" w:hAnsi="宋体" w:eastAsia="宋体" w:cs="宋体"/>
          <w:i/>
          <w:color w:val="auto"/>
          <w:kern w:val="0"/>
          <w:sz w:val="21"/>
          <w:szCs w:val="21"/>
          <w:highlight w:val="none"/>
          <w:u w:val="single"/>
          <w:lang w:val="en-US" w:eastAsia="zh-CN" w:bidi="ar-SA"/>
        </w:rPr>
        <w:t xml:space="preserve"> 1%</w:t>
      </w:r>
      <w:r>
        <w:rPr>
          <w:rFonts w:hint="eastAsia" w:ascii="宋体" w:hAnsi="宋体" w:eastAsia="宋体" w:cs="宋体"/>
          <w:color w:val="auto"/>
          <w:kern w:val="0"/>
          <w:sz w:val="21"/>
          <w:szCs w:val="21"/>
          <w:highlight w:val="none"/>
          <w:lang w:val="en-US" w:eastAsia="zh-CN" w:bidi="ar-SA"/>
        </w:rPr>
        <w:t>；</w:t>
      </w:r>
    </w:p>
    <w:p w14:paraId="7DF87F0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（3）从迟交第九周起，每周迟延交付违约金为合同价款（报酬）的</w:t>
      </w:r>
      <w:r>
        <w:rPr>
          <w:rFonts w:hint="eastAsia" w:ascii="宋体" w:hAnsi="宋体" w:eastAsia="宋体" w:cs="宋体"/>
          <w:i/>
          <w:color w:val="auto"/>
          <w:kern w:val="0"/>
          <w:sz w:val="21"/>
          <w:szCs w:val="21"/>
          <w:highlight w:val="none"/>
          <w:u w:val="single"/>
          <w:lang w:val="en-US" w:eastAsia="zh-CN" w:bidi="ar-SA"/>
        </w:rPr>
        <w:t xml:space="preserve"> 1.5%</w:t>
      </w:r>
      <w:r>
        <w:rPr>
          <w:rFonts w:hint="eastAsia" w:ascii="宋体" w:hAnsi="宋体" w:eastAsia="宋体" w:cs="宋体"/>
          <w:color w:val="auto"/>
          <w:kern w:val="0"/>
          <w:sz w:val="21"/>
          <w:szCs w:val="21"/>
          <w:highlight w:val="none"/>
          <w:lang w:val="en-US" w:eastAsia="zh-CN" w:bidi="ar-SA"/>
        </w:rPr>
        <w:t>。在计算迟延交付违约金时，迟交不足一周的按一周计算。迟延交付违约金的总额不得超过合同价款（报酬）的</w:t>
      </w:r>
      <w:r>
        <w:rPr>
          <w:rFonts w:hint="eastAsia" w:ascii="宋体" w:hAnsi="宋体" w:eastAsia="宋体" w:cs="宋体"/>
          <w:color w:val="auto"/>
          <w:kern w:val="0"/>
          <w:sz w:val="21"/>
          <w:szCs w:val="21"/>
          <w:highlight w:val="none"/>
          <w:u w:val="single"/>
          <w:lang w:val="en-US" w:eastAsia="zh-CN" w:bidi="ar-SA"/>
        </w:rPr>
        <w:t xml:space="preserve"> 10%</w:t>
      </w:r>
      <w:r>
        <w:rPr>
          <w:rFonts w:hint="eastAsia" w:ascii="宋体" w:hAnsi="宋体" w:eastAsia="宋体" w:cs="宋体"/>
          <w:color w:val="auto"/>
          <w:kern w:val="0"/>
          <w:sz w:val="21"/>
          <w:szCs w:val="21"/>
          <w:highlight w:val="none"/>
          <w:lang w:val="en-US" w:eastAsia="zh-CN" w:bidi="ar-SA"/>
        </w:rPr>
        <w:t>。迟延交付违约金的支付不能免除乙方继续交付相关合同服务的义务，但如迟延交付必然导致合同服务实施、调试、验收等工作推迟的，相关工作应相应顺延。</w:t>
      </w:r>
    </w:p>
    <w:p w14:paraId="72DE55FC">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3.甲方未能按合同约定支付合同价款的，应向乙方支付延迟付款违约金。迟延付款违约金的计算方法如下：</w:t>
      </w:r>
    </w:p>
    <w:p w14:paraId="480F85F8">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（1）从迟付的第一周到第四周，每周迟延付款违约金为迟延付款金额的</w:t>
      </w:r>
      <w:r>
        <w:rPr>
          <w:rFonts w:hint="eastAsia" w:ascii="宋体" w:hAnsi="宋体" w:eastAsia="宋体" w:cs="宋体"/>
          <w:i/>
          <w:color w:val="auto"/>
          <w:kern w:val="0"/>
          <w:sz w:val="21"/>
          <w:szCs w:val="21"/>
          <w:highlight w:val="none"/>
          <w:u w:val="single"/>
          <w:lang w:val="en-US" w:eastAsia="zh-CN" w:bidi="ar-SA"/>
        </w:rPr>
        <w:t xml:space="preserve"> 0.5%</w:t>
      </w:r>
      <w:r>
        <w:rPr>
          <w:rFonts w:hint="eastAsia" w:ascii="宋体" w:hAnsi="宋体" w:eastAsia="宋体" w:cs="宋体"/>
          <w:color w:val="auto"/>
          <w:kern w:val="0"/>
          <w:sz w:val="21"/>
          <w:szCs w:val="21"/>
          <w:highlight w:val="none"/>
          <w:lang w:val="en-US" w:eastAsia="zh-CN" w:bidi="ar-SA"/>
        </w:rPr>
        <w:t>；</w:t>
      </w:r>
    </w:p>
    <w:p w14:paraId="1F26F5A9">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（2）从迟付的第五周到第八周，每周迟延付款违约金为迟延付款金额的</w:t>
      </w:r>
      <w:r>
        <w:rPr>
          <w:rFonts w:hint="eastAsia" w:ascii="宋体" w:hAnsi="宋体" w:eastAsia="宋体" w:cs="宋体"/>
          <w:i/>
          <w:color w:val="auto"/>
          <w:kern w:val="0"/>
          <w:sz w:val="21"/>
          <w:szCs w:val="21"/>
          <w:highlight w:val="none"/>
          <w:u w:val="single"/>
          <w:lang w:val="en-US" w:eastAsia="zh-CN" w:bidi="ar-SA"/>
        </w:rPr>
        <w:t xml:space="preserve"> 1%</w:t>
      </w:r>
      <w:r>
        <w:rPr>
          <w:rFonts w:hint="eastAsia" w:ascii="宋体" w:hAnsi="宋体" w:eastAsia="宋体" w:cs="宋体"/>
          <w:color w:val="auto"/>
          <w:kern w:val="0"/>
          <w:sz w:val="21"/>
          <w:szCs w:val="21"/>
          <w:highlight w:val="none"/>
          <w:lang w:val="en-US" w:eastAsia="zh-CN" w:bidi="ar-SA"/>
        </w:rPr>
        <w:t>；</w:t>
      </w:r>
    </w:p>
    <w:p w14:paraId="62FD6473">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（3）从迟付第九周起，每周迟延付款违约金为迟延付款金额的</w:t>
      </w:r>
      <w:r>
        <w:rPr>
          <w:rFonts w:hint="eastAsia" w:ascii="宋体" w:hAnsi="宋体" w:eastAsia="宋体" w:cs="宋体"/>
          <w:i/>
          <w:color w:val="auto"/>
          <w:kern w:val="0"/>
          <w:sz w:val="21"/>
          <w:szCs w:val="21"/>
          <w:highlight w:val="none"/>
          <w:u w:val="single"/>
          <w:lang w:val="en-US" w:eastAsia="zh-CN" w:bidi="ar-SA"/>
        </w:rPr>
        <w:t xml:space="preserve"> 1.5%</w:t>
      </w:r>
      <w:r>
        <w:rPr>
          <w:rFonts w:hint="eastAsia" w:ascii="宋体" w:hAnsi="宋体" w:eastAsia="宋体" w:cs="宋体"/>
          <w:color w:val="auto"/>
          <w:kern w:val="0"/>
          <w:sz w:val="21"/>
          <w:szCs w:val="21"/>
          <w:highlight w:val="none"/>
          <w:lang w:val="en-US" w:eastAsia="zh-CN" w:bidi="ar-SA"/>
        </w:rPr>
        <w:t>。在计算迟延付款违约金时，迟付不足一周的按一周计算。迟延付款违约金的总额不得超过合同价格的</w:t>
      </w:r>
      <w:r>
        <w:rPr>
          <w:rFonts w:hint="eastAsia" w:ascii="宋体" w:hAnsi="宋体" w:eastAsia="宋体" w:cs="宋体"/>
          <w:color w:val="auto"/>
          <w:kern w:val="0"/>
          <w:sz w:val="21"/>
          <w:szCs w:val="21"/>
          <w:highlight w:val="none"/>
          <w:u w:val="single"/>
          <w:lang w:val="en-US" w:eastAsia="zh-CN" w:bidi="ar-SA"/>
        </w:rPr>
        <w:t xml:space="preserve"> 10%</w:t>
      </w:r>
      <w:r>
        <w:rPr>
          <w:rFonts w:hint="eastAsia" w:ascii="宋体" w:hAnsi="宋体" w:eastAsia="宋体" w:cs="宋体"/>
          <w:color w:val="auto"/>
          <w:kern w:val="0"/>
          <w:sz w:val="21"/>
          <w:szCs w:val="21"/>
          <w:highlight w:val="none"/>
          <w:lang w:val="en-US" w:eastAsia="zh-CN" w:bidi="ar-SA"/>
        </w:rPr>
        <w:t>。</w:t>
      </w:r>
    </w:p>
    <w:p w14:paraId="6614F23E">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4.乙方未按本合同和响应文件承诺提供售后服务的，乙方应按本合同价款（报酬）的 </w:t>
      </w:r>
      <w:r>
        <w:rPr>
          <w:rFonts w:hint="eastAsia" w:ascii="宋体" w:hAnsi="宋体" w:eastAsia="宋体" w:cs="宋体"/>
          <w:color w:val="auto"/>
          <w:kern w:val="0"/>
          <w:sz w:val="21"/>
          <w:szCs w:val="21"/>
          <w:highlight w:val="none"/>
          <w:u w:val="single"/>
          <w:lang w:val="en-US" w:eastAsia="zh-CN" w:bidi="ar-SA"/>
        </w:rPr>
        <w:t xml:space="preserve"> 10 </w:t>
      </w:r>
      <w:r>
        <w:rPr>
          <w:rFonts w:hint="eastAsia" w:ascii="宋体" w:hAnsi="宋体" w:eastAsia="宋体" w:cs="宋体"/>
          <w:color w:val="auto"/>
          <w:kern w:val="0"/>
          <w:sz w:val="21"/>
          <w:szCs w:val="21"/>
          <w:highlight w:val="none"/>
          <w:lang w:val="en-US" w:eastAsia="zh-CN" w:bidi="ar-SA"/>
        </w:rPr>
        <w:t>%向甲方支付违约金。</w:t>
      </w:r>
    </w:p>
    <w:p w14:paraId="47324F89">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5.因某一方原因导致变更、中止或者终止采购合同的，该方应当对另一方受到的损失予以赔偿或者补偿。</w:t>
      </w:r>
    </w:p>
    <w:p w14:paraId="5CF26796">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6.其它违约责任按《中华人民共和国民法典》处理。</w:t>
      </w:r>
    </w:p>
    <w:p w14:paraId="0553ED12">
      <w:pPr>
        <w:keepNext w:val="0"/>
        <w:keepLines w:val="0"/>
        <w:pageBreakBefore w:val="0"/>
        <w:widowControl w:val="0"/>
        <w:kinsoku/>
        <w:wordWrap/>
        <w:overflowPunct/>
        <w:topLinePunct w:val="0"/>
        <w:bidi w:val="0"/>
        <w:snapToGrid w:val="0"/>
        <w:spacing w:line="360" w:lineRule="auto"/>
        <w:ind w:left="0" w:leftChars="0" w:right="0" w:firstLine="413" w:firstLineChars="196"/>
        <w:jc w:val="both"/>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第十一条  不可抗力事件处理</w:t>
      </w:r>
    </w:p>
    <w:p w14:paraId="6F14BFF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1.在合同有效期内，任何一方因不可抗力事件导致不能履行合同，则合同履行期可延长，其延长期与不可抗力影响期相同。</w:t>
      </w:r>
    </w:p>
    <w:p w14:paraId="5387A9F5">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2.不可抗力事件发生后，应立即通知对方，并寄送有关权威机构出具的证明。</w:t>
      </w:r>
    </w:p>
    <w:p w14:paraId="215CEEE4">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52CB7673">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第十二条  合同争议解决</w:t>
      </w:r>
    </w:p>
    <w:p w14:paraId="06511789">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1.因服务质量问题发生争议的，应邀请国家认可的质量检测机构或专家组进行鉴定。服务符合标准的，鉴定费由甲方承担；服务不符合标准的，鉴定费由乙方承担。</w:t>
      </w:r>
    </w:p>
    <w:p w14:paraId="6683506F">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2.因履行本合同引起的或者与本合同有关的争议，甲乙双方应首先通过友好协商解决，如果协商不能解决，按下列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方式解决：</w:t>
      </w:r>
    </w:p>
    <w:p w14:paraId="134BF638">
      <w:pPr>
        <w:keepNext w:val="0"/>
        <w:keepLines w:val="0"/>
        <w:pageBreakBefore w:val="0"/>
        <w:widowControl w:val="0"/>
        <w:kinsoku/>
        <w:wordWrap/>
        <w:overflowPunct/>
        <w:topLinePunct w:val="0"/>
        <w:autoSpaceDE w:val="0"/>
        <w:autoSpaceDN w:val="0"/>
        <w:bidi w:val="0"/>
        <w:adjustRightInd w:val="0"/>
        <w:spacing w:line="360" w:lineRule="auto"/>
        <w:ind w:left="0" w:leftChars="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lang w:eastAsia="zh-CN"/>
        </w:rPr>
        <w:t>梧州市</w:t>
      </w:r>
      <w:r>
        <w:rPr>
          <w:rFonts w:hint="eastAsia" w:ascii="宋体" w:hAnsi="宋体" w:eastAsia="宋体" w:cs="宋体"/>
          <w:color w:val="auto"/>
          <w:sz w:val="21"/>
          <w:szCs w:val="21"/>
          <w:highlight w:val="none"/>
        </w:rPr>
        <w:t>仲裁委员会申请仲裁；</w:t>
      </w:r>
    </w:p>
    <w:p w14:paraId="6E079FFF">
      <w:pPr>
        <w:keepNext w:val="0"/>
        <w:keepLines w:val="0"/>
        <w:pageBreakBefore w:val="0"/>
        <w:widowControl w:val="0"/>
        <w:kinsoku/>
        <w:wordWrap/>
        <w:overflowPunct/>
        <w:topLinePunct w:val="0"/>
        <w:autoSpaceDE w:val="0"/>
        <w:autoSpaceDN w:val="0"/>
        <w:bidi w:val="0"/>
        <w:adjustRightInd w:val="0"/>
        <w:spacing w:line="360" w:lineRule="auto"/>
        <w:ind w:left="0" w:leftChars="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lang w:eastAsia="zh-CN"/>
        </w:rPr>
        <w:t>合同履行地</w:t>
      </w:r>
      <w:r>
        <w:rPr>
          <w:rFonts w:hint="eastAsia" w:ascii="宋体" w:hAnsi="宋体" w:eastAsia="宋体" w:cs="宋体"/>
          <w:color w:val="auto"/>
          <w:sz w:val="21"/>
          <w:szCs w:val="21"/>
          <w:highlight w:val="none"/>
        </w:rPr>
        <w:t>人民法院提起诉讼。</w:t>
      </w:r>
    </w:p>
    <w:p w14:paraId="419B0B51">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合同的变更、中止或者终止</w:t>
      </w:r>
    </w:p>
    <w:p w14:paraId="45A88B73">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《中华人民共和国政府采购法》第五十条规定的情形外，本合同一经签订，甲乙双方不得擅自变更、中止或者终止合同。</w:t>
      </w:r>
    </w:p>
    <w:p w14:paraId="75E0CEE0">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7A64ACEB">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w:t>
      </w:r>
      <w:r>
        <w:rPr>
          <w:rFonts w:hint="eastAsia" w:ascii="宋体" w:hAnsi="宋体" w:eastAsia="宋体" w:cs="宋体"/>
          <w:b/>
          <w:color w:val="auto"/>
          <w:kern w:val="0"/>
          <w:sz w:val="21"/>
          <w:szCs w:val="21"/>
          <w:highlight w:val="none"/>
        </w:rPr>
        <w:t>合</w:t>
      </w:r>
      <w:r>
        <w:rPr>
          <w:rFonts w:hint="eastAsia" w:ascii="宋体" w:hAnsi="宋体" w:eastAsia="宋体" w:cs="宋体"/>
          <w:b/>
          <w:color w:val="auto"/>
          <w:spacing w:val="-2"/>
          <w:kern w:val="0"/>
          <w:sz w:val="21"/>
          <w:szCs w:val="21"/>
          <w:highlight w:val="none"/>
        </w:rPr>
        <w:t>同</w:t>
      </w:r>
      <w:r>
        <w:rPr>
          <w:rFonts w:hint="eastAsia" w:ascii="宋体" w:hAnsi="宋体" w:eastAsia="宋体" w:cs="宋体"/>
          <w:b/>
          <w:color w:val="auto"/>
          <w:kern w:val="0"/>
          <w:sz w:val="21"/>
          <w:szCs w:val="21"/>
          <w:highlight w:val="none"/>
        </w:rPr>
        <w:t>文</w:t>
      </w:r>
      <w:r>
        <w:rPr>
          <w:rFonts w:hint="eastAsia" w:ascii="宋体" w:hAnsi="宋体" w:eastAsia="宋体" w:cs="宋体"/>
          <w:b/>
          <w:color w:val="auto"/>
          <w:spacing w:val="-2"/>
          <w:kern w:val="0"/>
          <w:sz w:val="21"/>
          <w:szCs w:val="21"/>
          <w:highlight w:val="none"/>
        </w:rPr>
        <w:t>件构成</w:t>
      </w:r>
    </w:p>
    <w:p w14:paraId="5079DF93">
      <w:pPr>
        <w:keepNext w:val="0"/>
        <w:keepLines w:val="0"/>
        <w:pageBreakBefore w:val="0"/>
        <w:widowControl w:val="0"/>
        <w:kinsoku/>
        <w:wordWrap/>
        <w:overflowPunct/>
        <w:topLinePunct w:val="0"/>
        <w:bidi w:val="0"/>
        <w:snapToGrid w:val="0"/>
        <w:spacing w:line="360" w:lineRule="auto"/>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1.采购合同</w:t>
      </w:r>
    </w:p>
    <w:p w14:paraId="6030105D">
      <w:pPr>
        <w:keepNext w:val="0"/>
        <w:keepLines w:val="0"/>
        <w:pageBreakBefore w:val="0"/>
        <w:widowControl w:val="0"/>
        <w:kinsoku/>
        <w:wordWrap/>
        <w:overflowPunct/>
        <w:topLinePunct w:val="0"/>
        <w:bidi w:val="0"/>
        <w:snapToGrid w:val="0"/>
        <w:spacing w:line="360" w:lineRule="auto"/>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2.成交通知书；</w:t>
      </w:r>
    </w:p>
    <w:p w14:paraId="792C3736">
      <w:pPr>
        <w:keepNext w:val="0"/>
        <w:keepLines w:val="0"/>
        <w:pageBreakBefore w:val="0"/>
        <w:widowControl w:val="0"/>
        <w:kinsoku/>
        <w:wordWrap/>
        <w:overflowPunct/>
        <w:topLinePunct w:val="0"/>
        <w:bidi w:val="0"/>
        <w:snapToGrid w:val="0"/>
        <w:spacing w:line="360" w:lineRule="auto"/>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3.响应文件；</w:t>
      </w:r>
    </w:p>
    <w:p w14:paraId="7FFD45DB">
      <w:pPr>
        <w:keepNext w:val="0"/>
        <w:keepLines w:val="0"/>
        <w:pageBreakBefore w:val="0"/>
        <w:widowControl w:val="0"/>
        <w:kinsoku/>
        <w:wordWrap/>
        <w:overflowPunct/>
        <w:topLinePunct w:val="0"/>
        <w:bidi w:val="0"/>
        <w:snapToGrid w:val="0"/>
        <w:spacing w:line="360" w:lineRule="auto"/>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4.采购文件及更正公告（澄清或补充通知）；</w:t>
      </w:r>
    </w:p>
    <w:p w14:paraId="4F5053FF">
      <w:pPr>
        <w:keepNext w:val="0"/>
        <w:keepLines w:val="0"/>
        <w:pageBreakBefore w:val="0"/>
        <w:widowControl w:val="0"/>
        <w:kinsoku/>
        <w:wordWrap/>
        <w:overflowPunct/>
        <w:topLinePunct w:val="0"/>
        <w:bidi w:val="0"/>
        <w:snapToGrid w:val="0"/>
        <w:spacing w:line="360" w:lineRule="auto"/>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5.标准、规范及有关技术文件；</w:t>
      </w:r>
    </w:p>
    <w:p w14:paraId="017FFF29">
      <w:pPr>
        <w:keepNext w:val="0"/>
        <w:keepLines w:val="0"/>
        <w:pageBreakBefore w:val="0"/>
        <w:widowControl w:val="0"/>
        <w:kinsoku/>
        <w:wordWrap/>
        <w:overflowPunct/>
        <w:topLinePunct w:val="0"/>
        <w:bidi w:val="0"/>
        <w:snapToGrid w:val="0"/>
        <w:spacing w:line="360" w:lineRule="auto"/>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6.双方约定的其他合同文件。</w:t>
      </w:r>
    </w:p>
    <w:p w14:paraId="54479A70">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上述合同文件互相补充和解释。如果合同文件之间存在矛盾或者不一致之处，以上述文件的排列顺序在先者为准。</w:t>
      </w:r>
    </w:p>
    <w:p w14:paraId="2CA0F54D">
      <w:pPr>
        <w:keepNext w:val="0"/>
        <w:keepLines w:val="0"/>
        <w:pageBreakBefore w:val="0"/>
        <w:widowControl w:val="0"/>
        <w:kinsoku/>
        <w:wordWrap/>
        <w:overflowPunct/>
        <w:topLinePunct w:val="0"/>
        <w:bidi w:val="0"/>
        <w:snapToGrid w:val="0"/>
        <w:spacing w:line="360" w:lineRule="auto"/>
        <w:ind w:left="0" w:leftChars="0" w:right="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第十五条　知识产权和保密要求</w:t>
      </w:r>
    </w:p>
    <w:p w14:paraId="637B0801">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1.甲方在履行合同过程中提供给乙方的全部图纸、文件和其他含有数据和信息的资料，其知识产权属于甲方。</w:t>
      </w:r>
    </w:p>
    <w:p w14:paraId="06D926B0">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68BDF958">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478FF36F">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71C5A3E8">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25DD308">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6.伴随货物的，乙方保证将要交付的货物的所有权完全属于乙方且无任何抵押、质押、查封等产权瑕疵。</w:t>
      </w:r>
    </w:p>
    <w:p w14:paraId="7D7FDF14">
      <w:pPr>
        <w:keepNext w:val="0"/>
        <w:keepLines w:val="0"/>
        <w:pageBreakBefore w:val="0"/>
        <w:widowControl w:val="0"/>
        <w:kinsoku/>
        <w:wordWrap/>
        <w:overflowPunct/>
        <w:topLinePunct w:val="0"/>
        <w:bidi w:val="0"/>
        <w:snapToGrid w:val="0"/>
        <w:spacing w:line="360" w:lineRule="auto"/>
        <w:ind w:left="0" w:leftChars="0" w:right="0" w:firstLine="413" w:firstLineChars="196"/>
        <w:jc w:val="both"/>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第十六条  合同生效及其它</w:t>
      </w:r>
    </w:p>
    <w:p w14:paraId="41984627">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1.合同经双方法定代表人或者委托代理人签字并加盖单位公章后生效（委托代理人签字的需后附授权委托书，格式自拟）。</w:t>
      </w:r>
    </w:p>
    <w:p w14:paraId="07D80AB6">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2.合同执行中涉及采购资金和采购内容修改或者补充的，并签书面补充协议报财政部门备案，方可作为主合同不可分割的一部分。</w:t>
      </w:r>
    </w:p>
    <w:p w14:paraId="2E56EC9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3.合同生效后，甲乙双方不得因姓名、名称的变更或者法定代表人、负责人、承办人的变动而不履行合同义务。</w:t>
      </w:r>
    </w:p>
    <w:p w14:paraId="55EE247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4.本合同未尽事宜，遵照《中华人民共和国民法典》有关条文执行。</w:t>
      </w:r>
    </w:p>
    <w:p w14:paraId="3D762830">
      <w:pPr>
        <w:keepNext w:val="0"/>
        <w:keepLines w:val="0"/>
        <w:pageBreakBefore w:val="0"/>
        <w:widowControl w:val="0"/>
        <w:kinsoku/>
        <w:wordWrap/>
        <w:overflowPunct/>
        <w:topLinePunct w:val="0"/>
        <w:bidi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i/>
          <w:color w:val="auto"/>
          <w:sz w:val="21"/>
          <w:szCs w:val="21"/>
          <w:highlight w:val="none"/>
          <w:u w:val="single"/>
        </w:rPr>
        <w:t xml:space="preserve"> </w:t>
      </w:r>
      <w:r>
        <w:rPr>
          <w:rFonts w:hint="eastAsia" w:ascii="宋体" w:hAnsi="宋体" w:eastAsia="宋体" w:cs="宋体"/>
          <w:i w:val="0"/>
          <w:iCs/>
          <w:color w:val="auto"/>
          <w:sz w:val="21"/>
          <w:szCs w:val="21"/>
          <w:highlight w:val="none"/>
          <w:u w:val="single"/>
          <w:lang w:eastAsia="zh-CN"/>
        </w:rPr>
        <w:t>五</w:t>
      </w:r>
      <w:r>
        <w:rPr>
          <w:rFonts w:hint="eastAsia" w:ascii="宋体" w:hAnsi="宋体" w:eastAsia="宋体" w:cs="宋体"/>
          <w:i/>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份，具有同等法律效力，采购代理机构</w:t>
      </w:r>
      <w:r>
        <w:rPr>
          <w:rFonts w:hint="eastAsia" w:ascii="宋体" w:hAnsi="宋体" w:cs="宋体"/>
          <w:color w:val="auto"/>
          <w:sz w:val="21"/>
          <w:szCs w:val="21"/>
          <w:highlight w:val="none"/>
          <w:lang w:val="en-US" w:eastAsia="zh-CN"/>
        </w:rPr>
        <w:t>执</w:t>
      </w:r>
      <w:r>
        <w:rPr>
          <w:rFonts w:hint="eastAsia" w:ascii="宋体" w:hAnsi="宋体" w:eastAsia="宋体" w:cs="宋体"/>
          <w:color w:val="auto"/>
          <w:sz w:val="21"/>
          <w:szCs w:val="21"/>
          <w:highlight w:val="none"/>
        </w:rPr>
        <w:t>一份，甲乙双方各</w:t>
      </w:r>
      <w:r>
        <w:rPr>
          <w:rFonts w:hint="eastAsia" w:ascii="宋体" w:hAnsi="宋体" w:cs="宋体"/>
          <w:color w:val="auto"/>
          <w:sz w:val="21"/>
          <w:szCs w:val="21"/>
          <w:highlight w:val="none"/>
          <w:lang w:val="en-US" w:eastAsia="zh-CN"/>
        </w:rPr>
        <w:t>执</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份。</w:t>
      </w:r>
    </w:p>
    <w:p w14:paraId="51984CBB">
      <w:pPr>
        <w:spacing w:line="360" w:lineRule="auto"/>
        <w:ind w:firstLine="422" w:firstLineChars="200"/>
        <w:rPr>
          <w:rFonts w:hint="eastAsia" w:ascii="宋体" w:hAnsi="宋体" w:eastAsia="宋体" w:cs="宋体"/>
          <w:b/>
          <w:color w:val="auto"/>
          <w:szCs w:val="21"/>
          <w:highlight w:val="none"/>
        </w:rPr>
      </w:pPr>
    </w:p>
    <w:p w14:paraId="4CDEE3FC">
      <w:pPr>
        <w:tabs>
          <w:tab w:val="left" w:pos="4395"/>
        </w:tabs>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甲方（盖章）：</w:t>
      </w:r>
      <w:r>
        <w:rPr>
          <w:rFonts w:hint="eastAsia" w:ascii="宋体" w:hAnsi="宋体" w:eastAsia="宋体" w:cs="Times New Roman"/>
          <w:b/>
          <w:color w:val="auto"/>
          <w:szCs w:val="21"/>
          <w:highlight w:val="none"/>
        </w:rPr>
        <w:tab/>
      </w:r>
      <w:r>
        <w:rPr>
          <w:rFonts w:hint="eastAsia" w:ascii="宋体" w:hAnsi="宋体" w:eastAsia="宋体" w:cs="Times New Roman"/>
          <w:b/>
          <w:color w:val="auto"/>
          <w:szCs w:val="21"/>
          <w:highlight w:val="none"/>
        </w:rPr>
        <w:t>乙方（盖章）：</w:t>
      </w:r>
    </w:p>
    <w:p w14:paraId="5167681E">
      <w:pPr>
        <w:tabs>
          <w:tab w:val="left" w:pos="4395"/>
        </w:tabs>
        <w:spacing w:line="360" w:lineRule="auto"/>
        <w:rPr>
          <w:rFonts w:hint="eastAsia" w:ascii="宋体" w:hAnsi="宋体" w:eastAsia="宋体" w:cs="Times New Roman"/>
          <w:b/>
          <w:color w:val="auto"/>
          <w:szCs w:val="21"/>
          <w:highlight w:val="none"/>
        </w:rPr>
      </w:pPr>
      <w:r>
        <w:rPr>
          <w:rFonts w:hint="eastAsia" w:ascii="宋体" w:hAnsi="宋体" w:eastAsia="宋体" w:cs="Times New Roman"/>
          <w:bCs/>
          <w:color w:val="auto"/>
          <w:szCs w:val="21"/>
          <w:highlight w:val="none"/>
        </w:rPr>
        <w:t>法定代表人或者委托代理人（签字）</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rPr>
        <w:tab/>
      </w:r>
      <w:r>
        <w:rPr>
          <w:rFonts w:hint="eastAsia" w:ascii="宋体" w:hAnsi="宋体" w:eastAsia="宋体" w:cs="Times New Roman"/>
          <w:bCs/>
          <w:color w:val="auto"/>
          <w:szCs w:val="21"/>
          <w:highlight w:val="none"/>
        </w:rPr>
        <w:t>法定代表人或者委托代理人（签字）</w:t>
      </w:r>
      <w:r>
        <w:rPr>
          <w:rFonts w:hint="eastAsia" w:ascii="宋体" w:hAnsi="宋体" w:eastAsia="宋体" w:cs="Times New Roman"/>
          <w:b/>
          <w:color w:val="auto"/>
          <w:szCs w:val="21"/>
          <w:highlight w:val="none"/>
        </w:rPr>
        <w:t xml:space="preserve">： </w:t>
      </w:r>
    </w:p>
    <w:p w14:paraId="2CE4B725">
      <w:pPr>
        <w:tabs>
          <w:tab w:val="left" w:pos="4395"/>
        </w:tabs>
        <w:spacing w:line="360" w:lineRule="auto"/>
        <w:rPr>
          <w:rFonts w:hint="eastAsia" w:ascii="宋体" w:hAnsi="宋体" w:eastAsia="宋体" w:cs="Times New Roman"/>
          <w:color w:val="auto"/>
          <w:szCs w:val="21"/>
          <w:highlight w:val="none"/>
        </w:rPr>
      </w:pPr>
    </w:p>
    <w:p w14:paraId="49F79DFC">
      <w:pPr>
        <w:tabs>
          <w:tab w:val="left" w:pos="4395"/>
        </w:tabs>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签定日期：　　　年　　月　　日</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签定日期：　　　年　　月　　日</w:t>
      </w:r>
    </w:p>
    <w:p w14:paraId="2ED37640">
      <w:pPr>
        <w:tabs>
          <w:tab w:val="left" w:pos="4395"/>
        </w:tabs>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开户名称：</w:t>
      </w:r>
    </w:p>
    <w:p w14:paraId="0F698FBD">
      <w:pPr>
        <w:tabs>
          <w:tab w:val="left" w:pos="4395"/>
        </w:tabs>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银行</w:t>
      </w:r>
      <w:r>
        <w:rPr>
          <w:rFonts w:hint="eastAsia" w:ascii="宋体" w:hAnsi="宋体" w:eastAsia="宋体" w:cs="Times New Roman"/>
          <w:color w:val="auto"/>
          <w:szCs w:val="21"/>
          <w:highlight w:val="none"/>
          <w:lang w:eastAsia="zh-CN"/>
        </w:rPr>
        <w:t>账</w:t>
      </w:r>
      <w:r>
        <w:rPr>
          <w:rFonts w:hint="eastAsia" w:ascii="宋体" w:hAnsi="宋体" w:eastAsia="宋体" w:cs="Times New Roman"/>
          <w:color w:val="auto"/>
          <w:szCs w:val="21"/>
          <w:highlight w:val="none"/>
        </w:rPr>
        <w:t>号：</w:t>
      </w:r>
    </w:p>
    <w:p w14:paraId="2A439303">
      <w:pPr>
        <w:rPr>
          <w:rFonts w:hint="eastAsia" w:ascii="宋体" w:hAnsi="宋体" w:eastAsia="宋体" w:cs="宋体"/>
          <w:b/>
          <w:color w:val="auto"/>
          <w:sz w:val="28"/>
          <w:szCs w:val="28"/>
          <w:highlight w:val="none"/>
          <w:lang w:val="zh-CN" w:eastAsia="zh-CN"/>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开 户 行：</w:t>
      </w:r>
    </w:p>
    <w:sectPr>
      <w:footerReference r:id="rId8" w:type="first"/>
      <w:footerReference r:id="rId7"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E135">
    <w:pPr>
      <w:pStyle w:val="19"/>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E57C1">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0NPFs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9DTxbLAQAAnAMAAA4AAAAAAAAAAQAgAAAAHgEAAGRycy9lMm9E&#10;b2MueG1sUEsFBgAAAAAGAAYAWQEAAFsFAAAAAA==&#10;">
              <v:fill on="f" focussize="0,0"/>
              <v:stroke on="f"/>
              <v:imagedata o:title=""/>
              <o:lock v:ext="edit" aspectratio="f"/>
              <v:textbox inset="0mm,0mm,0mm,0mm" style="mso-fit-shape-to-text:t;">
                <w:txbxContent>
                  <w:p w14:paraId="153E57C1">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FA8FD4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6A2D">
    <w:pPr>
      <w:pStyle w:val="19"/>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FF0CB"/>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5socs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ubKHLAQAAnAMAAA4AAAAAAAAAAQAgAAAAHgEAAGRycy9lMm9E&#10;b2MueG1sUEsFBgAAAAAGAAYAWQEAAFsFAAAAAA==&#10;">
              <v:fill on="f" focussize="0,0"/>
              <v:stroke on="f"/>
              <v:imagedata o:title=""/>
              <o:lock v:ext="edit" aspectratio="f"/>
              <v:textbox inset="0mm,0mm,0mm,0mm" style="mso-fit-shape-to-text:t;">
                <w:txbxContent>
                  <w:p w14:paraId="738FF0C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29FA">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9C9F2">
                          <w:pPr>
                            <w:pStyle w:val="19"/>
                            <w:jc w:val="center"/>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4IoM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3m9&#10;XC2zQn2AGhMfAqam4c4POXvyAzoz8UFFm79IiWAc9T1f9ZVDIiI/Wq/W6wpDAmPzBXHY4/MQIb2V&#10;3pJsNDTiAIuu/PQe0pg6p+Rqzt9rY9DPa+P+ciBm9rDc+9hjttKwH6bG9749I58eZ99Qh6tOiXnn&#10;UNq8JrMRZ2M/G8cQ9aEre5TrQbg9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peCKDLAQAAnAMAAA4AAAAAAAAAAQAgAAAAHgEAAGRycy9lMm9E&#10;b2MueG1sUEsFBgAAAAAGAAYAWQEAAFsFAAAAAA==&#10;">
              <v:fill on="f" focussize="0,0"/>
              <v:stroke on="f"/>
              <v:imagedata o:title=""/>
              <o:lock v:ext="edit" aspectratio="f"/>
              <v:textbox inset="0mm,0mm,0mm,0mm" style="mso-fit-shape-to-text:t;">
                <w:txbxContent>
                  <w:p w14:paraId="3F49C9F2">
                    <w:pPr>
                      <w:pStyle w:val="19"/>
                      <w:jc w:val="center"/>
                    </w:pPr>
                    <w:r>
                      <w:fldChar w:fldCharType="begin"/>
                    </w:r>
                    <w:r>
                      <w:instrText xml:space="preserve"> PAGE  \* MERGEFORMAT </w:instrText>
                    </w:r>
                    <w:r>
                      <w:fldChar w:fldCharType="separate"/>
                    </w:r>
                    <w:r>
                      <w:t>5</w:t>
                    </w:r>
                    <w:r>
                      <w:fldChar w:fldCharType="end"/>
                    </w:r>
                  </w:p>
                </w:txbxContent>
              </v:textbox>
            </v:shape>
          </w:pict>
        </mc:Fallback>
      </mc:AlternateContent>
    </w:r>
  </w:p>
  <w:p w14:paraId="2998AE0D">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EA01A">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383A9">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31B383A9">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AC50">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9980">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A1383"/>
    <w:multiLevelType w:val="singleLevel"/>
    <w:tmpl w:val="959A13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ODgzNjJkNjNmYzUzYzg0ZTg5ODJmM2IxY2M4YWM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6A8"/>
    <w:rsid w:val="00022731"/>
    <w:rsid w:val="00022792"/>
    <w:rsid w:val="00024463"/>
    <w:rsid w:val="00025461"/>
    <w:rsid w:val="00025636"/>
    <w:rsid w:val="00025E36"/>
    <w:rsid w:val="00026855"/>
    <w:rsid w:val="00026886"/>
    <w:rsid w:val="0002785D"/>
    <w:rsid w:val="000307BE"/>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2AB"/>
    <w:rsid w:val="000533E7"/>
    <w:rsid w:val="000557ED"/>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0A0D"/>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D7762"/>
    <w:rsid w:val="000E1C51"/>
    <w:rsid w:val="000E28AB"/>
    <w:rsid w:val="000E2E3E"/>
    <w:rsid w:val="000E3583"/>
    <w:rsid w:val="000E3AF0"/>
    <w:rsid w:val="000E4E04"/>
    <w:rsid w:val="000E693B"/>
    <w:rsid w:val="000E6D5C"/>
    <w:rsid w:val="000E6EC9"/>
    <w:rsid w:val="000E70B4"/>
    <w:rsid w:val="000E7B62"/>
    <w:rsid w:val="000F03CB"/>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59B"/>
    <w:rsid w:val="0011091C"/>
    <w:rsid w:val="00111266"/>
    <w:rsid w:val="001112EB"/>
    <w:rsid w:val="0011247D"/>
    <w:rsid w:val="00113678"/>
    <w:rsid w:val="00113A7D"/>
    <w:rsid w:val="00113C3E"/>
    <w:rsid w:val="00115E11"/>
    <w:rsid w:val="00115EEE"/>
    <w:rsid w:val="00115F56"/>
    <w:rsid w:val="00116CA9"/>
    <w:rsid w:val="00116F38"/>
    <w:rsid w:val="001170A4"/>
    <w:rsid w:val="00117AE7"/>
    <w:rsid w:val="00117B85"/>
    <w:rsid w:val="00117CBD"/>
    <w:rsid w:val="0012006A"/>
    <w:rsid w:val="00120620"/>
    <w:rsid w:val="00121979"/>
    <w:rsid w:val="00122064"/>
    <w:rsid w:val="00124341"/>
    <w:rsid w:val="00124492"/>
    <w:rsid w:val="00124676"/>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4A2F"/>
    <w:rsid w:val="001452B4"/>
    <w:rsid w:val="00145320"/>
    <w:rsid w:val="001476D3"/>
    <w:rsid w:val="00147EB5"/>
    <w:rsid w:val="001509CF"/>
    <w:rsid w:val="00150D1D"/>
    <w:rsid w:val="001525AA"/>
    <w:rsid w:val="00152A87"/>
    <w:rsid w:val="00152AC1"/>
    <w:rsid w:val="00153BB5"/>
    <w:rsid w:val="00154518"/>
    <w:rsid w:val="00155C55"/>
    <w:rsid w:val="00156359"/>
    <w:rsid w:val="00156DD6"/>
    <w:rsid w:val="0016086E"/>
    <w:rsid w:val="001609B9"/>
    <w:rsid w:val="00160D0C"/>
    <w:rsid w:val="00160DD1"/>
    <w:rsid w:val="00161172"/>
    <w:rsid w:val="00161998"/>
    <w:rsid w:val="00161D5D"/>
    <w:rsid w:val="00161E65"/>
    <w:rsid w:val="00162597"/>
    <w:rsid w:val="001629AF"/>
    <w:rsid w:val="001629FD"/>
    <w:rsid w:val="0016428A"/>
    <w:rsid w:val="001647C9"/>
    <w:rsid w:val="00165627"/>
    <w:rsid w:val="001661A3"/>
    <w:rsid w:val="00167226"/>
    <w:rsid w:val="001674C4"/>
    <w:rsid w:val="0016782B"/>
    <w:rsid w:val="0016784D"/>
    <w:rsid w:val="00167853"/>
    <w:rsid w:val="00167887"/>
    <w:rsid w:val="00172CA8"/>
    <w:rsid w:val="00173256"/>
    <w:rsid w:val="00173B0E"/>
    <w:rsid w:val="00173E03"/>
    <w:rsid w:val="001750E8"/>
    <w:rsid w:val="0017512C"/>
    <w:rsid w:val="001756AF"/>
    <w:rsid w:val="0017586A"/>
    <w:rsid w:val="00175BA6"/>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1D10"/>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2913"/>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557"/>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57E5F"/>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2D0"/>
    <w:rsid w:val="002A73F2"/>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6E2B"/>
    <w:rsid w:val="002F704B"/>
    <w:rsid w:val="002F72C3"/>
    <w:rsid w:val="002F768C"/>
    <w:rsid w:val="002F7D1E"/>
    <w:rsid w:val="00300201"/>
    <w:rsid w:val="0030025A"/>
    <w:rsid w:val="003022A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6795"/>
    <w:rsid w:val="0032795B"/>
    <w:rsid w:val="003303CD"/>
    <w:rsid w:val="003314D9"/>
    <w:rsid w:val="00331653"/>
    <w:rsid w:val="00331A48"/>
    <w:rsid w:val="00331BCC"/>
    <w:rsid w:val="0033303D"/>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16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B27"/>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08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64"/>
    <w:rsid w:val="00464AB7"/>
    <w:rsid w:val="00465DE5"/>
    <w:rsid w:val="00467EF8"/>
    <w:rsid w:val="00471AC3"/>
    <w:rsid w:val="00472429"/>
    <w:rsid w:val="004725E5"/>
    <w:rsid w:val="00472751"/>
    <w:rsid w:val="00473128"/>
    <w:rsid w:val="00473616"/>
    <w:rsid w:val="00475078"/>
    <w:rsid w:val="00475767"/>
    <w:rsid w:val="00475F54"/>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2A0F"/>
    <w:rsid w:val="004C3940"/>
    <w:rsid w:val="004C51FD"/>
    <w:rsid w:val="004C65A8"/>
    <w:rsid w:val="004C6689"/>
    <w:rsid w:val="004D0203"/>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C97"/>
    <w:rsid w:val="00513E7C"/>
    <w:rsid w:val="005140BB"/>
    <w:rsid w:val="00514FBE"/>
    <w:rsid w:val="00514FD9"/>
    <w:rsid w:val="0051550A"/>
    <w:rsid w:val="0051608F"/>
    <w:rsid w:val="00516480"/>
    <w:rsid w:val="005167A9"/>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228"/>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6F08"/>
    <w:rsid w:val="005779E4"/>
    <w:rsid w:val="00580EC7"/>
    <w:rsid w:val="0058289C"/>
    <w:rsid w:val="005836C7"/>
    <w:rsid w:val="0058408E"/>
    <w:rsid w:val="005844C3"/>
    <w:rsid w:val="00585374"/>
    <w:rsid w:val="005854CA"/>
    <w:rsid w:val="00585FAB"/>
    <w:rsid w:val="00590B77"/>
    <w:rsid w:val="00590D9A"/>
    <w:rsid w:val="00591062"/>
    <w:rsid w:val="005913A3"/>
    <w:rsid w:val="00591A5A"/>
    <w:rsid w:val="005940D4"/>
    <w:rsid w:val="00594625"/>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76F"/>
    <w:rsid w:val="005B4DA3"/>
    <w:rsid w:val="005B5BEE"/>
    <w:rsid w:val="005B60F1"/>
    <w:rsid w:val="005B77D2"/>
    <w:rsid w:val="005C0195"/>
    <w:rsid w:val="005C019B"/>
    <w:rsid w:val="005C0562"/>
    <w:rsid w:val="005C08D0"/>
    <w:rsid w:val="005C1AED"/>
    <w:rsid w:val="005C2023"/>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5F36"/>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EEE"/>
    <w:rsid w:val="00620A1F"/>
    <w:rsid w:val="0062169D"/>
    <w:rsid w:val="0062181E"/>
    <w:rsid w:val="0062211B"/>
    <w:rsid w:val="00622BB7"/>
    <w:rsid w:val="00622C1E"/>
    <w:rsid w:val="00623389"/>
    <w:rsid w:val="00623DAA"/>
    <w:rsid w:val="00623FAF"/>
    <w:rsid w:val="00624721"/>
    <w:rsid w:val="006265C4"/>
    <w:rsid w:val="0062678A"/>
    <w:rsid w:val="006270AF"/>
    <w:rsid w:val="00634367"/>
    <w:rsid w:val="00636765"/>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0A4E"/>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095D"/>
    <w:rsid w:val="006C16C3"/>
    <w:rsid w:val="006C2187"/>
    <w:rsid w:val="006C27D9"/>
    <w:rsid w:val="006C32F4"/>
    <w:rsid w:val="006C3C54"/>
    <w:rsid w:val="006C4B6B"/>
    <w:rsid w:val="006C4CA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6F76"/>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2962"/>
    <w:rsid w:val="00712EAE"/>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52A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4E32"/>
    <w:rsid w:val="0076504E"/>
    <w:rsid w:val="00767BFD"/>
    <w:rsid w:val="00767C91"/>
    <w:rsid w:val="00767EA0"/>
    <w:rsid w:val="0077068F"/>
    <w:rsid w:val="00771EDF"/>
    <w:rsid w:val="007722FD"/>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2EB5"/>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7F78"/>
    <w:rsid w:val="007F0179"/>
    <w:rsid w:val="007F2C13"/>
    <w:rsid w:val="007F2CEC"/>
    <w:rsid w:val="007F2ED1"/>
    <w:rsid w:val="007F33A9"/>
    <w:rsid w:val="007F3435"/>
    <w:rsid w:val="007F505D"/>
    <w:rsid w:val="007F531B"/>
    <w:rsid w:val="007F55DE"/>
    <w:rsid w:val="007F762D"/>
    <w:rsid w:val="007F78F0"/>
    <w:rsid w:val="007F78FF"/>
    <w:rsid w:val="008001C5"/>
    <w:rsid w:val="00800F6C"/>
    <w:rsid w:val="00801065"/>
    <w:rsid w:val="00802C0B"/>
    <w:rsid w:val="008044B9"/>
    <w:rsid w:val="0080451B"/>
    <w:rsid w:val="00805040"/>
    <w:rsid w:val="008051FC"/>
    <w:rsid w:val="008055A9"/>
    <w:rsid w:val="008056C4"/>
    <w:rsid w:val="008057FD"/>
    <w:rsid w:val="0080598A"/>
    <w:rsid w:val="00805D8B"/>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2EE1"/>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1AB7"/>
    <w:rsid w:val="00881B4D"/>
    <w:rsid w:val="00882B44"/>
    <w:rsid w:val="008838AD"/>
    <w:rsid w:val="00885BC9"/>
    <w:rsid w:val="008864B3"/>
    <w:rsid w:val="008865E5"/>
    <w:rsid w:val="008871B0"/>
    <w:rsid w:val="00890B57"/>
    <w:rsid w:val="008916BA"/>
    <w:rsid w:val="0089217C"/>
    <w:rsid w:val="00892790"/>
    <w:rsid w:val="00893671"/>
    <w:rsid w:val="00894616"/>
    <w:rsid w:val="00895838"/>
    <w:rsid w:val="00895A1E"/>
    <w:rsid w:val="00895A72"/>
    <w:rsid w:val="00895CDF"/>
    <w:rsid w:val="00896679"/>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143"/>
    <w:rsid w:val="008E28E6"/>
    <w:rsid w:val="008E3232"/>
    <w:rsid w:val="008E3674"/>
    <w:rsid w:val="008E3B6C"/>
    <w:rsid w:val="008E3DE7"/>
    <w:rsid w:val="008E5227"/>
    <w:rsid w:val="008E562C"/>
    <w:rsid w:val="008E57BA"/>
    <w:rsid w:val="008E6540"/>
    <w:rsid w:val="008E6FBE"/>
    <w:rsid w:val="008E77D4"/>
    <w:rsid w:val="008E7ADD"/>
    <w:rsid w:val="008F091F"/>
    <w:rsid w:val="008F17B2"/>
    <w:rsid w:val="008F22B3"/>
    <w:rsid w:val="008F357B"/>
    <w:rsid w:val="008F44CA"/>
    <w:rsid w:val="008F49D3"/>
    <w:rsid w:val="008F6519"/>
    <w:rsid w:val="008F7012"/>
    <w:rsid w:val="008F78CB"/>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98B"/>
    <w:rsid w:val="00905A7C"/>
    <w:rsid w:val="00905D7E"/>
    <w:rsid w:val="00907037"/>
    <w:rsid w:val="00907259"/>
    <w:rsid w:val="00910C5D"/>
    <w:rsid w:val="0091112C"/>
    <w:rsid w:val="0091160A"/>
    <w:rsid w:val="00911762"/>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8C3"/>
    <w:rsid w:val="009321B1"/>
    <w:rsid w:val="009327F0"/>
    <w:rsid w:val="00932ED7"/>
    <w:rsid w:val="0093422D"/>
    <w:rsid w:val="0093483B"/>
    <w:rsid w:val="00934CF9"/>
    <w:rsid w:val="00934DD7"/>
    <w:rsid w:val="00935CB2"/>
    <w:rsid w:val="009369A9"/>
    <w:rsid w:val="00936CF7"/>
    <w:rsid w:val="00937783"/>
    <w:rsid w:val="00937EAD"/>
    <w:rsid w:val="00937F28"/>
    <w:rsid w:val="009409A6"/>
    <w:rsid w:val="00940FE1"/>
    <w:rsid w:val="00941474"/>
    <w:rsid w:val="00941F27"/>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1D3"/>
    <w:rsid w:val="00965443"/>
    <w:rsid w:val="00965954"/>
    <w:rsid w:val="00965A21"/>
    <w:rsid w:val="00965E55"/>
    <w:rsid w:val="0096608E"/>
    <w:rsid w:val="00966522"/>
    <w:rsid w:val="00966C33"/>
    <w:rsid w:val="00970F18"/>
    <w:rsid w:val="00971C4A"/>
    <w:rsid w:val="00971CF1"/>
    <w:rsid w:val="00971F5D"/>
    <w:rsid w:val="009721E9"/>
    <w:rsid w:val="00973772"/>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6759"/>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2B2"/>
    <w:rsid w:val="009C7547"/>
    <w:rsid w:val="009C7687"/>
    <w:rsid w:val="009D05EC"/>
    <w:rsid w:val="009D07C2"/>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3B2B"/>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17B0"/>
    <w:rsid w:val="00A12579"/>
    <w:rsid w:val="00A12CDC"/>
    <w:rsid w:val="00A133D8"/>
    <w:rsid w:val="00A15655"/>
    <w:rsid w:val="00A160B0"/>
    <w:rsid w:val="00A1740C"/>
    <w:rsid w:val="00A17904"/>
    <w:rsid w:val="00A20069"/>
    <w:rsid w:val="00A223C4"/>
    <w:rsid w:val="00A223FA"/>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2E3D"/>
    <w:rsid w:val="00A33B74"/>
    <w:rsid w:val="00A3467F"/>
    <w:rsid w:val="00A34B4C"/>
    <w:rsid w:val="00A35030"/>
    <w:rsid w:val="00A3551A"/>
    <w:rsid w:val="00A355F8"/>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9F5"/>
    <w:rsid w:val="00A45FC0"/>
    <w:rsid w:val="00A46B74"/>
    <w:rsid w:val="00A46EEA"/>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1CF"/>
    <w:rsid w:val="00A7657C"/>
    <w:rsid w:val="00A8026A"/>
    <w:rsid w:val="00A8311C"/>
    <w:rsid w:val="00A835D0"/>
    <w:rsid w:val="00A84C5F"/>
    <w:rsid w:val="00A85930"/>
    <w:rsid w:val="00A863F7"/>
    <w:rsid w:val="00A86604"/>
    <w:rsid w:val="00A87519"/>
    <w:rsid w:val="00A9246D"/>
    <w:rsid w:val="00A92CCA"/>
    <w:rsid w:val="00A93BD0"/>
    <w:rsid w:val="00A93CC2"/>
    <w:rsid w:val="00A94D4B"/>
    <w:rsid w:val="00A974CC"/>
    <w:rsid w:val="00AA2001"/>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340"/>
    <w:rsid w:val="00AF628F"/>
    <w:rsid w:val="00AF7322"/>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082"/>
    <w:rsid w:val="00B22CE0"/>
    <w:rsid w:val="00B23738"/>
    <w:rsid w:val="00B23BEF"/>
    <w:rsid w:val="00B23EA0"/>
    <w:rsid w:val="00B247BB"/>
    <w:rsid w:val="00B2504A"/>
    <w:rsid w:val="00B25EE6"/>
    <w:rsid w:val="00B3115A"/>
    <w:rsid w:val="00B3178B"/>
    <w:rsid w:val="00B31825"/>
    <w:rsid w:val="00B31A5C"/>
    <w:rsid w:val="00B32265"/>
    <w:rsid w:val="00B3276D"/>
    <w:rsid w:val="00B331C2"/>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251"/>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6D2F"/>
    <w:rsid w:val="00BB7323"/>
    <w:rsid w:val="00BB7BE5"/>
    <w:rsid w:val="00BC08BD"/>
    <w:rsid w:val="00BC11E8"/>
    <w:rsid w:val="00BC1B7A"/>
    <w:rsid w:val="00BC2C17"/>
    <w:rsid w:val="00BC3ACD"/>
    <w:rsid w:val="00BC3B20"/>
    <w:rsid w:val="00BC3EE4"/>
    <w:rsid w:val="00BC588C"/>
    <w:rsid w:val="00BC5BBF"/>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917"/>
    <w:rsid w:val="00BE3964"/>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05B4"/>
    <w:rsid w:val="00C01427"/>
    <w:rsid w:val="00C014C7"/>
    <w:rsid w:val="00C031CF"/>
    <w:rsid w:val="00C047AB"/>
    <w:rsid w:val="00C058AF"/>
    <w:rsid w:val="00C05DFC"/>
    <w:rsid w:val="00C075B6"/>
    <w:rsid w:val="00C124C1"/>
    <w:rsid w:val="00C128AE"/>
    <w:rsid w:val="00C12BA8"/>
    <w:rsid w:val="00C13094"/>
    <w:rsid w:val="00C136D6"/>
    <w:rsid w:val="00C13D5B"/>
    <w:rsid w:val="00C141D7"/>
    <w:rsid w:val="00C1711B"/>
    <w:rsid w:val="00C17AE2"/>
    <w:rsid w:val="00C17B5E"/>
    <w:rsid w:val="00C20140"/>
    <w:rsid w:val="00C20F27"/>
    <w:rsid w:val="00C215CF"/>
    <w:rsid w:val="00C2244B"/>
    <w:rsid w:val="00C22711"/>
    <w:rsid w:val="00C2280A"/>
    <w:rsid w:val="00C22B0D"/>
    <w:rsid w:val="00C22BFF"/>
    <w:rsid w:val="00C22DC7"/>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549"/>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478"/>
    <w:rsid w:val="00C827B4"/>
    <w:rsid w:val="00C83214"/>
    <w:rsid w:val="00C8329F"/>
    <w:rsid w:val="00C84F8A"/>
    <w:rsid w:val="00C85BA4"/>
    <w:rsid w:val="00C8618F"/>
    <w:rsid w:val="00C8625D"/>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007D"/>
    <w:rsid w:val="00CA10A2"/>
    <w:rsid w:val="00CA10EC"/>
    <w:rsid w:val="00CA19A6"/>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2F02"/>
    <w:rsid w:val="00CB304C"/>
    <w:rsid w:val="00CB331F"/>
    <w:rsid w:val="00CB3933"/>
    <w:rsid w:val="00CB5010"/>
    <w:rsid w:val="00CB53E8"/>
    <w:rsid w:val="00CB594A"/>
    <w:rsid w:val="00CB5CB2"/>
    <w:rsid w:val="00CB6979"/>
    <w:rsid w:val="00CB7DDE"/>
    <w:rsid w:val="00CC0A3D"/>
    <w:rsid w:val="00CC109E"/>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3CF"/>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5EF"/>
    <w:rsid w:val="00D01CF9"/>
    <w:rsid w:val="00D0334D"/>
    <w:rsid w:val="00D0374D"/>
    <w:rsid w:val="00D03C27"/>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18C9"/>
    <w:rsid w:val="00D31D02"/>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A02"/>
    <w:rsid w:val="00D52BBC"/>
    <w:rsid w:val="00D537FE"/>
    <w:rsid w:val="00D53CC9"/>
    <w:rsid w:val="00D54A6A"/>
    <w:rsid w:val="00D54B8F"/>
    <w:rsid w:val="00D55848"/>
    <w:rsid w:val="00D55951"/>
    <w:rsid w:val="00D559F0"/>
    <w:rsid w:val="00D5650F"/>
    <w:rsid w:val="00D57EB6"/>
    <w:rsid w:val="00D608C0"/>
    <w:rsid w:val="00D60B0E"/>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E0784"/>
    <w:rsid w:val="00DE0A1D"/>
    <w:rsid w:val="00DE15B2"/>
    <w:rsid w:val="00DE1A9A"/>
    <w:rsid w:val="00DE1DD1"/>
    <w:rsid w:val="00DE3D2C"/>
    <w:rsid w:val="00DE5130"/>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4FF"/>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57B"/>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4AA8"/>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C61"/>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1D"/>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545"/>
    <w:rsid w:val="00F51A21"/>
    <w:rsid w:val="00F52614"/>
    <w:rsid w:val="00F5276E"/>
    <w:rsid w:val="00F52E9F"/>
    <w:rsid w:val="00F53304"/>
    <w:rsid w:val="00F53B81"/>
    <w:rsid w:val="00F540FE"/>
    <w:rsid w:val="00F5459A"/>
    <w:rsid w:val="00F54BC0"/>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C7F08"/>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40C"/>
    <w:rsid w:val="00FE57DE"/>
    <w:rsid w:val="00FE7A68"/>
    <w:rsid w:val="00FF0231"/>
    <w:rsid w:val="00FF1C9B"/>
    <w:rsid w:val="00FF1D49"/>
    <w:rsid w:val="00FF203B"/>
    <w:rsid w:val="00FF2562"/>
    <w:rsid w:val="00FF3A41"/>
    <w:rsid w:val="00FF3E5B"/>
    <w:rsid w:val="00FF57E4"/>
    <w:rsid w:val="00FF78E5"/>
    <w:rsid w:val="012C5FAF"/>
    <w:rsid w:val="01422674"/>
    <w:rsid w:val="01AF3D99"/>
    <w:rsid w:val="01BB3CD7"/>
    <w:rsid w:val="02511F9D"/>
    <w:rsid w:val="027343D4"/>
    <w:rsid w:val="03A314B8"/>
    <w:rsid w:val="03B41868"/>
    <w:rsid w:val="03B83464"/>
    <w:rsid w:val="03D82B98"/>
    <w:rsid w:val="03E566E5"/>
    <w:rsid w:val="03F83E8B"/>
    <w:rsid w:val="0441696E"/>
    <w:rsid w:val="0449319B"/>
    <w:rsid w:val="047D5E32"/>
    <w:rsid w:val="04905689"/>
    <w:rsid w:val="04A656AB"/>
    <w:rsid w:val="055760E4"/>
    <w:rsid w:val="05BD222C"/>
    <w:rsid w:val="05C56868"/>
    <w:rsid w:val="06403368"/>
    <w:rsid w:val="06451DC1"/>
    <w:rsid w:val="070527F3"/>
    <w:rsid w:val="07A539BD"/>
    <w:rsid w:val="07B72767"/>
    <w:rsid w:val="08077E72"/>
    <w:rsid w:val="08252107"/>
    <w:rsid w:val="083957AE"/>
    <w:rsid w:val="08437DA7"/>
    <w:rsid w:val="08767AC0"/>
    <w:rsid w:val="08882DD0"/>
    <w:rsid w:val="0891184C"/>
    <w:rsid w:val="09152AE9"/>
    <w:rsid w:val="09821F29"/>
    <w:rsid w:val="09CC2AAC"/>
    <w:rsid w:val="0A652D3E"/>
    <w:rsid w:val="0A7B5821"/>
    <w:rsid w:val="0B326F2A"/>
    <w:rsid w:val="0B7F429A"/>
    <w:rsid w:val="0B907B0B"/>
    <w:rsid w:val="0C006EB6"/>
    <w:rsid w:val="0C1E2888"/>
    <w:rsid w:val="0C632A09"/>
    <w:rsid w:val="0C6635BB"/>
    <w:rsid w:val="0C92213C"/>
    <w:rsid w:val="0CB27B09"/>
    <w:rsid w:val="0CB657C6"/>
    <w:rsid w:val="0CC2027E"/>
    <w:rsid w:val="0D84032B"/>
    <w:rsid w:val="0D8F1494"/>
    <w:rsid w:val="0DD37E8E"/>
    <w:rsid w:val="0E010E09"/>
    <w:rsid w:val="0E1125BE"/>
    <w:rsid w:val="0E35710A"/>
    <w:rsid w:val="0E927B6D"/>
    <w:rsid w:val="0F257022"/>
    <w:rsid w:val="0F2A74C4"/>
    <w:rsid w:val="0F5E5674"/>
    <w:rsid w:val="0F6C33D1"/>
    <w:rsid w:val="0F7B350F"/>
    <w:rsid w:val="0FD8005B"/>
    <w:rsid w:val="10053D44"/>
    <w:rsid w:val="10A27F31"/>
    <w:rsid w:val="10FE773C"/>
    <w:rsid w:val="11190E32"/>
    <w:rsid w:val="11744968"/>
    <w:rsid w:val="11927058"/>
    <w:rsid w:val="11F0700F"/>
    <w:rsid w:val="11F34CE2"/>
    <w:rsid w:val="11F83333"/>
    <w:rsid w:val="120E171E"/>
    <w:rsid w:val="121919AA"/>
    <w:rsid w:val="12DC3213"/>
    <w:rsid w:val="12FD3DE8"/>
    <w:rsid w:val="13074197"/>
    <w:rsid w:val="1348303B"/>
    <w:rsid w:val="13505CD7"/>
    <w:rsid w:val="13647041"/>
    <w:rsid w:val="13653925"/>
    <w:rsid w:val="13AF4F03"/>
    <w:rsid w:val="146F7449"/>
    <w:rsid w:val="14736E66"/>
    <w:rsid w:val="147F458F"/>
    <w:rsid w:val="14E37173"/>
    <w:rsid w:val="151A7AAE"/>
    <w:rsid w:val="152F4368"/>
    <w:rsid w:val="1534169A"/>
    <w:rsid w:val="153969EB"/>
    <w:rsid w:val="15C03E03"/>
    <w:rsid w:val="162A25EB"/>
    <w:rsid w:val="165C18E1"/>
    <w:rsid w:val="16735895"/>
    <w:rsid w:val="16A738EE"/>
    <w:rsid w:val="16DC3424"/>
    <w:rsid w:val="16FD2A55"/>
    <w:rsid w:val="17067C1A"/>
    <w:rsid w:val="17366761"/>
    <w:rsid w:val="177C01F0"/>
    <w:rsid w:val="179E3EFA"/>
    <w:rsid w:val="17AC1CA0"/>
    <w:rsid w:val="17CE6630"/>
    <w:rsid w:val="18305738"/>
    <w:rsid w:val="18884B1E"/>
    <w:rsid w:val="18935DFD"/>
    <w:rsid w:val="18991417"/>
    <w:rsid w:val="18E216F1"/>
    <w:rsid w:val="19004C95"/>
    <w:rsid w:val="19176DF3"/>
    <w:rsid w:val="193A5474"/>
    <w:rsid w:val="19523199"/>
    <w:rsid w:val="19544C88"/>
    <w:rsid w:val="19CA6D19"/>
    <w:rsid w:val="19D856FB"/>
    <w:rsid w:val="19F232F7"/>
    <w:rsid w:val="1A2E191E"/>
    <w:rsid w:val="1A400152"/>
    <w:rsid w:val="1A943DE0"/>
    <w:rsid w:val="1AB464DD"/>
    <w:rsid w:val="1AFC2F3E"/>
    <w:rsid w:val="1AFF0AFE"/>
    <w:rsid w:val="1B3B59F9"/>
    <w:rsid w:val="1B4F19F8"/>
    <w:rsid w:val="1B966F53"/>
    <w:rsid w:val="1BD47CB4"/>
    <w:rsid w:val="1CA1462E"/>
    <w:rsid w:val="1D4C4E33"/>
    <w:rsid w:val="1D5D2E7D"/>
    <w:rsid w:val="1D6E17A5"/>
    <w:rsid w:val="1D6F6EC9"/>
    <w:rsid w:val="1DA358F3"/>
    <w:rsid w:val="1DA82904"/>
    <w:rsid w:val="1DCD2970"/>
    <w:rsid w:val="1E14059F"/>
    <w:rsid w:val="1E17071F"/>
    <w:rsid w:val="1ECC44FA"/>
    <w:rsid w:val="1EDC1FE0"/>
    <w:rsid w:val="1EE27CB7"/>
    <w:rsid w:val="1F063325"/>
    <w:rsid w:val="1F117043"/>
    <w:rsid w:val="1F1C3BAF"/>
    <w:rsid w:val="1F3630F9"/>
    <w:rsid w:val="1F591481"/>
    <w:rsid w:val="1F5965C2"/>
    <w:rsid w:val="1FAA1E71"/>
    <w:rsid w:val="1FBA0A04"/>
    <w:rsid w:val="1FBC5DF5"/>
    <w:rsid w:val="1FEF39F7"/>
    <w:rsid w:val="1FF90588"/>
    <w:rsid w:val="20207EBE"/>
    <w:rsid w:val="20C3623F"/>
    <w:rsid w:val="21781212"/>
    <w:rsid w:val="21B83F86"/>
    <w:rsid w:val="21F52068"/>
    <w:rsid w:val="221178A8"/>
    <w:rsid w:val="221213CF"/>
    <w:rsid w:val="22327A92"/>
    <w:rsid w:val="223A755D"/>
    <w:rsid w:val="22721469"/>
    <w:rsid w:val="22847A77"/>
    <w:rsid w:val="22C81958"/>
    <w:rsid w:val="22DD13E9"/>
    <w:rsid w:val="230B2D68"/>
    <w:rsid w:val="231D53A2"/>
    <w:rsid w:val="234601E5"/>
    <w:rsid w:val="23470DD3"/>
    <w:rsid w:val="236D5383"/>
    <w:rsid w:val="23B7504C"/>
    <w:rsid w:val="242F138A"/>
    <w:rsid w:val="24571307"/>
    <w:rsid w:val="24593ED1"/>
    <w:rsid w:val="247D119E"/>
    <w:rsid w:val="24AA08F4"/>
    <w:rsid w:val="24D17E20"/>
    <w:rsid w:val="24E63832"/>
    <w:rsid w:val="24FB2766"/>
    <w:rsid w:val="25110A2A"/>
    <w:rsid w:val="256C0944"/>
    <w:rsid w:val="259E6D5D"/>
    <w:rsid w:val="25D96410"/>
    <w:rsid w:val="261E5451"/>
    <w:rsid w:val="263E265D"/>
    <w:rsid w:val="26446DE3"/>
    <w:rsid w:val="26877DFE"/>
    <w:rsid w:val="269669E7"/>
    <w:rsid w:val="26A270C1"/>
    <w:rsid w:val="26D7699F"/>
    <w:rsid w:val="27082C6B"/>
    <w:rsid w:val="27181BB4"/>
    <w:rsid w:val="277170F8"/>
    <w:rsid w:val="278F7E44"/>
    <w:rsid w:val="27965C2C"/>
    <w:rsid w:val="27AD790E"/>
    <w:rsid w:val="27FE23ED"/>
    <w:rsid w:val="28085302"/>
    <w:rsid w:val="281B10C1"/>
    <w:rsid w:val="28781C83"/>
    <w:rsid w:val="28867AC4"/>
    <w:rsid w:val="29D75F7F"/>
    <w:rsid w:val="2A102562"/>
    <w:rsid w:val="2A293CC6"/>
    <w:rsid w:val="2A3B5AA5"/>
    <w:rsid w:val="2A6A44ED"/>
    <w:rsid w:val="2B774624"/>
    <w:rsid w:val="2BAF0759"/>
    <w:rsid w:val="2BF20F38"/>
    <w:rsid w:val="2C613BAE"/>
    <w:rsid w:val="2C7A72BE"/>
    <w:rsid w:val="2C982CBF"/>
    <w:rsid w:val="2C9A7824"/>
    <w:rsid w:val="2C9A7D75"/>
    <w:rsid w:val="2CC17412"/>
    <w:rsid w:val="2CFC5D40"/>
    <w:rsid w:val="2D033C32"/>
    <w:rsid w:val="2D7C1E99"/>
    <w:rsid w:val="2DC94363"/>
    <w:rsid w:val="2DF16774"/>
    <w:rsid w:val="2E696820"/>
    <w:rsid w:val="2E6975DD"/>
    <w:rsid w:val="2E9976CE"/>
    <w:rsid w:val="2EE30C4F"/>
    <w:rsid w:val="2EF01DEE"/>
    <w:rsid w:val="2F0040F0"/>
    <w:rsid w:val="2F401D3C"/>
    <w:rsid w:val="2F497EB9"/>
    <w:rsid w:val="2F523460"/>
    <w:rsid w:val="2F5B24E1"/>
    <w:rsid w:val="2F9F4A06"/>
    <w:rsid w:val="2FA95C88"/>
    <w:rsid w:val="2FE749FC"/>
    <w:rsid w:val="2FFA64ED"/>
    <w:rsid w:val="2FFB511A"/>
    <w:rsid w:val="30032221"/>
    <w:rsid w:val="30105AD1"/>
    <w:rsid w:val="3041370F"/>
    <w:rsid w:val="30B87FED"/>
    <w:rsid w:val="30CC42CB"/>
    <w:rsid w:val="30E97264"/>
    <w:rsid w:val="311134A1"/>
    <w:rsid w:val="312B50A3"/>
    <w:rsid w:val="31894FD2"/>
    <w:rsid w:val="318B3D1F"/>
    <w:rsid w:val="31D2678E"/>
    <w:rsid w:val="31D9039F"/>
    <w:rsid w:val="321D46FF"/>
    <w:rsid w:val="32453A27"/>
    <w:rsid w:val="3263064A"/>
    <w:rsid w:val="328E75C5"/>
    <w:rsid w:val="32A43132"/>
    <w:rsid w:val="32AC0C06"/>
    <w:rsid w:val="33344EF5"/>
    <w:rsid w:val="34640A9B"/>
    <w:rsid w:val="347B0040"/>
    <w:rsid w:val="348F47A2"/>
    <w:rsid w:val="3493584A"/>
    <w:rsid w:val="34A645FC"/>
    <w:rsid w:val="34B438AD"/>
    <w:rsid w:val="34DA4A40"/>
    <w:rsid w:val="3537750C"/>
    <w:rsid w:val="3537798C"/>
    <w:rsid w:val="35C13FC9"/>
    <w:rsid w:val="36372B05"/>
    <w:rsid w:val="364257B6"/>
    <w:rsid w:val="370E5457"/>
    <w:rsid w:val="37255FE6"/>
    <w:rsid w:val="37B2533F"/>
    <w:rsid w:val="37EA5922"/>
    <w:rsid w:val="38276B93"/>
    <w:rsid w:val="382E58B8"/>
    <w:rsid w:val="3837009B"/>
    <w:rsid w:val="38AC3431"/>
    <w:rsid w:val="39147353"/>
    <w:rsid w:val="392F2E16"/>
    <w:rsid w:val="39643C51"/>
    <w:rsid w:val="39BF30E5"/>
    <w:rsid w:val="39E00529"/>
    <w:rsid w:val="3A0B64A7"/>
    <w:rsid w:val="3A274240"/>
    <w:rsid w:val="3A574DDA"/>
    <w:rsid w:val="3A5F6F36"/>
    <w:rsid w:val="3A7158D5"/>
    <w:rsid w:val="3AC3165B"/>
    <w:rsid w:val="3AD3075A"/>
    <w:rsid w:val="3AF74C02"/>
    <w:rsid w:val="3B5B4297"/>
    <w:rsid w:val="3B5B5EBD"/>
    <w:rsid w:val="3B9A0337"/>
    <w:rsid w:val="3BC35686"/>
    <w:rsid w:val="3BC7734D"/>
    <w:rsid w:val="3BD30B1D"/>
    <w:rsid w:val="3C0059A5"/>
    <w:rsid w:val="3C134E78"/>
    <w:rsid w:val="3C734932"/>
    <w:rsid w:val="3CFF4138"/>
    <w:rsid w:val="3D167BD0"/>
    <w:rsid w:val="3DA32BA4"/>
    <w:rsid w:val="3DF6345D"/>
    <w:rsid w:val="3E2B5515"/>
    <w:rsid w:val="3E3706F5"/>
    <w:rsid w:val="3E4D4F28"/>
    <w:rsid w:val="3ED92EC4"/>
    <w:rsid w:val="3EE13701"/>
    <w:rsid w:val="3F1A4BB3"/>
    <w:rsid w:val="3F3A6F3A"/>
    <w:rsid w:val="3F5115CA"/>
    <w:rsid w:val="3F576F7C"/>
    <w:rsid w:val="3FD50795"/>
    <w:rsid w:val="400E3401"/>
    <w:rsid w:val="40192BA6"/>
    <w:rsid w:val="401B7444"/>
    <w:rsid w:val="40273D0A"/>
    <w:rsid w:val="40956CBB"/>
    <w:rsid w:val="40B94801"/>
    <w:rsid w:val="40F179C4"/>
    <w:rsid w:val="412C76DA"/>
    <w:rsid w:val="41766EA9"/>
    <w:rsid w:val="41B02A6F"/>
    <w:rsid w:val="41BB488B"/>
    <w:rsid w:val="422B0FCC"/>
    <w:rsid w:val="42550A18"/>
    <w:rsid w:val="4278075F"/>
    <w:rsid w:val="429D496A"/>
    <w:rsid w:val="42E67EAC"/>
    <w:rsid w:val="42F473A1"/>
    <w:rsid w:val="432558D0"/>
    <w:rsid w:val="43704BBA"/>
    <w:rsid w:val="437217EA"/>
    <w:rsid w:val="43AB7156"/>
    <w:rsid w:val="43AC5162"/>
    <w:rsid w:val="44052444"/>
    <w:rsid w:val="441E62C0"/>
    <w:rsid w:val="444560A1"/>
    <w:rsid w:val="445204E1"/>
    <w:rsid w:val="44637801"/>
    <w:rsid w:val="44DA57EF"/>
    <w:rsid w:val="45325D14"/>
    <w:rsid w:val="45811C7C"/>
    <w:rsid w:val="45906116"/>
    <w:rsid w:val="45931B8C"/>
    <w:rsid w:val="45EF2552"/>
    <w:rsid w:val="45F4204A"/>
    <w:rsid w:val="468B3EFB"/>
    <w:rsid w:val="46A26D6F"/>
    <w:rsid w:val="46E413F8"/>
    <w:rsid w:val="46FD4D8F"/>
    <w:rsid w:val="47026782"/>
    <w:rsid w:val="470A6193"/>
    <w:rsid w:val="47385210"/>
    <w:rsid w:val="475510F8"/>
    <w:rsid w:val="47DC4F5C"/>
    <w:rsid w:val="48333DF4"/>
    <w:rsid w:val="48815FD3"/>
    <w:rsid w:val="48816EE0"/>
    <w:rsid w:val="48A81332"/>
    <w:rsid w:val="48B40671"/>
    <w:rsid w:val="490E5A09"/>
    <w:rsid w:val="499B5738"/>
    <w:rsid w:val="499F244D"/>
    <w:rsid w:val="49CC6CA5"/>
    <w:rsid w:val="49EC4B2F"/>
    <w:rsid w:val="49F10820"/>
    <w:rsid w:val="49F81B8C"/>
    <w:rsid w:val="4A2610EA"/>
    <w:rsid w:val="4A973F3F"/>
    <w:rsid w:val="4A9B244E"/>
    <w:rsid w:val="4AF96BC7"/>
    <w:rsid w:val="4B2634BB"/>
    <w:rsid w:val="4B3322A2"/>
    <w:rsid w:val="4B7645F1"/>
    <w:rsid w:val="4B862A85"/>
    <w:rsid w:val="4BCA4542"/>
    <w:rsid w:val="4BF21670"/>
    <w:rsid w:val="4C0218BC"/>
    <w:rsid w:val="4C431ECB"/>
    <w:rsid w:val="4CA22BC6"/>
    <w:rsid w:val="4CEF36E2"/>
    <w:rsid w:val="4CEF4DC5"/>
    <w:rsid w:val="4D057932"/>
    <w:rsid w:val="4D124493"/>
    <w:rsid w:val="4D73233C"/>
    <w:rsid w:val="4D93478D"/>
    <w:rsid w:val="4E257655"/>
    <w:rsid w:val="4E351802"/>
    <w:rsid w:val="4E40569A"/>
    <w:rsid w:val="4F1148B1"/>
    <w:rsid w:val="4F200936"/>
    <w:rsid w:val="4F372380"/>
    <w:rsid w:val="4F372FFB"/>
    <w:rsid w:val="4F6C646A"/>
    <w:rsid w:val="4FE47859"/>
    <w:rsid w:val="4FF84D7B"/>
    <w:rsid w:val="5025116D"/>
    <w:rsid w:val="5064618B"/>
    <w:rsid w:val="50F85903"/>
    <w:rsid w:val="512E0434"/>
    <w:rsid w:val="514F56DF"/>
    <w:rsid w:val="51E60623"/>
    <w:rsid w:val="51FE2487"/>
    <w:rsid w:val="521265C8"/>
    <w:rsid w:val="52395ECD"/>
    <w:rsid w:val="527347F4"/>
    <w:rsid w:val="52C10D75"/>
    <w:rsid w:val="53243F03"/>
    <w:rsid w:val="53305B13"/>
    <w:rsid w:val="53316633"/>
    <w:rsid w:val="538840FE"/>
    <w:rsid w:val="53946809"/>
    <w:rsid w:val="53C27FF8"/>
    <w:rsid w:val="546D7169"/>
    <w:rsid w:val="54806794"/>
    <w:rsid w:val="549E1A80"/>
    <w:rsid w:val="54C658F4"/>
    <w:rsid w:val="54DD72B0"/>
    <w:rsid w:val="550C4BD7"/>
    <w:rsid w:val="554C1D56"/>
    <w:rsid w:val="55572986"/>
    <w:rsid w:val="55A63F48"/>
    <w:rsid w:val="565340FA"/>
    <w:rsid w:val="56AD5F59"/>
    <w:rsid w:val="56C60774"/>
    <w:rsid w:val="56CB758B"/>
    <w:rsid w:val="57B12A52"/>
    <w:rsid w:val="57DA7B21"/>
    <w:rsid w:val="57EC0572"/>
    <w:rsid w:val="5814296E"/>
    <w:rsid w:val="581D7A74"/>
    <w:rsid w:val="582342A2"/>
    <w:rsid w:val="5863649E"/>
    <w:rsid w:val="58BB65EE"/>
    <w:rsid w:val="59117F92"/>
    <w:rsid w:val="59C86EA5"/>
    <w:rsid w:val="59EC5950"/>
    <w:rsid w:val="5A290952"/>
    <w:rsid w:val="5A2F2CC8"/>
    <w:rsid w:val="5AB47A98"/>
    <w:rsid w:val="5B840C4D"/>
    <w:rsid w:val="5BBC45C9"/>
    <w:rsid w:val="5BF2227B"/>
    <w:rsid w:val="5C10702D"/>
    <w:rsid w:val="5C152601"/>
    <w:rsid w:val="5C591F03"/>
    <w:rsid w:val="5C8A1B2F"/>
    <w:rsid w:val="5CF32FDE"/>
    <w:rsid w:val="5D9222F6"/>
    <w:rsid w:val="5E4222CF"/>
    <w:rsid w:val="5E856A40"/>
    <w:rsid w:val="5F561B72"/>
    <w:rsid w:val="5F6559ED"/>
    <w:rsid w:val="5F674DEA"/>
    <w:rsid w:val="5F74227E"/>
    <w:rsid w:val="602E1289"/>
    <w:rsid w:val="60432529"/>
    <w:rsid w:val="606007BB"/>
    <w:rsid w:val="606E4588"/>
    <w:rsid w:val="60AC7F66"/>
    <w:rsid w:val="61366890"/>
    <w:rsid w:val="61BB17FA"/>
    <w:rsid w:val="61BF10D9"/>
    <w:rsid w:val="62AC22DC"/>
    <w:rsid w:val="63231EFF"/>
    <w:rsid w:val="639F0EE0"/>
    <w:rsid w:val="63A22BFD"/>
    <w:rsid w:val="64030466"/>
    <w:rsid w:val="642A6C7B"/>
    <w:rsid w:val="644269FA"/>
    <w:rsid w:val="646215BF"/>
    <w:rsid w:val="64E45EF7"/>
    <w:rsid w:val="64EB57C1"/>
    <w:rsid w:val="652A1A23"/>
    <w:rsid w:val="6566711C"/>
    <w:rsid w:val="65782C22"/>
    <w:rsid w:val="658F1FFE"/>
    <w:rsid w:val="65D50C45"/>
    <w:rsid w:val="65DF3C56"/>
    <w:rsid w:val="65EB4315"/>
    <w:rsid w:val="661318FC"/>
    <w:rsid w:val="66342450"/>
    <w:rsid w:val="66655463"/>
    <w:rsid w:val="6691014E"/>
    <w:rsid w:val="66C87CCE"/>
    <w:rsid w:val="67461FC9"/>
    <w:rsid w:val="677435B2"/>
    <w:rsid w:val="67B81568"/>
    <w:rsid w:val="67D06D8C"/>
    <w:rsid w:val="67EF75F1"/>
    <w:rsid w:val="68033400"/>
    <w:rsid w:val="683871EB"/>
    <w:rsid w:val="683E1A6D"/>
    <w:rsid w:val="684F4F11"/>
    <w:rsid w:val="68896A60"/>
    <w:rsid w:val="68C957AD"/>
    <w:rsid w:val="68E1201D"/>
    <w:rsid w:val="68FB1130"/>
    <w:rsid w:val="69124F16"/>
    <w:rsid w:val="692C02C4"/>
    <w:rsid w:val="69973FD3"/>
    <w:rsid w:val="69A71451"/>
    <w:rsid w:val="69CD5C14"/>
    <w:rsid w:val="69CF0D33"/>
    <w:rsid w:val="69F8604F"/>
    <w:rsid w:val="6A1E78CE"/>
    <w:rsid w:val="6A257CF2"/>
    <w:rsid w:val="6A2C2619"/>
    <w:rsid w:val="6A822A1B"/>
    <w:rsid w:val="6AF719EC"/>
    <w:rsid w:val="6B435EE3"/>
    <w:rsid w:val="6B9946B3"/>
    <w:rsid w:val="6BA1131F"/>
    <w:rsid w:val="6BB42144"/>
    <w:rsid w:val="6BE518DA"/>
    <w:rsid w:val="6C276F3A"/>
    <w:rsid w:val="6C7007C7"/>
    <w:rsid w:val="6DE76850"/>
    <w:rsid w:val="6E1F7907"/>
    <w:rsid w:val="6E5F305D"/>
    <w:rsid w:val="6EA97E5C"/>
    <w:rsid w:val="6EBD6AD7"/>
    <w:rsid w:val="6EDE751D"/>
    <w:rsid w:val="6FB20BD4"/>
    <w:rsid w:val="6FBA59BE"/>
    <w:rsid w:val="70296B3E"/>
    <w:rsid w:val="703B362B"/>
    <w:rsid w:val="70611204"/>
    <w:rsid w:val="70810A07"/>
    <w:rsid w:val="71246473"/>
    <w:rsid w:val="7165620F"/>
    <w:rsid w:val="717039F8"/>
    <w:rsid w:val="718445FD"/>
    <w:rsid w:val="71AD4E21"/>
    <w:rsid w:val="72225F5B"/>
    <w:rsid w:val="723C2B1C"/>
    <w:rsid w:val="724A54B2"/>
    <w:rsid w:val="726A7B88"/>
    <w:rsid w:val="727209BA"/>
    <w:rsid w:val="729A613D"/>
    <w:rsid w:val="72B7787D"/>
    <w:rsid w:val="737C3CE1"/>
    <w:rsid w:val="73B64CD5"/>
    <w:rsid w:val="73BE63F0"/>
    <w:rsid w:val="74D13AD5"/>
    <w:rsid w:val="74DD0860"/>
    <w:rsid w:val="74F04754"/>
    <w:rsid w:val="74FA2C30"/>
    <w:rsid w:val="752A78A4"/>
    <w:rsid w:val="754D5C4B"/>
    <w:rsid w:val="75CA75B0"/>
    <w:rsid w:val="76100C6E"/>
    <w:rsid w:val="76AE029C"/>
    <w:rsid w:val="76C240A7"/>
    <w:rsid w:val="76DA416A"/>
    <w:rsid w:val="7709405E"/>
    <w:rsid w:val="775246B7"/>
    <w:rsid w:val="77B35EEF"/>
    <w:rsid w:val="781E69D1"/>
    <w:rsid w:val="7847083A"/>
    <w:rsid w:val="784F08C2"/>
    <w:rsid w:val="789F03B4"/>
    <w:rsid w:val="78B464D6"/>
    <w:rsid w:val="7901747F"/>
    <w:rsid w:val="79A93406"/>
    <w:rsid w:val="79CD0EA3"/>
    <w:rsid w:val="7A056BAC"/>
    <w:rsid w:val="7A0C75AC"/>
    <w:rsid w:val="7A1F5BDD"/>
    <w:rsid w:val="7A263B6B"/>
    <w:rsid w:val="7A8B6616"/>
    <w:rsid w:val="7AF46346"/>
    <w:rsid w:val="7B0F5EBF"/>
    <w:rsid w:val="7B130FB9"/>
    <w:rsid w:val="7B3949FB"/>
    <w:rsid w:val="7BA854F3"/>
    <w:rsid w:val="7BD71E38"/>
    <w:rsid w:val="7BF64EDE"/>
    <w:rsid w:val="7C173D47"/>
    <w:rsid w:val="7C400C1E"/>
    <w:rsid w:val="7CD23C96"/>
    <w:rsid w:val="7D2F3D6B"/>
    <w:rsid w:val="7D8C2E23"/>
    <w:rsid w:val="7DAC3A38"/>
    <w:rsid w:val="7DD11708"/>
    <w:rsid w:val="7DEE4A4F"/>
    <w:rsid w:val="7EAC4C05"/>
    <w:rsid w:val="7EAE6230"/>
    <w:rsid w:val="7EBD579E"/>
    <w:rsid w:val="7EC167BD"/>
    <w:rsid w:val="7EE50918"/>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7"/>
    <w:qFormat/>
    <w:uiPriority w:val="9"/>
    <w:pPr>
      <w:keepNext/>
      <w:keepLines/>
      <w:spacing w:before="280" w:after="290" w:line="376" w:lineRule="auto"/>
      <w:outlineLvl w:val="4"/>
    </w:pPr>
    <w:rPr>
      <w:b/>
      <w:bCs/>
      <w:sz w:val="28"/>
      <w:szCs w:val="28"/>
    </w:rPr>
  </w:style>
  <w:style w:type="paragraph" w:styleId="8">
    <w:name w:val="heading 8"/>
    <w:basedOn w:val="1"/>
    <w:next w:val="1"/>
    <w:link w:val="38"/>
    <w:qFormat/>
    <w:uiPriority w:val="9"/>
    <w:pPr>
      <w:keepNext/>
      <w:keepLines/>
      <w:spacing w:before="240" w:after="64" w:line="320" w:lineRule="auto"/>
      <w:outlineLvl w:val="7"/>
    </w:pPr>
    <w:rPr>
      <w:rFonts w:ascii="等线 Light" w:hAnsi="等线 Light" w:eastAsia="等线 Light"/>
      <w:sz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39"/>
    <w:qFormat/>
    <w:uiPriority w:val="0"/>
    <w:pPr>
      <w:jc w:val="left"/>
    </w:pPr>
  </w:style>
  <w:style w:type="paragraph" w:styleId="11">
    <w:name w:val="Body Text 3"/>
    <w:basedOn w:val="1"/>
    <w:link w:val="40"/>
    <w:unhideWhenUsed/>
    <w:qFormat/>
    <w:uiPriority w:val="99"/>
    <w:pPr>
      <w:spacing w:after="120"/>
    </w:pPr>
    <w:rPr>
      <w:sz w:val="16"/>
      <w:szCs w:val="16"/>
    </w:rPr>
  </w:style>
  <w:style w:type="paragraph" w:styleId="12">
    <w:name w:val="Body Text"/>
    <w:basedOn w:val="1"/>
    <w:next w:val="13"/>
    <w:link w:val="41"/>
    <w:unhideWhenUsed/>
    <w:qFormat/>
    <w:uiPriority w:val="0"/>
    <w:pPr>
      <w:spacing w:after="120"/>
    </w:pPr>
  </w:style>
  <w:style w:type="paragraph" w:styleId="13">
    <w:name w:val="Title"/>
    <w:basedOn w:val="1"/>
    <w:next w:val="1"/>
    <w:qFormat/>
    <w:uiPriority w:val="0"/>
    <w:pPr>
      <w:spacing w:before="240" w:after="60"/>
      <w:jc w:val="center"/>
      <w:outlineLvl w:val="0"/>
    </w:pPr>
    <w:rPr>
      <w:rFonts w:ascii="Arial" w:hAnsi="Arial"/>
      <w:b/>
      <w:sz w:val="32"/>
    </w:rPr>
  </w:style>
  <w:style w:type="paragraph" w:styleId="14">
    <w:name w:val="Body Text Indent"/>
    <w:basedOn w:val="1"/>
    <w:link w:val="4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link w:val="43"/>
    <w:qFormat/>
    <w:uiPriority w:val="0"/>
    <w:rPr>
      <w:rFonts w:ascii="宋体" w:hAnsi="Courier New"/>
      <w:kern w:val="0"/>
      <w:sz w:val="20"/>
      <w:szCs w:val="21"/>
    </w:rPr>
  </w:style>
  <w:style w:type="paragraph" w:styleId="17">
    <w:name w:val="Date"/>
    <w:basedOn w:val="1"/>
    <w:next w:val="1"/>
    <w:link w:val="44"/>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45"/>
    <w:unhideWhenUsed/>
    <w:qFormat/>
    <w:uiPriority w:val="99"/>
    <w:pPr>
      <w:tabs>
        <w:tab w:val="center" w:pos="4153"/>
        <w:tab w:val="right" w:pos="8306"/>
      </w:tabs>
      <w:snapToGrid w:val="0"/>
      <w:jc w:val="left"/>
    </w:pPr>
    <w:rPr>
      <w:kern w:val="0"/>
      <w:sz w:val="18"/>
      <w:szCs w:val="18"/>
    </w:rPr>
  </w:style>
  <w:style w:type="paragraph" w:styleId="2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4">
    <w:name w:val="annotation subject"/>
    <w:basedOn w:val="10"/>
    <w:next w:val="10"/>
    <w:link w:val="47"/>
    <w:qFormat/>
    <w:uiPriority w:val="99"/>
    <w:rPr>
      <w:b/>
      <w:bCs/>
    </w:rPr>
  </w:style>
  <w:style w:type="paragraph" w:styleId="25">
    <w:name w:val="Body Text First Indent"/>
    <w:basedOn w:val="12"/>
    <w:qFormat/>
    <w:uiPriority w:val="0"/>
    <w:pPr>
      <w:spacing w:after="120"/>
      <w:ind w:firstLine="420" w:firstLineChars="100"/>
    </w:pPr>
    <w:rPr>
      <w:rFonts w:ascii="Times New Roman" w:hAnsi="Times New Roman"/>
    </w:rPr>
  </w:style>
  <w:style w:type="paragraph" w:styleId="26">
    <w:name w:val="Body Text First Indent 2"/>
    <w:basedOn w:val="14"/>
    <w:qFormat/>
    <w:uiPriority w:val="0"/>
    <w:pPr>
      <w:ind w:left="0" w:leftChars="0" w:firstLine="40"/>
    </w:pPr>
    <w:rPr>
      <w:rFonts w:ascii="仿宋_GB2312" w:hAnsi="仿宋_GB2312" w:eastAsia="仿宋" w:cs="仿宋_GB2312"/>
      <w:sz w:val="32"/>
      <w:szCs w:val="32"/>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endnote reference"/>
    <w:unhideWhenUsed/>
    <w:qFormat/>
    <w:uiPriority w:val="99"/>
    <w:rPr>
      <w:vertAlign w:val="superscript"/>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styleId="33">
    <w:name w:val="HTML Sample"/>
    <w:unhideWhenUsed/>
    <w:qFormat/>
    <w:uiPriority w:val="99"/>
    <w:rPr>
      <w:rFonts w:ascii="Courier New" w:hAnsi="Courier New"/>
    </w:rPr>
  </w:style>
  <w:style w:type="character" w:customStyle="1" w:styleId="34">
    <w:name w:val="标题 1 Char"/>
    <w:link w:val="2"/>
    <w:qFormat/>
    <w:uiPriority w:val="9"/>
    <w:rPr>
      <w:b/>
      <w:bCs/>
      <w:kern w:val="44"/>
      <w:sz w:val="44"/>
      <w:szCs w:val="44"/>
    </w:rPr>
  </w:style>
  <w:style w:type="character" w:customStyle="1" w:styleId="35">
    <w:name w:val="标题 2 Char1"/>
    <w:link w:val="3"/>
    <w:qFormat/>
    <w:uiPriority w:val="9"/>
    <w:rPr>
      <w:rFonts w:ascii="Cambria" w:hAnsi="Cambria" w:eastAsia="宋体" w:cs="Times New Roman"/>
      <w:b/>
      <w:bCs/>
      <w:kern w:val="2"/>
      <w:sz w:val="32"/>
      <w:szCs w:val="32"/>
    </w:rPr>
  </w:style>
  <w:style w:type="character" w:customStyle="1" w:styleId="36">
    <w:name w:val="标题 3 Char"/>
    <w:link w:val="4"/>
    <w:qFormat/>
    <w:uiPriority w:val="9"/>
    <w:rPr>
      <w:b/>
      <w:bCs/>
      <w:kern w:val="2"/>
      <w:sz w:val="32"/>
      <w:szCs w:val="32"/>
    </w:rPr>
  </w:style>
  <w:style w:type="character" w:customStyle="1" w:styleId="37">
    <w:name w:val="标题 5 Char"/>
    <w:link w:val="6"/>
    <w:semiHidden/>
    <w:qFormat/>
    <w:uiPriority w:val="9"/>
    <w:rPr>
      <w:rFonts w:ascii="Times New Roman" w:hAnsi="Times New Roman"/>
      <w:b/>
      <w:bCs/>
      <w:kern w:val="2"/>
      <w:sz w:val="28"/>
      <w:szCs w:val="28"/>
    </w:rPr>
  </w:style>
  <w:style w:type="character" w:customStyle="1" w:styleId="38">
    <w:name w:val="标题 8 Char1"/>
    <w:link w:val="8"/>
    <w:semiHidden/>
    <w:qFormat/>
    <w:uiPriority w:val="9"/>
    <w:rPr>
      <w:rFonts w:ascii="等线 Light" w:hAnsi="等线 Light" w:eastAsia="等线 Light" w:cs="Times New Roman"/>
      <w:kern w:val="2"/>
      <w:sz w:val="24"/>
      <w:szCs w:val="24"/>
    </w:rPr>
  </w:style>
  <w:style w:type="character" w:customStyle="1" w:styleId="39">
    <w:name w:val="批注文字 Char1"/>
    <w:link w:val="10"/>
    <w:qFormat/>
    <w:uiPriority w:val="0"/>
    <w:rPr>
      <w:rFonts w:ascii="Times New Roman" w:hAnsi="Times New Roman"/>
      <w:kern w:val="2"/>
      <w:sz w:val="21"/>
      <w:szCs w:val="24"/>
    </w:rPr>
  </w:style>
  <w:style w:type="character" w:customStyle="1" w:styleId="40">
    <w:name w:val="正文文本 3 Char"/>
    <w:link w:val="11"/>
    <w:semiHidden/>
    <w:qFormat/>
    <w:uiPriority w:val="99"/>
    <w:rPr>
      <w:kern w:val="2"/>
      <w:sz w:val="16"/>
      <w:szCs w:val="16"/>
    </w:rPr>
  </w:style>
  <w:style w:type="character" w:customStyle="1" w:styleId="41">
    <w:name w:val="正文文本 Char1"/>
    <w:link w:val="12"/>
    <w:qFormat/>
    <w:uiPriority w:val="0"/>
    <w:rPr>
      <w:rFonts w:ascii="Times New Roman" w:hAnsi="Times New Roman"/>
      <w:kern w:val="2"/>
      <w:sz w:val="21"/>
      <w:szCs w:val="24"/>
    </w:rPr>
  </w:style>
  <w:style w:type="character" w:customStyle="1" w:styleId="42">
    <w:name w:val="正文文本缩进 Char"/>
    <w:link w:val="14"/>
    <w:qFormat/>
    <w:uiPriority w:val="0"/>
    <w:rPr>
      <w:rFonts w:ascii="仿宋_GB2312" w:hAnsi="Times New Roman" w:eastAsia="仿宋_GB2312" w:cs="Times New Roman"/>
      <w:sz w:val="32"/>
      <w:szCs w:val="20"/>
    </w:rPr>
  </w:style>
  <w:style w:type="character" w:customStyle="1" w:styleId="43">
    <w:name w:val="纯文本 Char1"/>
    <w:link w:val="16"/>
    <w:qFormat/>
    <w:uiPriority w:val="0"/>
    <w:rPr>
      <w:rFonts w:ascii="宋体" w:hAnsi="Courier New" w:eastAsia="宋体" w:cs="Courier New"/>
      <w:szCs w:val="21"/>
    </w:rPr>
  </w:style>
  <w:style w:type="character" w:customStyle="1" w:styleId="44">
    <w:name w:val="日期 Char"/>
    <w:link w:val="17"/>
    <w:semiHidden/>
    <w:qFormat/>
    <w:uiPriority w:val="99"/>
    <w:rPr>
      <w:rFonts w:ascii="Times New Roman" w:hAnsi="Times New Roman"/>
      <w:kern w:val="2"/>
      <w:sz w:val="21"/>
      <w:szCs w:val="24"/>
    </w:rPr>
  </w:style>
  <w:style w:type="character" w:customStyle="1" w:styleId="45">
    <w:name w:val="页脚 Char"/>
    <w:link w:val="19"/>
    <w:qFormat/>
    <w:uiPriority w:val="99"/>
    <w:rPr>
      <w:sz w:val="18"/>
      <w:szCs w:val="18"/>
    </w:rPr>
  </w:style>
  <w:style w:type="character" w:customStyle="1" w:styleId="46">
    <w:name w:val="页眉 Char"/>
    <w:link w:val="20"/>
    <w:qFormat/>
    <w:uiPriority w:val="99"/>
    <w:rPr>
      <w:sz w:val="18"/>
      <w:szCs w:val="18"/>
    </w:rPr>
  </w:style>
  <w:style w:type="character" w:customStyle="1" w:styleId="47">
    <w:name w:val="批注主题 Char"/>
    <w:link w:val="24"/>
    <w:qFormat/>
    <w:uiPriority w:val="99"/>
    <w:rPr>
      <w:rFonts w:ascii="Times New Roman" w:hAnsi="Times New Roman"/>
      <w:b/>
      <w:bCs/>
      <w:kern w:val="2"/>
      <w:sz w:val="21"/>
      <w:szCs w:val="24"/>
    </w:rPr>
  </w:style>
  <w:style w:type="paragraph" w:customStyle="1" w:styleId="4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49">
    <w:name w:val="标题 1 字符1"/>
    <w:qFormat/>
    <w:uiPriority w:val="0"/>
    <w:rPr>
      <w:b/>
      <w:bCs/>
      <w:kern w:val="44"/>
      <w:sz w:val="44"/>
      <w:szCs w:val="44"/>
    </w:rPr>
  </w:style>
  <w:style w:type="character" w:customStyle="1" w:styleId="50">
    <w:name w:val="textcontents"/>
    <w:qFormat/>
    <w:uiPriority w:val="0"/>
  </w:style>
  <w:style w:type="character" w:customStyle="1" w:styleId="51">
    <w:name w:val="批注文字 Char"/>
    <w:qFormat/>
    <w:uiPriority w:val="0"/>
    <w:rPr>
      <w:rFonts w:ascii="Times New Roman" w:hAnsi="Times New Roman"/>
      <w:kern w:val="2"/>
      <w:sz w:val="21"/>
      <w:szCs w:val="24"/>
    </w:rPr>
  </w:style>
  <w:style w:type="character" w:customStyle="1" w:styleId="52">
    <w:name w:val="纯文本 字符"/>
    <w:qFormat/>
    <w:uiPriority w:val="0"/>
    <w:rPr>
      <w:rFonts w:ascii="宋体" w:hAnsi="Courier New" w:eastAsia="宋体" w:cs="Courier New"/>
      <w:szCs w:val="21"/>
    </w:rPr>
  </w:style>
  <w:style w:type="character" w:customStyle="1" w:styleId="53">
    <w:name w:val="纯文本 Char"/>
    <w:qFormat/>
    <w:uiPriority w:val="0"/>
    <w:rPr>
      <w:rFonts w:ascii="宋体" w:hAnsi="Courier New" w:eastAsia="宋体" w:cs="Courier New"/>
      <w:szCs w:val="21"/>
    </w:rPr>
  </w:style>
  <w:style w:type="character" w:customStyle="1" w:styleId="54">
    <w:name w:val="纯文本 字符2"/>
    <w:qFormat/>
    <w:uiPriority w:val="0"/>
    <w:rPr>
      <w:rFonts w:ascii="宋体" w:hAnsi="Courier New" w:eastAsia="宋体" w:cs="Courier New"/>
      <w:szCs w:val="21"/>
    </w:rPr>
  </w:style>
  <w:style w:type="character" w:customStyle="1" w:styleId="55">
    <w:name w:val="批注文字 字符1"/>
    <w:qFormat/>
    <w:uiPriority w:val="0"/>
    <w:rPr>
      <w:rFonts w:ascii="Times New Roman" w:hAnsi="Times New Roman"/>
      <w:kern w:val="2"/>
      <w:sz w:val="21"/>
      <w:szCs w:val="24"/>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纯文本 字符1"/>
    <w:qFormat/>
    <w:uiPriority w:val="0"/>
    <w:rPr>
      <w:rFonts w:ascii="宋体" w:hAnsi="Courier New"/>
    </w:rPr>
  </w:style>
  <w:style w:type="character" w:customStyle="1" w:styleId="58">
    <w:name w:val="正文文本 Char"/>
    <w:qFormat/>
    <w:uiPriority w:val="0"/>
    <w:rPr>
      <w:rFonts w:ascii="Times New Roman" w:hAnsi="Times New Roman"/>
      <w:kern w:val="2"/>
      <w:sz w:val="21"/>
      <w:szCs w:val="24"/>
    </w:rPr>
  </w:style>
  <w:style w:type="character" w:customStyle="1" w:styleId="59">
    <w:name w:val="批注文字 字符"/>
    <w:qFormat/>
    <w:uiPriority w:val="0"/>
    <w:rPr>
      <w:rFonts w:ascii="Times New Roman" w:hAnsi="Times New Roman"/>
      <w:kern w:val="2"/>
      <w:sz w:val="21"/>
      <w:szCs w:val="24"/>
    </w:rPr>
  </w:style>
  <w:style w:type="character" w:customStyle="1" w:styleId="60">
    <w:name w:val="标题 2 Char"/>
    <w:qFormat/>
    <w:uiPriority w:val="9"/>
    <w:rPr>
      <w:rFonts w:ascii="Cambria" w:hAnsi="Cambria" w:eastAsia="宋体" w:cs="Times New Roman"/>
      <w:b/>
      <w:bCs/>
      <w:kern w:val="2"/>
      <w:sz w:val="32"/>
      <w:szCs w:val="32"/>
    </w:rPr>
  </w:style>
  <w:style w:type="character" w:customStyle="1" w:styleId="61">
    <w:name w:val="标题 8 Char"/>
    <w:qFormat/>
    <w:uiPriority w:val="0"/>
    <w:rPr>
      <w:rFonts w:ascii="Arial" w:hAnsi="Arial" w:eastAsia="黑体"/>
      <w:kern w:val="2"/>
      <w:sz w:val="24"/>
      <w:szCs w:val="24"/>
    </w:rPr>
  </w:style>
  <w:style w:type="character" w:customStyle="1" w:styleId="62">
    <w:name w:val="apple-style-span"/>
    <w:qFormat/>
    <w:uiPriority w:val="0"/>
  </w:style>
  <w:style w:type="paragraph" w:customStyle="1" w:styleId="63">
    <w:name w:val="默认段落字体 Para Char Char Char Char Char Char Char Char Char1 Char Char Char Char"/>
    <w:basedOn w:val="1"/>
    <w:qFormat/>
    <w:uiPriority w:val="0"/>
    <w:rPr>
      <w:rFonts w:ascii="Tahoma" w:hAnsi="Tahoma"/>
      <w:sz w:val="24"/>
      <w:szCs w:val="20"/>
    </w:rPr>
  </w:style>
  <w:style w:type="paragraph" w:customStyle="1" w:styleId="6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5">
    <w:name w:val="List Paragraph"/>
    <w:basedOn w:val="1"/>
    <w:qFormat/>
    <w:uiPriority w:val="34"/>
    <w:pPr>
      <w:ind w:firstLine="420" w:firstLineChars="200"/>
    </w:pPr>
  </w:style>
  <w:style w:type="paragraph" w:customStyle="1" w:styleId="66">
    <w:name w:val="Table Paragraph"/>
    <w:basedOn w:val="1"/>
    <w:qFormat/>
    <w:uiPriority w:val="1"/>
    <w:pPr>
      <w:jc w:val="left"/>
    </w:pPr>
    <w:rPr>
      <w:rFonts w:ascii="Calibri" w:hAnsi="Calibri"/>
      <w:kern w:val="0"/>
      <w:sz w:val="22"/>
      <w:szCs w:val="22"/>
      <w:lang w:eastAsia="en-US"/>
    </w:rPr>
  </w:style>
  <w:style w:type="character" w:customStyle="1" w:styleId="67">
    <w:name w:val="正文文本 字符"/>
    <w:qFormat/>
    <w:uiPriority w:val="0"/>
    <w:rPr>
      <w:rFonts w:ascii="Times New Roman" w:hAnsi="Times New Roman"/>
      <w:kern w:val="2"/>
      <w:sz w:val="21"/>
      <w:szCs w:val="24"/>
    </w:rPr>
  </w:style>
  <w:style w:type="character" w:customStyle="1" w:styleId="68">
    <w:name w:val="批注文字 Char2"/>
    <w:qFormat/>
    <w:uiPriority w:val="0"/>
    <w:rPr>
      <w:rFonts w:ascii="Times New Roman" w:hAnsi="Times New Roman"/>
      <w:kern w:val="2"/>
      <w:sz w:val="21"/>
      <w:szCs w:val="24"/>
    </w:rPr>
  </w:style>
  <w:style w:type="character" w:customStyle="1" w:styleId="69">
    <w:name w:val="正文2 Char Char"/>
    <w:link w:val="70"/>
    <w:qFormat/>
    <w:uiPriority w:val="0"/>
    <w:rPr>
      <w:kern w:val="2"/>
      <w:sz w:val="24"/>
    </w:rPr>
  </w:style>
  <w:style w:type="paragraph" w:customStyle="1" w:styleId="70">
    <w:name w:val="正文2"/>
    <w:basedOn w:val="1"/>
    <w:link w:val="69"/>
    <w:qFormat/>
    <w:uiPriority w:val="0"/>
    <w:pPr>
      <w:adjustRightInd w:val="0"/>
      <w:spacing w:before="156" w:line="360" w:lineRule="auto"/>
      <w:ind w:firstLine="510" w:firstLineChars="200"/>
    </w:pPr>
    <w:rPr>
      <w:sz w:val="24"/>
      <w:szCs w:val="20"/>
    </w:rPr>
  </w:style>
  <w:style w:type="character" w:customStyle="1" w:styleId="71">
    <w:name w:val="页脚 字符1"/>
    <w:qFormat/>
    <w:uiPriority w:val="99"/>
    <w:rPr>
      <w:sz w:val="18"/>
      <w:szCs w:val="18"/>
    </w:rPr>
  </w:style>
  <w:style w:type="paragraph" w:customStyle="1" w:styleId="72">
    <w:name w:val="首行缩进"/>
    <w:basedOn w:val="1"/>
    <w:qFormat/>
    <w:uiPriority w:val="99"/>
    <w:pPr>
      <w:ind w:firstLine="480" w:firstLineChars="200"/>
    </w:pPr>
    <w:rPr>
      <w:lang w:val="zh-CN"/>
    </w:rPr>
  </w:style>
  <w:style w:type="character" w:customStyle="1" w:styleId="73">
    <w:name w:val="font31"/>
    <w:qFormat/>
    <w:uiPriority w:val="0"/>
    <w:rPr>
      <w:rFonts w:hint="eastAsia" w:ascii="宋体" w:hAnsi="宋体" w:eastAsia="宋体" w:cs="宋体"/>
      <w:color w:val="FF0000"/>
      <w:sz w:val="20"/>
      <w:szCs w:val="20"/>
      <w:u w:val="none"/>
    </w:rPr>
  </w:style>
  <w:style w:type="character" w:customStyle="1" w:styleId="74">
    <w:name w:val="font21"/>
    <w:qFormat/>
    <w:uiPriority w:val="0"/>
    <w:rPr>
      <w:rFonts w:hint="eastAsia" w:ascii="宋体" w:hAnsi="宋体" w:eastAsia="宋体" w:cs="宋体"/>
      <w:color w:val="000000"/>
      <w:sz w:val="20"/>
      <w:szCs w:val="20"/>
      <w:u w:val="none"/>
    </w:rPr>
  </w:style>
  <w:style w:type="paragraph" w:customStyle="1" w:styleId="75">
    <w:name w:val="表格文字"/>
    <w:basedOn w:val="1"/>
    <w:qFormat/>
    <w:uiPriority w:val="0"/>
    <w:pPr>
      <w:spacing w:line="0" w:lineRule="atLeast"/>
      <w:jc w:val="center"/>
    </w:pPr>
    <w:rPr>
      <w:rFonts w:ascii="Times New Roman" w:hAnsi="Times New Roman" w:eastAsia="宋体" w:cs="Times New Roman"/>
      <w:sz w:val="28"/>
    </w:rPr>
  </w:style>
  <w:style w:type="paragraph" w:customStyle="1" w:styleId="76">
    <w:name w:val="*正文"/>
    <w:basedOn w:val="1"/>
    <w:qFormat/>
    <w:uiPriority w:val="0"/>
    <w:pPr>
      <w:spacing w:line="360" w:lineRule="auto"/>
      <w:ind w:firstLine="482"/>
      <w:jc w:val="left"/>
    </w:pPr>
    <w:rPr>
      <w:rFonts w:ascii="宋体" w:hAnsi="宋体"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99</Pages>
  <Words>29313</Words>
  <Characters>30734</Characters>
  <Lines>334</Lines>
  <Paragraphs>94</Paragraphs>
  <TotalTime>39</TotalTime>
  <ScaleCrop>false</ScaleCrop>
  <LinksUpToDate>false</LinksUpToDate>
  <CharactersWithSpaces>31003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　　　　　              </cp:lastModifiedBy>
  <cp:lastPrinted>2020-04-02T08:20:00Z</cp:lastPrinted>
  <dcterms:modified xsi:type="dcterms:W3CDTF">2025-06-11T08:03:21Z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BCA06556FA4046AE97A186EE2D7B9CBC_13</vt:lpwstr>
  </property>
  <property fmtid="{D5CDD505-2E9C-101B-9397-08002B2CF9AE}" pid="4" name="KSOTemplateDocerSaveRecord">
    <vt:lpwstr>eyJoZGlkIjoiZjNmNGY2YzQwMGUxZTcyMGZkNjhjZTcyOGJmMmVlOGIiLCJ1c2VySWQiOiI4NjM4MjIxMzQifQ==</vt:lpwstr>
  </property>
</Properties>
</file>