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C9F0E">
      <w:pPr>
        <w:spacing w:before="312" w:beforeLines="100" w:after="156" w:afterLines="50" w:line="600" w:lineRule="exact"/>
        <w:jc w:val="center"/>
        <w:rPr>
          <w:rFonts w:hint="eastAsia" w:ascii="方正小标宋简体" w:hAnsi="宋体" w:eastAsia="方正小标宋简体"/>
          <w:color w:val="auto"/>
          <w:sz w:val="52"/>
          <w:szCs w:val="52"/>
          <w:highlight w:val="none"/>
        </w:rPr>
      </w:pPr>
    </w:p>
    <w:p w14:paraId="09C8DC02">
      <w:pPr>
        <w:spacing w:line="360" w:lineRule="auto"/>
        <w:jc w:val="center"/>
        <w:rPr>
          <w:rFonts w:hint="eastAsia" w:ascii="方正小标宋简体" w:hAnsi="宋体" w:eastAsia="方正小标宋简体"/>
          <w:color w:val="auto"/>
          <w:sz w:val="52"/>
          <w:szCs w:val="52"/>
          <w:highlight w:val="none"/>
        </w:rPr>
      </w:pPr>
      <w:bookmarkStart w:id="0" w:name="OLE_LINK1"/>
      <w:r>
        <w:rPr>
          <w:rFonts w:hint="eastAsia" w:ascii="方正小标宋简体" w:hAnsi="宋体" w:eastAsia="方正小标宋简体"/>
          <w:color w:val="auto"/>
          <w:sz w:val="52"/>
          <w:szCs w:val="52"/>
          <w:highlight w:val="none"/>
        </w:rPr>
        <w:t>云之龙咨询集团有限公司</w:t>
      </w:r>
    </w:p>
    <w:bookmarkEnd w:id="0"/>
    <w:p w14:paraId="294501CB">
      <w:pPr>
        <w:spacing w:before="156" w:beforeLines="50" w:line="360" w:lineRule="auto"/>
        <w:jc w:val="center"/>
        <w:rPr>
          <w:rFonts w:hint="eastAsia" w:ascii="宋体" w:hAnsi="宋体"/>
          <w:i/>
          <w:color w:val="auto"/>
          <w:sz w:val="52"/>
          <w:szCs w:val="52"/>
          <w:highlight w:val="none"/>
        </w:rPr>
      </w:pPr>
    </w:p>
    <w:p w14:paraId="1F12F60B">
      <w:pPr>
        <w:spacing w:line="360" w:lineRule="auto"/>
        <w:jc w:val="center"/>
        <w:rPr>
          <w:rFonts w:hint="eastAsia" w:ascii="方正小标宋简体" w:hAnsi="方正小标宋简体" w:eastAsia="方正小标宋简体" w:cs="方正小标宋简体"/>
          <w:b/>
          <w:color w:val="auto"/>
          <w:sz w:val="44"/>
          <w:szCs w:val="44"/>
          <w:highlight w:val="none"/>
        </w:rPr>
      </w:pPr>
    </w:p>
    <w:p w14:paraId="1AE7BA01">
      <w:pPr>
        <w:snapToGrid w:val="0"/>
        <w:spacing w:before="156" w:beforeLines="50" w:line="360" w:lineRule="auto"/>
        <w:jc w:val="center"/>
        <w:rPr>
          <w:rFonts w:hint="eastAsia"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竞争性谈判文件</w:t>
      </w:r>
    </w:p>
    <w:p w14:paraId="22258166">
      <w:pPr>
        <w:snapToGrid w:val="0"/>
        <w:spacing w:before="156" w:beforeLines="50" w:line="360" w:lineRule="auto"/>
        <w:jc w:val="center"/>
        <w:rPr>
          <w:rFonts w:hint="eastAsia" w:ascii="仿宋_GB2312" w:hAnsi="宋体" w:eastAsia="仿宋_GB2312"/>
          <w:b/>
          <w:color w:val="auto"/>
          <w:sz w:val="30"/>
          <w:szCs w:val="72"/>
          <w:highlight w:val="none"/>
        </w:rPr>
      </w:pPr>
      <w:r>
        <w:rPr>
          <w:rFonts w:hint="eastAsia" w:ascii="仿宋_GB2312" w:hAnsi="宋体" w:eastAsia="仿宋_GB2312"/>
          <w:b/>
          <w:color w:val="auto"/>
          <w:sz w:val="48"/>
          <w:szCs w:val="48"/>
          <w:highlight w:val="none"/>
        </w:rPr>
        <w:t>（全流程电子化采购）</w:t>
      </w:r>
    </w:p>
    <w:p w14:paraId="56F432CA">
      <w:pPr>
        <w:snapToGrid w:val="0"/>
        <w:spacing w:line="360" w:lineRule="auto"/>
        <w:rPr>
          <w:rFonts w:hint="eastAsia" w:ascii="仿宋_GB2312" w:hAnsi="宋体" w:eastAsia="仿宋_GB2312"/>
          <w:color w:val="auto"/>
          <w:sz w:val="30"/>
          <w:szCs w:val="72"/>
          <w:highlight w:val="none"/>
        </w:rPr>
      </w:pPr>
    </w:p>
    <w:p w14:paraId="6FD3E6EF">
      <w:pPr>
        <w:pStyle w:val="12"/>
        <w:snapToGrid w:val="0"/>
        <w:spacing w:line="360" w:lineRule="auto"/>
        <w:ind w:firstLine="1193" w:firstLineChars="396"/>
        <w:rPr>
          <w:rFonts w:hint="eastAsia"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w:t>
      </w:r>
      <w:r>
        <w:rPr>
          <w:rFonts w:hint="eastAsia" w:ascii="仿宋_GB2312" w:hAnsi="宋体" w:eastAsia="仿宋_GB2312"/>
          <w:b/>
          <w:bCs/>
          <w:color w:val="auto"/>
          <w:sz w:val="30"/>
          <w:szCs w:val="30"/>
          <w:highlight w:val="none"/>
          <w:lang w:eastAsia="zh-CN"/>
        </w:rPr>
        <w:t>血液透析机采购项目</w:t>
      </w:r>
    </w:p>
    <w:p w14:paraId="30E2F2A3">
      <w:pPr>
        <w:snapToGrid w:val="0"/>
        <w:spacing w:line="360" w:lineRule="auto"/>
        <w:ind w:firstLine="1145" w:firstLineChars="400"/>
        <w:rPr>
          <w:rFonts w:hint="eastAsia" w:ascii="仿宋_GB2312" w:hAnsi="宋体" w:eastAsia="仿宋_GB2312"/>
          <w:color w:val="auto"/>
          <w:sz w:val="30"/>
          <w:szCs w:val="72"/>
          <w:highlight w:val="none"/>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rPr>
        <w:t>：</w:t>
      </w:r>
      <w:r>
        <w:rPr>
          <w:rFonts w:hint="eastAsia" w:ascii="仿宋_GB2312" w:hAnsi="宋体" w:eastAsia="仿宋_GB2312" w:cs="Courier New"/>
          <w:b/>
          <w:bCs/>
          <w:color w:val="auto"/>
          <w:w w:val="95"/>
          <w:sz w:val="30"/>
          <w:szCs w:val="30"/>
          <w:highlight w:val="none"/>
          <w:lang w:eastAsia="zh-CN"/>
        </w:rPr>
        <w:t>WZZC2025-J1-990129-YZLZ</w:t>
      </w:r>
      <w:r>
        <w:rPr>
          <w:rFonts w:hint="eastAsia" w:ascii="仿宋_GB2312" w:hAnsi="宋体" w:eastAsia="仿宋_GB2312"/>
          <w:b/>
          <w:color w:val="auto"/>
          <w:sz w:val="30"/>
          <w:szCs w:val="48"/>
          <w:highlight w:val="none"/>
        </w:rPr>
        <w:t xml:space="preserve"> </w:t>
      </w:r>
    </w:p>
    <w:p w14:paraId="5B54ED3D">
      <w:pPr>
        <w:pStyle w:val="12"/>
        <w:snapToGrid w:val="0"/>
        <w:spacing w:line="360" w:lineRule="auto"/>
        <w:ind w:firstLine="1125" w:firstLineChars="393"/>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 购 人：</w:t>
      </w:r>
      <w:r>
        <w:rPr>
          <w:rFonts w:hint="eastAsia" w:ascii="仿宋_GB2312" w:hAnsi="宋体" w:eastAsia="仿宋_GB2312"/>
          <w:b/>
          <w:bCs/>
          <w:color w:val="auto"/>
          <w:w w:val="95"/>
          <w:sz w:val="30"/>
          <w:szCs w:val="30"/>
          <w:highlight w:val="none"/>
          <w:lang w:eastAsia="zh-CN"/>
        </w:rPr>
        <w:t>梧州市人民医院</w:t>
      </w:r>
      <w:r>
        <w:rPr>
          <w:rFonts w:hint="eastAsia" w:ascii="仿宋_GB2312" w:hAnsi="宋体" w:eastAsia="仿宋_GB2312"/>
          <w:b/>
          <w:bCs/>
          <w:color w:val="auto"/>
          <w:w w:val="95"/>
          <w:sz w:val="30"/>
          <w:szCs w:val="30"/>
          <w:highlight w:val="none"/>
        </w:rPr>
        <w:t xml:space="preserve"> </w:t>
      </w:r>
    </w:p>
    <w:p w14:paraId="7449EA09">
      <w:pPr>
        <w:pStyle w:val="12"/>
        <w:snapToGrid w:val="0"/>
        <w:spacing w:line="360" w:lineRule="auto"/>
        <w:ind w:firstLine="1125" w:firstLineChars="393"/>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w:t>
      </w:r>
      <w:r>
        <w:rPr>
          <w:rFonts w:hint="eastAsia" w:ascii="仿宋_GB2312" w:hAnsi="宋体" w:eastAsia="仿宋_GB2312"/>
          <w:b/>
          <w:bCs/>
          <w:color w:val="auto"/>
          <w:w w:val="95"/>
          <w:sz w:val="30"/>
          <w:szCs w:val="30"/>
          <w:highlight w:val="none"/>
          <w:lang w:eastAsia="zh-CN"/>
        </w:rPr>
        <w:t>云之龙咨询集团有限公司</w:t>
      </w:r>
    </w:p>
    <w:p w14:paraId="2753C160">
      <w:pPr>
        <w:pStyle w:val="12"/>
        <w:snapToGrid w:val="0"/>
        <w:spacing w:line="360" w:lineRule="auto"/>
        <w:ind w:firstLine="1125" w:firstLineChars="393"/>
        <w:jc w:val="both"/>
        <w:rPr>
          <w:rFonts w:hint="eastAsia" w:ascii="仿宋_GB2312" w:hAnsi="宋体" w:eastAsia="仿宋_GB2312"/>
          <w:b/>
          <w:bCs/>
          <w:color w:val="auto"/>
          <w:w w:val="95"/>
          <w:sz w:val="30"/>
          <w:szCs w:val="30"/>
          <w:highlight w:val="none"/>
        </w:rPr>
      </w:pPr>
    </w:p>
    <w:p w14:paraId="49D0C481">
      <w:pPr>
        <w:pStyle w:val="12"/>
        <w:snapToGrid w:val="0"/>
        <w:spacing w:line="360" w:lineRule="auto"/>
        <w:ind w:firstLine="1125" w:firstLineChars="393"/>
        <w:jc w:val="both"/>
        <w:rPr>
          <w:rFonts w:hint="eastAsia" w:ascii="仿宋_GB2312" w:hAnsi="宋体" w:eastAsia="仿宋_GB2312"/>
          <w:b/>
          <w:bCs/>
          <w:color w:val="auto"/>
          <w:w w:val="95"/>
          <w:sz w:val="30"/>
          <w:szCs w:val="30"/>
          <w:highlight w:val="none"/>
        </w:rPr>
      </w:pPr>
    </w:p>
    <w:p w14:paraId="77E62C24">
      <w:pPr>
        <w:pStyle w:val="12"/>
        <w:snapToGrid w:val="0"/>
        <w:spacing w:line="360" w:lineRule="auto"/>
        <w:ind w:firstLine="841" w:firstLineChars="294"/>
        <w:rPr>
          <w:rFonts w:hint="eastAsia" w:ascii="仿宋_GB2312" w:eastAsia="仿宋_GB2312"/>
          <w:color w:val="auto"/>
          <w:szCs w:val="20"/>
          <w:highlight w:val="none"/>
        </w:rPr>
      </w:pPr>
      <w:r>
        <w:rPr>
          <w:rFonts w:hint="eastAsia" w:ascii="仿宋_GB2312" w:hAnsi="宋体" w:eastAsia="仿宋_GB2312"/>
          <w:b/>
          <w:bCs/>
          <w:color w:val="auto"/>
          <w:w w:val="95"/>
          <w:sz w:val="30"/>
          <w:szCs w:val="30"/>
          <w:highlight w:val="none"/>
        </w:rPr>
        <w:t xml:space="preserve">               </w:t>
      </w:r>
      <w:r>
        <w:rPr>
          <w:rFonts w:hint="eastAsia" w:ascii="仿宋_GB2312" w:hAnsi="宋体" w:eastAsia="仿宋_GB2312"/>
          <w:b/>
          <w:bCs/>
          <w:color w:val="auto"/>
          <w:w w:val="95"/>
          <w:sz w:val="30"/>
          <w:szCs w:val="30"/>
          <w:highlight w:val="none"/>
          <w:lang w:val="en-US" w:eastAsia="zh-CN"/>
        </w:rPr>
        <w:t>2025</w:t>
      </w:r>
      <w:r>
        <w:rPr>
          <w:rFonts w:hint="eastAsia" w:ascii="仿宋_GB2312" w:hAnsi="宋体" w:eastAsia="仿宋_GB2312" w:cs="Times New Roman"/>
          <w:b/>
          <w:bCs/>
          <w:color w:val="auto"/>
          <w:w w:val="95"/>
          <w:sz w:val="30"/>
          <w:szCs w:val="30"/>
          <w:highlight w:val="none"/>
        </w:rPr>
        <w:t>年</w:t>
      </w:r>
      <w:r>
        <w:rPr>
          <w:rFonts w:hint="eastAsia" w:ascii="仿宋_GB2312" w:hAnsi="宋体" w:eastAsia="仿宋_GB2312" w:cs="Times New Roman"/>
          <w:b/>
          <w:bCs/>
          <w:color w:val="auto"/>
          <w:w w:val="95"/>
          <w:sz w:val="30"/>
          <w:szCs w:val="30"/>
          <w:highlight w:val="none"/>
          <w:lang w:val="en-US" w:eastAsia="zh-CN"/>
        </w:rPr>
        <w:t>6</w:t>
      </w:r>
      <w:r>
        <w:rPr>
          <w:rFonts w:hint="eastAsia" w:ascii="仿宋_GB2312" w:hAnsi="宋体" w:eastAsia="仿宋_GB2312" w:cs="Times New Roman"/>
          <w:b/>
          <w:bCs/>
          <w:color w:val="auto"/>
          <w:w w:val="95"/>
          <w:sz w:val="30"/>
          <w:szCs w:val="30"/>
          <w:highlight w:val="none"/>
        </w:rPr>
        <w:t>月</w:t>
      </w:r>
      <w:r>
        <w:rPr>
          <w:rFonts w:hint="eastAsia" w:ascii="仿宋_GB2312" w:hAnsi="宋体" w:eastAsia="仿宋_GB2312" w:cs="Times New Roman"/>
          <w:b/>
          <w:bCs/>
          <w:color w:val="auto"/>
          <w:w w:val="95"/>
          <w:sz w:val="30"/>
          <w:szCs w:val="30"/>
          <w:highlight w:val="none"/>
          <w:lang w:val="en-US" w:eastAsia="zh-CN"/>
        </w:rPr>
        <w:t>16</w:t>
      </w:r>
      <w:r>
        <w:rPr>
          <w:rFonts w:hint="eastAsia" w:ascii="仿宋_GB2312" w:hAnsi="宋体" w:eastAsia="仿宋_GB2312" w:cs="Times New Roman"/>
          <w:b/>
          <w:bCs/>
          <w:color w:val="auto"/>
          <w:w w:val="95"/>
          <w:sz w:val="30"/>
          <w:szCs w:val="30"/>
          <w:highlight w:val="none"/>
        </w:rPr>
        <w:t>日</w:t>
      </w:r>
    </w:p>
    <w:p w14:paraId="7198B9BF">
      <w:pPr>
        <w:tabs>
          <w:tab w:val="left" w:pos="1080"/>
        </w:tabs>
        <w:spacing w:line="360" w:lineRule="exact"/>
        <w:ind w:firstLine="480"/>
        <w:rPr>
          <w:rFonts w:hint="eastAsia" w:ascii="宋体" w:hAnsi="宋体"/>
          <w:b/>
          <w:color w:val="auto"/>
          <w:sz w:val="44"/>
          <w:szCs w:val="44"/>
          <w:highlight w:val="none"/>
        </w:rPr>
      </w:pPr>
      <w:r>
        <w:rPr>
          <w:rFonts w:ascii="仿宋_GB2312" w:hAnsi="宋体" w:eastAsia="仿宋_GB2312"/>
          <w:b/>
          <w:color w:val="auto"/>
          <w:sz w:val="30"/>
          <w:szCs w:val="30"/>
          <w:highlight w:val="none"/>
        </w:rPr>
        <w:br w:type="page"/>
      </w:r>
    </w:p>
    <w:p w14:paraId="2BE7B7DE">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14:paraId="4932909C">
      <w:pPr>
        <w:spacing w:line="400" w:lineRule="exact"/>
        <w:jc w:val="center"/>
        <w:rPr>
          <w:rFonts w:hint="eastAsia" w:ascii="宋体" w:hAnsi="宋体"/>
          <w:b/>
          <w:color w:val="auto"/>
          <w:sz w:val="44"/>
          <w:szCs w:val="44"/>
          <w:highlight w:val="none"/>
        </w:rPr>
      </w:pPr>
    </w:p>
    <w:p w14:paraId="45AA433B">
      <w:pPr>
        <w:pStyle w:val="17"/>
        <w:tabs>
          <w:tab w:val="right" w:leader="dot" w:pos="8869"/>
        </w:tabs>
        <w:snapToGrid w:val="0"/>
        <w:spacing w:line="500" w:lineRule="atLeast"/>
        <w:rPr>
          <w:rFonts w:ascii="宋体" w:hAnsi="宋体"/>
          <w:b/>
          <w:color w:val="auto"/>
          <w:sz w:val="24"/>
          <w:highlight w:val="none"/>
        </w:rPr>
      </w:pPr>
      <w:r>
        <w:rPr>
          <w:rFonts w:ascii="宋体" w:hAnsi="宋体"/>
          <w:b/>
          <w:color w:val="auto"/>
          <w:sz w:val="24"/>
          <w:highlight w:val="none"/>
        </w:rPr>
        <w:fldChar w:fldCharType="begin"/>
      </w:r>
      <w:r>
        <w:rPr>
          <w:rFonts w:ascii="宋体" w:hAnsi="宋体"/>
          <w:b/>
          <w:color w:val="auto"/>
          <w:sz w:val="24"/>
          <w:highlight w:val="none"/>
        </w:rPr>
        <w:instrText xml:space="preserve"> </w:instrText>
      </w:r>
      <w:r>
        <w:rPr>
          <w:rFonts w:hint="eastAsia" w:ascii="宋体" w:hAnsi="宋体"/>
          <w:b/>
          <w:color w:val="auto"/>
          <w:sz w:val="24"/>
          <w:highlight w:val="none"/>
        </w:rPr>
        <w:instrText xml:space="preserve">TOC \o "1-3" \h \z \u</w:instrText>
      </w:r>
      <w:r>
        <w:rPr>
          <w:rFonts w:ascii="宋体" w:hAnsi="宋体"/>
          <w:b/>
          <w:color w:val="auto"/>
          <w:sz w:val="24"/>
          <w:highlight w:val="none"/>
        </w:rPr>
        <w:instrText xml:space="preserve"> </w:instrText>
      </w:r>
      <w:r>
        <w:rPr>
          <w:rFonts w:ascii="宋体" w:hAnsi="宋体"/>
          <w:b/>
          <w:color w:val="auto"/>
          <w:sz w:val="24"/>
          <w:highlight w:val="none"/>
        </w:rPr>
        <w:fldChar w:fldCharType="separate"/>
      </w:r>
      <w:r>
        <w:rPr>
          <w:rFonts w:ascii="宋体" w:hAnsi="宋体"/>
          <w:b/>
          <w:color w:val="auto"/>
          <w:sz w:val="24"/>
          <w:highlight w:val="none"/>
        </w:rPr>
        <w:fldChar w:fldCharType="begin"/>
      </w:r>
      <w:r>
        <w:rPr>
          <w:rStyle w:val="24"/>
          <w:rFonts w:ascii="宋体" w:hAnsi="宋体"/>
          <w:b/>
          <w:color w:val="auto"/>
          <w:sz w:val="24"/>
          <w:highlight w:val="none"/>
        </w:rPr>
        <w:instrText xml:space="preserve"> </w:instrText>
      </w:r>
      <w:r>
        <w:rPr>
          <w:rFonts w:ascii="宋体" w:hAnsi="宋体"/>
          <w:b/>
          <w:color w:val="auto"/>
          <w:sz w:val="24"/>
          <w:highlight w:val="none"/>
        </w:rPr>
        <w:instrText xml:space="preserve">HYPERLINK \l "_Toc74322008"</w:instrText>
      </w:r>
      <w:r>
        <w:rPr>
          <w:rStyle w:val="24"/>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4"/>
          <w:rFonts w:hint="eastAsia" w:ascii="宋体" w:hAnsi="宋体"/>
          <w:b/>
          <w:color w:val="auto"/>
          <w:sz w:val="24"/>
          <w:highlight w:val="none"/>
        </w:rPr>
        <w:t>第一章</w:t>
      </w:r>
      <w:r>
        <w:rPr>
          <w:rStyle w:val="24"/>
          <w:rFonts w:ascii="宋体" w:hAnsi="宋体"/>
          <w:b/>
          <w:color w:val="auto"/>
          <w:sz w:val="24"/>
          <w:highlight w:val="none"/>
        </w:rPr>
        <w:t xml:space="preserve"> </w:t>
      </w:r>
      <w:r>
        <w:rPr>
          <w:rStyle w:val="24"/>
          <w:rFonts w:hint="eastAsia" w:ascii="宋体" w:hAnsi="宋体"/>
          <w:b/>
          <w:color w:val="auto"/>
          <w:sz w:val="24"/>
          <w:highlight w:val="none"/>
        </w:rPr>
        <w:t>竞争性谈判公告</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_Toc74322008 \h </w:instrText>
      </w:r>
      <w:r>
        <w:rPr>
          <w:rFonts w:ascii="宋体" w:hAnsi="宋体"/>
          <w:b/>
          <w:color w:val="auto"/>
          <w:sz w:val="24"/>
          <w:highlight w:val="none"/>
        </w:rPr>
        <w:fldChar w:fldCharType="separate"/>
      </w:r>
      <w:r>
        <w:rPr>
          <w:rFonts w:ascii="宋体" w:hAnsi="宋体"/>
          <w:b/>
          <w:color w:val="auto"/>
          <w:sz w:val="24"/>
          <w:highlight w:val="none"/>
        </w:rPr>
        <w:t>2</w:t>
      </w:r>
      <w:r>
        <w:rPr>
          <w:rFonts w:ascii="宋体" w:hAnsi="宋体"/>
          <w:b/>
          <w:color w:val="auto"/>
          <w:sz w:val="24"/>
          <w:highlight w:val="none"/>
        </w:rPr>
        <w:fldChar w:fldCharType="end"/>
      </w:r>
      <w:r>
        <w:rPr>
          <w:rFonts w:ascii="宋体" w:hAnsi="宋体"/>
          <w:b/>
          <w:color w:val="auto"/>
          <w:sz w:val="24"/>
          <w:highlight w:val="none"/>
        </w:rPr>
        <w:fldChar w:fldCharType="end"/>
      </w:r>
    </w:p>
    <w:p w14:paraId="436D1214">
      <w:pPr>
        <w:pStyle w:val="17"/>
        <w:tabs>
          <w:tab w:val="right" w:leader="dot" w:pos="8869"/>
        </w:tabs>
        <w:snapToGrid w:val="0"/>
        <w:spacing w:line="500" w:lineRule="atLeast"/>
        <w:rPr>
          <w:rFonts w:ascii="宋体" w:hAnsi="宋体"/>
          <w:b/>
          <w:color w:val="auto"/>
          <w:sz w:val="24"/>
          <w:highlight w:val="none"/>
        </w:rPr>
      </w:pPr>
      <w:r>
        <w:rPr>
          <w:rFonts w:ascii="宋体" w:hAnsi="宋体"/>
          <w:b/>
          <w:color w:val="auto"/>
          <w:sz w:val="24"/>
          <w:highlight w:val="none"/>
        </w:rPr>
        <w:fldChar w:fldCharType="begin"/>
      </w:r>
      <w:r>
        <w:rPr>
          <w:rStyle w:val="24"/>
          <w:rFonts w:ascii="宋体" w:hAnsi="宋体"/>
          <w:b/>
          <w:color w:val="auto"/>
          <w:sz w:val="24"/>
          <w:highlight w:val="none"/>
        </w:rPr>
        <w:instrText xml:space="preserve"> </w:instrText>
      </w:r>
      <w:r>
        <w:rPr>
          <w:rFonts w:ascii="宋体" w:hAnsi="宋体"/>
          <w:b/>
          <w:color w:val="auto"/>
          <w:sz w:val="24"/>
          <w:highlight w:val="none"/>
        </w:rPr>
        <w:instrText xml:space="preserve">HYPERLINK \l "_Toc74322009"</w:instrText>
      </w:r>
      <w:r>
        <w:rPr>
          <w:rStyle w:val="24"/>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4"/>
          <w:rFonts w:hint="eastAsia" w:ascii="宋体" w:hAnsi="宋体"/>
          <w:b/>
          <w:color w:val="auto"/>
          <w:sz w:val="24"/>
          <w:highlight w:val="none"/>
        </w:rPr>
        <w:t>第二章</w:t>
      </w:r>
      <w:r>
        <w:rPr>
          <w:rStyle w:val="24"/>
          <w:rFonts w:ascii="宋体" w:hAnsi="宋体"/>
          <w:b/>
          <w:color w:val="auto"/>
          <w:sz w:val="24"/>
          <w:highlight w:val="none"/>
        </w:rPr>
        <w:t xml:space="preserve"> </w:t>
      </w:r>
      <w:r>
        <w:rPr>
          <w:rStyle w:val="24"/>
          <w:rFonts w:hint="eastAsia" w:ascii="宋体" w:hAnsi="宋体"/>
          <w:b/>
          <w:color w:val="auto"/>
          <w:sz w:val="24"/>
          <w:highlight w:val="none"/>
        </w:rPr>
        <w:t>供应商须知</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_Toc74322009 \h </w:instrText>
      </w:r>
      <w:r>
        <w:rPr>
          <w:rFonts w:ascii="宋体" w:hAnsi="宋体"/>
          <w:b/>
          <w:color w:val="auto"/>
          <w:sz w:val="24"/>
          <w:highlight w:val="none"/>
        </w:rPr>
        <w:fldChar w:fldCharType="separate"/>
      </w:r>
      <w:r>
        <w:rPr>
          <w:rFonts w:ascii="宋体" w:hAnsi="宋体"/>
          <w:b/>
          <w:color w:val="auto"/>
          <w:sz w:val="24"/>
          <w:highlight w:val="none"/>
        </w:rPr>
        <w:t>6</w:t>
      </w:r>
      <w:r>
        <w:rPr>
          <w:rFonts w:ascii="宋体" w:hAnsi="宋体"/>
          <w:b/>
          <w:color w:val="auto"/>
          <w:sz w:val="24"/>
          <w:highlight w:val="none"/>
        </w:rPr>
        <w:fldChar w:fldCharType="end"/>
      </w:r>
      <w:r>
        <w:rPr>
          <w:rFonts w:ascii="宋体" w:hAnsi="宋体"/>
          <w:b/>
          <w:color w:val="auto"/>
          <w:sz w:val="24"/>
          <w:highlight w:val="none"/>
        </w:rPr>
        <w:fldChar w:fldCharType="end"/>
      </w:r>
    </w:p>
    <w:p w14:paraId="16BCEBCC">
      <w:pPr>
        <w:pStyle w:val="17"/>
        <w:tabs>
          <w:tab w:val="right" w:leader="dot" w:pos="8869"/>
        </w:tabs>
        <w:snapToGrid w:val="0"/>
        <w:spacing w:line="500" w:lineRule="atLeast"/>
        <w:rPr>
          <w:rFonts w:ascii="宋体" w:hAnsi="宋体"/>
          <w:b/>
          <w:color w:val="auto"/>
          <w:sz w:val="24"/>
          <w:highlight w:val="none"/>
        </w:rPr>
      </w:pPr>
      <w:r>
        <w:rPr>
          <w:rFonts w:ascii="宋体" w:hAnsi="宋体"/>
          <w:b/>
          <w:color w:val="auto"/>
          <w:sz w:val="24"/>
          <w:highlight w:val="none"/>
        </w:rPr>
        <w:fldChar w:fldCharType="begin"/>
      </w:r>
      <w:r>
        <w:rPr>
          <w:rStyle w:val="24"/>
          <w:rFonts w:ascii="宋体" w:hAnsi="宋体"/>
          <w:b/>
          <w:color w:val="auto"/>
          <w:sz w:val="24"/>
          <w:highlight w:val="none"/>
        </w:rPr>
        <w:instrText xml:space="preserve"> </w:instrText>
      </w:r>
      <w:r>
        <w:rPr>
          <w:rFonts w:ascii="宋体" w:hAnsi="宋体"/>
          <w:b/>
          <w:color w:val="auto"/>
          <w:sz w:val="24"/>
          <w:highlight w:val="none"/>
        </w:rPr>
        <w:instrText xml:space="preserve">HYPERLINK \l "_Toc74322010"</w:instrText>
      </w:r>
      <w:r>
        <w:rPr>
          <w:rStyle w:val="24"/>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4"/>
          <w:rFonts w:hint="eastAsia" w:ascii="宋体" w:hAnsi="宋体"/>
          <w:b/>
          <w:color w:val="auto"/>
          <w:sz w:val="24"/>
          <w:highlight w:val="none"/>
        </w:rPr>
        <w:t>第三章</w:t>
      </w:r>
      <w:r>
        <w:rPr>
          <w:rStyle w:val="24"/>
          <w:rFonts w:ascii="宋体" w:hAnsi="宋体"/>
          <w:b/>
          <w:color w:val="auto"/>
          <w:sz w:val="24"/>
          <w:highlight w:val="none"/>
        </w:rPr>
        <w:t xml:space="preserve"> </w:t>
      </w:r>
      <w:r>
        <w:rPr>
          <w:rStyle w:val="24"/>
          <w:rFonts w:hint="eastAsia" w:ascii="宋体" w:hAnsi="宋体"/>
          <w:b/>
          <w:color w:val="auto"/>
          <w:sz w:val="24"/>
          <w:highlight w:val="none"/>
        </w:rPr>
        <w:t>采购需求</w:t>
      </w:r>
      <w:bookmarkStart w:id="1" w:name="_Hlt82166985"/>
      <w:r>
        <w:rPr>
          <w:rFonts w:ascii="宋体" w:hAnsi="宋体"/>
          <w:b/>
          <w:color w:val="auto"/>
          <w:sz w:val="24"/>
          <w:highlight w:val="none"/>
        </w:rPr>
        <w:tab/>
      </w:r>
      <w:bookmarkEnd w:id="1"/>
      <w:r>
        <w:rPr>
          <w:rFonts w:ascii="宋体" w:hAnsi="宋体"/>
          <w:b/>
          <w:color w:val="auto"/>
          <w:sz w:val="24"/>
          <w:highlight w:val="none"/>
        </w:rPr>
        <w:fldChar w:fldCharType="begin"/>
      </w:r>
      <w:r>
        <w:rPr>
          <w:rFonts w:ascii="宋体" w:hAnsi="宋体"/>
          <w:b/>
          <w:color w:val="auto"/>
          <w:sz w:val="24"/>
          <w:highlight w:val="none"/>
        </w:rPr>
        <w:instrText xml:space="preserve"> PAGEREF _Toc74322010 \h </w:instrText>
      </w:r>
      <w:r>
        <w:rPr>
          <w:rFonts w:ascii="宋体" w:hAnsi="宋体"/>
          <w:b/>
          <w:color w:val="auto"/>
          <w:sz w:val="24"/>
          <w:highlight w:val="none"/>
        </w:rPr>
        <w:fldChar w:fldCharType="separate"/>
      </w:r>
      <w:r>
        <w:rPr>
          <w:rFonts w:ascii="宋体" w:hAnsi="宋体"/>
          <w:b/>
          <w:color w:val="auto"/>
          <w:sz w:val="24"/>
          <w:highlight w:val="none"/>
        </w:rPr>
        <w:t>24</w:t>
      </w:r>
      <w:r>
        <w:rPr>
          <w:rFonts w:ascii="宋体" w:hAnsi="宋体"/>
          <w:b/>
          <w:color w:val="auto"/>
          <w:sz w:val="24"/>
          <w:highlight w:val="none"/>
        </w:rPr>
        <w:fldChar w:fldCharType="end"/>
      </w:r>
      <w:r>
        <w:rPr>
          <w:rFonts w:ascii="宋体" w:hAnsi="宋体"/>
          <w:b/>
          <w:color w:val="auto"/>
          <w:sz w:val="24"/>
          <w:highlight w:val="none"/>
        </w:rPr>
        <w:fldChar w:fldCharType="end"/>
      </w:r>
    </w:p>
    <w:p w14:paraId="425BF518">
      <w:pPr>
        <w:pStyle w:val="17"/>
        <w:tabs>
          <w:tab w:val="right" w:leader="dot" w:pos="8869"/>
        </w:tabs>
        <w:snapToGrid w:val="0"/>
        <w:spacing w:line="500" w:lineRule="atLeast"/>
        <w:rPr>
          <w:rFonts w:ascii="宋体" w:hAnsi="宋体"/>
          <w:b/>
          <w:color w:val="auto"/>
          <w:sz w:val="24"/>
          <w:highlight w:val="none"/>
        </w:rPr>
      </w:pPr>
      <w:r>
        <w:rPr>
          <w:rFonts w:ascii="宋体" w:hAnsi="宋体"/>
          <w:b/>
          <w:color w:val="auto"/>
          <w:sz w:val="24"/>
          <w:highlight w:val="none"/>
        </w:rPr>
        <w:fldChar w:fldCharType="begin"/>
      </w:r>
      <w:r>
        <w:rPr>
          <w:rStyle w:val="24"/>
          <w:rFonts w:ascii="宋体" w:hAnsi="宋体"/>
          <w:b/>
          <w:color w:val="auto"/>
          <w:sz w:val="24"/>
          <w:highlight w:val="none"/>
        </w:rPr>
        <w:instrText xml:space="preserve"> </w:instrText>
      </w:r>
      <w:r>
        <w:rPr>
          <w:rFonts w:ascii="宋体" w:hAnsi="宋体"/>
          <w:b/>
          <w:color w:val="auto"/>
          <w:sz w:val="24"/>
          <w:highlight w:val="none"/>
        </w:rPr>
        <w:instrText xml:space="preserve">HYPERLINK \l "_Toc74322011"</w:instrText>
      </w:r>
      <w:r>
        <w:rPr>
          <w:rStyle w:val="24"/>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4"/>
          <w:rFonts w:hint="eastAsia" w:ascii="宋体" w:hAnsi="宋体"/>
          <w:b/>
          <w:color w:val="auto"/>
          <w:sz w:val="24"/>
          <w:highlight w:val="none"/>
        </w:rPr>
        <w:t>第四章</w:t>
      </w:r>
      <w:r>
        <w:rPr>
          <w:rStyle w:val="24"/>
          <w:rFonts w:ascii="宋体" w:hAnsi="宋体"/>
          <w:b/>
          <w:color w:val="auto"/>
          <w:sz w:val="24"/>
          <w:highlight w:val="none"/>
        </w:rPr>
        <w:t xml:space="preserve"> </w:t>
      </w:r>
      <w:r>
        <w:rPr>
          <w:rStyle w:val="24"/>
          <w:rFonts w:hint="eastAsia" w:ascii="宋体" w:hAnsi="宋体"/>
          <w:b/>
          <w:color w:val="auto"/>
          <w:sz w:val="24"/>
          <w:highlight w:val="none"/>
        </w:rPr>
        <w:t>评审程序和评定成交的标准</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_Toc74322011 \h </w:instrText>
      </w:r>
      <w:r>
        <w:rPr>
          <w:rFonts w:ascii="宋体" w:hAnsi="宋体"/>
          <w:b/>
          <w:color w:val="auto"/>
          <w:sz w:val="24"/>
          <w:highlight w:val="none"/>
        </w:rPr>
        <w:fldChar w:fldCharType="separate"/>
      </w:r>
      <w:r>
        <w:rPr>
          <w:rFonts w:ascii="宋体" w:hAnsi="宋体"/>
          <w:b/>
          <w:color w:val="auto"/>
          <w:sz w:val="24"/>
          <w:highlight w:val="none"/>
        </w:rPr>
        <w:t>37</w:t>
      </w:r>
      <w:r>
        <w:rPr>
          <w:rFonts w:ascii="宋体" w:hAnsi="宋体"/>
          <w:b/>
          <w:color w:val="auto"/>
          <w:sz w:val="24"/>
          <w:highlight w:val="none"/>
        </w:rPr>
        <w:fldChar w:fldCharType="end"/>
      </w:r>
      <w:r>
        <w:rPr>
          <w:rFonts w:ascii="宋体" w:hAnsi="宋体"/>
          <w:b/>
          <w:color w:val="auto"/>
          <w:sz w:val="24"/>
          <w:highlight w:val="none"/>
        </w:rPr>
        <w:fldChar w:fldCharType="end"/>
      </w:r>
    </w:p>
    <w:p w14:paraId="7053029A">
      <w:pPr>
        <w:pStyle w:val="17"/>
        <w:tabs>
          <w:tab w:val="right" w:leader="dot" w:pos="8869"/>
        </w:tabs>
        <w:snapToGrid w:val="0"/>
        <w:spacing w:line="500" w:lineRule="atLeast"/>
        <w:rPr>
          <w:rFonts w:ascii="宋体" w:hAnsi="宋体"/>
          <w:b/>
          <w:color w:val="auto"/>
          <w:sz w:val="24"/>
          <w:highlight w:val="none"/>
        </w:rPr>
      </w:pPr>
      <w:r>
        <w:rPr>
          <w:rFonts w:ascii="宋体" w:hAnsi="宋体"/>
          <w:b/>
          <w:color w:val="auto"/>
          <w:sz w:val="24"/>
          <w:highlight w:val="none"/>
        </w:rPr>
        <w:fldChar w:fldCharType="begin"/>
      </w:r>
      <w:r>
        <w:rPr>
          <w:rStyle w:val="24"/>
          <w:rFonts w:ascii="宋体" w:hAnsi="宋体"/>
          <w:b/>
          <w:color w:val="auto"/>
          <w:sz w:val="24"/>
          <w:highlight w:val="none"/>
        </w:rPr>
        <w:instrText xml:space="preserve"> </w:instrText>
      </w:r>
      <w:r>
        <w:rPr>
          <w:rFonts w:ascii="宋体" w:hAnsi="宋体"/>
          <w:b/>
          <w:color w:val="auto"/>
          <w:sz w:val="24"/>
          <w:highlight w:val="none"/>
        </w:rPr>
        <w:instrText xml:space="preserve">HYPERLINK \l "_Toc74322012"</w:instrText>
      </w:r>
      <w:r>
        <w:rPr>
          <w:rStyle w:val="24"/>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4"/>
          <w:rFonts w:hint="eastAsia" w:ascii="宋体" w:hAnsi="宋体"/>
          <w:b/>
          <w:color w:val="auto"/>
          <w:sz w:val="24"/>
          <w:highlight w:val="none"/>
        </w:rPr>
        <w:t>第五章</w:t>
      </w:r>
      <w:r>
        <w:rPr>
          <w:rStyle w:val="24"/>
          <w:rFonts w:ascii="宋体" w:hAnsi="宋体"/>
          <w:b/>
          <w:color w:val="auto"/>
          <w:sz w:val="24"/>
          <w:highlight w:val="none"/>
        </w:rPr>
        <w:t xml:space="preserve"> </w:t>
      </w:r>
      <w:r>
        <w:rPr>
          <w:rStyle w:val="24"/>
          <w:rFonts w:hint="eastAsia" w:ascii="宋体" w:hAnsi="宋体"/>
          <w:b/>
          <w:color w:val="auto"/>
          <w:sz w:val="24"/>
          <w:highlight w:val="none"/>
        </w:rPr>
        <w:t>响应文件格式</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_Toc74322012 \h </w:instrText>
      </w:r>
      <w:r>
        <w:rPr>
          <w:rFonts w:ascii="宋体" w:hAnsi="宋体"/>
          <w:b/>
          <w:color w:val="auto"/>
          <w:sz w:val="24"/>
          <w:highlight w:val="none"/>
        </w:rPr>
        <w:fldChar w:fldCharType="separate"/>
      </w:r>
      <w:r>
        <w:rPr>
          <w:rFonts w:ascii="宋体" w:hAnsi="宋体"/>
          <w:b/>
          <w:color w:val="auto"/>
          <w:sz w:val="24"/>
          <w:highlight w:val="none"/>
        </w:rPr>
        <w:t>43</w:t>
      </w:r>
      <w:r>
        <w:rPr>
          <w:rFonts w:ascii="宋体" w:hAnsi="宋体"/>
          <w:b/>
          <w:color w:val="auto"/>
          <w:sz w:val="24"/>
          <w:highlight w:val="none"/>
        </w:rPr>
        <w:fldChar w:fldCharType="end"/>
      </w:r>
      <w:r>
        <w:rPr>
          <w:rFonts w:ascii="宋体" w:hAnsi="宋体"/>
          <w:b/>
          <w:color w:val="auto"/>
          <w:sz w:val="24"/>
          <w:highlight w:val="none"/>
        </w:rPr>
        <w:fldChar w:fldCharType="end"/>
      </w:r>
    </w:p>
    <w:p w14:paraId="6D862722">
      <w:pPr>
        <w:pStyle w:val="17"/>
        <w:tabs>
          <w:tab w:val="right" w:leader="dot" w:pos="8869"/>
        </w:tabs>
        <w:snapToGrid w:val="0"/>
        <w:spacing w:line="500" w:lineRule="atLeast"/>
        <w:rPr>
          <w:rFonts w:ascii="宋体" w:hAnsi="宋体"/>
          <w:b/>
          <w:color w:val="auto"/>
          <w:sz w:val="24"/>
          <w:highlight w:val="none"/>
        </w:rPr>
      </w:pPr>
      <w:r>
        <w:rPr>
          <w:rFonts w:ascii="宋体" w:hAnsi="宋体"/>
          <w:b/>
          <w:color w:val="auto"/>
          <w:sz w:val="24"/>
          <w:highlight w:val="none"/>
        </w:rPr>
        <w:fldChar w:fldCharType="begin"/>
      </w:r>
      <w:r>
        <w:rPr>
          <w:rStyle w:val="24"/>
          <w:rFonts w:ascii="宋体" w:hAnsi="宋体"/>
          <w:b/>
          <w:color w:val="auto"/>
          <w:sz w:val="24"/>
          <w:highlight w:val="none"/>
        </w:rPr>
        <w:instrText xml:space="preserve"> </w:instrText>
      </w:r>
      <w:r>
        <w:rPr>
          <w:rFonts w:ascii="宋体" w:hAnsi="宋体"/>
          <w:b/>
          <w:color w:val="auto"/>
          <w:sz w:val="24"/>
          <w:highlight w:val="none"/>
        </w:rPr>
        <w:instrText xml:space="preserve">HYPERLINK \l "_Toc74322013"</w:instrText>
      </w:r>
      <w:r>
        <w:rPr>
          <w:rStyle w:val="24"/>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4"/>
          <w:rFonts w:hint="eastAsia" w:ascii="宋体" w:hAnsi="宋体"/>
          <w:b/>
          <w:color w:val="auto"/>
          <w:sz w:val="24"/>
          <w:highlight w:val="none"/>
        </w:rPr>
        <w:t>第六章</w:t>
      </w:r>
      <w:r>
        <w:rPr>
          <w:rStyle w:val="24"/>
          <w:rFonts w:ascii="宋体" w:hAnsi="宋体"/>
          <w:b/>
          <w:color w:val="auto"/>
          <w:sz w:val="24"/>
          <w:highlight w:val="none"/>
        </w:rPr>
        <w:t xml:space="preserve"> </w:t>
      </w:r>
      <w:r>
        <w:rPr>
          <w:rStyle w:val="24"/>
          <w:rFonts w:hint="eastAsia" w:ascii="宋体" w:hAnsi="宋体"/>
          <w:b/>
          <w:color w:val="auto"/>
          <w:sz w:val="24"/>
          <w:highlight w:val="none"/>
        </w:rPr>
        <w:t>合同文本</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_Toc74322013 \h </w:instrText>
      </w:r>
      <w:r>
        <w:rPr>
          <w:rFonts w:ascii="宋体" w:hAnsi="宋体"/>
          <w:b/>
          <w:color w:val="auto"/>
          <w:sz w:val="24"/>
          <w:highlight w:val="none"/>
        </w:rPr>
        <w:fldChar w:fldCharType="separate"/>
      </w:r>
      <w:r>
        <w:rPr>
          <w:rFonts w:ascii="宋体" w:hAnsi="宋体"/>
          <w:b/>
          <w:color w:val="auto"/>
          <w:sz w:val="24"/>
          <w:highlight w:val="none"/>
        </w:rPr>
        <w:t>69</w:t>
      </w:r>
      <w:r>
        <w:rPr>
          <w:rFonts w:ascii="宋体" w:hAnsi="宋体"/>
          <w:b/>
          <w:color w:val="auto"/>
          <w:sz w:val="24"/>
          <w:highlight w:val="none"/>
        </w:rPr>
        <w:fldChar w:fldCharType="end"/>
      </w:r>
      <w:r>
        <w:rPr>
          <w:rFonts w:ascii="宋体" w:hAnsi="宋体"/>
          <w:b/>
          <w:color w:val="auto"/>
          <w:sz w:val="24"/>
          <w:highlight w:val="none"/>
        </w:rPr>
        <w:fldChar w:fldCharType="end"/>
      </w:r>
    </w:p>
    <w:p w14:paraId="1525155C">
      <w:pPr>
        <w:pStyle w:val="18"/>
        <w:tabs>
          <w:tab w:val="right" w:leader="dot" w:pos="8931"/>
          <w:tab w:val="clear" w:pos="8296"/>
        </w:tabs>
        <w:snapToGrid w:val="0"/>
        <w:spacing w:line="500" w:lineRule="atLeast"/>
        <w:ind w:left="0" w:leftChars="0"/>
        <w:rPr>
          <w:rFonts w:hint="eastAsia" w:ascii="宋体" w:hAnsi="宋体"/>
          <w:b/>
          <w:color w:val="auto"/>
          <w:sz w:val="24"/>
          <w:highlight w:val="none"/>
        </w:rPr>
      </w:pPr>
      <w:r>
        <w:rPr>
          <w:rFonts w:ascii="宋体" w:hAnsi="宋体"/>
          <w:b/>
          <w:color w:val="auto"/>
          <w:sz w:val="24"/>
          <w:highlight w:val="none"/>
        </w:rPr>
        <w:fldChar w:fldCharType="end"/>
      </w:r>
    </w:p>
    <w:p w14:paraId="7C77E2A8">
      <w:pPr>
        <w:spacing w:line="400" w:lineRule="exact"/>
        <w:jc w:val="left"/>
        <w:rPr>
          <w:rFonts w:hint="eastAsia" w:ascii="宋体" w:hAnsi="宋体"/>
          <w:b/>
          <w:color w:val="auto"/>
          <w:sz w:val="32"/>
          <w:szCs w:val="32"/>
          <w:highlight w:val="none"/>
        </w:rPr>
      </w:pPr>
    </w:p>
    <w:p w14:paraId="3A807E26">
      <w:pPr>
        <w:spacing w:line="400" w:lineRule="exact"/>
        <w:jc w:val="center"/>
        <w:rPr>
          <w:rFonts w:hint="eastAsia" w:ascii="宋体" w:hAnsi="宋体"/>
          <w:b/>
          <w:color w:val="auto"/>
          <w:sz w:val="32"/>
          <w:szCs w:val="32"/>
          <w:highlight w:val="none"/>
        </w:rPr>
      </w:pPr>
    </w:p>
    <w:p w14:paraId="1D90D447">
      <w:pPr>
        <w:spacing w:line="400" w:lineRule="exact"/>
        <w:jc w:val="center"/>
        <w:rPr>
          <w:rFonts w:hint="eastAsia" w:ascii="宋体" w:hAnsi="宋体"/>
          <w:b/>
          <w:color w:val="auto"/>
          <w:sz w:val="32"/>
          <w:szCs w:val="32"/>
          <w:highlight w:val="none"/>
        </w:rPr>
      </w:pPr>
    </w:p>
    <w:p w14:paraId="13BB96D1">
      <w:pPr>
        <w:spacing w:line="400" w:lineRule="exact"/>
        <w:jc w:val="center"/>
        <w:rPr>
          <w:rFonts w:hint="eastAsia" w:ascii="宋体" w:hAnsi="宋体"/>
          <w:b/>
          <w:color w:val="auto"/>
          <w:sz w:val="32"/>
          <w:szCs w:val="32"/>
          <w:highlight w:val="none"/>
        </w:rPr>
      </w:pPr>
    </w:p>
    <w:p w14:paraId="4E36F1D3">
      <w:pPr>
        <w:spacing w:line="400" w:lineRule="exact"/>
        <w:jc w:val="center"/>
        <w:rPr>
          <w:rFonts w:hint="eastAsia" w:ascii="宋体" w:hAnsi="宋体"/>
          <w:b/>
          <w:color w:val="auto"/>
          <w:sz w:val="32"/>
          <w:szCs w:val="32"/>
          <w:highlight w:val="none"/>
        </w:rPr>
      </w:pPr>
    </w:p>
    <w:p w14:paraId="1D29FC66">
      <w:pPr>
        <w:spacing w:line="400" w:lineRule="exact"/>
        <w:rPr>
          <w:rFonts w:hint="eastAsia" w:ascii="宋体" w:hAnsi="宋体"/>
          <w:b/>
          <w:color w:val="auto"/>
          <w:sz w:val="32"/>
          <w:szCs w:val="32"/>
          <w:highlight w:val="none"/>
        </w:rPr>
        <w:sectPr>
          <w:headerReference r:id="rId3" w:type="default"/>
          <w:footerReference r:id="rId4" w:type="default"/>
          <w:pgSz w:w="11906" w:h="16838"/>
          <w:pgMar w:top="1440" w:right="1440" w:bottom="1440" w:left="1587" w:header="851" w:footer="992" w:gutter="0"/>
          <w:pgNumType w:start="0"/>
          <w:cols w:space="720" w:num="1"/>
          <w:titlePg/>
          <w:docGrid w:type="lines" w:linePitch="312" w:charSpace="0"/>
        </w:sectPr>
      </w:pPr>
    </w:p>
    <w:p w14:paraId="14FBE448">
      <w:pPr>
        <w:pStyle w:val="3"/>
        <w:spacing w:after="100" w:line="480" w:lineRule="auto"/>
        <w:jc w:val="center"/>
        <w:rPr>
          <w:rFonts w:hint="eastAsia"/>
          <w:color w:val="auto"/>
          <w:highlight w:val="none"/>
        </w:rPr>
      </w:pPr>
      <w:bookmarkStart w:id="2" w:name="_Toc74322008"/>
      <w:r>
        <w:rPr>
          <w:rFonts w:hint="eastAsia"/>
          <w:color w:val="auto"/>
          <w:highlight w:val="none"/>
        </w:rPr>
        <w:t>第一章 竞争性谈判公告</w:t>
      </w:r>
      <w:bookmarkEnd w:id="2"/>
    </w:p>
    <w:p w14:paraId="26FF689B">
      <w:pPr>
        <w:spacing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竞争性谈判公告</w:t>
      </w:r>
    </w:p>
    <w:p w14:paraId="0B51EA24">
      <w:pPr>
        <w:spacing w:line="360" w:lineRule="auto"/>
        <w:rPr>
          <w:rFonts w:ascii="宋体" w:hAnsi="宋体"/>
          <w:color w:val="auto"/>
          <w:szCs w:val="21"/>
          <w:highlight w:val="none"/>
        </w:rPr>
      </w:pPr>
    </w:p>
    <w:p w14:paraId="006F9B1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bookmarkStart w:id="3" w:name="_Hlk37430271"/>
      <w:r>
        <w:rPr>
          <w:rFonts w:hint="eastAsia" w:ascii="宋体" w:hAnsi="宋体"/>
          <w:color w:val="auto"/>
          <w:szCs w:val="21"/>
          <w:highlight w:val="none"/>
        </w:rPr>
        <w:t>项目概况</w:t>
      </w:r>
    </w:p>
    <w:p w14:paraId="3EC9F05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lang w:eastAsia="zh-CN"/>
        </w:rPr>
        <w:t>血液透析机采购项目</w:t>
      </w:r>
      <w:r>
        <w:rPr>
          <w:rFonts w:hint="eastAsia" w:ascii="宋体" w:hAnsi="宋体"/>
          <w:color w:val="auto"/>
          <w:szCs w:val="21"/>
          <w:highlight w:val="none"/>
        </w:rPr>
        <w:t xml:space="preserve"> 采购项目的潜在供应商应在广西政府采购云平台（https://www.gcy.zfcg.gxzf.gov.cn/）获取（下载）竞争性谈判文件，并</w:t>
      </w:r>
      <w:r>
        <w:rPr>
          <w:rFonts w:hint="eastAsia" w:ascii="宋体" w:hAnsi="宋体"/>
          <w:color w:val="auto"/>
          <w:szCs w:val="21"/>
          <w:highlight w:val="none"/>
          <w:lang w:eastAsia="zh-CN"/>
        </w:rPr>
        <w:t>于</w:t>
      </w:r>
      <w:r>
        <w:rPr>
          <w:rFonts w:hint="eastAsia" w:ascii="宋体" w:hAnsi="宋体"/>
          <w:color w:val="auto"/>
          <w:szCs w:val="21"/>
          <w:highlight w:val="none"/>
          <w:u w:val="single"/>
          <w:lang w:eastAsia="zh-CN"/>
        </w:rPr>
        <w:t>2025年6月20日</w:t>
      </w:r>
      <w:r>
        <w:rPr>
          <w:rFonts w:hint="eastAsia" w:ascii="宋体" w:hAnsi="宋体"/>
          <w:bCs/>
          <w:color w:val="auto"/>
          <w:szCs w:val="21"/>
          <w:highlight w:val="none"/>
          <w:u w:val="single"/>
          <w:lang w:val="en-US" w:eastAsia="zh-CN"/>
        </w:rPr>
        <w:t>15</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30</w:t>
      </w:r>
      <w:r>
        <w:rPr>
          <w:rFonts w:hint="eastAsia" w:ascii="宋体" w:hAnsi="宋体"/>
          <w:bCs/>
          <w:color w:val="auto"/>
          <w:szCs w:val="21"/>
          <w:highlight w:val="none"/>
          <w:u w:val="single"/>
        </w:rPr>
        <w:t>分（</w:t>
      </w:r>
      <w:r>
        <w:rPr>
          <w:rFonts w:hint="eastAsia" w:ascii="宋体" w:hAnsi="宋体"/>
          <w:bCs/>
          <w:color w:val="auto"/>
          <w:szCs w:val="21"/>
          <w:highlight w:val="none"/>
        </w:rPr>
        <w:t>北京时间）前提交（上传）</w:t>
      </w:r>
      <w:r>
        <w:rPr>
          <w:rFonts w:hint="eastAsia" w:ascii="宋体" w:hAnsi="宋体"/>
          <w:color w:val="auto"/>
          <w:szCs w:val="21"/>
          <w:highlight w:val="none"/>
        </w:rPr>
        <w:t>响应</w:t>
      </w:r>
      <w:r>
        <w:rPr>
          <w:rFonts w:ascii="宋体" w:hAnsi="宋体"/>
          <w:bCs/>
          <w:color w:val="auto"/>
          <w:szCs w:val="21"/>
          <w:highlight w:val="none"/>
        </w:rPr>
        <w:t>文件</w:t>
      </w:r>
      <w:r>
        <w:rPr>
          <w:rFonts w:hint="eastAsia" w:ascii="宋体" w:hAnsi="宋体"/>
          <w:color w:val="auto"/>
          <w:szCs w:val="21"/>
          <w:highlight w:val="none"/>
        </w:rPr>
        <w:t>。</w:t>
      </w:r>
    </w:p>
    <w:p w14:paraId="48E0500E">
      <w:pPr>
        <w:spacing w:line="360" w:lineRule="auto"/>
        <w:rPr>
          <w:rFonts w:ascii="宋体" w:hAnsi="宋体"/>
          <w:color w:val="auto"/>
          <w:szCs w:val="21"/>
          <w:highlight w:val="none"/>
        </w:rPr>
      </w:pPr>
    </w:p>
    <w:p w14:paraId="0BF073BD">
      <w:pPr>
        <w:spacing w:line="360" w:lineRule="auto"/>
        <w:ind w:firstLine="360" w:firstLineChars="150"/>
        <w:rPr>
          <w:rFonts w:ascii="黑体" w:hAnsi="黑体" w:eastAsia="黑体"/>
          <w:color w:val="auto"/>
          <w:sz w:val="24"/>
          <w:highlight w:val="none"/>
        </w:rPr>
      </w:pPr>
      <w:bookmarkStart w:id="4" w:name="_Toc71365362"/>
      <w:bookmarkStart w:id="5" w:name="_Toc71366040"/>
      <w:bookmarkStart w:id="6" w:name="_Toc28359089"/>
      <w:bookmarkStart w:id="7" w:name="_Toc28359012"/>
      <w:bookmarkStart w:id="8" w:name="_Toc35393798"/>
      <w:bookmarkStart w:id="9" w:name="_Toc35393629"/>
      <w:r>
        <w:rPr>
          <w:rFonts w:hint="eastAsia" w:ascii="黑体" w:hAnsi="黑体" w:eastAsia="黑体"/>
          <w:color w:val="auto"/>
          <w:sz w:val="24"/>
          <w:highlight w:val="none"/>
        </w:rPr>
        <w:t>一、项目基本情况</w:t>
      </w:r>
      <w:bookmarkEnd w:id="4"/>
      <w:bookmarkEnd w:id="5"/>
      <w:bookmarkEnd w:id="6"/>
      <w:bookmarkEnd w:id="7"/>
      <w:bookmarkEnd w:id="8"/>
      <w:bookmarkEnd w:id="9"/>
    </w:p>
    <w:p w14:paraId="0729363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lang w:eastAsia="zh-CN"/>
        </w:rPr>
        <w:t>WZZC2025-J1-990129-YZLZ</w:t>
      </w:r>
    </w:p>
    <w:p w14:paraId="77D61AFD">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lang w:eastAsia="zh-CN"/>
        </w:rPr>
        <w:t>血液透析机采购项目</w:t>
      </w:r>
    </w:p>
    <w:p w14:paraId="0B22BE7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采购方式：竞争性谈判</w:t>
      </w:r>
    </w:p>
    <w:p w14:paraId="59E2CA1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预算金额：</w:t>
      </w:r>
      <w:r>
        <w:rPr>
          <w:rFonts w:hint="eastAsia" w:ascii="宋体" w:hAnsi="宋体"/>
          <w:color w:val="auto"/>
          <w:szCs w:val="21"/>
          <w:highlight w:val="none"/>
          <w:lang w:eastAsia="zh-CN"/>
        </w:rPr>
        <w:t>1067000.00元</w:t>
      </w:r>
    </w:p>
    <w:p w14:paraId="0AEAD25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最高限价（如有）：</w:t>
      </w:r>
      <w:r>
        <w:rPr>
          <w:rFonts w:hint="eastAsia" w:ascii="宋体" w:hAnsi="宋体"/>
          <w:color w:val="auto"/>
          <w:szCs w:val="21"/>
          <w:highlight w:val="none"/>
          <w:lang w:eastAsia="zh-CN"/>
        </w:rPr>
        <w:t>1067000.00元</w:t>
      </w:r>
    </w:p>
    <w:p w14:paraId="5C1EEE1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采购需求：</w:t>
      </w:r>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9"/>
        <w:gridCol w:w="1785"/>
        <w:gridCol w:w="945"/>
        <w:gridCol w:w="3919"/>
        <w:gridCol w:w="1287"/>
      </w:tblGrid>
      <w:tr w14:paraId="2BC8D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5"/>
            <w:tcBorders>
              <w:top w:val="single" w:color="auto" w:sz="4" w:space="0"/>
              <w:left w:val="single" w:color="auto" w:sz="4" w:space="0"/>
              <w:bottom w:val="single" w:color="auto" w:sz="4" w:space="0"/>
              <w:right w:val="single" w:color="auto" w:sz="4" w:space="0"/>
            </w:tcBorders>
            <w:noWrap w:val="0"/>
            <w:vAlign w:val="center"/>
          </w:tcPr>
          <w:p w14:paraId="3FA88729">
            <w:pPr>
              <w:spacing w:line="360" w:lineRule="auto"/>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1</w:t>
            </w:r>
            <w:r>
              <w:rPr>
                <w:rFonts w:ascii="宋体" w:hAnsi="宋体"/>
                <w:color w:val="auto"/>
                <w:szCs w:val="21"/>
                <w:highlight w:val="none"/>
                <w:u w:val="single"/>
              </w:rPr>
              <w:t xml:space="preserve"> </w:t>
            </w:r>
            <w:r>
              <w:rPr>
                <w:rFonts w:hint="eastAsia" w:ascii="宋体" w:hAnsi="宋体"/>
                <w:color w:val="auto"/>
                <w:szCs w:val="21"/>
                <w:highlight w:val="none"/>
              </w:rPr>
              <w:t>分标；预算金额：</w:t>
            </w:r>
            <w:r>
              <w:rPr>
                <w:rFonts w:hint="eastAsia" w:ascii="宋体" w:hAnsi="宋体"/>
                <w:color w:val="auto"/>
                <w:szCs w:val="21"/>
                <w:highlight w:val="none"/>
                <w:lang w:eastAsia="zh-CN"/>
              </w:rPr>
              <w:t>1067000.00元</w:t>
            </w:r>
          </w:p>
        </w:tc>
      </w:tr>
      <w:tr w14:paraId="21FE6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center"/>
          </w:tcPr>
          <w:p w14:paraId="6E24D653">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5444AF04">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标的的名称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13322A57">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数量及</w:t>
            </w:r>
          </w:p>
          <w:p w14:paraId="58208E5C">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单位</w:t>
            </w:r>
          </w:p>
        </w:tc>
        <w:tc>
          <w:tcPr>
            <w:tcW w:w="3919" w:type="dxa"/>
            <w:tcBorders>
              <w:top w:val="single" w:color="auto" w:sz="4" w:space="0"/>
              <w:left w:val="single" w:color="auto" w:sz="4" w:space="0"/>
              <w:bottom w:val="single" w:color="auto" w:sz="4" w:space="0"/>
              <w:right w:val="single" w:color="auto" w:sz="4" w:space="0"/>
            </w:tcBorders>
            <w:noWrap w:val="0"/>
            <w:vAlign w:val="center"/>
          </w:tcPr>
          <w:p w14:paraId="2BD63B5E">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简要技术需求或者服务要求</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73215E31">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lang w:eastAsia="zh-CN"/>
              </w:rPr>
              <w:t>最高上限单价（</w:t>
            </w:r>
            <w:r>
              <w:rPr>
                <w:rFonts w:hint="eastAsia" w:ascii="宋体" w:hAnsi="宋体"/>
                <w:color w:val="auto"/>
                <w:szCs w:val="21"/>
                <w:highlight w:val="none"/>
                <w:lang w:val="en-US" w:eastAsia="zh-CN"/>
              </w:rPr>
              <w:t>元</w:t>
            </w:r>
            <w:r>
              <w:rPr>
                <w:rFonts w:hint="eastAsia" w:ascii="宋体" w:hAnsi="宋体"/>
                <w:color w:val="auto"/>
                <w:szCs w:val="21"/>
                <w:highlight w:val="none"/>
                <w:lang w:eastAsia="zh-CN"/>
              </w:rPr>
              <w:t>）</w:t>
            </w:r>
          </w:p>
        </w:tc>
      </w:tr>
      <w:tr w14:paraId="7F775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center"/>
          </w:tcPr>
          <w:p w14:paraId="19F4FAAE">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01</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530FBDFE">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血液透析机（带滤过功能）</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5D3BE9C6">
            <w:pPr>
              <w:snapToGrid w:val="0"/>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台</w:t>
            </w:r>
          </w:p>
        </w:tc>
        <w:tc>
          <w:tcPr>
            <w:tcW w:w="3919" w:type="dxa"/>
            <w:tcBorders>
              <w:top w:val="single" w:color="auto" w:sz="4" w:space="0"/>
              <w:left w:val="single" w:color="auto" w:sz="4" w:space="0"/>
              <w:bottom w:val="single" w:color="auto" w:sz="4" w:space="0"/>
              <w:right w:val="single" w:color="auto" w:sz="4" w:space="0"/>
            </w:tcBorders>
            <w:noWrap w:val="0"/>
            <w:vAlign w:val="center"/>
          </w:tcPr>
          <w:p w14:paraId="749212F3">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一</w:t>
            </w:r>
            <w:r>
              <w:rPr>
                <w:rFonts w:hint="eastAsia" w:ascii="宋体" w:hAnsi="宋体"/>
                <w:color w:val="auto"/>
                <w:szCs w:val="21"/>
                <w:highlight w:val="none"/>
                <w:lang w:eastAsia="zh-CN"/>
              </w:rPr>
              <w:t>、</w:t>
            </w:r>
            <w:r>
              <w:rPr>
                <w:rFonts w:hint="eastAsia" w:ascii="宋体" w:hAnsi="宋体"/>
                <w:color w:val="auto"/>
                <w:szCs w:val="21"/>
                <w:highlight w:val="none"/>
              </w:rPr>
              <w:t xml:space="preserve">主要技术参数 </w:t>
            </w:r>
          </w:p>
          <w:p w14:paraId="56D4DD06">
            <w:pPr>
              <w:snapToGrid w:val="0"/>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供水: 压力范围：1-7bar；温度范围：5</w:t>
            </w:r>
            <w:r>
              <w:rPr>
                <w:rFonts w:hint="eastAsia" w:ascii="宋体" w:hAnsi="宋体"/>
                <w:color w:val="auto"/>
                <w:szCs w:val="21"/>
                <w:highlight w:val="none"/>
                <w:lang w:eastAsia="zh-CN"/>
              </w:rPr>
              <w:t>℃</w:t>
            </w:r>
            <w:r>
              <w:rPr>
                <w:rFonts w:hint="eastAsia" w:ascii="宋体" w:hAnsi="宋体"/>
                <w:color w:val="auto"/>
                <w:szCs w:val="21"/>
                <w:highlight w:val="none"/>
              </w:rPr>
              <w:t>～30</w:t>
            </w:r>
            <w:r>
              <w:rPr>
                <w:rFonts w:hint="eastAsia" w:ascii="宋体" w:hAnsi="宋体"/>
                <w:color w:val="auto"/>
                <w:szCs w:val="21"/>
                <w:highlight w:val="none"/>
                <w:lang w:eastAsia="zh-CN"/>
              </w:rPr>
              <w:t>℃</w:t>
            </w:r>
            <w:r>
              <w:rPr>
                <w:rFonts w:hint="eastAsia" w:ascii="宋体" w:hAnsi="宋体"/>
                <w:color w:val="auto"/>
                <w:szCs w:val="21"/>
                <w:highlight w:val="none"/>
              </w:rPr>
              <w:t>。</w:t>
            </w:r>
          </w:p>
          <w:p w14:paraId="1400D4BA">
            <w:pPr>
              <w:snapToGrid w:val="0"/>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透析液流速：300～700mL/min。</w:t>
            </w:r>
          </w:p>
          <w:p w14:paraId="25238D83">
            <w:pPr>
              <w:snapToGrid w:val="0"/>
              <w:spacing w:line="360" w:lineRule="auto"/>
              <w:rPr>
                <w:rFonts w:ascii="宋体" w:hAnsi="宋体"/>
                <w:color w:val="auto"/>
                <w:szCs w:val="21"/>
                <w:highlight w:val="none"/>
              </w:rPr>
            </w:pPr>
            <w:r>
              <w:rPr>
                <w:rFonts w:hint="eastAsia" w:ascii="宋体" w:hAnsi="宋体"/>
                <w:color w:val="auto"/>
                <w:szCs w:val="21"/>
                <w:highlight w:val="none"/>
              </w:rPr>
              <w:t>具体详见竞争性谈判文件。</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1B22187F">
            <w:pPr>
              <w:snapToGrid w:val="0"/>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250000.00</w:t>
            </w:r>
          </w:p>
        </w:tc>
      </w:tr>
      <w:tr w14:paraId="3CAB6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center"/>
          </w:tcPr>
          <w:p w14:paraId="38FF8E41">
            <w:pPr>
              <w:snapToGrid w:val="0"/>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02</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5A10CEA4">
            <w:pPr>
              <w:snapToGrid w:val="0"/>
              <w:spacing w:line="360" w:lineRule="auto"/>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血液透析机</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7F445964">
            <w:pPr>
              <w:snapToGrid w:val="0"/>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2台</w:t>
            </w:r>
          </w:p>
        </w:tc>
        <w:tc>
          <w:tcPr>
            <w:tcW w:w="3919" w:type="dxa"/>
            <w:tcBorders>
              <w:top w:val="single" w:color="auto" w:sz="4" w:space="0"/>
              <w:left w:val="single" w:color="auto" w:sz="4" w:space="0"/>
              <w:bottom w:val="single" w:color="auto" w:sz="4" w:space="0"/>
              <w:right w:val="single" w:color="auto" w:sz="4" w:space="0"/>
            </w:tcBorders>
            <w:noWrap w:val="0"/>
            <w:vAlign w:val="center"/>
          </w:tcPr>
          <w:p w14:paraId="7AFDA57E">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一、主要技术参数</w:t>
            </w:r>
          </w:p>
          <w:p w14:paraId="52049C39">
            <w:pPr>
              <w:snapToGrid w:val="0"/>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供水: 压力范围：1-7bar；温度范围：5 ℃~30 ℃。</w:t>
            </w:r>
          </w:p>
          <w:p w14:paraId="475A8AB2">
            <w:pPr>
              <w:snapToGrid w:val="0"/>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透析液流速：300～700 mL/min，调节梯度1mL/min。</w:t>
            </w:r>
          </w:p>
          <w:p w14:paraId="638AC947">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具体详见竞争性谈判文件。</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295AED21">
            <w:pPr>
              <w:snapToGrid w:val="0"/>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158500.00</w:t>
            </w:r>
          </w:p>
        </w:tc>
      </w:tr>
    </w:tbl>
    <w:p w14:paraId="367BE175">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合同履行期限：</w:t>
      </w:r>
      <w:r>
        <w:rPr>
          <w:rFonts w:hint="eastAsia" w:ascii="宋体" w:hAnsi="宋体"/>
          <w:color w:val="auto"/>
          <w:szCs w:val="21"/>
          <w:highlight w:val="none"/>
          <w:lang w:eastAsia="zh-CN"/>
        </w:rPr>
        <w:t>合同签订后45天内交货并安装验收完毕。</w:t>
      </w:r>
    </w:p>
    <w:p w14:paraId="2391811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本项目（</w:t>
      </w:r>
      <w:r>
        <w:rPr>
          <w:rFonts w:ascii="宋体" w:hAnsi="宋体"/>
          <w:color w:val="auto"/>
          <w:szCs w:val="21"/>
          <w:highlight w:val="none"/>
        </w:rPr>
        <w:t>否</w:t>
      </w:r>
      <w:r>
        <w:rPr>
          <w:rFonts w:hint="eastAsia" w:ascii="宋体" w:hAnsi="宋体"/>
          <w:color w:val="auto"/>
          <w:szCs w:val="21"/>
          <w:highlight w:val="none"/>
        </w:rPr>
        <w:t>）接受联合体。</w:t>
      </w:r>
    </w:p>
    <w:p w14:paraId="239EF6DE">
      <w:pPr>
        <w:spacing w:line="360" w:lineRule="auto"/>
        <w:ind w:firstLine="480" w:firstLineChars="200"/>
        <w:rPr>
          <w:rFonts w:ascii="黑体" w:hAnsi="黑体" w:eastAsia="黑体"/>
          <w:color w:val="auto"/>
          <w:sz w:val="24"/>
          <w:highlight w:val="none"/>
        </w:rPr>
      </w:pPr>
      <w:bookmarkStart w:id="10" w:name="_Toc35393630"/>
      <w:bookmarkStart w:id="11" w:name="_Toc28359013"/>
      <w:bookmarkStart w:id="12" w:name="_Toc35393799"/>
      <w:bookmarkStart w:id="13" w:name="_Toc71366041"/>
      <w:bookmarkStart w:id="14" w:name="_Toc28359090"/>
      <w:bookmarkStart w:id="15" w:name="_Toc71365363"/>
      <w:r>
        <w:rPr>
          <w:rFonts w:hint="eastAsia" w:ascii="黑体" w:hAnsi="黑体" w:eastAsia="黑体"/>
          <w:color w:val="auto"/>
          <w:sz w:val="24"/>
          <w:highlight w:val="none"/>
        </w:rPr>
        <w:t>二、供应商的资格条件：</w:t>
      </w:r>
      <w:bookmarkEnd w:id="10"/>
      <w:bookmarkEnd w:id="11"/>
      <w:bookmarkEnd w:id="12"/>
      <w:bookmarkEnd w:id="13"/>
      <w:bookmarkEnd w:id="14"/>
      <w:bookmarkEnd w:id="15"/>
    </w:p>
    <w:p w14:paraId="2CF83EF2">
      <w:pPr>
        <w:spacing w:line="360" w:lineRule="auto"/>
        <w:ind w:firstLine="420" w:firstLineChars="200"/>
        <w:rPr>
          <w:rFonts w:ascii="宋体" w:hAnsi="宋体"/>
          <w:color w:val="auto"/>
          <w:szCs w:val="21"/>
          <w:highlight w:val="none"/>
        </w:rPr>
      </w:pPr>
      <w:bookmarkStart w:id="16" w:name="_Toc28359091"/>
      <w:bookmarkStart w:id="17" w:name="_Toc28359014"/>
      <w:r>
        <w:rPr>
          <w:rFonts w:hint="eastAsia" w:ascii="宋体" w:hAnsi="宋体"/>
          <w:color w:val="auto"/>
          <w:szCs w:val="21"/>
          <w:highlight w:val="none"/>
        </w:rPr>
        <w:t>1.满足《中华人民共和国政府采购法》第二十二条规定；</w:t>
      </w:r>
    </w:p>
    <w:p w14:paraId="2AA445D1">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color w:val="auto"/>
          <w:szCs w:val="21"/>
          <w:highlight w:val="none"/>
          <w:lang w:val="en-US" w:eastAsia="zh-CN"/>
        </w:rPr>
        <w:t>无</w:t>
      </w:r>
      <w:r>
        <w:rPr>
          <w:rFonts w:hint="eastAsia" w:ascii="宋体" w:hAnsi="宋体"/>
          <w:color w:val="auto"/>
          <w:szCs w:val="21"/>
          <w:highlight w:val="none"/>
          <w:lang w:eastAsia="zh-CN"/>
        </w:rPr>
        <w:t>；</w:t>
      </w:r>
    </w:p>
    <w:p w14:paraId="5C228AC9">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3.本项目的特定资格要求：供应商按照《医疗器械监督管理条例》（国务院令第739号）医疗器械分类管理要求具备有效的医疗器械经营备案凭证或者经营许可证，且经营范围必须包含采购标的[符合《医疗器械监督管理条例》第四十一条第二款规定的除外]；或者供应商具有《医疗器械监督管理条例》第四十三条规定的注册人凭证。</w:t>
      </w:r>
    </w:p>
    <w:p w14:paraId="71105BDB">
      <w:pPr>
        <w:spacing w:line="360" w:lineRule="auto"/>
        <w:ind w:firstLine="480" w:firstLineChars="200"/>
        <w:rPr>
          <w:rFonts w:hint="eastAsia" w:ascii="黑体" w:hAnsi="黑体" w:eastAsia="黑体"/>
          <w:color w:val="auto"/>
          <w:sz w:val="24"/>
          <w:highlight w:val="none"/>
        </w:rPr>
      </w:pPr>
      <w:bookmarkStart w:id="18" w:name="_Toc71365364"/>
      <w:bookmarkStart w:id="19" w:name="_Toc35393800"/>
      <w:bookmarkStart w:id="20" w:name="_Toc35393631"/>
      <w:bookmarkStart w:id="21" w:name="_Toc71366042"/>
      <w:r>
        <w:rPr>
          <w:rFonts w:hint="eastAsia" w:ascii="黑体" w:hAnsi="黑体" w:eastAsia="黑体"/>
          <w:color w:val="auto"/>
          <w:sz w:val="24"/>
          <w:highlight w:val="none"/>
        </w:rPr>
        <w:t>三、获取竞争性谈判文件</w:t>
      </w:r>
      <w:bookmarkEnd w:id="16"/>
      <w:bookmarkEnd w:id="17"/>
      <w:bookmarkEnd w:id="18"/>
      <w:bookmarkEnd w:id="19"/>
      <w:bookmarkEnd w:id="20"/>
      <w:bookmarkEnd w:id="21"/>
    </w:p>
    <w:p w14:paraId="135C76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时间：</w:t>
      </w:r>
      <w:r>
        <w:rPr>
          <w:rFonts w:hint="eastAsia" w:ascii="宋体" w:hAnsi="宋体" w:eastAsia="宋体" w:cs="宋体"/>
          <w:bCs/>
          <w:color w:val="auto"/>
          <w:kern w:val="0"/>
          <w:szCs w:val="21"/>
          <w:highlight w:val="none"/>
          <w:lang w:val="en-US" w:eastAsia="zh-CN"/>
        </w:rPr>
        <w:t>2025</w:t>
      </w:r>
      <w:r>
        <w:rPr>
          <w:rFonts w:hint="eastAsia" w:ascii="宋体" w:hAnsi="宋体" w:eastAsia="宋体" w:cs="宋体"/>
          <w:bCs/>
          <w:color w:val="auto"/>
          <w:kern w:val="0"/>
          <w:szCs w:val="21"/>
          <w:highlight w:val="none"/>
        </w:rPr>
        <w:t>年</w:t>
      </w:r>
      <w:r>
        <w:rPr>
          <w:rFonts w:hint="eastAsia" w:ascii="宋体" w:hAnsi="宋体" w:cs="宋体"/>
          <w:bCs/>
          <w:color w:val="auto"/>
          <w:kern w:val="0"/>
          <w:szCs w:val="21"/>
          <w:highlight w:val="none"/>
          <w:lang w:val="en-US" w:eastAsia="zh-CN"/>
        </w:rPr>
        <w:t>6</w:t>
      </w:r>
      <w:r>
        <w:rPr>
          <w:rFonts w:hint="eastAsia" w:ascii="宋体" w:hAnsi="宋体" w:eastAsia="宋体" w:cs="宋体"/>
          <w:bCs/>
          <w:color w:val="auto"/>
          <w:kern w:val="0"/>
          <w:szCs w:val="21"/>
          <w:highlight w:val="none"/>
        </w:rPr>
        <w:t>月</w:t>
      </w:r>
      <w:r>
        <w:rPr>
          <w:rFonts w:hint="eastAsia" w:ascii="宋体" w:hAnsi="宋体" w:cs="宋体"/>
          <w:bCs/>
          <w:color w:val="auto"/>
          <w:kern w:val="0"/>
          <w:szCs w:val="21"/>
          <w:highlight w:val="none"/>
          <w:lang w:val="en-US" w:eastAsia="zh-CN"/>
        </w:rPr>
        <w:t>16</w:t>
      </w:r>
      <w:r>
        <w:rPr>
          <w:rFonts w:hint="eastAsia" w:ascii="宋体" w:hAnsi="宋体" w:eastAsia="宋体" w:cs="宋体"/>
          <w:bCs/>
          <w:color w:val="auto"/>
          <w:kern w:val="0"/>
          <w:szCs w:val="21"/>
          <w:highlight w:val="none"/>
        </w:rPr>
        <w:t>日至</w:t>
      </w:r>
      <w:r>
        <w:rPr>
          <w:rFonts w:hint="eastAsia" w:ascii="宋体" w:hAnsi="宋体" w:eastAsia="宋体" w:cs="宋体"/>
          <w:bCs/>
          <w:color w:val="auto"/>
          <w:kern w:val="0"/>
          <w:szCs w:val="21"/>
          <w:highlight w:val="none"/>
          <w:lang w:val="en-US" w:eastAsia="zh-CN"/>
        </w:rPr>
        <w:t>2025</w:t>
      </w:r>
      <w:r>
        <w:rPr>
          <w:rFonts w:hint="eastAsia" w:ascii="宋体" w:hAnsi="宋体" w:eastAsia="宋体" w:cs="宋体"/>
          <w:bCs/>
          <w:color w:val="auto"/>
          <w:kern w:val="0"/>
          <w:szCs w:val="21"/>
          <w:highlight w:val="none"/>
        </w:rPr>
        <w:t>年</w:t>
      </w:r>
      <w:r>
        <w:rPr>
          <w:rFonts w:hint="eastAsia" w:ascii="宋体" w:hAnsi="宋体" w:cs="宋体"/>
          <w:bCs/>
          <w:color w:val="auto"/>
          <w:kern w:val="0"/>
          <w:szCs w:val="21"/>
          <w:highlight w:val="none"/>
          <w:lang w:val="en-US" w:eastAsia="zh-CN"/>
        </w:rPr>
        <w:t>6</w:t>
      </w:r>
      <w:r>
        <w:rPr>
          <w:rFonts w:hint="eastAsia" w:ascii="宋体" w:hAnsi="宋体" w:eastAsia="宋体" w:cs="宋体"/>
          <w:bCs/>
          <w:color w:val="auto"/>
          <w:kern w:val="0"/>
          <w:szCs w:val="21"/>
          <w:highlight w:val="none"/>
        </w:rPr>
        <w:t>月</w:t>
      </w:r>
      <w:r>
        <w:rPr>
          <w:rFonts w:hint="eastAsia" w:ascii="宋体" w:hAnsi="宋体" w:cs="宋体"/>
          <w:bCs/>
          <w:color w:val="auto"/>
          <w:kern w:val="0"/>
          <w:szCs w:val="21"/>
          <w:highlight w:val="none"/>
          <w:lang w:val="en-US" w:eastAsia="zh-CN"/>
        </w:rPr>
        <w:t>19</w:t>
      </w:r>
      <w:r>
        <w:rPr>
          <w:rFonts w:hint="eastAsia" w:ascii="宋体" w:hAnsi="宋体" w:eastAsia="宋体" w:cs="宋体"/>
          <w:bCs/>
          <w:color w:val="auto"/>
          <w:kern w:val="0"/>
          <w:szCs w:val="21"/>
          <w:highlight w:val="none"/>
        </w:rPr>
        <w:t>日，每天上午</w:t>
      </w:r>
      <w:r>
        <w:rPr>
          <w:rFonts w:hint="eastAsia" w:ascii="宋体" w:hAnsi="宋体" w:eastAsia="宋体" w:cs="宋体"/>
          <w:bCs/>
          <w:color w:val="auto"/>
          <w:kern w:val="0"/>
          <w:szCs w:val="21"/>
          <w:highlight w:val="none"/>
          <w:lang w:val="en-US" w:eastAsia="zh-CN"/>
        </w:rPr>
        <w:t>8:00</w:t>
      </w:r>
      <w:r>
        <w:rPr>
          <w:rFonts w:hint="eastAsia" w:ascii="宋体" w:hAnsi="宋体" w:eastAsia="宋体" w:cs="宋体"/>
          <w:bCs/>
          <w:color w:val="auto"/>
          <w:kern w:val="0"/>
          <w:szCs w:val="21"/>
          <w:highlight w:val="none"/>
        </w:rPr>
        <w:t>至</w:t>
      </w:r>
      <w:r>
        <w:rPr>
          <w:rFonts w:hint="eastAsia" w:ascii="宋体" w:hAnsi="宋体" w:eastAsia="宋体" w:cs="宋体"/>
          <w:bCs/>
          <w:color w:val="auto"/>
          <w:kern w:val="0"/>
          <w:szCs w:val="21"/>
          <w:highlight w:val="none"/>
          <w:lang w:val="en-US" w:eastAsia="zh-CN"/>
        </w:rPr>
        <w:t>12:00</w:t>
      </w:r>
      <w:r>
        <w:rPr>
          <w:rFonts w:hint="eastAsia" w:ascii="宋体" w:hAnsi="宋体" w:eastAsia="宋体" w:cs="宋体"/>
          <w:bCs/>
          <w:color w:val="auto"/>
          <w:kern w:val="0"/>
          <w:szCs w:val="21"/>
          <w:highlight w:val="none"/>
        </w:rPr>
        <w:t>，下午</w:t>
      </w:r>
      <w:r>
        <w:rPr>
          <w:rFonts w:hint="eastAsia" w:ascii="宋体" w:hAnsi="宋体" w:eastAsia="宋体" w:cs="宋体"/>
          <w:bCs/>
          <w:color w:val="auto"/>
          <w:kern w:val="0"/>
          <w:szCs w:val="21"/>
          <w:highlight w:val="none"/>
          <w:lang w:val="en-US" w:eastAsia="zh-CN"/>
        </w:rPr>
        <w:t>3:00</w:t>
      </w:r>
      <w:r>
        <w:rPr>
          <w:rFonts w:hint="eastAsia" w:ascii="宋体" w:hAnsi="宋体" w:eastAsia="宋体" w:cs="宋体"/>
          <w:bCs/>
          <w:color w:val="auto"/>
          <w:kern w:val="0"/>
          <w:szCs w:val="21"/>
          <w:highlight w:val="none"/>
        </w:rPr>
        <w:t>至</w:t>
      </w:r>
      <w:r>
        <w:rPr>
          <w:rFonts w:hint="eastAsia" w:ascii="宋体" w:hAnsi="宋体" w:eastAsia="宋体" w:cs="宋体"/>
          <w:bCs/>
          <w:color w:val="auto"/>
          <w:kern w:val="0"/>
          <w:szCs w:val="21"/>
          <w:highlight w:val="none"/>
          <w:lang w:val="en-US" w:eastAsia="zh-CN"/>
        </w:rPr>
        <w:t>6:00</w:t>
      </w:r>
      <w:r>
        <w:rPr>
          <w:rFonts w:hint="eastAsia" w:ascii="宋体" w:hAnsi="宋体" w:eastAsia="宋体" w:cs="宋体"/>
          <w:bCs/>
          <w:color w:val="auto"/>
          <w:kern w:val="0"/>
          <w:szCs w:val="21"/>
          <w:highlight w:val="none"/>
        </w:rPr>
        <w:t>（北京时间）</w:t>
      </w:r>
    </w:p>
    <w:p w14:paraId="4ACA25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地点：广西政府采购云平台（https://www.gcy.zfcg.gxzf.gov.cn/）</w:t>
      </w:r>
    </w:p>
    <w:p w14:paraId="1E4CC5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auto"/>
          <w:kern w:val="0"/>
          <w:szCs w:val="21"/>
          <w:highlight w:val="none"/>
        </w:rPr>
      </w:pPr>
      <w:r>
        <w:rPr>
          <w:rFonts w:hint="eastAsia" w:ascii="宋体" w:hAnsi="宋体" w:eastAsia="宋体" w:cs="宋体"/>
          <w:bCs/>
          <w:color w:val="auto"/>
          <w:kern w:val="0"/>
          <w:szCs w:val="21"/>
          <w:highlight w:val="none"/>
        </w:rPr>
        <w:t>方式：网上下载。本项目不提供纸质文件，潜在供应商需使用账号登录或者使用CA登录广西政府采购云平台（http</w:t>
      </w:r>
      <w:r>
        <w:rPr>
          <w:rFonts w:hint="eastAsia" w:ascii="宋体" w:hAnsi="宋体" w:cs="宋体"/>
          <w:bCs/>
          <w:color w:val="auto"/>
          <w:kern w:val="0"/>
          <w:szCs w:val="21"/>
          <w:highlight w:val="none"/>
        </w:rPr>
        <w:t>s://www.gcy.zfcg.gxzf.gov.cn/）-进入“项目采购”应用，在获取采购文件菜单中选择项目，获取竞争性谈判文件。</w:t>
      </w:r>
      <w:r>
        <w:rPr>
          <w:rFonts w:hint="eastAsia" w:ascii="宋体" w:hAnsi="宋体"/>
          <w:color w:val="auto"/>
          <w:szCs w:val="21"/>
          <w:highlight w:val="none"/>
        </w:rPr>
        <w:t>电子</w:t>
      </w:r>
      <w:r>
        <w:rPr>
          <w:rFonts w:hint="eastAsia"/>
          <w:color w:val="auto"/>
          <w:highlight w:val="none"/>
        </w:rPr>
        <w:t>响应文件</w:t>
      </w:r>
      <w:r>
        <w:rPr>
          <w:rFonts w:hint="eastAsia" w:ascii="宋体" w:hAnsi="宋体"/>
          <w:color w:val="auto"/>
          <w:szCs w:val="21"/>
          <w:highlight w:val="none"/>
        </w:rPr>
        <w:t>制作需要基于广西政府采购云平台获取的谈判文件编制，</w:t>
      </w:r>
      <w:r>
        <w:rPr>
          <w:rFonts w:hint="eastAsia" w:ascii="宋体" w:hAnsi="宋体" w:cs="宋体"/>
          <w:bCs/>
          <w:color w:val="auto"/>
          <w:kern w:val="0"/>
          <w:szCs w:val="21"/>
          <w:highlight w:val="none"/>
        </w:rPr>
        <w:t>通过其他方式获取谈判文件的，将有可能导致供应商无法在广西政府采购云平台编制及上传响应文件。</w:t>
      </w:r>
    </w:p>
    <w:p w14:paraId="7F71D7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i w:val="0"/>
          <w:iCs/>
          <w:color w:val="auto"/>
          <w:szCs w:val="21"/>
          <w:highlight w:val="none"/>
          <w:u w:val="single"/>
        </w:rPr>
        <w:t>0</w:t>
      </w:r>
      <w:r>
        <w:rPr>
          <w:rFonts w:hint="eastAsia" w:ascii="宋体" w:hAnsi="宋体" w:cs="宋体"/>
          <w:color w:val="auto"/>
          <w:szCs w:val="21"/>
          <w:highlight w:val="none"/>
        </w:rPr>
        <w:t>元</w:t>
      </w:r>
    </w:p>
    <w:p w14:paraId="7A337B34">
      <w:pPr>
        <w:spacing w:line="360" w:lineRule="auto"/>
        <w:ind w:firstLine="360" w:firstLineChars="150"/>
        <w:rPr>
          <w:rFonts w:ascii="黑体" w:hAnsi="黑体" w:eastAsia="黑体"/>
          <w:color w:val="auto"/>
          <w:sz w:val="24"/>
          <w:highlight w:val="none"/>
        </w:rPr>
      </w:pPr>
      <w:bookmarkStart w:id="22" w:name="_Toc28359015"/>
      <w:bookmarkStart w:id="23" w:name="_Toc28359092"/>
      <w:bookmarkStart w:id="24" w:name="_Toc71366043"/>
      <w:bookmarkStart w:id="25" w:name="_Toc35393632"/>
      <w:bookmarkStart w:id="26" w:name="_Toc35393801"/>
      <w:bookmarkStart w:id="27" w:name="_Toc71365365"/>
      <w:r>
        <w:rPr>
          <w:rFonts w:hint="eastAsia" w:ascii="黑体" w:hAnsi="黑体" w:eastAsia="黑体"/>
          <w:color w:val="auto"/>
          <w:sz w:val="24"/>
          <w:highlight w:val="none"/>
        </w:rPr>
        <w:t>四、响应文件提交</w:t>
      </w:r>
      <w:bookmarkEnd w:id="22"/>
      <w:bookmarkEnd w:id="23"/>
      <w:bookmarkEnd w:id="24"/>
      <w:bookmarkEnd w:id="25"/>
      <w:bookmarkEnd w:id="26"/>
      <w:bookmarkEnd w:id="27"/>
    </w:p>
    <w:p w14:paraId="7A84B36C">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截止时间：</w:t>
      </w:r>
      <w:r>
        <w:rPr>
          <w:rFonts w:hint="eastAsia" w:ascii="宋体" w:hAnsi="宋体"/>
          <w:bCs/>
          <w:color w:val="auto"/>
          <w:szCs w:val="21"/>
          <w:highlight w:val="none"/>
          <w:u w:val="single"/>
          <w:lang w:val="en-US" w:eastAsia="zh-CN"/>
        </w:rPr>
        <w:t>2025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6</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20</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15</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lang w:val="en-US" w:eastAsia="zh-CN"/>
        </w:rPr>
        <w:t>30</w:t>
      </w:r>
      <w:r>
        <w:rPr>
          <w:rFonts w:hint="eastAsia" w:ascii="宋体" w:hAnsi="宋体"/>
          <w:bCs/>
          <w:color w:val="auto"/>
          <w:szCs w:val="21"/>
          <w:highlight w:val="none"/>
        </w:rPr>
        <w:t>（北京时间，法定节假日除外）</w:t>
      </w:r>
    </w:p>
    <w:p w14:paraId="47722746">
      <w:pPr>
        <w:spacing w:line="360" w:lineRule="auto"/>
        <w:ind w:left="422"/>
        <w:rPr>
          <w:rFonts w:hint="eastAsia" w:ascii="宋体" w:hAnsi="宋体"/>
          <w:bCs/>
          <w:color w:val="auto"/>
          <w:szCs w:val="21"/>
          <w:highlight w:val="none"/>
          <w:u w:val="single"/>
        </w:rPr>
      </w:pPr>
      <w:r>
        <w:rPr>
          <w:rFonts w:hint="eastAsia" w:ascii="宋体" w:hAnsi="宋体"/>
          <w:color w:val="auto"/>
          <w:szCs w:val="21"/>
          <w:highlight w:val="none"/>
        </w:rPr>
        <w:t>地点：广西政府采购云平台（https://www.gcy.zfcg.gxzf.gov.cn/）</w:t>
      </w:r>
    </w:p>
    <w:p w14:paraId="506C013E">
      <w:pPr>
        <w:spacing w:line="360" w:lineRule="auto"/>
        <w:ind w:firstLine="360" w:firstLineChars="150"/>
        <w:rPr>
          <w:rFonts w:ascii="黑体" w:hAnsi="黑体" w:eastAsia="黑体"/>
          <w:color w:val="auto"/>
          <w:sz w:val="24"/>
          <w:highlight w:val="none"/>
        </w:rPr>
      </w:pPr>
      <w:bookmarkStart w:id="28" w:name="_Toc35393633"/>
      <w:bookmarkStart w:id="29" w:name="_Toc28359093"/>
      <w:bookmarkStart w:id="30" w:name="_Toc71365366"/>
      <w:bookmarkStart w:id="31" w:name="_Toc71366044"/>
      <w:bookmarkStart w:id="32" w:name="_Toc28359016"/>
      <w:bookmarkStart w:id="33" w:name="_Toc35393802"/>
      <w:r>
        <w:rPr>
          <w:rFonts w:hint="eastAsia" w:ascii="黑体" w:hAnsi="黑体" w:eastAsia="黑体"/>
          <w:color w:val="auto"/>
          <w:sz w:val="24"/>
          <w:highlight w:val="none"/>
        </w:rPr>
        <w:t>五、开启</w:t>
      </w:r>
      <w:bookmarkEnd w:id="28"/>
      <w:bookmarkEnd w:id="29"/>
      <w:bookmarkEnd w:id="30"/>
      <w:bookmarkEnd w:id="31"/>
      <w:bookmarkEnd w:id="32"/>
      <w:bookmarkEnd w:id="33"/>
    </w:p>
    <w:p w14:paraId="7EBB9D43">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时间：</w:t>
      </w:r>
      <w:r>
        <w:rPr>
          <w:rFonts w:hint="eastAsia" w:ascii="宋体" w:hAnsi="宋体"/>
          <w:color w:val="auto"/>
          <w:szCs w:val="21"/>
          <w:highlight w:val="none"/>
          <w:u w:val="single"/>
          <w:lang w:val="en-US" w:eastAsia="zh-CN"/>
        </w:rPr>
        <w:t>2025年6月20日15：30</w:t>
      </w:r>
      <w:r>
        <w:rPr>
          <w:rFonts w:hint="eastAsia" w:ascii="宋体" w:hAnsi="宋体"/>
          <w:bCs/>
          <w:color w:val="auto"/>
          <w:szCs w:val="21"/>
          <w:highlight w:val="none"/>
          <w:u w:val="single"/>
        </w:rPr>
        <w:t>（北京时间）</w:t>
      </w:r>
    </w:p>
    <w:p w14:paraId="3F056D78">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地点：广西政府采购云平台（https://www.gcy.zfcg.gxzf.gov.cn/）</w:t>
      </w:r>
    </w:p>
    <w:p w14:paraId="1690CC0A">
      <w:pPr>
        <w:spacing w:line="360" w:lineRule="auto"/>
        <w:ind w:firstLine="360" w:firstLineChars="150"/>
        <w:rPr>
          <w:rFonts w:ascii="黑体" w:hAnsi="黑体" w:eastAsia="黑体"/>
          <w:color w:val="auto"/>
          <w:sz w:val="24"/>
          <w:highlight w:val="none"/>
        </w:rPr>
      </w:pPr>
      <w:bookmarkStart w:id="34" w:name="_Toc71366045"/>
      <w:bookmarkStart w:id="35" w:name="_Toc35393803"/>
      <w:bookmarkStart w:id="36" w:name="_Toc28359094"/>
      <w:bookmarkStart w:id="37" w:name="_Toc28359017"/>
      <w:bookmarkStart w:id="38" w:name="_Toc35393634"/>
      <w:bookmarkStart w:id="39" w:name="_Toc71365367"/>
      <w:r>
        <w:rPr>
          <w:rFonts w:hint="eastAsia" w:ascii="黑体" w:hAnsi="黑体" w:eastAsia="黑体"/>
          <w:color w:val="auto"/>
          <w:sz w:val="24"/>
          <w:highlight w:val="none"/>
        </w:rPr>
        <w:t>六、公告期限</w:t>
      </w:r>
      <w:bookmarkEnd w:id="34"/>
      <w:bookmarkEnd w:id="35"/>
      <w:bookmarkEnd w:id="36"/>
      <w:bookmarkEnd w:id="37"/>
      <w:bookmarkEnd w:id="38"/>
      <w:bookmarkEnd w:id="39"/>
    </w:p>
    <w:p w14:paraId="1455E6D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04C506C3">
      <w:pPr>
        <w:spacing w:line="360" w:lineRule="auto"/>
        <w:ind w:firstLine="360" w:firstLineChars="150"/>
        <w:rPr>
          <w:rFonts w:ascii="黑体" w:hAnsi="黑体" w:eastAsia="黑体"/>
          <w:color w:val="auto"/>
          <w:sz w:val="24"/>
          <w:highlight w:val="none"/>
        </w:rPr>
      </w:pPr>
      <w:bookmarkStart w:id="40" w:name="_Toc71366046"/>
      <w:bookmarkStart w:id="41" w:name="_Toc35393635"/>
      <w:bookmarkStart w:id="42" w:name="_Toc35393804"/>
      <w:bookmarkStart w:id="43" w:name="_Toc71365368"/>
      <w:r>
        <w:rPr>
          <w:rFonts w:hint="eastAsia" w:ascii="黑体" w:hAnsi="黑体" w:eastAsia="黑体"/>
          <w:color w:val="auto"/>
          <w:sz w:val="24"/>
          <w:highlight w:val="none"/>
        </w:rPr>
        <w:t>七、其他补充事宜</w:t>
      </w:r>
      <w:bookmarkEnd w:id="40"/>
      <w:bookmarkEnd w:id="41"/>
      <w:bookmarkEnd w:id="42"/>
      <w:bookmarkEnd w:id="43"/>
    </w:p>
    <w:p w14:paraId="5F90FFC9">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w:t>
      </w:r>
    </w:p>
    <w:p w14:paraId="5BAF826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www.ccgp.gov.cn（中国政府采购网）、zfcg.gxzf.gov.cn（广西壮族自治区政府采购网）、http://117.141.250.58:10030/info/107809（梧州市政府采购网）</w:t>
      </w:r>
    </w:p>
    <w:p w14:paraId="6F169A3B">
      <w:pPr>
        <w:spacing w:line="360" w:lineRule="auto"/>
        <w:ind w:firstLine="424" w:firstLineChars="202"/>
        <w:rPr>
          <w:rFonts w:hint="eastAsia" w:ascii="宋体" w:hAnsi="宋体" w:cs="宋体"/>
          <w:color w:val="auto"/>
          <w:kern w:val="0"/>
          <w:szCs w:val="21"/>
          <w:highlight w:val="none"/>
        </w:rPr>
      </w:pPr>
      <w:bookmarkStart w:id="44" w:name="_Hlk37429674"/>
      <w:bookmarkStart w:id="45" w:name="_Toc71365369"/>
      <w:bookmarkStart w:id="46" w:name="_Toc71366047"/>
      <w:bookmarkStart w:id="47" w:name="_Toc35393805"/>
      <w:bookmarkStart w:id="48" w:name="_Toc35393636"/>
      <w:bookmarkStart w:id="49" w:name="_Toc28359095"/>
      <w:bookmarkStart w:id="50" w:name="_Toc28359018"/>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p>
    <w:p w14:paraId="27FEB082">
      <w:pPr>
        <w:spacing w:line="360" w:lineRule="auto"/>
        <w:ind w:firstLine="420" w:firstLineChars="200"/>
        <w:rPr>
          <w:rFonts w:ascii="宋体" w:hAnsi="宋体" w:cs="宋体"/>
          <w:i w:val="0"/>
          <w:iCs w:val="0"/>
          <w:color w:val="auto"/>
          <w:kern w:val="0"/>
          <w:szCs w:val="21"/>
          <w:highlight w:val="none"/>
        </w:rPr>
      </w:pPr>
      <w:r>
        <w:rPr>
          <w:rFonts w:hint="eastAsia" w:ascii="宋体" w:hAnsi="宋体" w:cs="宋体"/>
          <w:i w:val="0"/>
          <w:iCs w:val="0"/>
          <w:color w:val="auto"/>
          <w:kern w:val="0"/>
          <w:szCs w:val="21"/>
          <w:highlight w:val="none"/>
        </w:rPr>
        <w:t>（1）政府采购促进中小企业发展。</w:t>
      </w:r>
    </w:p>
    <w:p w14:paraId="2140FA96">
      <w:pPr>
        <w:spacing w:line="360" w:lineRule="auto"/>
        <w:ind w:firstLine="420" w:firstLineChars="200"/>
        <w:rPr>
          <w:rFonts w:ascii="宋体" w:hAnsi="宋体" w:cs="宋体"/>
          <w:i w:val="0"/>
          <w:iCs w:val="0"/>
          <w:color w:val="auto"/>
          <w:kern w:val="0"/>
          <w:szCs w:val="21"/>
          <w:highlight w:val="none"/>
        </w:rPr>
      </w:pPr>
      <w:r>
        <w:rPr>
          <w:rFonts w:hint="eastAsia" w:ascii="宋体" w:hAnsi="宋体" w:cs="宋体"/>
          <w:i w:val="0"/>
          <w:iCs w:val="0"/>
          <w:color w:val="auto"/>
          <w:kern w:val="0"/>
          <w:szCs w:val="21"/>
          <w:highlight w:val="none"/>
        </w:rPr>
        <w:t>（2）政府采购支持采用本国产品的政策。</w:t>
      </w:r>
    </w:p>
    <w:p w14:paraId="1EB62BB7">
      <w:pPr>
        <w:spacing w:line="360" w:lineRule="auto"/>
        <w:ind w:firstLine="420" w:firstLineChars="200"/>
        <w:rPr>
          <w:rFonts w:ascii="宋体" w:hAnsi="宋体" w:cs="宋体"/>
          <w:i w:val="0"/>
          <w:iCs w:val="0"/>
          <w:color w:val="auto"/>
          <w:kern w:val="0"/>
          <w:szCs w:val="21"/>
          <w:highlight w:val="none"/>
        </w:rPr>
      </w:pPr>
      <w:r>
        <w:rPr>
          <w:rFonts w:hint="eastAsia" w:ascii="宋体" w:hAnsi="宋体" w:cs="宋体"/>
          <w:i w:val="0"/>
          <w:iCs w:val="0"/>
          <w:color w:val="auto"/>
          <w:kern w:val="0"/>
          <w:szCs w:val="21"/>
          <w:highlight w:val="none"/>
        </w:rPr>
        <w:t>（3）强制采购节能产品；优先采购节能产品、环境标志产品。</w:t>
      </w:r>
    </w:p>
    <w:p w14:paraId="7F298F78">
      <w:pPr>
        <w:spacing w:line="360" w:lineRule="auto"/>
        <w:ind w:firstLine="420" w:firstLineChars="200"/>
        <w:rPr>
          <w:rFonts w:ascii="宋体" w:hAnsi="宋体" w:cs="宋体"/>
          <w:i w:val="0"/>
          <w:iCs w:val="0"/>
          <w:color w:val="auto"/>
          <w:kern w:val="0"/>
          <w:szCs w:val="21"/>
          <w:highlight w:val="none"/>
        </w:rPr>
      </w:pPr>
      <w:r>
        <w:rPr>
          <w:rFonts w:hint="eastAsia" w:ascii="宋体" w:hAnsi="宋体" w:cs="宋体"/>
          <w:i w:val="0"/>
          <w:iCs w:val="0"/>
          <w:color w:val="auto"/>
          <w:kern w:val="0"/>
          <w:szCs w:val="21"/>
          <w:highlight w:val="none"/>
        </w:rPr>
        <w:t>（4）政府采购促进残疾人就业政策。</w:t>
      </w:r>
    </w:p>
    <w:p w14:paraId="75713364">
      <w:pPr>
        <w:spacing w:line="360" w:lineRule="auto"/>
        <w:ind w:firstLine="420" w:firstLineChars="200"/>
        <w:rPr>
          <w:rFonts w:hint="eastAsia" w:ascii="宋体" w:hAnsi="宋体" w:cs="宋体"/>
          <w:i w:val="0"/>
          <w:iCs w:val="0"/>
          <w:color w:val="auto"/>
          <w:kern w:val="0"/>
          <w:szCs w:val="21"/>
          <w:highlight w:val="none"/>
        </w:rPr>
      </w:pPr>
      <w:r>
        <w:rPr>
          <w:rFonts w:hint="eastAsia" w:ascii="宋体" w:hAnsi="宋体" w:cs="宋体"/>
          <w:i w:val="0"/>
          <w:iCs w:val="0"/>
          <w:color w:val="auto"/>
          <w:kern w:val="0"/>
          <w:szCs w:val="21"/>
          <w:highlight w:val="none"/>
        </w:rPr>
        <w:t>（5）政府采购支持监狱企业发展。</w:t>
      </w:r>
    </w:p>
    <w:p w14:paraId="11BC55C0">
      <w:pPr>
        <w:widowControl/>
        <w:spacing w:line="360" w:lineRule="auto"/>
        <w:ind w:firstLine="420" w:firstLineChars="200"/>
        <w:jc w:val="left"/>
        <w:rPr>
          <w:rFonts w:hint="eastAsia" w:ascii="宋体" w:hAnsi="宋体"/>
          <w:color w:val="auto"/>
          <w:szCs w:val="21"/>
          <w:highlight w:val="none"/>
        </w:rPr>
      </w:pPr>
      <w:r>
        <w:rPr>
          <w:rFonts w:hint="eastAsia" w:ascii="宋体" w:hAnsi="宋体" w:cs="宋体"/>
          <w:color w:val="auto"/>
          <w:kern w:val="0"/>
          <w:szCs w:val="21"/>
          <w:highlight w:val="none"/>
        </w:rPr>
        <w:t>3.供应商</w:t>
      </w:r>
      <w:r>
        <w:rPr>
          <w:rFonts w:hint="eastAsia" w:ascii="宋体" w:hAnsi="宋体"/>
          <w:color w:val="auto"/>
          <w:szCs w:val="21"/>
          <w:highlight w:val="none"/>
        </w:rPr>
        <w:t>竞标注意事项</w:t>
      </w:r>
    </w:p>
    <w:p w14:paraId="2B499197">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项目为全流程电子化采购项目，通过广西政府采购云平台（https://www.gcy.zfcg.gxzf.gov.cn/）实行在线电子竞标，供应商应按照本项目竞争性谈判文件和广西政府采购云平台的要求编制、加密后在提交响应文件截止时间前通过网络上传至 广西政府采购云平台（加密的电子响应文件是指</w:t>
      </w:r>
      <w:r>
        <w:rPr>
          <w:rFonts w:hint="eastAsia"/>
          <w:color w:val="auto"/>
          <w:highlight w:val="none"/>
        </w:rPr>
        <w:t>后缀名为“jm</w:t>
      </w:r>
      <w:r>
        <w:rPr>
          <w:color w:val="auto"/>
          <w:highlight w:val="none"/>
        </w:rPr>
        <w:t>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供应商在广西政府采购云平台提交电子响应文件时，请填写参加远程采购活动经办人联系方式。</w:t>
      </w:r>
      <w:r>
        <w:rPr>
          <w:rFonts w:hint="eastAsia" w:ascii="宋体" w:hAnsi="宋体"/>
          <w:color w:val="auto"/>
          <w:szCs w:val="21"/>
          <w:highlight w:val="none"/>
        </w:rPr>
        <w:t>供应商登录广西政府采购云平台，依次进入“服务中心-项目采购-操作流程-电子招投标-</w:t>
      </w:r>
      <w:r>
        <w:rPr>
          <w:color w:val="auto"/>
          <w:highlight w:val="none"/>
        </w:rPr>
        <w:t>政府采购项目电子交易管理操作指南-供应商</w:t>
      </w:r>
      <w:r>
        <w:rPr>
          <w:rFonts w:hint="eastAsia" w:ascii="宋体" w:hAnsi="宋体"/>
          <w:color w:val="auto"/>
          <w:szCs w:val="21"/>
          <w:highlight w:val="none"/>
        </w:rPr>
        <w:t>”查看电子竞标具体操作流程。</w:t>
      </w:r>
    </w:p>
    <w:p w14:paraId="2E289E33">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w:t>
      </w:r>
      <w:r>
        <w:rPr>
          <w:rFonts w:hint="eastAsia" w:ascii="宋体" w:hAnsi="宋体" w:cs="宋体"/>
          <w:bCs/>
          <w:color w:val="auto"/>
          <w:kern w:val="0"/>
          <w:szCs w:val="21"/>
          <w:highlight w:val="none"/>
        </w:rPr>
        <w:t>请致电客服热线：95763或者0771-3381253</w:t>
      </w:r>
      <w:r>
        <w:rPr>
          <w:rFonts w:hint="eastAsia" w:ascii="宋体" w:hAnsi="宋体"/>
          <w:color w:val="auto"/>
          <w:szCs w:val="21"/>
          <w:highlight w:val="none"/>
        </w:rPr>
        <w:t>）</w:t>
      </w:r>
      <w:r>
        <w:rPr>
          <w:rFonts w:hint="eastAsia" w:ascii="宋体" w:hAnsi="宋体"/>
          <w:color w:val="auto"/>
          <w:szCs w:val="21"/>
          <w:highlight w:val="none"/>
        </w:rPr>
        <w:t>。</w:t>
      </w:r>
    </w:p>
    <w:p w14:paraId="02E55387">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5C50D1B2">
      <w:pPr>
        <w:widowControl/>
        <w:spacing w:line="360" w:lineRule="auto"/>
        <w:ind w:firstLine="420" w:firstLineChars="200"/>
        <w:jc w:val="left"/>
        <w:rPr>
          <w:rFonts w:hint="eastAsia" w:ascii="宋体" w:hAnsi="宋体"/>
          <w:bCs/>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w:t>
      </w:r>
      <w:r>
        <w:rPr>
          <w:rFonts w:ascii="宋体" w:hAnsi="宋体"/>
          <w:color w:val="auto"/>
          <w:szCs w:val="21"/>
          <w:highlight w:val="none"/>
        </w:rPr>
        <w:t>A</w:t>
      </w:r>
      <w:r>
        <w:rPr>
          <w:rFonts w:hint="eastAsia" w:ascii="宋体" w:hAnsi="宋体"/>
          <w:color w:val="auto"/>
          <w:szCs w:val="21"/>
          <w:highlight w:val="none"/>
        </w:rPr>
        <w:t>数字证书并使用有效的CA数字证书参与整个采购活动。2）</w:t>
      </w:r>
      <w:r>
        <w:rPr>
          <w:rFonts w:hint="eastAsia" w:ascii="宋体" w:hAnsi="宋体"/>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472E856A">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（4）供应商需要在</w:t>
      </w:r>
      <w:r>
        <w:rPr>
          <w:rFonts w:hint="eastAsia" w:ascii="宋体" w:hAnsi="宋体" w:cs="宋体"/>
          <w:color w:val="auto"/>
          <w:kern w:val="0"/>
          <w:szCs w:val="21"/>
          <w:highlight w:val="none"/>
          <w:lang w:eastAsia="zh-CN"/>
        </w:rPr>
        <w:t>具备</w:t>
      </w:r>
      <w:r>
        <w:rPr>
          <w:rFonts w:hint="eastAsia" w:ascii="宋体" w:hAnsi="宋体" w:cs="宋体"/>
          <w:color w:val="auto"/>
          <w:kern w:val="0"/>
          <w:szCs w:val="21"/>
          <w:highlight w:val="none"/>
        </w:rPr>
        <w:t>摄像头及语音功能且互联网网络状况良好的电脑登录广西政府采购云平台远程开标大厅参与本次谈判，否则后果自负。</w:t>
      </w:r>
    </w:p>
    <w:bookmarkEnd w:id="44"/>
    <w:p w14:paraId="60CFE431">
      <w:pPr>
        <w:spacing w:line="360" w:lineRule="auto"/>
        <w:ind w:firstLine="360" w:firstLineChars="150"/>
        <w:rPr>
          <w:rFonts w:ascii="黑体" w:hAnsi="黑体" w:eastAsia="黑体"/>
          <w:color w:val="auto"/>
          <w:sz w:val="24"/>
          <w:highlight w:val="none"/>
        </w:rPr>
      </w:pPr>
      <w:r>
        <w:rPr>
          <w:rFonts w:hint="eastAsia" w:ascii="黑体" w:hAnsi="黑体" w:eastAsia="黑体"/>
          <w:color w:val="auto"/>
          <w:sz w:val="24"/>
          <w:highlight w:val="none"/>
        </w:rPr>
        <w:t>八、凡对本次采购提出询问，请按</w:t>
      </w:r>
      <w:r>
        <w:rPr>
          <w:rFonts w:ascii="黑体" w:hAnsi="黑体" w:eastAsia="黑体"/>
          <w:color w:val="auto"/>
          <w:sz w:val="24"/>
          <w:highlight w:val="none"/>
        </w:rPr>
        <w:t>以下方式</w:t>
      </w:r>
      <w:r>
        <w:rPr>
          <w:rFonts w:hint="eastAsia" w:ascii="黑体" w:hAnsi="黑体" w:eastAsia="黑体"/>
          <w:color w:val="auto"/>
          <w:sz w:val="24"/>
          <w:highlight w:val="none"/>
        </w:rPr>
        <w:t>联系。</w:t>
      </w:r>
      <w:bookmarkEnd w:id="45"/>
      <w:bookmarkEnd w:id="46"/>
      <w:bookmarkEnd w:id="47"/>
      <w:bookmarkEnd w:id="48"/>
      <w:bookmarkEnd w:id="49"/>
      <w:bookmarkEnd w:id="50"/>
    </w:p>
    <w:p w14:paraId="14E6B2AC">
      <w:pPr>
        <w:spacing w:line="360" w:lineRule="auto"/>
        <w:ind w:firstLine="420" w:firstLineChars="200"/>
        <w:rPr>
          <w:rFonts w:ascii="宋体" w:hAnsi="宋体" w:cs="宋体"/>
          <w:color w:val="auto"/>
          <w:kern w:val="0"/>
          <w:szCs w:val="21"/>
          <w:highlight w:val="none"/>
        </w:rPr>
      </w:pPr>
      <w:bookmarkStart w:id="51" w:name="_Toc35393806"/>
      <w:bookmarkStart w:id="52" w:name="_Toc35393637"/>
      <w:bookmarkStart w:id="53" w:name="_Toc28359019"/>
      <w:bookmarkStart w:id="54" w:name="_Toc28359096"/>
      <w:r>
        <w:rPr>
          <w:rFonts w:hint="eastAsia" w:ascii="宋体" w:hAnsi="宋体" w:cs="宋体"/>
          <w:color w:val="auto"/>
          <w:kern w:val="0"/>
          <w:szCs w:val="21"/>
          <w:highlight w:val="none"/>
        </w:rPr>
        <w:t>1.采购人信息</w:t>
      </w:r>
      <w:bookmarkEnd w:id="51"/>
      <w:bookmarkEnd w:id="52"/>
      <w:bookmarkEnd w:id="53"/>
      <w:bookmarkEnd w:id="54"/>
    </w:p>
    <w:p w14:paraId="00E0410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hint="eastAsia" w:ascii="宋体" w:hAnsi="宋体"/>
          <w:color w:val="auto"/>
          <w:szCs w:val="21"/>
          <w:highlight w:val="none"/>
          <w:u w:val="single"/>
          <w:lang w:eastAsia="zh-CN"/>
        </w:rPr>
        <w:t>梧州市人民医院</w:t>
      </w:r>
    </w:p>
    <w:p w14:paraId="14FC65C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梧州市长洲区三龙大道139号</w:t>
      </w:r>
    </w:p>
    <w:p w14:paraId="23E9FAB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hint="eastAsia" w:ascii="宋体" w:hAnsi="宋体"/>
          <w:color w:val="auto"/>
          <w:szCs w:val="21"/>
          <w:highlight w:val="none"/>
          <w:u w:val="single"/>
        </w:rPr>
        <w:t>钟晴虹，0774-2833676</w:t>
      </w:r>
    </w:p>
    <w:p w14:paraId="11F5F73D">
      <w:pPr>
        <w:spacing w:line="360" w:lineRule="auto"/>
        <w:ind w:firstLine="420" w:firstLineChars="200"/>
        <w:rPr>
          <w:rFonts w:ascii="宋体" w:hAnsi="宋体" w:cs="宋体"/>
          <w:color w:val="auto"/>
          <w:kern w:val="0"/>
          <w:szCs w:val="21"/>
          <w:highlight w:val="none"/>
        </w:rPr>
      </w:pPr>
      <w:bookmarkStart w:id="55" w:name="_Toc35393638"/>
      <w:bookmarkStart w:id="56" w:name="_Toc35393807"/>
      <w:bookmarkStart w:id="57" w:name="_Toc28359097"/>
      <w:bookmarkStart w:id="58" w:name="_Toc28359020"/>
      <w:r>
        <w:rPr>
          <w:rFonts w:hint="eastAsia" w:ascii="宋体" w:hAnsi="宋体" w:cs="宋体"/>
          <w:color w:val="auto"/>
          <w:kern w:val="0"/>
          <w:szCs w:val="21"/>
          <w:highlight w:val="none"/>
        </w:rPr>
        <w:t>2.采购代理机构信息</w:t>
      </w:r>
      <w:bookmarkEnd w:id="55"/>
      <w:bookmarkEnd w:id="56"/>
      <w:bookmarkEnd w:id="57"/>
      <w:bookmarkEnd w:id="58"/>
    </w:p>
    <w:p w14:paraId="7A0478F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名    称：</w:t>
      </w:r>
      <w:r>
        <w:rPr>
          <w:rFonts w:hint="eastAsia" w:ascii="宋体" w:hAnsi="宋体"/>
          <w:color w:val="auto"/>
          <w:szCs w:val="21"/>
          <w:highlight w:val="none"/>
          <w:u w:val="single"/>
        </w:rPr>
        <w:t>云之龙咨询集团有限公司</w:t>
      </w:r>
    </w:p>
    <w:p w14:paraId="114DB83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梧州市新兴三路30号神冠豪都B栋1单元1008号房</w:t>
      </w:r>
    </w:p>
    <w:p w14:paraId="72F766B3">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联系方式：</w:t>
      </w:r>
      <w:r>
        <w:rPr>
          <w:rFonts w:hint="eastAsia" w:ascii="宋体" w:hAnsi="宋体"/>
          <w:color w:val="auto"/>
          <w:szCs w:val="21"/>
          <w:highlight w:val="none"/>
          <w:u w:val="single"/>
        </w:rPr>
        <w:t>朱梓烨</w:t>
      </w:r>
      <w:r>
        <w:rPr>
          <w:rFonts w:hint="eastAsia" w:ascii="宋体" w:hAnsi="宋体"/>
          <w:color w:val="auto"/>
          <w:szCs w:val="21"/>
          <w:highlight w:val="none"/>
          <w:u w:val="single"/>
          <w:lang w:eastAsia="zh-CN"/>
        </w:rPr>
        <w:t>、覃文思</w:t>
      </w:r>
      <w:r>
        <w:rPr>
          <w:rFonts w:hint="eastAsia" w:ascii="宋体" w:hAnsi="宋体"/>
          <w:color w:val="auto"/>
          <w:szCs w:val="21"/>
          <w:highlight w:val="none"/>
          <w:u w:val="single"/>
        </w:rPr>
        <w:t>，0774-3859935</w:t>
      </w:r>
    </w:p>
    <w:p w14:paraId="3AF36BFF">
      <w:pPr>
        <w:spacing w:line="360" w:lineRule="auto"/>
        <w:ind w:firstLine="420" w:firstLineChars="200"/>
        <w:rPr>
          <w:rFonts w:ascii="宋体" w:hAnsi="宋体" w:cs="宋体"/>
          <w:color w:val="auto"/>
          <w:kern w:val="0"/>
          <w:szCs w:val="21"/>
          <w:highlight w:val="none"/>
        </w:rPr>
      </w:pPr>
      <w:bookmarkStart w:id="59" w:name="_Toc35393639"/>
      <w:bookmarkStart w:id="60" w:name="_Toc28359098"/>
      <w:bookmarkStart w:id="61" w:name="_Toc35393808"/>
      <w:bookmarkStart w:id="62" w:name="_Toc28359021"/>
      <w:r>
        <w:rPr>
          <w:rFonts w:hint="eastAsia" w:ascii="宋体" w:hAnsi="宋体" w:cs="宋体"/>
          <w:color w:val="auto"/>
          <w:kern w:val="0"/>
          <w:szCs w:val="21"/>
          <w:highlight w:val="none"/>
        </w:rPr>
        <w:t>3.项目联系</w:t>
      </w:r>
      <w:r>
        <w:rPr>
          <w:rFonts w:ascii="宋体" w:hAnsi="宋体" w:cs="宋体"/>
          <w:color w:val="auto"/>
          <w:kern w:val="0"/>
          <w:szCs w:val="21"/>
          <w:highlight w:val="none"/>
        </w:rPr>
        <w:t>方式</w:t>
      </w:r>
      <w:bookmarkEnd w:id="59"/>
      <w:bookmarkEnd w:id="60"/>
      <w:bookmarkEnd w:id="61"/>
      <w:bookmarkEnd w:id="62"/>
    </w:p>
    <w:p w14:paraId="5E56C797">
      <w:pPr>
        <w:spacing w:line="360" w:lineRule="auto"/>
        <w:ind w:firstLine="420" w:firstLineChars="200"/>
        <w:rPr>
          <w:rFonts w:hint="eastAsia" w:hAnsi="宋体"/>
          <w:color w:val="auto"/>
          <w:sz w:val="21"/>
          <w:highlight w:val="none"/>
          <w:lang w:eastAsia="zh-CN"/>
        </w:rPr>
      </w:pPr>
      <w:r>
        <w:rPr>
          <w:rFonts w:hint="eastAsia" w:hAnsi="宋体"/>
          <w:color w:val="auto"/>
          <w:sz w:val="21"/>
          <w:highlight w:val="none"/>
        </w:rPr>
        <w:t>项目联系人：</w:t>
      </w:r>
      <w:r>
        <w:rPr>
          <w:rFonts w:hint="eastAsia" w:hAnsi="宋体"/>
          <w:color w:val="auto"/>
          <w:sz w:val="21"/>
          <w:highlight w:val="none"/>
          <w:u w:val="single"/>
          <w:lang w:eastAsia="zh-CN"/>
        </w:rPr>
        <w:t>朱梓烨、覃文思</w:t>
      </w:r>
    </w:p>
    <w:p w14:paraId="2BDECF31">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电　　话：</w:t>
      </w:r>
      <w:r>
        <w:rPr>
          <w:rFonts w:hint="eastAsia" w:ascii="宋体" w:hAnsi="宋体"/>
          <w:color w:val="auto"/>
          <w:szCs w:val="21"/>
          <w:highlight w:val="none"/>
          <w:u w:val="single"/>
        </w:rPr>
        <w:t>0774-3859935</w:t>
      </w:r>
    </w:p>
    <w:bookmarkEnd w:id="3"/>
    <w:p w14:paraId="2058FC81">
      <w:pPr>
        <w:pStyle w:val="3"/>
        <w:jc w:val="center"/>
        <w:rPr>
          <w:rFonts w:hint="eastAsia"/>
          <w:color w:val="auto"/>
          <w:highlight w:val="none"/>
        </w:rPr>
      </w:pPr>
      <w:bookmarkStart w:id="63" w:name="_Toc74322009"/>
      <w:r>
        <w:rPr>
          <w:rFonts w:hint="eastAsia"/>
          <w:color w:val="auto"/>
          <w:highlight w:val="none"/>
        </w:rPr>
        <w:br w:type="page"/>
      </w:r>
      <w:r>
        <w:rPr>
          <w:rFonts w:hint="eastAsia"/>
          <w:color w:val="auto"/>
          <w:highlight w:val="none"/>
        </w:rPr>
        <w:t>第二章 供应商须知</w:t>
      </w:r>
      <w:bookmarkEnd w:id="63"/>
    </w:p>
    <w:p w14:paraId="68719826">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供应商须知前附表</w:t>
      </w:r>
    </w:p>
    <w:p w14:paraId="6178DDDD">
      <w:pPr>
        <w:spacing w:line="400" w:lineRule="exact"/>
        <w:jc w:val="center"/>
        <w:rPr>
          <w:rFonts w:hint="eastAsia" w:ascii="宋体" w:hAnsi="宋体"/>
          <w:b/>
          <w:color w:val="auto"/>
          <w:sz w:val="32"/>
          <w:szCs w:val="32"/>
          <w:highlight w:val="none"/>
        </w:rPr>
      </w:pP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745BB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top"/>
          </w:tcPr>
          <w:p w14:paraId="341F20E0">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7912" w:type="dxa"/>
            <w:noWrap w:val="0"/>
            <w:vAlign w:val="top"/>
          </w:tcPr>
          <w:p w14:paraId="68750840">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内    容</w:t>
            </w:r>
          </w:p>
        </w:tc>
      </w:tr>
      <w:tr w14:paraId="55303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865EB8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912" w:type="dxa"/>
            <w:noWrap w:val="0"/>
            <w:vAlign w:val="center"/>
          </w:tcPr>
          <w:p w14:paraId="6771FF8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1.供应商的资格条件：详见竞争性谈判公告</w:t>
            </w:r>
          </w:p>
          <w:p w14:paraId="3397B0D8">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2905D1B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4E7EA9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1C571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47211E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7912" w:type="dxa"/>
            <w:noWrap w:val="0"/>
            <w:vAlign w:val="center"/>
          </w:tcPr>
          <w:p w14:paraId="249A804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是否接受联合体竞标： 详见竞争性谈判公告</w:t>
            </w:r>
          </w:p>
        </w:tc>
      </w:tr>
      <w:tr w14:paraId="32E3F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17D198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p>
        </w:tc>
        <w:tc>
          <w:tcPr>
            <w:tcW w:w="7912" w:type="dxa"/>
            <w:noWrap w:val="0"/>
            <w:vAlign w:val="center"/>
          </w:tcPr>
          <w:p w14:paraId="0AEC29AF">
            <w:pPr>
              <w:spacing w:line="360" w:lineRule="auto"/>
              <w:rPr>
                <w:rFonts w:hint="eastAsia" w:ascii="宋体" w:hAnsi="宋体" w:cs="宋体"/>
                <w:color w:val="auto"/>
                <w:szCs w:val="21"/>
                <w:highlight w:val="none"/>
              </w:rPr>
            </w:pPr>
            <w:r>
              <w:rPr>
                <w:rFonts w:hint="eastAsia" w:ascii="宋体" w:hAnsi="宋体"/>
                <w:color w:val="auto"/>
                <w:szCs w:val="21"/>
                <w:highlight w:val="none"/>
              </w:rPr>
              <w:t>如接受联合体竞标，联合体竞标要求如下：</w:t>
            </w:r>
            <w:r>
              <w:rPr>
                <w:rFonts w:hint="eastAsia" w:ascii="宋体" w:hAnsi="宋体"/>
                <w:color w:val="auto"/>
                <w:szCs w:val="21"/>
                <w:highlight w:val="none"/>
                <w:lang w:eastAsia="zh-CN"/>
              </w:rPr>
              <w:t>无</w:t>
            </w:r>
          </w:p>
        </w:tc>
      </w:tr>
      <w:tr w14:paraId="0FF33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774384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6.2</w:t>
            </w:r>
          </w:p>
        </w:tc>
        <w:tc>
          <w:tcPr>
            <w:tcW w:w="7912" w:type="dxa"/>
            <w:noWrap w:val="0"/>
            <w:vAlign w:val="center"/>
          </w:tcPr>
          <w:p w14:paraId="54F38EDE">
            <w:pPr>
              <w:pStyle w:val="8"/>
              <w:spacing w:line="360" w:lineRule="auto"/>
              <w:rPr>
                <w:rFonts w:hint="eastAsia"/>
                <w:color w:val="auto"/>
                <w:highlight w:val="none"/>
                <w:lang w:val="en-US" w:eastAsia="zh-CN"/>
              </w:rPr>
            </w:pPr>
            <w:r>
              <w:rPr>
                <w:rFonts w:hint="eastAsia"/>
                <w:color w:val="auto"/>
                <w:highlight w:val="none"/>
                <w:lang w:val="en-US" w:eastAsia="zh-CN"/>
              </w:rPr>
              <w:t>☑不允许分包</w:t>
            </w:r>
          </w:p>
          <w:p w14:paraId="7AA845D3">
            <w:pPr>
              <w:pStyle w:val="8"/>
              <w:spacing w:line="360" w:lineRule="auto"/>
              <w:rPr>
                <w:rFonts w:hint="eastAsia"/>
                <w:color w:val="auto"/>
                <w:highlight w:val="none"/>
                <w:lang w:val="en-US" w:eastAsia="zh-CN"/>
              </w:rPr>
            </w:pPr>
            <w:r>
              <w:rPr>
                <w:rFonts w:hint="eastAsia"/>
                <w:color w:val="auto"/>
                <w:highlight w:val="none"/>
                <w:lang w:val="en-US" w:eastAsia="zh-CN"/>
              </w:rPr>
              <w:t>□允许分包</w:t>
            </w:r>
          </w:p>
          <w:p w14:paraId="33628EC3">
            <w:pPr>
              <w:pStyle w:val="8"/>
              <w:spacing w:line="360" w:lineRule="auto"/>
              <w:rPr>
                <w:rFonts w:hint="eastAsia"/>
                <w:color w:val="auto"/>
                <w:highlight w:val="none"/>
                <w:u w:val="single"/>
                <w:lang w:val="en-US" w:eastAsia="zh-CN"/>
              </w:rPr>
            </w:pPr>
            <w:r>
              <w:rPr>
                <w:rFonts w:hint="eastAsia"/>
                <w:color w:val="auto"/>
                <w:highlight w:val="none"/>
                <w:lang w:val="en-US" w:eastAsia="zh-CN"/>
              </w:rPr>
              <w:t>分包内容：</w:t>
            </w:r>
            <w:r>
              <w:rPr>
                <w:rFonts w:hint="eastAsia"/>
                <w:color w:val="auto"/>
                <w:highlight w:val="none"/>
                <w:u w:val="single"/>
                <w:lang w:val="en-US" w:eastAsia="zh-CN"/>
              </w:rPr>
              <w:t xml:space="preserve">                                     。</w:t>
            </w:r>
          </w:p>
          <w:p w14:paraId="3DEED0A2">
            <w:pPr>
              <w:pStyle w:val="8"/>
              <w:spacing w:line="360" w:lineRule="auto"/>
              <w:rPr>
                <w:rFonts w:hint="eastAsia"/>
                <w:color w:val="auto"/>
                <w:highlight w:val="none"/>
                <w:u w:val="single"/>
                <w:lang w:val="en-US" w:eastAsia="zh-CN"/>
              </w:rPr>
            </w:pPr>
            <w:r>
              <w:rPr>
                <w:rFonts w:hint="eastAsia"/>
                <w:color w:val="auto"/>
                <w:highlight w:val="none"/>
                <w:lang w:val="en-US" w:eastAsia="zh-CN"/>
              </w:rPr>
              <w:t>分包金额或者比例：</w:t>
            </w:r>
            <w:r>
              <w:rPr>
                <w:rFonts w:hint="eastAsia"/>
                <w:color w:val="auto"/>
                <w:highlight w:val="none"/>
                <w:u w:val="single"/>
                <w:lang w:val="en-US" w:eastAsia="zh-CN"/>
              </w:rPr>
              <w:t xml:space="preserve">                                     。</w:t>
            </w:r>
          </w:p>
          <w:p w14:paraId="53F36A78">
            <w:pPr>
              <w:pStyle w:val="8"/>
              <w:spacing w:line="360" w:lineRule="auto"/>
              <w:rPr>
                <w:rFonts w:hint="eastAsia"/>
                <w:color w:val="auto"/>
                <w:highlight w:val="none"/>
                <w:u w:val="single"/>
                <w:lang w:val="en-US" w:eastAsia="zh-CN"/>
              </w:rPr>
            </w:pPr>
            <w:r>
              <w:rPr>
                <w:rFonts w:hint="eastAsia" w:ascii="宋体" w:hAnsi="宋体"/>
                <w:color w:val="auto"/>
                <w:szCs w:val="21"/>
                <w:highlight w:val="none"/>
                <w:lang w:val="en-US" w:eastAsia="zh-CN"/>
              </w:rPr>
              <w:t>分包供应商必须具备的资质：</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w:t>
            </w:r>
          </w:p>
        </w:tc>
      </w:tr>
      <w:tr w14:paraId="05EA9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0FDF70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7.1</w:t>
            </w:r>
          </w:p>
        </w:tc>
        <w:tc>
          <w:tcPr>
            <w:tcW w:w="7912" w:type="dxa"/>
            <w:noWrap w:val="0"/>
            <w:vAlign w:val="center"/>
          </w:tcPr>
          <w:p w14:paraId="70DBC271">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提供相同品牌产品（非单一产品采购项目的，指核心产品）的不同供应商最后报价相同时，按照下列方式确定一个供应商获得成交人推荐资格：</w:t>
            </w:r>
          </w:p>
          <w:p w14:paraId="7483BAC0">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□随机抽取；</w:t>
            </w:r>
          </w:p>
          <w:p w14:paraId="1FFE0E87">
            <w:pPr>
              <w:pStyle w:val="8"/>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☑技术参数正偏离项数多的优先、均无正偏离或正偏离项数一致时负偏离项数少的优先、质保期长优先、交付时间（交货期）短优先、响应时间短优先的顺序排列。</w:t>
            </w:r>
          </w:p>
        </w:tc>
      </w:tr>
      <w:tr w14:paraId="34BAC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E65E80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noWrap w:val="0"/>
            <w:vAlign w:val="center"/>
          </w:tcPr>
          <w:p w14:paraId="538EDEB6">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资格证明文件</w:t>
            </w:r>
          </w:p>
          <w:p w14:paraId="3A9F6966">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 供应商为法人或者其他组织的提供其营业执照等证明文件（如营业执照或者事业单位法人证书或者执业许可证或者登记证书等），供应商为自然人的提供其身份证复印件；（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09657DA">
            <w:pPr>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2. 供应商依法缴纳税收的相关材料（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rPr>
              <w:t>月至</w:t>
            </w:r>
            <w:r>
              <w:rPr>
                <w:rFonts w:hint="eastAsia" w:ascii="宋体" w:hAnsi="宋体" w:cs="宋体"/>
                <w:color w:val="auto"/>
                <w:szCs w:val="21"/>
                <w:highlight w:val="none"/>
                <w:u w:val="single"/>
              </w:rPr>
              <w:t>响应文件提交截止时间</w:t>
            </w:r>
            <w:r>
              <w:rPr>
                <w:rFonts w:hint="eastAsia" w:ascii="宋体" w:hAnsi="宋体" w:cs="宋体"/>
                <w:color w:val="auto"/>
                <w:szCs w:val="21"/>
                <w:highlight w:val="none"/>
              </w:rPr>
              <w:t>内连续</w:t>
            </w:r>
            <w:r>
              <w:rPr>
                <w:rFonts w:hint="eastAsia" w:ascii="宋体" w:hAnsi="宋体" w:cs="宋体"/>
                <w:color w:val="auto"/>
                <w:szCs w:val="21"/>
                <w:highlight w:val="none"/>
                <w:u w:val="single"/>
              </w:rPr>
              <w:t>3</w:t>
            </w:r>
            <w:r>
              <w:rPr>
                <w:rFonts w:hint="eastAsia" w:ascii="宋体" w:hAnsi="宋体" w:cs="宋体"/>
                <w:color w:val="auto"/>
                <w:szCs w:val="21"/>
                <w:highlight w:val="none"/>
              </w:rPr>
              <w:t>个月</w:t>
            </w:r>
            <w:r>
              <w:rPr>
                <w:rFonts w:hint="eastAsia" w:ascii="宋体" w:hAnsi="宋体" w:cs="宋体"/>
                <w:color w:val="auto"/>
                <w:szCs w:val="21"/>
                <w:highlight w:val="none"/>
              </w:rPr>
              <w:t>的依法缴纳税收的凭据复印件；</w:t>
            </w:r>
            <w:r>
              <w:rPr>
                <w:rFonts w:hint="eastAsia"/>
                <w:color w:val="auto"/>
                <w:highlight w:val="none"/>
              </w:rPr>
              <w:t>依法免税的，必须提供相应文件证明其依法免税。</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的依法缴纳税收</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574FF53">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3. 供应商依法缴纳社会保障资金的相关材料[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rPr>
              <w:t>月至</w:t>
            </w:r>
            <w:r>
              <w:rPr>
                <w:rFonts w:hint="eastAsia" w:ascii="宋体" w:hAnsi="宋体" w:cs="宋体"/>
                <w:color w:val="auto"/>
                <w:szCs w:val="21"/>
                <w:highlight w:val="none"/>
                <w:u w:val="single"/>
              </w:rPr>
              <w:t>响应文件提交截止时间</w:t>
            </w:r>
            <w:r>
              <w:rPr>
                <w:rFonts w:hint="eastAsia" w:ascii="宋体" w:hAnsi="宋体" w:cs="宋体"/>
                <w:color w:val="auto"/>
                <w:szCs w:val="21"/>
                <w:highlight w:val="none"/>
              </w:rPr>
              <w:t>内连续</w:t>
            </w:r>
            <w:r>
              <w:rPr>
                <w:rFonts w:hint="eastAsia" w:ascii="宋体" w:hAnsi="宋体" w:cs="宋体"/>
                <w:color w:val="auto"/>
                <w:szCs w:val="21"/>
                <w:highlight w:val="none"/>
                <w:u w:val="single"/>
              </w:rPr>
              <w:t>3</w:t>
            </w:r>
            <w:r>
              <w:rPr>
                <w:rFonts w:hint="eastAsia" w:ascii="宋体" w:hAnsi="宋体" w:cs="宋体"/>
                <w:color w:val="auto"/>
                <w:szCs w:val="21"/>
                <w:highlight w:val="none"/>
              </w:rPr>
              <w:t>个月</w:t>
            </w:r>
            <w:r>
              <w:rPr>
                <w:rFonts w:hint="eastAsia" w:ascii="宋体" w:hAnsi="宋体" w:cs="宋体"/>
                <w:color w:val="auto"/>
                <w:szCs w:val="21"/>
                <w:highlight w:val="none"/>
              </w:rPr>
              <w:t>的依法缴纳社会保障资金的缴费凭证（</w:t>
            </w:r>
            <w:r>
              <w:rPr>
                <w:rFonts w:hint="eastAsia"/>
                <w:color w:val="auto"/>
                <w:highlight w:val="none"/>
              </w:rPr>
              <w:t>如：</w:t>
            </w:r>
            <w:r>
              <w:rPr>
                <w:rFonts w:hint="eastAsia" w:ascii="宋体" w:hAnsi="宋体" w:cs="宋体"/>
                <w:color w:val="auto"/>
                <w:szCs w:val="21"/>
                <w:highlight w:val="none"/>
              </w:rPr>
              <w:t>专用收据、社会保险缴纳清单或者社保部门的证明</w:t>
            </w:r>
            <w:r>
              <w:rPr>
                <w:rFonts w:hint="eastAsia" w:ascii="宋体" w:hAnsi="宋体" w:cs="宋体"/>
                <w:color w:val="auto"/>
                <w:szCs w:val="21"/>
                <w:highlight w:val="none"/>
                <w:lang w:eastAsia="zh-CN"/>
              </w:rPr>
              <w:t>等</w:t>
            </w:r>
            <w:r>
              <w:rPr>
                <w:rFonts w:hint="eastAsia" w:ascii="宋体" w:hAnsi="宋体" w:cs="宋体"/>
                <w:color w:val="auto"/>
                <w:szCs w:val="21"/>
                <w:highlight w:val="none"/>
              </w:rPr>
              <w:t>）复印件；</w:t>
            </w:r>
            <w:r>
              <w:rPr>
                <w:rFonts w:hint="eastAsia"/>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w:t>
            </w:r>
            <w:r>
              <w:rPr>
                <w:rFonts w:hint="eastAsia"/>
                <w:color w:val="auto"/>
                <w:szCs w:val="21"/>
                <w:highlight w:val="none"/>
              </w:rPr>
              <w:t>成立之日起</w:t>
            </w:r>
            <w:r>
              <w:rPr>
                <w:rFonts w:hint="eastAsia" w:ascii="宋体" w:hAnsi="宋体" w:cs="宋体"/>
                <w:color w:val="auto"/>
                <w:szCs w:val="21"/>
                <w:highlight w:val="none"/>
              </w:rPr>
              <w:t>到响应文件提交截止时间止不足要求月数的只需提供从</w:t>
            </w:r>
            <w:r>
              <w:rPr>
                <w:rFonts w:hint="eastAsia"/>
                <w:color w:val="auto"/>
                <w:szCs w:val="21"/>
                <w:highlight w:val="none"/>
              </w:rPr>
              <w:t>成立之日起</w:t>
            </w:r>
            <w:r>
              <w:rPr>
                <w:rFonts w:hint="eastAsia" w:ascii="宋体" w:hAnsi="宋体" w:cs="宋体"/>
                <w:color w:val="auto"/>
                <w:szCs w:val="21"/>
                <w:highlight w:val="none"/>
              </w:rPr>
              <w:t>的依法缴纳社会保障资金的</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6C8B78C">
            <w:pPr>
              <w:spacing w:line="360" w:lineRule="auto"/>
              <w:contextualSpacing/>
              <w:jc w:val="left"/>
              <w:rPr>
                <w:rFonts w:hint="eastAsia" w:ascii="宋体" w:hAnsi="宋体" w:cs="宋体"/>
                <w:b/>
                <w:color w:val="auto"/>
                <w:szCs w:val="21"/>
                <w:highlight w:val="none"/>
              </w:rPr>
            </w:pPr>
            <w:r>
              <w:rPr>
                <w:rFonts w:hint="eastAsia" w:ascii="宋体" w:hAnsi="宋体" w:cs="宋体"/>
                <w:color w:val="auto"/>
                <w:szCs w:val="21"/>
                <w:highlight w:val="none"/>
              </w:rPr>
              <w:t xml:space="preserve"> 4. 供应商</w:t>
            </w:r>
            <w:r>
              <w:rPr>
                <w:rFonts w:hint="eastAsia"/>
                <w:color w:val="auto"/>
                <w:szCs w:val="21"/>
                <w:highlight w:val="none"/>
              </w:rPr>
              <w:t>财务状况报告（</w:t>
            </w:r>
            <w:r>
              <w:rPr>
                <w:rFonts w:hint="eastAsia"/>
                <w:color w:val="auto"/>
                <w:szCs w:val="21"/>
                <w:highlight w:val="none"/>
                <w:u w:val="single"/>
                <w:lang w:val="en-US" w:eastAsia="zh-CN"/>
              </w:rPr>
              <w:t>2023年或</w:t>
            </w:r>
            <w:r>
              <w:rPr>
                <w:rFonts w:hint="eastAsia" w:ascii="宋体" w:hAnsi="宋体" w:eastAsia="宋体" w:cs="宋体"/>
                <w:color w:val="auto"/>
                <w:szCs w:val="21"/>
                <w:highlight w:val="none"/>
                <w:u w:val="single"/>
                <w:lang w:val="en-US" w:eastAsia="zh-CN"/>
              </w:rPr>
              <w:t>2024</w:t>
            </w:r>
            <w:r>
              <w:rPr>
                <w:rFonts w:hint="eastAsia" w:ascii="宋体" w:hAnsi="宋体" w:eastAsia="宋体" w:cs="宋体"/>
                <w:color w:val="auto"/>
                <w:szCs w:val="21"/>
                <w:highlight w:val="none"/>
              </w:rPr>
              <w:t>年</w:t>
            </w:r>
            <w:r>
              <w:rPr>
                <w:rFonts w:hint="eastAsia"/>
                <w:color w:val="auto"/>
                <w:szCs w:val="21"/>
                <w:highlight w:val="none"/>
              </w:rPr>
              <w:t>度财务报表复印件，或者银行出具的资信证明，或者中国人民银行征信中心出具的信用报告（企业竞标的提供企业信用报告，自然人竞标的提供个人信用报告）；供应商属于</w:t>
            </w:r>
            <w:r>
              <w:rPr>
                <w:rFonts w:hint="eastAsia"/>
                <w:color w:val="auto"/>
                <w:highlight w:val="none"/>
              </w:rPr>
              <w:t>成立</w:t>
            </w:r>
            <w:r>
              <w:rPr>
                <w:color w:val="auto"/>
                <w:highlight w:val="none"/>
              </w:rPr>
              <w:t>时间</w:t>
            </w:r>
            <w:r>
              <w:rPr>
                <w:rFonts w:hint="eastAsia"/>
                <w:color w:val="auto"/>
                <w:kern w:val="0"/>
                <w:highlight w:val="none"/>
              </w:rPr>
              <w:t>在规定年度之后</w:t>
            </w:r>
            <w:r>
              <w:rPr>
                <w:color w:val="auto"/>
                <w:highlight w:val="none"/>
              </w:rPr>
              <w:t>的</w:t>
            </w:r>
            <w:r>
              <w:rPr>
                <w:rFonts w:hint="eastAsia"/>
                <w:color w:val="auto"/>
                <w:szCs w:val="21"/>
                <w:highlight w:val="none"/>
              </w:rPr>
              <w:t>法人或其他组织</w:t>
            </w:r>
            <w:r>
              <w:rPr>
                <w:color w:val="auto"/>
                <w:highlight w:val="none"/>
              </w:rPr>
              <w:t>，需提供成立</w:t>
            </w:r>
            <w:r>
              <w:rPr>
                <w:rFonts w:hint="eastAsia"/>
                <w:color w:val="auto"/>
                <w:highlight w:val="none"/>
              </w:rPr>
              <w:t>之日起至响应文件提交截止时间前</w:t>
            </w:r>
            <w:r>
              <w:rPr>
                <w:color w:val="auto"/>
                <w:highlight w:val="none"/>
              </w:rPr>
              <w:t>的月报表</w:t>
            </w:r>
            <w:r>
              <w:rPr>
                <w:rFonts w:hint="eastAsia"/>
                <w:color w:val="auto"/>
                <w:szCs w:val="21"/>
                <w:highlight w:val="none"/>
              </w:rPr>
              <w:t>或银行出具的资信证明或者中国人民银行征信中心出具的企业信用报告；资信证明应在有效期内，未注明有效期的，银行出具时间至响应文件提交截止时间不超过一年）</w:t>
            </w: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b/>
                <w:color w:val="auto"/>
                <w:szCs w:val="21"/>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bCs/>
                <w:color w:val="auto"/>
                <w:szCs w:val="21"/>
                <w:highlight w:val="none"/>
              </w:rPr>
              <w:t>）</w:t>
            </w:r>
          </w:p>
          <w:p w14:paraId="7221BFE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5.供应商直接控股信息表（格式后附）；（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E3075CB">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6. 供应商直接管理关系信息表（格式后附）；（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57E206B">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7. 竞标声明（格式后附）；（</w:t>
            </w:r>
            <w:r>
              <w:rPr>
                <w:rFonts w:hint="eastAsia" w:ascii="宋体" w:hAnsi="宋体" w:cs="宋体"/>
                <w:b/>
                <w:color w:val="auto"/>
                <w:szCs w:val="21"/>
                <w:highlight w:val="none"/>
              </w:rPr>
              <w:t>必须提供，否则响应文件按无效</w:t>
            </w:r>
            <w:r>
              <w:rPr>
                <w:rFonts w:hint="eastAsia" w:ascii="宋体" w:hAnsi="宋体" w:cs="宋体"/>
                <w:b/>
                <w:color w:val="auto"/>
                <w:szCs w:val="21"/>
                <w:highlight w:val="none"/>
                <w:lang w:eastAsia="zh-CN"/>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7B411FD7">
            <w:pPr>
              <w:snapToGrid w:val="0"/>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1）采购标的属第二类医疗器械的，应提供有效的医疗器械经营备案凭证（经营范围包含采购的第二类医疗器械），符合《医疗器械监督管理条例》（国务院令第739号）第四十一条第二款规定的除外；如供应商符合《医疗器械监督管理条例》第四十三条“医疗器械注册人、备案人经营其注册、备案的医疗器械，无需办理医疗器械经营许可或者备案，但应当符合本条例规定的经营条件”规定的，仅需提供该医疗器械注册证（另附表格列明所投标对应产品的名称和规格型号，格式自拟）。</w:t>
            </w:r>
          </w:p>
          <w:p w14:paraId="5374273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标的属第三类医疗器械的，应提供有效的医疗器械经营许可证（经营范围包含采购的第三类医疗器械）；如供应商符合《医疗器械监督管理条例》第四十三条“医疗器械注册人、备案人经营其注册、备案的医疗器械，无需办理医疗器械经营许可或者备案，但应当符合本条例规定的经营条件”规定的，仅需提供该医疗器械注册证（另附表格列明所投标对应产品的名称和规格型号，格式自拟）。</w:t>
            </w:r>
          </w:p>
          <w:p w14:paraId="0713F57D">
            <w:pPr>
              <w:snapToGrid w:val="0"/>
              <w:spacing w:line="360" w:lineRule="auto"/>
              <w:jc w:val="left"/>
              <w:rPr>
                <w:rFonts w:hint="eastAsia" w:ascii="宋体" w:hAnsi="宋体" w:cs="宋体"/>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w:t>
            </w:r>
            <w:r>
              <w:rPr>
                <w:rFonts w:hint="eastAsia" w:ascii="宋体" w:hAnsi="宋体" w:cs="宋体"/>
                <w:b/>
                <w:color w:val="auto"/>
                <w:szCs w:val="21"/>
                <w:highlight w:val="none"/>
                <w:lang w:eastAsia="zh-CN"/>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32601F1A">
            <w:pPr>
              <w:snapToGrid w:val="0"/>
              <w:spacing w:line="360" w:lineRule="auto"/>
              <w:jc w:val="left"/>
              <w:rPr>
                <w:rFonts w:hint="eastAsia" w:ascii="宋体" w:hAnsi="宋体" w:eastAsia="宋体"/>
                <w:i/>
                <w:color w:val="auto"/>
                <w:szCs w:val="21"/>
                <w:highlight w:val="none"/>
                <w:lang w:eastAsia="zh-CN"/>
              </w:rPr>
            </w:pPr>
            <w:r>
              <w:rPr>
                <w:rFonts w:hint="eastAsia" w:ascii="宋体" w:hAnsi="宋体" w:cs="宋体"/>
                <w:color w:val="auto"/>
                <w:szCs w:val="21"/>
                <w:highlight w:val="none"/>
              </w:rPr>
              <w:t>9.</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除谈判文件规定必须提供以外，供应商认为需要提供的其他证明材料</w:t>
            </w:r>
            <w:r>
              <w:rPr>
                <w:rFonts w:hint="eastAsia" w:ascii="宋体" w:hAnsi="宋体" w:cs="宋体"/>
                <w:color w:val="auto"/>
                <w:szCs w:val="21"/>
                <w:highlight w:val="none"/>
                <w:lang w:eastAsia="zh-CN"/>
              </w:rPr>
              <w:t>。</w:t>
            </w:r>
          </w:p>
          <w:p w14:paraId="26F0BD80">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注：</w:t>
            </w:r>
          </w:p>
          <w:p w14:paraId="5EB2479D">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w:t>
            </w:r>
            <w:r>
              <w:rPr>
                <w:rFonts w:hint="eastAsia"/>
                <w:b/>
                <w:color w:val="auto"/>
                <w:highlight w:val="none"/>
              </w:rPr>
              <w:t>电子签章</w:t>
            </w:r>
            <w:r>
              <w:rPr>
                <w:rFonts w:hint="eastAsia" w:ascii="宋体" w:hAnsi="宋体" w:cs="宋体"/>
                <w:b/>
                <w:color w:val="auto"/>
                <w:szCs w:val="21"/>
                <w:highlight w:val="none"/>
              </w:rPr>
              <w:t>，否则响应文件按无效</w:t>
            </w:r>
            <w:r>
              <w:rPr>
                <w:rFonts w:hint="eastAsia" w:ascii="宋体" w:hAnsi="宋体" w:eastAsia="宋体" w:cs="宋体"/>
                <w:b/>
                <w:bCs/>
                <w:color w:val="auto"/>
                <w:szCs w:val="21"/>
                <w:highlight w:val="none"/>
              </w:rPr>
              <w:t>响应</w:t>
            </w:r>
            <w:r>
              <w:rPr>
                <w:rFonts w:hint="eastAsia" w:ascii="宋体" w:hAnsi="宋体" w:cs="宋体"/>
                <w:b/>
                <w:color w:val="auto"/>
                <w:szCs w:val="21"/>
                <w:highlight w:val="none"/>
              </w:rPr>
              <w:t>处理。</w:t>
            </w:r>
          </w:p>
        </w:tc>
      </w:tr>
      <w:tr w14:paraId="6F157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4F1A8C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12.1.2</w:t>
            </w:r>
          </w:p>
        </w:tc>
        <w:tc>
          <w:tcPr>
            <w:tcW w:w="7912" w:type="dxa"/>
            <w:noWrap w:val="0"/>
            <w:vAlign w:val="center"/>
          </w:tcPr>
          <w:p w14:paraId="7F9AE41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报价文件</w:t>
            </w:r>
          </w:p>
          <w:p w14:paraId="1EAC8C1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1.竞标报价表（格式后附）；（</w:t>
            </w:r>
            <w:r>
              <w:rPr>
                <w:rFonts w:hint="eastAsia" w:ascii="宋体" w:hAnsi="宋体" w:cs="宋体"/>
                <w:b/>
                <w:color w:val="auto"/>
                <w:szCs w:val="21"/>
                <w:highlight w:val="none"/>
              </w:rPr>
              <w:t>必须提供，否则响应文件按无效</w:t>
            </w:r>
            <w:r>
              <w:rPr>
                <w:rFonts w:hint="eastAsia" w:ascii="宋体" w:hAnsi="宋体" w:eastAsia="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0F9D51D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2.供应商认为需要提供的其他有关资料。</w:t>
            </w:r>
          </w:p>
        </w:tc>
      </w:tr>
      <w:tr w14:paraId="1B3DB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ECBD68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7912" w:type="dxa"/>
            <w:noWrap w:val="0"/>
            <w:vAlign w:val="center"/>
          </w:tcPr>
          <w:p w14:paraId="6850CAD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商务技术文件</w:t>
            </w:r>
          </w:p>
          <w:p w14:paraId="11C0E77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w:t>
            </w:r>
            <w:r>
              <w:rPr>
                <w:rFonts w:hint="eastAsia" w:ascii="宋体" w:hAnsi="宋体" w:eastAsia="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11754D6B">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2.法定代表人身份证明书及法定代表人有效身份证正反面复印件（格式后附）；（</w:t>
            </w:r>
            <w:r>
              <w:rPr>
                <w:rFonts w:hint="eastAsia" w:ascii="宋体" w:hAnsi="宋体" w:cs="宋体"/>
                <w:b/>
                <w:color w:val="auto"/>
                <w:szCs w:val="21"/>
                <w:highlight w:val="none"/>
              </w:rPr>
              <w:t>必须提供，否则响应文件按无效</w:t>
            </w:r>
            <w:r>
              <w:rPr>
                <w:rFonts w:hint="eastAsia" w:ascii="宋体" w:hAnsi="宋体" w:eastAsia="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1F0846FA">
            <w:pP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委托时必须提供，否则响应文件按无效</w:t>
            </w:r>
            <w:r>
              <w:rPr>
                <w:rFonts w:hint="eastAsia" w:ascii="宋体" w:hAnsi="宋体" w:eastAsia="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48955FC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4.竞标保证金提交凭证；（</w:t>
            </w:r>
            <w:r>
              <w:rPr>
                <w:rFonts w:hint="eastAsia"/>
                <w:b/>
                <w:bCs/>
                <w:color w:val="auto"/>
                <w:highlight w:val="none"/>
              </w:rPr>
              <w:t>必须提供</w:t>
            </w:r>
            <w:r>
              <w:rPr>
                <w:rFonts w:hint="eastAsia" w:ascii="宋体" w:hAnsi="宋体" w:cs="宋体"/>
                <w:b/>
                <w:color w:val="auto"/>
                <w:szCs w:val="21"/>
                <w:highlight w:val="none"/>
              </w:rPr>
              <w:t>，否则响应文件按无效</w:t>
            </w:r>
            <w:r>
              <w:rPr>
                <w:rFonts w:hint="eastAsia" w:ascii="宋体" w:hAnsi="宋体" w:eastAsia="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3A9BAD8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5.商务要求偏离表（格式后附）；（</w:t>
            </w:r>
            <w:r>
              <w:rPr>
                <w:rFonts w:hint="eastAsia" w:ascii="宋体" w:hAnsi="宋体" w:cs="宋体"/>
                <w:b/>
                <w:color w:val="auto"/>
                <w:szCs w:val="21"/>
                <w:highlight w:val="none"/>
              </w:rPr>
              <w:t>必须提供，否则响应文件按无效</w:t>
            </w:r>
            <w:r>
              <w:rPr>
                <w:rFonts w:hint="eastAsia" w:ascii="宋体" w:hAnsi="宋体" w:eastAsia="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7BC7FDA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6.售后服务承诺（格式自拟）；（</w:t>
            </w:r>
            <w:r>
              <w:rPr>
                <w:rFonts w:hint="eastAsia" w:ascii="宋体" w:hAnsi="宋体" w:cs="宋体"/>
                <w:b/>
                <w:color w:val="auto"/>
                <w:szCs w:val="21"/>
                <w:highlight w:val="none"/>
              </w:rPr>
              <w:t>必须提供，否则响应文件按无效</w:t>
            </w:r>
            <w:r>
              <w:rPr>
                <w:rFonts w:hint="eastAsia" w:ascii="宋体" w:hAnsi="宋体" w:eastAsia="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6A46DAB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7.货物配置清单（均不含报价）（格式后附）；（</w:t>
            </w:r>
            <w:r>
              <w:rPr>
                <w:rFonts w:hint="eastAsia" w:ascii="宋体" w:hAnsi="宋体" w:cs="宋体"/>
                <w:b/>
                <w:color w:val="auto"/>
                <w:szCs w:val="21"/>
                <w:highlight w:val="none"/>
              </w:rPr>
              <w:t>必须提供，否则响应文件按无效</w:t>
            </w:r>
            <w:r>
              <w:rPr>
                <w:rFonts w:hint="eastAsia" w:ascii="宋体" w:hAnsi="宋体" w:eastAsia="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261DD6C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8.技术要求偏离表（格式后附）；（</w:t>
            </w:r>
            <w:r>
              <w:rPr>
                <w:rFonts w:hint="eastAsia" w:ascii="宋体" w:hAnsi="宋体" w:cs="宋体"/>
                <w:b/>
                <w:color w:val="auto"/>
                <w:szCs w:val="21"/>
                <w:highlight w:val="none"/>
              </w:rPr>
              <w:t>必须提供，否则响应文件按无效</w:t>
            </w:r>
            <w:r>
              <w:rPr>
                <w:rFonts w:hint="eastAsia" w:ascii="宋体" w:hAnsi="宋体" w:eastAsia="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6404B03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bCs/>
                <w:color w:val="auto"/>
                <w:szCs w:val="21"/>
                <w:highlight w:val="none"/>
              </w:rPr>
              <w:t>代理服务费承诺书</w:t>
            </w:r>
            <w:r>
              <w:rPr>
                <w:rFonts w:hint="eastAsia" w:ascii="宋体" w:hAnsi="宋体" w:cs="宋体"/>
                <w:color w:val="auto"/>
                <w:szCs w:val="21"/>
                <w:highlight w:val="none"/>
              </w:rPr>
              <w:t>（格式后附）；</w:t>
            </w:r>
          </w:p>
          <w:p w14:paraId="5D11883E">
            <w:pPr>
              <w:spacing w:line="360" w:lineRule="auto"/>
              <w:rPr>
                <w:rFonts w:hint="eastAsia" w:ascii="宋体" w:hAnsi="宋体" w:cs="宋体"/>
                <w:bCs/>
                <w:color w:val="auto"/>
                <w:szCs w:val="21"/>
                <w:highlight w:val="none"/>
              </w:rPr>
            </w:pPr>
            <w:r>
              <w:rPr>
                <w:rFonts w:hint="eastAsia" w:ascii="宋体" w:hAnsi="宋体" w:cs="宋体"/>
                <w:color w:val="auto"/>
                <w:szCs w:val="21"/>
                <w:highlight w:val="none"/>
              </w:rPr>
              <w:t>10.对应采购需求的技术要求、商务要求提供的其他文件资料（格式自拟）；</w:t>
            </w:r>
          </w:p>
          <w:p w14:paraId="778A327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11.供应商认为需要提供的其他有关资料。</w:t>
            </w:r>
          </w:p>
          <w:p w14:paraId="71AF2F16">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注：以上标明“必须提供”材料复印件的，必须加盖供应商</w:t>
            </w:r>
            <w:r>
              <w:rPr>
                <w:rFonts w:hint="eastAsia" w:ascii="宋体" w:hAnsi="宋体"/>
                <w:b/>
                <w:bCs/>
                <w:color w:val="auto"/>
                <w:szCs w:val="21"/>
                <w:highlight w:val="none"/>
              </w:rPr>
              <w:t>电子签章</w:t>
            </w:r>
            <w:r>
              <w:rPr>
                <w:rFonts w:hint="eastAsia" w:ascii="宋体" w:hAnsi="宋体" w:cs="宋体"/>
                <w:b/>
                <w:color w:val="auto"/>
                <w:szCs w:val="21"/>
                <w:highlight w:val="none"/>
              </w:rPr>
              <w:t>，否则响应文件按无效</w:t>
            </w:r>
            <w:r>
              <w:rPr>
                <w:rFonts w:hint="eastAsia" w:ascii="宋体" w:hAnsi="宋体" w:eastAsia="宋体" w:cs="宋体"/>
                <w:b/>
                <w:bCs/>
                <w:color w:val="auto"/>
                <w:szCs w:val="21"/>
                <w:highlight w:val="none"/>
              </w:rPr>
              <w:t>响应</w:t>
            </w:r>
            <w:r>
              <w:rPr>
                <w:rFonts w:hint="eastAsia" w:ascii="宋体" w:hAnsi="宋体" w:cs="宋体"/>
                <w:b/>
                <w:color w:val="auto"/>
                <w:szCs w:val="21"/>
                <w:highlight w:val="none"/>
              </w:rPr>
              <w:t>处理。</w:t>
            </w:r>
          </w:p>
        </w:tc>
      </w:tr>
      <w:tr w14:paraId="7B2C5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7ADB3C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7912" w:type="dxa"/>
            <w:noWrap w:val="0"/>
            <w:vAlign w:val="center"/>
          </w:tcPr>
          <w:p w14:paraId="20104E99">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竞报价包含但不限于货物及货物运抵指定交付地点的各种费用、随配附件、备品备件、易损件、专用工具、安装调试、技术培训、技术资料、包装、售后服务、保险费、税金、验收检验及其他所有成本费用的总和，如涉及系统对接的由成交供应商负责完成。对于本文件中未列明，而供应商认为必须的费用也需列入总报价。在合同实施时，采购人将不予支付成交供应商没有列入的项目费用，并认为此项目的费用已包括在</w:t>
            </w:r>
            <w:r>
              <w:rPr>
                <w:rFonts w:hint="eastAsia" w:ascii="宋体" w:hAnsi="宋体" w:cs="宋体"/>
                <w:color w:val="auto"/>
                <w:szCs w:val="21"/>
                <w:highlight w:val="none"/>
                <w:lang w:val="en-US" w:eastAsia="zh-CN"/>
              </w:rPr>
              <w:t>竞标</w:t>
            </w:r>
            <w:r>
              <w:rPr>
                <w:rFonts w:hint="eastAsia" w:ascii="宋体" w:hAnsi="宋体" w:cs="宋体"/>
                <w:color w:val="auto"/>
                <w:szCs w:val="21"/>
                <w:highlight w:val="none"/>
              </w:rPr>
              <w:t>报价中。</w:t>
            </w:r>
          </w:p>
        </w:tc>
      </w:tr>
      <w:tr w14:paraId="0C552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EC3BEA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noWrap w:val="0"/>
            <w:vAlign w:val="center"/>
          </w:tcPr>
          <w:p w14:paraId="458F4D76">
            <w:pPr>
              <w:pStyle w:val="7"/>
              <w:widowControl w:val="0"/>
              <w:tabs>
                <w:tab w:val="clear" w:pos="454"/>
              </w:tabs>
              <w:snapToGrid w:val="0"/>
              <w:spacing w:afterLines="0" w:line="360" w:lineRule="auto"/>
              <w:ind w:left="283" w:hanging="283" w:hangingChars="135"/>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lang w:val="en-US" w:eastAsia="zh-CN"/>
              </w:rPr>
              <w:t>90</w:t>
            </w:r>
            <w:r>
              <w:rPr>
                <w:rFonts w:hint="eastAsia" w:ascii="宋体" w:hAnsi="宋体" w:cs="宋体"/>
                <w:color w:val="auto"/>
                <w:kern w:val="2"/>
                <w:sz w:val="21"/>
                <w:szCs w:val="21"/>
                <w:highlight w:val="none"/>
              </w:rPr>
              <w:t>日。</w:t>
            </w:r>
          </w:p>
        </w:tc>
      </w:tr>
      <w:tr w14:paraId="5748C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9F9449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7912" w:type="dxa"/>
            <w:noWrap w:val="0"/>
            <w:vAlign w:val="center"/>
          </w:tcPr>
          <w:p w14:paraId="2E10D02C">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□本项目不收取竞标保证金。</w:t>
            </w:r>
          </w:p>
          <w:p w14:paraId="481AD8C2">
            <w:pPr>
              <w:snapToGrid w:val="0"/>
              <w:spacing w:line="360" w:lineRule="auto"/>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本项目收取竞标保证金，具体规定如下：</w:t>
            </w:r>
          </w:p>
          <w:p w14:paraId="12D06936">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1</w:t>
            </w:r>
            <w:r>
              <w:rPr>
                <w:rFonts w:hint="eastAsia" w:ascii="宋体" w:hAnsi="宋体" w:cs="宋体"/>
                <w:color w:val="auto"/>
                <w:kern w:val="0"/>
                <w:szCs w:val="21"/>
                <w:highlight w:val="none"/>
              </w:rPr>
              <w:t>分标竞标保证金人民币</w:t>
            </w:r>
            <w:r>
              <w:rPr>
                <w:rFonts w:hint="eastAsia" w:ascii="宋体" w:hAnsi="宋体" w:cs="宋体"/>
                <w:color w:val="auto"/>
                <w:kern w:val="0"/>
                <w:szCs w:val="21"/>
                <w:highlight w:val="none"/>
                <w:u w:val="single"/>
                <w:lang w:val="en-US" w:eastAsia="zh-CN"/>
              </w:rPr>
              <w:t>10000</w:t>
            </w:r>
            <w:r>
              <w:rPr>
                <w:rFonts w:hint="eastAsia" w:ascii="宋体" w:hAnsi="宋体" w:cs="宋体"/>
                <w:color w:val="auto"/>
                <w:kern w:val="0"/>
                <w:szCs w:val="21"/>
                <w:highlight w:val="none"/>
              </w:rPr>
              <w:t>元。</w:t>
            </w:r>
          </w:p>
          <w:p w14:paraId="14B6ECE4">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竞标保证金的交纳方式：银行转账、支票、汇票、本票或者银行、保险机构出具的保函（包含电子保函），禁止采用现钞方式。采用银行转账方式的，在响应文件提交截止时间前交至指定账户并且到账（开户银行：中信银行南宁东葛支行，开户名称：云之龙咨询集团有限公司梧州分公司，银行账号：8113001013700074625）；采用支票、汇票、本票或者保函等方式的，在响应文件提交截止时间前，供应商必须提交单独密封的支票、汇票、本票或者保函原件（电子保函</w:t>
            </w:r>
            <w:r>
              <w:rPr>
                <w:rFonts w:hint="eastAsia" w:ascii="宋体" w:hAnsi="宋体" w:cs="宋体"/>
                <w:color w:val="auto"/>
                <w:kern w:val="0"/>
                <w:szCs w:val="21"/>
                <w:highlight w:val="none"/>
                <w:lang w:eastAsia="zh-CN"/>
              </w:rPr>
              <w:t>须提交复印件并加盖供应商公章</w:t>
            </w:r>
            <w:r>
              <w:rPr>
                <w:rFonts w:hint="eastAsia" w:ascii="宋体" w:hAnsi="宋体" w:cs="宋体"/>
                <w:color w:val="auto"/>
                <w:kern w:val="0"/>
                <w:szCs w:val="21"/>
                <w:highlight w:val="none"/>
              </w:rPr>
              <w:t>）。否则视为无效竞标保证金。</w:t>
            </w:r>
          </w:p>
          <w:p w14:paraId="07E8434B">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相关要求：</w:t>
            </w:r>
          </w:p>
          <w:p w14:paraId="4196618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1.竞标保证金采用银行转账交纳方式的，在响应文件提交截止时间前交至指定账户并且到账，供应商应将银行转账底单的复印件作为竞标保证金提交凭证，放置于商务技术文件中，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7DEEBE99">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2.竞标保证金采用支票、汇票、本票或者银行、保险机构出具的保函</w:t>
            </w:r>
            <w:r>
              <w:rPr>
                <w:rFonts w:hint="eastAsia"/>
                <w:color w:val="auto"/>
                <w:highlight w:val="none"/>
              </w:rPr>
              <w:t>（包含电子保函）</w:t>
            </w:r>
            <w:r>
              <w:rPr>
                <w:rFonts w:hint="eastAsia" w:ascii="宋体" w:hAnsi="宋体"/>
                <w:color w:val="auto"/>
                <w:szCs w:val="21"/>
                <w:highlight w:val="none"/>
              </w:rPr>
              <w:t>交纳方式的，供应商应将支票、汇票、本票或者银行、保险机构出具的保函</w:t>
            </w:r>
            <w:r>
              <w:rPr>
                <w:rFonts w:hint="eastAsia"/>
                <w:color w:val="auto"/>
                <w:highlight w:val="none"/>
              </w:rPr>
              <w:t>（包含电子保函）</w:t>
            </w:r>
            <w:r>
              <w:rPr>
                <w:rFonts w:hint="eastAsia" w:ascii="宋体" w:hAnsi="宋体"/>
                <w:color w:val="auto"/>
                <w:szCs w:val="21"/>
                <w:highlight w:val="none"/>
              </w:rPr>
              <w:t>的复印件作为竞标保证金提交凭证，放置于</w:t>
            </w:r>
            <w:r>
              <w:rPr>
                <w:rFonts w:hint="eastAsia" w:ascii="宋体" w:hAnsi="宋体" w:cs="宋体"/>
                <w:color w:val="auto"/>
                <w:szCs w:val="21"/>
                <w:highlight w:val="none"/>
              </w:rPr>
              <w:t>商务技术文件</w:t>
            </w:r>
            <w:r>
              <w:rPr>
                <w:rFonts w:hint="eastAsia" w:ascii="宋体" w:hAnsi="宋体"/>
                <w:color w:val="auto"/>
                <w:szCs w:val="21"/>
                <w:highlight w:val="none"/>
              </w:rPr>
              <w:t>中，</w:t>
            </w:r>
            <w:r>
              <w:rPr>
                <w:rFonts w:hint="eastAsia" w:ascii="宋体" w:hAnsi="宋体" w:cs="宋体"/>
                <w:b/>
                <w:color w:val="auto"/>
                <w:szCs w:val="21"/>
                <w:highlight w:val="none"/>
              </w:rPr>
              <w:t>否则响应文件按无效处理</w:t>
            </w:r>
            <w:r>
              <w:rPr>
                <w:rFonts w:hint="eastAsia" w:ascii="宋体" w:hAnsi="宋体"/>
                <w:color w:val="auto"/>
                <w:szCs w:val="21"/>
                <w:highlight w:val="none"/>
              </w:rPr>
              <w:t>。供应商必须</w:t>
            </w:r>
            <w:r>
              <w:rPr>
                <w:rFonts w:hint="eastAsia"/>
                <w:color w:val="auto"/>
                <w:highlight w:val="none"/>
              </w:rPr>
              <w:t>在响应文件提交截止时间前采用现场或邮寄方式（现场提交地址：梧州市新兴三路30号神冠豪都B栋1单元1008号房；邮寄地址：梧州市新兴三路30号神冠豪都B栋1单元1008号房，收件人：朱梓烨</w:t>
            </w:r>
            <w:r>
              <w:rPr>
                <w:rFonts w:hint="eastAsia"/>
                <w:color w:val="auto"/>
                <w:highlight w:val="none"/>
                <w:lang w:eastAsia="zh-CN"/>
              </w:rPr>
              <w:t>、覃文思</w:t>
            </w:r>
            <w:r>
              <w:rPr>
                <w:rFonts w:hint="eastAsia"/>
                <w:color w:val="auto"/>
                <w:highlight w:val="none"/>
              </w:rPr>
              <w:t>，联系方式：0774-3859935）</w:t>
            </w:r>
            <w:r>
              <w:rPr>
                <w:rFonts w:hint="eastAsia" w:ascii="宋体" w:hAnsi="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olor w:val="auto"/>
                <w:szCs w:val="21"/>
                <w:highlight w:val="none"/>
              </w:rPr>
              <w:t>支票、汇票、本票或者银行、保险机构出具的保函原件（电子保函</w:t>
            </w:r>
            <w:r>
              <w:rPr>
                <w:rFonts w:hint="eastAsia" w:ascii="宋体" w:hAnsi="宋体"/>
                <w:color w:val="auto"/>
                <w:szCs w:val="21"/>
                <w:highlight w:val="none"/>
                <w:lang w:eastAsia="zh-CN"/>
              </w:rPr>
              <w:t>须提交复印件并加盖供应商公章</w:t>
            </w:r>
            <w:r>
              <w:rPr>
                <w:rFonts w:hint="eastAsia" w:ascii="宋体" w:hAnsi="宋体"/>
                <w:color w:val="auto"/>
                <w:szCs w:val="21"/>
                <w:highlight w:val="none"/>
              </w:rPr>
              <w:t>）提交给采购人或者采购代理机构。</w:t>
            </w:r>
          </w:p>
          <w:p w14:paraId="0D1B1B18">
            <w:pPr>
              <w:snapToGrid w:val="0"/>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3.供应商为联合体的，可以由联合体中的一方或者多方共同交纳竞标保证金，其交纳的保证金对联合体各方均具有约束力。</w:t>
            </w:r>
          </w:p>
          <w:p w14:paraId="40463A2D">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备注： </w:t>
            </w:r>
          </w:p>
          <w:p w14:paraId="7870F107">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1.竞标保证金在响应文件提交截止时间后提交的，或者不按规定交纳方式交纳的，或者未足额交纳的（包含保函额度不足的），视为无效竞标保证金。</w:t>
            </w:r>
          </w:p>
          <w:p w14:paraId="23CD05C3">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2.供应商采用现钞方式或者从个人账户（自然人竞标除外）转出的竞标保证金，视为无效竞标保证金。</w:t>
            </w:r>
          </w:p>
          <w:p w14:paraId="23BC448B">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3.支票、汇票或者本票出现无效或者背书情形的，视为无效竞标保证金。</w:t>
            </w:r>
          </w:p>
          <w:p w14:paraId="5CD3D0FC">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4.保函有效期低于竞标有效期的，视为无效竞标保证金。</w:t>
            </w:r>
          </w:p>
          <w:p w14:paraId="2497AD7D">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5.竞标保证金采用银行、保险机构出具的保函（包含电子保函）为有条件保函的，视为无效竞标保证金。</w:t>
            </w:r>
          </w:p>
        </w:tc>
      </w:tr>
      <w:tr w14:paraId="5BF49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8D0D8B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19</w:t>
            </w:r>
          </w:p>
        </w:tc>
        <w:tc>
          <w:tcPr>
            <w:tcW w:w="7912" w:type="dxa"/>
            <w:noWrap w:val="0"/>
            <w:vAlign w:val="center"/>
          </w:tcPr>
          <w:p w14:paraId="48E9B4D8">
            <w:pPr>
              <w:autoSpaceDE w:val="0"/>
              <w:autoSpaceDN w:val="0"/>
              <w:adjustRightInd w:val="0"/>
              <w:spacing w:line="360" w:lineRule="auto"/>
              <w:textAlignment w:val="bottom"/>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p w14:paraId="34506074">
            <w:pPr>
              <w:autoSpaceDE w:val="0"/>
              <w:autoSpaceDN w:val="0"/>
              <w:adjustRightIn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w:t>
            </w:r>
            <w:r>
              <w:rPr>
                <w:rFonts w:hint="eastAsia"/>
                <w:color w:val="auto"/>
                <w:highlight w:val="none"/>
              </w:rPr>
              <w:t>本项目接受电子备份响应文件。</w:t>
            </w:r>
          </w:p>
        </w:tc>
      </w:tr>
      <w:tr w14:paraId="5D5E9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051F8F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7912" w:type="dxa"/>
            <w:noWrap w:val="0"/>
            <w:vAlign w:val="center"/>
          </w:tcPr>
          <w:p w14:paraId="3C33C738">
            <w:pPr>
              <w:spacing w:line="360" w:lineRule="auto"/>
              <w:contextualSpacing/>
              <w:jc w:val="left"/>
              <w:rPr>
                <w:rFonts w:hint="eastAsia" w:ascii="宋体" w:hAnsi="宋体" w:cs="宋体"/>
                <w:color w:val="auto"/>
                <w:szCs w:val="21"/>
                <w:highlight w:val="none"/>
                <w:u w:val="single"/>
              </w:rPr>
            </w:pPr>
            <w:r>
              <w:rPr>
                <w:rFonts w:hint="eastAsia" w:ascii="宋体" w:hAnsi="宋体" w:cs="宋体"/>
                <w:color w:val="auto"/>
                <w:szCs w:val="21"/>
                <w:highlight w:val="none"/>
              </w:rPr>
              <w:t>响应文件提交截止时间：详见竞争性谈判公告。</w:t>
            </w:r>
          </w:p>
          <w:p w14:paraId="5C7870E1">
            <w:pPr>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响应文件提交地点：详见竞争性谈判公告。</w:t>
            </w:r>
          </w:p>
        </w:tc>
      </w:tr>
      <w:tr w14:paraId="15CAB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53B2F3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24.1</w:t>
            </w:r>
          </w:p>
        </w:tc>
        <w:tc>
          <w:tcPr>
            <w:tcW w:w="7912" w:type="dxa"/>
            <w:noWrap w:val="0"/>
            <w:vAlign w:val="center"/>
          </w:tcPr>
          <w:p w14:paraId="35D3B320">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谈判小组的人数：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人。</w:t>
            </w:r>
          </w:p>
        </w:tc>
      </w:tr>
      <w:tr w14:paraId="5FA3C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noWrap w:val="0"/>
            <w:vAlign w:val="center"/>
          </w:tcPr>
          <w:p w14:paraId="258918F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12" w:type="dxa"/>
            <w:noWrap w:val="0"/>
            <w:vAlign w:val="center"/>
          </w:tcPr>
          <w:p w14:paraId="12112674">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首次响应文件开启时间详见“竞争性谈判公告”</w:t>
            </w:r>
          </w:p>
          <w:p w14:paraId="5F58F6E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首次响应文件解密时间：</w:t>
            </w:r>
            <w:r>
              <w:rPr>
                <w:rFonts w:hAnsi="宋体"/>
                <w:color w:val="auto"/>
                <w:highlight w:val="none"/>
                <w:u w:val="single"/>
              </w:rPr>
              <w:t xml:space="preserve"> </w:t>
            </w:r>
            <w:r>
              <w:rPr>
                <w:rFonts w:hint="eastAsia" w:hAnsi="宋体"/>
                <w:color w:val="auto"/>
                <w:highlight w:val="none"/>
                <w:u w:val="single"/>
                <w:lang w:val="en-US" w:eastAsia="zh-CN"/>
              </w:rPr>
              <w:t>30</w:t>
            </w:r>
            <w:r>
              <w:rPr>
                <w:rFonts w:hAnsi="宋体"/>
                <w:color w:val="auto"/>
                <w:highlight w:val="none"/>
                <w:u w:val="single"/>
              </w:rPr>
              <w:t xml:space="preserve"> </w:t>
            </w:r>
            <w:r>
              <w:rPr>
                <w:rFonts w:hint="eastAsia" w:hAnsi="宋体"/>
                <w:color w:val="auto"/>
                <w:highlight w:val="none"/>
              </w:rPr>
              <w:t>分钟</w:t>
            </w:r>
          </w:p>
        </w:tc>
      </w:tr>
      <w:tr w14:paraId="2571D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noWrap w:val="0"/>
            <w:vAlign w:val="center"/>
          </w:tcPr>
          <w:p w14:paraId="419F5917">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26</w:t>
            </w:r>
          </w:p>
        </w:tc>
        <w:tc>
          <w:tcPr>
            <w:tcW w:w="7912" w:type="dxa"/>
            <w:noWrap w:val="0"/>
            <w:vAlign w:val="center"/>
          </w:tcPr>
          <w:p w14:paraId="65763080">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评审价相同时，按照最后报价由低到高顺序依次推荐；最后报价相同时，按节能、环保产品累计金额由高到低顺序依次推荐；节能、环保产品累计金额也相同时，按以下原则确定成交候选人的顺序：</w:t>
            </w:r>
          </w:p>
          <w:p w14:paraId="21ED0FB9">
            <w:pPr>
              <w:spacing w:line="360" w:lineRule="auto"/>
              <w:contextualSpacing/>
              <w:rPr>
                <w:rFonts w:hint="eastAsia" w:ascii="宋体" w:hAnsi="宋体" w:cs="宋体"/>
                <w:i w:val="0"/>
                <w:iCs/>
                <w:color w:val="auto"/>
                <w:szCs w:val="21"/>
                <w:highlight w:val="none"/>
              </w:rPr>
            </w:pPr>
            <w:r>
              <w:rPr>
                <w:rFonts w:hint="eastAsia" w:ascii="宋体" w:hAnsi="宋体" w:cs="宋体"/>
                <w:i w:val="0"/>
                <w:iCs/>
                <w:color w:val="auto"/>
                <w:szCs w:val="21"/>
                <w:highlight w:val="none"/>
                <w:lang w:eastAsia="zh-CN"/>
              </w:rPr>
              <w:t>☑</w:t>
            </w:r>
            <w:r>
              <w:rPr>
                <w:rFonts w:hint="eastAsia" w:ascii="宋体" w:hAnsi="宋体" w:cs="宋体"/>
                <w:i w:val="0"/>
                <w:iCs/>
                <w:color w:val="auto"/>
                <w:szCs w:val="21"/>
                <w:highlight w:val="none"/>
              </w:rPr>
              <w:t>带“▲”的实质性要求正偏离项数多的优先、均无正偏离或者正偏离项数一致时负偏离项数少的优先、</w:t>
            </w:r>
            <w:r>
              <w:rPr>
                <w:rFonts w:hint="eastAsia" w:ascii="宋体" w:hAnsi="宋体" w:cs="宋体"/>
                <w:i w:val="0"/>
                <w:iCs/>
                <w:color w:val="auto"/>
                <w:szCs w:val="21"/>
                <w:highlight w:val="none"/>
                <w:lang w:eastAsia="zh-CN"/>
              </w:rPr>
              <w:t>质保期</w:t>
            </w:r>
            <w:r>
              <w:rPr>
                <w:rFonts w:hint="eastAsia" w:ascii="宋体" w:hAnsi="宋体" w:cs="宋体"/>
                <w:i w:val="0"/>
                <w:iCs/>
                <w:color w:val="auto"/>
                <w:szCs w:val="21"/>
                <w:highlight w:val="none"/>
              </w:rPr>
              <w:t>长优先、</w:t>
            </w:r>
            <w:r>
              <w:rPr>
                <w:rFonts w:hint="eastAsia" w:ascii="宋体" w:hAnsi="宋体" w:cs="宋体"/>
                <w:i w:val="0"/>
                <w:iCs/>
                <w:color w:val="auto"/>
                <w:szCs w:val="21"/>
                <w:highlight w:val="none"/>
                <w:lang w:eastAsia="zh-CN"/>
              </w:rPr>
              <w:t>交付时间（</w:t>
            </w:r>
            <w:r>
              <w:rPr>
                <w:rFonts w:hint="eastAsia" w:ascii="宋体" w:hAnsi="宋体" w:cs="宋体"/>
                <w:i w:val="0"/>
                <w:iCs/>
                <w:color w:val="auto"/>
                <w:szCs w:val="21"/>
                <w:highlight w:val="none"/>
              </w:rPr>
              <w:t>交货期</w:t>
            </w:r>
            <w:r>
              <w:rPr>
                <w:rFonts w:hint="eastAsia" w:ascii="宋体" w:hAnsi="宋体" w:cs="宋体"/>
                <w:i w:val="0"/>
                <w:iCs/>
                <w:color w:val="auto"/>
                <w:szCs w:val="21"/>
                <w:highlight w:val="none"/>
                <w:lang w:eastAsia="zh-CN"/>
              </w:rPr>
              <w:t>）</w:t>
            </w:r>
            <w:r>
              <w:rPr>
                <w:rFonts w:hint="eastAsia" w:ascii="宋体" w:hAnsi="宋体" w:cs="宋体"/>
                <w:i w:val="0"/>
                <w:iCs/>
                <w:color w:val="auto"/>
                <w:szCs w:val="21"/>
                <w:highlight w:val="none"/>
              </w:rPr>
              <w:t>短优先、响应时间短优先的顺序推荐。</w:t>
            </w:r>
          </w:p>
          <w:p w14:paraId="2BBAC65F">
            <w:pPr>
              <w:snapToGrid w:val="0"/>
              <w:spacing w:line="360" w:lineRule="auto"/>
              <w:rPr>
                <w:rFonts w:hint="eastAsia" w:ascii="宋体" w:hAnsi="宋体" w:cs="宋体"/>
                <w:color w:val="auto"/>
                <w:szCs w:val="21"/>
                <w:highlight w:val="none"/>
              </w:rPr>
            </w:pPr>
            <w:r>
              <w:rPr>
                <w:rFonts w:hint="eastAsia" w:ascii="宋体" w:hAnsi="宋体" w:cs="宋体"/>
                <w:i w:val="0"/>
                <w:iCs/>
                <w:color w:val="auto"/>
                <w:szCs w:val="21"/>
                <w:highlight w:val="none"/>
              </w:rPr>
              <w:t>□由谈判小组推荐代表随机抽取。</w:t>
            </w:r>
          </w:p>
        </w:tc>
      </w:tr>
      <w:tr w14:paraId="7904F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noWrap w:val="0"/>
            <w:vAlign w:val="center"/>
          </w:tcPr>
          <w:p w14:paraId="07A4292A">
            <w:pPr>
              <w:spacing w:line="360" w:lineRule="auto"/>
              <w:jc w:val="center"/>
              <w:rPr>
                <w:rFonts w:hint="eastAsia" w:ascii="宋体" w:hAnsi="宋体" w:cs="宋体"/>
                <w:color w:val="auto"/>
                <w:szCs w:val="21"/>
                <w:highlight w:val="none"/>
              </w:rPr>
            </w:pPr>
          </w:p>
        </w:tc>
        <w:tc>
          <w:tcPr>
            <w:tcW w:w="7912" w:type="dxa"/>
            <w:noWrap w:val="0"/>
            <w:vAlign w:val="center"/>
          </w:tcPr>
          <w:p w14:paraId="463E411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p w14:paraId="59BABC24">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tc>
      </w:tr>
      <w:tr w14:paraId="226CB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CD5A484">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28.1</w:t>
            </w:r>
          </w:p>
        </w:tc>
        <w:tc>
          <w:tcPr>
            <w:tcW w:w="7912" w:type="dxa"/>
            <w:noWrap w:val="0"/>
            <w:vAlign w:val="center"/>
          </w:tcPr>
          <w:p w14:paraId="01357B90">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本项目不收取履约保证金。</w:t>
            </w:r>
          </w:p>
          <w:p w14:paraId="119C9C9E">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□本项目收取履约保证金，具体规定如下：</w:t>
            </w:r>
          </w:p>
          <w:p w14:paraId="7DA5C46A">
            <w:pPr>
              <w:spacing w:line="360" w:lineRule="auto"/>
              <w:contextualSpacing/>
              <w:rPr>
                <w:rFonts w:hint="eastAsia" w:ascii="宋体" w:hAnsi="宋体"/>
                <w:color w:val="auto"/>
                <w:szCs w:val="21"/>
                <w:highlight w:val="none"/>
              </w:rPr>
            </w:pPr>
            <w:r>
              <w:rPr>
                <w:rFonts w:hint="eastAsia" w:ascii="宋体" w:hAnsi="宋体" w:cs="宋体"/>
                <w:color w:val="auto"/>
                <w:szCs w:val="21"/>
                <w:highlight w:val="none"/>
              </w:rPr>
              <w:t>履约保证金金额：每分标按成交金额的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olor w:val="auto"/>
                <w:szCs w:val="21"/>
                <w:highlight w:val="none"/>
              </w:rPr>
              <w:t>。</w:t>
            </w:r>
          </w:p>
          <w:p w14:paraId="2A9BC10F">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履约保证金提交方式：银行转账、支票、汇票、本票或者银行、保险机构出具的保函等非现金方式（参照竞标保证金）。</w:t>
            </w:r>
          </w:p>
          <w:p w14:paraId="19E02BD8">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履约保证金缴纳期限</w:t>
            </w:r>
            <w:r>
              <w:rPr>
                <w:rFonts w:hint="eastAsia" w:ascii="宋体" w:hAnsi="宋体"/>
                <w:color w:val="auto"/>
                <w:szCs w:val="21"/>
                <w:highlight w:val="none"/>
                <w:lang w:eastAsia="zh-CN"/>
              </w:rPr>
              <w:t>：</w:t>
            </w:r>
            <w:r>
              <w:rPr>
                <w:i w:val="0"/>
                <w:iCs w:val="0"/>
                <w:color w:val="auto"/>
                <w:highlight w:val="none"/>
              </w:rPr>
              <w:t xml:space="preserve"> </w:t>
            </w:r>
            <w:r>
              <w:rPr>
                <w:rFonts w:hint="eastAsia" w:ascii="宋体" w:hAnsi="宋体"/>
                <w:i w:val="0"/>
                <w:iCs w:val="0"/>
                <w:color w:val="auto"/>
                <w:szCs w:val="21"/>
                <w:highlight w:val="none"/>
                <w:u w:val="single"/>
              </w:rPr>
              <w:t>自成交通知书发出之日起     日内</w:t>
            </w:r>
            <w:r>
              <w:rPr>
                <w:rFonts w:hint="eastAsia" w:ascii="宋体" w:hAnsi="宋体"/>
                <w:color w:val="auto"/>
                <w:szCs w:val="21"/>
                <w:highlight w:val="none"/>
              </w:rPr>
              <w:t>。</w:t>
            </w:r>
          </w:p>
          <w:p w14:paraId="08B3C5D9">
            <w:pPr>
              <w:spacing w:line="360" w:lineRule="auto"/>
              <w:contextualSpacing/>
              <w:rPr>
                <w:rFonts w:hint="eastAsia" w:ascii="宋体" w:hAnsi="宋体" w:cs="宋体"/>
                <w:color w:val="auto"/>
                <w:szCs w:val="21"/>
                <w:highlight w:val="none"/>
                <w:u w:val="single"/>
              </w:rPr>
            </w:pPr>
            <w:r>
              <w:rPr>
                <w:rFonts w:hint="eastAsia" w:ascii="宋体" w:hAnsi="宋体" w:cs="宋体"/>
                <w:color w:val="auto"/>
                <w:szCs w:val="21"/>
                <w:highlight w:val="none"/>
              </w:rPr>
              <w:t>履约保证金退付方式、时间及条件：</w:t>
            </w:r>
            <w:r>
              <w:rPr>
                <w:rFonts w:hint="eastAsia" w:ascii="宋体" w:hAnsi="宋体" w:cs="宋体"/>
                <w:color w:val="auto"/>
                <w:szCs w:val="21"/>
                <w:highlight w:val="none"/>
                <w:u w:val="single"/>
              </w:rPr>
              <w:t xml:space="preserve">                               。</w:t>
            </w:r>
          </w:p>
          <w:p w14:paraId="76BAE48C">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履约保证金指定账户：</w:t>
            </w:r>
          </w:p>
          <w:p w14:paraId="1FDF3841">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开户名称：</w:t>
            </w:r>
            <w:r>
              <w:rPr>
                <w:rFonts w:hint="eastAsia" w:ascii="宋体" w:hAnsi="宋体" w:cs="宋体"/>
                <w:color w:val="auto"/>
                <w:szCs w:val="21"/>
                <w:highlight w:val="none"/>
                <w:u w:val="single"/>
              </w:rPr>
              <w:t xml:space="preserve">                </w:t>
            </w:r>
          </w:p>
          <w:p w14:paraId="0779E302">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p>
          <w:p w14:paraId="7043284C">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银行账号：</w:t>
            </w:r>
            <w:r>
              <w:rPr>
                <w:rFonts w:hint="eastAsia" w:ascii="宋体" w:hAnsi="宋体" w:cs="宋体"/>
                <w:color w:val="auto"/>
                <w:szCs w:val="21"/>
                <w:highlight w:val="none"/>
                <w:u w:val="single"/>
              </w:rPr>
              <w:t xml:space="preserve">                </w:t>
            </w:r>
          </w:p>
          <w:p w14:paraId="17E1B73B">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备注：</w:t>
            </w:r>
          </w:p>
          <w:p w14:paraId="30855F55">
            <w:pPr>
              <w:spacing w:line="360" w:lineRule="auto"/>
              <w:contextualSpacing/>
              <w:rPr>
                <w:rFonts w:hint="eastAsia" w:ascii="宋体" w:hAnsi="宋体" w:cs="宋体"/>
                <w:b/>
                <w:color w:val="auto"/>
                <w:kern w:val="0"/>
                <w:sz w:val="24"/>
                <w:highlight w:val="none"/>
              </w:rPr>
            </w:pPr>
            <w:r>
              <w:rPr>
                <w:rFonts w:hint="eastAsia" w:ascii="宋体" w:hAnsi="宋体" w:cs="宋体"/>
                <w:b/>
                <w:color w:val="auto"/>
                <w:szCs w:val="21"/>
                <w:highlight w:val="none"/>
              </w:rPr>
              <w:t>1</w:t>
            </w:r>
            <w:r>
              <w:rPr>
                <w:rFonts w:ascii="宋体" w:hAnsi="宋体" w:cs="宋体"/>
                <w:b/>
                <w:color w:val="auto"/>
                <w:szCs w:val="21"/>
                <w:highlight w:val="none"/>
              </w:rPr>
              <w:t>.</w:t>
            </w:r>
            <w:r>
              <w:rPr>
                <w:rFonts w:hint="eastAsia" w:ascii="宋体" w:hAnsi="宋体"/>
                <w:b/>
                <w:color w:val="auto"/>
                <w:szCs w:val="21"/>
                <w:highlight w:val="none"/>
              </w:rPr>
              <w:t xml:space="preserve"> </w:t>
            </w:r>
            <w:bookmarkStart w:id="64" w:name="_Hlk54170335"/>
            <w:r>
              <w:rPr>
                <w:rFonts w:hint="eastAsia" w:ascii="宋体" w:hAnsi="宋体"/>
                <w:b/>
                <w:color w:val="auto"/>
                <w:szCs w:val="21"/>
                <w:highlight w:val="none"/>
              </w:rPr>
              <w:t>根据《广西壮族自治区财政厅关于持续优化政府采购营商环境推动高质量发展的通知》（桂财采〔2024〕55号）的规定，履约保证金数额不得超过政府采购合同金额的5%；对中小企业收取的履约保证金数额不得超过政府采购合同金额的2%</w:t>
            </w:r>
            <w:r>
              <w:rPr>
                <w:rFonts w:hint="eastAsia" w:ascii="宋体" w:hAnsi="宋体" w:cs="宋体"/>
                <w:b/>
                <w:color w:val="auto"/>
                <w:kern w:val="0"/>
                <w:sz w:val="24"/>
                <w:highlight w:val="none"/>
              </w:rPr>
              <w:t>。</w:t>
            </w:r>
            <w:bookmarkEnd w:id="64"/>
          </w:p>
          <w:p w14:paraId="20E252B1">
            <w:pPr>
              <w:spacing w:line="360" w:lineRule="auto"/>
              <w:contextualSpacing/>
              <w:rPr>
                <w:rFonts w:hint="eastAsia" w:ascii="宋体" w:hAnsi="宋体" w:cs="宋体"/>
                <w:b/>
                <w:color w:val="auto"/>
                <w:szCs w:val="21"/>
                <w:highlight w:val="none"/>
              </w:rPr>
            </w:pPr>
            <w:r>
              <w:rPr>
                <w:rFonts w:hint="eastAsia" w:ascii="宋体" w:hAnsi="宋体" w:cs="宋体"/>
                <w:b/>
                <w:color w:val="auto"/>
                <w:szCs w:val="21"/>
                <w:highlight w:val="none"/>
              </w:rPr>
              <w:t>2</w:t>
            </w:r>
            <w:r>
              <w:rPr>
                <w:rFonts w:ascii="宋体" w:hAnsi="宋体" w:cs="宋体"/>
                <w:b/>
                <w:color w:val="auto"/>
                <w:szCs w:val="21"/>
                <w:highlight w:val="none"/>
              </w:rPr>
              <w:t>.</w:t>
            </w:r>
            <w:r>
              <w:rPr>
                <w:rFonts w:hint="eastAsia" w:ascii="宋体" w:hAnsi="宋体"/>
                <w:b/>
                <w:color w:val="auto"/>
                <w:szCs w:val="21"/>
                <w:highlight w:val="none"/>
              </w:rPr>
              <w:t xml:space="preserve"> 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ascii="宋体" w:hAnsi="宋体" w:cs="宋体"/>
                <w:b/>
                <w:color w:val="auto"/>
                <w:szCs w:val="21"/>
                <w:highlight w:val="none"/>
              </w:rPr>
              <w:t>3.</w:t>
            </w:r>
            <w:r>
              <w:rPr>
                <w:rFonts w:hint="eastAsia" w:ascii="宋体" w:hAnsi="宋体" w:cs="宋体"/>
                <w:b/>
                <w:color w:val="auto"/>
                <w:szCs w:val="21"/>
                <w:highlight w:val="none"/>
              </w:rPr>
              <w:t>采用银行、保险机构出具的保函的，必须为无条件保函，否则不予签订合同。</w:t>
            </w:r>
          </w:p>
          <w:p w14:paraId="2D7F454A">
            <w:pPr>
              <w:snapToGrid w:val="0"/>
              <w:spacing w:line="360" w:lineRule="auto"/>
              <w:rPr>
                <w:rFonts w:hint="eastAsia" w:ascii="宋体" w:hAnsi="宋体" w:cs="宋体"/>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rPr>
              <w:t>供应商为联合体的，由联合体任意一方按规定提交的履约保证金，视为有效履约保证金。</w:t>
            </w:r>
          </w:p>
        </w:tc>
      </w:tr>
      <w:tr w14:paraId="7BC31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0BF1846">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.1</w:t>
            </w:r>
          </w:p>
        </w:tc>
        <w:tc>
          <w:tcPr>
            <w:tcW w:w="7912" w:type="dxa"/>
            <w:noWrap w:val="0"/>
            <w:vAlign w:val="center"/>
          </w:tcPr>
          <w:p w14:paraId="3AF2A17D">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 xml:space="preserve">签订合同携带的证明材料： </w:t>
            </w:r>
          </w:p>
          <w:p w14:paraId="65CC7F9A">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5EBE1064">
            <w:pPr>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1CE51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0EDB23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noWrap w:val="0"/>
            <w:vAlign w:val="center"/>
          </w:tcPr>
          <w:p w14:paraId="4C443E34">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接收质疑函方式：以书面形式。</w:t>
            </w:r>
          </w:p>
          <w:p w14:paraId="11A50B9F">
            <w:pPr>
              <w:pStyle w:val="12"/>
              <w:snapToGrid w:val="0"/>
              <w:spacing w:line="360" w:lineRule="auto"/>
              <w:rPr>
                <w:rFonts w:hint="eastAsia" w:ascii="宋体" w:hAnsi="宋体" w:eastAsia="宋体" w:cs="宋体"/>
                <w:color w:val="auto"/>
                <w:kern w:val="2"/>
                <w:sz w:val="21"/>
                <w:highlight w:val="none"/>
                <w:lang w:val="en-US" w:eastAsia="zh-CN"/>
              </w:rPr>
            </w:pPr>
            <w:r>
              <w:rPr>
                <w:rFonts w:hint="eastAsia" w:hAnsi="宋体" w:cs="宋体"/>
                <w:color w:val="auto"/>
                <w:kern w:val="2"/>
                <w:sz w:val="21"/>
                <w:highlight w:val="none"/>
                <w:lang w:val="en-US" w:eastAsia="zh-CN"/>
              </w:rPr>
              <w:t>质</w:t>
            </w:r>
            <w:r>
              <w:rPr>
                <w:rFonts w:hint="eastAsia" w:ascii="宋体" w:hAnsi="宋体" w:eastAsia="宋体" w:cs="宋体"/>
                <w:color w:val="auto"/>
                <w:kern w:val="2"/>
                <w:sz w:val="21"/>
                <w:highlight w:val="none"/>
                <w:lang w:val="en-US" w:eastAsia="zh-CN"/>
              </w:rPr>
              <w:t>疑联系部门及联系方式：云之龙咨询集团有限公司，联系电话：0774-3859935，通讯地址：（梧州市新兴三路30号神冠豪都B栋1单元1008号房）</w:t>
            </w:r>
          </w:p>
          <w:p w14:paraId="07165E9F">
            <w:pPr>
              <w:pStyle w:val="12"/>
              <w:snapToGrid w:val="0"/>
              <w:spacing w:line="360" w:lineRule="auto"/>
              <w:rPr>
                <w:rFonts w:hint="eastAsia" w:hAnsi="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业务时间：工作日每天上午8时00分到12时00分，下午3时00分到6时00分。</w:t>
            </w:r>
          </w:p>
        </w:tc>
      </w:tr>
      <w:tr w14:paraId="1AFDB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6EA161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2</w:t>
            </w:r>
            <w:r>
              <w:rPr>
                <w:rFonts w:hint="eastAsia" w:ascii="宋体" w:hAnsi="宋体" w:cs="宋体"/>
                <w:color w:val="auto"/>
                <w:szCs w:val="21"/>
                <w:highlight w:val="none"/>
              </w:rPr>
              <w:t>.1</w:t>
            </w:r>
          </w:p>
        </w:tc>
        <w:tc>
          <w:tcPr>
            <w:tcW w:w="7912" w:type="dxa"/>
            <w:noWrap w:val="0"/>
            <w:vAlign w:val="center"/>
          </w:tcPr>
          <w:p w14:paraId="469CC595">
            <w:pPr>
              <w:pStyle w:val="12"/>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1.采购代理费支付方式：</w:t>
            </w:r>
          </w:p>
          <w:p w14:paraId="04D38EDA">
            <w:pPr>
              <w:pStyle w:val="12"/>
              <w:snapToGrid w:val="0"/>
              <w:spacing w:line="360" w:lineRule="auto"/>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☑本项目代理服务费由成交供应商一次性向采购代理机构支付。</w:t>
            </w:r>
          </w:p>
          <w:p w14:paraId="493AA260">
            <w:pPr>
              <w:pStyle w:val="12"/>
              <w:snapToGrid w:val="0"/>
              <w:spacing w:line="360" w:lineRule="auto"/>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□采购人支付。</w:t>
            </w:r>
          </w:p>
          <w:p w14:paraId="633C3606">
            <w:pPr>
              <w:pStyle w:val="12"/>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2.采购代理费收取标准：</w:t>
            </w:r>
          </w:p>
          <w:p w14:paraId="7BE2EBB2">
            <w:pPr>
              <w:pStyle w:val="12"/>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☑以分标（☑成交金额/□采购预算/□暂定成交金额/□其他</w:t>
            </w:r>
            <w:r>
              <w:rPr>
                <w:rFonts w:hint="eastAsia" w:hAnsi="宋体" w:cs="宋体"/>
                <w:color w:val="auto"/>
                <w:sz w:val="21"/>
                <w:highlight w:val="none"/>
                <w:u w:val="single"/>
                <w:lang w:val="en-US" w:eastAsia="zh-CN"/>
              </w:rPr>
              <w:t xml:space="preserve"> </w:t>
            </w:r>
            <w:r>
              <w:rPr>
                <w:rFonts w:hAnsi="宋体" w:cs="宋体"/>
                <w:color w:val="auto"/>
                <w:sz w:val="21"/>
                <w:highlight w:val="none"/>
                <w:u w:val="single"/>
                <w:lang w:val="en-US" w:eastAsia="zh-CN"/>
              </w:rPr>
              <w:t xml:space="preserve">  </w:t>
            </w:r>
            <w:r>
              <w:rPr>
                <w:rFonts w:hint="eastAsia" w:hAnsi="宋体" w:cs="宋体"/>
                <w:color w:val="auto"/>
                <w:sz w:val="21"/>
                <w:highlight w:val="none"/>
                <w:lang w:val="en-US" w:eastAsia="zh-CN"/>
              </w:rPr>
              <w:t>）为计费额，按本须知正文第32.1条规定的（☑货物类/□服务类/□工程类）标准采用差额定率累进法计算出收费基准价格，采购代理收费以（☑收费基准价格/□收费基准价格下浮</w:t>
            </w:r>
            <w:r>
              <w:rPr>
                <w:rFonts w:hint="eastAsia" w:hAnsi="宋体" w:cs="宋体"/>
                <w:color w:val="auto"/>
                <w:sz w:val="21"/>
                <w:highlight w:val="none"/>
                <w:u w:val="single"/>
                <w:lang w:val="en-US" w:eastAsia="zh-CN"/>
              </w:rPr>
              <w:t xml:space="preserve"> </w:t>
            </w:r>
            <w:r>
              <w:rPr>
                <w:rFonts w:hAnsi="宋体" w:cs="宋体"/>
                <w:color w:val="auto"/>
                <w:sz w:val="21"/>
                <w:highlight w:val="none"/>
                <w:u w:val="single"/>
                <w:lang w:val="en-US" w:eastAsia="zh-CN"/>
              </w:rPr>
              <w:t xml:space="preserve"> </w:t>
            </w:r>
            <w:r>
              <w:rPr>
                <w:rFonts w:hint="eastAsia" w:hAnsi="宋体" w:cs="宋体"/>
                <w:color w:val="auto"/>
                <w:sz w:val="21"/>
                <w:highlight w:val="none"/>
                <w:u w:val="single"/>
                <w:lang w:val="en-US" w:eastAsia="zh-CN"/>
              </w:rPr>
              <w:t>%</w:t>
            </w:r>
            <w:r>
              <w:rPr>
                <w:rFonts w:hAnsi="宋体" w:cs="宋体"/>
                <w:color w:val="auto"/>
                <w:sz w:val="21"/>
                <w:highlight w:val="none"/>
                <w:lang w:val="en-US" w:eastAsia="zh-CN"/>
              </w:rPr>
              <w:t>/</w:t>
            </w:r>
            <w:r>
              <w:rPr>
                <w:rFonts w:hint="eastAsia" w:hAnsi="宋体" w:cs="宋体"/>
                <w:color w:val="auto"/>
                <w:sz w:val="21"/>
                <w:highlight w:val="none"/>
                <w:lang w:val="en-US" w:eastAsia="zh-CN"/>
              </w:rPr>
              <w:t>□收费基准价格上浮</w:t>
            </w:r>
            <w:r>
              <w:rPr>
                <w:rFonts w:hint="eastAsia" w:hAnsi="宋体" w:cs="宋体"/>
                <w:color w:val="auto"/>
                <w:sz w:val="21"/>
                <w:highlight w:val="none"/>
                <w:u w:val="single"/>
                <w:lang w:val="en-US" w:eastAsia="zh-CN"/>
              </w:rPr>
              <w:t xml:space="preserve"> </w:t>
            </w:r>
            <w:r>
              <w:rPr>
                <w:rFonts w:hAnsi="宋体" w:cs="宋体"/>
                <w:color w:val="auto"/>
                <w:sz w:val="21"/>
                <w:highlight w:val="none"/>
                <w:u w:val="single"/>
                <w:lang w:val="en-US" w:eastAsia="zh-CN"/>
              </w:rPr>
              <w:t xml:space="preserve">  </w:t>
            </w:r>
            <w:r>
              <w:rPr>
                <w:rFonts w:hint="eastAsia" w:hAnsi="宋体" w:cs="宋体"/>
                <w:color w:val="auto"/>
                <w:sz w:val="21"/>
                <w:highlight w:val="none"/>
                <w:u w:val="single"/>
                <w:lang w:val="en-US" w:eastAsia="zh-CN"/>
              </w:rPr>
              <w:t>%</w:t>
            </w:r>
            <w:r>
              <w:rPr>
                <w:rFonts w:hint="eastAsia" w:hAnsi="宋体" w:cs="宋体"/>
                <w:color w:val="auto"/>
                <w:sz w:val="21"/>
                <w:highlight w:val="none"/>
                <w:lang w:val="en-US" w:eastAsia="zh-CN"/>
              </w:rPr>
              <w:t>）收取。</w:t>
            </w:r>
          </w:p>
          <w:p w14:paraId="1D6BF1CB">
            <w:pPr>
              <w:pStyle w:val="12"/>
              <w:snapToGrid w:val="0"/>
              <w:spacing w:line="360" w:lineRule="auto"/>
              <w:rPr>
                <w:rFonts w:hAnsi="宋体" w:cs="宋体"/>
                <w:color w:val="auto"/>
                <w:sz w:val="21"/>
                <w:highlight w:val="none"/>
                <w:u w:val="single"/>
                <w:lang w:val="en-US" w:eastAsia="zh-CN"/>
              </w:rPr>
            </w:pPr>
            <w:r>
              <w:rPr>
                <w:rFonts w:hint="eastAsia" w:hAnsi="宋体" w:cs="宋体"/>
                <w:color w:val="auto"/>
                <w:sz w:val="21"/>
                <w:highlight w:val="none"/>
                <w:lang w:val="en-US" w:eastAsia="zh-CN"/>
              </w:rPr>
              <w:t>□固定采购代理收费</w:t>
            </w:r>
            <w:r>
              <w:rPr>
                <w:rFonts w:hint="eastAsia" w:hAnsi="宋体" w:cs="宋体"/>
                <w:color w:val="auto"/>
                <w:sz w:val="21"/>
                <w:highlight w:val="none"/>
                <w:u w:val="single"/>
                <w:lang w:val="en-US" w:eastAsia="zh-CN"/>
              </w:rPr>
              <w:t>/。</w:t>
            </w:r>
          </w:p>
          <w:p w14:paraId="3ED1DC30">
            <w:pPr>
              <w:pStyle w:val="12"/>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3. 采购代理费收取银行账户</w:t>
            </w:r>
          </w:p>
          <w:p w14:paraId="78B75775">
            <w:pPr>
              <w:pStyle w:val="12"/>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开户名称：云之龙咨询集团有限公司梧州分公司</w:t>
            </w:r>
          </w:p>
          <w:p w14:paraId="7E3555AC">
            <w:pPr>
              <w:pStyle w:val="12"/>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开户银行：中信银行南宁东葛支行</w:t>
            </w:r>
          </w:p>
          <w:p w14:paraId="5078DA48">
            <w:pPr>
              <w:pStyle w:val="12"/>
              <w:snapToGrid w:val="0"/>
              <w:spacing w:line="360" w:lineRule="auto"/>
              <w:rPr>
                <w:rFonts w:hint="eastAsia" w:hAnsi="宋体" w:cs="宋体"/>
                <w:color w:val="auto"/>
                <w:sz w:val="21"/>
                <w:highlight w:val="none"/>
                <w:u w:val="single"/>
                <w:lang w:val="en-US" w:eastAsia="zh-CN"/>
              </w:rPr>
            </w:pPr>
            <w:r>
              <w:rPr>
                <w:rFonts w:hint="eastAsia" w:hAnsi="宋体" w:cs="宋体"/>
                <w:color w:val="auto"/>
                <w:sz w:val="21"/>
                <w:highlight w:val="none"/>
                <w:lang w:val="en-US" w:eastAsia="zh-CN"/>
              </w:rPr>
              <w:t>银行账号：8113001014500158361</w:t>
            </w:r>
          </w:p>
        </w:tc>
      </w:tr>
      <w:tr w14:paraId="7C58F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EF3925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noWrap w:val="0"/>
            <w:vAlign w:val="center"/>
          </w:tcPr>
          <w:p w14:paraId="12168A29">
            <w:pPr>
              <w:pStyle w:val="12"/>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解释：</w:t>
            </w:r>
            <w:r>
              <w:rPr>
                <w:rFonts w:hAnsi="宋体" w:cs="宋体"/>
                <w:color w:val="auto"/>
                <w:sz w:val="21"/>
                <w:highlight w:val="none"/>
                <w:lang w:val="en-US" w:eastAsia="zh-CN"/>
              </w:rPr>
              <w:t>构成本</w:t>
            </w:r>
            <w:r>
              <w:rPr>
                <w:rFonts w:hint="eastAsia" w:hAnsi="宋体" w:cs="宋体"/>
                <w:color w:val="auto"/>
                <w:sz w:val="21"/>
                <w:highlight w:val="none"/>
                <w:lang w:val="en-US" w:eastAsia="zh-CN"/>
              </w:rPr>
              <w:t>谈判文件</w:t>
            </w:r>
            <w:r>
              <w:rPr>
                <w:rFonts w:hAnsi="宋体" w:cs="宋体"/>
                <w:color w:val="auto"/>
                <w:sz w:val="21"/>
                <w:highlight w:val="none"/>
                <w:lang w:val="en-US" w:eastAsia="zh-CN"/>
              </w:rPr>
              <w:t>的各个组成文件应互为解释，互为说明；除</w:t>
            </w:r>
            <w:r>
              <w:rPr>
                <w:rFonts w:hint="eastAsia" w:hAnsi="宋体" w:cs="宋体"/>
                <w:color w:val="auto"/>
                <w:sz w:val="21"/>
                <w:highlight w:val="none"/>
                <w:lang w:val="en-US" w:eastAsia="zh-CN"/>
              </w:rPr>
              <w:t>谈判文件</w:t>
            </w:r>
            <w:r>
              <w:rPr>
                <w:rFonts w:hAnsi="宋体" w:cs="宋体"/>
                <w:color w:val="auto"/>
                <w:sz w:val="21"/>
                <w:highlight w:val="none"/>
                <w:lang w:val="en-US" w:eastAsia="zh-CN"/>
              </w:rPr>
              <w:t>中有特别规定外，仅适用于</w:t>
            </w:r>
            <w:r>
              <w:rPr>
                <w:rFonts w:hint="eastAsia" w:hAnsi="宋体" w:cs="宋体"/>
                <w:color w:val="auto"/>
                <w:sz w:val="21"/>
                <w:highlight w:val="none"/>
                <w:lang w:val="en-US" w:eastAsia="zh-CN"/>
              </w:rPr>
              <w:t>竞标</w:t>
            </w:r>
            <w:r>
              <w:rPr>
                <w:rFonts w:hAnsi="宋体" w:cs="宋体"/>
                <w:color w:val="auto"/>
                <w:sz w:val="21"/>
                <w:highlight w:val="none"/>
                <w:lang w:val="en-US" w:eastAsia="zh-CN"/>
              </w:rPr>
              <w:t>阶段的规定，按</w:t>
            </w:r>
            <w:r>
              <w:rPr>
                <w:rFonts w:hint="eastAsia" w:hAnsi="宋体" w:cs="宋体"/>
                <w:color w:val="auto"/>
                <w:sz w:val="21"/>
                <w:highlight w:val="none"/>
                <w:lang w:val="en-US" w:eastAsia="zh-CN"/>
              </w:rPr>
              <w:t>更正公告（澄清公告）</w:t>
            </w:r>
            <w:r>
              <w:rPr>
                <w:rFonts w:hAnsi="宋体" w:cs="宋体"/>
                <w:color w:val="auto"/>
                <w:sz w:val="21"/>
                <w:highlight w:val="none"/>
                <w:lang w:val="en-US" w:eastAsia="zh-CN"/>
              </w:rPr>
              <w:t>、</w:t>
            </w:r>
            <w:r>
              <w:rPr>
                <w:rFonts w:hint="eastAsia" w:hAnsi="宋体" w:cs="宋体"/>
                <w:color w:val="auto"/>
                <w:sz w:val="21"/>
                <w:highlight w:val="none"/>
                <w:lang w:val="en-US" w:eastAsia="zh-CN"/>
              </w:rPr>
              <w:t>竞争性谈判</w:t>
            </w:r>
            <w:r>
              <w:rPr>
                <w:rFonts w:hAnsi="宋体" w:cs="宋体"/>
                <w:color w:val="auto"/>
                <w:sz w:val="21"/>
                <w:highlight w:val="none"/>
                <w:lang w:val="en-US" w:eastAsia="zh-CN"/>
              </w:rPr>
              <w:t>公告、</w:t>
            </w:r>
            <w:r>
              <w:rPr>
                <w:rFonts w:hint="eastAsia" w:hAnsi="宋体" w:cs="宋体"/>
                <w:color w:val="auto"/>
                <w:sz w:val="21"/>
                <w:highlight w:val="none"/>
                <w:lang w:val="en-US" w:eastAsia="zh-CN"/>
              </w:rPr>
              <w:t>供应商</w:t>
            </w:r>
            <w:r>
              <w:rPr>
                <w:rFonts w:hAnsi="宋体" w:cs="宋体"/>
                <w:color w:val="auto"/>
                <w:sz w:val="21"/>
                <w:highlight w:val="none"/>
                <w:lang w:val="en-US" w:eastAsia="zh-CN"/>
              </w:rPr>
              <w:t>须知</w:t>
            </w:r>
            <w:r>
              <w:rPr>
                <w:rFonts w:hint="eastAsia" w:hAnsi="宋体" w:cs="宋体"/>
                <w:color w:val="auto"/>
                <w:sz w:val="21"/>
                <w:highlight w:val="none"/>
                <w:lang w:val="en-US" w:eastAsia="zh-CN"/>
              </w:rPr>
              <w:t>、采购需求</w:t>
            </w:r>
            <w:r>
              <w:rPr>
                <w:rFonts w:hAnsi="宋体" w:cs="宋体"/>
                <w:color w:val="auto"/>
                <w:sz w:val="21"/>
                <w:highlight w:val="none"/>
                <w:lang w:val="en-US" w:eastAsia="zh-CN"/>
              </w:rPr>
              <w:t>、</w:t>
            </w:r>
            <w:r>
              <w:rPr>
                <w:rFonts w:hint="eastAsia" w:hAnsi="宋体" w:cs="宋体"/>
                <w:color w:val="auto"/>
                <w:sz w:val="21"/>
                <w:highlight w:val="none"/>
                <w:lang w:val="en-US" w:eastAsia="zh-CN"/>
              </w:rPr>
              <w:t>评审程序和评定成交的标准</w:t>
            </w:r>
            <w:r>
              <w:rPr>
                <w:rFonts w:hAnsi="宋体" w:cs="宋体"/>
                <w:color w:val="auto"/>
                <w:sz w:val="21"/>
                <w:highlight w:val="none"/>
                <w:lang w:val="en-US" w:eastAsia="zh-CN"/>
              </w:rPr>
              <w:t>、</w:t>
            </w:r>
            <w:r>
              <w:rPr>
                <w:rFonts w:hint="eastAsia" w:hAnsi="宋体" w:cs="宋体"/>
                <w:color w:val="auto"/>
                <w:sz w:val="21"/>
                <w:highlight w:val="none"/>
                <w:lang w:val="en-US" w:eastAsia="zh-CN"/>
              </w:rPr>
              <w:t>响应</w:t>
            </w:r>
            <w:r>
              <w:rPr>
                <w:rFonts w:hAnsi="宋体" w:cs="宋体"/>
                <w:color w:val="auto"/>
                <w:sz w:val="21"/>
                <w:highlight w:val="none"/>
                <w:lang w:val="en-US" w:eastAsia="zh-CN"/>
              </w:rPr>
              <w:t>文件格式</w:t>
            </w:r>
            <w:r>
              <w:rPr>
                <w:rFonts w:hint="eastAsia" w:hAnsi="宋体" w:cs="宋体"/>
                <w:color w:val="auto"/>
                <w:sz w:val="21"/>
                <w:highlight w:val="none"/>
                <w:lang w:val="en-US" w:eastAsia="zh-CN"/>
              </w:rPr>
              <w:t>、合同文本</w:t>
            </w:r>
            <w:r>
              <w:rPr>
                <w:rFonts w:hAnsi="宋体" w:cs="宋体"/>
                <w:color w:val="auto"/>
                <w:sz w:val="21"/>
                <w:highlight w:val="none"/>
                <w:lang w:val="en-US" w:eastAsia="zh-CN"/>
              </w:rPr>
              <w:t>的先后顺序解释；同一组成文件中就同一事项的规定或约定不一致的，以编排顺序在后者为准；同一组成文件不同版本之间有不一致的，以形成时间在后者为准；</w:t>
            </w:r>
            <w:r>
              <w:rPr>
                <w:rFonts w:hint="eastAsia" w:hAnsi="宋体" w:cs="宋体"/>
                <w:color w:val="auto"/>
                <w:sz w:val="21"/>
                <w:highlight w:val="none"/>
                <w:lang w:val="en-US" w:eastAsia="zh-CN"/>
              </w:rPr>
              <w:t>更正公告（澄清公告）</w:t>
            </w:r>
            <w:r>
              <w:rPr>
                <w:rFonts w:hAnsi="宋体" w:cs="宋体"/>
                <w:color w:val="auto"/>
                <w:sz w:val="21"/>
                <w:highlight w:val="none"/>
                <w:lang w:val="en-US" w:eastAsia="zh-CN"/>
              </w:rPr>
              <w:t>与同步更新的</w:t>
            </w:r>
            <w:r>
              <w:rPr>
                <w:rFonts w:hint="eastAsia" w:hAnsi="宋体" w:cs="宋体"/>
                <w:color w:val="auto"/>
                <w:sz w:val="21"/>
                <w:highlight w:val="none"/>
                <w:lang w:val="en-US" w:eastAsia="zh-CN"/>
              </w:rPr>
              <w:t>谈判文件</w:t>
            </w:r>
            <w:r>
              <w:rPr>
                <w:rFonts w:hAnsi="宋体" w:cs="宋体"/>
                <w:color w:val="auto"/>
                <w:sz w:val="21"/>
                <w:highlight w:val="none"/>
                <w:lang w:val="en-US" w:eastAsia="zh-CN"/>
              </w:rPr>
              <w:t>不一致时以</w:t>
            </w:r>
            <w:r>
              <w:rPr>
                <w:rFonts w:hint="eastAsia" w:hAnsi="宋体" w:cs="宋体"/>
                <w:color w:val="auto"/>
                <w:sz w:val="21"/>
                <w:highlight w:val="none"/>
                <w:lang w:val="en-US" w:eastAsia="zh-CN"/>
              </w:rPr>
              <w:t>更正公告（澄清公告）</w:t>
            </w:r>
            <w:r>
              <w:rPr>
                <w:rFonts w:hAnsi="宋体" w:cs="宋体"/>
                <w:color w:val="auto"/>
                <w:sz w:val="21"/>
                <w:highlight w:val="none"/>
                <w:lang w:val="en-US" w:eastAsia="zh-CN"/>
              </w:rPr>
              <w:t>为准。按本款前述规定仍不能形成结论的，由</w:t>
            </w:r>
            <w:r>
              <w:rPr>
                <w:rFonts w:hint="eastAsia" w:hAnsi="宋体" w:cs="宋体"/>
                <w:color w:val="auto"/>
                <w:sz w:val="21"/>
                <w:highlight w:val="none"/>
                <w:lang w:val="en-US" w:eastAsia="zh-CN"/>
              </w:rPr>
              <w:t>采购</w:t>
            </w:r>
            <w:r>
              <w:rPr>
                <w:rFonts w:hAnsi="宋体" w:cs="宋体"/>
                <w:color w:val="auto"/>
                <w:sz w:val="21"/>
                <w:highlight w:val="none"/>
                <w:lang w:val="en-US" w:eastAsia="zh-CN"/>
              </w:rPr>
              <w:t>人</w:t>
            </w:r>
            <w:r>
              <w:rPr>
                <w:rFonts w:hint="eastAsia" w:hAnsi="宋体" w:cs="宋体"/>
                <w:color w:val="auto"/>
                <w:sz w:val="21"/>
                <w:highlight w:val="none"/>
                <w:lang w:val="en-US" w:eastAsia="zh-CN"/>
              </w:rPr>
              <w:t>或者采购代理机构</w:t>
            </w:r>
            <w:r>
              <w:rPr>
                <w:rFonts w:hAnsi="宋体" w:cs="宋体"/>
                <w:color w:val="auto"/>
                <w:sz w:val="21"/>
                <w:highlight w:val="none"/>
                <w:lang w:val="en-US" w:eastAsia="zh-CN"/>
              </w:rPr>
              <w:t>负责解释。</w:t>
            </w:r>
          </w:p>
        </w:tc>
      </w:tr>
      <w:tr w14:paraId="046D3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32907B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3.2</w:t>
            </w:r>
          </w:p>
        </w:tc>
        <w:tc>
          <w:tcPr>
            <w:tcW w:w="7912" w:type="dxa"/>
            <w:noWrap w:val="0"/>
            <w:vAlign w:val="center"/>
          </w:tcPr>
          <w:p w14:paraId="517814EB">
            <w:pPr>
              <w:pStyle w:val="12"/>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1.本谈判文件中描述供应商的“公章”是指根据我国对公章的管理规定，用供应商法定主体行为名称制作的印章，除本谈判文件有特殊规定外，供应商的财务章、部门章、分公司章、工会章、合同章、竞标专用章、业务专用章及银行的转账章、现金收讫章、现金付讫章等其他形式印章均不能代替公章。</w:t>
            </w:r>
          </w:p>
          <w:p w14:paraId="367E36F1">
            <w:pPr>
              <w:pStyle w:val="12"/>
              <w:snapToGrid w:val="0"/>
              <w:spacing w:line="360" w:lineRule="auto"/>
              <w:rPr>
                <w:rFonts w:hAnsi="宋体" w:cs="宋体"/>
                <w:bCs/>
                <w:color w:val="auto"/>
                <w:sz w:val="21"/>
                <w:highlight w:val="none"/>
                <w:lang w:val="en-US" w:eastAsia="zh-CN"/>
              </w:rPr>
            </w:pPr>
            <w:r>
              <w:rPr>
                <w:rFonts w:hint="eastAsia" w:hAnsi="宋体" w:cs="宋体"/>
                <w:bCs/>
                <w:color w:val="auto"/>
                <w:sz w:val="21"/>
                <w:highlight w:val="none"/>
                <w:lang w:val="en-US" w:eastAsia="zh-CN"/>
              </w:rPr>
              <w:t>2.本谈判文件所称的“</w:t>
            </w:r>
            <w:r>
              <w:rPr>
                <w:rFonts w:hint="eastAsia" w:hAnsi="宋体"/>
                <w:color w:val="auto"/>
                <w:sz w:val="21"/>
                <w:highlight w:val="none"/>
                <w:lang w:val="en-US" w:eastAsia="zh-CN"/>
              </w:rPr>
              <w:t>电子签章”“</w:t>
            </w:r>
            <w:r>
              <w:rPr>
                <w:rFonts w:hint="eastAsia" w:hAnsi="宋体" w:cs="宋体"/>
                <w:bCs/>
                <w:color w:val="auto"/>
                <w:sz w:val="21"/>
                <w:highlight w:val="none"/>
                <w:lang w:val="en-US" w:eastAsia="zh-CN"/>
              </w:rPr>
              <w:t>电子签名”</w:t>
            </w:r>
            <w:r>
              <w:rPr>
                <w:rFonts w:hint="eastAsia" w:hAnsi="宋体"/>
                <w:color w:val="auto"/>
                <w:sz w:val="21"/>
                <w:highlight w:val="none"/>
                <w:lang w:val="en-US" w:eastAsia="zh-CN"/>
              </w:rPr>
              <w:t>，是指经广西政府采购云平台认可的CA认证的电子签名数据为表现形式的印章，可用于签署电子响应文件，电子印章与实物印章具有同等法律效力，不因其采用电子化表现形式而否定其法律效力。</w:t>
            </w:r>
          </w:p>
          <w:p w14:paraId="41E0F1C2">
            <w:pPr>
              <w:pStyle w:val="12"/>
              <w:snapToGrid w:val="0"/>
              <w:spacing w:line="360" w:lineRule="auto"/>
              <w:rPr>
                <w:rFonts w:hint="eastAsia" w:hAnsi="宋体" w:cs="宋体"/>
                <w:bCs/>
                <w:color w:val="auto"/>
                <w:sz w:val="21"/>
                <w:highlight w:val="none"/>
                <w:lang w:val="en-US" w:eastAsia="zh-CN"/>
              </w:rPr>
            </w:pPr>
            <w:r>
              <w:rPr>
                <w:rFonts w:hint="eastAsia" w:hAnsi="宋体" w:cs="宋体"/>
                <w:color w:val="auto"/>
                <w:sz w:val="21"/>
                <w:highlight w:val="none"/>
                <w:lang w:val="en-US" w:eastAsia="zh-CN"/>
              </w:rPr>
              <w:t>3.供应商为其他组织或者自然人时，本谈判文件规定的法定代表人指负责人或者自然人。本谈判文件所称负责人是指参加竞标的其他组织</w:t>
            </w:r>
            <w:r>
              <w:rPr>
                <w:rFonts w:hint="eastAsia" w:hAnsi="宋体" w:cs="宋体"/>
                <w:bCs/>
                <w:color w:val="auto"/>
                <w:sz w:val="21"/>
                <w:highlight w:val="none"/>
                <w:lang w:val="en-US" w:eastAsia="zh-CN"/>
              </w:rPr>
              <w:t>营业执照或者执业许可证等证照上</w:t>
            </w:r>
            <w:r>
              <w:rPr>
                <w:rFonts w:hint="eastAsia" w:hAnsi="宋体" w:cs="宋体"/>
                <w:color w:val="auto"/>
                <w:sz w:val="21"/>
                <w:highlight w:val="none"/>
                <w:lang w:val="en-US" w:eastAsia="zh-CN"/>
              </w:rPr>
              <w:t>的负责人，本谈判文件所称自然人指参与竞标的自然人本人，</w:t>
            </w:r>
            <w:r>
              <w:rPr>
                <w:rFonts w:hint="eastAsia" w:hAnsi="宋体" w:cs="宋体"/>
                <w:bCs/>
                <w:color w:val="auto"/>
                <w:sz w:val="21"/>
                <w:highlight w:val="none"/>
                <w:lang w:val="en-US" w:eastAsia="zh-CN"/>
              </w:rPr>
              <w:t>且应具备独立承担民事责任能力，自然人应当为年满18岁以上成年人（十六周岁以上的未成年人，以自己的劳动收入为主要生活来源的，视为完全民事行为能力人）。</w:t>
            </w:r>
          </w:p>
          <w:p w14:paraId="6D6D1719">
            <w:pPr>
              <w:pStyle w:val="12"/>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4.本谈判文件中描述供应商的“签字”是指供应商的法定代表人或者委托代理人亲自在文件规定签署处亲笔写上个人的名字的行为，私章、签字章、印鉴、影印等其他形式均不能代替亲笔签字。</w:t>
            </w:r>
          </w:p>
          <w:p w14:paraId="1487B352">
            <w:pPr>
              <w:pStyle w:val="12"/>
              <w:snapToGrid w:val="0"/>
              <w:spacing w:line="360" w:lineRule="auto"/>
              <w:rPr>
                <w:rFonts w:hint="eastAsia" w:hAnsi="宋体" w:cs="宋体"/>
                <w:color w:val="auto"/>
                <w:sz w:val="21"/>
                <w:highlight w:val="none"/>
                <w:lang w:val="en-US" w:eastAsia="zh-CN"/>
              </w:rPr>
            </w:pPr>
            <w:r>
              <w:rPr>
                <w:rFonts w:hAnsi="宋体" w:cs="宋体"/>
                <w:color w:val="auto"/>
                <w:sz w:val="21"/>
                <w:highlight w:val="none"/>
                <w:lang w:val="en-US" w:eastAsia="zh-CN"/>
              </w:rPr>
              <w:t>5.</w:t>
            </w:r>
            <w:r>
              <w:rPr>
                <w:rFonts w:hint="eastAsia" w:hAnsi="宋体" w:cs="宋体"/>
                <w:color w:val="auto"/>
                <w:sz w:val="21"/>
                <w:highlight w:val="none"/>
                <w:lang w:val="en-US" w:eastAsia="zh-CN"/>
              </w:rPr>
              <w:t>本谈判文件所称的“以上”“以下”“以内”“届满”，包括本数；所称的“不满”“超过”“以外”，不包括本数。</w:t>
            </w:r>
          </w:p>
        </w:tc>
      </w:tr>
    </w:tbl>
    <w:p w14:paraId="1C702CF0">
      <w:pPr>
        <w:spacing w:line="400" w:lineRule="exact"/>
        <w:jc w:val="center"/>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6A064139">
      <w:pPr>
        <w:spacing w:line="400" w:lineRule="exact"/>
        <w:jc w:val="center"/>
        <w:rPr>
          <w:rFonts w:hint="eastAsia" w:ascii="宋体" w:hAnsi="宋体"/>
          <w:b/>
          <w:color w:val="auto"/>
          <w:sz w:val="32"/>
          <w:szCs w:val="32"/>
          <w:highlight w:val="none"/>
        </w:rPr>
      </w:pPr>
    </w:p>
    <w:p w14:paraId="2E49103E">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一、总则</w:t>
      </w:r>
    </w:p>
    <w:p w14:paraId="2AEDDAC1">
      <w:pPr>
        <w:spacing w:line="400" w:lineRule="exact"/>
        <w:rPr>
          <w:rFonts w:hint="eastAsia" w:ascii="宋体" w:hAnsi="宋体"/>
          <w:color w:val="auto"/>
          <w:szCs w:val="21"/>
          <w:highlight w:val="none"/>
        </w:rPr>
      </w:pPr>
    </w:p>
    <w:p w14:paraId="41A8C63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 适用范围</w:t>
      </w:r>
    </w:p>
    <w:p w14:paraId="0C610C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787786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本竞争性谈判文件（以下简称谈判文件）适用于本项目的所有采购程序和环节（法律、法规另有规定的，从其规定）。</w:t>
      </w:r>
    </w:p>
    <w:p w14:paraId="6E78553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 定义</w:t>
      </w:r>
    </w:p>
    <w:p w14:paraId="1906B3F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2.1“采购人”是指依法进行采购的国家机关、事业单位、团体组织。</w:t>
      </w:r>
    </w:p>
    <w:p w14:paraId="2FA45D83">
      <w:pPr>
        <w:spacing w:line="360" w:lineRule="auto"/>
        <w:ind w:firstLine="420" w:firstLineChars="200"/>
        <w:rPr>
          <w:rFonts w:hint="eastAsia" w:ascii="宋体" w:hAnsi="宋体"/>
          <w:b/>
          <w:color w:val="auto"/>
          <w:szCs w:val="21"/>
          <w:highlight w:val="none"/>
        </w:rPr>
      </w:pPr>
      <w:r>
        <w:rPr>
          <w:rFonts w:hint="eastAsia" w:ascii="宋体" w:hAnsi="宋体" w:cs="宋体"/>
          <w:color w:val="auto"/>
          <w:szCs w:val="21"/>
          <w:highlight w:val="none"/>
        </w:rPr>
        <w:t>2.2“采购代理机构”</w:t>
      </w:r>
      <w:r>
        <w:rPr>
          <w:rFonts w:hint="eastAsia" w:ascii="宋体" w:hAnsi="宋体"/>
          <w:b/>
          <w:color w:val="auto"/>
          <w:szCs w:val="21"/>
          <w:highlight w:val="none"/>
        </w:rPr>
        <w:t>是指政府采购集中采购机构和集中采购机构以外的采购代理机构。</w:t>
      </w:r>
    </w:p>
    <w:p w14:paraId="333F582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1F8C77B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2.4“货物”是指各种形态和种类的物品，包括原材料、燃料、设备、产品等。</w:t>
      </w:r>
    </w:p>
    <w:p w14:paraId="069CEFA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2.5“竞标”是指按照本项目竞争性谈判公告或者邀请函规定的方式供应商获取谈判文件、提交响应文件并希望获得标的的行为。</w:t>
      </w:r>
    </w:p>
    <w:p w14:paraId="7EF83F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2.6“售后服务” 是指包含但不限于供应商须承担的备品备件、包装、运输、装卸、保险、货到就位以及安装、调试、培训、保修和其他类似的义务。</w:t>
      </w:r>
    </w:p>
    <w:p w14:paraId="620A7F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2.7“书面形式”是指合同书、信件和数据电文（包括电报、电传、传真、电子数据交换和电子邮件）等可以有形地表现所载内容的形式。</w:t>
      </w:r>
    </w:p>
    <w:p w14:paraId="0FE6D6D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2.8“响应文件”</w:t>
      </w:r>
      <w:r>
        <w:rPr>
          <w:rFonts w:hint="eastAsia" w:ascii="宋体" w:hAnsi="宋体" w:cs="宋体"/>
          <w:color w:val="auto"/>
          <w:spacing w:val="-6"/>
          <w:szCs w:val="21"/>
          <w:highlight w:val="none"/>
        </w:rPr>
        <w:t>是指：供应商根据本谈判文件要求，编制包含资格证明、报价、商务技术等所有内容的文件。</w:t>
      </w:r>
    </w:p>
    <w:p w14:paraId="640A32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 “实质性要求”是指采购需求中带“▲”的条款或者不能负偏离的条款或者已经指明不满足按响应文件按无效处理的条款。</w:t>
      </w:r>
    </w:p>
    <w:p w14:paraId="357D2E2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2.10“正偏离”，是指响应文件对谈判文件“采购需求”中有关条款作出优于条款要求并有利于采购人的响应情形；</w:t>
      </w:r>
    </w:p>
    <w:p w14:paraId="4131432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2.11“负偏离”，是指响应文件对谈判文件“采购需求”中有关条款作出的响应不满足条款要求，导致采购人要求不能得到满足的情形。</w:t>
      </w:r>
    </w:p>
    <w:p w14:paraId="400BAA5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2.12“允许负偏离的条款”是指采购需求中的不属于“实质性要求”的条款。</w:t>
      </w:r>
    </w:p>
    <w:p w14:paraId="10981DF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2.13“首次报价”是指供应商提交的首次响应文件中的竞标报价。</w:t>
      </w:r>
    </w:p>
    <w:p w14:paraId="4BDB57DA">
      <w:pPr>
        <w:spacing w:line="360" w:lineRule="auto"/>
        <w:ind w:firstLine="482" w:firstLineChars="200"/>
        <w:contextualSpacing/>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 供应商的资格条件</w:t>
      </w:r>
    </w:p>
    <w:p w14:paraId="0A2EFF2E">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214B2CA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 竞标费用</w:t>
      </w:r>
    </w:p>
    <w:p w14:paraId="6613F4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竞标费用：供应商应承担参与本次采购活动有关的所有费用，包括但不限于获取谈判文件、勘查现场、编制和提交响应文件、参加谈判与应答、签订合同等，不论竞标结果如何，均应自行承担。</w:t>
      </w:r>
    </w:p>
    <w:p w14:paraId="273429C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377F883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13ECC77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bCs/>
          <w:color w:val="auto"/>
          <w:szCs w:val="21"/>
          <w:highlight w:val="none"/>
        </w:rPr>
        <w:t>如接受联合体竞标，</w:t>
      </w:r>
      <w:r>
        <w:rPr>
          <w:rFonts w:hint="eastAsia" w:ascii="宋体" w:hAnsi="宋体" w:cs="宋体"/>
          <w:color w:val="auto"/>
          <w:szCs w:val="21"/>
          <w:highlight w:val="none"/>
        </w:rPr>
        <w:t>联合体竞标要求详见“供应商须知前附表”。</w:t>
      </w:r>
    </w:p>
    <w:p w14:paraId="4F622ED1">
      <w:pPr>
        <w:spacing w:line="360" w:lineRule="auto"/>
        <w:ind w:firstLine="420" w:firstLineChars="200"/>
        <w:rPr>
          <w:rFonts w:ascii="宋体" w:hAnsi="宋体"/>
          <w:bCs/>
          <w:color w:val="auto"/>
          <w:szCs w:val="21"/>
          <w:highlight w:val="none"/>
        </w:rPr>
      </w:pPr>
      <w:bookmarkStart w:id="65" w:name="_Hlk66782192"/>
      <w:r>
        <w:rPr>
          <w:rFonts w:hint="eastAsia" w:ascii="宋体" w:hAnsi="宋体"/>
          <w:bCs/>
          <w:color w:val="auto"/>
          <w:szCs w:val="21"/>
          <w:highlight w:val="none"/>
        </w:rPr>
        <w:t>5.3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65"/>
    </w:p>
    <w:p w14:paraId="1CF4B45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33CE5CEC">
      <w:pPr>
        <w:pStyle w:val="5"/>
        <w:keepNext w:val="0"/>
        <w:keepLines w:val="0"/>
        <w:spacing w:before="0" w:after="0" w:line="360" w:lineRule="auto"/>
        <w:ind w:left="420" w:leftChars="200"/>
        <w:rPr>
          <w:rFonts w:hint="eastAsia" w:ascii="宋体" w:hAnsi="宋体"/>
          <w:b w:val="0"/>
          <w:color w:val="auto"/>
          <w:sz w:val="21"/>
          <w:szCs w:val="21"/>
          <w:highlight w:val="none"/>
        </w:rPr>
      </w:pPr>
      <w:bookmarkStart w:id="66" w:name="_Toc254970532"/>
      <w:bookmarkStart w:id="67" w:name="_Toc254970673"/>
      <w:r>
        <w:rPr>
          <w:rFonts w:hint="eastAsia" w:ascii="宋体" w:hAnsi="宋体"/>
          <w:b w:val="0"/>
          <w:color w:val="auto"/>
          <w:sz w:val="21"/>
          <w:szCs w:val="21"/>
          <w:highlight w:val="none"/>
        </w:rPr>
        <w:t>6.1本项目不允许转包。</w:t>
      </w:r>
    </w:p>
    <w:p w14:paraId="20A6162B">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w:t>
      </w:r>
      <w:r>
        <w:rPr>
          <w:rFonts w:hint="eastAsia" w:ascii="宋体" w:hAnsi="宋体"/>
          <w:b w:val="0"/>
          <w:color w:val="auto"/>
          <w:sz w:val="21"/>
          <w:szCs w:val="21"/>
          <w:highlight w:val="none"/>
          <w:lang w:eastAsia="zh-CN"/>
        </w:rPr>
        <w:t>应的</w:t>
      </w:r>
      <w:r>
        <w:rPr>
          <w:rFonts w:hint="eastAsia" w:ascii="宋体" w:hAnsi="宋体"/>
          <w:b w:val="0"/>
          <w:color w:val="auto"/>
          <w:sz w:val="21"/>
          <w:szCs w:val="21"/>
          <w:highlight w:val="none"/>
        </w:rPr>
        <w:t>行政许可。</w:t>
      </w:r>
    </w:p>
    <w:p w14:paraId="6D0DAB46">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14:paraId="0FF4024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66"/>
      <w:bookmarkEnd w:id="67"/>
    </w:p>
    <w:p w14:paraId="7F985029">
      <w:pPr>
        <w:spacing w:line="360" w:lineRule="auto"/>
        <w:ind w:firstLine="420" w:firstLineChars="200"/>
        <w:rPr>
          <w:rFonts w:hint="eastAsia" w:ascii="宋体" w:hAnsi="宋体" w:cs="宋体"/>
          <w:color w:val="auto"/>
          <w:szCs w:val="21"/>
          <w:highlight w:val="none"/>
        </w:rPr>
      </w:pPr>
      <w:bookmarkStart w:id="68" w:name="_8.1提供相同品牌产品且通过资格审查、符合性审查的不同投标人参加同一合"/>
      <w:bookmarkEnd w:id="68"/>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"_8.1"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7.1</w:t>
      </w:r>
      <w:r>
        <w:rPr>
          <w:rFonts w:hint="eastAsia" w:ascii="宋体" w:hAnsi="宋体" w:cs="宋体"/>
          <w:color w:val="auto"/>
          <w:szCs w:val="21"/>
          <w:highlight w:val="none"/>
        </w:rPr>
        <w:fldChar w:fldCharType="end"/>
      </w:r>
      <w:r>
        <w:rPr>
          <w:rFonts w:hint="eastAsia" w:ascii="宋体" w:hAnsi="宋体" w:cs="宋体"/>
          <w:color w:val="auto"/>
          <w:szCs w:val="21"/>
          <w:highlight w:val="none"/>
        </w:rPr>
        <w:t>提供相同品牌产品的不同供应商参加同一合同项下竞标的，以其中通过资格审查、符合性审查、谈判且最后报价最低的参加报价评审；最后报价相同的，由采购人或者采购人委托谈判小组按照“供应商须知前附表”规定的方式确定一个供应商获得成交人推荐资格，其他响应文件按无效处理。</w:t>
      </w:r>
    </w:p>
    <w:p w14:paraId="1BC0F16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非单一产品采购项目，多家供应商提供的核心产品品牌相同的，按前款规定处理。</w:t>
      </w:r>
    </w:p>
    <w:p w14:paraId="6B0BA7A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w:t>
      </w:r>
      <w:r>
        <w:rPr>
          <w:rFonts w:hint="eastAsia" w:ascii="宋体" w:hAnsi="宋体"/>
          <w:color w:val="auto"/>
          <w:szCs w:val="21"/>
          <w:highlight w:val="none"/>
        </w:rPr>
        <w:t xml:space="preserve">如果本谈判文件要求提供供应商或制造商的资格、信誉、荣誉、业绩与企业认证等材料的，资格、信誉、荣誉、业绩与企业认证等必须为供应商或者制造商所拥有或自身获得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p w14:paraId="601E44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7.3供应商应仔细阅读谈判文件的所有内容，按照谈判文件的要求提交响应文件，并对所提供的全部资料的真实性承担法律责任。</w:t>
      </w:r>
    </w:p>
    <w:p w14:paraId="22A9B79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供应商在竞标活动中提供任何虚假材料，其响应文件按无效处理，并报监管部门查处；签订合同后发现的，成交供应商须依照《中华人民共和国消费者权益保护法》规定赔偿采购人，且民事赔偿并不免除违法供应商的行政与刑事责任。</w:t>
      </w:r>
    </w:p>
    <w:p w14:paraId="08C29DE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7.5在政府采购活动中，采购人员及相关人员与供应商有下列利害关系之一的，应当回避：</w:t>
      </w:r>
    </w:p>
    <w:p w14:paraId="55803D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45E9AFC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438423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0D8E65E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628F12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7ED63CA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4830B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7.6有下列情形之一的视为供应商相互串通竞标，响应文件将被视为无效：</w:t>
      </w:r>
    </w:p>
    <w:p w14:paraId="4BF466B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w:t>
      </w:r>
    </w:p>
    <w:p w14:paraId="499457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1015052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716B25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2FC5C92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681BE3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（6）不同供应商的竞标保证金从同一单位或者个人账户转出。</w:t>
      </w:r>
    </w:p>
    <w:p w14:paraId="5759DE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7.7供应商有下列情形之一的，属于恶意串通行为</w:t>
      </w:r>
      <w:bookmarkStart w:id="69" w:name="_Hlk54682620"/>
      <w:r>
        <w:rPr>
          <w:rFonts w:hint="eastAsia" w:ascii="宋体" w:hAnsi="宋体" w:cs="宋体"/>
          <w:color w:val="auto"/>
          <w:szCs w:val="21"/>
          <w:highlight w:val="none"/>
        </w:rPr>
        <w:t>，将报同级监督管理部门</w:t>
      </w:r>
      <w:bookmarkEnd w:id="69"/>
      <w:r>
        <w:rPr>
          <w:rFonts w:hint="eastAsia" w:ascii="宋体" w:hAnsi="宋体" w:cs="宋体"/>
          <w:color w:val="auto"/>
          <w:szCs w:val="21"/>
          <w:highlight w:val="none"/>
        </w:rPr>
        <w:t>：</w:t>
      </w:r>
    </w:p>
    <w:p w14:paraId="5602B42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0C23F3E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6A119A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41D731D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2888CB2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665323E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309CA7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1B624CC7">
      <w:pPr>
        <w:spacing w:line="360" w:lineRule="auto"/>
        <w:ind w:left="1" w:firstLine="417" w:firstLineChars="199"/>
        <w:jc w:val="center"/>
        <w:rPr>
          <w:rFonts w:hint="eastAsia" w:ascii="宋体" w:hAnsi="宋体"/>
          <w:color w:val="auto"/>
          <w:highlight w:val="none"/>
        </w:rPr>
      </w:pPr>
      <w:bookmarkStart w:id="70" w:name="_Toc254970534"/>
      <w:bookmarkStart w:id="71" w:name="_Toc254970675"/>
    </w:p>
    <w:p w14:paraId="003C07AA">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二、谈判文件</w:t>
      </w:r>
      <w:bookmarkEnd w:id="70"/>
      <w:bookmarkEnd w:id="71"/>
    </w:p>
    <w:p w14:paraId="48869165">
      <w:pPr>
        <w:spacing w:line="360" w:lineRule="auto"/>
        <w:jc w:val="center"/>
        <w:rPr>
          <w:rFonts w:hint="eastAsia" w:ascii="宋体" w:hAnsi="宋体"/>
          <w:color w:val="auto"/>
          <w:szCs w:val="21"/>
          <w:highlight w:val="none"/>
        </w:rPr>
      </w:pPr>
    </w:p>
    <w:p w14:paraId="4222592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8.谈判文件的构成</w:t>
      </w:r>
    </w:p>
    <w:p w14:paraId="011318D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（1）竞争性谈判公告；</w:t>
      </w:r>
    </w:p>
    <w:p w14:paraId="078077E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（2）供应商须知； </w:t>
      </w:r>
    </w:p>
    <w:p w14:paraId="635B43F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（3）采购需求；</w:t>
      </w:r>
    </w:p>
    <w:p w14:paraId="16923F52">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（4）响应文件格式</w:t>
      </w:r>
    </w:p>
    <w:p w14:paraId="5BC18D4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（5）合同文本；</w:t>
      </w:r>
    </w:p>
    <w:p w14:paraId="1969902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（6）评审程序和评定成交的标准；</w:t>
      </w:r>
    </w:p>
    <w:p w14:paraId="3025EBF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545A810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供应商应认真阅读谈判文件的采购需求，如供应商对谈判文件有疑问的，如要求采购人作出澄清或者修改的，供应商尽可能在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24F8D09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10.谈判文件的澄清和修改</w:t>
      </w:r>
    </w:p>
    <w:p w14:paraId="32C3F6DF">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34C373E7">
      <w:pPr>
        <w:spacing w:line="360" w:lineRule="auto"/>
        <w:rPr>
          <w:rFonts w:hint="eastAsia" w:ascii="宋体" w:hAnsi="宋体"/>
          <w:color w:val="auto"/>
          <w:szCs w:val="21"/>
          <w:highlight w:val="none"/>
        </w:rPr>
      </w:pPr>
    </w:p>
    <w:p w14:paraId="2574CABF">
      <w:pPr>
        <w:spacing w:line="360" w:lineRule="auto"/>
        <w:jc w:val="center"/>
        <w:rPr>
          <w:rFonts w:hint="eastAsia" w:ascii="宋体" w:hAnsi="宋体"/>
          <w:b/>
          <w:color w:val="auto"/>
          <w:szCs w:val="21"/>
          <w:highlight w:val="none"/>
        </w:rPr>
      </w:pPr>
      <w:r>
        <w:rPr>
          <w:rFonts w:hint="eastAsia" w:ascii="宋体" w:hAnsi="宋体"/>
          <w:b/>
          <w:color w:val="auto"/>
          <w:sz w:val="32"/>
          <w:szCs w:val="32"/>
          <w:highlight w:val="none"/>
        </w:rPr>
        <w:t>三、响应文件的编制</w:t>
      </w:r>
    </w:p>
    <w:p w14:paraId="7192737C">
      <w:pPr>
        <w:spacing w:line="360" w:lineRule="auto"/>
        <w:rPr>
          <w:rFonts w:hint="eastAsia" w:ascii="宋体" w:hAnsi="宋体"/>
          <w:color w:val="auto"/>
          <w:szCs w:val="21"/>
          <w:highlight w:val="none"/>
        </w:rPr>
      </w:pPr>
    </w:p>
    <w:p w14:paraId="3C1DE8C4">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28A0076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供应商必须按照谈判文件的要求编制响应文件，并对其提交的响应文件的真实性、合法性承担法律责任。响应文件必须对谈判文件作出实质性响应。</w:t>
      </w:r>
    </w:p>
    <w:p w14:paraId="5D781EA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5BA92DB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w:t>
      </w:r>
      <w:r>
        <w:rPr>
          <w:rFonts w:hint="eastAsia" w:ascii="宋体" w:hAnsi="宋体" w:cs="宋体"/>
          <w:color w:val="auto"/>
          <w:szCs w:val="21"/>
          <w:highlight w:val="none"/>
        </w:rPr>
        <w:t>响应文件由资格证明文件、报价文件、商务技术文件三部分组成。</w:t>
      </w:r>
    </w:p>
    <w:p w14:paraId="263B59E3">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r>
        <w:rPr>
          <w:rFonts w:hint="eastAsia" w:ascii="宋体" w:hAnsi="宋体" w:cs="宋体"/>
          <w:color w:val="auto"/>
          <w:szCs w:val="21"/>
          <w:highlight w:val="none"/>
        </w:rPr>
        <w:t>资格证明文件：详见“供应商须知前附表”</w:t>
      </w:r>
    </w:p>
    <w:p w14:paraId="1DCF3B5D">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2报价文件：详见“供应商须知前附表”</w:t>
      </w:r>
    </w:p>
    <w:p w14:paraId="6D24867E">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476C898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255F17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谈判文件已有明确规定的，使用谈判文件规定的计量单位；谈判文件没有规定的，应采用中华人民共和国法定计量单位，货币种类为人民币，否则视同未响应。</w:t>
      </w:r>
    </w:p>
    <w:p w14:paraId="58A2B7F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5A661C3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供应商没有按照谈判文件要求提供全部资料，或者供应商没有对谈判文件在各方面作出实质性响应可能导致其响应文件按无效处理，是供应商应当考虑的风险。</w:t>
      </w:r>
    </w:p>
    <w:p w14:paraId="61D28F3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15.竞标报价</w:t>
      </w:r>
    </w:p>
    <w:p w14:paraId="61547A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15.1竞标报价应按谈判文件中“竞标报价表”格式填写。</w:t>
      </w:r>
    </w:p>
    <w:p w14:paraId="0EADC74A">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15.2竞标报价的内容详见“供应商须知前附表”。</w:t>
      </w:r>
    </w:p>
    <w:p w14:paraId="5BC14954">
      <w:pPr>
        <w:spacing w:line="360" w:lineRule="auto"/>
        <w:ind w:left="426" w:leftChars="203"/>
        <w:rPr>
          <w:rFonts w:hint="eastAsia" w:ascii="宋体" w:hAnsi="宋体" w:cs="宋体"/>
          <w:color w:val="auto"/>
          <w:szCs w:val="21"/>
          <w:highlight w:val="none"/>
        </w:rPr>
      </w:pPr>
      <w:r>
        <w:rPr>
          <w:rFonts w:hint="eastAsia" w:ascii="宋体" w:hAnsi="宋体" w:cs="宋体"/>
          <w:color w:val="auto"/>
          <w:szCs w:val="21"/>
          <w:highlight w:val="none"/>
        </w:rPr>
        <w:t>15.3竞标报价要求</w:t>
      </w:r>
    </w:p>
    <w:p w14:paraId="367301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供应商的竞标报价应符合以下要求，否则响应文件按无效响应处理：</w:t>
      </w:r>
    </w:p>
    <w:p w14:paraId="1C92A93C">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14:paraId="54EC03A1">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14:paraId="1D2B32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20BDE9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竞标报价（包含首次报价、最后报价）超过所竞标分标规定的采购预算金额或者最高限价的，其响应文件将按无效处理。</w:t>
      </w:r>
    </w:p>
    <w:p w14:paraId="49E0F0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3</w:t>
      </w:r>
      <w:r>
        <w:rPr>
          <w:rFonts w:hint="eastAsia" w:ascii="宋体" w:hAnsi="宋体" w:cs="宋体"/>
          <w:color w:val="auto"/>
          <w:szCs w:val="21"/>
          <w:highlight w:val="none"/>
        </w:rPr>
        <w:t>竞标报价（包含首次报价、最后报价）超过分项采购预算金额或者最高限价的，其响应文件将按无效处理。</w:t>
      </w:r>
    </w:p>
    <w:p w14:paraId="287FB4C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3A7CA52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226C6BA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r>
        <w:rPr>
          <w:rFonts w:hint="eastAsia" w:ascii="宋体" w:hAnsi="宋体"/>
          <w:color w:val="auto"/>
          <w:szCs w:val="21"/>
          <w:highlight w:val="none"/>
        </w:rPr>
        <w:t>承诺的竞标有效期低于采购文件规定期限的，供应商的响应文件作无效处理。</w:t>
      </w:r>
    </w:p>
    <w:p w14:paraId="36D5466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0234015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17.竞标保证金</w:t>
      </w:r>
    </w:p>
    <w:p w14:paraId="5043FCA1">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17.1供应商须按“供应商须知前附表”的规定提交竞标保证金。</w:t>
      </w:r>
    </w:p>
    <w:p w14:paraId="667DC8A3">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17.2竞标保证金的退还</w:t>
      </w:r>
    </w:p>
    <w:p w14:paraId="2B78A51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成交供应商的竞标保证金自成交通知书发出之日起5个工作日内退还</w:t>
      </w:r>
      <w:r>
        <w:rPr>
          <w:rFonts w:hint="eastAsia" w:ascii="宋体" w:hAnsi="宋体"/>
          <w:color w:val="auto"/>
          <w:szCs w:val="21"/>
          <w:highlight w:val="none"/>
        </w:rPr>
        <w:t>；</w:t>
      </w:r>
      <w:r>
        <w:rPr>
          <w:rFonts w:hint="eastAsia" w:ascii="宋体" w:hAnsi="宋体" w:cs="宋体"/>
          <w:color w:val="auto"/>
          <w:szCs w:val="21"/>
          <w:highlight w:val="none"/>
        </w:rPr>
        <w:t xml:space="preserve">成交供应商的竞标保证金自签订合同之日起5个工作日内退还。 </w:t>
      </w:r>
    </w:p>
    <w:p w14:paraId="498B2E94">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17.3竞标保证金不计息。</w:t>
      </w:r>
    </w:p>
    <w:p w14:paraId="24E124B5">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 xml:space="preserve">17.4供应商有下列情形之一的，竞标保证金将不予退还： </w:t>
      </w:r>
    </w:p>
    <w:p w14:paraId="76415B90">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2031BFFA">
      <w:pPr>
        <w:spacing w:line="360" w:lineRule="auto"/>
        <w:ind w:left="420" w:leftChars="200"/>
        <w:rPr>
          <w:rFonts w:ascii="宋体" w:hAnsi="宋体" w:cs="宋体"/>
          <w:color w:val="auto"/>
          <w:szCs w:val="21"/>
          <w:highlight w:val="none"/>
        </w:rPr>
      </w:pPr>
      <w:r>
        <w:rPr>
          <w:rFonts w:hint="eastAsia" w:ascii="宋体" w:hAnsi="宋体"/>
          <w:color w:val="auto"/>
          <w:szCs w:val="21"/>
          <w:highlight w:val="none"/>
        </w:rPr>
        <w:t>（2）未按规定提交履约保证金的；</w:t>
      </w:r>
    </w:p>
    <w:p w14:paraId="04B25837">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10332BC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（4）除因不可抗力或者谈判文件认可的情形以外，成交供应商不与采购人签订合同的；</w:t>
      </w:r>
    </w:p>
    <w:p w14:paraId="1A3BF67E">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38BF18D8">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（6）法律法规规定的其他情形。</w:t>
      </w:r>
    </w:p>
    <w:p w14:paraId="0286E1D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18. 响应文件编制的要求</w:t>
      </w:r>
    </w:p>
    <w:p w14:paraId="4A68F83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供应商应按照本项目谈判文件规定的格式和顺序和广西政府采购云平台的要求编制并加密。响应文件内容不完整、编排混乱导致响应文件被误读、漏读或者查找不到相关内容的，由此引发的后果由供应商承担。</w:t>
      </w:r>
    </w:p>
    <w:p w14:paraId="46913A9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7104E43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18.3响应文件须由供应商在规定位置签字、盖章（具体以供应商须知前附表或响应文件格式规定为准），否则按无效响应处理。</w:t>
      </w:r>
    </w:p>
    <w:p w14:paraId="7DED95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7653D2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7B30596C">
      <w:pPr>
        <w:spacing w:line="360" w:lineRule="auto"/>
        <w:ind w:firstLine="482" w:firstLineChars="200"/>
        <w:rPr>
          <w:rFonts w:hint="eastAsia"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14:paraId="2A0B9C37">
      <w:pPr>
        <w:spacing w:line="360" w:lineRule="auto"/>
        <w:ind w:firstLine="420" w:firstLineChars="200"/>
        <w:rPr>
          <w:rFonts w:hint="eastAsia" w:ascii="黑体" w:hAnsi="黑体" w:eastAsia="黑体"/>
          <w:color w:val="auto"/>
          <w:sz w:val="24"/>
          <w:highlight w:val="none"/>
        </w:rPr>
      </w:pPr>
      <w:r>
        <w:rPr>
          <w:rFonts w:hint="eastAsia"/>
          <w:color w:val="auto"/>
          <w:highlight w:val="none"/>
        </w:rPr>
        <w:t>电子备份响应文件是指通过在线编制生成且后缀名为“</w:t>
      </w:r>
      <w:r>
        <w:rPr>
          <w:color w:val="auto"/>
          <w:highlight w:val="none"/>
        </w:rPr>
        <w:t>bfbs</w:t>
      </w:r>
      <w:r>
        <w:rPr>
          <w:rFonts w:hint="eastAsia"/>
          <w:color w:val="auto"/>
          <w:highlight w:val="none"/>
        </w:rPr>
        <w:t>”的文件，是否接受电子备份响应文件</w:t>
      </w:r>
      <w:r>
        <w:rPr>
          <w:rFonts w:hint="eastAsia"/>
          <w:color w:val="auto"/>
          <w:highlight w:val="none"/>
          <w:lang w:eastAsia="zh-CN"/>
        </w:rPr>
        <w:t>详见</w:t>
      </w:r>
      <w:r>
        <w:rPr>
          <w:rFonts w:hint="eastAsia" w:hAnsi="宋体"/>
          <w:bCs/>
          <w:color w:val="auto"/>
          <w:szCs w:val="21"/>
          <w:highlight w:val="none"/>
        </w:rPr>
        <w:t>“供应商须知前附表”。</w:t>
      </w:r>
    </w:p>
    <w:p w14:paraId="039691B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2721BD79">
      <w:pPr>
        <w:spacing w:line="360" w:lineRule="auto"/>
        <w:ind w:firstLine="420" w:firstLineChars="200"/>
        <w:rPr>
          <w:rFonts w:hint="eastAsia" w:hAnsi="宋体"/>
          <w:b/>
          <w:color w:val="auto"/>
          <w:highlight w:val="none"/>
        </w:rPr>
      </w:pPr>
      <w:r>
        <w:rPr>
          <w:rFonts w:hint="eastAsia" w:hAnsi="宋体"/>
          <w:bCs/>
          <w:color w:val="auto"/>
          <w:szCs w:val="21"/>
          <w:highlight w:val="none"/>
        </w:rPr>
        <w:t>20.1供应商必须按“供应商须知前附表”规定的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w:t>
      </w:r>
      <w:r>
        <w:rPr>
          <w:rFonts w:hAnsi="宋体"/>
          <w:bCs/>
          <w:color w:val="auto"/>
          <w:szCs w:val="21"/>
          <w:highlight w:val="none"/>
        </w:rPr>
        <w:t>在</w:t>
      </w:r>
      <w:r>
        <w:rPr>
          <w:rFonts w:hint="eastAsia" w:hAnsi="宋体"/>
          <w:bCs/>
          <w:color w:val="auto"/>
          <w:szCs w:val="21"/>
          <w:highlight w:val="none"/>
        </w:rPr>
        <w:t>提交响应文件截止</w:t>
      </w:r>
      <w:r>
        <w:rPr>
          <w:rFonts w:hAnsi="宋体"/>
          <w:bCs/>
          <w:color w:val="auto"/>
          <w:szCs w:val="21"/>
          <w:highlight w:val="none"/>
        </w:rPr>
        <w:t>时间前</w:t>
      </w:r>
      <w:r>
        <w:rPr>
          <w:rFonts w:hint="eastAsia" w:hAnsi="宋体"/>
          <w:bCs/>
          <w:color w:val="auto"/>
          <w:szCs w:val="21"/>
          <w:highlight w:val="none"/>
        </w:rPr>
        <w:t>通过有效数字证书（CA认证锁）进行电子签章、加密，然后通过网络将加密的电子响应文件提交至</w:t>
      </w:r>
      <w:r>
        <w:rPr>
          <w:rFonts w:hint="eastAsia" w:ascii="宋体" w:hAnsi="宋体"/>
          <w:color w:val="auto"/>
          <w:szCs w:val="21"/>
          <w:highlight w:val="none"/>
        </w:rPr>
        <w:t>广西政府采购云平台</w:t>
      </w:r>
      <w:r>
        <w:rPr>
          <w:rFonts w:hint="eastAsia" w:hAnsi="宋体"/>
          <w:bCs/>
          <w:color w:val="auto"/>
          <w:szCs w:val="21"/>
          <w:highlight w:val="none"/>
        </w:rPr>
        <w:t xml:space="preserve">。 </w:t>
      </w:r>
      <w:r>
        <w:rPr>
          <w:rFonts w:hint="eastAsia" w:hAnsi="宋体"/>
          <w:b/>
          <w:color w:val="auto"/>
          <w:highlight w:val="none"/>
        </w:rPr>
        <w:t xml:space="preserve"> </w:t>
      </w:r>
    </w:p>
    <w:p w14:paraId="212D07D3">
      <w:pPr>
        <w:spacing w:line="360" w:lineRule="auto"/>
        <w:ind w:firstLine="422" w:firstLineChars="200"/>
        <w:rPr>
          <w:rFonts w:hint="eastAsia" w:ascii="宋体" w:hAnsi="宋体"/>
          <w:b/>
          <w:color w:val="auto"/>
          <w:szCs w:val="20"/>
          <w:highlight w:val="none"/>
        </w:rPr>
      </w:pPr>
      <w:r>
        <w:rPr>
          <w:rFonts w:hint="eastAsia" w:ascii="宋体" w:hAnsi="宋体"/>
          <w:b/>
          <w:color w:val="auto"/>
          <w:szCs w:val="21"/>
          <w:highlight w:val="none"/>
        </w:rPr>
        <w:t>20.</w:t>
      </w:r>
      <w:r>
        <w:rPr>
          <w:rFonts w:ascii="宋体" w:hAnsi="宋体"/>
          <w:b/>
          <w:color w:val="auto"/>
          <w:szCs w:val="21"/>
          <w:highlight w:val="none"/>
        </w:rPr>
        <w:t>2</w:t>
      </w:r>
      <w:r>
        <w:rPr>
          <w:rFonts w:hint="eastAsia" w:ascii="宋体" w:hAnsi="宋体"/>
          <w:b/>
          <w:color w:val="auto"/>
          <w:szCs w:val="21"/>
          <w:highlight w:val="none"/>
        </w:rPr>
        <w:t>未在规定时间内提交或者未按照谈判文件要求加密的电子响应文件，广西政府采购云平台将拒收。</w:t>
      </w:r>
    </w:p>
    <w:p w14:paraId="2F1D4E2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6C373A7D">
      <w:pPr>
        <w:snapToGrid w:val="0"/>
        <w:spacing w:line="360" w:lineRule="auto"/>
        <w:ind w:firstLine="420"/>
        <w:jc w:val="left"/>
        <w:rPr>
          <w:rFonts w:hint="eastAsia" w:ascii="宋体" w:hAnsi="宋体"/>
          <w:color w:val="auto"/>
          <w:szCs w:val="21"/>
          <w:highlight w:val="none"/>
        </w:rPr>
      </w:pPr>
      <w:bookmarkStart w:id="72" w:name="_Toc254970543"/>
      <w:bookmarkStart w:id="73" w:name="_Toc254970684"/>
      <w:r>
        <w:rPr>
          <w:rFonts w:ascii="宋体" w:hAnsi="宋体" w:cs="宋体"/>
          <w:color w:val="auto"/>
          <w:szCs w:val="21"/>
          <w:highlight w:val="none"/>
        </w:rPr>
        <w:t>2</w:t>
      </w:r>
      <w:r>
        <w:rPr>
          <w:rFonts w:hint="eastAsia" w:ascii="宋体" w:hAnsi="宋体" w:cs="宋体"/>
          <w:color w:val="auto"/>
          <w:szCs w:val="21"/>
          <w:highlight w:val="none"/>
        </w:rPr>
        <w:t>1.1</w:t>
      </w:r>
      <w:r>
        <w:rPr>
          <w:rFonts w:hint="eastAsia" w:ascii="宋体" w:hAnsi="宋体"/>
          <w:bCs/>
          <w:color w:val="auto"/>
          <w:szCs w:val="21"/>
          <w:highlight w:val="none"/>
        </w:rPr>
        <w:t>供应商应当在</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前完成电子响应文件的提交（上传），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可以补充、修改或者撤回响应文件。补充或者修改响应文件的，应当先行撤回原响应文件，补充、修改后重新提交（上传），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未完成提交（上传）的，视为撤回响应文件。</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以后提交（上传）的响应文件，广西政府采购云平台将予以拒收。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进入“服务中心”中查看</w:t>
      </w:r>
      <w:r>
        <w:rPr>
          <w:rFonts w:hint="eastAsia" w:ascii="宋体" w:hAnsi="宋体" w:cs="宋体"/>
          <w:color w:val="auto"/>
          <w:szCs w:val="21"/>
          <w:highlight w:val="none"/>
        </w:rPr>
        <w:t xml:space="preserve"> “电子投标文件制作与投送教程”）</w:t>
      </w:r>
    </w:p>
    <w:bookmarkEnd w:id="72"/>
    <w:bookmarkEnd w:id="73"/>
    <w:p w14:paraId="4F6B9F46">
      <w:pPr>
        <w:pStyle w:val="38"/>
        <w:spacing w:before="0"/>
        <w:ind w:firstLine="420"/>
        <w:rPr>
          <w:rFonts w:hint="eastAsia"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lang w:eastAsia="zh-CN"/>
        </w:rPr>
        <w:t>1</w:t>
      </w:r>
      <w:r>
        <w:rPr>
          <w:rFonts w:ascii="宋体" w:hAnsi="宋体" w:cs="宋体"/>
          <w:color w:val="auto"/>
          <w:sz w:val="21"/>
          <w:szCs w:val="21"/>
          <w:highlight w:val="none"/>
        </w:rPr>
        <w:t>.</w:t>
      </w:r>
      <w:r>
        <w:rPr>
          <w:rFonts w:hint="eastAsia" w:ascii="宋体" w:hAnsi="宋体" w:cs="宋体"/>
          <w:color w:val="auto"/>
          <w:sz w:val="21"/>
          <w:szCs w:val="21"/>
          <w:highlight w:val="none"/>
        </w:rPr>
        <w:t>2在提交响应文件截止时间前，除供应商补充、修改或者撤回响应文件外，任何单位和个人不得解密或提取响应文件。</w:t>
      </w:r>
    </w:p>
    <w:p w14:paraId="31D33EC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22.响应文件的退回</w:t>
      </w:r>
    </w:p>
    <w:p w14:paraId="414CE60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5C1CF11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14:paraId="0AF32475">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供应商在响应文件提交截止时间后向采购人、采购代理机构书面申请撤回响应文件的，将根据本须知正文第17.4条的规定不予退还其竞标保证金。</w:t>
      </w:r>
    </w:p>
    <w:p w14:paraId="3878FB78">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四、评审及谈判</w:t>
      </w:r>
    </w:p>
    <w:p w14:paraId="7EB520D4">
      <w:pPr>
        <w:spacing w:line="360" w:lineRule="auto"/>
        <w:ind w:left="420" w:firstLine="420"/>
        <w:rPr>
          <w:rFonts w:hint="eastAsia" w:ascii="宋体" w:hAnsi="宋体"/>
          <w:color w:val="auto"/>
          <w:szCs w:val="21"/>
          <w:highlight w:val="none"/>
        </w:rPr>
      </w:pPr>
    </w:p>
    <w:p w14:paraId="683D41F5">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24.谈判小组成立</w:t>
      </w:r>
    </w:p>
    <w:p w14:paraId="0EE189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0CFBF87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08B5D75D">
      <w:pPr>
        <w:spacing w:line="360" w:lineRule="auto"/>
        <w:ind w:firstLine="420" w:firstLineChars="200"/>
        <w:rPr>
          <w:rFonts w:hint="eastAsia" w:hAnsi="宋体"/>
          <w:bCs/>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基于广西政府采购云平台</w:t>
      </w:r>
      <w:r>
        <w:rPr>
          <w:rFonts w:hint="eastAsia" w:hAnsi="宋体"/>
          <w:bCs/>
          <w:color w:val="auto"/>
          <w:highlight w:val="none"/>
        </w:rPr>
        <w:t>抽（选）取</w:t>
      </w:r>
      <w:r>
        <w:rPr>
          <w:rFonts w:hint="eastAsia" w:hAnsi="宋体"/>
          <w:bCs/>
          <w:color w:val="auto"/>
          <w:szCs w:val="21"/>
          <w:highlight w:val="none"/>
        </w:rPr>
        <w:t>评审专家。</w:t>
      </w:r>
    </w:p>
    <w:p w14:paraId="3D8B40D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24.4参加过采购项目前期咨询论证的专家，不得参加该采购项目的评审活动。</w:t>
      </w:r>
    </w:p>
    <w:p w14:paraId="5BD2CAF8">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 xml:space="preserve"> 首次响应文件的开启和解密</w:t>
      </w:r>
    </w:p>
    <w:p w14:paraId="78D7DFBE">
      <w:pPr>
        <w:spacing w:line="360" w:lineRule="auto"/>
        <w:ind w:firstLine="420"/>
        <w:rPr>
          <w:rFonts w:ascii="黑体" w:hAnsi="黑体" w:eastAsia="黑体" w:cs="宋体"/>
          <w:b/>
          <w:bCs/>
          <w:color w:val="auto"/>
          <w:sz w:val="24"/>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间通过电子交易平台组织响应文件开启，供应商的法定代表人或其委托代理人须携带加密时所用的CA锁，按平台提示和谈判文件的规定登录到广西政府采购云平台电子开标大厅签到，</w:t>
      </w:r>
      <w:r>
        <w:rPr>
          <w:rFonts w:hint="eastAsia"/>
          <w:color w:val="auto"/>
          <w:highlight w:val="none"/>
        </w:rPr>
        <w:t>采购代理机构依托广西政府采购云平台向各供应商发出电子加密响应文件【开始解密】通知，由供应商按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的响应文件作无效处理</w:t>
      </w:r>
      <w:r>
        <w:rPr>
          <w:b/>
          <w:color w:val="auto"/>
          <w:highlight w:val="none"/>
        </w:rPr>
        <w:t>。</w:t>
      </w:r>
    </w:p>
    <w:p w14:paraId="047AD378">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 评审程序和评定成交的标准</w:t>
      </w:r>
    </w:p>
    <w:p w14:paraId="5D59EBF2">
      <w:pPr>
        <w:spacing w:line="360" w:lineRule="auto"/>
        <w:ind w:firstLine="420" w:firstLineChars="200"/>
        <w:rPr>
          <w:rFonts w:hint="eastAsia"/>
          <w:color w:val="auto"/>
          <w:highlight w:val="none"/>
        </w:rPr>
      </w:pPr>
      <w:r>
        <w:rPr>
          <w:rFonts w:hint="eastAsia"/>
          <w:color w:val="auto"/>
          <w:highlight w:val="none"/>
        </w:rPr>
        <w:t>26.1谈判小组按照“第四章  评审程序和评定成交的标准”规定的评审程序对响应文件进行评审，并按照评定成交的标准推荐成交候选供应商。评审价相同时，成交候选供应商推荐顺序见</w:t>
      </w:r>
      <w:r>
        <w:rPr>
          <w:rFonts w:hint="eastAsia" w:ascii="宋体" w:hAnsi="宋体"/>
          <w:color w:val="auto"/>
          <w:szCs w:val="21"/>
          <w:highlight w:val="none"/>
        </w:rPr>
        <w:t>“供应商须知前附表”。</w:t>
      </w:r>
    </w:p>
    <w:p w14:paraId="51F57E2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6.2 </w:t>
      </w:r>
      <w:r>
        <w:rPr>
          <w:rFonts w:hint="eastAsia" w:ascii="宋体" w:hAnsi="宋体"/>
          <w:color w:val="auto"/>
          <w:szCs w:val="21"/>
          <w:highlight w:val="none"/>
        </w:rPr>
        <w:t>商务/技术要求允许负偏离的条款数详见“供应商须知前附表”。</w:t>
      </w:r>
    </w:p>
    <w:p w14:paraId="22FC0E07">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26.3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2C1A141C">
      <w:pPr>
        <w:spacing w:line="360" w:lineRule="auto"/>
        <w:ind w:firstLine="420" w:firstLineChars="200"/>
        <w:rPr>
          <w:rFonts w:hint="eastAsia" w:hAnsi="宋体"/>
          <w:color w:val="auto"/>
          <w:highlight w:val="none"/>
        </w:rPr>
      </w:pPr>
      <w:r>
        <w:rPr>
          <w:rFonts w:hint="eastAsia" w:ascii="宋体" w:hAnsi="宋体"/>
          <w:color w:val="auto"/>
          <w:highlight w:val="none"/>
        </w:rPr>
        <w:t>2</w:t>
      </w:r>
      <w:r>
        <w:rPr>
          <w:rFonts w:ascii="宋体" w:hAnsi="宋体"/>
          <w:color w:val="auto"/>
          <w:highlight w:val="none"/>
        </w:rPr>
        <w:t>6.</w:t>
      </w:r>
      <w:r>
        <w:rPr>
          <w:rFonts w:hint="eastAsia" w:ascii="宋体" w:hAnsi="宋体"/>
          <w:color w:val="auto"/>
          <w:highlight w:val="none"/>
        </w:rPr>
        <w:t>4</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339677C6">
      <w:pPr>
        <w:spacing w:line="360" w:lineRule="auto"/>
        <w:ind w:firstLine="420" w:firstLineChars="200"/>
        <w:rPr>
          <w:rFonts w:hint="eastAsia" w:hAnsi="宋体"/>
          <w:color w:val="auto"/>
          <w:highlight w:val="none"/>
        </w:rPr>
      </w:pPr>
      <w:r>
        <w:rPr>
          <w:rFonts w:hint="eastAsia" w:hAnsi="宋体"/>
          <w:color w:val="auto"/>
          <w:highlight w:val="none"/>
        </w:rPr>
        <w:t xml:space="preserve">（1）电子交易平台发生故障而无法登录访问的； </w:t>
      </w:r>
    </w:p>
    <w:p w14:paraId="3F440A51">
      <w:pPr>
        <w:spacing w:line="360" w:lineRule="auto"/>
        <w:ind w:firstLine="420" w:firstLineChars="200"/>
        <w:rPr>
          <w:rFonts w:hint="eastAsia" w:hAnsi="宋体"/>
          <w:color w:val="auto"/>
          <w:highlight w:val="none"/>
        </w:rPr>
      </w:pPr>
      <w:r>
        <w:rPr>
          <w:rFonts w:hint="eastAsia" w:hAnsi="宋体"/>
          <w:color w:val="auto"/>
          <w:highlight w:val="none"/>
        </w:rPr>
        <w:t>（2）电子交易平台应用或数据库出现错误，不能进行正常操作的；</w:t>
      </w:r>
    </w:p>
    <w:p w14:paraId="08AB9D56">
      <w:pPr>
        <w:spacing w:line="360" w:lineRule="auto"/>
        <w:ind w:firstLine="420" w:firstLineChars="200"/>
        <w:rPr>
          <w:rFonts w:hint="eastAsia" w:hAnsi="宋体"/>
          <w:color w:val="auto"/>
          <w:highlight w:val="none"/>
        </w:rPr>
      </w:pPr>
      <w:r>
        <w:rPr>
          <w:rFonts w:hint="eastAsia" w:hAnsi="宋体"/>
          <w:color w:val="auto"/>
          <w:highlight w:val="none"/>
        </w:rPr>
        <w:t>（3）电子交易平台发现严重安全漏洞，有潜在泄密危险的；</w:t>
      </w:r>
    </w:p>
    <w:p w14:paraId="024CEB0C">
      <w:pPr>
        <w:spacing w:line="360" w:lineRule="auto"/>
        <w:ind w:firstLine="420" w:firstLineChars="200"/>
        <w:rPr>
          <w:rFonts w:hint="eastAsia" w:hAnsi="宋体"/>
          <w:color w:val="auto"/>
          <w:highlight w:val="none"/>
        </w:rPr>
      </w:pPr>
      <w:r>
        <w:rPr>
          <w:rFonts w:hint="eastAsia" w:hAnsi="宋体"/>
          <w:color w:val="auto"/>
          <w:highlight w:val="none"/>
        </w:rPr>
        <w:t xml:space="preserve">（4）病毒发作导致不能进行正常操作的； </w:t>
      </w:r>
    </w:p>
    <w:p w14:paraId="063423B6">
      <w:pPr>
        <w:spacing w:line="360" w:lineRule="auto"/>
        <w:ind w:firstLine="420" w:firstLineChars="200"/>
        <w:rPr>
          <w:rFonts w:hint="eastAsia" w:hAnsi="宋体"/>
          <w:color w:val="auto"/>
          <w:highlight w:val="none"/>
        </w:rPr>
      </w:pPr>
      <w:r>
        <w:rPr>
          <w:rFonts w:hint="eastAsia" w:hAnsi="宋体"/>
          <w:color w:val="auto"/>
          <w:highlight w:val="none"/>
        </w:rPr>
        <w:t>（5）其他无法保证电子交易的公平、公正和安全的情况。</w:t>
      </w:r>
    </w:p>
    <w:p w14:paraId="3669220A">
      <w:pPr>
        <w:spacing w:line="360" w:lineRule="auto"/>
        <w:ind w:firstLine="420" w:firstLineChars="200"/>
        <w:rPr>
          <w:rFonts w:hint="eastAsia" w:hAnsi="宋体"/>
          <w:color w:val="auto"/>
          <w:highlight w:val="none"/>
        </w:rPr>
      </w:pPr>
      <w:r>
        <w:rPr>
          <w:rFonts w:hint="eastAsia" w:ascii="宋体" w:hAnsi="宋体"/>
          <w:color w:val="auto"/>
          <w:highlight w:val="none"/>
        </w:rPr>
        <w:t>26.</w:t>
      </w:r>
      <w:r>
        <w:rPr>
          <w:rFonts w:ascii="宋体" w:hAnsi="宋体"/>
          <w:color w:val="auto"/>
          <w:highlight w:val="none"/>
        </w:rPr>
        <w:t>5</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078F840A">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5C6282D0">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w:t>
      </w:r>
      <w:r>
        <w:rPr>
          <w:rFonts w:hint="eastAsia" w:ascii="宋体" w:hAnsi="宋体" w:cs="宋体"/>
          <w:color w:val="auto"/>
          <w:kern w:val="0"/>
          <w:szCs w:val="21"/>
          <w:highlight w:val="none"/>
        </w:rPr>
        <w:t xml:space="preserve"> 采购</w:t>
      </w:r>
      <w:r>
        <w:rPr>
          <w:rFonts w:hint="eastAsia" w:ascii="宋体" w:hAnsi="宋体" w:cs="宋体"/>
          <w:color w:val="auto"/>
          <w:szCs w:val="21"/>
          <w:highlight w:val="none"/>
        </w:rPr>
        <w:t>代理</w:t>
      </w:r>
      <w:r>
        <w:rPr>
          <w:rFonts w:hint="eastAsia" w:ascii="宋体" w:hAnsi="宋体" w:cs="宋体"/>
          <w:color w:val="auto"/>
          <w:kern w:val="0"/>
          <w:szCs w:val="21"/>
          <w:highlight w:val="none"/>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1ACC96C4">
      <w:pPr>
        <w:pStyle w:val="8"/>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27</w:t>
      </w:r>
      <w:r>
        <w:rPr>
          <w:rFonts w:hint="eastAsia" w:ascii="宋体" w:hAnsi="宋体" w:cs="宋体"/>
          <w:color w:val="auto"/>
          <w:kern w:val="0"/>
          <w:szCs w:val="21"/>
          <w:highlight w:val="none"/>
        </w:rPr>
        <w:t>.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cs="Courier New"/>
          <w:color w:val="auto"/>
          <w:szCs w:val="21"/>
          <w:highlight w:val="none"/>
        </w:rPr>
        <w:t>成交供应商享受《政府采购促进中小企业发展管理办法》（财库〔2020〕46号）规定的中小企业扶持政策的，采购人、采购代理机构应当随成交结果公开成交供应商的《中小企业声明函》。</w:t>
      </w:r>
    </w:p>
    <w:p w14:paraId="1D13C2FC">
      <w:pPr>
        <w:pStyle w:val="8"/>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27.3出现下列情形之一的，采购人或者采购代理机构应当终止竞争性谈判采购活动，发布项目终止公告并说明原因，重新开展采购活动：</w:t>
      </w:r>
    </w:p>
    <w:p w14:paraId="01CEE8BA">
      <w:pPr>
        <w:pStyle w:val="8"/>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（1）因情况变化，不再符合规定的竞争性谈判采购方式适用情形的；</w:t>
      </w:r>
    </w:p>
    <w:p w14:paraId="38ABDA90">
      <w:pPr>
        <w:pStyle w:val="8"/>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（2）出现影响采购公正的违法、违规行为的；</w:t>
      </w:r>
    </w:p>
    <w:p w14:paraId="3FFBF937">
      <w:pPr>
        <w:pStyle w:val="8"/>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（3）在采购过程中符合竞争要求的供应商或者报价未超过采购预算的供应商不足3家的，但“第四章 评审程序和评定成交的标准”第3.7条规定的情形除外。</w:t>
      </w:r>
    </w:p>
    <w:p w14:paraId="28D5B4A3">
      <w:pPr>
        <w:pStyle w:val="8"/>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27.4在采购活动中因重大变故，采购任务取消的，采购人或者采购代理机构应当终止采购活动，通知所有参加采购活动的供应商，并将项目实施情况和采购任务取消原因报送本级财政部门。</w:t>
      </w:r>
    </w:p>
    <w:p w14:paraId="18E0874B">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59B580C0">
      <w:pPr>
        <w:pStyle w:val="8"/>
        <w:spacing w:line="360" w:lineRule="auto"/>
        <w:ind w:firstLine="420" w:firstLineChars="200"/>
        <w:rPr>
          <w:rFonts w:hint="eastAsia"/>
          <w:color w:val="auto"/>
          <w:highlight w:val="none"/>
        </w:rPr>
      </w:pPr>
      <w:r>
        <w:rPr>
          <w:rFonts w:ascii="宋体" w:hAnsi="宋体" w:cs="宋体"/>
          <w:color w:val="auto"/>
          <w:szCs w:val="21"/>
          <w:highlight w:val="none"/>
        </w:rPr>
        <w:t>28</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履约保证金的金额、提交方式、退付的时间和条件详见 “供应商须知前附表”。成交供应商未按规定提交履约保证金的，视为拒绝</w:t>
      </w:r>
      <w:r>
        <w:rPr>
          <w:rFonts w:ascii="宋体" w:hAnsi="宋体" w:cs="宋体"/>
          <w:color w:val="auto"/>
          <w:szCs w:val="21"/>
          <w:highlight w:val="none"/>
          <w:lang w:val="en-US" w:eastAsia="zh-CN"/>
        </w:rPr>
        <w:t>与采购人</w:t>
      </w:r>
      <w:r>
        <w:rPr>
          <w:rFonts w:hint="eastAsia" w:ascii="宋体" w:hAnsi="宋体" w:cs="宋体"/>
          <w:color w:val="auto"/>
          <w:szCs w:val="21"/>
          <w:highlight w:val="none"/>
          <w:lang w:val="en-US" w:eastAsia="zh-CN"/>
        </w:rPr>
        <w:t>签订合同。</w:t>
      </w:r>
    </w:p>
    <w:p w14:paraId="1154D640">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.2在履约保证金退还日期前，若成交供应商的开户名称、开户银行、账号有变动的，请以书面形式通知履约保证金收取单位，否则由此产生的后果由成交供应商自负。</w:t>
      </w:r>
    </w:p>
    <w:p w14:paraId="2AE168FE">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3EFABA3E">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2992191D">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78F90D85">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61C748A1">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1F721297">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7CF153C">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29.5采购人或成交供应商不得单方面向合同另一方提出任何谈判文件没有约定的条件或不合理的要求，作为签订合同的条件；也不得协商另行订立背离谈判文件和合同实质性内容的协议。</w:t>
      </w:r>
    </w:p>
    <w:p w14:paraId="76447F20">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4DED9607">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1F846239">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774FDE9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4B9C321">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01A8F1B2">
      <w:pPr>
        <w:pStyle w:val="6"/>
        <w:spacing w:after="120" w:line="360" w:lineRule="auto"/>
        <w:rPr>
          <w:rFonts w:hint="eastAsia" w:ascii="宋体" w:hAnsi="宋体"/>
          <w:color w:val="auto"/>
          <w:szCs w:val="21"/>
          <w:highlight w:val="none"/>
        </w:rPr>
      </w:pPr>
      <w:r>
        <w:rPr>
          <w:rFonts w:ascii="宋体" w:hAnsi="宋体" w:cs="宋体"/>
          <w:color w:val="auto"/>
          <w:highlight w:val="none"/>
        </w:rPr>
        <w:t>31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p>
    <w:p w14:paraId="58FDA2DB">
      <w:pPr>
        <w:spacing w:line="360" w:lineRule="auto"/>
        <w:ind w:firstLine="420" w:firstLineChars="200"/>
        <w:rPr>
          <w:rFonts w:hint="eastAsia"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.2供应商认为谈判文件、采购过程或者成交结果使自己的合法权益受到损害的，应当在知道或者应知其权益受到损害之日起7个工作日内，以书面形式向采购人、采购代理机构提出质疑，</w:t>
      </w:r>
      <w:r>
        <w:rPr>
          <w:rFonts w:ascii="Arial" w:hAnsi="Arial" w:cs="Arial"/>
          <w:color w:val="auto"/>
          <w:highlight w:val="none"/>
          <w:shd w:val="clear" w:color="auto" w:fill="FFFFFF"/>
        </w:rPr>
        <w:t>接收质疑函的方式、联系部门、联系电话和通讯地址等信息</w:t>
      </w:r>
      <w:r>
        <w:rPr>
          <w:rFonts w:hint="eastAsia" w:ascii="宋体" w:hAnsi="宋体" w:cs="宋体"/>
          <w:color w:val="auto"/>
          <w:szCs w:val="21"/>
          <w:highlight w:val="none"/>
        </w:rPr>
        <w:t>详见“供应商须知前附表”</w:t>
      </w:r>
      <w:r>
        <w:rPr>
          <w:rFonts w:hint="eastAsia" w:ascii="宋体" w:hAnsi="宋体" w:cs="宋体"/>
          <w:color w:val="auto"/>
          <w:highlight w:val="none"/>
        </w:rPr>
        <w:t>。具体质疑起算时间如下：</w:t>
      </w:r>
    </w:p>
    <w:p w14:paraId="3FBC201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（1）对可以质疑的谈判文件提出质疑的，为获取谈判文件之日；</w:t>
      </w:r>
    </w:p>
    <w:p w14:paraId="66AF464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0F46D36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6E5ACB63">
      <w:pPr>
        <w:spacing w:line="360" w:lineRule="auto"/>
        <w:ind w:firstLine="420" w:firstLineChars="200"/>
        <w:rPr>
          <w:rFonts w:hint="eastAsia"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1643E233">
      <w:pPr>
        <w:spacing w:line="360" w:lineRule="auto"/>
        <w:ind w:firstLine="420" w:firstLineChars="200"/>
        <w:rPr>
          <w:rFonts w:hint="eastAsia"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.4供应商提出质疑应当提交质疑函和必要的证明材料，针对同一采购程序环节的质疑必须在法定质疑期内一次性提出。质疑函应当包括下列内容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2375448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60CD518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14:paraId="7AFBD1A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14:paraId="4DC6E57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14:paraId="278BB15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14:paraId="364E2DC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14:paraId="57BB1B2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6465A9B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3C6F514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65D8982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60B899D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14341ECE">
      <w:pPr>
        <w:spacing w:line="360" w:lineRule="auto"/>
        <w:ind w:firstLine="420" w:firstLineChars="200"/>
        <w:rPr>
          <w:rFonts w:ascii="宋体" w:hAnsi="宋体" w:cs="宋体"/>
          <w:b/>
          <w:bCs/>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EBCF21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其他内容</w:t>
      </w:r>
    </w:p>
    <w:p w14:paraId="192647A7">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.1代理服务收取标准详见“供应商须知前附表”，供应商为联合体的，可以由联合体中的一方或者多方共同交纳代理服务费：</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1F672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7DB4F65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费率</w:t>
            </w:r>
          </w:p>
          <w:p w14:paraId="2560837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金额</w:t>
            </w:r>
          </w:p>
        </w:tc>
        <w:tc>
          <w:tcPr>
            <w:tcW w:w="1659" w:type="dxa"/>
            <w:noWrap w:val="0"/>
            <w:vAlign w:val="center"/>
          </w:tcPr>
          <w:p w14:paraId="768E221B">
            <w:pPr>
              <w:spacing w:line="360" w:lineRule="auto"/>
              <w:ind w:firstLine="105" w:firstLineChars="50"/>
              <w:jc w:val="center"/>
              <w:rPr>
                <w:rFonts w:hint="eastAsia" w:ascii="宋体" w:hAnsi="宋体" w:cs="宋体"/>
                <w:color w:val="auto"/>
                <w:szCs w:val="21"/>
                <w:highlight w:val="none"/>
              </w:rPr>
            </w:pPr>
            <w:r>
              <w:rPr>
                <w:rFonts w:hint="eastAsia" w:ascii="宋体" w:hAnsi="宋体" w:cs="宋体"/>
                <w:color w:val="auto"/>
                <w:szCs w:val="21"/>
                <w:highlight w:val="none"/>
              </w:rPr>
              <w:t>货物类</w:t>
            </w:r>
          </w:p>
        </w:tc>
        <w:tc>
          <w:tcPr>
            <w:tcW w:w="1532" w:type="dxa"/>
            <w:noWrap w:val="0"/>
            <w:vAlign w:val="center"/>
          </w:tcPr>
          <w:p w14:paraId="0CB37F1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服务类</w:t>
            </w:r>
          </w:p>
        </w:tc>
        <w:tc>
          <w:tcPr>
            <w:tcW w:w="1546" w:type="dxa"/>
            <w:noWrap w:val="0"/>
            <w:vAlign w:val="center"/>
          </w:tcPr>
          <w:p w14:paraId="18FA853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工程类</w:t>
            </w:r>
          </w:p>
        </w:tc>
      </w:tr>
      <w:tr w14:paraId="3C72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FA98F99">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noWrap w:val="0"/>
            <w:vAlign w:val="top"/>
          </w:tcPr>
          <w:p w14:paraId="4A1D9D86">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noWrap w:val="0"/>
            <w:vAlign w:val="top"/>
          </w:tcPr>
          <w:p w14:paraId="5FC6A041">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1.5%</w:t>
            </w:r>
          </w:p>
        </w:tc>
        <w:tc>
          <w:tcPr>
            <w:tcW w:w="1546" w:type="dxa"/>
            <w:noWrap w:val="0"/>
            <w:vAlign w:val="top"/>
          </w:tcPr>
          <w:p w14:paraId="2706F80F">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5FB62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F67452B">
            <w:pPr>
              <w:spacing w:line="360" w:lineRule="auto"/>
              <w:rPr>
                <w:rFonts w:ascii="宋体" w:hAnsi="宋体" w:cs="宋体"/>
                <w:color w:val="auto"/>
                <w:szCs w:val="21"/>
                <w:highlight w:val="none"/>
              </w:rPr>
            </w:pPr>
            <w:r>
              <w:rPr>
                <w:rFonts w:hint="eastAsia" w:ascii="宋体" w:hAnsi="宋体" w:cs="宋体"/>
                <w:color w:val="auto"/>
                <w:szCs w:val="21"/>
                <w:highlight w:val="none"/>
              </w:rPr>
              <w:t>100万～500万元</w:t>
            </w:r>
          </w:p>
        </w:tc>
        <w:tc>
          <w:tcPr>
            <w:tcW w:w="1659" w:type="dxa"/>
            <w:noWrap w:val="0"/>
            <w:vAlign w:val="top"/>
          </w:tcPr>
          <w:p w14:paraId="63B117B8">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noWrap w:val="0"/>
            <w:vAlign w:val="top"/>
          </w:tcPr>
          <w:p w14:paraId="2CEAD8A5">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0.8%</w:t>
            </w:r>
          </w:p>
        </w:tc>
        <w:tc>
          <w:tcPr>
            <w:tcW w:w="1546" w:type="dxa"/>
            <w:noWrap w:val="0"/>
            <w:vAlign w:val="top"/>
          </w:tcPr>
          <w:p w14:paraId="09092B08">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78E3E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F90093B">
            <w:pPr>
              <w:spacing w:line="360" w:lineRule="auto"/>
              <w:rPr>
                <w:rFonts w:ascii="宋体" w:hAnsi="宋体" w:cs="宋体"/>
                <w:color w:val="auto"/>
                <w:szCs w:val="21"/>
                <w:highlight w:val="none"/>
              </w:rPr>
            </w:pPr>
            <w:r>
              <w:rPr>
                <w:rFonts w:hint="eastAsia" w:ascii="宋体" w:hAnsi="宋体" w:cs="宋体"/>
                <w:color w:val="auto"/>
                <w:szCs w:val="21"/>
                <w:highlight w:val="none"/>
              </w:rPr>
              <w:t>500万～1000万元</w:t>
            </w:r>
          </w:p>
        </w:tc>
        <w:tc>
          <w:tcPr>
            <w:tcW w:w="1659" w:type="dxa"/>
            <w:noWrap w:val="0"/>
            <w:vAlign w:val="top"/>
          </w:tcPr>
          <w:p w14:paraId="36B426E7">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noWrap w:val="0"/>
            <w:vAlign w:val="top"/>
          </w:tcPr>
          <w:p w14:paraId="7C56DB6B">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0.45%</w:t>
            </w:r>
          </w:p>
        </w:tc>
        <w:tc>
          <w:tcPr>
            <w:tcW w:w="1546" w:type="dxa"/>
            <w:noWrap w:val="0"/>
            <w:vAlign w:val="top"/>
          </w:tcPr>
          <w:p w14:paraId="2D9A44AE">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0.55%</w:t>
            </w:r>
          </w:p>
        </w:tc>
      </w:tr>
      <w:tr w14:paraId="1480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68550E6">
            <w:pPr>
              <w:spacing w:line="360" w:lineRule="auto"/>
              <w:rPr>
                <w:rFonts w:ascii="宋体" w:hAnsi="宋体" w:cs="宋体"/>
                <w:color w:val="auto"/>
                <w:szCs w:val="21"/>
                <w:highlight w:val="none"/>
              </w:rPr>
            </w:pPr>
            <w:r>
              <w:rPr>
                <w:rFonts w:hint="eastAsia" w:ascii="宋体" w:hAnsi="宋体" w:cs="宋体"/>
                <w:color w:val="auto"/>
                <w:szCs w:val="21"/>
                <w:highlight w:val="none"/>
              </w:rPr>
              <w:t>1000万～5000万元</w:t>
            </w:r>
          </w:p>
        </w:tc>
        <w:tc>
          <w:tcPr>
            <w:tcW w:w="1659" w:type="dxa"/>
            <w:noWrap w:val="0"/>
            <w:vAlign w:val="top"/>
          </w:tcPr>
          <w:p w14:paraId="5954B54F">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noWrap w:val="0"/>
            <w:vAlign w:val="top"/>
          </w:tcPr>
          <w:p w14:paraId="08FC6E01">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0.25%</w:t>
            </w:r>
          </w:p>
        </w:tc>
        <w:tc>
          <w:tcPr>
            <w:tcW w:w="1546" w:type="dxa"/>
            <w:noWrap w:val="0"/>
            <w:vAlign w:val="top"/>
          </w:tcPr>
          <w:p w14:paraId="53FB7ED6">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4AF72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8212553">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noWrap w:val="0"/>
            <w:vAlign w:val="top"/>
          </w:tcPr>
          <w:p w14:paraId="24F3B1DD">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noWrap w:val="0"/>
            <w:vAlign w:val="top"/>
          </w:tcPr>
          <w:p w14:paraId="792EDDAB">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0.1%</w:t>
            </w:r>
          </w:p>
        </w:tc>
        <w:tc>
          <w:tcPr>
            <w:tcW w:w="1546" w:type="dxa"/>
            <w:noWrap w:val="0"/>
            <w:vAlign w:val="top"/>
          </w:tcPr>
          <w:p w14:paraId="0C6C1AAE">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w:t>
            </w:r>
          </w:p>
        </w:tc>
      </w:tr>
      <w:tr w14:paraId="7AE16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BBD8176">
            <w:pPr>
              <w:spacing w:line="360" w:lineRule="auto"/>
              <w:rPr>
                <w:rFonts w:ascii="宋体" w:hAnsi="宋体" w:cs="宋体"/>
                <w:color w:val="auto"/>
                <w:szCs w:val="21"/>
                <w:highlight w:val="none"/>
              </w:rPr>
            </w:pPr>
            <w:r>
              <w:rPr>
                <w:rFonts w:hint="eastAsia" w:ascii="宋体" w:hAnsi="宋体" w:cs="宋体"/>
                <w:color w:val="auto"/>
                <w:szCs w:val="21"/>
                <w:highlight w:val="none"/>
              </w:rPr>
              <w:t>1亿～5亿元</w:t>
            </w:r>
          </w:p>
        </w:tc>
        <w:tc>
          <w:tcPr>
            <w:tcW w:w="1659" w:type="dxa"/>
            <w:noWrap w:val="0"/>
            <w:vAlign w:val="top"/>
          </w:tcPr>
          <w:p w14:paraId="32D6696B">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0.05%</w:t>
            </w:r>
          </w:p>
        </w:tc>
        <w:tc>
          <w:tcPr>
            <w:tcW w:w="1532" w:type="dxa"/>
            <w:noWrap w:val="0"/>
            <w:vAlign w:val="top"/>
          </w:tcPr>
          <w:p w14:paraId="1AF3ED6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noWrap w:val="0"/>
            <w:vAlign w:val="top"/>
          </w:tcPr>
          <w:p w14:paraId="1902CA5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r>
      <w:tr w14:paraId="1B26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CE534F3">
            <w:pPr>
              <w:spacing w:line="360" w:lineRule="auto"/>
              <w:rPr>
                <w:rFonts w:ascii="宋体" w:hAnsi="宋体" w:cs="宋体"/>
                <w:color w:val="auto"/>
                <w:szCs w:val="21"/>
                <w:highlight w:val="none"/>
              </w:rPr>
            </w:pPr>
            <w:r>
              <w:rPr>
                <w:rFonts w:hint="eastAsia" w:ascii="宋体" w:hAnsi="宋体" w:cs="宋体"/>
                <w:color w:val="auto"/>
                <w:szCs w:val="21"/>
                <w:highlight w:val="none"/>
              </w:rPr>
              <w:t>5亿～10亿元</w:t>
            </w:r>
          </w:p>
        </w:tc>
        <w:tc>
          <w:tcPr>
            <w:tcW w:w="1659" w:type="dxa"/>
            <w:noWrap w:val="0"/>
            <w:vAlign w:val="top"/>
          </w:tcPr>
          <w:p w14:paraId="4A18A4BF">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c>
          <w:tcPr>
            <w:tcW w:w="1532" w:type="dxa"/>
            <w:noWrap w:val="0"/>
            <w:vAlign w:val="top"/>
          </w:tcPr>
          <w:p w14:paraId="0E6CF1D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noWrap w:val="0"/>
            <w:vAlign w:val="top"/>
          </w:tcPr>
          <w:p w14:paraId="270D3C51">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r>
      <w:tr w14:paraId="7198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DC8D6FF">
            <w:pPr>
              <w:spacing w:line="360" w:lineRule="auto"/>
              <w:rPr>
                <w:rFonts w:ascii="宋体" w:hAnsi="宋体" w:cs="宋体"/>
                <w:color w:val="auto"/>
                <w:szCs w:val="21"/>
                <w:highlight w:val="none"/>
              </w:rPr>
            </w:pPr>
            <w:r>
              <w:rPr>
                <w:rFonts w:hint="eastAsia" w:ascii="宋体" w:hAnsi="宋体" w:cs="宋体"/>
                <w:color w:val="auto"/>
                <w:szCs w:val="21"/>
                <w:highlight w:val="none"/>
              </w:rPr>
              <w:t>10亿～50亿元</w:t>
            </w:r>
          </w:p>
        </w:tc>
        <w:tc>
          <w:tcPr>
            <w:tcW w:w="1659" w:type="dxa"/>
            <w:noWrap w:val="0"/>
            <w:vAlign w:val="top"/>
          </w:tcPr>
          <w:p w14:paraId="5262F6F5">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32" w:type="dxa"/>
            <w:noWrap w:val="0"/>
            <w:vAlign w:val="top"/>
          </w:tcPr>
          <w:p w14:paraId="59ECA6E6">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46" w:type="dxa"/>
            <w:noWrap w:val="0"/>
            <w:vAlign w:val="top"/>
          </w:tcPr>
          <w:p w14:paraId="3B9B5DFD">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r>
      <w:tr w14:paraId="17C10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F0D61B7">
            <w:pPr>
              <w:spacing w:line="360" w:lineRule="auto"/>
              <w:rPr>
                <w:rFonts w:ascii="宋体" w:hAnsi="宋体" w:cs="宋体"/>
                <w:color w:val="auto"/>
                <w:szCs w:val="21"/>
                <w:highlight w:val="none"/>
              </w:rPr>
            </w:pPr>
            <w:r>
              <w:rPr>
                <w:rFonts w:hint="eastAsia" w:ascii="宋体" w:hAnsi="宋体" w:cs="宋体"/>
                <w:color w:val="auto"/>
                <w:szCs w:val="21"/>
                <w:highlight w:val="none"/>
              </w:rPr>
              <w:t>50亿～100亿元</w:t>
            </w:r>
          </w:p>
        </w:tc>
        <w:tc>
          <w:tcPr>
            <w:tcW w:w="1659" w:type="dxa"/>
            <w:noWrap w:val="0"/>
            <w:vAlign w:val="top"/>
          </w:tcPr>
          <w:p w14:paraId="4A568C9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noWrap w:val="0"/>
            <w:vAlign w:val="top"/>
          </w:tcPr>
          <w:p w14:paraId="07B0C36F">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0.006%</w:t>
            </w:r>
          </w:p>
        </w:tc>
        <w:tc>
          <w:tcPr>
            <w:tcW w:w="1546" w:type="dxa"/>
            <w:noWrap w:val="0"/>
            <w:vAlign w:val="top"/>
          </w:tcPr>
          <w:p w14:paraId="11E0EB58">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0.006%</w:t>
            </w:r>
          </w:p>
        </w:tc>
      </w:tr>
      <w:tr w14:paraId="3FC72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9CF2F2F">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noWrap w:val="0"/>
            <w:vAlign w:val="top"/>
          </w:tcPr>
          <w:p w14:paraId="52FAF33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noWrap w:val="0"/>
            <w:vAlign w:val="top"/>
          </w:tcPr>
          <w:p w14:paraId="1F7E3F08">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0.004%</w:t>
            </w:r>
          </w:p>
        </w:tc>
        <w:tc>
          <w:tcPr>
            <w:tcW w:w="1546" w:type="dxa"/>
            <w:noWrap w:val="0"/>
            <w:vAlign w:val="top"/>
          </w:tcPr>
          <w:p w14:paraId="0B7CF65D">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0.004%</w:t>
            </w:r>
          </w:p>
        </w:tc>
      </w:tr>
    </w:tbl>
    <w:p w14:paraId="0092B8FB">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 xml:space="preserve">注： </w:t>
      </w:r>
    </w:p>
    <w:p w14:paraId="78011480">
      <w:pPr>
        <w:spacing w:line="360" w:lineRule="auto"/>
        <w:ind w:firstLine="420" w:firstLineChars="200"/>
        <w:contextualSpacing/>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19290217">
      <w:pPr>
        <w:spacing w:line="360" w:lineRule="auto"/>
        <w:ind w:firstLine="420" w:firstLineChars="200"/>
        <w:contextualSpacing/>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0C9C1D2D">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例如：某</w:t>
      </w:r>
      <w:r>
        <w:rPr>
          <w:rFonts w:hint="eastAsia" w:ascii="宋体" w:hAnsi="宋体" w:cs="宋体"/>
          <w:color w:val="auto"/>
          <w:highlight w:val="none"/>
        </w:rPr>
        <w:t>货物采购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rPr>
        <w:t>或者暂定价</w:t>
      </w:r>
      <w:r>
        <w:rPr>
          <w:rFonts w:ascii="宋体" w:hAnsi="宋体" w:cs="宋体"/>
          <w:color w:val="auto"/>
          <w:highlight w:val="none"/>
        </w:rPr>
        <w:t>为150万元，计算</w:t>
      </w:r>
      <w:r>
        <w:rPr>
          <w:rFonts w:hint="eastAsia" w:ascii="宋体" w:hAnsi="宋体" w:cs="宋体"/>
          <w:color w:val="auto"/>
          <w:highlight w:val="none"/>
        </w:rPr>
        <w:t>采购</w:t>
      </w:r>
      <w:r>
        <w:rPr>
          <w:rFonts w:ascii="宋体" w:hAnsi="宋体" w:cs="宋体"/>
          <w:color w:val="auto"/>
          <w:highlight w:val="none"/>
        </w:rPr>
        <w:t>代理收费额如下：</w:t>
      </w:r>
    </w:p>
    <w:p w14:paraId="2F32C96E">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100 万元 ×l.5 %＝ 1.5 万元</w:t>
      </w:r>
    </w:p>
    <w:p w14:paraId="41E443D3">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 150 － 100 ）万元 ×1.1%＝ 0.55 万元</w:t>
      </w:r>
    </w:p>
    <w:p w14:paraId="3855222E">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合计收费＝ 1.5 ＋ 0.55＝ 2.05 （万元）</w:t>
      </w:r>
    </w:p>
    <w:p w14:paraId="36D3C58C">
      <w:pPr>
        <w:spacing w:line="360" w:lineRule="auto"/>
        <w:ind w:firstLine="482" w:firstLineChars="200"/>
        <w:contextualSpacing/>
        <w:rPr>
          <w:rFonts w:ascii="黑体" w:hAnsi="黑体" w:eastAsia="黑体" w:cs="宋体"/>
          <w:b/>
          <w:bCs/>
          <w:color w:val="auto"/>
          <w:sz w:val="24"/>
          <w:highlight w:val="none"/>
        </w:rPr>
      </w:pPr>
      <w:r>
        <w:rPr>
          <w:rFonts w:ascii="黑体" w:hAnsi="黑体" w:eastAsia="黑体" w:cs="宋体"/>
          <w:b/>
          <w:bCs/>
          <w:color w:val="auto"/>
          <w:sz w:val="24"/>
          <w:highlight w:val="none"/>
        </w:rPr>
        <w:t>33. 需要补充的其他内容</w:t>
      </w:r>
    </w:p>
    <w:p w14:paraId="4F2AE3A9">
      <w:pPr>
        <w:pStyle w:val="12"/>
        <w:spacing w:line="360" w:lineRule="auto"/>
        <w:ind w:firstLine="420" w:firstLineChars="200"/>
        <w:contextualSpacing/>
        <w:rPr>
          <w:rFonts w:hAnsi="宋体"/>
          <w:color w:val="auto"/>
          <w:sz w:val="21"/>
          <w:highlight w:val="none"/>
        </w:rPr>
      </w:pPr>
      <w:r>
        <w:rPr>
          <w:rFonts w:hAnsi="宋体"/>
          <w:color w:val="auto"/>
          <w:sz w:val="21"/>
          <w:highlight w:val="none"/>
        </w:rPr>
        <w:t>33.1</w:t>
      </w:r>
      <w:r>
        <w:rPr>
          <w:rFonts w:hint="eastAsia" w:hAnsi="宋体" w:cs="宋体"/>
          <w:color w:val="auto"/>
          <w:sz w:val="21"/>
          <w:highlight w:val="none"/>
        </w:rPr>
        <w:t>本谈判文件解释规则详见</w:t>
      </w:r>
      <w:r>
        <w:rPr>
          <w:rFonts w:hint="eastAsia" w:hAnsi="宋体"/>
          <w:color w:val="auto"/>
          <w:sz w:val="21"/>
          <w:highlight w:val="none"/>
        </w:rPr>
        <w:t>“供应商须知前附表”。</w:t>
      </w:r>
    </w:p>
    <w:p w14:paraId="7D59B03F">
      <w:pPr>
        <w:spacing w:line="360" w:lineRule="auto"/>
        <w:ind w:firstLine="420" w:firstLineChars="200"/>
        <w:contextualSpacing/>
        <w:rPr>
          <w:rFonts w:hAnsi="宋体"/>
          <w:color w:val="auto"/>
          <w:highlight w:val="none"/>
        </w:rPr>
      </w:pPr>
      <w:r>
        <w:rPr>
          <w:rFonts w:ascii="宋体" w:hAnsi="宋体" w:cs="宋体"/>
          <w:color w:val="auto"/>
          <w:kern w:val="0"/>
          <w:szCs w:val="21"/>
          <w:highlight w:val="none"/>
        </w:rPr>
        <w:t>33.2</w:t>
      </w:r>
      <w:r>
        <w:rPr>
          <w:rFonts w:hint="eastAsia" w:ascii="宋体" w:hAnsi="宋体" w:cs="宋体"/>
          <w:color w:val="auto"/>
          <w:kern w:val="0"/>
          <w:szCs w:val="21"/>
          <w:highlight w:val="none"/>
        </w:rPr>
        <w:t xml:space="preserve"> 其他事</w:t>
      </w:r>
      <w:r>
        <w:rPr>
          <w:rFonts w:hint="eastAsia" w:hAnsi="宋体"/>
          <w:color w:val="auto"/>
          <w:highlight w:val="none"/>
        </w:rPr>
        <w:t>项详见“供应商须知前附表”。</w:t>
      </w:r>
    </w:p>
    <w:p w14:paraId="7B2354D0">
      <w:pPr>
        <w:pStyle w:val="12"/>
        <w:spacing w:line="360" w:lineRule="auto"/>
        <w:ind w:firstLine="400" w:firstLineChars="200"/>
        <w:contextualSpacing/>
        <w:rPr>
          <w:rFonts w:hint="eastAsia" w:hAnsi="宋体"/>
          <w:color w:val="auto"/>
          <w:sz w:val="21"/>
          <w:highlight w:val="none"/>
        </w:rPr>
      </w:pPr>
      <w:r>
        <w:rPr>
          <w:rFonts w:hint="eastAsia" w:hAnsi="宋体"/>
          <w:color w:val="auto"/>
          <w:highlight w:val="none"/>
        </w:rPr>
        <w:t>3</w:t>
      </w:r>
      <w:r>
        <w:rPr>
          <w:rFonts w:hAnsi="宋体"/>
          <w:color w:val="auto"/>
          <w:highlight w:val="none"/>
        </w:rPr>
        <w:t>3.3</w:t>
      </w:r>
      <w:bookmarkStart w:id="74" w:name="_Hlk65857140"/>
      <w:r>
        <w:rPr>
          <w:rFonts w:hint="eastAsia" w:hAnsi="宋体"/>
          <w:color w:val="auto"/>
          <w:sz w:val="21"/>
          <w:highlight w:val="none"/>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14:paraId="17AB8C5B">
      <w:pPr>
        <w:pStyle w:val="12"/>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13A00C22">
      <w:pPr>
        <w:pStyle w:val="12"/>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0035926D">
      <w:pPr>
        <w:pStyle w:val="12"/>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53967DE0">
      <w:pPr>
        <w:pStyle w:val="12"/>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14:paraId="53EE6AC7">
      <w:pPr>
        <w:spacing w:line="360" w:lineRule="auto"/>
        <w:ind w:firstLine="420" w:firstLineChars="200"/>
        <w:contextualSpacing/>
        <w:rPr>
          <w:rFonts w:hint="eastAsia" w:ascii="宋体" w:hAnsi="宋体" w:cs="宋体"/>
          <w:color w:val="auto"/>
          <w:highlight w:val="none"/>
        </w:rPr>
      </w:pPr>
      <w:r>
        <w:rPr>
          <w:rFonts w:hint="eastAsia" w:hAnsi="宋体"/>
          <w:color w:val="auto"/>
          <w:highlight w:val="none"/>
        </w:rPr>
        <w:t>依据本谈判文件规定享受扶持政策获得政府采购合同的，小微企业不得将合同分包给大中型企业，中型企业不得将合同分包给大型企业。</w:t>
      </w:r>
      <w:bookmarkEnd w:id="74"/>
    </w:p>
    <w:p w14:paraId="68C9BF6A">
      <w:pPr>
        <w:pStyle w:val="2"/>
        <w:ind w:left="1" w:firstLine="3" w:firstLineChars="1"/>
        <w:rPr>
          <w:rFonts w:hint="eastAsia" w:ascii="宋体"/>
          <w:b/>
          <w:bCs/>
          <w:color w:val="auto"/>
          <w:sz w:val="18"/>
          <w:szCs w:val="18"/>
          <w:highlight w:val="none"/>
        </w:rPr>
      </w:pPr>
      <w:r>
        <w:rPr>
          <w:rFonts w:ascii="黑体" w:hAnsi="黑体" w:eastAsia="黑体" w:cs="黑体"/>
          <w:bCs/>
          <w:color w:val="auto"/>
          <w:sz w:val="32"/>
          <w:szCs w:val="32"/>
          <w:highlight w:val="none"/>
        </w:rPr>
        <w:br w:type="page"/>
      </w:r>
    </w:p>
    <w:p w14:paraId="6AC3100C">
      <w:pPr>
        <w:pStyle w:val="12"/>
        <w:snapToGrid w:val="0"/>
        <w:spacing w:before="120" w:after="120"/>
        <w:rPr>
          <w:rFonts w:hint="eastAsia" w:hAnsi="宋体"/>
          <w:color w:val="auto"/>
          <w:highlight w:val="none"/>
        </w:rPr>
      </w:pPr>
    </w:p>
    <w:p w14:paraId="18F32825">
      <w:pPr>
        <w:jc w:val="left"/>
        <w:rPr>
          <w:rFonts w:hint="eastAsia" w:hAnsi="宋体"/>
          <w:b/>
          <w:color w:val="auto"/>
          <w:sz w:val="32"/>
          <w:szCs w:val="32"/>
          <w:highlight w:val="none"/>
        </w:rPr>
      </w:pPr>
    </w:p>
    <w:p w14:paraId="4F7F6C7C">
      <w:pPr>
        <w:pStyle w:val="3"/>
        <w:jc w:val="center"/>
        <w:rPr>
          <w:rFonts w:hint="eastAsia"/>
          <w:color w:val="auto"/>
          <w:highlight w:val="none"/>
        </w:rPr>
      </w:pPr>
      <w:bookmarkStart w:id="75" w:name="_Toc74322010"/>
      <w:r>
        <w:rPr>
          <w:rFonts w:hint="eastAsia"/>
          <w:color w:val="auto"/>
          <w:highlight w:val="none"/>
        </w:rPr>
        <w:t>第三章 采购需求</w:t>
      </w:r>
      <w:bookmarkEnd w:id="75"/>
    </w:p>
    <w:p w14:paraId="77DC9AE4">
      <w:pPr>
        <w:spacing w:line="44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采购项目技术规格、参数及要求</w:t>
      </w:r>
    </w:p>
    <w:p w14:paraId="60DB11DC">
      <w:pPr>
        <w:spacing w:line="440" w:lineRule="exact"/>
        <w:jc w:val="left"/>
        <w:rPr>
          <w:rFonts w:hint="eastAsia" w:ascii="宋体" w:hAnsi="宋体" w:cs="宋体"/>
          <w:color w:val="auto"/>
          <w:szCs w:val="21"/>
          <w:highlight w:val="none"/>
        </w:rPr>
      </w:pPr>
    </w:p>
    <w:p w14:paraId="0E6343AC">
      <w:pPr>
        <w:spacing w:line="360" w:lineRule="auto"/>
        <w:jc w:val="left"/>
        <w:rPr>
          <w:color w:val="auto"/>
          <w:highlight w:val="none"/>
        </w:rPr>
      </w:pPr>
      <w:r>
        <w:rPr>
          <w:rFonts w:hint="eastAsia" w:ascii="宋体" w:hAnsi="宋体" w:cs="宋体"/>
          <w:color w:val="auto"/>
          <w:szCs w:val="21"/>
          <w:highlight w:val="none"/>
        </w:rPr>
        <w:t>说明：</w:t>
      </w:r>
    </w:p>
    <w:p w14:paraId="4EF68C06">
      <w:pPr>
        <w:spacing w:line="360" w:lineRule="auto"/>
        <w:ind w:firstLine="420" w:firstLineChars="200"/>
        <w:jc w:val="left"/>
        <w:rPr>
          <w:rFonts w:hint="eastAsia" w:ascii="宋体" w:hAnsi="宋体" w:cs="宋体"/>
          <w:color w:val="auto"/>
          <w:szCs w:val="21"/>
          <w:highlight w:val="none"/>
        </w:rPr>
      </w:pPr>
      <w:r>
        <w:rPr>
          <w:rFonts w:hint="eastAsia"/>
          <w:color w:val="auto"/>
          <w:highlight w:val="none"/>
        </w:rPr>
        <w:t>1. 为落实政府采购政策需满足的要求</w:t>
      </w:r>
    </w:p>
    <w:p w14:paraId="5F10791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（1）本竞争性谈判采购文件所称中小企业必须符合《政府采购促进中小企业发展管理办法》（财库〔2020〕46号）的规定。</w:t>
      </w:r>
    </w:p>
    <w:p w14:paraId="14C2328B">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电子签章），否则响应文件按无效处理。如本项目包含的货物属于品目清单内非标注“★”的产品时，应优先采购，具体详见“第四章 评审程序和评定成交的标准”。</w:t>
      </w:r>
    </w:p>
    <w:p w14:paraId="65A1E70C">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color w:val="auto"/>
          <w:highlight w:val="none"/>
        </w:rPr>
        <w:t>根据《关于调整网络安全专用产品安全管理有关事项的公告》（</w:t>
      </w:r>
      <w:r>
        <w:rPr>
          <w:color w:val="auto"/>
          <w:highlight w:val="none"/>
        </w:rPr>
        <w:t>2023</w:t>
      </w:r>
      <w:r>
        <w:rPr>
          <w:rFonts w:hint="eastAsia"/>
          <w:color w:val="auto"/>
          <w:highlight w:val="none"/>
        </w:rPr>
        <w:t>年</w:t>
      </w:r>
      <w:r>
        <w:rPr>
          <w:color w:val="auto"/>
          <w:highlight w:val="none"/>
        </w:rPr>
        <w:t>1</w:t>
      </w:r>
      <w:r>
        <w:rPr>
          <w:rFonts w:hint="eastAsia"/>
          <w:color w:val="auto"/>
          <w:highlight w:val="none"/>
        </w:rPr>
        <w:t>号）规定，本项目采购需求中的产品如果包括《网络关键设备和网络安全专用产品目录》的网络安全专用产品，供应商在响应文件中应主动列明供货范围中属于网络安全专用产品的响应产品，并在响应文件（商务及技术文件）中提供由中国网信网（</w:t>
      </w:r>
      <w:r>
        <w:rPr>
          <w:color w:val="auto"/>
          <w:highlight w:val="none"/>
        </w:rPr>
        <w:t>http://www.cac.gov.cn/index.htm</w:t>
      </w:r>
      <w:r>
        <w:rPr>
          <w:rFonts w:hint="eastAsia"/>
          <w:color w:val="auto"/>
          <w:highlight w:val="none"/>
        </w:rPr>
        <w:t>）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响应文件按无效处理。如属于《网络关键设备和网络安全专用产品目录》中</w:t>
      </w:r>
      <w:r>
        <w:rPr>
          <w:color w:val="auto"/>
          <w:highlight w:val="none"/>
        </w:rPr>
        <w:t>“</w:t>
      </w:r>
      <w:r>
        <w:rPr>
          <w:rFonts w:hint="eastAsia"/>
          <w:color w:val="auto"/>
          <w:highlight w:val="none"/>
        </w:rPr>
        <w:t>二、网络安全专用产品</w:t>
      </w:r>
      <w:r>
        <w:rPr>
          <w:color w:val="auto"/>
          <w:highlight w:val="none"/>
        </w:rPr>
        <w:t>”</w:t>
      </w:r>
      <w:r>
        <w:rPr>
          <w:rFonts w:hint="eastAsia"/>
          <w:color w:val="auto"/>
          <w:highlight w:val="none"/>
        </w:rPr>
        <w:t>内</w:t>
      </w:r>
      <w:r>
        <w:rPr>
          <w:color w:val="auto"/>
          <w:highlight w:val="none"/>
        </w:rPr>
        <w:t>“</w:t>
      </w:r>
      <w:r>
        <w:rPr>
          <w:rFonts w:hint="eastAsia"/>
          <w:color w:val="auto"/>
          <w:highlight w:val="none"/>
        </w:rPr>
        <w:t>产品类别</w:t>
      </w:r>
      <w:r>
        <w:rPr>
          <w:color w:val="auto"/>
          <w:highlight w:val="none"/>
        </w:rPr>
        <w:t>”</w:t>
      </w:r>
      <w:r>
        <w:rPr>
          <w:rFonts w:hint="eastAsia"/>
          <w:color w:val="auto"/>
          <w:highlight w:val="none"/>
        </w:rPr>
        <w:t>中的所描述的产品，但不属于所列</w:t>
      </w:r>
      <w:r>
        <w:rPr>
          <w:color w:val="auto"/>
          <w:highlight w:val="none"/>
        </w:rPr>
        <w:t>“</w:t>
      </w:r>
      <w:r>
        <w:rPr>
          <w:rFonts w:hint="eastAsia"/>
          <w:color w:val="auto"/>
          <w:highlight w:val="none"/>
        </w:rPr>
        <w:t>产品描述</w:t>
      </w:r>
      <w:r>
        <w:rPr>
          <w:color w:val="auto"/>
          <w:highlight w:val="none"/>
        </w:rPr>
        <w:t>”</w:t>
      </w:r>
      <w:r>
        <w:rPr>
          <w:rFonts w:hint="eastAsia"/>
          <w:color w:val="auto"/>
          <w:highlight w:val="none"/>
        </w:rPr>
        <w:t>情形的，应提供相应的说明及证明材料。</w:t>
      </w:r>
    </w:p>
    <w:p w14:paraId="54DC79EA">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 “实质性要求”是指采购需求中带“▲”的条款或者不能负偏离的条款或者已经指明不满足按响应文件按无效处理的条款。</w:t>
      </w:r>
    </w:p>
    <w:p w14:paraId="43F3E0BF">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3.采购需求中出现的品牌、型号或者生产供应商仅起参考作用，不属于指定品牌、型号或者生产供应</w:t>
      </w:r>
      <w:r>
        <w:rPr>
          <w:rFonts w:hint="eastAsia" w:ascii="宋体" w:hAnsi="宋体" w:cs="宋体"/>
          <w:color w:val="auto"/>
          <w:szCs w:val="21"/>
          <w:highlight w:val="none"/>
        </w:rPr>
        <w:t>商的情形。供应商可参照或者选用其他相当的品牌、型号或者生产供应商替代。</w:t>
      </w:r>
    </w:p>
    <w:p w14:paraId="7255C9A2">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4. 供应商应根据自身实际情况如实响应谈判文件，对谈判文件提出的要求和条件作出明确响应，否则将作无效响应处理。对于重要技术条款或技术参数应当在响应文件中提供技术支持资料，技术支持资料以谈判文件中规定的形式为准，否则将视为无效技术支持资料。</w:t>
      </w:r>
    </w:p>
    <w:p w14:paraId="1FAED9B7">
      <w:pPr>
        <w:spacing w:line="360" w:lineRule="auto"/>
        <w:ind w:firstLine="424" w:firstLineChars="202"/>
        <w:jc w:val="left"/>
        <w:rPr>
          <w:rFonts w:hint="eastAsia" w:ascii="宋体" w:hAnsi="宋体"/>
          <w:color w:val="auto"/>
          <w:szCs w:val="21"/>
          <w:highlight w:val="none"/>
        </w:rPr>
      </w:pPr>
      <w:r>
        <w:rPr>
          <w:rFonts w:hint="eastAsia" w:ascii="宋体" w:hAnsi="宋体" w:cs="宋体"/>
          <w:color w:val="auto"/>
          <w:szCs w:val="21"/>
          <w:highlight w:val="none"/>
        </w:rPr>
        <w:t>5.</w:t>
      </w:r>
      <w:r>
        <w:rPr>
          <w:rFonts w:hint="eastAsia"/>
          <w:color w:val="auto"/>
          <w:highlight w:val="none"/>
        </w:rPr>
        <w:t>供应商必须自行为其竞标产品侵犯他人的知识产权或者专利成果的行为承担相应法律责任。</w:t>
      </w:r>
    </w:p>
    <w:p w14:paraId="42E22EEE">
      <w:pPr>
        <w:spacing w:line="360" w:lineRule="auto"/>
        <w:jc w:val="left"/>
        <w:rPr>
          <w:rFonts w:ascii="宋体" w:hAnsi="宋体" w:cs="Arial"/>
          <w:bCs/>
          <w:color w:val="auto"/>
          <w:szCs w:val="21"/>
          <w:highlight w:val="none"/>
          <w:u w:val="single"/>
        </w:rPr>
      </w:pPr>
      <w:bookmarkStart w:id="76" w:name="_Hlk48036094"/>
    </w:p>
    <w:p w14:paraId="702F4C78">
      <w:pPr>
        <w:spacing w:line="360" w:lineRule="auto"/>
        <w:ind w:firstLine="308" w:firstLineChars="147"/>
        <w:jc w:val="left"/>
        <w:rPr>
          <w:rFonts w:hint="eastAsia" w:ascii="宋体" w:hAnsi="宋体" w:cs="Arial"/>
          <w:bCs/>
          <w:color w:val="auto"/>
          <w:szCs w:val="21"/>
          <w:highlight w:val="none"/>
          <w:u w:val="single"/>
        </w:rPr>
      </w:pPr>
      <w:r>
        <w:rPr>
          <w:rFonts w:hint="eastAsia" w:ascii="宋体" w:hAnsi="宋体" w:cs="Arial"/>
          <w:bCs/>
          <w:color w:val="auto"/>
          <w:szCs w:val="21"/>
          <w:highlight w:val="none"/>
          <w:u w:val="single"/>
          <w:lang w:val="en-US" w:eastAsia="zh-CN"/>
        </w:rPr>
        <w:t>1</w:t>
      </w:r>
      <w:r>
        <w:rPr>
          <w:rFonts w:hint="eastAsia" w:ascii="宋体" w:hAnsi="宋体" w:cs="Arial"/>
          <w:bCs/>
          <w:color w:val="auto"/>
          <w:szCs w:val="21"/>
          <w:highlight w:val="none"/>
          <w:u w:val="single"/>
        </w:rPr>
        <w:t xml:space="preserve"> </w:t>
      </w:r>
      <w:r>
        <w:rPr>
          <w:rFonts w:hint="eastAsia" w:ascii="宋体" w:hAnsi="宋体"/>
          <w:b/>
          <w:color w:val="auto"/>
          <w:szCs w:val="21"/>
          <w:highlight w:val="none"/>
        </w:rPr>
        <w:t>分标      采购预算：</w:t>
      </w:r>
      <w:r>
        <w:rPr>
          <w:rFonts w:hint="eastAsia" w:ascii="宋体" w:hAnsi="宋体" w:cs="Arial"/>
          <w:bCs/>
          <w:color w:val="auto"/>
          <w:szCs w:val="21"/>
          <w:highlight w:val="none"/>
          <w:u w:val="single"/>
          <w:lang w:val="en-US" w:eastAsia="zh-CN"/>
        </w:rPr>
        <w:t>1067000.00元</w:t>
      </w:r>
      <w:r>
        <w:rPr>
          <w:rFonts w:hint="eastAsia" w:ascii="宋体" w:hAnsi="宋体" w:cs="Arial"/>
          <w:bCs/>
          <w:color w:val="auto"/>
          <w:szCs w:val="21"/>
          <w:highlight w:val="none"/>
          <w:u w:val="single"/>
        </w:rPr>
        <w:t xml:space="preserve"> </w:t>
      </w:r>
    </w:p>
    <w:p w14:paraId="3D89CDB0">
      <w:pPr>
        <w:spacing w:line="360" w:lineRule="auto"/>
        <w:ind w:firstLine="310" w:firstLineChars="147"/>
        <w:jc w:val="left"/>
        <w:rPr>
          <w:rFonts w:ascii="宋体" w:hAnsi="宋体" w:cs="Arial"/>
          <w:bCs/>
          <w:color w:val="auto"/>
          <w:szCs w:val="21"/>
          <w:highlight w:val="none"/>
          <w:u w:val="single"/>
        </w:rPr>
      </w:pPr>
      <w:r>
        <w:rPr>
          <w:rFonts w:hint="eastAsia" w:ascii="宋体" w:hAnsi="宋体"/>
          <w:b/>
          <w:color w:val="auto"/>
          <w:szCs w:val="21"/>
          <w:highlight w:val="none"/>
        </w:rPr>
        <w:t>本分标的核心产品为下表的第</w:t>
      </w:r>
      <w:r>
        <w:rPr>
          <w:rFonts w:hint="eastAsia"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 xml:space="preserve">1 </w:t>
      </w:r>
      <w:r>
        <w:rPr>
          <w:rFonts w:hint="eastAsia" w:ascii="宋体" w:hAnsi="宋体"/>
          <w:b/>
          <w:color w:val="auto"/>
          <w:szCs w:val="21"/>
          <w:highlight w:val="none"/>
        </w:rPr>
        <w:t>项产品。</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8"/>
        <w:gridCol w:w="830"/>
        <w:gridCol w:w="232"/>
        <w:gridCol w:w="638"/>
        <w:gridCol w:w="765"/>
        <w:gridCol w:w="4530"/>
        <w:gridCol w:w="1233"/>
      </w:tblGrid>
      <w:tr w14:paraId="305FB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4" w:hRule="atLeast"/>
          <w:jc w:val="center"/>
        </w:trPr>
        <w:tc>
          <w:tcPr>
            <w:tcW w:w="648" w:type="dxa"/>
            <w:noWrap w:val="0"/>
            <w:vAlign w:val="center"/>
          </w:tcPr>
          <w:p w14:paraId="011C1244">
            <w:pPr>
              <w:keepNext w:val="0"/>
              <w:keepLines w:val="0"/>
              <w:pageBreakBefore w:val="0"/>
              <w:tabs>
                <w:tab w:val="left" w:pos="180"/>
                <w:tab w:val="left" w:pos="1620"/>
              </w:tabs>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30" w:type="dxa"/>
            <w:noWrap w:val="0"/>
            <w:vAlign w:val="center"/>
          </w:tcPr>
          <w:p w14:paraId="2E5729B6">
            <w:pPr>
              <w:keepNext w:val="0"/>
              <w:keepLines w:val="0"/>
              <w:pageBreakBefore w:val="0"/>
              <w:tabs>
                <w:tab w:val="left" w:pos="180"/>
                <w:tab w:val="left" w:pos="1620"/>
              </w:tabs>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标的的名称</w:t>
            </w:r>
          </w:p>
        </w:tc>
        <w:tc>
          <w:tcPr>
            <w:tcW w:w="870" w:type="dxa"/>
            <w:gridSpan w:val="2"/>
            <w:noWrap w:val="0"/>
            <w:vAlign w:val="center"/>
          </w:tcPr>
          <w:p w14:paraId="1D80C3BF">
            <w:pPr>
              <w:keepNext w:val="0"/>
              <w:keepLines w:val="0"/>
              <w:pageBreakBefore w:val="0"/>
              <w:tabs>
                <w:tab w:val="left" w:pos="180"/>
                <w:tab w:val="left" w:pos="1620"/>
              </w:tabs>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数量及单位</w:t>
            </w:r>
          </w:p>
        </w:tc>
        <w:tc>
          <w:tcPr>
            <w:tcW w:w="765" w:type="dxa"/>
            <w:noWrap w:val="0"/>
            <w:vAlign w:val="center"/>
          </w:tcPr>
          <w:p w14:paraId="7F15DD99">
            <w:pPr>
              <w:keepNext w:val="0"/>
              <w:keepLines w:val="0"/>
              <w:pageBreakBefore w:val="0"/>
              <w:tabs>
                <w:tab w:val="left" w:pos="180"/>
                <w:tab w:val="left" w:pos="1620"/>
              </w:tabs>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所属行业</w:t>
            </w:r>
          </w:p>
        </w:tc>
        <w:tc>
          <w:tcPr>
            <w:tcW w:w="4530" w:type="dxa"/>
            <w:tcBorders>
              <w:right w:val="single" w:color="auto" w:sz="4" w:space="0"/>
            </w:tcBorders>
            <w:noWrap w:val="0"/>
            <w:vAlign w:val="center"/>
          </w:tcPr>
          <w:p w14:paraId="5E58576D">
            <w:pPr>
              <w:keepNext w:val="0"/>
              <w:keepLines w:val="0"/>
              <w:pageBreakBefore w:val="0"/>
              <w:tabs>
                <w:tab w:val="left" w:pos="180"/>
                <w:tab w:val="left" w:pos="1620"/>
              </w:tabs>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技术要求</w:t>
            </w:r>
          </w:p>
        </w:tc>
        <w:tc>
          <w:tcPr>
            <w:tcW w:w="1233" w:type="dxa"/>
            <w:tcBorders>
              <w:left w:val="single" w:color="auto" w:sz="4" w:space="0"/>
            </w:tcBorders>
            <w:noWrap w:val="0"/>
            <w:vAlign w:val="center"/>
          </w:tcPr>
          <w:p w14:paraId="6DD0A33C">
            <w:pPr>
              <w:keepNext w:val="0"/>
              <w:keepLines w:val="0"/>
              <w:pageBreakBefore w:val="0"/>
              <w:tabs>
                <w:tab w:val="left" w:pos="180"/>
                <w:tab w:val="left" w:pos="1620"/>
              </w:tabs>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最高上限单价（</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lang w:eastAsia="zh-CN"/>
              </w:rPr>
              <w:t>）</w:t>
            </w:r>
          </w:p>
        </w:tc>
      </w:tr>
      <w:tr w14:paraId="49136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648" w:type="dxa"/>
            <w:noWrap w:val="0"/>
            <w:vAlign w:val="center"/>
          </w:tcPr>
          <w:p w14:paraId="48311A53">
            <w:pPr>
              <w:keepNext w:val="0"/>
              <w:keepLines w:val="0"/>
              <w:pageBreakBefore w:val="0"/>
              <w:tabs>
                <w:tab w:val="left" w:pos="180"/>
                <w:tab w:val="left" w:pos="1620"/>
              </w:tabs>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30" w:type="dxa"/>
            <w:noWrap w:val="0"/>
            <w:vAlign w:val="center"/>
          </w:tcPr>
          <w:p w14:paraId="043B9C96">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u w:val="none"/>
                <w:lang w:val="en-US" w:eastAsia="zh-CN"/>
              </w:rPr>
              <w:t>血液透析机（带滤过功能）</w:t>
            </w:r>
          </w:p>
        </w:tc>
        <w:tc>
          <w:tcPr>
            <w:tcW w:w="870" w:type="dxa"/>
            <w:gridSpan w:val="2"/>
            <w:noWrap w:val="0"/>
            <w:vAlign w:val="center"/>
          </w:tcPr>
          <w:p w14:paraId="439B0B53">
            <w:pPr>
              <w:keepNext w:val="0"/>
              <w:keepLines w:val="0"/>
              <w:pageBreakBefore w:val="0"/>
              <w:tabs>
                <w:tab w:val="left" w:pos="180"/>
                <w:tab w:val="left" w:pos="1620"/>
              </w:tabs>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3台</w:t>
            </w:r>
          </w:p>
        </w:tc>
        <w:tc>
          <w:tcPr>
            <w:tcW w:w="765" w:type="dxa"/>
            <w:noWrap w:val="0"/>
            <w:vAlign w:val="center"/>
          </w:tcPr>
          <w:p w14:paraId="762875C7">
            <w:pPr>
              <w:keepNext w:val="0"/>
              <w:keepLines w:val="0"/>
              <w:pageBreakBefore w:val="0"/>
              <w:tabs>
                <w:tab w:val="left" w:pos="180"/>
                <w:tab w:val="left" w:pos="1620"/>
              </w:tabs>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工业</w:t>
            </w:r>
          </w:p>
        </w:tc>
        <w:tc>
          <w:tcPr>
            <w:tcW w:w="4530" w:type="dxa"/>
            <w:tcBorders>
              <w:right w:val="single" w:color="auto" w:sz="4" w:space="0"/>
            </w:tcBorders>
            <w:noWrap w:val="0"/>
            <w:vAlign w:val="center"/>
          </w:tcPr>
          <w:p w14:paraId="095CCF4A">
            <w:pPr>
              <w:pStyle w:val="57"/>
              <w:keepNext w:val="0"/>
              <w:keepLines w:val="0"/>
              <w:pageBreakBefore w:val="0"/>
              <w:widowControl/>
              <w:kinsoku/>
              <w:wordWrap/>
              <w:overflowPunct/>
              <w:topLinePunct w:val="0"/>
              <w:autoSpaceDE/>
              <w:autoSpaceDN/>
              <w:bidi w:val="0"/>
              <w:adjustRightInd/>
              <w:snapToGrid/>
              <w:spacing w:line="480" w:lineRule="exact"/>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主要技术参数 </w:t>
            </w:r>
          </w:p>
          <w:p w14:paraId="2D6FA6FA">
            <w:pPr>
              <w:pStyle w:val="57"/>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供水: 压力范围：1-7bar；温度范围：5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35C5E024">
            <w:pPr>
              <w:pStyle w:val="57"/>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透析液流速：300～700mL/min。</w:t>
            </w:r>
          </w:p>
          <w:p w14:paraId="272470E8">
            <w:pPr>
              <w:pStyle w:val="57"/>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透析液温度：34.0～40.0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4CC89256">
            <w:pPr>
              <w:pStyle w:val="57"/>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超滤速度： 0.10～4.00L/h。</w:t>
            </w:r>
          </w:p>
          <w:p w14:paraId="0EF802B4">
            <w:pPr>
              <w:pStyle w:val="57"/>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漏血检测器：方法：光学检测；灵敏度：0.4mL血液/1L透析液。</w:t>
            </w:r>
          </w:p>
          <w:p w14:paraId="6204A4AA">
            <w:pPr>
              <w:pStyle w:val="57"/>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sz w:val="21"/>
                <w:szCs w:val="21"/>
                <w:highlight w:val="none"/>
              </w:rPr>
              <w:t>动脉血泵：50～600mL/min。</w:t>
            </w:r>
          </w:p>
          <w:p w14:paraId="24551069">
            <w:pPr>
              <w:pStyle w:val="57"/>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sz w:val="21"/>
                <w:szCs w:val="21"/>
                <w:highlight w:val="none"/>
              </w:rPr>
              <w:t>肝素泵：设置范围：0.0～9mL/h。</w:t>
            </w:r>
          </w:p>
          <w:p w14:paraId="48864DF4">
            <w:pPr>
              <w:pStyle w:val="57"/>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pacing w:val="0"/>
                <w:sz w:val="21"/>
                <w:szCs w:val="21"/>
                <w:highlight w:val="none"/>
              </w:rPr>
              <w:t>▲</w:t>
            </w:r>
            <w:r>
              <w:rPr>
                <w:rFonts w:hint="eastAsia" w:ascii="宋体" w:hAnsi="宋体" w:eastAsia="宋体" w:cs="宋体"/>
                <w:b w:val="0"/>
                <w:bCs w:val="0"/>
                <w:color w:val="auto"/>
                <w:kern w:val="2"/>
                <w:sz w:val="21"/>
                <w:szCs w:val="21"/>
                <w:highlight w:val="none"/>
                <w:lang w:val="en-US" w:eastAsia="zh-CN" w:bidi="ar-SA"/>
              </w:rPr>
              <w:t>8.</w:t>
            </w:r>
            <w:r>
              <w:rPr>
                <w:rFonts w:hint="eastAsia" w:ascii="宋体" w:hAnsi="宋体" w:eastAsia="宋体" w:cs="宋体"/>
                <w:b w:val="0"/>
                <w:bCs w:val="0"/>
                <w:color w:val="auto"/>
                <w:sz w:val="21"/>
                <w:szCs w:val="21"/>
                <w:highlight w:val="none"/>
              </w:rPr>
              <w:t>空气监测器：监测方法 ：超声波；微小气泡0.0005mL 。</w:t>
            </w:r>
          </w:p>
          <w:p w14:paraId="7EA30D67">
            <w:pPr>
              <w:pStyle w:val="57"/>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9.</w:t>
            </w:r>
            <w:r>
              <w:rPr>
                <w:rFonts w:hint="eastAsia" w:ascii="宋体" w:hAnsi="宋体" w:eastAsia="宋体" w:cs="宋体"/>
                <w:color w:val="auto"/>
                <w:sz w:val="21"/>
                <w:szCs w:val="21"/>
                <w:highlight w:val="none"/>
              </w:rPr>
              <w:t>在线HDF/HF置换液泵： 0.10～28.00L/h。</w:t>
            </w:r>
          </w:p>
          <w:p w14:paraId="233F9E60">
            <w:pPr>
              <w:pStyle w:val="57"/>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10.</w:t>
            </w:r>
            <w:r>
              <w:rPr>
                <w:rFonts w:hint="eastAsia" w:ascii="宋体" w:hAnsi="宋体" w:eastAsia="宋体" w:cs="宋体"/>
                <w:color w:val="auto"/>
                <w:sz w:val="21"/>
                <w:szCs w:val="21"/>
                <w:highlight w:val="none"/>
              </w:rPr>
              <w:t>一次性注入补液：50～500mL/min。</w:t>
            </w:r>
          </w:p>
          <w:p w14:paraId="1619CE6A">
            <w:pPr>
              <w:pStyle w:val="57"/>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11.</w:t>
            </w:r>
            <w:r>
              <w:rPr>
                <w:rFonts w:hint="eastAsia" w:ascii="宋体" w:hAnsi="宋体" w:eastAsia="宋体" w:cs="宋体"/>
                <w:color w:val="auto"/>
                <w:sz w:val="21"/>
                <w:szCs w:val="21"/>
                <w:highlight w:val="none"/>
              </w:rPr>
              <w:t>动脉压力：测量范围：-300～+300mmHg。</w:t>
            </w:r>
          </w:p>
          <w:p w14:paraId="55749BB9">
            <w:pPr>
              <w:pStyle w:val="57"/>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12.</w:t>
            </w:r>
            <w:r>
              <w:rPr>
                <w:rFonts w:hint="eastAsia" w:ascii="宋体" w:hAnsi="宋体" w:eastAsia="宋体" w:cs="宋体"/>
                <w:color w:val="auto"/>
                <w:sz w:val="21"/>
                <w:szCs w:val="21"/>
                <w:highlight w:val="none"/>
              </w:rPr>
              <w:t>静脉压力：测量范围：-300～+400mmHg。</w:t>
            </w:r>
          </w:p>
          <w:p w14:paraId="5C4584B3">
            <w:pPr>
              <w:pStyle w:val="57"/>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13.</w:t>
            </w:r>
            <w:r>
              <w:rPr>
                <w:rFonts w:hint="eastAsia" w:ascii="宋体" w:hAnsi="宋体" w:eastAsia="宋体" w:cs="宋体"/>
                <w:color w:val="auto"/>
                <w:sz w:val="21"/>
                <w:szCs w:val="21"/>
                <w:highlight w:val="none"/>
              </w:rPr>
              <w:t>TMP：测量范围：-80～+500mmHg。</w:t>
            </w:r>
          </w:p>
          <w:p w14:paraId="5B85222B">
            <w:pPr>
              <w:pStyle w:val="57"/>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14.</w:t>
            </w:r>
            <w:r>
              <w:rPr>
                <w:rFonts w:hint="eastAsia" w:ascii="宋体" w:hAnsi="宋体" w:eastAsia="宋体" w:cs="宋体"/>
                <w:color w:val="auto"/>
                <w:sz w:val="21"/>
                <w:szCs w:val="21"/>
                <w:highlight w:val="none"/>
              </w:rPr>
              <w:t>透析器血液入口压：测量范围：-200～+600mmHg。</w:t>
            </w:r>
          </w:p>
          <w:p w14:paraId="10D3B986">
            <w:pPr>
              <w:pStyle w:val="57"/>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15.</w:t>
            </w:r>
            <w:r>
              <w:rPr>
                <w:rFonts w:hint="eastAsia" w:ascii="宋体" w:hAnsi="宋体" w:eastAsia="宋体" w:cs="宋体"/>
                <w:color w:val="auto"/>
                <w:sz w:val="21"/>
                <w:szCs w:val="21"/>
                <w:highlight w:val="none"/>
              </w:rPr>
              <w:t>透析液压：测量范围：-600～+500mmHg。</w:t>
            </w:r>
          </w:p>
          <w:p w14:paraId="67115F52">
            <w:pPr>
              <w:pStyle w:val="57"/>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16.</w:t>
            </w:r>
            <w:r>
              <w:rPr>
                <w:rFonts w:hint="eastAsia" w:ascii="宋体" w:hAnsi="宋体" w:eastAsia="宋体" w:cs="宋体"/>
                <w:color w:val="auto"/>
                <w:sz w:val="21"/>
                <w:szCs w:val="21"/>
                <w:highlight w:val="none"/>
              </w:rPr>
              <w:t>透析液浓度：12.0 ～16.0mS/cm。</w:t>
            </w:r>
          </w:p>
          <w:p w14:paraId="319981A8">
            <w:pPr>
              <w:pStyle w:val="57"/>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17.</w:t>
            </w:r>
            <w:r>
              <w:rPr>
                <w:rFonts w:hint="eastAsia" w:ascii="宋体" w:hAnsi="宋体" w:eastAsia="宋体" w:cs="宋体"/>
                <w:color w:val="auto"/>
                <w:sz w:val="21"/>
                <w:szCs w:val="21"/>
                <w:highlight w:val="none"/>
              </w:rPr>
              <w:t>碳酸氢盐浓度：2.00～6.00mS/cm。</w:t>
            </w:r>
          </w:p>
          <w:p w14:paraId="1DA021DB">
            <w:pPr>
              <w:keepNext w:val="0"/>
              <w:keepLines w:val="0"/>
              <w:pageBreakBefore w:val="0"/>
              <w:widowControl/>
              <w:kinsoku/>
              <w:wordWrap/>
              <w:overflowPunct/>
              <w:topLinePunct w:val="0"/>
              <w:autoSpaceDE/>
              <w:autoSpaceDN/>
              <w:bidi w:val="0"/>
              <w:adjustRightInd/>
              <w:snapToGrid/>
              <w:spacing w:line="480" w:lineRule="exact"/>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系统功能概述 </w:t>
            </w:r>
          </w:p>
          <w:p w14:paraId="273A28DC">
            <w:pPr>
              <w:pStyle w:val="57"/>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治疗模式：用于血液净化治疗，具有血液透析、单纯超滤、序贯透析、On-line HDF和On-line HF治疗模式，可使用碳酸氢盐干粉筒或浓缩液进行透析。</w:t>
            </w:r>
          </w:p>
          <w:p w14:paraId="32365731">
            <w:pPr>
              <w:pStyle w:val="57"/>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人机交互：≥13英寸彩色液晶显示器，触摸屏操作，</w:t>
            </w:r>
          </w:p>
          <w:p w14:paraId="4CFF71D2">
            <w:pPr>
              <w:pStyle w:val="57"/>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动静脉双四合一组件包括气泡检测器、血液判别器、管路检测器和静脉夹。</w:t>
            </w:r>
          </w:p>
          <w:p w14:paraId="0EA863AD">
            <w:pPr>
              <w:pStyle w:val="57"/>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消毒模式：具备药液消毒和热消毒方式，多种自动运转程序可选，可任意更改，热水柠檬酸消毒温度最高超过90℃，消毒脱钙一体化完成时间低于36min。置换液出口和原液吸液管路可联机清洗消毒。</w:t>
            </w:r>
          </w:p>
          <w:p w14:paraId="77A13B82">
            <w:pPr>
              <w:pStyle w:val="57"/>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预冲液联机排放</w:t>
            </w:r>
            <w:r>
              <w:rPr>
                <w:rFonts w:hint="eastAsia" w:ascii="宋体" w:hAnsi="宋体" w:eastAsia="宋体" w:cs="宋体"/>
                <w:color w:val="auto"/>
                <w:sz w:val="21"/>
                <w:szCs w:val="21"/>
                <w:highlight w:val="none"/>
                <w:lang w:eastAsia="zh-CN"/>
              </w:rPr>
              <w:t>。</w:t>
            </w:r>
          </w:p>
          <w:p w14:paraId="60E36AF4">
            <w:pPr>
              <w:pStyle w:val="57"/>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sz w:val="21"/>
                <w:szCs w:val="21"/>
                <w:highlight w:val="none"/>
              </w:rPr>
              <w:t>原液配方：原液配方全开放</w:t>
            </w:r>
            <w:bookmarkStart w:id="77" w:name="_Hlk59719312"/>
            <w:r>
              <w:rPr>
                <w:rFonts w:hint="eastAsia" w:ascii="宋体" w:hAnsi="宋体" w:eastAsia="宋体" w:cs="宋体"/>
                <w:color w:val="auto"/>
                <w:sz w:val="21"/>
                <w:szCs w:val="21"/>
                <w:highlight w:val="none"/>
              </w:rPr>
              <w:t>，可任意更改。</w:t>
            </w:r>
            <w:bookmarkEnd w:id="77"/>
          </w:p>
          <w:p w14:paraId="375F9DB0">
            <w:pPr>
              <w:pStyle w:val="57"/>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pacing w:val="0"/>
                <w:sz w:val="21"/>
                <w:szCs w:val="21"/>
                <w:highlight w:val="none"/>
              </w:rPr>
              <w:t>▲</w:t>
            </w:r>
            <w:r>
              <w:rPr>
                <w:rFonts w:hint="eastAsia" w:ascii="宋体" w:hAnsi="宋体" w:eastAsia="宋体" w:cs="宋体"/>
                <w:b w:val="0"/>
                <w:bCs w:val="0"/>
                <w:color w:val="auto"/>
                <w:kern w:val="2"/>
                <w:sz w:val="21"/>
                <w:szCs w:val="21"/>
                <w:highlight w:val="none"/>
                <w:lang w:val="en-US" w:eastAsia="zh-CN" w:bidi="ar-SA"/>
              </w:rPr>
              <w:t>7.</w:t>
            </w:r>
            <w:r>
              <w:rPr>
                <w:rFonts w:hint="eastAsia" w:ascii="宋体" w:hAnsi="宋体" w:eastAsia="宋体" w:cs="宋体"/>
                <w:b w:val="0"/>
                <w:bCs w:val="0"/>
                <w:color w:val="auto"/>
                <w:sz w:val="21"/>
                <w:szCs w:val="21"/>
                <w:highlight w:val="none"/>
              </w:rPr>
              <w:t xml:space="preserve">超滤系统：采用复式泵加脱水泵或电磁流量计的容量式平衡与超滤控制系统。 </w:t>
            </w:r>
          </w:p>
          <w:p w14:paraId="0575D98A">
            <w:pPr>
              <w:pStyle w:val="57"/>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pacing w:val="0"/>
                <w:sz w:val="21"/>
                <w:szCs w:val="21"/>
                <w:highlight w:val="none"/>
              </w:rPr>
              <w:t>▲</w:t>
            </w:r>
            <w:r>
              <w:rPr>
                <w:rFonts w:hint="eastAsia" w:ascii="宋体" w:hAnsi="宋体" w:eastAsia="宋体" w:cs="宋体"/>
                <w:b w:val="0"/>
                <w:bCs w:val="0"/>
                <w:color w:val="auto"/>
                <w:kern w:val="2"/>
                <w:sz w:val="21"/>
                <w:szCs w:val="21"/>
                <w:highlight w:val="none"/>
                <w:lang w:val="en-US" w:eastAsia="zh-CN" w:bidi="ar-SA"/>
              </w:rPr>
              <w:t>8.</w:t>
            </w:r>
            <w:r>
              <w:rPr>
                <w:rFonts w:hint="eastAsia" w:ascii="宋体" w:hAnsi="宋体" w:eastAsia="宋体" w:cs="宋体"/>
                <w:b w:val="0"/>
                <w:bCs w:val="0"/>
                <w:color w:val="auto"/>
                <w:sz w:val="21"/>
                <w:szCs w:val="21"/>
                <w:highlight w:val="none"/>
              </w:rPr>
              <w:t>浓度曲线：可进行可调钠和碳酸氢盐曲线治疗，可选择线性或梯级自动调整程序设定任意曲线，并可预存每种曲线≥3条。</w:t>
            </w:r>
          </w:p>
          <w:p w14:paraId="7F4BF486">
            <w:pPr>
              <w:pStyle w:val="57"/>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9.</w:t>
            </w:r>
            <w:r>
              <w:rPr>
                <w:rFonts w:hint="eastAsia" w:ascii="宋体" w:hAnsi="宋体" w:eastAsia="宋体" w:cs="宋体"/>
                <w:color w:val="auto"/>
                <w:sz w:val="21"/>
                <w:szCs w:val="21"/>
                <w:highlight w:val="none"/>
              </w:rPr>
              <w:t>超滤曲线：可进行可调超滤曲线治疗，可选择线性或梯级自动调整程序设定任意曲线，并可预存≥8条曲线。</w:t>
            </w:r>
          </w:p>
          <w:p w14:paraId="20FDC205">
            <w:pPr>
              <w:pStyle w:val="57"/>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10.</w:t>
            </w:r>
            <w:r>
              <w:rPr>
                <w:rFonts w:hint="eastAsia" w:ascii="宋体" w:hAnsi="宋体" w:eastAsia="宋体" w:cs="宋体"/>
                <w:color w:val="auto"/>
                <w:sz w:val="21"/>
                <w:szCs w:val="21"/>
                <w:highlight w:val="none"/>
              </w:rPr>
              <w:t>配液方式：先吸B液后吸A液，有单独的A、B浓缩液泵</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 xml:space="preserve">透析液浓度和B液浓度可单独监测并控制。 </w:t>
            </w:r>
          </w:p>
          <w:p w14:paraId="7BE6A7B6">
            <w:pPr>
              <w:pStyle w:val="57"/>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11.</w:t>
            </w:r>
            <w:r>
              <w:rPr>
                <w:rFonts w:hint="eastAsia" w:ascii="宋体" w:hAnsi="宋体" w:eastAsia="宋体" w:cs="宋体"/>
                <w:color w:val="auto"/>
                <w:sz w:val="21"/>
                <w:szCs w:val="21"/>
                <w:highlight w:val="none"/>
              </w:rPr>
              <w:t>B液干粉筒组件：标准配备碳酸氢盐干粉自动配制系统。</w:t>
            </w:r>
          </w:p>
          <w:p w14:paraId="2B0A469D">
            <w:pPr>
              <w:pStyle w:val="57"/>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12.</w:t>
            </w:r>
            <w:r>
              <w:rPr>
                <w:rFonts w:hint="eastAsia" w:ascii="宋体" w:hAnsi="宋体" w:eastAsia="宋体" w:cs="宋体"/>
                <w:color w:val="auto"/>
                <w:sz w:val="21"/>
                <w:szCs w:val="21"/>
                <w:highlight w:val="none"/>
              </w:rPr>
              <w:t>液面调整：具备动脉壶和静脉壶液面电动调整功能。</w:t>
            </w:r>
          </w:p>
          <w:p w14:paraId="1AC229FC">
            <w:pPr>
              <w:pStyle w:val="57"/>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13.</w:t>
            </w:r>
            <w:r>
              <w:rPr>
                <w:rFonts w:hint="eastAsia" w:ascii="宋体" w:hAnsi="宋体" w:eastAsia="宋体" w:cs="宋体"/>
                <w:color w:val="auto"/>
                <w:sz w:val="21"/>
                <w:szCs w:val="21"/>
                <w:highlight w:val="none"/>
              </w:rPr>
              <w:t xml:space="preserve">透析液过滤：标准配备双透析液过滤组件 </w:t>
            </w:r>
            <w:r>
              <w:rPr>
                <w:rFonts w:hint="eastAsia" w:ascii="宋体" w:hAnsi="宋体" w:eastAsia="宋体" w:cs="宋体"/>
                <w:color w:val="auto"/>
                <w:sz w:val="21"/>
                <w:szCs w:val="21"/>
                <w:highlight w:val="none"/>
                <w:lang w:eastAsia="zh-CN"/>
              </w:rPr>
              <w:t>。</w:t>
            </w:r>
          </w:p>
          <w:p w14:paraId="49E2550C">
            <w:pPr>
              <w:pStyle w:val="57"/>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14.</w:t>
            </w:r>
            <w:r>
              <w:rPr>
                <w:rFonts w:hint="eastAsia" w:ascii="宋体" w:hAnsi="宋体" w:eastAsia="宋体" w:cs="宋体"/>
                <w:color w:val="auto"/>
                <w:sz w:val="21"/>
                <w:szCs w:val="21"/>
                <w:highlight w:val="none"/>
              </w:rPr>
              <w:t>具有自动预充系统，管路安装图文动画指导。</w:t>
            </w:r>
          </w:p>
          <w:p w14:paraId="0BA5E919">
            <w:pPr>
              <w:pStyle w:val="57"/>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15.</w:t>
            </w:r>
            <w:r>
              <w:rPr>
                <w:rFonts w:hint="eastAsia" w:ascii="宋体" w:hAnsi="宋体" w:eastAsia="宋体" w:cs="宋体"/>
                <w:color w:val="auto"/>
                <w:sz w:val="21"/>
                <w:szCs w:val="21"/>
                <w:highlight w:val="none"/>
              </w:rPr>
              <w:t>标配通讯组件。</w:t>
            </w:r>
          </w:p>
          <w:p w14:paraId="3B6F5CA6">
            <w:pPr>
              <w:pStyle w:val="57"/>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16.</w:t>
            </w:r>
            <w:r>
              <w:rPr>
                <w:rFonts w:hint="eastAsia" w:ascii="宋体" w:hAnsi="宋体" w:eastAsia="宋体" w:cs="宋体"/>
                <w:color w:val="auto"/>
                <w:sz w:val="21"/>
                <w:szCs w:val="21"/>
                <w:highlight w:val="none"/>
              </w:rPr>
              <w:t>标配血压监测仪</w:t>
            </w:r>
            <w:r>
              <w:rPr>
                <w:rFonts w:hint="eastAsia" w:ascii="宋体" w:hAnsi="宋体" w:eastAsia="宋体" w:cs="宋体"/>
                <w:color w:val="auto"/>
                <w:sz w:val="21"/>
                <w:szCs w:val="21"/>
                <w:highlight w:val="none"/>
                <w:lang w:eastAsia="zh-CN"/>
              </w:rPr>
              <w:t>。</w:t>
            </w:r>
          </w:p>
          <w:p w14:paraId="198EBCD5">
            <w:pPr>
              <w:pStyle w:val="57"/>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17.</w:t>
            </w:r>
            <w:r>
              <w:rPr>
                <w:rFonts w:hint="eastAsia" w:ascii="宋体" w:hAnsi="宋体" w:eastAsia="宋体" w:cs="宋体"/>
                <w:color w:val="auto"/>
                <w:sz w:val="21"/>
                <w:szCs w:val="21"/>
                <w:highlight w:val="none"/>
              </w:rPr>
              <w:t>标配血容计组件</w:t>
            </w:r>
            <w:r>
              <w:rPr>
                <w:rFonts w:hint="eastAsia" w:ascii="宋体" w:hAnsi="宋体" w:eastAsia="宋体" w:cs="宋体"/>
                <w:color w:val="auto"/>
                <w:sz w:val="21"/>
                <w:szCs w:val="21"/>
                <w:highlight w:val="none"/>
                <w:lang w:eastAsia="zh-CN"/>
              </w:rPr>
              <w:t>。</w:t>
            </w:r>
          </w:p>
          <w:p w14:paraId="34AE381A">
            <w:pPr>
              <w:pStyle w:val="57"/>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18.</w:t>
            </w:r>
            <w:r>
              <w:rPr>
                <w:rFonts w:hint="eastAsia" w:ascii="宋体" w:hAnsi="宋体" w:eastAsia="宋体" w:cs="宋体"/>
                <w:color w:val="auto"/>
                <w:sz w:val="21"/>
                <w:szCs w:val="21"/>
                <w:highlight w:val="none"/>
              </w:rPr>
              <w:t>标配在线清除率监测仪</w:t>
            </w:r>
            <w:r>
              <w:rPr>
                <w:rFonts w:hint="eastAsia" w:ascii="宋体" w:hAnsi="宋体" w:eastAsia="宋体" w:cs="宋体"/>
                <w:color w:val="auto"/>
                <w:sz w:val="21"/>
                <w:szCs w:val="21"/>
                <w:highlight w:val="none"/>
                <w:lang w:eastAsia="zh-CN"/>
              </w:rPr>
              <w:t>。</w:t>
            </w:r>
          </w:p>
          <w:p w14:paraId="3CC7B7E5">
            <w:pPr>
              <w:pStyle w:val="57"/>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19.</w:t>
            </w:r>
            <w:r>
              <w:rPr>
                <w:rFonts w:hint="eastAsia" w:ascii="宋体" w:hAnsi="宋体" w:eastAsia="宋体" w:cs="宋体"/>
                <w:color w:val="auto"/>
                <w:sz w:val="21"/>
                <w:szCs w:val="21"/>
                <w:highlight w:val="none"/>
              </w:rPr>
              <w:t>置换液量随血液量的调整，按比例自动进行调整，防止血液过度浓缩。</w:t>
            </w:r>
          </w:p>
          <w:p w14:paraId="45B57A41">
            <w:pPr>
              <w:pStyle w:val="8"/>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lang w:val="en-US" w:eastAsia="zh-CN"/>
              </w:rPr>
            </w:pPr>
            <w:bookmarkStart w:id="78" w:name="_Hlk59719799"/>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采用水电路分离设计。</w:t>
            </w:r>
            <w:bookmarkEnd w:id="78"/>
          </w:p>
        </w:tc>
        <w:tc>
          <w:tcPr>
            <w:tcW w:w="1233" w:type="dxa"/>
            <w:tcBorders>
              <w:left w:val="single" w:color="auto" w:sz="4" w:space="0"/>
            </w:tcBorders>
            <w:noWrap w:val="0"/>
            <w:vAlign w:val="center"/>
          </w:tcPr>
          <w:p w14:paraId="430E2322">
            <w:pPr>
              <w:pStyle w:val="8"/>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250000.00</w:t>
            </w:r>
          </w:p>
        </w:tc>
      </w:tr>
      <w:tr w14:paraId="48875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648" w:type="dxa"/>
            <w:noWrap w:val="0"/>
            <w:vAlign w:val="center"/>
          </w:tcPr>
          <w:p w14:paraId="4712CE3B">
            <w:pPr>
              <w:keepNext w:val="0"/>
              <w:keepLines w:val="0"/>
              <w:pageBreakBefore w:val="0"/>
              <w:tabs>
                <w:tab w:val="left" w:pos="180"/>
                <w:tab w:val="left" w:pos="1620"/>
              </w:tabs>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30" w:type="dxa"/>
            <w:noWrap w:val="0"/>
            <w:vAlign w:val="center"/>
          </w:tcPr>
          <w:p w14:paraId="6571E9C1">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u w:val="none"/>
                <w:lang w:val="en-US" w:eastAsia="zh-CN"/>
              </w:rPr>
              <w:t>血液透析机</w:t>
            </w:r>
          </w:p>
        </w:tc>
        <w:tc>
          <w:tcPr>
            <w:tcW w:w="870" w:type="dxa"/>
            <w:gridSpan w:val="2"/>
            <w:noWrap w:val="0"/>
            <w:vAlign w:val="center"/>
          </w:tcPr>
          <w:p w14:paraId="57ADCAFF">
            <w:pPr>
              <w:keepNext w:val="0"/>
              <w:keepLines w:val="0"/>
              <w:pageBreakBefore w:val="0"/>
              <w:tabs>
                <w:tab w:val="left" w:pos="180"/>
                <w:tab w:val="left" w:pos="1620"/>
              </w:tabs>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2台</w:t>
            </w:r>
          </w:p>
        </w:tc>
        <w:tc>
          <w:tcPr>
            <w:tcW w:w="765" w:type="dxa"/>
            <w:noWrap w:val="0"/>
            <w:vAlign w:val="center"/>
          </w:tcPr>
          <w:p w14:paraId="4003F8A9">
            <w:pPr>
              <w:keepNext w:val="0"/>
              <w:keepLines w:val="0"/>
              <w:pageBreakBefore w:val="0"/>
              <w:tabs>
                <w:tab w:val="left" w:pos="180"/>
                <w:tab w:val="left" w:pos="1620"/>
              </w:tabs>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工业</w:t>
            </w:r>
          </w:p>
        </w:tc>
        <w:tc>
          <w:tcPr>
            <w:tcW w:w="4530" w:type="dxa"/>
            <w:tcBorders>
              <w:right w:val="single" w:color="auto" w:sz="4" w:space="0"/>
            </w:tcBorders>
            <w:noWrap w:val="0"/>
            <w:vAlign w:val="center"/>
          </w:tcPr>
          <w:p w14:paraId="759A67D2">
            <w:pPr>
              <w:pStyle w:val="5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供水: 压力范围：1-7bar；温度范围：5 ℃~30 ℃。</w:t>
            </w:r>
          </w:p>
          <w:p w14:paraId="6982C291">
            <w:pPr>
              <w:pStyle w:val="5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透析液流速：300～700 mL/min，调节梯度1mL/min。</w:t>
            </w:r>
          </w:p>
          <w:p w14:paraId="2D8BD235">
            <w:pPr>
              <w:pStyle w:val="5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透析液压力-600～+500mmHg；</w:t>
            </w:r>
          </w:p>
          <w:p w14:paraId="07C188F8">
            <w:pPr>
              <w:pStyle w:val="5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透析液温度：33.0～40.0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473F60AE">
            <w:pPr>
              <w:pStyle w:val="5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超滤速度：1.00～4.00L/h;精度：±30ml,显示分辨率可达0.01L/h。</w:t>
            </w:r>
          </w:p>
          <w:p w14:paraId="7D9F3809">
            <w:pPr>
              <w:pStyle w:val="5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sz w:val="21"/>
                <w:szCs w:val="21"/>
                <w:highlight w:val="none"/>
              </w:rPr>
              <w:t>漏血检测器：红绿双色光检测；灵敏度：≤0.35mL/min</w:t>
            </w:r>
            <w:r>
              <w:rPr>
                <w:rFonts w:hint="eastAsia" w:ascii="宋体" w:hAnsi="宋体" w:eastAsia="宋体" w:cs="宋体"/>
                <w:color w:val="auto"/>
                <w:sz w:val="21"/>
                <w:szCs w:val="21"/>
                <w:highlight w:val="none"/>
                <w:lang w:eastAsia="zh-CN"/>
              </w:rPr>
              <w:t>。</w:t>
            </w:r>
          </w:p>
          <w:p w14:paraId="18F0A628">
            <w:pPr>
              <w:pStyle w:val="5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sz w:val="21"/>
                <w:szCs w:val="21"/>
                <w:highlight w:val="none"/>
              </w:rPr>
              <w:t>肝素泵泵速设置范围：0.0～9.9mL/h</w:t>
            </w:r>
            <w:r>
              <w:rPr>
                <w:rFonts w:hint="eastAsia" w:ascii="宋体" w:hAnsi="宋体" w:eastAsia="宋体" w:cs="宋体"/>
                <w:color w:val="auto"/>
                <w:sz w:val="21"/>
                <w:szCs w:val="21"/>
                <w:highlight w:val="none"/>
                <w:lang w:eastAsia="zh-CN"/>
              </w:rPr>
              <w:t>。</w:t>
            </w:r>
          </w:p>
          <w:p w14:paraId="0D6F3A5E">
            <w:pPr>
              <w:pStyle w:val="5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w:t>
            </w:r>
            <w:r>
              <w:rPr>
                <w:rFonts w:hint="eastAsia" w:ascii="宋体" w:hAnsi="宋体" w:eastAsia="宋体" w:cs="宋体"/>
                <w:color w:val="auto"/>
                <w:kern w:val="2"/>
                <w:sz w:val="21"/>
                <w:szCs w:val="21"/>
                <w:highlight w:val="none"/>
                <w:lang w:val="en-US" w:eastAsia="zh-CN" w:bidi="ar-SA"/>
              </w:rPr>
              <w:t>8.</w:t>
            </w:r>
            <w:r>
              <w:rPr>
                <w:rFonts w:hint="eastAsia" w:ascii="宋体" w:hAnsi="宋体" w:eastAsia="宋体" w:cs="宋体"/>
                <w:color w:val="auto"/>
                <w:sz w:val="21"/>
                <w:szCs w:val="21"/>
                <w:highlight w:val="none"/>
              </w:rPr>
              <w:t>超声波原理空气监测器。</w:t>
            </w:r>
          </w:p>
          <w:p w14:paraId="5B8C7AA1">
            <w:pPr>
              <w:pStyle w:val="5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9.</w:t>
            </w:r>
            <w:r>
              <w:rPr>
                <w:rFonts w:hint="eastAsia" w:ascii="宋体" w:hAnsi="宋体" w:eastAsia="宋体" w:cs="宋体"/>
                <w:color w:val="auto"/>
                <w:sz w:val="21"/>
                <w:szCs w:val="21"/>
                <w:highlight w:val="none"/>
              </w:rPr>
              <w:t>透析器入口压：测量范围：-300～+700mmHg</w:t>
            </w:r>
            <w:r>
              <w:rPr>
                <w:rFonts w:hint="eastAsia" w:ascii="宋体" w:hAnsi="宋体" w:eastAsia="宋体" w:cs="宋体"/>
                <w:color w:val="auto"/>
                <w:sz w:val="21"/>
                <w:szCs w:val="21"/>
                <w:highlight w:val="none"/>
                <w:lang w:eastAsia="zh-CN"/>
              </w:rPr>
              <w:t>。</w:t>
            </w:r>
          </w:p>
          <w:p w14:paraId="31D4ED5E">
            <w:pPr>
              <w:pStyle w:val="5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10.</w:t>
            </w:r>
            <w:r>
              <w:rPr>
                <w:rFonts w:hint="eastAsia" w:ascii="宋体" w:hAnsi="宋体" w:eastAsia="宋体" w:cs="宋体"/>
                <w:color w:val="auto"/>
                <w:sz w:val="21"/>
                <w:szCs w:val="21"/>
                <w:highlight w:val="none"/>
              </w:rPr>
              <w:t>静脉压力：测量范围：-200～+500mmHg</w:t>
            </w:r>
            <w:r>
              <w:rPr>
                <w:rFonts w:hint="eastAsia" w:ascii="宋体" w:hAnsi="宋体" w:eastAsia="宋体" w:cs="宋体"/>
                <w:color w:val="auto"/>
                <w:sz w:val="21"/>
                <w:szCs w:val="21"/>
                <w:highlight w:val="none"/>
                <w:lang w:eastAsia="zh-CN"/>
              </w:rPr>
              <w:t>。</w:t>
            </w:r>
          </w:p>
          <w:p w14:paraId="66802EC2">
            <w:pPr>
              <w:pStyle w:val="5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11.</w:t>
            </w:r>
            <w:r>
              <w:rPr>
                <w:rFonts w:hint="eastAsia" w:ascii="宋体" w:hAnsi="宋体" w:eastAsia="宋体" w:cs="宋体"/>
                <w:color w:val="auto"/>
                <w:sz w:val="21"/>
                <w:szCs w:val="21"/>
                <w:highlight w:val="none"/>
              </w:rPr>
              <w:t>TMP：测量范围：-100～+500mmHg</w:t>
            </w:r>
            <w:r>
              <w:rPr>
                <w:rFonts w:hint="eastAsia" w:ascii="宋体" w:hAnsi="宋体" w:eastAsia="宋体" w:cs="宋体"/>
                <w:color w:val="auto"/>
                <w:sz w:val="21"/>
                <w:szCs w:val="21"/>
                <w:highlight w:val="none"/>
                <w:lang w:eastAsia="zh-CN"/>
              </w:rPr>
              <w:t>。</w:t>
            </w:r>
          </w:p>
          <w:p w14:paraId="3A47C551">
            <w:pPr>
              <w:pStyle w:val="5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12.</w:t>
            </w:r>
            <w:r>
              <w:rPr>
                <w:rFonts w:hint="eastAsia" w:ascii="宋体" w:hAnsi="宋体" w:eastAsia="宋体" w:cs="宋体"/>
                <w:color w:val="auto"/>
                <w:sz w:val="21"/>
                <w:szCs w:val="21"/>
                <w:highlight w:val="none"/>
              </w:rPr>
              <w:t>透析液浓度：12.5～18.5mS/cm。</w:t>
            </w:r>
          </w:p>
          <w:p w14:paraId="0370CA75">
            <w:pPr>
              <w:pStyle w:val="5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13.</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15英寸彩色液晶显示器，触摸屏操作，可旋转，全中文操作系统。</w:t>
            </w:r>
          </w:p>
          <w:p w14:paraId="3095B23D">
            <w:pPr>
              <w:pStyle w:val="5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14.</w:t>
            </w:r>
            <w:r>
              <w:rPr>
                <w:rFonts w:hint="eastAsia" w:ascii="宋体" w:hAnsi="宋体" w:eastAsia="宋体" w:cs="宋体"/>
                <w:color w:val="auto"/>
                <w:sz w:val="21"/>
                <w:szCs w:val="21"/>
                <w:highlight w:val="none"/>
              </w:rPr>
              <w:t xml:space="preserve">热水柠檬酸消毒温度最高可达92℃，消毒脱钙一体化完成。 </w:t>
            </w:r>
          </w:p>
          <w:p w14:paraId="57B1E7F8">
            <w:pPr>
              <w:pStyle w:val="5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15.</w:t>
            </w:r>
            <w:r>
              <w:rPr>
                <w:rFonts w:hint="eastAsia" w:ascii="宋体" w:hAnsi="宋体" w:eastAsia="宋体" w:cs="宋体"/>
                <w:color w:val="auto"/>
                <w:sz w:val="21"/>
                <w:szCs w:val="21"/>
                <w:highlight w:val="none"/>
              </w:rPr>
              <w:t>停电时自动跳转后备电池供电，支持体外循环监测。运行时间30分钟，具备断电数据保存功能</w:t>
            </w:r>
            <w:r>
              <w:rPr>
                <w:rFonts w:hint="eastAsia" w:ascii="宋体" w:hAnsi="宋体" w:eastAsia="宋体" w:cs="宋体"/>
                <w:color w:val="auto"/>
                <w:sz w:val="21"/>
                <w:szCs w:val="21"/>
                <w:highlight w:val="none"/>
                <w:lang w:eastAsia="zh-CN"/>
              </w:rPr>
              <w:t>。</w:t>
            </w:r>
          </w:p>
          <w:p w14:paraId="4E204CC3">
            <w:pPr>
              <w:pStyle w:val="5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16.</w:t>
            </w:r>
            <w:r>
              <w:rPr>
                <w:rFonts w:hint="eastAsia" w:ascii="宋体" w:hAnsi="宋体" w:eastAsia="宋体" w:cs="宋体"/>
                <w:color w:val="auto"/>
                <w:sz w:val="21"/>
                <w:szCs w:val="21"/>
                <w:highlight w:val="none"/>
              </w:rPr>
              <w:t>原液配方全开放，设备内部可同时存储＞3种不同原液配方，可任意更改。</w:t>
            </w:r>
          </w:p>
          <w:p w14:paraId="43FA9DA8">
            <w:pPr>
              <w:pStyle w:val="5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17.</w:t>
            </w:r>
            <w:r>
              <w:rPr>
                <w:rFonts w:hint="eastAsia" w:ascii="宋体" w:hAnsi="宋体" w:eastAsia="宋体" w:cs="宋体"/>
                <w:color w:val="auto"/>
                <w:sz w:val="21"/>
                <w:szCs w:val="21"/>
                <w:highlight w:val="none"/>
              </w:rPr>
              <w:t>采用电极不间断监视泵和电磁阀的工作状态。</w:t>
            </w:r>
          </w:p>
          <w:p w14:paraId="038BAAB3">
            <w:pPr>
              <w:pStyle w:val="5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18.</w:t>
            </w:r>
            <w:r>
              <w:rPr>
                <w:rFonts w:hint="eastAsia" w:ascii="宋体" w:hAnsi="宋体" w:eastAsia="宋体" w:cs="宋体"/>
                <w:color w:val="auto"/>
                <w:sz w:val="21"/>
                <w:szCs w:val="21"/>
                <w:highlight w:val="none"/>
              </w:rPr>
              <w:t>B液浓度可个性化调节</w:t>
            </w:r>
            <w:r>
              <w:rPr>
                <w:rFonts w:hint="eastAsia" w:ascii="宋体" w:hAnsi="宋体" w:eastAsia="宋体" w:cs="宋体"/>
                <w:color w:val="auto"/>
                <w:sz w:val="21"/>
                <w:szCs w:val="21"/>
                <w:highlight w:val="none"/>
                <w:lang w:eastAsia="zh-CN"/>
              </w:rPr>
              <w:t>。</w:t>
            </w:r>
          </w:p>
          <w:p w14:paraId="0A15DFF0">
            <w:pPr>
              <w:pStyle w:val="5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19.</w:t>
            </w:r>
            <w:r>
              <w:rPr>
                <w:rFonts w:hint="eastAsia" w:ascii="宋体" w:hAnsi="宋体" w:eastAsia="宋体" w:cs="宋体"/>
                <w:color w:val="auto"/>
                <w:sz w:val="21"/>
                <w:szCs w:val="21"/>
                <w:highlight w:val="none"/>
              </w:rPr>
              <w:t>透析液浓度可个性化调节</w:t>
            </w:r>
            <w:r>
              <w:rPr>
                <w:rFonts w:hint="eastAsia" w:ascii="宋体" w:hAnsi="宋体" w:eastAsia="宋体" w:cs="宋体"/>
                <w:color w:val="auto"/>
                <w:sz w:val="21"/>
                <w:szCs w:val="21"/>
                <w:highlight w:val="none"/>
                <w:lang w:eastAsia="zh-CN"/>
              </w:rPr>
              <w:t>。</w:t>
            </w:r>
          </w:p>
          <w:p w14:paraId="483AF57F">
            <w:pPr>
              <w:pStyle w:val="5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20.</w:t>
            </w:r>
            <w:r>
              <w:rPr>
                <w:rFonts w:hint="eastAsia" w:ascii="宋体" w:hAnsi="宋体" w:eastAsia="宋体" w:cs="宋体"/>
                <w:color w:val="auto"/>
                <w:sz w:val="21"/>
                <w:szCs w:val="21"/>
                <w:highlight w:val="none"/>
              </w:rPr>
              <w:t>具备动脉壶和静脉壶液面电动调整功能。</w:t>
            </w:r>
          </w:p>
          <w:p w14:paraId="432E825D">
            <w:pPr>
              <w:pStyle w:val="5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w:t>
            </w:r>
            <w:r>
              <w:rPr>
                <w:rFonts w:hint="eastAsia" w:ascii="宋体" w:hAnsi="宋体" w:eastAsia="宋体" w:cs="宋体"/>
                <w:color w:val="auto"/>
                <w:kern w:val="2"/>
                <w:sz w:val="21"/>
                <w:szCs w:val="21"/>
                <w:highlight w:val="none"/>
                <w:lang w:val="en-US" w:eastAsia="zh-CN" w:bidi="ar-SA"/>
              </w:rPr>
              <w:t>21.</w:t>
            </w:r>
            <w:r>
              <w:rPr>
                <w:rFonts w:hint="eastAsia" w:ascii="宋体" w:hAnsi="宋体" w:eastAsia="宋体" w:cs="宋体"/>
                <w:color w:val="auto"/>
                <w:sz w:val="21"/>
                <w:szCs w:val="21"/>
                <w:highlight w:val="none"/>
              </w:rPr>
              <w:t>标配患者卡读卡器组件，标配网络接口。</w:t>
            </w:r>
          </w:p>
          <w:p w14:paraId="02B8BBB6">
            <w:pPr>
              <w:pStyle w:val="5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rPr>
              <w:t>▲</w:t>
            </w:r>
            <w:r>
              <w:rPr>
                <w:rFonts w:hint="eastAsia" w:ascii="宋体" w:hAnsi="宋体" w:eastAsia="宋体" w:cs="宋体"/>
                <w:color w:val="auto"/>
                <w:kern w:val="2"/>
                <w:sz w:val="21"/>
                <w:szCs w:val="21"/>
                <w:highlight w:val="none"/>
                <w:lang w:val="en-US" w:eastAsia="zh-CN" w:bidi="ar-SA"/>
              </w:rPr>
              <w:t>22.</w:t>
            </w:r>
            <w:r>
              <w:rPr>
                <w:rFonts w:hint="eastAsia" w:ascii="宋体" w:hAnsi="宋体" w:eastAsia="宋体" w:cs="宋体"/>
                <w:color w:val="auto"/>
                <w:sz w:val="21"/>
                <w:szCs w:val="21"/>
                <w:highlight w:val="none"/>
              </w:rPr>
              <w:t>标配血压监测仪</w:t>
            </w:r>
            <w:r>
              <w:rPr>
                <w:rFonts w:hint="eastAsia" w:ascii="宋体" w:hAnsi="宋体" w:eastAsia="宋体" w:cs="宋体"/>
                <w:color w:val="auto"/>
                <w:sz w:val="21"/>
                <w:szCs w:val="21"/>
                <w:highlight w:val="none"/>
                <w:lang w:eastAsia="zh-CN"/>
              </w:rPr>
              <w:t>。</w:t>
            </w:r>
          </w:p>
          <w:p w14:paraId="2B8F188E">
            <w:pPr>
              <w:pStyle w:val="5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23.</w:t>
            </w:r>
            <w:r>
              <w:rPr>
                <w:rFonts w:hint="eastAsia" w:ascii="宋体" w:hAnsi="宋体" w:eastAsia="宋体" w:cs="宋体"/>
                <w:color w:val="auto"/>
                <w:sz w:val="21"/>
                <w:szCs w:val="21"/>
                <w:highlight w:val="none"/>
              </w:rPr>
              <w:t>标配在线清除率监测仪</w:t>
            </w:r>
            <w:r>
              <w:rPr>
                <w:rFonts w:hint="eastAsia" w:ascii="宋体" w:hAnsi="宋体" w:eastAsia="宋体" w:cs="宋体"/>
                <w:color w:val="auto"/>
                <w:sz w:val="21"/>
                <w:szCs w:val="21"/>
                <w:highlight w:val="none"/>
                <w:lang w:eastAsia="zh-CN"/>
              </w:rPr>
              <w:t>。</w:t>
            </w:r>
          </w:p>
        </w:tc>
        <w:tc>
          <w:tcPr>
            <w:tcW w:w="1233" w:type="dxa"/>
            <w:tcBorders>
              <w:left w:val="single" w:color="auto" w:sz="4" w:space="0"/>
            </w:tcBorders>
            <w:noWrap w:val="0"/>
            <w:vAlign w:val="center"/>
          </w:tcPr>
          <w:p w14:paraId="546DC215">
            <w:pPr>
              <w:pStyle w:val="5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158500.00</w:t>
            </w:r>
          </w:p>
        </w:tc>
      </w:tr>
      <w:bookmarkEnd w:id="76"/>
      <w:tr w14:paraId="77C0FC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76" w:type="dxa"/>
            <w:gridSpan w:val="7"/>
            <w:tcBorders>
              <w:top w:val="single" w:color="auto" w:sz="4" w:space="0"/>
              <w:left w:val="single" w:color="auto" w:sz="4" w:space="0"/>
              <w:bottom w:val="single" w:color="auto" w:sz="4" w:space="0"/>
              <w:right w:val="single" w:color="auto" w:sz="4" w:space="0"/>
            </w:tcBorders>
            <w:noWrap w:val="0"/>
            <w:vAlign w:val="top"/>
          </w:tcPr>
          <w:p w14:paraId="2B2CABCB">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▲一、商务要求</w:t>
            </w:r>
          </w:p>
        </w:tc>
      </w:tr>
      <w:tr w14:paraId="498E4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10" w:type="dxa"/>
            <w:gridSpan w:val="3"/>
            <w:tcBorders>
              <w:top w:val="single" w:color="auto" w:sz="4" w:space="0"/>
              <w:left w:val="single" w:color="auto" w:sz="4" w:space="0"/>
              <w:bottom w:val="single" w:color="auto" w:sz="4" w:space="0"/>
              <w:right w:val="single" w:color="auto" w:sz="4" w:space="0"/>
            </w:tcBorders>
            <w:noWrap w:val="0"/>
            <w:vAlign w:val="center"/>
          </w:tcPr>
          <w:p w14:paraId="5467542B">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竞标报价</w:t>
            </w:r>
          </w:p>
        </w:tc>
        <w:tc>
          <w:tcPr>
            <w:tcW w:w="7166" w:type="dxa"/>
            <w:gridSpan w:val="4"/>
            <w:tcBorders>
              <w:top w:val="single" w:color="auto" w:sz="4" w:space="0"/>
              <w:left w:val="single" w:color="auto" w:sz="4" w:space="0"/>
              <w:bottom w:val="single" w:color="auto" w:sz="4" w:space="0"/>
              <w:right w:val="single" w:color="auto" w:sz="4" w:space="0"/>
            </w:tcBorders>
            <w:noWrap w:val="0"/>
            <w:vAlign w:val="center"/>
          </w:tcPr>
          <w:p w14:paraId="7055C0FE">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报价包含但不限于货物及货物运抵指定交付地点的各种费用、随配附件、备品备件、易损件、专用工具、安装调试、技术培训、技术资料、包装、售后服务、保险费、税金、验收检验及其他所有成本费用的总和，如涉及系统对接的由成交供应商负责完成。对于本文件中未列明，而供应商认为必须的费用也需列入总报价。在合同实施时，采购人将不予支付成交供应商没有列入的项目费用，并认为此项目的费用已包括在</w:t>
            </w:r>
            <w:r>
              <w:rPr>
                <w:rFonts w:hint="eastAsia" w:ascii="宋体" w:hAnsi="宋体" w:eastAsia="宋体" w:cs="宋体"/>
                <w:color w:val="auto"/>
                <w:sz w:val="21"/>
                <w:szCs w:val="21"/>
                <w:highlight w:val="none"/>
                <w:lang w:val="en-US" w:eastAsia="zh-CN"/>
              </w:rPr>
              <w:t>竞标报价中</w:t>
            </w:r>
            <w:r>
              <w:rPr>
                <w:rFonts w:hint="eastAsia" w:ascii="宋体" w:hAnsi="宋体" w:eastAsia="宋体" w:cs="宋体"/>
                <w:color w:val="auto"/>
                <w:sz w:val="21"/>
                <w:szCs w:val="21"/>
                <w:highlight w:val="none"/>
              </w:rPr>
              <w:t>。</w:t>
            </w:r>
          </w:p>
        </w:tc>
      </w:tr>
      <w:tr w14:paraId="3C1DA0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10" w:type="dxa"/>
            <w:gridSpan w:val="3"/>
            <w:tcBorders>
              <w:top w:val="single" w:color="auto" w:sz="4" w:space="0"/>
              <w:left w:val="single" w:color="auto" w:sz="4" w:space="0"/>
              <w:bottom w:val="single" w:color="auto" w:sz="4" w:space="0"/>
              <w:right w:val="single" w:color="auto" w:sz="4" w:space="0"/>
            </w:tcBorders>
            <w:noWrap w:val="0"/>
            <w:vAlign w:val="center"/>
          </w:tcPr>
          <w:p w14:paraId="3A29D5D2">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交货时间</w:t>
            </w:r>
          </w:p>
        </w:tc>
        <w:tc>
          <w:tcPr>
            <w:tcW w:w="7166" w:type="dxa"/>
            <w:gridSpan w:val="4"/>
            <w:tcBorders>
              <w:top w:val="single" w:color="auto" w:sz="4" w:space="0"/>
              <w:left w:val="single" w:color="auto" w:sz="4" w:space="0"/>
              <w:bottom w:val="single" w:color="auto" w:sz="4" w:space="0"/>
              <w:right w:val="single" w:color="auto" w:sz="4" w:space="0"/>
            </w:tcBorders>
            <w:noWrap w:val="0"/>
            <w:vAlign w:val="center"/>
          </w:tcPr>
          <w:p w14:paraId="631079F8">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合同签订后45天内交货并安装验收完毕。</w:t>
            </w:r>
          </w:p>
        </w:tc>
      </w:tr>
      <w:tr w14:paraId="3C66B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10" w:type="dxa"/>
            <w:gridSpan w:val="3"/>
            <w:tcBorders>
              <w:top w:val="single" w:color="auto" w:sz="4" w:space="0"/>
              <w:left w:val="single" w:color="auto" w:sz="4" w:space="0"/>
              <w:bottom w:val="single" w:color="auto" w:sz="4" w:space="0"/>
              <w:right w:val="single" w:color="auto" w:sz="4" w:space="0"/>
            </w:tcBorders>
            <w:noWrap w:val="0"/>
            <w:vAlign w:val="center"/>
          </w:tcPr>
          <w:p w14:paraId="565C6E15">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交货地点</w:t>
            </w:r>
          </w:p>
        </w:tc>
        <w:tc>
          <w:tcPr>
            <w:tcW w:w="7166" w:type="dxa"/>
            <w:gridSpan w:val="4"/>
            <w:tcBorders>
              <w:top w:val="single" w:color="auto" w:sz="4" w:space="0"/>
              <w:left w:val="single" w:color="auto" w:sz="4" w:space="0"/>
              <w:bottom w:val="single" w:color="auto" w:sz="4" w:space="0"/>
              <w:right w:val="single" w:color="auto" w:sz="4" w:space="0"/>
            </w:tcBorders>
            <w:noWrap w:val="0"/>
            <w:vAlign w:val="center"/>
          </w:tcPr>
          <w:p w14:paraId="3AB4E900">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梧州市人民医院，</w:t>
            </w:r>
            <w:r>
              <w:rPr>
                <w:rFonts w:hint="eastAsia" w:ascii="宋体" w:hAnsi="宋体" w:eastAsia="宋体" w:cs="宋体"/>
                <w:b w:val="0"/>
                <w:bCs w:val="0"/>
                <w:color w:val="auto"/>
                <w:sz w:val="21"/>
                <w:szCs w:val="21"/>
                <w:highlight w:val="none"/>
              </w:rPr>
              <w:t>采购人指定地点。</w:t>
            </w:r>
          </w:p>
        </w:tc>
      </w:tr>
      <w:tr w14:paraId="4EF33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10" w:type="dxa"/>
            <w:gridSpan w:val="3"/>
            <w:tcBorders>
              <w:top w:val="single" w:color="auto" w:sz="4" w:space="0"/>
              <w:left w:val="single" w:color="auto" w:sz="4" w:space="0"/>
              <w:bottom w:val="single" w:color="auto" w:sz="4" w:space="0"/>
              <w:right w:val="single" w:color="auto" w:sz="4" w:space="0"/>
            </w:tcBorders>
            <w:noWrap w:val="0"/>
            <w:vAlign w:val="center"/>
          </w:tcPr>
          <w:p w14:paraId="62AA13C6">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签订合同时间</w:t>
            </w:r>
          </w:p>
        </w:tc>
        <w:tc>
          <w:tcPr>
            <w:tcW w:w="7166" w:type="dxa"/>
            <w:gridSpan w:val="4"/>
            <w:tcBorders>
              <w:top w:val="single" w:color="auto" w:sz="4" w:space="0"/>
              <w:left w:val="single" w:color="auto" w:sz="4" w:space="0"/>
              <w:bottom w:val="single" w:color="auto" w:sz="4" w:space="0"/>
              <w:right w:val="single" w:color="auto" w:sz="4" w:space="0"/>
            </w:tcBorders>
            <w:noWrap w:val="0"/>
            <w:vAlign w:val="center"/>
          </w:tcPr>
          <w:p w14:paraId="63EA8487">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自成交通知书发出之日起15日内凭成交通知书与采购人签订政府采购合同。</w:t>
            </w:r>
          </w:p>
        </w:tc>
      </w:tr>
      <w:tr w14:paraId="15850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10" w:type="dxa"/>
            <w:gridSpan w:val="3"/>
            <w:tcBorders>
              <w:top w:val="single" w:color="auto" w:sz="4" w:space="0"/>
              <w:left w:val="single" w:color="auto" w:sz="4" w:space="0"/>
              <w:bottom w:val="single" w:color="auto" w:sz="4" w:space="0"/>
              <w:right w:val="single" w:color="auto" w:sz="4" w:space="0"/>
            </w:tcBorders>
            <w:noWrap w:val="0"/>
            <w:vAlign w:val="center"/>
          </w:tcPr>
          <w:p w14:paraId="2EA2D8D8">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质保期</w:t>
            </w:r>
          </w:p>
        </w:tc>
        <w:tc>
          <w:tcPr>
            <w:tcW w:w="7166" w:type="dxa"/>
            <w:gridSpan w:val="4"/>
            <w:tcBorders>
              <w:top w:val="single" w:color="auto" w:sz="4" w:space="0"/>
              <w:left w:val="single" w:color="auto" w:sz="4" w:space="0"/>
              <w:bottom w:val="single" w:color="auto" w:sz="4" w:space="0"/>
              <w:right w:val="single" w:color="auto" w:sz="4" w:space="0"/>
            </w:tcBorders>
            <w:noWrap w:val="0"/>
            <w:vAlign w:val="center"/>
          </w:tcPr>
          <w:p w14:paraId="0FC36942">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不少于</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年</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从验收合格之日起计算，因人为因素出现的故障不在保修范围内。质保期内，出现故障，须派出有相应资格的技术工程师到达现场处理故障，并承担一切费用。质保期外不收维修或人工费，只收零件费，并保证备件如期供应。</w:t>
            </w:r>
          </w:p>
        </w:tc>
      </w:tr>
      <w:tr w14:paraId="70F78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10" w:type="dxa"/>
            <w:gridSpan w:val="3"/>
            <w:tcBorders>
              <w:top w:val="single" w:color="auto" w:sz="4" w:space="0"/>
              <w:left w:val="single" w:color="auto" w:sz="4" w:space="0"/>
              <w:bottom w:val="single" w:color="auto" w:sz="4" w:space="0"/>
              <w:right w:val="single" w:color="auto" w:sz="4" w:space="0"/>
            </w:tcBorders>
            <w:noWrap w:val="0"/>
            <w:vAlign w:val="center"/>
          </w:tcPr>
          <w:p w14:paraId="4372C01B">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验收标准</w:t>
            </w:r>
          </w:p>
        </w:tc>
        <w:tc>
          <w:tcPr>
            <w:tcW w:w="7166" w:type="dxa"/>
            <w:gridSpan w:val="4"/>
            <w:tcBorders>
              <w:top w:val="single" w:color="auto" w:sz="4" w:space="0"/>
              <w:left w:val="single" w:color="auto" w:sz="4" w:space="0"/>
              <w:bottom w:val="single" w:color="auto" w:sz="4" w:space="0"/>
              <w:right w:val="single" w:color="auto" w:sz="4" w:space="0"/>
            </w:tcBorders>
            <w:noWrap w:val="0"/>
            <w:vAlign w:val="center"/>
          </w:tcPr>
          <w:p w14:paraId="0A436A2A">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（1）成交供应商提供不符合公告规定的、采购文件、响应文件承诺的或本合同规定的货物，采购人有权拒绝接受。</w:t>
            </w:r>
          </w:p>
          <w:p w14:paraId="72396F11">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（2）成交供应商应将所提供货物的装箱清单、用户手册、原厂保修卡、随机资料、工具和备品、备件等交付给采购人，如有缺失应在采购人要求的期限内及时补齐，否则视为逾期交货。</w:t>
            </w:r>
          </w:p>
          <w:p w14:paraId="25967B38">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（3）采购人应当在到货并安装、调试完后进行验收。验收合格后由双方签署货物验收单并加盖采购单位公章，双方各执一份。</w:t>
            </w:r>
          </w:p>
          <w:p w14:paraId="66AF051A">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若采购人委托第三方组织的验收项目，其验收时间以该项目验收方案确定的验收时间为准，验收结果以该项目验收报告结论为准。在验收过程中发现成交供应商有违约问题，可暂缓资金结算，待违约问题解决后，方可办理资金结算事宜，在此期间，采购人不承担逾期付款责任。</w:t>
            </w:r>
          </w:p>
          <w:p w14:paraId="1DD05CA0">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（5）采购人对验收有异议的，在验收后以书面形式向成交供应商提出，成交供应商应自收到采购人书面异议后五日内及时予以解决，成交供应商不予答复或未予以实质解决的，视为认可采购人异议及处置意见。</w:t>
            </w:r>
          </w:p>
          <w:p w14:paraId="1F973D6D">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（6）验收产生的费用</w:t>
            </w:r>
            <w:r>
              <w:rPr>
                <w:rFonts w:hint="eastAsia" w:ascii="宋体" w:hAnsi="宋体" w:eastAsia="宋体" w:cs="宋体"/>
                <w:b w:val="0"/>
                <w:bCs/>
                <w:color w:val="auto"/>
                <w:sz w:val="21"/>
                <w:szCs w:val="21"/>
                <w:highlight w:val="none"/>
                <w:lang w:val="en-US" w:eastAsia="zh-CN"/>
              </w:rPr>
              <w:t>由</w:t>
            </w:r>
            <w:r>
              <w:rPr>
                <w:rFonts w:hint="eastAsia" w:ascii="宋体" w:hAnsi="宋体" w:eastAsia="宋体" w:cs="宋体"/>
                <w:b w:val="0"/>
                <w:bCs/>
                <w:color w:val="auto"/>
                <w:sz w:val="21"/>
                <w:szCs w:val="21"/>
                <w:highlight w:val="none"/>
              </w:rPr>
              <w:t>成交供应商负责。</w:t>
            </w:r>
          </w:p>
        </w:tc>
      </w:tr>
      <w:tr w14:paraId="5EC81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10" w:type="dxa"/>
            <w:gridSpan w:val="3"/>
            <w:tcBorders>
              <w:top w:val="single" w:color="auto" w:sz="4" w:space="0"/>
              <w:left w:val="single" w:color="auto" w:sz="4" w:space="0"/>
              <w:bottom w:val="single" w:color="auto" w:sz="4" w:space="0"/>
              <w:right w:val="single" w:color="auto" w:sz="4" w:space="0"/>
            </w:tcBorders>
            <w:noWrap w:val="0"/>
            <w:vAlign w:val="center"/>
          </w:tcPr>
          <w:p w14:paraId="0205E343">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付款方式</w:t>
            </w:r>
          </w:p>
        </w:tc>
        <w:tc>
          <w:tcPr>
            <w:tcW w:w="7166" w:type="dxa"/>
            <w:gridSpan w:val="4"/>
            <w:tcBorders>
              <w:top w:val="single" w:color="auto" w:sz="4" w:space="0"/>
              <w:left w:val="single" w:color="auto" w:sz="4" w:space="0"/>
              <w:bottom w:val="single" w:color="auto" w:sz="4" w:space="0"/>
              <w:right w:val="single" w:color="auto" w:sz="4" w:space="0"/>
            </w:tcBorders>
            <w:noWrap w:val="0"/>
            <w:vAlign w:val="center"/>
          </w:tcPr>
          <w:p w14:paraId="199824E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z w:val="21"/>
                <w:szCs w:val="21"/>
                <w:highlight w:val="none"/>
                <w:lang w:eastAsia="zh-Hans"/>
              </w:rPr>
              <w:t>双方签订合同后，</w:t>
            </w:r>
            <w:r>
              <w:rPr>
                <w:rFonts w:hint="eastAsia" w:ascii="宋体" w:hAnsi="宋体" w:eastAsia="宋体" w:cs="宋体"/>
                <w:b w:val="0"/>
                <w:bCs/>
                <w:color w:val="auto"/>
                <w:sz w:val="21"/>
                <w:szCs w:val="21"/>
                <w:highlight w:val="none"/>
              </w:rPr>
              <w:t>成交供应商</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指定地点交货、安装、调试，经</w:t>
            </w:r>
            <w:r>
              <w:rPr>
                <w:rFonts w:hint="eastAsia" w:ascii="宋体" w:hAnsi="宋体" w:eastAsia="宋体" w:cs="宋体"/>
                <w:b w:val="0"/>
                <w:bCs/>
                <w:color w:val="auto"/>
                <w:sz w:val="21"/>
                <w:szCs w:val="21"/>
                <w:highlight w:val="none"/>
              </w:rPr>
              <w:t>采购人</w:t>
            </w:r>
            <w:r>
              <w:rPr>
                <w:rFonts w:hint="eastAsia" w:ascii="宋体" w:hAnsi="宋体" w:eastAsia="宋体" w:cs="宋体"/>
                <w:color w:val="auto"/>
                <w:sz w:val="21"/>
                <w:szCs w:val="21"/>
                <w:highlight w:val="none"/>
              </w:rPr>
              <w:t>验收合格后，</w:t>
            </w:r>
            <w:r>
              <w:rPr>
                <w:rFonts w:hint="eastAsia" w:ascii="宋体" w:hAnsi="宋体" w:eastAsia="宋体" w:cs="宋体"/>
                <w:b w:val="0"/>
                <w:bCs/>
                <w:color w:val="auto"/>
                <w:sz w:val="21"/>
                <w:szCs w:val="21"/>
                <w:highlight w:val="none"/>
              </w:rPr>
              <w:t>采购人</w:t>
            </w:r>
            <w:r>
              <w:rPr>
                <w:rFonts w:hint="eastAsia" w:ascii="宋体" w:hAnsi="宋体" w:eastAsia="宋体" w:cs="宋体"/>
                <w:color w:val="auto"/>
                <w:sz w:val="21"/>
                <w:szCs w:val="21"/>
                <w:highlight w:val="none"/>
              </w:rPr>
              <w:t>一年内支付合同总价款</w:t>
            </w:r>
            <w:r>
              <w:rPr>
                <w:rFonts w:hint="eastAsia" w:ascii="宋体" w:hAnsi="宋体" w:eastAsia="宋体" w:cs="宋体"/>
                <w:color w:val="auto"/>
                <w:sz w:val="21"/>
                <w:szCs w:val="21"/>
                <w:highlight w:val="none"/>
                <w:lang w:val="en-US" w:eastAsia="zh-CN"/>
              </w:rPr>
              <w:t>的100%</w:t>
            </w:r>
            <w:r>
              <w:rPr>
                <w:rFonts w:hint="eastAsia" w:ascii="宋体" w:hAnsi="宋体" w:eastAsia="宋体" w:cs="宋体"/>
                <w:color w:val="auto"/>
                <w:sz w:val="21"/>
                <w:szCs w:val="21"/>
                <w:highlight w:val="none"/>
              </w:rPr>
              <w:t>。（注：</w:t>
            </w:r>
            <w:r>
              <w:rPr>
                <w:rFonts w:hint="eastAsia" w:ascii="宋体" w:hAnsi="宋体" w:eastAsia="宋体" w:cs="宋体"/>
                <w:b w:val="0"/>
                <w:bCs/>
                <w:color w:val="auto"/>
                <w:sz w:val="21"/>
                <w:szCs w:val="21"/>
                <w:highlight w:val="none"/>
              </w:rPr>
              <w:t>采购人</w:t>
            </w:r>
            <w:r>
              <w:rPr>
                <w:rFonts w:hint="eastAsia" w:ascii="宋体" w:hAnsi="宋体" w:eastAsia="宋体" w:cs="宋体"/>
                <w:color w:val="auto"/>
                <w:sz w:val="21"/>
                <w:szCs w:val="21"/>
                <w:highlight w:val="none"/>
              </w:rPr>
              <w:t>在付款前，通知</w:t>
            </w:r>
            <w:r>
              <w:rPr>
                <w:rFonts w:hint="eastAsia" w:ascii="宋体" w:hAnsi="宋体" w:eastAsia="宋体" w:cs="宋体"/>
                <w:b w:val="0"/>
                <w:bCs/>
                <w:color w:val="auto"/>
                <w:sz w:val="21"/>
                <w:szCs w:val="21"/>
                <w:highlight w:val="none"/>
              </w:rPr>
              <w:t>成交供应商</w:t>
            </w:r>
            <w:r>
              <w:rPr>
                <w:rFonts w:hint="eastAsia" w:ascii="宋体" w:hAnsi="宋体" w:eastAsia="宋体" w:cs="宋体"/>
                <w:color w:val="auto"/>
                <w:sz w:val="21"/>
                <w:szCs w:val="21"/>
                <w:highlight w:val="none"/>
              </w:rPr>
              <w:t>提供经</w:t>
            </w:r>
            <w:r>
              <w:rPr>
                <w:rFonts w:hint="eastAsia" w:ascii="宋体" w:hAnsi="宋体" w:eastAsia="宋体" w:cs="宋体"/>
                <w:b w:val="0"/>
                <w:bCs/>
                <w:color w:val="auto"/>
                <w:sz w:val="21"/>
                <w:szCs w:val="21"/>
                <w:highlight w:val="none"/>
              </w:rPr>
              <w:t>采购人</w:t>
            </w:r>
            <w:r>
              <w:rPr>
                <w:rFonts w:hint="eastAsia" w:ascii="宋体" w:hAnsi="宋体" w:eastAsia="宋体" w:cs="宋体"/>
                <w:color w:val="auto"/>
                <w:sz w:val="21"/>
                <w:szCs w:val="21"/>
                <w:highlight w:val="none"/>
              </w:rPr>
              <w:t>核定的合同标的金额的增值税发票（符合税法规定），</w:t>
            </w:r>
            <w:r>
              <w:rPr>
                <w:rFonts w:hint="eastAsia" w:ascii="宋体" w:hAnsi="宋体" w:eastAsia="宋体" w:cs="宋体"/>
                <w:b w:val="0"/>
                <w:bCs/>
                <w:color w:val="auto"/>
                <w:sz w:val="21"/>
                <w:szCs w:val="21"/>
                <w:highlight w:val="none"/>
              </w:rPr>
              <w:t>成交供应商</w:t>
            </w:r>
            <w:r>
              <w:rPr>
                <w:rFonts w:hint="eastAsia" w:ascii="宋体" w:hAnsi="宋体" w:eastAsia="宋体" w:cs="宋体"/>
                <w:color w:val="auto"/>
                <w:sz w:val="21"/>
                <w:szCs w:val="21"/>
                <w:highlight w:val="none"/>
              </w:rPr>
              <w:t>未按时提供增值税发票导致支付延时的责任自负，且</w:t>
            </w:r>
            <w:r>
              <w:rPr>
                <w:rFonts w:hint="eastAsia" w:ascii="宋体" w:hAnsi="宋体" w:eastAsia="宋体" w:cs="宋体"/>
                <w:b w:val="0"/>
                <w:bCs/>
                <w:color w:val="auto"/>
                <w:sz w:val="21"/>
                <w:szCs w:val="21"/>
                <w:highlight w:val="none"/>
              </w:rPr>
              <w:t>成交供应商</w:t>
            </w:r>
            <w:r>
              <w:rPr>
                <w:rFonts w:hint="eastAsia" w:ascii="宋体" w:hAnsi="宋体" w:eastAsia="宋体" w:cs="宋体"/>
                <w:color w:val="auto"/>
                <w:sz w:val="21"/>
                <w:szCs w:val="21"/>
                <w:highlight w:val="none"/>
              </w:rPr>
              <w:t>应在付款前向</w:t>
            </w:r>
            <w:r>
              <w:rPr>
                <w:rFonts w:hint="eastAsia" w:ascii="宋体" w:hAnsi="宋体" w:eastAsia="宋体" w:cs="宋体"/>
                <w:b w:val="0"/>
                <w:bCs/>
                <w:color w:val="auto"/>
                <w:sz w:val="21"/>
                <w:szCs w:val="21"/>
                <w:highlight w:val="none"/>
              </w:rPr>
              <w:t>采购人</w:t>
            </w:r>
            <w:r>
              <w:rPr>
                <w:rFonts w:hint="eastAsia" w:ascii="宋体" w:hAnsi="宋体" w:eastAsia="宋体" w:cs="宋体"/>
                <w:color w:val="auto"/>
                <w:sz w:val="21"/>
                <w:szCs w:val="21"/>
                <w:highlight w:val="none"/>
              </w:rPr>
              <w:t>提供合同标的金额的增值税发票，否则</w:t>
            </w:r>
            <w:r>
              <w:rPr>
                <w:rFonts w:hint="eastAsia" w:ascii="宋体" w:hAnsi="宋体" w:eastAsia="宋体" w:cs="宋体"/>
                <w:b w:val="0"/>
                <w:bCs/>
                <w:color w:val="auto"/>
                <w:sz w:val="21"/>
                <w:szCs w:val="21"/>
                <w:highlight w:val="none"/>
              </w:rPr>
              <w:t>采购人</w:t>
            </w:r>
            <w:r>
              <w:rPr>
                <w:rFonts w:hint="eastAsia" w:ascii="宋体" w:hAnsi="宋体" w:eastAsia="宋体" w:cs="宋体"/>
                <w:color w:val="auto"/>
                <w:sz w:val="21"/>
                <w:szCs w:val="21"/>
                <w:highlight w:val="none"/>
              </w:rPr>
              <w:t>有权拒绝付款，由此产生的责任由</w:t>
            </w:r>
            <w:r>
              <w:rPr>
                <w:rFonts w:hint="eastAsia" w:ascii="宋体" w:hAnsi="宋体" w:eastAsia="宋体" w:cs="宋体"/>
                <w:b w:val="0"/>
                <w:bCs/>
                <w:color w:val="auto"/>
                <w:sz w:val="21"/>
                <w:szCs w:val="21"/>
                <w:highlight w:val="none"/>
              </w:rPr>
              <w:t>成交供应商</w:t>
            </w:r>
            <w:r>
              <w:rPr>
                <w:rFonts w:hint="eastAsia" w:ascii="宋体" w:hAnsi="宋体" w:eastAsia="宋体" w:cs="宋体"/>
                <w:color w:val="auto"/>
                <w:sz w:val="21"/>
                <w:szCs w:val="21"/>
                <w:highlight w:val="none"/>
              </w:rPr>
              <w:t>承担。）</w:t>
            </w:r>
          </w:p>
        </w:tc>
      </w:tr>
      <w:tr w14:paraId="3D370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10" w:type="dxa"/>
            <w:gridSpan w:val="3"/>
            <w:tcBorders>
              <w:top w:val="single" w:color="auto" w:sz="4" w:space="0"/>
              <w:left w:val="single" w:color="auto" w:sz="4" w:space="0"/>
              <w:bottom w:val="single" w:color="auto" w:sz="4" w:space="0"/>
              <w:right w:val="single" w:color="auto" w:sz="4" w:space="0"/>
            </w:tcBorders>
            <w:noWrap w:val="0"/>
            <w:vAlign w:val="center"/>
          </w:tcPr>
          <w:p w14:paraId="08C680E5">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售后服务要求</w:t>
            </w:r>
          </w:p>
        </w:tc>
        <w:tc>
          <w:tcPr>
            <w:tcW w:w="7166" w:type="dxa"/>
            <w:gridSpan w:val="4"/>
            <w:tcBorders>
              <w:top w:val="single" w:color="auto" w:sz="4" w:space="0"/>
              <w:left w:val="single" w:color="auto" w:sz="4" w:space="0"/>
              <w:bottom w:val="single" w:color="auto" w:sz="4" w:space="0"/>
              <w:right w:val="single" w:color="auto" w:sz="4" w:space="0"/>
            </w:tcBorders>
            <w:noWrap w:val="0"/>
            <w:vAlign w:val="center"/>
          </w:tcPr>
          <w:p w14:paraId="07FAAFD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（1）竞标产品必须是按厂家标准配置的整套全新产品，按国家规定实行“三包”，</w:t>
            </w:r>
            <w:r>
              <w:rPr>
                <w:rFonts w:hint="eastAsia" w:ascii="宋体" w:hAnsi="宋体" w:eastAsia="宋体" w:cs="宋体"/>
                <w:b w:val="0"/>
                <w:bCs w:val="0"/>
                <w:color w:val="auto"/>
                <w:sz w:val="21"/>
                <w:szCs w:val="21"/>
                <w:highlight w:val="none"/>
                <w:lang w:val="en-US" w:eastAsia="zh-CN"/>
              </w:rPr>
              <w:t>负责</w:t>
            </w:r>
            <w:r>
              <w:rPr>
                <w:rFonts w:hint="eastAsia" w:ascii="宋体" w:hAnsi="宋体" w:eastAsia="宋体" w:cs="宋体"/>
                <w:b w:val="0"/>
                <w:bCs w:val="0"/>
                <w:color w:val="auto"/>
                <w:sz w:val="21"/>
                <w:szCs w:val="21"/>
                <w:highlight w:val="none"/>
                <w:lang w:val="en-US" w:eastAsia="zh-CN"/>
              </w:rPr>
              <w:t>送货上门、</w:t>
            </w:r>
            <w:r>
              <w:rPr>
                <w:rFonts w:hint="eastAsia" w:ascii="宋体" w:hAnsi="宋体" w:eastAsia="宋体" w:cs="宋体"/>
                <w:b w:val="0"/>
                <w:bCs w:val="0"/>
                <w:color w:val="auto"/>
                <w:sz w:val="21"/>
                <w:szCs w:val="21"/>
                <w:highlight w:val="none"/>
                <w:lang w:val="en-US" w:eastAsia="zh-CN"/>
              </w:rPr>
              <w:t>负责</w:t>
            </w:r>
            <w:r>
              <w:rPr>
                <w:rFonts w:hint="eastAsia" w:ascii="宋体" w:hAnsi="宋体" w:eastAsia="宋体" w:cs="宋体"/>
                <w:b w:val="0"/>
                <w:bCs w:val="0"/>
                <w:color w:val="auto"/>
                <w:sz w:val="21"/>
                <w:szCs w:val="21"/>
                <w:highlight w:val="none"/>
                <w:lang w:val="en-US" w:eastAsia="zh-CN"/>
              </w:rPr>
              <w:t>安装调试（附安装说明书）及人员培训，培训后采购人可熟悉基本操作；</w:t>
            </w:r>
          </w:p>
          <w:p w14:paraId="017E137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故障处理：提供7×24小时维修服务，并提供售后服务电话，出现故障应在接到故障通知起30分钟内响应，一般问题2小时内通过远程方式解决；遇到大的问题，在接到报修通知后24小时内派技术人员到达现场维修，故障修复时限不超过24小时，如超过时限无法排除故障，</w:t>
            </w:r>
            <w:r>
              <w:rPr>
                <w:rFonts w:hint="eastAsia" w:ascii="宋体" w:hAnsi="宋体" w:eastAsia="宋体" w:cs="宋体"/>
                <w:b w:val="0"/>
                <w:bCs w:val="0"/>
                <w:color w:val="auto"/>
                <w:sz w:val="21"/>
                <w:szCs w:val="21"/>
                <w:highlight w:val="none"/>
                <w:lang w:val="en-US" w:eastAsia="zh-CN"/>
              </w:rPr>
              <w:t>无条件</w:t>
            </w:r>
            <w:r>
              <w:rPr>
                <w:rFonts w:hint="eastAsia" w:ascii="宋体" w:hAnsi="宋体" w:eastAsia="宋体" w:cs="宋体"/>
                <w:b w:val="0"/>
                <w:bCs w:val="0"/>
                <w:color w:val="auto"/>
                <w:sz w:val="21"/>
                <w:szCs w:val="21"/>
                <w:highlight w:val="none"/>
                <w:lang w:val="en-US" w:eastAsia="zh-CN"/>
              </w:rPr>
              <w:t>提供同等质量的产品作为备用品供采购人使用，直到修复完成；</w:t>
            </w:r>
          </w:p>
          <w:p w14:paraId="3D84534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color w:val="auto"/>
                <w:sz w:val="21"/>
                <w:szCs w:val="21"/>
                <w:highlight w:val="none"/>
              </w:rPr>
              <w:t>质保期</w:t>
            </w:r>
            <w:r>
              <w:rPr>
                <w:rFonts w:hint="eastAsia" w:ascii="宋体" w:hAnsi="宋体" w:eastAsia="宋体" w:cs="宋体"/>
                <w:b w:val="0"/>
                <w:bCs w:val="0"/>
                <w:color w:val="auto"/>
                <w:sz w:val="21"/>
                <w:szCs w:val="21"/>
                <w:highlight w:val="none"/>
                <w:lang w:val="en-US" w:eastAsia="zh-CN"/>
              </w:rPr>
              <w:t>内</w:t>
            </w:r>
            <w:r>
              <w:rPr>
                <w:rFonts w:hint="eastAsia" w:ascii="宋体" w:hAnsi="宋体" w:eastAsia="宋体" w:cs="宋体"/>
                <w:b w:val="0"/>
                <w:bCs w:val="0"/>
                <w:color w:val="auto"/>
                <w:sz w:val="21"/>
                <w:szCs w:val="21"/>
                <w:highlight w:val="none"/>
                <w:lang w:val="en-US" w:eastAsia="zh-CN"/>
              </w:rPr>
              <w:t>负责</w:t>
            </w:r>
            <w:r>
              <w:rPr>
                <w:rFonts w:hint="eastAsia" w:ascii="宋体" w:hAnsi="宋体" w:eastAsia="宋体" w:cs="宋体"/>
                <w:b w:val="0"/>
                <w:bCs w:val="0"/>
                <w:color w:val="auto"/>
                <w:sz w:val="21"/>
                <w:szCs w:val="21"/>
                <w:highlight w:val="none"/>
                <w:lang w:val="en-US" w:eastAsia="zh-CN"/>
              </w:rPr>
              <w:t>提供维修服务（含人工费、配件费、差旅费等各项费用），所更换的所有零配件全部使用原厂配件；提供终身上门维修服务；</w:t>
            </w:r>
          </w:p>
          <w:p w14:paraId="65AF831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（4）原厂2年保修（节假日不休），终身400或800呼叫中心热线7×24小时提供技术支持服务，保修服务可以通过机器序列号与原厂服务中心确认。</w:t>
            </w:r>
          </w:p>
          <w:p w14:paraId="619D2B7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（5）售后服务要求以上内容的费用已包括在</w:t>
            </w:r>
            <w:r>
              <w:rPr>
                <w:rFonts w:hint="eastAsia" w:ascii="宋体" w:hAnsi="宋体" w:eastAsia="宋体" w:cs="宋体"/>
                <w:b w:val="0"/>
                <w:bCs w:val="0"/>
                <w:color w:val="auto"/>
                <w:sz w:val="21"/>
                <w:szCs w:val="21"/>
                <w:highlight w:val="none"/>
                <w:lang w:val="en-US" w:eastAsia="zh-CN"/>
              </w:rPr>
              <w:t>竞标报价</w:t>
            </w:r>
            <w:r>
              <w:rPr>
                <w:rFonts w:hint="eastAsia" w:ascii="宋体" w:hAnsi="宋体" w:eastAsia="宋体" w:cs="宋体"/>
                <w:b w:val="0"/>
                <w:bCs w:val="0"/>
                <w:color w:val="auto"/>
                <w:sz w:val="21"/>
                <w:szCs w:val="21"/>
                <w:highlight w:val="none"/>
                <w:lang w:val="en-US" w:eastAsia="zh-CN"/>
              </w:rPr>
              <w:t>中。</w:t>
            </w:r>
          </w:p>
        </w:tc>
      </w:tr>
      <w:tr w14:paraId="615F3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10" w:type="dxa"/>
            <w:gridSpan w:val="3"/>
            <w:tcBorders>
              <w:top w:val="single" w:color="auto" w:sz="4" w:space="0"/>
              <w:left w:val="single" w:color="auto" w:sz="4" w:space="0"/>
              <w:bottom w:val="single" w:color="auto" w:sz="4" w:space="0"/>
              <w:right w:val="single" w:color="auto" w:sz="4" w:space="0"/>
            </w:tcBorders>
            <w:noWrap w:val="0"/>
            <w:vAlign w:val="center"/>
          </w:tcPr>
          <w:p w14:paraId="0BD9AA0A">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备品备件及耗材等要求</w:t>
            </w:r>
          </w:p>
        </w:tc>
        <w:tc>
          <w:tcPr>
            <w:tcW w:w="7166" w:type="dxa"/>
            <w:gridSpan w:val="4"/>
            <w:tcBorders>
              <w:top w:val="single" w:color="auto" w:sz="4" w:space="0"/>
              <w:left w:val="single" w:color="auto" w:sz="4" w:space="0"/>
              <w:bottom w:val="single" w:color="auto" w:sz="4" w:space="0"/>
              <w:right w:val="single" w:color="auto" w:sz="4" w:space="0"/>
            </w:tcBorders>
            <w:noWrap w:val="0"/>
            <w:vAlign w:val="center"/>
          </w:tcPr>
          <w:p w14:paraId="0AB8E314">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所提供零部件、配件及安装材料必须是符合国家规定质量安全标准的全新、合格产品；该项费用应包含在报价中；</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所提供完整的全套设备须包括必备的易损耗备件和专用工具。</w:t>
            </w:r>
          </w:p>
        </w:tc>
      </w:tr>
      <w:tr w14:paraId="479E7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10" w:type="dxa"/>
            <w:gridSpan w:val="3"/>
            <w:tcBorders>
              <w:top w:val="single" w:color="auto" w:sz="4" w:space="0"/>
              <w:left w:val="single" w:color="auto" w:sz="4" w:space="0"/>
              <w:bottom w:val="single" w:color="auto" w:sz="4" w:space="0"/>
              <w:right w:val="single" w:color="auto" w:sz="4" w:space="0"/>
            </w:tcBorders>
            <w:noWrap w:val="0"/>
            <w:vAlign w:val="center"/>
          </w:tcPr>
          <w:p w14:paraId="573BEB3E">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包装和运输</w:t>
            </w:r>
          </w:p>
        </w:tc>
        <w:tc>
          <w:tcPr>
            <w:tcW w:w="7166" w:type="dxa"/>
            <w:gridSpan w:val="4"/>
            <w:tcBorders>
              <w:top w:val="single" w:color="auto" w:sz="4" w:space="0"/>
              <w:left w:val="single" w:color="auto" w:sz="4" w:space="0"/>
              <w:bottom w:val="single" w:color="auto" w:sz="4" w:space="0"/>
              <w:right w:val="single" w:color="auto" w:sz="4" w:space="0"/>
            </w:tcBorders>
            <w:noWrap w:val="0"/>
            <w:vAlign w:val="center"/>
          </w:tcPr>
          <w:p w14:paraId="4DA64F50">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成交供应商在货物发运前对其进行满足运输距离、防潮、防震、防锈和防破损装卸等要求包装，以保证货物安全运达采购人指定地点。中文使用说明书、质量检验证明书、保修单据、随配附件和工具以及清单一并附于货物内。</w:t>
            </w:r>
          </w:p>
          <w:p w14:paraId="652CFFDB">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（2）货物的运输方式：由成交供应商自行安排。</w:t>
            </w:r>
          </w:p>
          <w:p w14:paraId="1B872B44">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（3）成交供应商负责货物运输，货物运输合理损耗及计算方法：本项目不接受损耗。</w:t>
            </w:r>
          </w:p>
        </w:tc>
      </w:tr>
      <w:tr w14:paraId="4A2C7F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10" w:type="dxa"/>
            <w:gridSpan w:val="3"/>
            <w:tcBorders>
              <w:top w:val="single" w:color="auto" w:sz="4" w:space="0"/>
              <w:left w:val="single" w:color="auto" w:sz="4" w:space="0"/>
              <w:bottom w:val="single" w:color="auto" w:sz="4" w:space="0"/>
              <w:right w:val="single" w:color="auto" w:sz="4" w:space="0"/>
            </w:tcBorders>
            <w:noWrap w:val="0"/>
            <w:vAlign w:val="center"/>
          </w:tcPr>
          <w:p w14:paraId="24B93CA9">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保险</w:t>
            </w:r>
          </w:p>
        </w:tc>
        <w:tc>
          <w:tcPr>
            <w:tcW w:w="7166" w:type="dxa"/>
            <w:gridSpan w:val="4"/>
            <w:tcBorders>
              <w:top w:val="single" w:color="auto" w:sz="4" w:space="0"/>
              <w:left w:val="single" w:color="auto" w:sz="4" w:space="0"/>
              <w:bottom w:val="single" w:color="auto" w:sz="4" w:space="0"/>
              <w:right w:val="single" w:color="auto" w:sz="4" w:space="0"/>
            </w:tcBorders>
            <w:noWrap w:val="0"/>
            <w:vAlign w:val="center"/>
          </w:tcPr>
          <w:p w14:paraId="4E889726">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成交供应商负责办理运输和保险，将货物运抵交货地点。与运输、保险相关的费用由成交供应商承担。</w:t>
            </w:r>
          </w:p>
        </w:tc>
      </w:tr>
      <w:tr w14:paraId="7F7924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76" w:type="dxa"/>
            <w:gridSpan w:val="7"/>
            <w:tcBorders>
              <w:top w:val="single" w:color="auto" w:sz="4" w:space="0"/>
              <w:left w:val="single" w:color="auto" w:sz="4" w:space="0"/>
              <w:bottom w:val="single" w:color="auto" w:sz="4" w:space="0"/>
              <w:right w:val="single" w:color="auto" w:sz="4" w:space="0"/>
            </w:tcBorders>
            <w:noWrap w:val="0"/>
            <w:vAlign w:val="center"/>
          </w:tcPr>
          <w:p w14:paraId="1EEBC6FD">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二、与实现项目目标相关的其他要求</w:t>
            </w:r>
          </w:p>
        </w:tc>
      </w:tr>
      <w:tr w14:paraId="63E6A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10" w:type="dxa"/>
            <w:gridSpan w:val="3"/>
            <w:tcBorders>
              <w:top w:val="single" w:color="auto" w:sz="4" w:space="0"/>
              <w:left w:val="single" w:color="auto" w:sz="4" w:space="0"/>
              <w:bottom w:val="single" w:color="auto" w:sz="4" w:space="0"/>
              <w:right w:val="single" w:color="auto" w:sz="4" w:space="0"/>
            </w:tcBorders>
            <w:noWrap w:val="0"/>
            <w:vAlign w:val="center"/>
          </w:tcPr>
          <w:p w14:paraId="10B4AF0E">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进口产品说明</w:t>
            </w:r>
          </w:p>
        </w:tc>
        <w:tc>
          <w:tcPr>
            <w:tcW w:w="7166" w:type="dxa"/>
            <w:gridSpan w:val="4"/>
            <w:tcBorders>
              <w:top w:val="single" w:color="auto" w:sz="4" w:space="0"/>
              <w:left w:val="single" w:color="auto" w:sz="4" w:space="0"/>
              <w:bottom w:val="single" w:color="auto" w:sz="4" w:space="0"/>
              <w:right w:val="single" w:color="auto" w:sz="4" w:space="0"/>
            </w:tcBorders>
            <w:noWrap w:val="0"/>
            <w:vAlign w:val="center"/>
          </w:tcPr>
          <w:p w14:paraId="0E21BA10">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本分标货物不接受进口产品（即通过中国海关报关验放进入中国境内且产自关境外的产品）参与竞标，</w:t>
            </w:r>
            <w:r>
              <w:rPr>
                <w:rFonts w:hint="eastAsia" w:ascii="宋体" w:hAnsi="宋体" w:eastAsia="宋体" w:cs="宋体"/>
                <w:b/>
                <w:color w:val="auto"/>
                <w:sz w:val="21"/>
                <w:szCs w:val="21"/>
                <w:highlight w:val="none"/>
              </w:rPr>
              <w:t>如有进口产品参与竞标的，其响应文件按无效</w:t>
            </w:r>
            <w:r>
              <w:rPr>
                <w:rFonts w:hint="eastAsia" w:ascii="宋体" w:hAnsi="宋体" w:eastAsia="宋体" w:cs="宋体"/>
                <w:b/>
                <w:color w:val="auto"/>
                <w:sz w:val="21"/>
                <w:szCs w:val="21"/>
                <w:highlight w:val="none"/>
                <w:lang w:val="en-US" w:eastAsia="zh-CN"/>
              </w:rPr>
              <w:t>响应</w:t>
            </w:r>
            <w:r>
              <w:rPr>
                <w:rFonts w:hint="eastAsia" w:ascii="宋体" w:hAnsi="宋体" w:eastAsia="宋体" w:cs="宋体"/>
                <w:b/>
                <w:color w:val="auto"/>
                <w:sz w:val="21"/>
                <w:szCs w:val="21"/>
                <w:highlight w:val="none"/>
              </w:rPr>
              <w:t>处理</w:t>
            </w:r>
            <w:r>
              <w:rPr>
                <w:rFonts w:hint="eastAsia" w:ascii="宋体" w:hAnsi="宋体" w:eastAsia="宋体" w:cs="宋体"/>
                <w:color w:val="auto"/>
                <w:sz w:val="21"/>
                <w:szCs w:val="21"/>
                <w:highlight w:val="none"/>
              </w:rPr>
              <w:t>。</w:t>
            </w:r>
          </w:p>
        </w:tc>
      </w:tr>
      <w:tr w14:paraId="42FC3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10" w:type="dxa"/>
            <w:gridSpan w:val="3"/>
            <w:tcBorders>
              <w:top w:val="single" w:color="auto" w:sz="4" w:space="0"/>
              <w:left w:val="single" w:color="auto" w:sz="4" w:space="0"/>
              <w:bottom w:val="single" w:color="auto" w:sz="4" w:space="0"/>
              <w:right w:val="single" w:color="auto" w:sz="4" w:space="0"/>
            </w:tcBorders>
            <w:noWrap w:val="0"/>
            <w:vAlign w:val="center"/>
          </w:tcPr>
          <w:p w14:paraId="13314E6C">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7166" w:type="dxa"/>
            <w:gridSpan w:val="4"/>
            <w:tcBorders>
              <w:top w:val="single" w:color="auto" w:sz="4" w:space="0"/>
              <w:left w:val="single" w:color="auto" w:sz="4" w:space="0"/>
              <w:bottom w:val="single" w:color="auto" w:sz="4" w:space="0"/>
              <w:right w:val="single" w:color="auto" w:sz="4" w:space="0"/>
            </w:tcBorders>
            <w:noWrap w:val="0"/>
            <w:vAlign w:val="center"/>
          </w:tcPr>
          <w:p w14:paraId="0A2E8413">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▲竞标产品如为二、三类医疗器械的，须在响应文件中提供竞标产品的医疗器械注册证复印件并加盖供应商公章或电子签章，否则其响应文件按无效响应处理。</w:t>
            </w:r>
          </w:p>
        </w:tc>
      </w:tr>
    </w:tbl>
    <w:p w14:paraId="7F7DB165">
      <w:pPr>
        <w:tabs>
          <w:tab w:val="left" w:pos="180"/>
          <w:tab w:val="left" w:pos="1620"/>
        </w:tabs>
        <w:spacing w:line="400" w:lineRule="exact"/>
        <w:ind w:firstLine="420" w:firstLineChars="200"/>
        <w:rPr>
          <w:rFonts w:hint="eastAsia" w:ascii="宋体" w:hAnsi="宋体" w:cs="宋体"/>
          <w:color w:val="auto"/>
          <w:szCs w:val="21"/>
          <w:highlight w:val="none"/>
        </w:rPr>
      </w:pPr>
    </w:p>
    <w:p w14:paraId="53C20AED">
      <w:pPr>
        <w:tabs>
          <w:tab w:val="left" w:pos="180"/>
          <w:tab w:val="left" w:pos="1620"/>
        </w:tabs>
        <w:spacing w:line="400" w:lineRule="exact"/>
        <w:ind w:firstLine="420" w:firstLineChars="200"/>
        <w:rPr>
          <w:rFonts w:hint="eastAsia" w:ascii="宋体" w:hAnsi="宋体" w:cs="宋体"/>
          <w:color w:val="auto"/>
          <w:szCs w:val="21"/>
          <w:highlight w:val="none"/>
        </w:rPr>
      </w:pPr>
    </w:p>
    <w:p w14:paraId="28F6DFC2">
      <w:pPr>
        <w:tabs>
          <w:tab w:val="left" w:pos="180"/>
          <w:tab w:val="left" w:pos="1620"/>
        </w:tabs>
        <w:spacing w:line="400" w:lineRule="exact"/>
        <w:ind w:firstLine="420" w:firstLineChars="200"/>
        <w:rPr>
          <w:rFonts w:hint="eastAsia" w:ascii="宋体" w:hAnsi="宋体" w:cs="宋体"/>
          <w:color w:val="auto"/>
          <w:szCs w:val="21"/>
          <w:highlight w:val="none"/>
        </w:rPr>
      </w:pPr>
    </w:p>
    <w:p w14:paraId="3F5D69FF">
      <w:pPr>
        <w:tabs>
          <w:tab w:val="left" w:pos="180"/>
          <w:tab w:val="left" w:pos="1620"/>
        </w:tabs>
        <w:spacing w:line="400" w:lineRule="exact"/>
        <w:ind w:firstLine="420" w:firstLineChars="200"/>
        <w:rPr>
          <w:rFonts w:hint="eastAsia" w:ascii="宋体" w:hAnsi="宋体" w:cs="宋体"/>
          <w:color w:val="auto"/>
          <w:szCs w:val="21"/>
          <w:highlight w:val="none"/>
        </w:rPr>
      </w:pPr>
    </w:p>
    <w:p w14:paraId="582E3B93">
      <w:pPr>
        <w:spacing w:line="428" w:lineRule="exact"/>
        <w:ind w:left="119"/>
        <w:rPr>
          <w:rFonts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br w:type="page"/>
      </w:r>
      <w:r>
        <w:rPr>
          <w:rFonts w:hint="eastAsia" w:ascii="黑体" w:hAnsi="黑体" w:eastAsia="黑体" w:cs="黑体"/>
          <w:color w:val="auto"/>
          <w:sz w:val="32"/>
          <w:szCs w:val="32"/>
          <w:highlight w:val="none"/>
        </w:rPr>
        <w:t>附件：</w:t>
      </w:r>
    </w:p>
    <w:p w14:paraId="3984A4D8">
      <w:pPr>
        <w:spacing w:before="7"/>
        <w:rPr>
          <w:rFonts w:hint="eastAsia" w:ascii="Arial Unicode MS" w:hAnsi="Arial Unicode MS" w:eastAsia="Arial Unicode MS" w:cs="Arial Unicode MS"/>
          <w:color w:val="auto"/>
          <w:sz w:val="17"/>
          <w:szCs w:val="17"/>
          <w:highlight w:val="none"/>
        </w:rPr>
      </w:pPr>
    </w:p>
    <w:p w14:paraId="5E8F43FA">
      <w:pPr>
        <w:spacing w:line="528" w:lineRule="exact"/>
        <w:ind w:left="1871"/>
        <w:rPr>
          <w:rFonts w:ascii="Arial Unicode MS" w:hAnsi="Arial Unicode MS" w:eastAsia="Arial Unicode MS" w:cs="Arial Unicode MS"/>
          <w:color w:val="auto"/>
          <w:sz w:val="40"/>
          <w:szCs w:val="40"/>
          <w:highlight w:val="none"/>
        </w:rPr>
      </w:pPr>
      <w:r>
        <w:rPr>
          <w:rFonts w:hint="eastAsia" w:ascii="方正小标宋简体" w:hAnsi="方正小标宋简体" w:eastAsia="方正小标宋简体" w:cs="方正小标宋简体"/>
          <w:color w:val="auto"/>
          <w:sz w:val="44"/>
          <w:szCs w:val="44"/>
          <w:highlight w:val="none"/>
        </w:rPr>
        <w:t>节能产品政府采购品目清单</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422"/>
        <w:gridCol w:w="1496"/>
        <w:gridCol w:w="1481"/>
        <w:gridCol w:w="3452"/>
      </w:tblGrid>
      <w:tr w14:paraId="49CE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1A096BAE">
            <w:pPr>
              <w:jc w:val="center"/>
              <w:rPr>
                <w:rFonts w:ascii="Calibri" w:hAnsi="Calibri"/>
                <w:color w:val="auto"/>
                <w:szCs w:val="22"/>
                <w:highlight w:val="none"/>
              </w:rPr>
            </w:pPr>
            <w:r>
              <w:rPr>
                <w:rFonts w:hint="eastAsia" w:ascii="宋体" w:hAnsi="宋体" w:cs="宋体"/>
                <w:b/>
                <w:bCs/>
                <w:color w:val="auto"/>
                <w:w w:val="99"/>
                <w:highlight w:val="none"/>
              </w:rPr>
              <w:t>品目序号</w:t>
            </w:r>
          </w:p>
        </w:tc>
        <w:tc>
          <w:tcPr>
            <w:tcW w:w="4399" w:type="dxa"/>
            <w:gridSpan w:val="3"/>
            <w:tcBorders>
              <w:top w:val="single" w:color="000000" w:sz="4" w:space="0"/>
              <w:left w:val="single" w:color="000000" w:sz="4" w:space="0"/>
              <w:bottom w:val="single" w:color="000000" w:sz="4" w:space="0"/>
              <w:right w:val="single" w:color="000000" w:sz="4" w:space="0"/>
            </w:tcBorders>
            <w:noWrap w:val="0"/>
            <w:vAlign w:val="center"/>
          </w:tcPr>
          <w:p w14:paraId="04C82E1A">
            <w:pPr>
              <w:jc w:val="center"/>
              <w:rPr>
                <w:rFonts w:ascii="Calibri" w:hAnsi="Calibri"/>
                <w:color w:val="auto"/>
                <w:szCs w:val="22"/>
                <w:highlight w:val="none"/>
              </w:rPr>
            </w:pPr>
            <w:r>
              <w:rPr>
                <w:rFonts w:hint="eastAsia" w:ascii="宋体" w:hAnsi="宋体" w:cs="宋体"/>
                <w:b/>
                <w:bCs/>
                <w:color w:val="auto"/>
                <w:w w:val="99"/>
                <w:highlight w:val="none"/>
              </w:rPr>
              <w:t>名称</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6CFF8A37">
            <w:pPr>
              <w:jc w:val="center"/>
              <w:rPr>
                <w:rFonts w:ascii="Calibri" w:hAnsi="Calibri"/>
                <w:color w:val="auto"/>
                <w:szCs w:val="22"/>
                <w:highlight w:val="none"/>
              </w:rPr>
            </w:pPr>
            <w:r>
              <w:rPr>
                <w:rFonts w:hint="eastAsia" w:ascii="宋体" w:hAnsi="宋体" w:cs="宋体"/>
                <w:b/>
                <w:bCs/>
                <w:color w:val="auto"/>
                <w:w w:val="99"/>
                <w:highlight w:val="none"/>
              </w:rPr>
              <w:t>依据的标准</w:t>
            </w:r>
          </w:p>
        </w:tc>
      </w:tr>
      <w:tr w14:paraId="77E81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06F25815">
            <w:pPr>
              <w:jc w:val="center"/>
              <w:rPr>
                <w:rFonts w:ascii="宋体" w:hAnsi="宋体"/>
                <w:color w:val="auto"/>
                <w:szCs w:val="21"/>
                <w:highlight w:val="none"/>
              </w:rPr>
            </w:pPr>
            <w:r>
              <w:rPr>
                <w:rFonts w:hint="eastAsia" w:ascii="宋体" w:hAnsi="宋体"/>
                <w:color w:val="auto"/>
                <w:szCs w:val="21"/>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0EAE354B">
            <w:pPr>
              <w:jc w:val="center"/>
              <w:rPr>
                <w:rFonts w:ascii="宋体" w:hAnsi="宋体"/>
                <w:color w:val="auto"/>
                <w:szCs w:val="21"/>
                <w:highlight w:val="none"/>
              </w:rPr>
            </w:pPr>
            <w:r>
              <w:rPr>
                <w:rFonts w:hint="eastAsia" w:ascii="宋体" w:hAnsi="宋体" w:cs="仿宋_GB2312"/>
                <w:color w:val="auto"/>
                <w:szCs w:val="21"/>
                <w:highlight w:val="none"/>
              </w:rPr>
              <w:t>A02010100</w:t>
            </w:r>
            <w:r>
              <w:rPr>
                <w:rFonts w:hint="eastAsia" w:ascii="宋体" w:hAnsi="宋体" w:cs="宋体"/>
                <w:color w:val="auto"/>
                <w:w w:val="99"/>
                <w:szCs w:val="21"/>
                <w:highlight w:val="none"/>
              </w:rPr>
              <w:t>计算机</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A94B908">
            <w:pPr>
              <w:pStyle w:val="56"/>
              <w:spacing w:before="93"/>
              <w:ind w:left="7"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A02010105</w:t>
            </w:r>
            <w:r>
              <w:rPr>
                <w:rFonts w:hint="eastAsia" w:ascii="宋体" w:hAnsi="宋体" w:cs="宋体"/>
                <w:color w:val="auto"/>
                <w:w w:val="99"/>
                <w:kern w:val="2"/>
                <w:sz w:val="21"/>
                <w:szCs w:val="21"/>
                <w:highlight w:val="none"/>
              </w:rPr>
              <w:t>台式计算机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4D13D0B">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8B7DEC8">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《微型计算机能效限定值及能效等级》（GB28380）</w:t>
            </w:r>
          </w:p>
        </w:tc>
      </w:tr>
      <w:tr w14:paraId="26542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B543D9">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505DC4">
            <w:pPr>
              <w:widowControl/>
              <w:jc w:val="left"/>
              <w:rPr>
                <w:rFonts w:ascii="宋体" w:hAnsi="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40C3F59">
            <w:pPr>
              <w:pStyle w:val="56"/>
              <w:spacing w:before="44"/>
              <w:ind w:left="7"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A02010108</w:t>
            </w:r>
            <w:r>
              <w:rPr>
                <w:rFonts w:hint="eastAsia" w:ascii="宋体" w:hAnsi="宋体" w:cs="宋体"/>
                <w:color w:val="auto"/>
                <w:w w:val="99"/>
                <w:kern w:val="2"/>
                <w:sz w:val="21"/>
                <w:szCs w:val="21"/>
                <w:highlight w:val="none"/>
              </w:rPr>
              <w:t>便携式计算机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6C76170">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B6DC622">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《微型计算机能效限定值及能效等级》（GB28380）</w:t>
            </w:r>
          </w:p>
        </w:tc>
      </w:tr>
      <w:tr w14:paraId="11F3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C3B922">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52EF7C">
            <w:pPr>
              <w:widowControl/>
              <w:jc w:val="left"/>
              <w:rPr>
                <w:rFonts w:ascii="宋体" w:hAnsi="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5C49C500">
            <w:pPr>
              <w:pStyle w:val="56"/>
              <w:spacing w:before="64"/>
              <w:ind w:left="7" w:right="5"/>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w:t>
            </w:r>
            <w:r>
              <w:rPr>
                <w:rFonts w:hint="eastAsia" w:ascii="宋体" w:hAnsi="宋体" w:cs="仿宋_GB2312"/>
                <w:color w:val="auto"/>
                <w:kern w:val="2"/>
                <w:sz w:val="21"/>
                <w:szCs w:val="21"/>
                <w:highlight w:val="none"/>
                <w:lang w:eastAsia="zh-CN"/>
              </w:rPr>
              <w:t>A02010109平板式计算机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15DA1F7">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1ED111A">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《微型计算机能效限定值及能效等级》（GB28380）</w:t>
            </w:r>
          </w:p>
        </w:tc>
      </w:tr>
      <w:tr w14:paraId="69E4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7D44208A">
            <w:pPr>
              <w:jc w:val="center"/>
              <w:rPr>
                <w:rFonts w:ascii="宋体" w:hAnsi="宋体"/>
                <w:color w:val="auto"/>
                <w:szCs w:val="21"/>
                <w:highlight w:val="none"/>
              </w:rPr>
            </w:pPr>
            <w:r>
              <w:rPr>
                <w:rFonts w:hint="eastAsia" w:ascii="宋体" w:hAnsi="宋体"/>
                <w:color w:val="auto"/>
                <w:szCs w:val="21"/>
                <w:highlight w:val="none"/>
              </w:rPr>
              <w:t>2</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7A526481">
            <w:pPr>
              <w:pStyle w:val="56"/>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A02020000</w:t>
            </w:r>
            <w:r>
              <w:rPr>
                <w:rFonts w:hint="eastAsia" w:ascii="宋体" w:hAnsi="宋体" w:cs="宋体"/>
                <w:color w:val="auto"/>
                <w:w w:val="99"/>
                <w:kern w:val="2"/>
                <w:sz w:val="21"/>
                <w:szCs w:val="21"/>
                <w:highlight w:val="none"/>
              </w:rPr>
              <w:t>办公设备</w:t>
            </w: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0E0A5160">
            <w:pPr>
              <w:jc w:val="center"/>
              <w:rPr>
                <w:rFonts w:ascii="宋体" w:hAnsi="宋体"/>
                <w:color w:val="auto"/>
                <w:szCs w:val="21"/>
                <w:highlight w:val="none"/>
              </w:rPr>
            </w:pPr>
            <w:r>
              <w:rPr>
                <w:rFonts w:hint="eastAsia" w:ascii="宋体" w:hAnsi="宋体" w:cs="宋体"/>
                <w:color w:val="auto"/>
                <w:spacing w:val="1"/>
                <w:w w:val="99"/>
                <w:szCs w:val="21"/>
                <w:highlight w:val="none"/>
              </w:rPr>
              <w:t>A02021000</w:t>
            </w:r>
            <w:r>
              <w:rPr>
                <w:rFonts w:hint="eastAsia" w:ascii="宋体" w:hAnsi="宋体" w:cs="Arial"/>
                <w:color w:val="auto"/>
                <w:szCs w:val="21"/>
                <w:highlight w:val="none"/>
                <w:shd w:val="clear" w:color="auto" w:fill="FFFFFF"/>
              </w:rPr>
              <w:t>打印机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BE4EB9B">
            <w:pPr>
              <w:jc w:val="center"/>
              <w:rPr>
                <w:rFonts w:ascii="宋体" w:hAnsi="宋体"/>
                <w:color w:val="auto"/>
                <w:szCs w:val="21"/>
                <w:highlight w:val="none"/>
              </w:rPr>
            </w:pPr>
            <w:r>
              <w:rPr>
                <w:rFonts w:hint="eastAsia" w:ascii="宋体" w:hAnsi="宋体"/>
                <w:color w:val="auto"/>
                <w:szCs w:val="21"/>
                <w:highlight w:val="none"/>
              </w:rPr>
              <w:t>A02021001 A3黑白打印机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F7A926B">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32BAB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236DF6">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B6651F">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830281">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30D1ED7">
            <w:pPr>
              <w:jc w:val="center"/>
              <w:rPr>
                <w:rFonts w:ascii="宋体" w:hAnsi="宋体"/>
                <w:color w:val="auto"/>
                <w:szCs w:val="21"/>
                <w:highlight w:val="none"/>
              </w:rPr>
            </w:pPr>
            <w:r>
              <w:rPr>
                <w:rFonts w:hint="eastAsia" w:ascii="宋体" w:hAnsi="宋体"/>
                <w:color w:val="auto"/>
                <w:szCs w:val="21"/>
                <w:highlight w:val="none"/>
              </w:rPr>
              <w:t>A02021002 A3彩色打印机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EF9D717">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1E13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67F97F">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14696B">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D987E5">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AE087C4">
            <w:pPr>
              <w:jc w:val="center"/>
              <w:rPr>
                <w:rFonts w:ascii="宋体" w:hAnsi="宋体"/>
                <w:color w:val="auto"/>
                <w:szCs w:val="21"/>
                <w:highlight w:val="none"/>
              </w:rPr>
            </w:pPr>
            <w:r>
              <w:rPr>
                <w:rFonts w:hint="eastAsia" w:ascii="宋体" w:hAnsi="宋体"/>
                <w:color w:val="auto"/>
                <w:szCs w:val="21"/>
                <w:highlight w:val="none"/>
              </w:rPr>
              <w:t>A02021003 A4黑白打印机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649F17A">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16A4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BBFAEF">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A1EB1A">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24DFA1">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9463F08">
            <w:pPr>
              <w:jc w:val="center"/>
              <w:rPr>
                <w:rFonts w:ascii="宋体" w:hAnsi="宋体"/>
                <w:color w:val="auto"/>
                <w:szCs w:val="21"/>
                <w:highlight w:val="none"/>
              </w:rPr>
            </w:pPr>
            <w:r>
              <w:rPr>
                <w:rFonts w:hint="eastAsia" w:ascii="宋体" w:hAnsi="宋体"/>
                <w:color w:val="auto"/>
                <w:szCs w:val="21"/>
                <w:highlight w:val="none"/>
              </w:rPr>
              <w:t>A02021004 A4彩色打印机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1AC63B9">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4620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5C76AF">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2F1F34">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DF647A">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242F891">
            <w:pPr>
              <w:jc w:val="center"/>
              <w:rPr>
                <w:rFonts w:ascii="宋体" w:hAnsi="宋体"/>
                <w:color w:val="auto"/>
                <w:szCs w:val="21"/>
                <w:highlight w:val="none"/>
              </w:rPr>
            </w:pPr>
            <w:r>
              <w:rPr>
                <w:rFonts w:hint="eastAsia" w:ascii="宋体" w:hAnsi="宋体"/>
                <w:color w:val="auto"/>
                <w:szCs w:val="21"/>
                <w:highlight w:val="none"/>
              </w:rPr>
              <w:t>A02021005 3D打印机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F8C7107">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1806A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767741">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74B99F">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0BA3F7">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AD12B7F">
            <w:pPr>
              <w:jc w:val="center"/>
              <w:rPr>
                <w:rFonts w:ascii="宋体" w:hAnsi="宋体"/>
                <w:color w:val="auto"/>
                <w:szCs w:val="21"/>
                <w:highlight w:val="none"/>
              </w:rPr>
            </w:pPr>
            <w:r>
              <w:rPr>
                <w:rFonts w:hint="eastAsia" w:ascii="宋体" w:hAnsi="宋体"/>
                <w:color w:val="auto"/>
                <w:szCs w:val="21"/>
                <w:highlight w:val="none"/>
              </w:rPr>
              <w:t>A02021006票据打印机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0819E7D9">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3883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02F371">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4312BB">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C5F234">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76C7A70">
            <w:pPr>
              <w:jc w:val="center"/>
              <w:rPr>
                <w:rFonts w:ascii="宋体" w:hAnsi="宋体"/>
                <w:color w:val="auto"/>
                <w:szCs w:val="21"/>
                <w:highlight w:val="none"/>
              </w:rPr>
            </w:pPr>
            <w:r>
              <w:rPr>
                <w:rFonts w:hint="eastAsia" w:ascii="宋体" w:hAnsi="宋体"/>
                <w:color w:val="auto"/>
                <w:szCs w:val="21"/>
                <w:highlight w:val="none"/>
              </w:rPr>
              <w:t>A02021007条码打印机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742EDCE6">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4B641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BCA7B1">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6FC9BE">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E81E32">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A814DD9">
            <w:pPr>
              <w:jc w:val="center"/>
              <w:rPr>
                <w:rFonts w:ascii="宋体" w:hAnsi="宋体"/>
                <w:color w:val="auto"/>
                <w:szCs w:val="21"/>
                <w:highlight w:val="none"/>
              </w:rPr>
            </w:pPr>
            <w:r>
              <w:rPr>
                <w:rFonts w:hint="eastAsia" w:ascii="宋体" w:hAnsi="宋体"/>
                <w:color w:val="auto"/>
                <w:szCs w:val="21"/>
                <w:highlight w:val="none"/>
              </w:rPr>
              <w:t>A02021008地址打印机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87B97BE">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345B0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0A2937">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CB4177">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2E91BD">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00C957C">
            <w:pPr>
              <w:jc w:val="center"/>
              <w:rPr>
                <w:rFonts w:ascii="宋体" w:hAnsi="宋体"/>
                <w:color w:val="auto"/>
                <w:szCs w:val="21"/>
                <w:highlight w:val="none"/>
              </w:rPr>
            </w:pPr>
            <w:r>
              <w:rPr>
                <w:rFonts w:hint="eastAsia" w:ascii="宋体" w:hAnsi="宋体"/>
                <w:color w:val="auto"/>
                <w:szCs w:val="21"/>
                <w:highlight w:val="none"/>
              </w:rPr>
              <w:t>A02021099其他打印机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CEC3777">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1F74C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73959E">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F8B136">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7948BEF3">
            <w:pPr>
              <w:jc w:val="center"/>
              <w:rPr>
                <w:rFonts w:ascii="宋体" w:hAnsi="宋体"/>
                <w:color w:val="auto"/>
                <w:szCs w:val="21"/>
                <w:highlight w:val="none"/>
              </w:rPr>
            </w:pPr>
            <w:r>
              <w:rPr>
                <w:rFonts w:hint="eastAsia" w:ascii="宋体" w:hAnsi="宋体"/>
                <w:color w:val="auto"/>
                <w:szCs w:val="21"/>
                <w:highlight w:val="none"/>
              </w:rPr>
              <w:t>A02021100输入输出设备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9EBF341">
            <w:pPr>
              <w:jc w:val="center"/>
              <w:rPr>
                <w:rFonts w:ascii="宋体" w:hAnsi="宋体"/>
                <w:color w:val="auto"/>
                <w:szCs w:val="21"/>
                <w:highlight w:val="none"/>
              </w:rPr>
            </w:pPr>
            <w:r>
              <w:rPr>
                <w:rFonts w:hint="eastAsia" w:ascii="宋体" w:hAnsi="宋体" w:cs="宋体"/>
                <w:color w:val="auto"/>
                <w:w w:val="99"/>
                <w:szCs w:val="21"/>
                <w:highlight w:val="none"/>
              </w:rPr>
              <w:t>★</w:t>
            </w:r>
            <w:r>
              <w:rPr>
                <w:rFonts w:hint="eastAsia" w:ascii="宋体" w:hAnsi="宋体"/>
                <w:color w:val="auto"/>
                <w:szCs w:val="21"/>
                <w:highlight w:val="none"/>
              </w:rPr>
              <w:t>A02021104液晶显示器</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4BD1CAC3">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《计算机显示器能效限定值及能效等级》（GB21520）</w:t>
            </w:r>
          </w:p>
        </w:tc>
      </w:tr>
      <w:tr w14:paraId="22FD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524E3B">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632A8C">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D79AE5">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ED1120F">
            <w:pPr>
              <w:jc w:val="center"/>
              <w:rPr>
                <w:rFonts w:ascii="宋体" w:hAnsi="宋体"/>
                <w:color w:val="auto"/>
                <w:szCs w:val="21"/>
                <w:highlight w:val="none"/>
              </w:rPr>
            </w:pPr>
            <w:r>
              <w:rPr>
                <w:rFonts w:hint="eastAsia" w:ascii="宋体" w:hAnsi="宋体"/>
                <w:color w:val="auto"/>
                <w:szCs w:val="21"/>
                <w:highlight w:val="none"/>
              </w:rPr>
              <w:t>A02021118扫描仪</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308FF2E9">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参照《复印机、打印机和传真机能效限定值及能效等级》（GB21521）中打印速度为15页/分的针式打印机相关要求</w:t>
            </w:r>
          </w:p>
        </w:tc>
      </w:tr>
      <w:tr w14:paraId="32C4B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3B96B649">
            <w:pPr>
              <w:jc w:val="center"/>
              <w:rPr>
                <w:rFonts w:ascii="宋体" w:hAnsi="宋体"/>
                <w:color w:val="auto"/>
                <w:szCs w:val="21"/>
                <w:highlight w:val="none"/>
              </w:rPr>
            </w:pPr>
            <w:r>
              <w:rPr>
                <w:rFonts w:hint="eastAsia" w:ascii="宋体" w:hAnsi="宋体"/>
                <w:color w:val="auto"/>
                <w:w w:val="99"/>
                <w:szCs w:val="21"/>
                <w:highlight w:val="none"/>
              </w:rPr>
              <w:t>3</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1CF49A5C">
            <w:pPr>
              <w:jc w:val="center"/>
              <w:rPr>
                <w:rFonts w:ascii="宋体" w:hAnsi="宋体"/>
                <w:color w:val="auto"/>
                <w:szCs w:val="21"/>
                <w:highlight w:val="none"/>
              </w:rPr>
            </w:pPr>
            <w:r>
              <w:rPr>
                <w:rFonts w:hint="eastAsia" w:ascii="宋体" w:hAnsi="宋体"/>
                <w:color w:val="auto"/>
                <w:szCs w:val="21"/>
                <w:highlight w:val="none"/>
              </w:rPr>
              <w:t>A02020200投影仪</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2A2447E">
            <w:pPr>
              <w:jc w:val="center"/>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C14D8C3">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52B9D9A0">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《投影机能效限定值及能效等级》（GB32028）</w:t>
            </w:r>
          </w:p>
        </w:tc>
      </w:tr>
      <w:tr w14:paraId="59FE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300E539E">
            <w:pPr>
              <w:jc w:val="center"/>
              <w:rPr>
                <w:rFonts w:ascii="宋体" w:hAnsi="宋体"/>
                <w:color w:val="auto"/>
                <w:szCs w:val="21"/>
                <w:highlight w:val="none"/>
              </w:rPr>
            </w:pPr>
            <w:r>
              <w:rPr>
                <w:rFonts w:hint="eastAsia" w:ascii="宋体" w:hAnsi="宋体"/>
                <w:color w:val="auto"/>
                <w:szCs w:val="21"/>
                <w:highlight w:val="none"/>
              </w:rPr>
              <w:t>4</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56FFD63E">
            <w:pPr>
              <w:pStyle w:val="56"/>
              <w:spacing w:before="66"/>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A02020400</w:t>
            </w:r>
            <w:r>
              <w:rPr>
                <w:rFonts w:hint="eastAsia" w:ascii="宋体" w:hAnsi="宋体" w:cs="宋体"/>
                <w:color w:val="auto"/>
                <w:w w:val="99"/>
                <w:kern w:val="2"/>
                <w:sz w:val="21"/>
                <w:szCs w:val="21"/>
                <w:highlight w:val="none"/>
              </w:rPr>
              <w:t>多功能一体机</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CC62420">
            <w:pPr>
              <w:jc w:val="center"/>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B54AD8D">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6CDF98F2">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3257F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2E7DCEA1">
            <w:pPr>
              <w:pStyle w:val="56"/>
              <w:spacing w:before="160"/>
              <w:ind w:right="1"/>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5</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0B2B868D">
            <w:pPr>
              <w:pStyle w:val="56"/>
              <w:spacing w:before="160"/>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A02051900</w:t>
            </w:r>
            <w:r>
              <w:rPr>
                <w:rFonts w:hint="eastAsia" w:ascii="宋体" w:hAnsi="宋体" w:cs="宋体"/>
                <w:color w:val="auto"/>
                <w:w w:val="99"/>
                <w:kern w:val="2"/>
                <w:sz w:val="21"/>
                <w:szCs w:val="21"/>
                <w:highlight w:val="none"/>
              </w:rPr>
              <w:t>泵</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7369DEB2">
            <w:pPr>
              <w:pStyle w:val="56"/>
              <w:spacing w:before="160"/>
              <w:ind w:left="7"/>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05</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901离心泵</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01B9A0F">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E3C2725">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《清水离心泵能效限定值及节能评价值》（GB19762）</w:t>
            </w:r>
          </w:p>
        </w:tc>
      </w:tr>
      <w:tr w14:paraId="14AD6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5A19A030">
            <w:pPr>
              <w:jc w:val="center"/>
              <w:rPr>
                <w:rFonts w:ascii="宋体" w:hAnsi="宋体"/>
                <w:color w:val="auto"/>
                <w:szCs w:val="21"/>
                <w:highlight w:val="none"/>
              </w:rPr>
            </w:pPr>
            <w:r>
              <w:rPr>
                <w:rFonts w:hint="eastAsia" w:ascii="宋体" w:hAnsi="宋体"/>
                <w:color w:val="auto"/>
                <w:szCs w:val="21"/>
                <w:highlight w:val="none"/>
              </w:rPr>
              <w:t>6</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6F25A9AE">
            <w:pPr>
              <w:pStyle w:val="56"/>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A02052300</w:t>
            </w:r>
            <w:r>
              <w:rPr>
                <w:rFonts w:hint="eastAsia" w:ascii="宋体" w:hAnsi="宋体" w:cs="宋体"/>
                <w:color w:val="auto"/>
                <w:w w:val="99"/>
                <w:kern w:val="2"/>
                <w:sz w:val="21"/>
                <w:szCs w:val="21"/>
                <w:highlight w:val="none"/>
              </w:rPr>
              <w:t>制冷空调设备</w:t>
            </w: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0CAF1FDE">
            <w:pPr>
              <w:pStyle w:val="56"/>
              <w:spacing w:line="276" w:lineRule="auto"/>
              <w:ind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52</w:t>
            </w:r>
            <w:r>
              <w:rPr>
                <w:rFonts w:hint="eastAsia" w:ascii="宋体" w:hAnsi="宋体" w:cs="宋体"/>
                <w:color w:val="auto"/>
                <w:spacing w:val="1"/>
                <w:w w:val="99"/>
                <w:kern w:val="2"/>
                <w:sz w:val="21"/>
                <w:szCs w:val="21"/>
                <w:highlight w:val="none"/>
              </w:rPr>
              <w:t>3</w:t>
            </w:r>
            <w:r>
              <w:rPr>
                <w:rFonts w:hint="eastAsia" w:ascii="宋体" w:hAnsi="宋体" w:cs="宋体"/>
                <w:color w:val="auto"/>
                <w:w w:val="99"/>
                <w:kern w:val="2"/>
                <w:sz w:val="21"/>
                <w:szCs w:val="21"/>
                <w:highlight w:val="none"/>
              </w:rPr>
              <w:t>01制冷压缩机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7E93DBD">
            <w:pPr>
              <w:pStyle w:val="56"/>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冷水机组</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D125798">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《冷水机组能效限定值及能效等级》（GB19577），《低环境温度空气源热泵（冷水）机组能效限定值及能效等级》（GB37480）</w:t>
            </w:r>
          </w:p>
        </w:tc>
      </w:tr>
      <w:tr w14:paraId="2783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4F1DBE">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09CABA">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E93C79">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3AE1234">
            <w:pPr>
              <w:jc w:val="center"/>
              <w:rPr>
                <w:rFonts w:ascii="宋体" w:hAnsi="宋体"/>
                <w:color w:val="auto"/>
                <w:szCs w:val="21"/>
                <w:highlight w:val="none"/>
              </w:rPr>
            </w:pPr>
            <w:r>
              <w:rPr>
                <w:rFonts w:hint="eastAsia" w:ascii="宋体" w:hAnsi="宋体"/>
                <w:color w:val="auto"/>
                <w:szCs w:val="21"/>
                <w:highlight w:val="none"/>
              </w:rPr>
              <w:t>溴化锂吸收式冷水机组</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7DB9EC6A">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《溴化锂吸收式冷水机组能效限</w:t>
            </w:r>
          </w:p>
          <w:p w14:paraId="5FA1DD2A">
            <w:pPr>
              <w:spacing w:before="131" w:line="276" w:lineRule="auto"/>
              <w:ind w:right="4"/>
              <w:rPr>
                <w:rFonts w:ascii="宋体" w:hAnsi="宋体" w:cs="宋体"/>
                <w:color w:val="auto"/>
                <w:spacing w:val="10"/>
                <w:szCs w:val="21"/>
                <w:highlight w:val="none"/>
              </w:rPr>
            </w:pPr>
            <w:r>
              <w:rPr>
                <w:rFonts w:hint="eastAsia" w:ascii="宋体" w:hAnsi="宋体" w:cs="宋体"/>
                <w:color w:val="auto"/>
                <w:spacing w:val="10"/>
                <w:szCs w:val="21"/>
                <w:highlight w:val="none"/>
              </w:rPr>
              <w:t>定值及能效等级》（GB29540）</w:t>
            </w:r>
          </w:p>
        </w:tc>
      </w:tr>
      <w:tr w14:paraId="5671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9FC953">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DD77FE">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59982DDC">
            <w:pPr>
              <w:pStyle w:val="56"/>
              <w:spacing w:line="276" w:lineRule="auto"/>
              <w:ind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★A02052305空调机组</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C4013A2">
            <w:pPr>
              <w:pStyle w:val="56"/>
              <w:spacing w:before="4" w:line="276" w:lineRule="auto"/>
              <w:ind w:left="7" w:right="7"/>
              <w:jc w:val="center"/>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多联式空调（热泵）机组（制冷量&gt;14000W）</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06DE42D7">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《多联式空调（热泵）机组能效限定值及能源效率等级》（GB21454）</w:t>
            </w:r>
          </w:p>
        </w:tc>
      </w:tr>
      <w:tr w14:paraId="33420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119E55">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5C0B27">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617F24">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FD9AB14">
            <w:pPr>
              <w:jc w:val="center"/>
              <w:rPr>
                <w:rFonts w:ascii="宋体" w:hAnsi="宋体"/>
                <w:color w:val="auto"/>
                <w:szCs w:val="21"/>
                <w:highlight w:val="none"/>
              </w:rPr>
            </w:pPr>
            <w:r>
              <w:rPr>
                <w:rFonts w:hint="eastAsia" w:ascii="宋体" w:hAnsi="宋体" w:cs="宋体"/>
                <w:color w:val="auto"/>
                <w:w w:val="99"/>
                <w:szCs w:val="21"/>
                <w:highlight w:val="none"/>
              </w:rPr>
              <w:t>单元式空气调节机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F737C85">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《单元式空气调节机能效限定值及能效等级》（GB19576）《风管送风式空调机组能效限定值及能效等级》（GB37479）</w:t>
            </w:r>
          </w:p>
        </w:tc>
      </w:tr>
      <w:tr w14:paraId="021EB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C73A91">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FCE874">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278DB89F">
            <w:pPr>
              <w:pStyle w:val="56"/>
              <w:spacing w:before="83"/>
              <w:ind w:left="7"/>
              <w:jc w:val="center"/>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★A02052309专用制冷、空调设备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AA1582F">
            <w:pPr>
              <w:pStyle w:val="56"/>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机房空调</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DB4D066">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《单元式空气调节机能效限定值</w:t>
            </w:r>
          </w:p>
          <w:p w14:paraId="4E7AF4DE">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及能效等级》（GB19576）</w:t>
            </w:r>
          </w:p>
        </w:tc>
      </w:tr>
      <w:tr w14:paraId="60EA5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22FE31">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8DD10C">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67262CA">
            <w:pPr>
              <w:pStyle w:val="56"/>
              <w:spacing w:line="254" w:lineRule="exact"/>
              <w:ind w:left="7"/>
              <w:jc w:val="center"/>
              <w:rPr>
                <w:rFonts w:ascii="宋体" w:hAnsi="宋体" w:cs="宋体"/>
                <w:color w:val="auto"/>
                <w:w w:val="99"/>
                <w:kern w:val="2"/>
                <w:sz w:val="21"/>
                <w:szCs w:val="21"/>
                <w:highlight w:val="none"/>
              </w:rPr>
            </w:pPr>
            <w:r>
              <w:rPr>
                <w:rFonts w:hint="eastAsia" w:ascii="宋体" w:hAnsi="宋体" w:cs="宋体"/>
                <w:color w:val="auto"/>
                <w:w w:val="99"/>
                <w:kern w:val="2"/>
                <w:sz w:val="21"/>
                <w:szCs w:val="21"/>
                <w:highlight w:val="none"/>
              </w:rPr>
              <w:t>A02052399其他制冷</w:t>
            </w:r>
          </w:p>
          <w:p w14:paraId="56408B8C">
            <w:pPr>
              <w:pStyle w:val="56"/>
              <w:spacing w:line="254" w:lineRule="exact"/>
              <w:ind w:left="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空调设备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7B8FFA5">
            <w:pPr>
              <w:widowControl/>
              <w:jc w:val="center"/>
              <w:rPr>
                <w:rFonts w:ascii="宋体" w:hAnsi="宋体" w:cs="宋体"/>
                <w:color w:val="auto"/>
                <w:szCs w:val="21"/>
                <w:highlight w:val="none"/>
                <w:lang w:eastAsia="en-US"/>
              </w:rPr>
            </w:pPr>
            <w:r>
              <w:rPr>
                <w:rFonts w:hint="eastAsia" w:ascii="宋体" w:hAnsi="宋体" w:cs="宋体"/>
                <w:color w:val="auto"/>
                <w:w w:val="99"/>
                <w:szCs w:val="21"/>
                <w:highlight w:val="none"/>
              </w:rPr>
              <w:t>冷却塔</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78DCA638">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《机械通风冷却塔第1部分：中小型开式冷却塔》（GB/T7190.1）</w:t>
            </w:r>
          </w:p>
          <w:p w14:paraId="43CC3103">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《机械通风冷却塔第2部分：大型开式冷却塔》（GB/T7190.2）</w:t>
            </w:r>
          </w:p>
        </w:tc>
      </w:tr>
      <w:tr w14:paraId="07445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2712B904">
            <w:pPr>
              <w:pStyle w:val="56"/>
              <w:ind w:right="1"/>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7</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1448F871">
            <w:pPr>
              <w:pStyle w:val="56"/>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A02060100</w:t>
            </w:r>
            <w:r>
              <w:rPr>
                <w:rFonts w:hint="eastAsia" w:ascii="宋体" w:hAnsi="宋体" w:cs="宋体"/>
                <w:color w:val="auto"/>
                <w:w w:val="99"/>
                <w:kern w:val="2"/>
                <w:sz w:val="21"/>
                <w:szCs w:val="21"/>
                <w:highlight w:val="none"/>
              </w:rPr>
              <w:t>电机</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CA47A9E">
            <w:pPr>
              <w:jc w:val="center"/>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9E705E9">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400796BE">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《中小型三相异步电动机能效限定值及能效等级》（GB18613）</w:t>
            </w:r>
          </w:p>
        </w:tc>
      </w:tr>
      <w:tr w14:paraId="33B4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6C0CB41A">
            <w:pPr>
              <w:pStyle w:val="56"/>
              <w:ind w:right="1"/>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8</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05154CD6">
            <w:pPr>
              <w:pStyle w:val="56"/>
              <w:spacing w:before="30"/>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A02060200</w:t>
            </w:r>
            <w:r>
              <w:rPr>
                <w:rFonts w:hint="eastAsia" w:ascii="宋体" w:hAnsi="宋体" w:cs="宋体"/>
                <w:color w:val="auto"/>
                <w:w w:val="99"/>
                <w:kern w:val="2"/>
                <w:sz w:val="21"/>
                <w:szCs w:val="21"/>
                <w:highlight w:val="none"/>
              </w:rPr>
              <w:t>变压</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9CAEF11">
            <w:pPr>
              <w:pStyle w:val="56"/>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配电变压器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D4C9F14">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13ADD23">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《三相配电变压器能效限定值及能效等级》（GB 20052）</w:t>
            </w:r>
          </w:p>
        </w:tc>
      </w:tr>
      <w:tr w14:paraId="355C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6B3A9FC6">
            <w:pPr>
              <w:pStyle w:val="56"/>
              <w:ind w:right="1"/>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9</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188DB6E3">
            <w:pPr>
              <w:pStyle w:val="56"/>
              <w:spacing w:before="126"/>
              <w:ind w:left="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★A02060900镇流器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37DE79FC">
            <w:pPr>
              <w:pStyle w:val="56"/>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管型荧光灯镇流器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9386466">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6824E40">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《管形荧光灯镇流器能效限定值及能效等级》（GB17896）</w:t>
            </w:r>
          </w:p>
        </w:tc>
      </w:tr>
      <w:tr w14:paraId="7C710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5CB9D585">
            <w:pPr>
              <w:pStyle w:val="56"/>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10</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149209BA">
            <w:pPr>
              <w:pStyle w:val="56"/>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A02061800生活用电器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004CA9C8">
            <w:pPr>
              <w:pStyle w:val="56"/>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A02061801电冰箱</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D018928">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6F60B4F">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《家用电冰箱耗电量限定值及能效等级》（GB12021.2）</w:t>
            </w:r>
          </w:p>
        </w:tc>
      </w:tr>
      <w:tr w14:paraId="0B1DC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D42297">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7CBC5F">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33BA7458">
            <w:pPr>
              <w:pStyle w:val="56"/>
              <w:spacing w:before="17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A02061804</w:t>
            </w:r>
            <w:r>
              <w:rPr>
                <w:rFonts w:hint="eastAsia" w:ascii="宋体" w:hAnsi="宋体" w:cs="宋体"/>
                <w:color w:val="auto"/>
                <w:w w:val="99"/>
                <w:kern w:val="2"/>
                <w:sz w:val="21"/>
                <w:szCs w:val="21"/>
                <w:highlight w:val="none"/>
              </w:rPr>
              <w:t>空调机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578FC24">
            <w:pPr>
              <w:pStyle w:val="56"/>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房间空气调节器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EEF50C6">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《房间空气调节器能效限定值及能效等级》（GB21455-2019）</w:t>
            </w:r>
          </w:p>
        </w:tc>
      </w:tr>
      <w:tr w14:paraId="65DE8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41BFD0">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7E5F81">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AF8249">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D1BB56C">
            <w:pPr>
              <w:pStyle w:val="56"/>
              <w:spacing w:before="4" w:line="276" w:lineRule="auto"/>
              <w:ind w:left="7" w:right="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多联式空调（热泵）机组（制冷量≤ 14000W）</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CC1FBF0">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《多联式空调（热泵）机组能效限定值及能源效率等级》（GB21454）</w:t>
            </w:r>
          </w:p>
        </w:tc>
      </w:tr>
      <w:tr w14:paraId="0B3F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0A24CC">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6A2012">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EDD364">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23D1D5F">
            <w:pPr>
              <w:pStyle w:val="56"/>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单元式空气调节机（制冷量≤ 14000W）</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FB2B2C2">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《单元式空气调节机能效限定值及能源效率等级》（GB19576）《风管送风式空调机组能效限定值及能效等级》（GB37479）</w:t>
            </w:r>
          </w:p>
        </w:tc>
      </w:tr>
      <w:tr w14:paraId="759F8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026BA2">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7BB877">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52749B4">
            <w:pPr>
              <w:pStyle w:val="56"/>
              <w:spacing w:before="162"/>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A02061810</w:t>
            </w:r>
            <w:r>
              <w:rPr>
                <w:rFonts w:hint="eastAsia" w:ascii="宋体" w:hAnsi="宋体" w:cs="宋体"/>
                <w:color w:val="auto"/>
                <w:w w:val="99"/>
                <w:kern w:val="2"/>
                <w:sz w:val="21"/>
                <w:szCs w:val="21"/>
                <w:highlight w:val="none"/>
              </w:rPr>
              <w:t>洗衣机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87D1DAE">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44FDC1DA">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《电动洗衣机能效水效限定值及等级》（GB12021.4）</w:t>
            </w:r>
          </w:p>
        </w:tc>
      </w:tr>
      <w:tr w14:paraId="41832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500BED">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6D145C">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62B131BA">
            <w:pPr>
              <w:pStyle w:val="56"/>
              <w:spacing w:before="161"/>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A02061819</w:t>
            </w:r>
            <w:r>
              <w:rPr>
                <w:rFonts w:hint="eastAsia" w:ascii="宋体" w:hAnsi="宋体" w:cs="宋体"/>
                <w:color w:val="auto"/>
                <w:w w:val="99"/>
                <w:kern w:val="2"/>
                <w:sz w:val="21"/>
                <w:szCs w:val="21"/>
                <w:highlight w:val="none"/>
              </w:rPr>
              <w:t>热水器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B6FB47F">
            <w:pPr>
              <w:pStyle w:val="56"/>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★电热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009C5A22">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《储水式电热水器能效限定值及能效等级》（GB21519）</w:t>
            </w:r>
          </w:p>
        </w:tc>
      </w:tr>
      <w:tr w14:paraId="7CEE2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E7C8AA">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CAEB52">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FF7E93">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120D0FC">
            <w:pPr>
              <w:pStyle w:val="56"/>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燃气热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40592C15">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《家用燃气快速热水器和燃气采暖热水炉能效限定值及能效等级》（GB20665）</w:t>
            </w:r>
          </w:p>
        </w:tc>
      </w:tr>
      <w:tr w14:paraId="2FEF0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0AB993">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5B320D">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DFF308">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0B166C1">
            <w:pPr>
              <w:pStyle w:val="56"/>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热泵热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8B5C0A3">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《热泵热水机（器）能效限定值及能效等级》（GB29541）</w:t>
            </w:r>
          </w:p>
        </w:tc>
      </w:tr>
      <w:tr w14:paraId="3B1E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F3B033">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03FD85">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3347BC">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BDA28D8">
            <w:pPr>
              <w:pStyle w:val="56"/>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太阳能</w:t>
            </w:r>
            <w:r>
              <w:rPr>
                <w:rFonts w:hint="eastAsia" w:ascii="宋体" w:hAnsi="宋体" w:cs="宋体"/>
                <w:color w:val="auto"/>
                <w:spacing w:val="2"/>
                <w:w w:val="99"/>
                <w:kern w:val="2"/>
                <w:sz w:val="21"/>
                <w:szCs w:val="21"/>
                <w:highlight w:val="none"/>
              </w:rPr>
              <w:t>热</w:t>
            </w:r>
            <w:r>
              <w:rPr>
                <w:rFonts w:hint="eastAsia" w:ascii="宋体" w:hAnsi="宋体" w:cs="宋体"/>
                <w:color w:val="auto"/>
                <w:w w:val="99"/>
                <w:kern w:val="2"/>
                <w:sz w:val="21"/>
                <w:szCs w:val="21"/>
                <w:highlight w:val="none"/>
              </w:rPr>
              <w:t>水系统</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5B90FBD">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《家用太阳能热水系统能效限定值及能效等级》（GB26969）</w:t>
            </w:r>
          </w:p>
        </w:tc>
      </w:tr>
      <w:tr w14:paraId="1734B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5AB660A3">
            <w:pPr>
              <w:pStyle w:val="56"/>
              <w:jc w:val="center"/>
              <w:rPr>
                <w:rFonts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7413279B">
            <w:pPr>
              <w:pStyle w:val="56"/>
              <w:spacing w:before="157"/>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06</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900照明设备</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45104CAF">
            <w:pPr>
              <w:pStyle w:val="56"/>
              <w:spacing w:before="133" w:line="276" w:lineRule="auto"/>
              <w:ind w:left="7" w:right="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★普通照明用双端荧光灯</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0418ED9">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EEC8859">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《普通照明用双端荧光灯能效限定值及能效等级》（GB19043）</w:t>
            </w:r>
          </w:p>
        </w:tc>
      </w:tr>
      <w:tr w14:paraId="30DA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E73D03">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F92624">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2C231C30">
            <w:pPr>
              <w:pStyle w:val="56"/>
              <w:spacing w:before="92" w:line="276" w:lineRule="auto"/>
              <w:ind w:left="7" w:right="2"/>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LE</w:t>
            </w:r>
            <w:r>
              <w:rPr>
                <w:rFonts w:hint="eastAsia" w:ascii="宋体" w:hAnsi="宋体" w:cs="宋体"/>
                <w:color w:val="auto"/>
                <w:w w:val="99"/>
                <w:kern w:val="2"/>
                <w:sz w:val="21"/>
                <w:szCs w:val="21"/>
                <w:highlight w:val="none"/>
              </w:rPr>
              <w:t>D</w:t>
            </w:r>
            <w:r>
              <w:rPr>
                <w:rFonts w:hint="eastAsia" w:ascii="宋体" w:hAnsi="宋体" w:cs="宋体"/>
                <w:color w:val="auto"/>
                <w:spacing w:val="12"/>
                <w:w w:val="99"/>
                <w:kern w:val="2"/>
                <w:sz w:val="21"/>
                <w:szCs w:val="21"/>
                <w:highlight w:val="none"/>
              </w:rPr>
              <w:t>道</w:t>
            </w:r>
            <w:r>
              <w:rPr>
                <w:rFonts w:hint="eastAsia" w:ascii="宋体" w:hAnsi="宋体" w:cs="宋体"/>
                <w:color w:val="auto"/>
                <w:spacing w:val="9"/>
                <w:w w:val="99"/>
                <w:kern w:val="2"/>
                <w:sz w:val="21"/>
                <w:szCs w:val="21"/>
                <w:highlight w:val="none"/>
              </w:rPr>
              <w:t>路</w:t>
            </w:r>
            <w:r>
              <w:rPr>
                <w:rFonts w:hint="eastAsia" w:ascii="宋体" w:hAnsi="宋体" w:cs="宋体"/>
                <w:color w:val="auto"/>
                <w:spacing w:val="13"/>
                <w:w w:val="99"/>
                <w:kern w:val="2"/>
                <w:sz w:val="21"/>
                <w:szCs w:val="21"/>
                <w:highlight w:val="none"/>
              </w:rPr>
              <w:t>/</w:t>
            </w:r>
            <w:r>
              <w:rPr>
                <w:rFonts w:hint="eastAsia" w:ascii="宋体" w:hAnsi="宋体" w:cs="宋体"/>
                <w:color w:val="auto"/>
                <w:spacing w:val="12"/>
                <w:w w:val="99"/>
                <w:kern w:val="2"/>
                <w:sz w:val="21"/>
                <w:szCs w:val="21"/>
                <w:highlight w:val="none"/>
              </w:rPr>
              <w:t>隧道照</w:t>
            </w:r>
            <w:r>
              <w:rPr>
                <w:rFonts w:hint="eastAsia" w:ascii="宋体" w:hAnsi="宋体" w:cs="宋体"/>
                <w:color w:val="auto"/>
                <w:w w:val="99"/>
                <w:kern w:val="2"/>
                <w:sz w:val="21"/>
                <w:szCs w:val="21"/>
                <w:highlight w:val="none"/>
              </w:rPr>
              <w:t>明产品</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CCC78C0">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93CC510">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《道路和隧道照明用LED灯具能效限定值及能效等级》（GB37478）</w:t>
            </w:r>
          </w:p>
        </w:tc>
      </w:tr>
      <w:tr w14:paraId="03E1F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991DC7">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0127BB">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CBCCB50">
            <w:pPr>
              <w:pStyle w:val="56"/>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LE</w:t>
            </w:r>
            <w:r>
              <w:rPr>
                <w:rFonts w:hint="eastAsia" w:ascii="宋体" w:hAnsi="宋体" w:cs="宋体"/>
                <w:color w:val="auto"/>
                <w:w w:val="99"/>
                <w:kern w:val="2"/>
                <w:sz w:val="21"/>
                <w:szCs w:val="21"/>
                <w:highlight w:val="none"/>
              </w:rPr>
              <w:t>D筒灯</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DFDBFA9">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94E37BC">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《室内照明用LED产品能效限定值及能效等级》（GB30255）</w:t>
            </w:r>
          </w:p>
        </w:tc>
      </w:tr>
      <w:tr w14:paraId="7758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0B598A">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DAFA21">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FB2D7A0">
            <w:pPr>
              <w:pStyle w:val="56"/>
              <w:spacing w:line="276" w:lineRule="auto"/>
              <w:ind w:right="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普</w:t>
            </w:r>
            <w:r>
              <w:rPr>
                <w:rFonts w:hint="eastAsia" w:ascii="宋体" w:hAnsi="宋体" w:cs="宋体"/>
                <w:color w:val="auto"/>
                <w:spacing w:val="24"/>
                <w:w w:val="99"/>
                <w:kern w:val="2"/>
                <w:sz w:val="21"/>
                <w:szCs w:val="21"/>
                <w:highlight w:val="none"/>
                <w:lang w:eastAsia="zh-CN"/>
              </w:rPr>
              <w:t>通</w:t>
            </w:r>
            <w:r>
              <w:rPr>
                <w:rFonts w:hint="eastAsia" w:ascii="宋体" w:hAnsi="宋体" w:cs="宋体"/>
                <w:color w:val="auto"/>
                <w:w w:val="99"/>
                <w:kern w:val="2"/>
                <w:sz w:val="21"/>
                <w:szCs w:val="21"/>
                <w:highlight w:val="none"/>
                <w:lang w:eastAsia="zh-CN"/>
              </w:rPr>
              <w:t>照明用非</w:t>
            </w:r>
            <w:r>
              <w:rPr>
                <w:rFonts w:hint="eastAsia" w:ascii="宋体" w:hAnsi="宋体" w:cs="宋体"/>
                <w:color w:val="auto"/>
                <w:spacing w:val="24"/>
                <w:w w:val="99"/>
                <w:kern w:val="2"/>
                <w:sz w:val="21"/>
                <w:szCs w:val="21"/>
                <w:highlight w:val="none"/>
                <w:lang w:eastAsia="zh-CN"/>
              </w:rPr>
              <w:t>定</w:t>
            </w:r>
            <w:r>
              <w:rPr>
                <w:rFonts w:hint="eastAsia" w:ascii="宋体" w:hAnsi="宋体" w:cs="宋体"/>
                <w:color w:val="auto"/>
                <w:w w:val="99"/>
                <w:kern w:val="2"/>
                <w:sz w:val="21"/>
                <w:szCs w:val="21"/>
                <w:highlight w:val="none"/>
                <w:lang w:eastAsia="zh-CN"/>
              </w:rPr>
              <w:t>向自镇流</w:t>
            </w:r>
            <w:r>
              <w:rPr>
                <w:rFonts w:hint="eastAsia" w:ascii="宋体" w:hAnsi="宋体" w:cs="宋体"/>
                <w:color w:val="auto"/>
                <w:spacing w:val="1"/>
                <w:w w:val="99"/>
                <w:kern w:val="2"/>
                <w:sz w:val="21"/>
                <w:szCs w:val="21"/>
                <w:highlight w:val="none"/>
                <w:lang w:eastAsia="zh-CN"/>
              </w:rPr>
              <w:t>LE</w:t>
            </w:r>
            <w:r>
              <w:rPr>
                <w:rFonts w:hint="eastAsia" w:ascii="宋体" w:hAnsi="宋体" w:cs="宋体"/>
                <w:color w:val="auto"/>
                <w:w w:val="99"/>
                <w:kern w:val="2"/>
                <w:sz w:val="21"/>
                <w:szCs w:val="21"/>
                <w:highlight w:val="none"/>
                <w:lang w:eastAsia="zh-CN"/>
              </w:rPr>
              <w:t>D灯</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149FCC4">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31634A6">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《室内照明用LED产品能效限定值及能效等级》（GB30255）</w:t>
            </w:r>
          </w:p>
        </w:tc>
      </w:tr>
      <w:tr w14:paraId="6E5B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59D21BD0">
            <w:pPr>
              <w:pStyle w:val="56"/>
              <w:jc w:val="center"/>
              <w:rPr>
                <w:rFonts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2</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7DE29EE6">
            <w:pPr>
              <w:pStyle w:val="56"/>
              <w:spacing w:before="81"/>
              <w:ind w:left="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91000电视设备</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161AFD6">
            <w:pPr>
              <w:pStyle w:val="56"/>
              <w:spacing w:before="81" w:line="276" w:lineRule="auto"/>
              <w:ind w:left="7" w:right="5"/>
              <w:jc w:val="center"/>
              <w:rPr>
                <w:rFonts w:ascii="宋体" w:hAnsi="宋体" w:cs="宋体"/>
                <w:color w:val="auto"/>
                <w:kern w:val="2"/>
                <w:sz w:val="21"/>
                <w:szCs w:val="21"/>
                <w:highlight w:val="none"/>
                <w:lang w:eastAsia="zh-CN"/>
              </w:rPr>
            </w:pPr>
            <w:r>
              <w:rPr>
                <w:rFonts w:hint="eastAsia" w:ascii="宋体" w:hAnsi="宋体" w:cs="宋体"/>
                <w:color w:val="auto"/>
                <w:spacing w:val="1"/>
                <w:w w:val="99"/>
                <w:kern w:val="2"/>
                <w:sz w:val="21"/>
                <w:szCs w:val="21"/>
                <w:highlight w:val="none"/>
                <w:lang w:eastAsia="zh-CN"/>
              </w:rPr>
              <w:t>A02</w:t>
            </w:r>
            <w:r>
              <w:rPr>
                <w:rFonts w:hint="eastAsia" w:ascii="宋体" w:hAnsi="宋体" w:cs="宋体"/>
                <w:color w:val="auto"/>
                <w:w w:val="99"/>
                <w:kern w:val="2"/>
                <w:sz w:val="21"/>
                <w:szCs w:val="21"/>
                <w:highlight w:val="none"/>
                <w:lang w:eastAsia="zh-CN"/>
              </w:rPr>
              <w:t>09</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001普通电视设备（</w:t>
            </w:r>
            <w:r>
              <w:rPr>
                <w:rFonts w:hint="eastAsia" w:ascii="宋体" w:hAnsi="宋体" w:cs="宋体"/>
                <w:color w:val="auto"/>
                <w:spacing w:val="2"/>
                <w:w w:val="99"/>
                <w:kern w:val="2"/>
                <w:sz w:val="21"/>
                <w:szCs w:val="21"/>
                <w:highlight w:val="none"/>
                <w:lang w:eastAsia="zh-CN"/>
              </w:rPr>
              <w:t>电</w:t>
            </w:r>
            <w:r>
              <w:rPr>
                <w:rFonts w:hint="eastAsia" w:ascii="宋体" w:hAnsi="宋体" w:cs="宋体"/>
                <w:color w:val="auto"/>
                <w:w w:val="99"/>
                <w:kern w:val="2"/>
                <w:sz w:val="21"/>
                <w:szCs w:val="21"/>
                <w:highlight w:val="none"/>
                <w:lang w:eastAsia="zh-CN"/>
              </w:rPr>
              <w:t>视机）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8695A67">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A6D875E">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《平板电视能效限定值及能效等级》（GB24850）</w:t>
            </w:r>
          </w:p>
        </w:tc>
      </w:tr>
      <w:tr w14:paraId="6D0F8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04937645">
            <w:pPr>
              <w:pStyle w:val="56"/>
              <w:jc w:val="center"/>
              <w:rPr>
                <w:rFonts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3</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020C0675">
            <w:pPr>
              <w:pStyle w:val="56"/>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91100视频设备</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5337A7D9">
            <w:pPr>
              <w:pStyle w:val="56"/>
              <w:spacing w:line="276" w:lineRule="auto"/>
              <w:ind w:right="5"/>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09</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107视频监控设备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5B1EA89">
            <w:pPr>
              <w:pStyle w:val="56"/>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监视器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79648A9D">
            <w:pPr>
              <w:pStyle w:val="56"/>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以射频信号为主要信号输入的监视器应符合《平板电视能效限定值及能效等级》（GB24850），以数字信号为主要信号输入的监视器应符合《计算机显示器能效限定值及能效等级》（GB21520）</w:t>
            </w:r>
          </w:p>
        </w:tc>
      </w:tr>
      <w:tr w14:paraId="653A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05792E32">
            <w:pPr>
              <w:pStyle w:val="56"/>
              <w:jc w:val="center"/>
              <w:rPr>
                <w:rFonts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4</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356D84C7">
            <w:pPr>
              <w:pStyle w:val="56"/>
              <w:spacing w:before="76"/>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A02241000</w:t>
            </w:r>
            <w:r>
              <w:rPr>
                <w:rFonts w:hint="eastAsia" w:ascii="宋体" w:hAnsi="宋体" w:cs="宋体"/>
                <w:color w:val="auto"/>
                <w:w w:val="99"/>
                <w:kern w:val="2"/>
                <w:sz w:val="21"/>
                <w:szCs w:val="21"/>
                <w:highlight w:val="none"/>
              </w:rPr>
              <w:t>饮食炊事机械</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2875AC84">
            <w:pPr>
              <w:pStyle w:val="56"/>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商用燃</w:t>
            </w:r>
            <w:r>
              <w:rPr>
                <w:rFonts w:hint="eastAsia" w:ascii="宋体" w:hAnsi="宋体" w:cs="宋体"/>
                <w:color w:val="auto"/>
                <w:spacing w:val="2"/>
                <w:w w:val="99"/>
                <w:kern w:val="2"/>
                <w:sz w:val="21"/>
                <w:szCs w:val="21"/>
                <w:highlight w:val="none"/>
              </w:rPr>
              <w:t>气</w:t>
            </w:r>
            <w:r>
              <w:rPr>
                <w:rFonts w:hint="eastAsia" w:ascii="宋体" w:hAnsi="宋体" w:cs="宋体"/>
                <w:color w:val="auto"/>
                <w:w w:val="99"/>
                <w:kern w:val="2"/>
                <w:sz w:val="21"/>
                <w:szCs w:val="21"/>
                <w:highlight w:val="none"/>
              </w:rPr>
              <w:t>灶具</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77DB3CA">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322409C">
            <w:pPr>
              <w:pStyle w:val="56"/>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《商用燃气灶具能效限定值及能效等级》（GB30531）</w:t>
            </w:r>
          </w:p>
        </w:tc>
      </w:tr>
      <w:tr w14:paraId="306A0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3811911F">
            <w:pPr>
              <w:jc w:val="center"/>
              <w:rPr>
                <w:rFonts w:ascii="宋体" w:hAnsi="宋体"/>
                <w:color w:val="auto"/>
                <w:szCs w:val="21"/>
                <w:highlight w:val="none"/>
              </w:rPr>
            </w:pPr>
            <w:r>
              <w:rPr>
                <w:rFonts w:hint="eastAsia" w:ascii="宋体" w:hAnsi="宋体"/>
                <w:color w:val="auto"/>
                <w:szCs w:val="21"/>
                <w:highlight w:val="none"/>
              </w:rPr>
              <w:t>15</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3D3A4B2B">
            <w:pPr>
              <w:pStyle w:val="56"/>
              <w:jc w:val="center"/>
              <w:rPr>
                <w:rFonts w:ascii="宋体" w:hAnsi="宋体" w:cs="宋体"/>
                <w:color w:val="auto"/>
                <w:w w:val="99"/>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A05020105</w:t>
            </w:r>
            <w:r>
              <w:rPr>
                <w:rFonts w:hint="eastAsia" w:ascii="宋体" w:hAnsi="宋体" w:cs="宋体"/>
                <w:color w:val="auto"/>
                <w:w w:val="99"/>
                <w:kern w:val="2"/>
                <w:sz w:val="21"/>
                <w:szCs w:val="21"/>
                <w:highlight w:val="none"/>
              </w:rPr>
              <w:t>便器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25E6318E">
            <w:pPr>
              <w:pStyle w:val="56"/>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坐便器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EBF1516">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2E2327B">
            <w:pPr>
              <w:pStyle w:val="56"/>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《坐便器水效限定值及水效等级》</w:t>
            </w:r>
          </w:p>
          <w:p w14:paraId="3B098D78">
            <w:pPr>
              <w:pStyle w:val="56"/>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（GB25502）</w:t>
            </w:r>
          </w:p>
        </w:tc>
      </w:tr>
      <w:tr w14:paraId="233B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9613D3">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53B464">
            <w:pPr>
              <w:widowControl/>
              <w:jc w:val="left"/>
              <w:rPr>
                <w:rFonts w:ascii="宋体" w:hAnsi="宋体" w:cs="宋体"/>
                <w:color w:val="auto"/>
                <w:w w:val="99"/>
                <w:szCs w:val="21"/>
                <w:highlight w:val="none"/>
                <w:lang w:eastAsia="en-US"/>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52E68887">
            <w:pPr>
              <w:pStyle w:val="56"/>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蹲便器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EC0CDCF">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7154EC4D">
            <w:pPr>
              <w:pStyle w:val="56"/>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《蹲便器用水效率限定值及用水效率等级》（GB30717）</w:t>
            </w:r>
          </w:p>
        </w:tc>
      </w:tr>
      <w:tr w14:paraId="1BCA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9AB226">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9860C4">
            <w:pPr>
              <w:widowControl/>
              <w:jc w:val="left"/>
              <w:rPr>
                <w:rFonts w:ascii="宋体" w:hAnsi="宋体" w:cs="宋体"/>
                <w:color w:val="auto"/>
                <w:w w:val="99"/>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A2523F5">
            <w:pPr>
              <w:pStyle w:val="56"/>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小便器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5DAA1AB">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22C0AF0">
            <w:pPr>
              <w:pStyle w:val="56"/>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《小便器用水效率限定值及用水效率等级》（GB28377）</w:t>
            </w:r>
          </w:p>
        </w:tc>
      </w:tr>
      <w:tr w14:paraId="21B59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2F027C62">
            <w:pPr>
              <w:pStyle w:val="56"/>
              <w:jc w:val="center"/>
              <w:rPr>
                <w:rFonts w:ascii="宋体" w:hAnsi="宋体" w:cs="宋体"/>
                <w:color w:val="auto"/>
                <w:kern w:val="2"/>
                <w:sz w:val="21"/>
                <w:szCs w:val="21"/>
                <w:highlight w:val="none"/>
              </w:rPr>
            </w:pPr>
            <w:r>
              <w:rPr>
                <w:rFonts w:hint="eastAsia" w:ascii="宋体" w:hAnsi="宋体"/>
                <w:color w:val="auto"/>
                <w:kern w:val="2"/>
                <w:sz w:val="21"/>
                <w:szCs w:val="21"/>
                <w:highlight w:val="none"/>
              </w:rPr>
              <w:t>16</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751AE8B7">
            <w:pPr>
              <w:pStyle w:val="56"/>
              <w:spacing w:before="153"/>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w:t>
            </w:r>
            <w:r>
              <w:rPr>
                <w:rFonts w:hint="eastAsia" w:ascii="宋体" w:hAnsi="宋体" w:cs="仿宋_GB2312"/>
                <w:color w:val="auto"/>
                <w:kern w:val="2"/>
                <w:sz w:val="21"/>
                <w:szCs w:val="21"/>
                <w:highlight w:val="none"/>
              </w:rPr>
              <w:t>A05020106</w:t>
            </w:r>
            <w:r>
              <w:rPr>
                <w:rFonts w:hint="eastAsia" w:ascii="宋体" w:hAnsi="宋体" w:cs="宋体"/>
                <w:color w:val="auto"/>
                <w:kern w:val="2"/>
                <w:sz w:val="21"/>
                <w:szCs w:val="21"/>
                <w:highlight w:val="none"/>
              </w:rPr>
              <w:t>水</w:t>
            </w:r>
            <w:r>
              <w:rPr>
                <w:rFonts w:hint="eastAsia" w:ascii="宋体" w:hAnsi="宋体" w:cs="宋体"/>
                <w:color w:val="auto"/>
                <w:w w:val="99"/>
                <w:kern w:val="2"/>
                <w:sz w:val="21"/>
                <w:szCs w:val="21"/>
                <w:highlight w:val="none"/>
              </w:rPr>
              <w:t>嘴</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0DA7F0E8">
            <w:pPr>
              <w:jc w:val="center"/>
              <w:rPr>
                <w:rFonts w:ascii="宋体" w:hAnsi="宋体"/>
                <w:color w:val="auto"/>
                <w:szCs w:val="21"/>
                <w:highlight w:val="none"/>
                <w:lang w:eastAsia="en-US"/>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99EF2B2">
            <w:pPr>
              <w:jc w:val="center"/>
              <w:rPr>
                <w:rFonts w:ascii="宋体" w:hAnsi="宋体"/>
                <w:color w:val="auto"/>
                <w:szCs w:val="21"/>
                <w:highlight w:val="none"/>
                <w:lang w:eastAsia="en-US"/>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38DC411">
            <w:pPr>
              <w:pStyle w:val="56"/>
              <w:spacing w:before="153"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《水嘴用水效率限定值及用水效</w:t>
            </w:r>
            <w:r>
              <w:rPr>
                <w:rFonts w:hint="eastAsia" w:ascii="宋体" w:hAnsi="宋体" w:cs="宋体"/>
                <w:color w:val="auto"/>
                <w:kern w:val="2"/>
                <w:sz w:val="21"/>
                <w:szCs w:val="21"/>
                <w:highlight w:val="none"/>
                <w:lang w:eastAsia="zh-CN"/>
              </w:rPr>
              <w:t>率等级》（GB 25501）</w:t>
            </w:r>
          </w:p>
        </w:tc>
      </w:tr>
      <w:tr w14:paraId="6D325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5B4F8559">
            <w:pPr>
              <w:pStyle w:val="56"/>
              <w:jc w:val="center"/>
              <w:rPr>
                <w:rFonts w:ascii="宋体" w:hAnsi="宋体" w:cs="宋体"/>
                <w:color w:val="auto"/>
                <w:kern w:val="2"/>
                <w:sz w:val="21"/>
                <w:szCs w:val="21"/>
                <w:highlight w:val="none"/>
              </w:rPr>
            </w:pPr>
            <w:r>
              <w:rPr>
                <w:rFonts w:hint="eastAsia" w:ascii="宋体" w:hAnsi="宋体"/>
                <w:color w:val="auto"/>
                <w:kern w:val="2"/>
                <w:sz w:val="21"/>
                <w:szCs w:val="21"/>
                <w:highlight w:val="none"/>
              </w:rPr>
              <w:t>17</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1BBFDF10">
            <w:pPr>
              <w:pStyle w:val="56"/>
              <w:spacing w:before="112"/>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A05020107</w:t>
            </w:r>
            <w:r>
              <w:rPr>
                <w:rFonts w:hint="eastAsia" w:ascii="宋体" w:hAnsi="宋体" w:cs="宋体"/>
                <w:color w:val="auto"/>
                <w:kern w:val="2"/>
                <w:sz w:val="21"/>
                <w:szCs w:val="21"/>
                <w:highlight w:val="none"/>
              </w:rPr>
              <w:t>便器冲洗阀</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0B394BC">
            <w:pPr>
              <w:jc w:val="center"/>
              <w:rPr>
                <w:rFonts w:ascii="宋体" w:hAnsi="宋体"/>
                <w:color w:val="auto"/>
                <w:szCs w:val="21"/>
                <w:highlight w:val="none"/>
                <w:lang w:eastAsia="en-US"/>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6674DFB">
            <w:pPr>
              <w:jc w:val="center"/>
              <w:rPr>
                <w:rFonts w:ascii="宋体" w:hAnsi="宋体"/>
                <w:color w:val="auto"/>
                <w:szCs w:val="21"/>
                <w:highlight w:val="none"/>
                <w:lang w:eastAsia="en-US"/>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505AB08">
            <w:pPr>
              <w:pStyle w:val="56"/>
              <w:spacing w:before="112"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《便器冲洗阀用水效率限定值及</w:t>
            </w:r>
            <w:r>
              <w:rPr>
                <w:rFonts w:hint="eastAsia" w:ascii="宋体" w:hAnsi="宋体" w:cs="宋体"/>
                <w:color w:val="auto"/>
                <w:kern w:val="2"/>
                <w:sz w:val="21"/>
                <w:szCs w:val="21"/>
                <w:highlight w:val="none"/>
                <w:lang w:eastAsia="zh-CN"/>
              </w:rPr>
              <w:t>用水效率等级》（GB28379）</w:t>
            </w:r>
          </w:p>
        </w:tc>
      </w:tr>
      <w:tr w14:paraId="4D8B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2BF95AF4">
            <w:pPr>
              <w:pStyle w:val="56"/>
              <w:jc w:val="center"/>
              <w:rPr>
                <w:rFonts w:ascii="宋体" w:hAnsi="宋体" w:cs="宋体"/>
                <w:color w:val="auto"/>
                <w:kern w:val="2"/>
                <w:sz w:val="21"/>
                <w:szCs w:val="21"/>
                <w:highlight w:val="none"/>
              </w:rPr>
            </w:pPr>
            <w:r>
              <w:rPr>
                <w:rFonts w:hint="eastAsia" w:ascii="宋体" w:hAnsi="宋体"/>
                <w:color w:val="auto"/>
                <w:kern w:val="2"/>
                <w:sz w:val="21"/>
                <w:szCs w:val="21"/>
                <w:highlight w:val="none"/>
              </w:rPr>
              <w:t>18</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38AF9EBE">
            <w:pPr>
              <w:pStyle w:val="56"/>
              <w:spacing w:before="131"/>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A05020110</w:t>
            </w:r>
            <w:r>
              <w:rPr>
                <w:rFonts w:hint="eastAsia" w:ascii="宋体" w:hAnsi="宋体" w:cs="宋体"/>
                <w:color w:val="auto"/>
                <w:kern w:val="2"/>
                <w:sz w:val="21"/>
                <w:szCs w:val="21"/>
                <w:highlight w:val="none"/>
              </w:rPr>
              <w:t>淋浴</w:t>
            </w:r>
            <w:r>
              <w:rPr>
                <w:rFonts w:hint="eastAsia" w:ascii="宋体" w:hAnsi="宋体" w:cs="宋体"/>
                <w:color w:val="auto"/>
                <w:w w:val="99"/>
                <w:kern w:val="2"/>
                <w:sz w:val="21"/>
                <w:szCs w:val="21"/>
                <w:highlight w:val="none"/>
              </w:rPr>
              <w:t>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701663BA">
            <w:pPr>
              <w:jc w:val="center"/>
              <w:rPr>
                <w:rFonts w:ascii="宋体" w:hAnsi="宋体"/>
                <w:color w:val="auto"/>
                <w:szCs w:val="21"/>
                <w:highlight w:val="none"/>
                <w:lang w:eastAsia="en-US"/>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5F4041C">
            <w:pPr>
              <w:jc w:val="center"/>
              <w:rPr>
                <w:rFonts w:ascii="宋体" w:hAnsi="宋体"/>
                <w:color w:val="auto"/>
                <w:szCs w:val="21"/>
                <w:highlight w:val="none"/>
                <w:lang w:eastAsia="en-US"/>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1D68DA7">
            <w:pPr>
              <w:pStyle w:val="56"/>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《淋浴器用水效率限定值及用水</w:t>
            </w:r>
            <w:r>
              <w:rPr>
                <w:rFonts w:hint="eastAsia" w:ascii="宋体" w:hAnsi="宋体" w:cs="宋体"/>
                <w:color w:val="auto"/>
                <w:kern w:val="2"/>
                <w:sz w:val="21"/>
                <w:szCs w:val="21"/>
                <w:highlight w:val="none"/>
                <w:lang w:eastAsia="zh-CN"/>
              </w:rPr>
              <w:t>效率等级》（GB28378）</w:t>
            </w:r>
          </w:p>
        </w:tc>
      </w:tr>
    </w:tbl>
    <w:p w14:paraId="792F3DEE">
      <w:pPr>
        <w:pStyle w:val="2"/>
        <w:spacing w:line="360" w:lineRule="auto"/>
        <w:rPr>
          <w:rFonts w:hint="eastAsia" w:ascii="宋体" w:hAnsi="宋体"/>
          <w:color w:val="auto"/>
          <w:szCs w:val="21"/>
          <w:highlight w:val="none"/>
        </w:rPr>
      </w:pPr>
      <w:r>
        <w:rPr>
          <w:rFonts w:hint="eastAsia" w:ascii="宋体" w:hAnsi="宋体"/>
          <w:color w:val="auto"/>
          <w:spacing w:val="-3"/>
          <w:szCs w:val="21"/>
          <w:highlight w:val="none"/>
        </w:rPr>
        <w:t>注：1.节能产品认证应依据相关国家标准的最新版本，依据国家标准中二级能效（水效）</w:t>
      </w:r>
      <w:r>
        <w:rPr>
          <w:rFonts w:hint="eastAsia" w:ascii="宋体" w:hAnsi="宋体"/>
          <w:color w:val="auto"/>
          <w:szCs w:val="21"/>
          <w:highlight w:val="none"/>
        </w:rPr>
        <w:t>指标。</w:t>
      </w:r>
    </w:p>
    <w:p w14:paraId="11F05F5B">
      <w:pPr>
        <w:pStyle w:val="2"/>
        <w:spacing w:line="360" w:lineRule="auto"/>
        <w:ind w:firstLine="465"/>
        <w:rPr>
          <w:rFonts w:hint="eastAsia" w:ascii="宋体" w:hAnsi="宋体"/>
          <w:color w:val="auto"/>
          <w:szCs w:val="21"/>
          <w:highlight w:val="none"/>
        </w:rPr>
      </w:pPr>
      <w:r>
        <w:rPr>
          <w:rFonts w:hint="eastAsia" w:ascii="宋体" w:hAnsi="宋体"/>
          <w:color w:val="auto"/>
          <w:szCs w:val="21"/>
          <w:highlight w:val="none"/>
        </w:rPr>
        <w:t>2.以“★”标注的为政府强制采购产品。</w:t>
      </w:r>
    </w:p>
    <w:p w14:paraId="67C54425">
      <w:pPr>
        <w:pStyle w:val="2"/>
        <w:spacing w:line="360" w:lineRule="auto"/>
        <w:ind w:firstLine="465"/>
        <w:rPr>
          <w:rFonts w:hint="eastAsia" w:ascii="宋体" w:hAnsi="宋体"/>
          <w:color w:val="auto"/>
          <w:szCs w:val="21"/>
          <w:highlight w:val="none"/>
        </w:rPr>
      </w:pPr>
      <w:r>
        <w:rPr>
          <w:rFonts w:hint="eastAsia" w:ascii="宋体" w:hAnsi="宋体"/>
          <w:color w:val="auto"/>
          <w:szCs w:val="21"/>
          <w:highlight w:val="none"/>
        </w:rPr>
        <w:t>3.本表格原为《关于印发节能产品政府采购品目清单的通知》（财库〔2019〕19号）规定的表格附件，其中名称及编码已根据《财政部关于印发〈政府采购品目分类目录〉的通知》（财库〔2022〕31号）修改。</w:t>
      </w:r>
    </w:p>
    <w:p w14:paraId="6C3A8CD5">
      <w:pPr>
        <w:widowControl/>
        <w:jc w:val="left"/>
        <w:rPr>
          <w:rFonts w:hint="eastAsia" w:ascii="宋体" w:hAnsi="宋体" w:cs="宋体"/>
          <w:color w:val="auto"/>
          <w:sz w:val="20"/>
          <w:szCs w:val="20"/>
          <w:highlight w:val="none"/>
        </w:rPr>
      </w:pPr>
    </w:p>
    <w:p w14:paraId="675CDA9A">
      <w:pPr>
        <w:widowControl/>
        <w:jc w:val="left"/>
        <w:rPr>
          <w:rFonts w:hint="eastAsia" w:ascii="宋体" w:hAnsi="宋体" w:cs="宋体"/>
          <w:color w:val="auto"/>
          <w:sz w:val="20"/>
          <w:szCs w:val="20"/>
          <w:highlight w:val="none"/>
        </w:rPr>
      </w:pPr>
    </w:p>
    <w:p w14:paraId="2ADD0BAC">
      <w:pPr>
        <w:widowControl/>
        <w:jc w:val="left"/>
        <w:rPr>
          <w:rFonts w:hint="eastAsia" w:ascii="黑体" w:hAnsi="黑体" w:eastAsia="黑体" w:cs="黑体"/>
          <w:color w:val="auto"/>
          <w:sz w:val="32"/>
          <w:szCs w:val="32"/>
          <w:highlight w:val="none"/>
        </w:rPr>
      </w:pPr>
      <w:r>
        <w:rPr>
          <w:rFonts w:hint="eastAsia" w:ascii="宋体" w:hAnsi="宋体" w:cs="宋体"/>
          <w:color w:val="auto"/>
          <w:sz w:val="20"/>
          <w:szCs w:val="20"/>
          <w:highlight w:val="none"/>
        </w:rPr>
        <w:br w:type="page"/>
      </w:r>
      <w:r>
        <w:rPr>
          <w:rFonts w:hint="eastAsia" w:ascii="黑体" w:hAnsi="黑体" w:eastAsia="黑体" w:cs="黑体"/>
          <w:color w:val="auto"/>
          <w:sz w:val="32"/>
          <w:szCs w:val="32"/>
          <w:highlight w:val="none"/>
        </w:rPr>
        <w:t>附件2：</w:t>
      </w:r>
    </w:p>
    <w:p w14:paraId="14D3BBAE">
      <w:pPr>
        <w:pStyle w:val="2"/>
        <w:jc w:val="center"/>
        <w:rPr>
          <w:rFonts w:hint="eastAsia"/>
          <w:b/>
          <w:color w:val="auto"/>
          <w:sz w:val="28"/>
          <w:szCs w:val="28"/>
          <w:highlight w:val="none"/>
        </w:rPr>
      </w:pPr>
      <w:r>
        <w:rPr>
          <w:rFonts w:hint="eastAsia"/>
          <w:b/>
          <w:color w:val="auto"/>
          <w:sz w:val="28"/>
          <w:szCs w:val="28"/>
          <w:highlight w:val="none"/>
        </w:rPr>
        <w:t>中小企业划型标准规定</w:t>
      </w:r>
    </w:p>
    <w:p w14:paraId="732084C0">
      <w:pPr>
        <w:pStyle w:val="2"/>
        <w:jc w:val="center"/>
        <w:rPr>
          <w:rFonts w:ascii="宋体" w:hAnsi="宋体"/>
          <w:color w:val="auto"/>
          <w:szCs w:val="21"/>
          <w:highlight w:val="none"/>
        </w:rPr>
      </w:pPr>
      <w:r>
        <w:rPr>
          <w:rFonts w:hint="eastAsia" w:ascii="宋体" w:hAnsi="宋体"/>
          <w:color w:val="auto"/>
          <w:szCs w:val="21"/>
          <w:highlight w:val="none"/>
        </w:rPr>
        <w:t>工信部联企业</w:t>
      </w:r>
      <w:r>
        <w:rPr>
          <w:rFonts w:hint="eastAsia" w:ascii="宋体" w:hAnsi="宋体"/>
          <w:color w:val="auto"/>
          <w:szCs w:val="21"/>
          <w:highlight w:val="none"/>
          <w:lang w:eastAsia="zh-CN"/>
        </w:rPr>
        <w:t>〔2011〕300号</w:t>
      </w:r>
    </w:p>
    <w:p w14:paraId="3A73F272">
      <w:pPr>
        <w:pStyle w:val="2"/>
        <w:rPr>
          <w:rFonts w:hint="eastAsia"/>
          <w:color w:val="auto"/>
          <w:szCs w:val="21"/>
          <w:highlight w:val="none"/>
        </w:rPr>
      </w:pPr>
    </w:p>
    <w:p w14:paraId="5E2FF067">
      <w:pPr>
        <w:pStyle w:val="2"/>
        <w:rPr>
          <w:color w:val="auto"/>
          <w:szCs w:val="21"/>
          <w:highlight w:val="none"/>
        </w:rPr>
      </w:pPr>
      <w:r>
        <w:rPr>
          <w:rFonts w:hint="eastAsia"/>
          <w:color w:val="auto"/>
          <w:szCs w:val="21"/>
          <w:highlight w:val="none"/>
        </w:rPr>
        <w:t>　　一、根据《中华人民共和国中小企业促进法》和《国务院关于进一步促进中小企业发展的若干意见》</w:t>
      </w:r>
      <w:r>
        <w:rPr>
          <w:color w:val="auto"/>
          <w:szCs w:val="21"/>
          <w:highlight w:val="none"/>
        </w:rPr>
        <w:t>(</w:t>
      </w:r>
      <w:r>
        <w:rPr>
          <w:rFonts w:hint="eastAsia"/>
          <w:color w:val="auto"/>
          <w:szCs w:val="21"/>
          <w:highlight w:val="none"/>
        </w:rPr>
        <w:t>国发</w:t>
      </w:r>
      <w:r>
        <w:rPr>
          <w:rFonts w:hint="eastAsia"/>
          <w:color w:val="auto"/>
          <w:szCs w:val="21"/>
          <w:highlight w:val="none"/>
          <w:lang w:eastAsia="zh-CN"/>
        </w:rPr>
        <w:t>〔2009〕36号</w:t>
      </w:r>
      <w:r>
        <w:rPr>
          <w:color w:val="auto"/>
          <w:szCs w:val="21"/>
          <w:highlight w:val="none"/>
        </w:rPr>
        <w:t>)</w:t>
      </w:r>
      <w:r>
        <w:rPr>
          <w:rFonts w:hint="eastAsia"/>
          <w:color w:val="auto"/>
          <w:szCs w:val="21"/>
          <w:highlight w:val="none"/>
        </w:rPr>
        <w:t>，制定本规定。</w:t>
      </w:r>
    </w:p>
    <w:p w14:paraId="02606674">
      <w:pPr>
        <w:pStyle w:val="2"/>
        <w:rPr>
          <w:color w:val="auto"/>
          <w:szCs w:val="21"/>
          <w:highlight w:val="none"/>
        </w:rPr>
      </w:pPr>
      <w:r>
        <w:rPr>
          <w:rFonts w:hint="eastAsia"/>
          <w:color w:val="auto"/>
          <w:szCs w:val="21"/>
          <w:highlight w:val="none"/>
        </w:rPr>
        <w:t>　　二、中小企业划分为中型、小型、微型三种类型，具体标准根据企业从业人员、营业收入、资产总额等指标，结合行业特点制定。</w:t>
      </w:r>
    </w:p>
    <w:p w14:paraId="501F1E1D">
      <w:pPr>
        <w:pStyle w:val="2"/>
        <w:rPr>
          <w:color w:val="auto"/>
          <w:szCs w:val="21"/>
          <w:highlight w:val="none"/>
        </w:rPr>
      </w:pPr>
      <w:r>
        <w:rPr>
          <w:rFonts w:hint="eastAsia"/>
          <w:color w:val="auto"/>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188F6D2">
      <w:pPr>
        <w:pStyle w:val="2"/>
        <w:rPr>
          <w:color w:val="auto"/>
          <w:szCs w:val="21"/>
          <w:highlight w:val="none"/>
        </w:rPr>
      </w:pPr>
      <w:r>
        <w:rPr>
          <w:rFonts w:hint="eastAsia"/>
          <w:color w:val="auto"/>
          <w:szCs w:val="21"/>
          <w:highlight w:val="none"/>
        </w:rPr>
        <w:t>　　四、各行业划型标准为：</w:t>
      </w:r>
    </w:p>
    <w:p w14:paraId="42688B90">
      <w:pPr>
        <w:pStyle w:val="2"/>
        <w:rPr>
          <w:color w:val="auto"/>
          <w:szCs w:val="21"/>
          <w:highlight w:val="none"/>
        </w:rPr>
      </w:pPr>
      <w:r>
        <w:rPr>
          <w:rFonts w:hint="eastAsia"/>
          <w:color w:val="auto"/>
          <w:szCs w:val="21"/>
          <w:highlight w:val="none"/>
        </w:rPr>
        <w:t>　　（一）农、林、牧、渔业。营业收入</w:t>
      </w:r>
      <w:r>
        <w:rPr>
          <w:color w:val="auto"/>
          <w:szCs w:val="21"/>
          <w:highlight w:val="none"/>
        </w:rPr>
        <w:t>20000</w:t>
      </w:r>
      <w:r>
        <w:rPr>
          <w:rFonts w:hint="eastAsia"/>
          <w:color w:val="auto"/>
          <w:szCs w:val="21"/>
          <w:highlight w:val="none"/>
        </w:rPr>
        <w:t>万元以下的为中小微型企业。其中，营业收入</w:t>
      </w:r>
      <w:r>
        <w:rPr>
          <w:color w:val="auto"/>
          <w:szCs w:val="21"/>
          <w:highlight w:val="none"/>
        </w:rPr>
        <w:t>500</w:t>
      </w:r>
      <w:r>
        <w:rPr>
          <w:rFonts w:hint="eastAsia"/>
          <w:color w:val="auto"/>
          <w:szCs w:val="21"/>
          <w:highlight w:val="none"/>
        </w:rPr>
        <w:t>万元及以上的为中型企业，营业收入</w:t>
      </w:r>
      <w:r>
        <w:rPr>
          <w:color w:val="auto"/>
          <w:szCs w:val="21"/>
          <w:highlight w:val="none"/>
        </w:rPr>
        <w:t>50</w:t>
      </w:r>
      <w:r>
        <w:rPr>
          <w:rFonts w:hint="eastAsia"/>
          <w:color w:val="auto"/>
          <w:szCs w:val="21"/>
          <w:highlight w:val="none"/>
        </w:rPr>
        <w:t>万元及以上的为小型企业，营业收入</w:t>
      </w:r>
      <w:r>
        <w:rPr>
          <w:color w:val="auto"/>
          <w:szCs w:val="21"/>
          <w:highlight w:val="none"/>
        </w:rPr>
        <w:t>50</w:t>
      </w:r>
      <w:r>
        <w:rPr>
          <w:rFonts w:hint="eastAsia"/>
          <w:color w:val="auto"/>
          <w:szCs w:val="21"/>
          <w:highlight w:val="none"/>
        </w:rPr>
        <w:t>万元以下的为微型企业。</w:t>
      </w:r>
    </w:p>
    <w:p w14:paraId="106431BD">
      <w:pPr>
        <w:pStyle w:val="2"/>
        <w:rPr>
          <w:color w:val="auto"/>
          <w:szCs w:val="21"/>
          <w:highlight w:val="none"/>
        </w:rPr>
      </w:pPr>
      <w:r>
        <w:rPr>
          <w:rFonts w:hint="eastAsia"/>
          <w:color w:val="auto"/>
          <w:szCs w:val="21"/>
          <w:highlight w:val="none"/>
        </w:rPr>
        <w:t>　　（二）工业。从业人员</w:t>
      </w:r>
      <w:r>
        <w:rPr>
          <w:color w:val="auto"/>
          <w:szCs w:val="21"/>
          <w:highlight w:val="none"/>
        </w:rPr>
        <w:t>1000</w:t>
      </w:r>
      <w:r>
        <w:rPr>
          <w:rFonts w:hint="eastAsia"/>
          <w:color w:val="auto"/>
          <w:szCs w:val="21"/>
          <w:highlight w:val="none"/>
        </w:rPr>
        <w:t>人以下或营业收入</w:t>
      </w:r>
      <w:r>
        <w:rPr>
          <w:color w:val="auto"/>
          <w:szCs w:val="21"/>
          <w:highlight w:val="none"/>
        </w:rPr>
        <w:t>40000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300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300</w:t>
      </w:r>
      <w:r>
        <w:rPr>
          <w:rFonts w:hint="eastAsia"/>
          <w:color w:val="auto"/>
          <w:szCs w:val="21"/>
          <w:highlight w:val="none"/>
        </w:rPr>
        <w:t>万元以下的为微型企业。</w:t>
      </w:r>
    </w:p>
    <w:p w14:paraId="283BDAF9">
      <w:pPr>
        <w:pStyle w:val="2"/>
        <w:rPr>
          <w:color w:val="auto"/>
          <w:szCs w:val="21"/>
          <w:highlight w:val="none"/>
        </w:rPr>
      </w:pPr>
      <w:r>
        <w:rPr>
          <w:rFonts w:hint="eastAsia"/>
          <w:color w:val="auto"/>
          <w:szCs w:val="21"/>
          <w:highlight w:val="none"/>
        </w:rPr>
        <w:t>　　（三）建筑业。营业收入</w:t>
      </w:r>
      <w:r>
        <w:rPr>
          <w:color w:val="auto"/>
          <w:szCs w:val="21"/>
          <w:highlight w:val="none"/>
        </w:rPr>
        <w:t>80000</w:t>
      </w:r>
      <w:r>
        <w:rPr>
          <w:rFonts w:hint="eastAsia"/>
          <w:color w:val="auto"/>
          <w:szCs w:val="21"/>
          <w:highlight w:val="none"/>
        </w:rPr>
        <w:t>万元以下或资产总额</w:t>
      </w:r>
      <w:r>
        <w:rPr>
          <w:color w:val="auto"/>
          <w:szCs w:val="21"/>
          <w:highlight w:val="none"/>
        </w:rPr>
        <w:t>80000</w:t>
      </w:r>
      <w:r>
        <w:rPr>
          <w:rFonts w:hint="eastAsia"/>
          <w:color w:val="auto"/>
          <w:szCs w:val="21"/>
          <w:highlight w:val="none"/>
        </w:rPr>
        <w:t>万元以下的为中小微型企业。其中，营业收入</w:t>
      </w:r>
      <w:r>
        <w:rPr>
          <w:color w:val="auto"/>
          <w:szCs w:val="21"/>
          <w:highlight w:val="none"/>
        </w:rPr>
        <w:t>6000</w:t>
      </w:r>
      <w:r>
        <w:rPr>
          <w:rFonts w:hint="eastAsia"/>
          <w:color w:val="auto"/>
          <w:szCs w:val="21"/>
          <w:highlight w:val="none"/>
        </w:rPr>
        <w:t>万元及以上，且资产总额</w:t>
      </w:r>
      <w:r>
        <w:rPr>
          <w:color w:val="auto"/>
          <w:szCs w:val="21"/>
          <w:highlight w:val="none"/>
        </w:rPr>
        <w:t>5000</w:t>
      </w:r>
      <w:r>
        <w:rPr>
          <w:rFonts w:hint="eastAsia"/>
          <w:color w:val="auto"/>
          <w:szCs w:val="21"/>
          <w:highlight w:val="none"/>
        </w:rPr>
        <w:t>万元及以上的为中型企业；营业收入</w:t>
      </w:r>
      <w:r>
        <w:rPr>
          <w:color w:val="auto"/>
          <w:szCs w:val="21"/>
          <w:highlight w:val="none"/>
        </w:rPr>
        <w:t>300</w:t>
      </w:r>
      <w:r>
        <w:rPr>
          <w:rFonts w:hint="eastAsia"/>
          <w:color w:val="auto"/>
          <w:szCs w:val="21"/>
          <w:highlight w:val="none"/>
        </w:rPr>
        <w:t>万元及以上，且资产总额</w:t>
      </w:r>
      <w:r>
        <w:rPr>
          <w:color w:val="auto"/>
          <w:szCs w:val="21"/>
          <w:highlight w:val="none"/>
        </w:rPr>
        <w:t>300</w:t>
      </w:r>
      <w:r>
        <w:rPr>
          <w:rFonts w:hint="eastAsia"/>
          <w:color w:val="auto"/>
          <w:szCs w:val="21"/>
          <w:highlight w:val="none"/>
        </w:rPr>
        <w:t>万元及以上的为小型企业；营业收入</w:t>
      </w:r>
      <w:r>
        <w:rPr>
          <w:color w:val="auto"/>
          <w:szCs w:val="21"/>
          <w:highlight w:val="none"/>
        </w:rPr>
        <w:t>300</w:t>
      </w:r>
      <w:r>
        <w:rPr>
          <w:rFonts w:hint="eastAsia"/>
          <w:color w:val="auto"/>
          <w:szCs w:val="21"/>
          <w:highlight w:val="none"/>
        </w:rPr>
        <w:t>万元以下或资产总额</w:t>
      </w:r>
      <w:r>
        <w:rPr>
          <w:color w:val="auto"/>
          <w:szCs w:val="21"/>
          <w:highlight w:val="none"/>
        </w:rPr>
        <w:t>300</w:t>
      </w:r>
      <w:r>
        <w:rPr>
          <w:rFonts w:hint="eastAsia"/>
          <w:color w:val="auto"/>
          <w:szCs w:val="21"/>
          <w:highlight w:val="none"/>
        </w:rPr>
        <w:t>万元以下的为微型企业。</w:t>
      </w:r>
    </w:p>
    <w:p w14:paraId="451358EA">
      <w:pPr>
        <w:pStyle w:val="2"/>
        <w:rPr>
          <w:color w:val="auto"/>
          <w:szCs w:val="21"/>
          <w:highlight w:val="none"/>
        </w:rPr>
      </w:pPr>
      <w:r>
        <w:rPr>
          <w:rFonts w:hint="eastAsia"/>
          <w:color w:val="auto"/>
          <w:szCs w:val="21"/>
          <w:highlight w:val="none"/>
        </w:rPr>
        <w:t>　　（四）批发业。从业人员</w:t>
      </w:r>
      <w:r>
        <w:rPr>
          <w:color w:val="auto"/>
          <w:szCs w:val="21"/>
          <w:highlight w:val="none"/>
        </w:rPr>
        <w:t>200</w:t>
      </w:r>
      <w:r>
        <w:rPr>
          <w:rFonts w:hint="eastAsia"/>
          <w:color w:val="auto"/>
          <w:szCs w:val="21"/>
          <w:highlight w:val="none"/>
        </w:rPr>
        <w:t>人以下或营业收入</w:t>
      </w:r>
      <w:r>
        <w:rPr>
          <w:color w:val="auto"/>
          <w:szCs w:val="21"/>
          <w:highlight w:val="none"/>
        </w:rPr>
        <w:t>40000</w:t>
      </w:r>
      <w:r>
        <w:rPr>
          <w:rFonts w:hint="eastAsia"/>
          <w:color w:val="auto"/>
          <w:szCs w:val="21"/>
          <w:highlight w:val="none"/>
        </w:rPr>
        <w:t>万元以下的为中小微型企业。其中，从业人员</w:t>
      </w:r>
      <w:r>
        <w:rPr>
          <w:color w:val="auto"/>
          <w:szCs w:val="21"/>
          <w:highlight w:val="none"/>
        </w:rPr>
        <w:t>20</w:t>
      </w:r>
      <w:r>
        <w:rPr>
          <w:rFonts w:hint="eastAsia"/>
          <w:color w:val="auto"/>
          <w:szCs w:val="21"/>
          <w:highlight w:val="none"/>
        </w:rPr>
        <w:t>人及以上，且营业收入</w:t>
      </w:r>
      <w:r>
        <w:rPr>
          <w:color w:val="auto"/>
          <w:szCs w:val="21"/>
          <w:highlight w:val="none"/>
        </w:rPr>
        <w:t>5000</w:t>
      </w:r>
      <w:r>
        <w:rPr>
          <w:rFonts w:hint="eastAsia"/>
          <w:color w:val="auto"/>
          <w:szCs w:val="21"/>
          <w:highlight w:val="none"/>
        </w:rPr>
        <w:t>万元及以上的为中型企业；从业人员</w:t>
      </w:r>
      <w:r>
        <w:rPr>
          <w:color w:val="auto"/>
          <w:szCs w:val="21"/>
          <w:highlight w:val="none"/>
        </w:rPr>
        <w:t>5</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万元及以上的为小型企业；从业人员</w:t>
      </w:r>
      <w:r>
        <w:rPr>
          <w:color w:val="auto"/>
          <w:szCs w:val="21"/>
          <w:highlight w:val="none"/>
        </w:rPr>
        <w:t>5</w:t>
      </w:r>
      <w:r>
        <w:rPr>
          <w:rFonts w:hint="eastAsia"/>
          <w:color w:val="auto"/>
          <w:szCs w:val="21"/>
          <w:highlight w:val="none"/>
        </w:rPr>
        <w:t>人以下或营业收入</w:t>
      </w:r>
      <w:r>
        <w:rPr>
          <w:color w:val="auto"/>
          <w:szCs w:val="21"/>
          <w:highlight w:val="none"/>
        </w:rPr>
        <w:t>1000</w:t>
      </w:r>
      <w:r>
        <w:rPr>
          <w:rFonts w:hint="eastAsia"/>
          <w:color w:val="auto"/>
          <w:szCs w:val="21"/>
          <w:highlight w:val="none"/>
        </w:rPr>
        <w:t>万元以下的为微型企业。</w:t>
      </w:r>
    </w:p>
    <w:p w14:paraId="1A4F8DA1">
      <w:pPr>
        <w:pStyle w:val="2"/>
        <w:rPr>
          <w:color w:val="auto"/>
          <w:szCs w:val="21"/>
          <w:highlight w:val="none"/>
        </w:rPr>
      </w:pPr>
      <w:r>
        <w:rPr>
          <w:rFonts w:hint="eastAsia"/>
          <w:color w:val="auto"/>
          <w:szCs w:val="21"/>
          <w:highlight w:val="none"/>
        </w:rPr>
        <w:t>　　（五）零售业。从业人员</w:t>
      </w:r>
      <w:r>
        <w:rPr>
          <w:color w:val="auto"/>
          <w:szCs w:val="21"/>
          <w:highlight w:val="none"/>
        </w:rPr>
        <w:t>300</w:t>
      </w:r>
      <w:r>
        <w:rPr>
          <w:rFonts w:hint="eastAsia"/>
          <w:color w:val="auto"/>
          <w:szCs w:val="21"/>
          <w:highlight w:val="none"/>
        </w:rPr>
        <w:t>人以下或营业收入</w:t>
      </w:r>
      <w:r>
        <w:rPr>
          <w:color w:val="auto"/>
          <w:szCs w:val="21"/>
          <w:highlight w:val="none"/>
        </w:rPr>
        <w:t>20000</w:t>
      </w:r>
      <w:r>
        <w:rPr>
          <w:rFonts w:hint="eastAsia"/>
          <w:color w:val="auto"/>
          <w:szCs w:val="21"/>
          <w:highlight w:val="none"/>
        </w:rPr>
        <w:t>万元以下的为中小微型企业。其中，从业人员</w:t>
      </w:r>
      <w:r>
        <w:rPr>
          <w:color w:val="auto"/>
          <w:szCs w:val="21"/>
          <w:highlight w:val="none"/>
        </w:rPr>
        <w:t>50</w:t>
      </w:r>
      <w:r>
        <w:rPr>
          <w:rFonts w:hint="eastAsia"/>
          <w:color w:val="auto"/>
          <w:szCs w:val="21"/>
          <w:highlight w:val="none"/>
        </w:rPr>
        <w:t>人及以上，且营业收入</w:t>
      </w:r>
      <w:r>
        <w:rPr>
          <w:color w:val="auto"/>
          <w:szCs w:val="21"/>
          <w:highlight w:val="none"/>
        </w:rPr>
        <w:t>500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43C96F99">
      <w:pPr>
        <w:pStyle w:val="2"/>
        <w:rPr>
          <w:color w:val="auto"/>
          <w:szCs w:val="21"/>
          <w:highlight w:val="none"/>
        </w:rPr>
      </w:pPr>
      <w:r>
        <w:rPr>
          <w:rFonts w:hint="eastAsia"/>
          <w:color w:val="auto"/>
          <w:szCs w:val="21"/>
          <w:highlight w:val="none"/>
        </w:rPr>
        <w:t>　　（六）交通运输业。从业人员</w:t>
      </w:r>
      <w:r>
        <w:rPr>
          <w:color w:val="auto"/>
          <w:szCs w:val="21"/>
          <w:highlight w:val="none"/>
        </w:rPr>
        <w:t>1000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3000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200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200</w:t>
      </w:r>
      <w:r>
        <w:rPr>
          <w:rFonts w:hint="eastAsia"/>
          <w:color w:val="auto"/>
          <w:szCs w:val="21"/>
          <w:highlight w:val="none"/>
        </w:rPr>
        <w:t>万元以下的为微型企业。</w:t>
      </w:r>
    </w:p>
    <w:p w14:paraId="535FAD14">
      <w:pPr>
        <w:pStyle w:val="2"/>
        <w:rPr>
          <w:color w:val="auto"/>
          <w:szCs w:val="21"/>
          <w:highlight w:val="none"/>
        </w:rPr>
      </w:pPr>
      <w:r>
        <w:rPr>
          <w:rFonts w:hint="eastAsia"/>
          <w:color w:val="auto"/>
          <w:szCs w:val="21"/>
          <w:highlight w:val="none"/>
        </w:rPr>
        <w:t>　　（七）仓储业。从业人员</w:t>
      </w:r>
      <w:r>
        <w:rPr>
          <w:color w:val="auto"/>
          <w:szCs w:val="21"/>
          <w:highlight w:val="none"/>
        </w:rPr>
        <w:t>200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755DAE02">
      <w:pPr>
        <w:pStyle w:val="2"/>
        <w:rPr>
          <w:color w:val="auto"/>
          <w:szCs w:val="21"/>
          <w:highlight w:val="none"/>
        </w:rPr>
      </w:pPr>
      <w:r>
        <w:rPr>
          <w:rFonts w:hint="eastAsia"/>
          <w:color w:val="auto"/>
          <w:szCs w:val="21"/>
          <w:highlight w:val="none"/>
        </w:rPr>
        <w:t>　　（八）邮政业。从业人员</w:t>
      </w:r>
      <w:r>
        <w:rPr>
          <w:color w:val="auto"/>
          <w:szCs w:val="21"/>
          <w:highlight w:val="none"/>
        </w:rPr>
        <w:t>1000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1E60F1EF">
      <w:pPr>
        <w:pStyle w:val="2"/>
        <w:rPr>
          <w:color w:val="auto"/>
          <w:szCs w:val="21"/>
          <w:highlight w:val="none"/>
        </w:rPr>
      </w:pPr>
      <w:r>
        <w:rPr>
          <w:rFonts w:hint="eastAsia"/>
          <w:color w:val="auto"/>
          <w:szCs w:val="21"/>
          <w:highlight w:val="none"/>
        </w:rPr>
        <w:t>　　（九）住宿业。从业人员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61003CF9">
      <w:pPr>
        <w:pStyle w:val="2"/>
        <w:rPr>
          <w:color w:val="auto"/>
          <w:szCs w:val="21"/>
          <w:highlight w:val="none"/>
        </w:rPr>
      </w:pPr>
      <w:r>
        <w:rPr>
          <w:rFonts w:hint="eastAsia"/>
          <w:color w:val="auto"/>
          <w:szCs w:val="21"/>
          <w:highlight w:val="none"/>
        </w:rPr>
        <w:t>　　（十）餐饮业。从业人员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5E132AAA">
      <w:pPr>
        <w:pStyle w:val="2"/>
        <w:rPr>
          <w:color w:val="auto"/>
          <w:szCs w:val="21"/>
          <w:highlight w:val="none"/>
        </w:rPr>
      </w:pPr>
      <w:r>
        <w:rPr>
          <w:rFonts w:hint="eastAsia"/>
          <w:color w:val="auto"/>
          <w:szCs w:val="21"/>
          <w:highlight w:val="none"/>
        </w:rPr>
        <w:t>　　（十一）信息传输业。从业人员</w:t>
      </w:r>
      <w:r>
        <w:rPr>
          <w:color w:val="auto"/>
          <w:szCs w:val="21"/>
          <w:highlight w:val="none"/>
        </w:rPr>
        <w:t>2000</w:t>
      </w:r>
      <w:r>
        <w:rPr>
          <w:rFonts w:hint="eastAsia"/>
          <w:color w:val="auto"/>
          <w:szCs w:val="21"/>
          <w:highlight w:val="none"/>
        </w:rPr>
        <w:t>人以下或营业收入</w:t>
      </w:r>
      <w:r>
        <w:rPr>
          <w:color w:val="auto"/>
          <w:szCs w:val="21"/>
          <w:highlight w:val="none"/>
        </w:rPr>
        <w:t>100000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662D76C9">
      <w:pPr>
        <w:pStyle w:val="2"/>
        <w:rPr>
          <w:color w:val="auto"/>
          <w:szCs w:val="21"/>
          <w:highlight w:val="none"/>
        </w:rPr>
      </w:pPr>
      <w:r>
        <w:rPr>
          <w:rFonts w:hint="eastAsia"/>
          <w:color w:val="auto"/>
          <w:szCs w:val="21"/>
          <w:highlight w:val="none"/>
        </w:rPr>
        <w:t>　　（十二）软件和信息技术服务业。从业人员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50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50</w:t>
      </w:r>
      <w:r>
        <w:rPr>
          <w:rFonts w:hint="eastAsia"/>
          <w:color w:val="auto"/>
          <w:szCs w:val="21"/>
          <w:highlight w:val="none"/>
        </w:rPr>
        <w:t>万元以下的为微型企业。</w:t>
      </w:r>
    </w:p>
    <w:p w14:paraId="4995A792">
      <w:pPr>
        <w:pStyle w:val="2"/>
        <w:rPr>
          <w:color w:val="auto"/>
          <w:szCs w:val="21"/>
          <w:highlight w:val="none"/>
        </w:rPr>
      </w:pPr>
      <w:r>
        <w:rPr>
          <w:rFonts w:hint="eastAsia"/>
          <w:color w:val="auto"/>
          <w:szCs w:val="21"/>
          <w:highlight w:val="none"/>
        </w:rPr>
        <w:t>　　（十三）房地产开发经营。营业收入</w:t>
      </w:r>
      <w:r>
        <w:rPr>
          <w:color w:val="auto"/>
          <w:szCs w:val="21"/>
          <w:highlight w:val="none"/>
        </w:rPr>
        <w:t>200000</w:t>
      </w:r>
      <w:r>
        <w:rPr>
          <w:rFonts w:hint="eastAsia"/>
          <w:color w:val="auto"/>
          <w:szCs w:val="21"/>
          <w:highlight w:val="none"/>
        </w:rPr>
        <w:t>万元以下或资产总额</w:t>
      </w:r>
      <w:r>
        <w:rPr>
          <w:color w:val="auto"/>
          <w:szCs w:val="21"/>
          <w:highlight w:val="none"/>
        </w:rPr>
        <w:t>10000</w:t>
      </w:r>
      <w:r>
        <w:rPr>
          <w:rFonts w:hint="eastAsia"/>
          <w:color w:val="auto"/>
          <w:szCs w:val="21"/>
          <w:highlight w:val="none"/>
        </w:rPr>
        <w:t>万元以下的为中小微型企业。其中，营业收入</w:t>
      </w:r>
      <w:r>
        <w:rPr>
          <w:color w:val="auto"/>
          <w:szCs w:val="21"/>
          <w:highlight w:val="none"/>
        </w:rPr>
        <w:t>1000</w:t>
      </w:r>
      <w:r>
        <w:rPr>
          <w:rFonts w:hint="eastAsia"/>
          <w:color w:val="auto"/>
          <w:szCs w:val="21"/>
          <w:highlight w:val="none"/>
        </w:rPr>
        <w:t>万元及以上，且资产总额</w:t>
      </w:r>
      <w:r>
        <w:rPr>
          <w:color w:val="auto"/>
          <w:szCs w:val="21"/>
          <w:highlight w:val="none"/>
        </w:rPr>
        <w:t>5000</w:t>
      </w:r>
      <w:r>
        <w:rPr>
          <w:rFonts w:hint="eastAsia"/>
          <w:color w:val="auto"/>
          <w:szCs w:val="21"/>
          <w:highlight w:val="none"/>
        </w:rPr>
        <w:t>万元及以上的为中型企业；营业收入</w:t>
      </w:r>
      <w:r>
        <w:rPr>
          <w:color w:val="auto"/>
          <w:szCs w:val="21"/>
          <w:highlight w:val="none"/>
        </w:rPr>
        <w:t>100</w:t>
      </w:r>
      <w:r>
        <w:rPr>
          <w:rFonts w:hint="eastAsia"/>
          <w:color w:val="auto"/>
          <w:szCs w:val="21"/>
          <w:highlight w:val="none"/>
        </w:rPr>
        <w:t>万元及以上，且资产总额</w:t>
      </w:r>
      <w:r>
        <w:rPr>
          <w:color w:val="auto"/>
          <w:szCs w:val="21"/>
          <w:highlight w:val="none"/>
        </w:rPr>
        <w:t>2000</w:t>
      </w:r>
      <w:r>
        <w:rPr>
          <w:rFonts w:hint="eastAsia"/>
          <w:color w:val="auto"/>
          <w:szCs w:val="21"/>
          <w:highlight w:val="none"/>
        </w:rPr>
        <w:t>万元及以上的为小型企业；营业收入</w:t>
      </w:r>
      <w:r>
        <w:rPr>
          <w:color w:val="auto"/>
          <w:szCs w:val="21"/>
          <w:highlight w:val="none"/>
        </w:rPr>
        <w:t>100</w:t>
      </w:r>
      <w:r>
        <w:rPr>
          <w:rFonts w:hint="eastAsia"/>
          <w:color w:val="auto"/>
          <w:szCs w:val="21"/>
          <w:highlight w:val="none"/>
        </w:rPr>
        <w:t>万元以下或资产总额</w:t>
      </w:r>
      <w:r>
        <w:rPr>
          <w:color w:val="auto"/>
          <w:szCs w:val="21"/>
          <w:highlight w:val="none"/>
        </w:rPr>
        <w:t>2000</w:t>
      </w:r>
      <w:r>
        <w:rPr>
          <w:rFonts w:hint="eastAsia"/>
          <w:color w:val="auto"/>
          <w:szCs w:val="21"/>
          <w:highlight w:val="none"/>
        </w:rPr>
        <w:t>万元以下的为微型企业。</w:t>
      </w:r>
    </w:p>
    <w:p w14:paraId="3770C4A3">
      <w:pPr>
        <w:pStyle w:val="2"/>
        <w:rPr>
          <w:color w:val="auto"/>
          <w:szCs w:val="21"/>
          <w:highlight w:val="none"/>
        </w:rPr>
      </w:pPr>
      <w:r>
        <w:rPr>
          <w:rFonts w:hint="eastAsia"/>
          <w:color w:val="auto"/>
          <w:szCs w:val="21"/>
          <w:highlight w:val="none"/>
        </w:rPr>
        <w:t>　　（十四）物业管理。从业人员</w:t>
      </w:r>
      <w:r>
        <w:rPr>
          <w:color w:val="auto"/>
          <w:szCs w:val="21"/>
          <w:highlight w:val="none"/>
        </w:rPr>
        <w:t>1000</w:t>
      </w:r>
      <w:r>
        <w:rPr>
          <w:rFonts w:hint="eastAsia"/>
          <w:color w:val="auto"/>
          <w:szCs w:val="21"/>
          <w:highlight w:val="none"/>
        </w:rPr>
        <w:t>人以下或营业收入</w:t>
      </w:r>
      <w:r>
        <w:rPr>
          <w:color w:val="auto"/>
          <w:szCs w:val="21"/>
          <w:highlight w:val="none"/>
        </w:rPr>
        <w:t>5000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100</w:t>
      </w:r>
      <w:r>
        <w:rPr>
          <w:rFonts w:hint="eastAsia"/>
          <w:color w:val="auto"/>
          <w:szCs w:val="21"/>
          <w:highlight w:val="none"/>
        </w:rPr>
        <w:t>人及以上，且营业收入</w:t>
      </w:r>
      <w:r>
        <w:rPr>
          <w:color w:val="auto"/>
          <w:szCs w:val="21"/>
          <w:highlight w:val="none"/>
        </w:rPr>
        <w:t>500</w:t>
      </w:r>
      <w:r>
        <w:rPr>
          <w:rFonts w:hint="eastAsia"/>
          <w:color w:val="auto"/>
          <w:szCs w:val="21"/>
          <w:highlight w:val="none"/>
        </w:rPr>
        <w:t>万元及以上的为小型企业；从业人员</w:t>
      </w:r>
      <w:r>
        <w:rPr>
          <w:color w:val="auto"/>
          <w:szCs w:val="21"/>
          <w:highlight w:val="none"/>
        </w:rPr>
        <w:t>100</w:t>
      </w:r>
      <w:r>
        <w:rPr>
          <w:rFonts w:hint="eastAsia"/>
          <w:color w:val="auto"/>
          <w:szCs w:val="21"/>
          <w:highlight w:val="none"/>
        </w:rPr>
        <w:t>人以下或营业收入</w:t>
      </w:r>
      <w:r>
        <w:rPr>
          <w:color w:val="auto"/>
          <w:szCs w:val="21"/>
          <w:highlight w:val="none"/>
        </w:rPr>
        <w:t>500</w:t>
      </w:r>
      <w:r>
        <w:rPr>
          <w:rFonts w:hint="eastAsia"/>
          <w:color w:val="auto"/>
          <w:szCs w:val="21"/>
          <w:highlight w:val="none"/>
        </w:rPr>
        <w:t>万元以下的为微型企业。</w:t>
      </w:r>
    </w:p>
    <w:p w14:paraId="1D328A6A">
      <w:pPr>
        <w:pStyle w:val="2"/>
        <w:rPr>
          <w:color w:val="auto"/>
          <w:szCs w:val="21"/>
          <w:highlight w:val="none"/>
        </w:rPr>
      </w:pPr>
      <w:r>
        <w:rPr>
          <w:rFonts w:hint="eastAsia"/>
          <w:color w:val="auto"/>
          <w:szCs w:val="21"/>
          <w:highlight w:val="none"/>
        </w:rPr>
        <w:t>　　（十五）租赁和商务服务业。从业人员</w:t>
      </w:r>
      <w:r>
        <w:rPr>
          <w:color w:val="auto"/>
          <w:szCs w:val="21"/>
          <w:highlight w:val="none"/>
        </w:rPr>
        <w:t>300</w:t>
      </w:r>
      <w:r>
        <w:rPr>
          <w:rFonts w:hint="eastAsia"/>
          <w:color w:val="auto"/>
          <w:szCs w:val="21"/>
          <w:highlight w:val="none"/>
        </w:rPr>
        <w:t>人以下或资产总额</w:t>
      </w:r>
      <w:r>
        <w:rPr>
          <w:color w:val="auto"/>
          <w:szCs w:val="21"/>
          <w:highlight w:val="none"/>
        </w:rPr>
        <w:t>120000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人及以上，且资产总额</w:t>
      </w:r>
      <w:r>
        <w:rPr>
          <w:color w:val="auto"/>
          <w:szCs w:val="21"/>
          <w:highlight w:val="none"/>
        </w:rPr>
        <w:t>8000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人及以上，且资产总额</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人以下或资产总额</w:t>
      </w:r>
      <w:r>
        <w:rPr>
          <w:color w:val="auto"/>
          <w:szCs w:val="21"/>
          <w:highlight w:val="none"/>
        </w:rPr>
        <w:t>100</w:t>
      </w:r>
      <w:r>
        <w:rPr>
          <w:rFonts w:hint="eastAsia"/>
          <w:color w:val="auto"/>
          <w:szCs w:val="21"/>
          <w:highlight w:val="none"/>
        </w:rPr>
        <w:t>万元以下的为微型企业。</w:t>
      </w:r>
    </w:p>
    <w:p w14:paraId="0D3FBE89">
      <w:pPr>
        <w:pStyle w:val="2"/>
        <w:rPr>
          <w:color w:val="auto"/>
          <w:szCs w:val="21"/>
          <w:highlight w:val="none"/>
        </w:rPr>
      </w:pPr>
      <w:r>
        <w:rPr>
          <w:rFonts w:hint="eastAsia"/>
          <w:color w:val="auto"/>
          <w:szCs w:val="21"/>
          <w:highlight w:val="none"/>
        </w:rPr>
        <w:t>　　（十六）其他未列明行业。从业人员</w:t>
      </w:r>
      <w:r>
        <w:rPr>
          <w:color w:val="auto"/>
          <w:szCs w:val="21"/>
          <w:highlight w:val="none"/>
        </w:rPr>
        <w:t>300</w:t>
      </w:r>
      <w:r>
        <w:rPr>
          <w:rFonts w:hint="eastAsia"/>
          <w:color w:val="auto"/>
          <w:szCs w:val="21"/>
          <w:highlight w:val="none"/>
        </w:rPr>
        <w:t>人以下的为中小微型企业。其中，从业人员</w:t>
      </w:r>
      <w:r>
        <w:rPr>
          <w:color w:val="auto"/>
          <w:szCs w:val="21"/>
          <w:highlight w:val="none"/>
        </w:rPr>
        <w:t>100</w:t>
      </w:r>
      <w:r>
        <w:rPr>
          <w:rFonts w:hint="eastAsia"/>
          <w:color w:val="auto"/>
          <w:szCs w:val="21"/>
          <w:highlight w:val="none"/>
        </w:rPr>
        <w:t>人及以上的为中型企业；从业人员</w:t>
      </w:r>
      <w:r>
        <w:rPr>
          <w:color w:val="auto"/>
          <w:szCs w:val="21"/>
          <w:highlight w:val="none"/>
        </w:rPr>
        <w:t>10</w:t>
      </w:r>
      <w:r>
        <w:rPr>
          <w:rFonts w:hint="eastAsia"/>
          <w:color w:val="auto"/>
          <w:szCs w:val="21"/>
          <w:highlight w:val="none"/>
        </w:rPr>
        <w:t>人及以上的为小型企业；从业人员</w:t>
      </w:r>
      <w:r>
        <w:rPr>
          <w:color w:val="auto"/>
          <w:szCs w:val="21"/>
          <w:highlight w:val="none"/>
        </w:rPr>
        <w:t>10</w:t>
      </w:r>
      <w:r>
        <w:rPr>
          <w:rFonts w:hint="eastAsia"/>
          <w:color w:val="auto"/>
          <w:szCs w:val="21"/>
          <w:highlight w:val="none"/>
        </w:rPr>
        <w:t>人以下的为微型企业。</w:t>
      </w:r>
    </w:p>
    <w:p w14:paraId="4E112CEF">
      <w:pPr>
        <w:pStyle w:val="2"/>
        <w:rPr>
          <w:color w:val="auto"/>
          <w:szCs w:val="21"/>
          <w:highlight w:val="none"/>
        </w:rPr>
      </w:pPr>
      <w:r>
        <w:rPr>
          <w:rFonts w:hint="eastAsia"/>
          <w:color w:val="auto"/>
          <w:szCs w:val="21"/>
          <w:highlight w:val="none"/>
        </w:rPr>
        <w:t>　　五、企业类型的划分以统计部门的统计数据为依据。</w:t>
      </w:r>
    </w:p>
    <w:p w14:paraId="47D334B6">
      <w:pPr>
        <w:pStyle w:val="2"/>
        <w:rPr>
          <w:color w:val="auto"/>
          <w:szCs w:val="21"/>
          <w:highlight w:val="none"/>
        </w:rPr>
      </w:pPr>
      <w:r>
        <w:rPr>
          <w:rFonts w:hint="eastAsia"/>
          <w:color w:val="auto"/>
          <w:szCs w:val="21"/>
          <w:highlight w:val="none"/>
        </w:rPr>
        <w:t>　　六、本规定适用于在中华人民共和国境内依法设立的各类所有制和各种组织形式的企业。个体工商户和本规定以外的行业，参照本规定进行划型。</w:t>
      </w:r>
    </w:p>
    <w:p w14:paraId="7FFDEAE0">
      <w:pPr>
        <w:pStyle w:val="2"/>
        <w:rPr>
          <w:color w:val="auto"/>
          <w:szCs w:val="21"/>
          <w:highlight w:val="none"/>
        </w:rPr>
      </w:pPr>
      <w:r>
        <w:rPr>
          <w:rFonts w:hint="eastAsia"/>
          <w:color w:val="auto"/>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6BC7A12C">
      <w:pPr>
        <w:pStyle w:val="2"/>
        <w:rPr>
          <w:color w:val="auto"/>
          <w:szCs w:val="21"/>
          <w:highlight w:val="none"/>
        </w:rPr>
      </w:pPr>
      <w:r>
        <w:rPr>
          <w:rFonts w:hint="eastAsia"/>
          <w:color w:val="auto"/>
          <w:szCs w:val="21"/>
          <w:highlight w:val="none"/>
        </w:rPr>
        <w:t>　　八、本规定由工业和信息化部、国家统计局会同有关部门根据《国民经济行业分类》修订情况和企业发展变化情况适时修订。</w:t>
      </w:r>
    </w:p>
    <w:p w14:paraId="106712FB">
      <w:pPr>
        <w:pStyle w:val="2"/>
        <w:rPr>
          <w:color w:val="auto"/>
          <w:szCs w:val="21"/>
          <w:highlight w:val="none"/>
        </w:rPr>
      </w:pPr>
      <w:r>
        <w:rPr>
          <w:rFonts w:hint="eastAsia"/>
          <w:color w:val="auto"/>
          <w:szCs w:val="21"/>
          <w:highlight w:val="none"/>
        </w:rPr>
        <w:t>　　九、本规定由工业和信息化部、国家统计局会同有关部门负责解释。</w:t>
      </w:r>
    </w:p>
    <w:p w14:paraId="0D813D32">
      <w:pPr>
        <w:pStyle w:val="2"/>
        <w:ind w:firstLine="420"/>
        <w:rPr>
          <w:color w:val="auto"/>
          <w:szCs w:val="21"/>
          <w:highlight w:val="none"/>
        </w:rPr>
      </w:pPr>
      <w:r>
        <w:rPr>
          <w:rFonts w:hint="eastAsia"/>
          <w:color w:val="auto"/>
          <w:szCs w:val="21"/>
          <w:highlight w:val="none"/>
        </w:rPr>
        <w:t>十、本规定自发布之日起执行，原国家经贸委、原国家计委、财政部和国家统计局</w:t>
      </w:r>
      <w:r>
        <w:rPr>
          <w:color w:val="auto"/>
          <w:szCs w:val="21"/>
          <w:highlight w:val="none"/>
        </w:rPr>
        <w:t>2003</w:t>
      </w:r>
      <w:r>
        <w:rPr>
          <w:rFonts w:hint="eastAsia"/>
          <w:color w:val="auto"/>
          <w:szCs w:val="21"/>
          <w:highlight w:val="none"/>
        </w:rPr>
        <w:t>年颁布的《中小企业标准暂行规定》同时废止。</w:t>
      </w:r>
    </w:p>
    <w:p w14:paraId="15E48FE1">
      <w:pPr>
        <w:widowControl/>
        <w:jc w:val="left"/>
        <w:rPr>
          <w:rFonts w:ascii="宋体" w:hAnsi="宋体" w:cs="宋体"/>
          <w:color w:val="auto"/>
          <w:sz w:val="20"/>
          <w:szCs w:val="20"/>
          <w:highlight w:val="none"/>
        </w:rPr>
      </w:pPr>
    </w:p>
    <w:p w14:paraId="5DEEAE86">
      <w:pPr>
        <w:pStyle w:val="3"/>
        <w:jc w:val="center"/>
        <w:rPr>
          <w:rFonts w:hint="eastAsia"/>
          <w:color w:val="auto"/>
          <w:highlight w:val="none"/>
        </w:rPr>
      </w:pPr>
      <w:r>
        <w:rPr>
          <w:rFonts w:ascii="宋体" w:hAnsi="宋体" w:cs="宋体"/>
          <w:color w:val="auto"/>
          <w:sz w:val="20"/>
          <w:szCs w:val="20"/>
          <w:highlight w:val="none"/>
        </w:rPr>
        <w:br w:type="page"/>
      </w:r>
      <w:bookmarkStart w:id="79" w:name="_Toc74322011"/>
      <w:r>
        <w:rPr>
          <w:rFonts w:hint="eastAsia"/>
          <w:color w:val="auto"/>
          <w:highlight w:val="none"/>
        </w:rPr>
        <w:t xml:space="preserve">第四章  </w:t>
      </w:r>
      <w:bookmarkStart w:id="80" w:name="_Hlk68601507"/>
      <w:r>
        <w:rPr>
          <w:rFonts w:hint="eastAsia"/>
          <w:color w:val="auto"/>
          <w:highlight w:val="none"/>
        </w:rPr>
        <w:t>评审程序和评定成交的标准</w:t>
      </w:r>
      <w:bookmarkEnd w:id="79"/>
      <w:bookmarkEnd w:id="80"/>
    </w:p>
    <w:p w14:paraId="039B3F17">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一、评审程序</w:t>
      </w:r>
    </w:p>
    <w:p w14:paraId="18925764">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.确认谈判文件</w:t>
      </w:r>
    </w:p>
    <w:p w14:paraId="53B9BD9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由谈判小组确认谈判文件。</w:t>
      </w:r>
    </w:p>
    <w:p w14:paraId="32898EEA">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.资格审查</w:t>
      </w:r>
    </w:p>
    <w:p w14:paraId="274360B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.1响应文件开启后，谈判小组依法对供应商的资格证明文件进行审查。</w:t>
      </w:r>
    </w:p>
    <w:p w14:paraId="14FF81A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谈判小组</w:t>
      </w:r>
      <w:r>
        <w:rPr>
          <w:rFonts w:hint="eastAsia" w:ascii="宋体" w:hAnsi="宋体" w:cs="宋体"/>
          <w:color w:val="auto"/>
          <w:szCs w:val="21"/>
          <w:highlight w:val="none"/>
        </w:rPr>
        <w:t>在资格审查结束前，对供应商进行信用查询。</w:t>
      </w:r>
    </w:p>
    <w:p w14:paraId="4C2FE37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（1）查询渠道：广西政府采购云平台“信用中国”网站(www.creditchina.gov.cn)、中国政府采购网(www.ccgp.gov.cn)。</w:t>
      </w:r>
    </w:p>
    <w:p w14:paraId="410D013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38AC295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14:paraId="64CCFD68">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w:t>
      </w:r>
      <w:r>
        <w:rPr>
          <w:rFonts w:hint="eastAsia" w:ascii="宋体" w:hAnsi="宋体" w:eastAsia="宋体" w:cs="宋体"/>
          <w:color w:val="auto"/>
          <w:szCs w:val="21"/>
          <w:highlight w:val="none"/>
        </w:rPr>
        <w:t>十二条规定条件的供应商）的，视同联合体存在不良信用记录。</w:t>
      </w:r>
    </w:p>
    <w:p w14:paraId="499D5C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2.2资格审查标准为本谈判文件中载明对供应商资格要求的条件。本项目资格审查采用合格制，凡符合谈判文件规定的供应商资格要求的供应商均通过资格审查。</w:t>
      </w:r>
    </w:p>
    <w:p w14:paraId="12F7F1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 供应商有下列情形之一的，资格审查不通过，其响应文件按无效处理：</w:t>
      </w:r>
    </w:p>
    <w:p w14:paraId="0D0FEE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（1）不具备谈判文件中规定的资格要求的；</w:t>
      </w:r>
    </w:p>
    <w:p w14:paraId="1F953A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（2）未按谈判文件规定的方式获取本谈判文件的供应商；</w:t>
      </w:r>
    </w:p>
    <w:p w14:paraId="547A7410">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rPr>
        <w:t>（3）响应文件中的资格证明文件缺</w:t>
      </w:r>
      <w:r>
        <w:rPr>
          <w:rFonts w:hint="eastAsia" w:ascii="宋体" w:hAnsi="宋体" w:cs="宋体"/>
          <w:color w:val="auto"/>
          <w:szCs w:val="21"/>
          <w:highlight w:val="none"/>
        </w:rPr>
        <w:t>少任一项“供应商须知前附表”资格证明文件规定的“必须提供”的文件资料的；</w:t>
      </w:r>
    </w:p>
    <w:p w14:paraId="4056BD44">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235F3B5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47D66C5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.4通过资格审查的合格供应商不足3家（本章</w:t>
      </w:r>
      <w:r>
        <w:rPr>
          <w:rFonts w:ascii="宋体" w:hAnsi="宋体" w:cs="宋体"/>
          <w:color w:val="auto"/>
          <w:szCs w:val="21"/>
          <w:highlight w:val="none"/>
        </w:rPr>
        <w:t>3.7</w:t>
      </w:r>
      <w:r>
        <w:rPr>
          <w:rFonts w:hint="eastAsia" w:ascii="宋体" w:hAnsi="宋体" w:cs="宋体"/>
          <w:color w:val="auto"/>
          <w:szCs w:val="21"/>
          <w:highlight w:val="none"/>
        </w:rPr>
        <w:t>条规定除外）的，不得进入符合性审查环节，应当重新开展采购活动。</w:t>
      </w:r>
    </w:p>
    <w:p w14:paraId="42E0A33A">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.符合性审查</w:t>
      </w:r>
    </w:p>
    <w:p w14:paraId="3B5EE8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w:t>
      </w:r>
      <w:r>
        <w:rPr>
          <w:rFonts w:hint="eastAsia" w:ascii="宋体" w:hAnsi="宋体" w:cs="宋体"/>
          <w:color w:val="auto"/>
          <w:szCs w:val="21"/>
          <w:highlight w:val="none"/>
        </w:rPr>
        <w:t>谈判小组应当对符合资格的供应商的响应文件进行竞标报价、商务、技术等实质性要求符合性审查，以确定其是否满足谈判文件的实质性要求。</w:t>
      </w:r>
    </w:p>
    <w:p w14:paraId="1EC18C9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.2</w:t>
      </w:r>
      <w:r>
        <w:rPr>
          <w:rFonts w:hint="eastAsia" w:ascii="宋体" w:hAnsi="宋体" w:cs="宋体"/>
          <w:color w:val="auto"/>
          <w:szCs w:val="21"/>
          <w:highlight w:val="none"/>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F7DD8F7">
      <w:pPr>
        <w:spacing w:line="360" w:lineRule="auto"/>
        <w:ind w:firstLine="420" w:firstLineChars="200"/>
        <w:rPr>
          <w:rFonts w:hint="eastAsia" w:ascii="宋体" w:hAnsi="宋体" w:cs="宋体"/>
          <w:color w:val="auto"/>
          <w:spacing w:val="-6"/>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.3谈判小组要求供应商澄清、说明或者更正响应文件应当以电子澄清函形式作出。供应商的澄清、说明或者更正应当</w:t>
      </w:r>
      <w:r>
        <w:rPr>
          <w:rFonts w:hint="eastAsia" w:ascii="宋体" w:hAnsi="宋体" w:cs="宋体"/>
          <w:color w:val="auto"/>
          <w:szCs w:val="21"/>
          <w:highlight w:val="none"/>
          <w:lang w:eastAsia="zh-CN"/>
        </w:rPr>
        <w:t>以</w:t>
      </w:r>
      <w:r>
        <w:rPr>
          <w:rFonts w:hint="eastAsia" w:ascii="宋体" w:hAnsi="宋体" w:cs="宋体"/>
          <w:color w:val="auto"/>
          <w:szCs w:val="21"/>
          <w:highlight w:val="none"/>
        </w:rPr>
        <w:t>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14:paraId="4648274E">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14:paraId="78CF6B8B">
      <w:pPr>
        <w:spacing w:line="360" w:lineRule="auto"/>
        <w:ind w:firstLine="396" w:firstLineChars="200"/>
        <w:rPr>
          <w:rFonts w:hint="eastAsia" w:ascii="宋体" w:hAnsi="宋体" w:cs="宋体"/>
          <w:color w:val="auto"/>
          <w:szCs w:val="21"/>
          <w:highlight w:val="none"/>
        </w:rPr>
      </w:pPr>
      <w:r>
        <w:rPr>
          <w:rFonts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1EC748C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53236EC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0ECD642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69C7CEC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41342A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4221B4CF">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697489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4AD419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（1）商务技术评审</w:t>
      </w:r>
    </w:p>
    <w:p w14:paraId="74CC7C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1）响应文件未按谈判文件要求签署、盖章的；</w:t>
      </w:r>
    </w:p>
    <w:p w14:paraId="16F445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14:paraId="2D5C0B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3）提交的竞标保证金无效的或者未按照谈判文件的规定提交竞标保证金；</w:t>
      </w:r>
    </w:p>
    <w:p w14:paraId="582DED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471BD7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5）商务要求允许负偏离的条款数超过“供应商须知前附表”规定项数的；</w:t>
      </w:r>
    </w:p>
    <w:p w14:paraId="1F1944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6）未对竞标有效期作出响应或者响应文件承诺的竞标有效期不满足谈判文件要求；</w:t>
      </w:r>
    </w:p>
    <w:p w14:paraId="290085C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7）响应文件的实质性内容未使用中文表述、使用计量单位不符合谈判文件要求的；</w:t>
      </w:r>
    </w:p>
    <w:p w14:paraId="410E23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8）响应文件中的文件资料因填写不齐全或者内容虚假或者出现其他情形而导致被谈判小组认定无效的；</w:t>
      </w:r>
    </w:p>
    <w:p w14:paraId="77492F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9）响应文件含有采购人不能接受的附加条件的；</w:t>
      </w:r>
    </w:p>
    <w:p w14:paraId="07C07823">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0）属于“供应商须知正文”第7.</w:t>
      </w:r>
      <w:r>
        <w:rPr>
          <w:rFonts w:ascii="宋体" w:hAnsi="宋体" w:cs="宋体"/>
          <w:color w:val="auto"/>
          <w:szCs w:val="21"/>
          <w:highlight w:val="none"/>
        </w:rPr>
        <w:t>5</w:t>
      </w:r>
      <w:r>
        <w:rPr>
          <w:rFonts w:hint="eastAsia" w:ascii="宋体" w:hAnsi="宋体" w:cs="宋体"/>
          <w:color w:val="auto"/>
          <w:szCs w:val="21"/>
          <w:highlight w:val="none"/>
        </w:rPr>
        <w:t>条的情形的；</w:t>
      </w:r>
    </w:p>
    <w:p w14:paraId="1062E1C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11）技术评审允许负偏离的条款数超过“供应商须知前附表”规定项数的；</w:t>
      </w:r>
    </w:p>
    <w:p w14:paraId="46001BC9">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2）虚假竞标，或者出现其他情形而导致被谈判小组认定无效的；</w:t>
      </w:r>
    </w:p>
    <w:p w14:paraId="5A2D2C53">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w:t>
      </w:r>
      <w:bookmarkStart w:id="81" w:name="_Hlk71704147"/>
      <w:r>
        <w:rPr>
          <w:rFonts w:hint="eastAsia" w:ascii="宋体" w:hAnsi="宋体" w:cs="宋体"/>
          <w:color w:val="auto"/>
          <w:szCs w:val="21"/>
          <w:highlight w:val="none"/>
        </w:rPr>
        <w:t>谈判文件未载明允许提供备选（替代）竞标方案或明确不允许提供备选（替代）竞标方案时，供应商提供了备选（替代）竞标方案的；</w:t>
      </w:r>
      <w:bookmarkEnd w:id="81"/>
    </w:p>
    <w:p w14:paraId="224C061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4）响应文件标注的项目名称或者项目编号与谈判文件标注的项目名称或者项目编号不一致的；</w:t>
      </w:r>
    </w:p>
    <w:p w14:paraId="20A5CC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olor w:val="auto"/>
          <w:szCs w:val="21"/>
          <w:highlight w:val="none"/>
        </w:rPr>
        <w:t>谈判文件明确不允许分包，响应文件拟分包的；</w:t>
      </w:r>
    </w:p>
    <w:p w14:paraId="6F0CC6D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6）未响应谈判文件实质性要求；</w:t>
      </w:r>
    </w:p>
    <w:p w14:paraId="697314D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17）法律、法规和谈判文件规定的其他无效情形。</w:t>
      </w:r>
    </w:p>
    <w:p w14:paraId="0A90D8B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2）报</w:t>
      </w:r>
      <w:r>
        <w:rPr>
          <w:rFonts w:hint="eastAsia" w:ascii="宋体" w:hAnsi="宋体" w:cs="宋体"/>
          <w:color w:val="auto"/>
          <w:szCs w:val="21"/>
          <w:highlight w:val="none"/>
        </w:rPr>
        <w:t>价评审</w:t>
      </w:r>
    </w:p>
    <w:p w14:paraId="7003F4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1）响应文件未提供“供应商须知前附表”报价文件中规定的“竞标报价表”的；</w:t>
      </w:r>
    </w:p>
    <w:p w14:paraId="611B149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2）未采用人民币报价或者未按照谈判文件标明的币种报价的；</w:t>
      </w:r>
    </w:p>
    <w:p w14:paraId="38EFC0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w:t>
      </w:r>
    </w:p>
    <w:p w14:paraId="372351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竞标报价（包含首次报价、最后报价）超过所竞标分标规定的采购预算金额或者最高限价的（如本项目公布了最高限价）；竞标报价（包含首次报价、最后报价）超过谈判文件分项采购预算金额或者最高限价的（如本项目公布了最高限价）；</w:t>
      </w:r>
    </w:p>
    <w:p w14:paraId="3283C6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14:paraId="13F4F61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响应文件响应的标的数量及单位与竞争性谈判采购文件要求实质性不一致的。</w:t>
      </w:r>
    </w:p>
    <w:p w14:paraId="6CF163AA">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65887D80">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7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14:paraId="4BC513BB">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.8除本章3.7条规定的情形外，通过符合性审查的合格供应商不足3家的，不得进入谈判环节，应当重新开展采购活动。</w:t>
      </w:r>
    </w:p>
    <w:p w14:paraId="2F197A6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谈判程序</w:t>
      </w:r>
    </w:p>
    <w:p w14:paraId="1435F8BB">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.1</w:t>
      </w:r>
      <w:r>
        <w:rPr>
          <w:rFonts w:hint="eastAsia" w:ascii="宋体" w:hAnsi="宋体" w:cs="宋体"/>
          <w:color w:val="auto"/>
          <w:kern w:val="0"/>
          <w:szCs w:val="21"/>
          <w:highlight w:val="none"/>
        </w:rPr>
        <w:t>谈判小组</w:t>
      </w:r>
      <w:r>
        <w:rPr>
          <w:rFonts w:hint="eastAsia" w:ascii="宋体" w:hAnsi="宋体" w:cs="宋体"/>
          <w:color w:val="auto"/>
          <w:szCs w:val="21"/>
          <w:highlight w:val="none"/>
        </w:rPr>
        <w:t>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w:t>
      </w:r>
    </w:p>
    <w:p w14:paraId="781833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6FD24FA0">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对谈判文件作出的实质性变动是谈判文件的有效组成部分，由谈判小组及时以电子澄清函形式同时通知所有参加谈判的供应商。</w:t>
      </w:r>
    </w:p>
    <w:p w14:paraId="5DF2FF7B">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供应商必须按照谈判文件的变动情况和谈判小组的要求以回函的形式重新提交响应文件，并加盖电子签章。参加谈判的供应商未在规定时间内重新提交响应文件的，视同退出谈判，其响应文件按无效处理。</w:t>
      </w:r>
    </w:p>
    <w:p w14:paraId="5441C628">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谈判中，谈判的任何一方不得透露与谈判有关的其他供应商的技术资料、价格和其他信息。</w:t>
      </w:r>
    </w:p>
    <w:p w14:paraId="5451EFAC">
      <w:pPr>
        <w:widowControl/>
        <w:tabs>
          <w:tab w:val="left" w:pos="540"/>
        </w:tabs>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谈判小组应对谈判过程和重要谈判内容进行记录。</w:t>
      </w:r>
    </w:p>
    <w:p w14:paraId="1DD87F57">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7除本章第3.7条外，</w:t>
      </w:r>
      <w:r>
        <w:rPr>
          <w:rFonts w:hint="eastAsia" w:ascii="宋体" w:hAnsi="宋体"/>
          <w:color w:val="auto"/>
          <w:szCs w:val="21"/>
          <w:highlight w:val="none"/>
        </w:rPr>
        <w:t>对谈判过程提交的响应文件进行有效性、完整性和响应程度审查，通过审查的合格供应商不足3家的，采购人或者采购代理机构应当重新开展采购活动</w:t>
      </w:r>
      <w:r>
        <w:rPr>
          <w:rFonts w:hint="eastAsia" w:ascii="宋体" w:hAnsi="宋体" w:cs="宋体"/>
          <w:color w:val="auto"/>
          <w:szCs w:val="21"/>
          <w:highlight w:val="none"/>
        </w:rPr>
        <w:t>。</w:t>
      </w:r>
    </w:p>
    <w:p w14:paraId="66E2D2A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 xml:space="preserve"> 最后报价</w:t>
      </w:r>
    </w:p>
    <w:p w14:paraId="1033F0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.1</w:t>
      </w:r>
      <w:r>
        <w:rPr>
          <w:rFonts w:hint="eastAsia" w:ascii="宋体" w:hAnsi="宋体" w:cs="宋体"/>
          <w:color w:val="auto"/>
          <w:szCs w:val="21"/>
          <w:highlight w:val="none"/>
        </w:rPr>
        <w:t>谈判文件能够详细列明采购标的的技术、服务要求的，谈判结束后，谈判小组应当要求所有继续参加谈判的供应商在规定时间内在广西政府采购云平台开标大厅提交最后报价，除本章第3.7条外，提交最后报价的供应商不得少于3家，否则应当重新采购。</w:t>
      </w:r>
    </w:p>
    <w:p w14:paraId="44E586D4">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在广西政府采购云平台开标大厅提交最后报价。</w:t>
      </w:r>
    </w:p>
    <w:p w14:paraId="7EA348A3">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最后报价是供应商响应文件的有效组成部分。</w:t>
      </w:r>
    </w:p>
    <w:p w14:paraId="5AC577D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已经提交响应文件的供应商，在提交最后报价之前，可以根据谈判情况退出谈判，退出谈判的供应商的响应文件按无效响应处理。采购人、采购代理机构将退还退出谈判的供应商的保证金。</w:t>
      </w:r>
    </w:p>
    <w:p w14:paraId="6EBD172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供应商未在规定时间内提交最后报价的，视为退出谈判，其响应文件按无效处理。</w:t>
      </w:r>
    </w:p>
    <w:p w14:paraId="5ACEF2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.6</w:t>
      </w:r>
      <w:r>
        <w:rPr>
          <w:rFonts w:hint="eastAsia" w:ascii="宋体" w:hAnsi="宋体" w:cs="宋体"/>
          <w:color w:val="auto"/>
          <w:szCs w:val="21"/>
          <w:highlight w:val="none"/>
        </w:rPr>
        <w:t>最后报价统一开启后，谈判小组对最后报价进行有效性、完整性和响应程度的审查。</w:t>
      </w:r>
    </w:p>
    <w:p w14:paraId="414C4CAB">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3.4</w:t>
      </w:r>
      <w:r>
        <w:rPr>
          <w:rFonts w:hint="eastAsia" w:ascii="宋体" w:hAnsi="宋体" w:cs="宋体"/>
          <w:color w:val="auto"/>
          <w:szCs w:val="21"/>
          <w:highlight w:val="none"/>
        </w:rPr>
        <w:t xml:space="preserve">条的规定修正。 </w:t>
      </w:r>
    </w:p>
    <w:p w14:paraId="54902FB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5.8</w:t>
      </w:r>
      <w:r>
        <w:rPr>
          <w:rFonts w:hint="eastAsia" w:ascii="宋体" w:hAnsi="宋体" w:cs="宋体"/>
          <w:color w:val="auto"/>
          <w:szCs w:val="21"/>
          <w:highlight w:val="none"/>
        </w:rPr>
        <w:t>修正后的报价出现下列情形的，按无效响应处理：</w:t>
      </w:r>
    </w:p>
    <w:p w14:paraId="742E50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6DA4DD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14:paraId="158487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147F418F">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5.9</w:t>
      </w:r>
      <w:r>
        <w:rPr>
          <w:rFonts w:hint="eastAsia" w:ascii="宋体" w:hAnsi="宋体" w:cs="宋体"/>
          <w:color w:val="auto"/>
          <w:szCs w:val="21"/>
          <w:highlight w:val="none"/>
        </w:rPr>
        <w:t>经供应商确认修正后的最后报价作为评审及签订合同的依据。</w:t>
      </w:r>
    </w:p>
    <w:p w14:paraId="2615F7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olor w:val="auto"/>
          <w:sz w:val="22"/>
          <w:szCs w:val="22"/>
          <w:highlight w:val="none"/>
        </w:rPr>
        <w:t>，谈判小组应当告知有关供应商</w:t>
      </w:r>
      <w:r>
        <w:rPr>
          <w:rFonts w:hint="eastAsia" w:ascii="宋体" w:hAnsi="宋体" w:cs="宋体"/>
          <w:color w:val="auto"/>
          <w:szCs w:val="21"/>
          <w:highlight w:val="none"/>
        </w:rPr>
        <w:t>。</w:t>
      </w:r>
    </w:p>
    <w:p w14:paraId="6F73126C">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1最后报价结束后，谈判小组不得再与供应商进行任何形式的商谈。</w:t>
      </w:r>
    </w:p>
    <w:p w14:paraId="75D0D296">
      <w:pPr>
        <w:spacing w:line="360" w:lineRule="auto"/>
        <w:ind w:firstLine="472" w:firstLineChars="196"/>
        <w:rPr>
          <w:rFonts w:ascii="黑体" w:hAnsi="黑体" w:eastAsia="黑体" w:cs="宋体"/>
          <w:b/>
          <w:bCs/>
          <w:color w:val="auto"/>
          <w:sz w:val="24"/>
          <w:highlight w:val="none"/>
        </w:rPr>
      </w:pPr>
      <w:r>
        <w:rPr>
          <w:rFonts w:ascii="黑体" w:hAnsi="黑体" w:eastAsia="黑体" w:cs="宋体"/>
          <w:b/>
          <w:bCs/>
          <w:color w:val="auto"/>
          <w:sz w:val="24"/>
          <w:highlight w:val="none"/>
        </w:rPr>
        <w:t>6.</w:t>
      </w:r>
      <w:r>
        <w:rPr>
          <w:rFonts w:hint="eastAsia" w:ascii="黑体" w:hAnsi="黑体" w:eastAsia="黑体" w:cs="宋体"/>
          <w:b/>
          <w:bCs/>
          <w:color w:val="auto"/>
          <w:sz w:val="24"/>
          <w:highlight w:val="none"/>
        </w:rPr>
        <w:t xml:space="preserve"> 最后报价政府采购政策性扣除</w:t>
      </w:r>
    </w:p>
    <w:p w14:paraId="1FF6F0E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.1</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27634A69">
      <w:pPr>
        <w:spacing w:line="360" w:lineRule="auto"/>
        <w:ind w:firstLine="420" w:firstLineChars="200"/>
        <w:rPr>
          <w:rFonts w:hint="eastAsia" w:ascii="宋体" w:hAnsi="宋体" w:cs="宋体"/>
          <w:color w:val="auto"/>
          <w:highlight w:val="none"/>
        </w:rPr>
      </w:pPr>
      <w:r>
        <w:rPr>
          <w:rFonts w:ascii="宋体" w:hAnsi="宋体" w:cs="宋体"/>
          <w:color w:val="auto"/>
          <w:szCs w:val="21"/>
          <w:highlight w:val="none"/>
        </w:rPr>
        <w:t>6.2</w:t>
      </w:r>
      <w:r>
        <w:rPr>
          <w:rFonts w:hint="eastAsia" w:ascii="宋体" w:hAnsi="宋体" w:cs="宋体"/>
          <w:color w:val="auto"/>
          <w:highlight w:val="none"/>
        </w:rPr>
        <w:t>政策性扣除计算方法。</w:t>
      </w:r>
    </w:p>
    <w:p w14:paraId="72DB9A20">
      <w:pPr>
        <w:spacing w:line="360" w:lineRule="auto"/>
        <w:ind w:firstLine="369" w:firstLineChars="176"/>
        <w:rPr>
          <w:rFonts w:ascii="宋体" w:hAnsi="宋体" w:cs="宋体"/>
          <w:color w:val="auto"/>
          <w:highlight w:val="none"/>
        </w:rPr>
      </w:pPr>
      <w:r>
        <w:rPr>
          <w:rFonts w:hint="eastAsia" w:ascii="宋体" w:hAnsi="宋体" w:cs="宋体"/>
          <w:color w:val="auto"/>
          <w:szCs w:val="21"/>
          <w:highlight w:val="none"/>
        </w:rPr>
        <w:t>根据《政府采购促进中小企业发展管理办法》（财库〔2020〕46号）</w:t>
      </w:r>
      <w:r>
        <w:rPr>
          <w:rFonts w:hint="eastAsia" w:ascii="宋体" w:hAnsi="宋体"/>
          <w:bCs/>
          <w:color w:val="auto"/>
          <w:szCs w:val="21"/>
          <w:highlight w:val="none"/>
        </w:rPr>
        <w:t>及《广西壮族自治区财政厅关于持续优化政府采购营商环境推动高质量发展的通知》（桂财采〔2024〕55号）的规定，供应商在其响应文件中提供《中小企业声明函》，且响应货物全部由小微企业制造，对供应商的竞标报价给予</w:t>
      </w:r>
      <w:r>
        <w:rPr>
          <w:rFonts w:hint="eastAsia" w:ascii="宋体" w:hAnsi="宋体"/>
          <w:bCs/>
          <w:color w:val="auto"/>
          <w:szCs w:val="21"/>
          <w:highlight w:val="none"/>
          <w:u w:val="single"/>
          <w:lang w:val="en-US" w:eastAsia="zh-CN"/>
        </w:rPr>
        <w:t>20%</w:t>
      </w:r>
      <w:r>
        <w:rPr>
          <w:rFonts w:hint="eastAsia" w:ascii="宋体" w:hAnsi="宋体"/>
          <w:bCs/>
          <w:color w:val="auto"/>
          <w:szCs w:val="21"/>
          <w:highlight w:val="none"/>
        </w:rPr>
        <w:t xml:space="preserve">的扣除，扣除后的价格为评审价，即评审价=竞标报价×（1- </w:t>
      </w:r>
      <w:r>
        <w:rPr>
          <w:rFonts w:hint="eastAsia" w:ascii="宋体" w:hAnsi="宋体"/>
          <w:bCs/>
          <w:color w:val="auto"/>
          <w:szCs w:val="21"/>
          <w:highlight w:val="none"/>
          <w:lang w:val="en-US" w:eastAsia="zh-CN"/>
        </w:rPr>
        <w:t>20</w:t>
      </w:r>
      <w:r>
        <w:rPr>
          <w:rFonts w:hint="eastAsia" w:ascii="宋体" w:hAnsi="宋体"/>
          <w:bCs/>
          <w:color w:val="auto"/>
          <w:szCs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color w:val="auto"/>
          <w:szCs w:val="21"/>
          <w:highlight w:val="none"/>
          <w:u w:val="single"/>
        </w:rPr>
        <w:t>4%</w:t>
      </w:r>
      <w:r>
        <w:rPr>
          <w:rFonts w:hint="eastAsia" w:ascii="宋体" w:hAnsi="宋体"/>
          <w:bCs/>
          <w:color w:val="auto"/>
          <w:szCs w:val="21"/>
          <w:highlight w:val="none"/>
        </w:rPr>
        <w:t>的扣除，用扣除后的价格参加评审，扣除后的价格为评审价，即评审价=竞标报价×（1-</w:t>
      </w:r>
      <w:r>
        <w:rPr>
          <w:rFonts w:hint="eastAsia" w:ascii="宋体" w:hAnsi="宋体"/>
          <w:bCs/>
          <w:color w:val="auto"/>
          <w:szCs w:val="21"/>
          <w:highlight w:val="none"/>
          <w:u w:val="single"/>
          <w:lang w:val="en-US" w:eastAsia="zh-CN"/>
        </w:rPr>
        <w:t>4</w:t>
      </w:r>
      <w:r>
        <w:rPr>
          <w:rFonts w:hint="eastAsia" w:ascii="宋体" w:hAnsi="宋体"/>
          <w:bCs/>
          <w:color w:val="auto"/>
          <w:szCs w:val="21"/>
          <w:highlight w:val="none"/>
        </w:rPr>
        <w:t>%）。除上述情况外，评审价=竞标报价。</w:t>
      </w:r>
    </w:p>
    <w:p w14:paraId="4DE57E07">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6.3</w:t>
      </w:r>
      <w:r>
        <w:rPr>
          <w:rFonts w:hint="eastAsia" w:ascii="宋体" w:hAnsi="宋体" w:cs="宋体"/>
          <w:color w:val="auto"/>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bCs/>
          <w:color w:val="auto"/>
          <w:szCs w:val="21"/>
          <w:highlight w:val="none"/>
        </w:rPr>
        <w:t>监狱企业属于小型、微型企业的，</w:t>
      </w:r>
      <w:r>
        <w:rPr>
          <w:rFonts w:hint="eastAsia" w:ascii="宋体" w:hAnsi="宋体" w:cs="宋体"/>
          <w:color w:val="auto"/>
          <w:szCs w:val="21"/>
          <w:highlight w:val="none"/>
        </w:rPr>
        <w:t>不重复享受政策。</w:t>
      </w:r>
    </w:p>
    <w:p w14:paraId="1CC434C0">
      <w:pPr>
        <w:spacing w:line="360" w:lineRule="auto"/>
        <w:ind w:firstLine="420" w:firstLineChars="200"/>
        <w:rPr>
          <w:rFonts w:hint="eastAsia" w:ascii="宋体" w:hAnsi="宋体" w:cs="宋体"/>
          <w:color w:val="auto"/>
          <w:highlight w:val="none"/>
        </w:rPr>
      </w:pPr>
      <w:r>
        <w:rPr>
          <w:rFonts w:ascii="宋体" w:hAnsi="宋体" w:cs="宋体"/>
          <w:color w:val="auto"/>
          <w:szCs w:val="21"/>
          <w:highlight w:val="none"/>
        </w:rPr>
        <w:t>6.4</w:t>
      </w:r>
      <w:r>
        <w:rPr>
          <w:rFonts w:hint="eastAsia" w:ascii="宋体" w:hAnsi="宋体" w:cs="宋体"/>
          <w:color w:val="auto"/>
          <w:szCs w:val="21"/>
          <w:highlight w:val="none"/>
        </w:rPr>
        <w:t>按照《关于促进残疾人就业政府采购政策的通知》（财库〔2017〕141号）的规定，残疾人福利性单位视同小型、微型企业，享受预留份额、评审中价格扣除等</w:t>
      </w:r>
      <w:r>
        <w:rPr>
          <w:rFonts w:hint="eastAsia" w:ascii="宋体" w:hAnsi="宋体" w:cs="宋体"/>
          <w:color w:val="auto"/>
          <w:highlight w:val="none"/>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781E977">
      <w:pPr>
        <w:spacing w:line="360" w:lineRule="auto"/>
        <w:ind w:firstLine="420" w:firstLineChars="200"/>
        <w:rPr>
          <w:rFonts w:hint="eastAsia" w:ascii="宋体" w:hAnsi="宋体" w:cs="宋体"/>
          <w:color w:val="auto"/>
          <w:highlight w:val="none"/>
        </w:rPr>
      </w:pPr>
      <w:r>
        <w:rPr>
          <w:rFonts w:ascii="宋体" w:hAnsi="宋体" w:cs="宋体"/>
          <w:color w:val="auto"/>
          <w:highlight w:val="none"/>
        </w:rPr>
        <w:t>6.5</w:t>
      </w:r>
      <w:r>
        <w:rPr>
          <w:rFonts w:hint="eastAsia" w:ascii="宋体" w:hAnsi="宋体" w:cs="宋体"/>
          <w:color w:val="auto"/>
          <w:highlight w:val="none"/>
        </w:rPr>
        <w:t>除上述情况外，评审价＝最后报价。</w:t>
      </w:r>
    </w:p>
    <w:p w14:paraId="01F46E0C">
      <w:pPr>
        <w:spacing w:line="360" w:lineRule="auto"/>
        <w:ind w:firstLine="420" w:firstLineChars="200"/>
        <w:rPr>
          <w:rFonts w:hint="eastAsia" w:ascii="宋体" w:hAnsi="宋体" w:cs="宋体"/>
          <w:color w:val="auto"/>
          <w:highlight w:val="none"/>
        </w:rPr>
      </w:pPr>
    </w:p>
    <w:p w14:paraId="5F4BA35E">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二、评定成交的标准</w:t>
      </w:r>
    </w:p>
    <w:p w14:paraId="1A46C73B">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7.</w:t>
      </w:r>
      <w:r>
        <w:rPr>
          <w:rFonts w:hint="eastAsia" w:ascii="黑体" w:hAnsi="黑体" w:eastAsia="黑体" w:cs="宋体"/>
          <w:b/>
          <w:bCs/>
          <w:color w:val="auto"/>
          <w:sz w:val="24"/>
          <w:highlight w:val="none"/>
        </w:rPr>
        <w:t xml:space="preserve"> 成交候选人推荐</w:t>
      </w:r>
    </w:p>
    <w:p w14:paraId="5DB779FE">
      <w:pPr>
        <w:spacing w:line="360" w:lineRule="auto"/>
        <w:ind w:firstLine="420" w:firstLineChars="200"/>
        <w:contextualSpacing/>
        <w:rPr>
          <w:rFonts w:hAnsi="宋体"/>
          <w:color w:val="auto"/>
          <w:highlight w:val="none"/>
        </w:rPr>
      </w:pPr>
      <w:r>
        <w:rPr>
          <w:rFonts w:hint="eastAsia" w:ascii="宋体" w:hAnsi="宋体" w:cs="宋体"/>
          <w:color w:val="auto"/>
          <w:highlight w:val="none"/>
        </w:rPr>
        <w:t>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w:t>
      </w:r>
      <w:r>
        <w:rPr>
          <w:rFonts w:ascii="宋体" w:hAnsi="宋体" w:cs="宋体"/>
          <w:color w:val="auto"/>
          <w:highlight w:val="none"/>
        </w:rPr>
        <w:t>6</w:t>
      </w:r>
      <w:r>
        <w:rPr>
          <w:rFonts w:hint="eastAsia" w:ascii="宋体" w:hAnsi="宋体" w:cs="宋体"/>
          <w:color w:val="auto"/>
          <w:highlight w:val="none"/>
        </w:rPr>
        <w:t>条规定的顺序推荐），并编写评审报告，评审报告</w:t>
      </w:r>
      <w:r>
        <w:rPr>
          <w:rFonts w:hint="eastAsia" w:hAnsi="宋体"/>
          <w:color w:val="auto"/>
          <w:highlight w:val="none"/>
        </w:rPr>
        <w:t>通过电子交易平台向采购人、采购代理机构提交。</w:t>
      </w:r>
    </w:p>
    <w:p w14:paraId="42FBA273">
      <w:pPr>
        <w:spacing w:line="360" w:lineRule="auto"/>
        <w:ind w:firstLine="420" w:firstLineChars="200"/>
        <w:rPr>
          <w:rFonts w:hint="eastAsia" w:ascii="宋体" w:hAnsi="宋体" w:cs="宋体"/>
          <w:color w:val="auto"/>
          <w:highlight w:val="none"/>
        </w:rPr>
      </w:pPr>
    </w:p>
    <w:p w14:paraId="6D1F8769">
      <w:pPr>
        <w:pStyle w:val="3"/>
        <w:jc w:val="center"/>
        <w:rPr>
          <w:rFonts w:hint="eastAsia"/>
          <w:color w:val="auto"/>
          <w:highlight w:val="none"/>
        </w:rPr>
      </w:pPr>
      <w:r>
        <w:rPr>
          <w:color w:val="auto"/>
          <w:highlight w:val="none"/>
        </w:rPr>
        <w:br w:type="page"/>
      </w:r>
    </w:p>
    <w:p w14:paraId="587A8240">
      <w:pPr>
        <w:rPr>
          <w:rFonts w:hint="eastAsia"/>
          <w:color w:val="auto"/>
          <w:highlight w:val="none"/>
        </w:rPr>
      </w:pPr>
    </w:p>
    <w:p w14:paraId="14745233">
      <w:pPr>
        <w:rPr>
          <w:rFonts w:hint="eastAsia"/>
          <w:color w:val="auto"/>
          <w:highlight w:val="none"/>
        </w:rPr>
      </w:pPr>
    </w:p>
    <w:p w14:paraId="3B58BFE7">
      <w:pPr>
        <w:rPr>
          <w:rFonts w:hint="eastAsia"/>
          <w:color w:val="auto"/>
          <w:highlight w:val="none"/>
        </w:rPr>
      </w:pPr>
    </w:p>
    <w:p w14:paraId="73D91ECE">
      <w:pPr>
        <w:rPr>
          <w:rFonts w:hint="eastAsia"/>
          <w:color w:val="auto"/>
          <w:highlight w:val="none"/>
        </w:rPr>
      </w:pPr>
    </w:p>
    <w:p w14:paraId="1A4CCBB8">
      <w:pPr>
        <w:rPr>
          <w:rFonts w:hint="eastAsia"/>
          <w:color w:val="auto"/>
          <w:highlight w:val="none"/>
        </w:rPr>
      </w:pPr>
    </w:p>
    <w:p w14:paraId="2AD2F580">
      <w:pPr>
        <w:rPr>
          <w:rFonts w:hint="eastAsia"/>
          <w:color w:val="auto"/>
          <w:highlight w:val="none"/>
        </w:rPr>
      </w:pPr>
    </w:p>
    <w:p w14:paraId="6518C2A9">
      <w:pPr>
        <w:rPr>
          <w:rFonts w:hint="eastAsia"/>
          <w:color w:val="auto"/>
          <w:highlight w:val="none"/>
        </w:rPr>
      </w:pPr>
    </w:p>
    <w:p w14:paraId="3B04F6B8">
      <w:pPr>
        <w:rPr>
          <w:rFonts w:hint="eastAsia"/>
          <w:color w:val="auto"/>
          <w:highlight w:val="none"/>
        </w:rPr>
      </w:pPr>
    </w:p>
    <w:p w14:paraId="2268807D">
      <w:pPr>
        <w:rPr>
          <w:rFonts w:hint="eastAsia"/>
          <w:color w:val="auto"/>
          <w:highlight w:val="none"/>
        </w:rPr>
      </w:pPr>
    </w:p>
    <w:p w14:paraId="5165A3EE">
      <w:pPr>
        <w:rPr>
          <w:rFonts w:hint="eastAsia"/>
          <w:color w:val="auto"/>
          <w:highlight w:val="none"/>
        </w:rPr>
      </w:pPr>
    </w:p>
    <w:p w14:paraId="330082AC">
      <w:pPr>
        <w:rPr>
          <w:rFonts w:hint="eastAsia"/>
          <w:color w:val="auto"/>
          <w:highlight w:val="none"/>
        </w:rPr>
      </w:pPr>
    </w:p>
    <w:p w14:paraId="0E672C3E">
      <w:pPr>
        <w:rPr>
          <w:rFonts w:hint="eastAsia"/>
          <w:color w:val="auto"/>
          <w:highlight w:val="none"/>
        </w:rPr>
      </w:pPr>
    </w:p>
    <w:p w14:paraId="04D192EF">
      <w:pPr>
        <w:rPr>
          <w:rFonts w:hint="eastAsia"/>
          <w:color w:val="auto"/>
          <w:highlight w:val="none"/>
        </w:rPr>
      </w:pPr>
    </w:p>
    <w:p w14:paraId="29861E1F">
      <w:pPr>
        <w:pStyle w:val="3"/>
        <w:jc w:val="center"/>
        <w:rPr>
          <w:rFonts w:hint="eastAsia"/>
          <w:color w:val="auto"/>
          <w:highlight w:val="none"/>
        </w:rPr>
      </w:pPr>
      <w:bookmarkStart w:id="82" w:name="_Toc74322012"/>
      <w:r>
        <w:rPr>
          <w:rFonts w:hint="eastAsia"/>
          <w:color w:val="auto"/>
          <w:highlight w:val="none"/>
        </w:rPr>
        <w:t>第五章 响应文件格式</w:t>
      </w:r>
      <w:bookmarkEnd w:id="82"/>
    </w:p>
    <w:p w14:paraId="435CDED6">
      <w:pPr>
        <w:spacing w:line="240" w:lineRule="atLeast"/>
        <w:rPr>
          <w:rFonts w:hint="eastAsia" w:ascii="宋体" w:hAnsi="宋体"/>
          <w:b/>
          <w:color w:val="auto"/>
          <w:sz w:val="32"/>
          <w:szCs w:val="32"/>
          <w:highlight w:val="none"/>
        </w:rPr>
      </w:pPr>
    </w:p>
    <w:p w14:paraId="7E79C2D3">
      <w:pPr>
        <w:spacing w:line="240" w:lineRule="atLeast"/>
        <w:rPr>
          <w:rFonts w:hint="eastAsia" w:ascii="宋体" w:hAnsi="宋体"/>
          <w:b/>
          <w:color w:val="auto"/>
          <w:sz w:val="32"/>
          <w:szCs w:val="32"/>
          <w:highlight w:val="none"/>
        </w:rPr>
      </w:pPr>
    </w:p>
    <w:p w14:paraId="5A9DCF0D">
      <w:pPr>
        <w:spacing w:line="240" w:lineRule="atLeast"/>
        <w:rPr>
          <w:rFonts w:hint="eastAsia" w:ascii="宋体" w:hAnsi="宋体"/>
          <w:b/>
          <w:color w:val="auto"/>
          <w:sz w:val="32"/>
          <w:szCs w:val="32"/>
          <w:highlight w:val="none"/>
        </w:rPr>
      </w:pPr>
    </w:p>
    <w:p w14:paraId="5E9EFA95">
      <w:pPr>
        <w:spacing w:line="240" w:lineRule="atLeast"/>
        <w:rPr>
          <w:rFonts w:hint="eastAsia" w:ascii="宋体" w:hAnsi="宋体"/>
          <w:b/>
          <w:color w:val="auto"/>
          <w:sz w:val="32"/>
          <w:szCs w:val="32"/>
          <w:highlight w:val="none"/>
        </w:rPr>
      </w:pPr>
    </w:p>
    <w:p w14:paraId="49B3D82A">
      <w:pPr>
        <w:spacing w:line="240" w:lineRule="atLeast"/>
        <w:rPr>
          <w:rFonts w:hint="eastAsia" w:ascii="宋体" w:hAnsi="宋体"/>
          <w:b/>
          <w:color w:val="auto"/>
          <w:sz w:val="32"/>
          <w:szCs w:val="32"/>
          <w:highlight w:val="none"/>
        </w:rPr>
      </w:pPr>
    </w:p>
    <w:p w14:paraId="482B9D02">
      <w:pPr>
        <w:spacing w:line="240" w:lineRule="atLeast"/>
        <w:rPr>
          <w:rFonts w:hint="eastAsia" w:ascii="宋体" w:hAnsi="宋体"/>
          <w:b/>
          <w:color w:val="auto"/>
          <w:sz w:val="32"/>
          <w:szCs w:val="32"/>
          <w:highlight w:val="none"/>
        </w:rPr>
      </w:pPr>
    </w:p>
    <w:p w14:paraId="31D75DE6">
      <w:pPr>
        <w:spacing w:line="240" w:lineRule="atLeast"/>
        <w:rPr>
          <w:rFonts w:hint="eastAsia" w:ascii="宋体" w:hAnsi="宋体"/>
          <w:b/>
          <w:color w:val="auto"/>
          <w:sz w:val="32"/>
          <w:szCs w:val="32"/>
          <w:highlight w:val="none"/>
        </w:rPr>
      </w:pPr>
    </w:p>
    <w:p w14:paraId="7A32CD95">
      <w:pPr>
        <w:spacing w:line="240" w:lineRule="atLeast"/>
        <w:rPr>
          <w:rFonts w:hint="eastAsia" w:ascii="宋体" w:hAnsi="宋体"/>
          <w:b/>
          <w:color w:val="auto"/>
          <w:sz w:val="32"/>
          <w:szCs w:val="32"/>
          <w:highlight w:val="none"/>
        </w:rPr>
      </w:pPr>
    </w:p>
    <w:p w14:paraId="4774B67D">
      <w:pPr>
        <w:spacing w:line="240" w:lineRule="atLeast"/>
        <w:rPr>
          <w:rFonts w:hint="eastAsia" w:ascii="宋体" w:hAnsi="宋体"/>
          <w:b/>
          <w:color w:val="auto"/>
          <w:sz w:val="32"/>
          <w:szCs w:val="32"/>
          <w:highlight w:val="none"/>
        </w:rPr>
      </w:pPr>
    </w:p>
    <w:p w14:paraId="7B4D507E">
      <w:pPr>
        <w:spacing w:line="240" w:lineRule="atLeast"/>
        <w:rPr>
          <w:rFonts w:hint="eastAsia" w:ascii="宋体" w:hAnsi="宋体"/>
          <w:b/>
          <w:color w:val="auto"/>
          <w:sz w:val="32"/>
          <w:szCs w:val="32"/>
          <w:highlight w:val="none"/>
        </w:rPr>
      </w:pPr>
    </w:p>
    <w:p w14:paraId="1A7ADA12">
      <w:pPr>
        <w:spacing w:line="240" w:lineRule="atLeast"/>
        <w:rPr>
          <w:rFonts w:hint="eastAsia" w:ascii="宋体" w:hAnsi="宋体"/>
          <w:b/>
          <w:color w:val="auto"/>
          <w:sz w:val="32"/>
          <w:szCs w:val="32"/>
          <w:highlight w:val="none"/>
        </w:rPr>
      </w:pPr>
    </w:p>
    <w:p w14:paraId="57670592">
      <w:pPr>
        <w:rPr>
          <w:rFonts w:hint="eastAsia"/>
          <w:b/>
          <w:color w:val="auto"/>
          <w:sz w:val="32"/>
          <w:szCs w:val="32"/>
          <w:highlight w:val="none"/>
        </w:rPr>
      </w:pPr>
      <w:bookmarkStart w:id="83" w:name="_Toc71365382"/>
      <w:bookmarkStart w:id="84" w:name="_Toc71366060"/>
      <w:r>
        <w:rPr>
          <w:rFonts w:hint="eastAsia"/>
          <w:b/>
          <w:color w:val="auto"/>
          <w:sz w:val="32"/>
          <w:szCs w:val="32"/>
          <w:highlight w:val="none"/>
        </w:rPr>
        <w:br w:type="page"/>
      </w:r>
      <w:r>
        <w:rPr>
          <w:rFonts w:hint="eastAsia"/>
          <w:b/>
          <w:color w:val="auto"/>
          <w:sz w:val="32"/>
          <w:szCs w:val="32"/>
          <w:highlight w:val="none"/>
        </w:rPr>
        <w:t>一、资格证明文件格式</w:t>
      </w:r>
      <w:bookmarkEnd w:id="83"/>
      <w:bookmarkEnd w:id="84"/>
    </w:p>
    <w:p w14:paraId="353B581C">
      <w:pPr>
        <w:snapToGrid w:val="0"/>
        <w:spacing w:before="156" w:beforeLines="50" w:after="50" w:line="360" w:lineRule="auto"/>
        <w:jc w:val="left"/>
        <w:rPr>
          <w:rFonts w:hint="eastAsia"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14:paraId="461F5E74">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22D0CA31">
      <w:pPr>
        <w:snapToGrid w:val="0"/>
        <w:spacing w:before="156" w:beforeLines="50" w:after="50"/>
        <w:jc w:val="center"/>
        <w:rPr>
          <w:rFonts w:ascii="宋体" w:hAnsi="宋体"/>
          <w:color w:val="auto"/>
          <w:sz w:val="44"/>
          <w:szCs w:val="44"/>
          <w:highlight w:val="none"/>
        </w:rPr>
      </w:pPr>
      <w:r>
        <w:rPr>
          <w:rFonts w:hint="eastAsia" w:ascii="宋体" w:hAnsi="宋体"/>
          <w:color w:val="auto"/>
          <w:sz w:val="44"/>
          <w:szCs w:val="44"/>
          <w:highlight w:val="none"/>
        </w:rPr>
        <w:t>电 子 响 应 文 件</w:t>
      </w:r>
    </w:p>
    <w:p w14:paraId="4AAF728E">
      <w:pPr>
        <w:snapToGrid w:val="0"/>
        <w:spacing w:before="156" w:beforeLines="50" w:after="50"/>
        <w:rPr>
          <w:rFonts w:hint="eastAsia" w:ascii="宋体" w:hAnsi="宋体"/>
          <w:color w:val="auto"/>
          <w:sz w:val="24"/>
          <w:szCs w:val="20"/>
          <w:highlight w:val="none"/>
        </w:rPr>
      </w:pPr>
    </w:p>
    <w:p w14:paraId="5AB133E6">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1A7EACD2">
      <w:pPr>
        <w:snapToGrid w:val="0"/>
        <w:spacing w:before="156" w:beforeLines="50" w:after="50"/>
        <w:rPr>
          <w:rFonts w:hint="eastAsia" w:ascii="宋体" w:hAnsi="宋体"/>
          <w:bCs/>
          <w:color w:val="auto"/>
          <w:sz w:val="24"/>
          <w:szCs w:val="20"/>
          <w:highlight w:val="none"/>
        </w:rPr>
      </w:pPr>
    </w:p>
    <w:p w14:paraId="784C84C5">
      <w:pPr>
        <w:snapToGrid w:val="0"/>
        <w:spacing w:before="156" w:beforeLines="50" w:after="50"/>
        <w:rPr>
          <w:rFonts w:hint="eastAsia" w:ascii="宋体" w:hAnsi="宋体"/>
          <w:bCs/>
          <w:color w:val="auto"/>
          <w:sz w:val="24"/>
          <w:szCs w:val="20"/>
          <w:highlight w:val="none"/>
        </w:rPr>
      </w:pPr>
    </w:p>
    <w:p w14:paraId="37DF9438">
      <w:pPr>
        <w:snapToGrid w:val="0"/>
        <w:spacing w:before="156" w:beforeLines="50" w:after="50"/>
        <w:rPr>
          <w:rFonts w:hint="eastAsia" w:ascii="宋体" w:hAnsi="宋体"/>
          <w:bCs/>
          <w:color w:val="auto"/>
          <w:sz w:val="24"/>
          <w:szCs w:val="20"/>
          <w:highlight w:val="none"/>
        </w:rPr>
      </w:pPr>
    </w:p>
    <w:p w14:paraId="10A1266D">
      <w:pPr>
        <w:snapToGrid w:val="0"/>
        <w:spacing w:before="156" w:beforeLines="50" w:after="50"/>
        <w:rPr>
          <w:rFonts w:hint="eastAsia" w:ascii="宋体" w:hAnsi="宋体"/>
          <w:bCs/>
          <w:color w:val="auto"/>
          <w:sz w:val="24"/>
          <w:szCs w:val="20"/>
          <w:highlight w:val="none"/>
        </w:rPr>
      </w:pPr>
    </w:p>
    <w:p w14:paraId="53888030">
      <w:pPr>
        <w:snapToGrid w:val="0"/>
        <w:spacing w:before="156" w:beforeLines="50" w:after="50"/>
        <w:rPr>
          <w:rFonts w:hint="eastAsia" w:ascii="宋体" w:hAnsi="宋体"/>
          <w:bCs/>
          <w:color w:val="auto"/>
          <w:sz w:val="24"/>
          <w:szCs w:val="20"/>
          <w:highlight w:val="none"/>
        </w:rPr>
      </w:pPr>
    </w:p>
    <w:p w14:paraId="655241C9">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6CE59528">
      <w:pPr>
        <w:snapToGrid w:val="0"/>
        <w:spacing w:before="156" w:beforeLines="50" w:after="50"/>
        <w:ind w:firstLine="720" w:firstLineChars="225"/>
        <w:rPr>
          <w:rFonts w:hint="eastAsia" w:ascii="宋体" w:hAnsi="宋体" w:cs="仿宋_GB2312"/>
          <w:bCs/>
          <w:color w:val="auto"/>
          <w:sz w:val="32"/>
          <w:szCs w:val="32"/>
          <w:highlight w:val="none"/>
        </w:rPr>
      </w:pPr>
    </w:p>
    <w:p w14:paraId="0C23B08B">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11D46D38">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644BF9DF">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564D829E">
      <w:pPr>
        <w:snapToGrid w:val="0"/>
        <w:spacing w:before="156" w:beforeLines="50" w:after="50"/>
        <w:ind w:firstLine="720" w:firstLineChars="225"/>
        <w:rPr>
          <w:rFonts w:hint="eastAsia" w:ascii="宋体" w:hAnsi="宋体" w:cs="仿宋_GB2312"/>
          <w:bCs/>
          <w:color w:val="auto"/>
          <w:sz w:val="32"/>
          <w:szCs w:val="32"/>
          <w:highlight w:val="none"/>
        </w:rPr>
      </w:pPr>
    </w:p>
    <w:p w14:paraId="3FA459D3">
      <w:pPr>
        <w:pStyle w:val="6"/>
        <w:snapToGrid w:val="0"/>
        <w:spacing w:before="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13508864">
      <w:pPr>
        <w:snapToGrid w:val="0"/>
        <w:spacing w:before="156" w:beforeLines="50" w:after="50"/>
        <w:ind w:firstLine="640" w:firstLineChars="200"/>
        <w:rPr>
          <w:rFonts w:hint="eastAsia" w:ascii="宋体" w:hAnsi="宋体" w:cs="仿宋_GB2312"/>
          <w:bCs/>
          <w:color w:val="auto"/>
          <w:sz w:val="32"/>
          <w:szCs w:val="32"/>
          <w:highlight w:val="none"/>
        </w:rPr>
      </w:pPr>
    </w:p>
    <w:p w14:paraId="2169F976">
      <w:pPr>
        <w:pStyle w:val="6"/>
        <w:snapToGrid w:val="0"/>
        <w:spacing w:before="50" w:after="50"/>
        <w:ind w:firstLine="720" w:firstLineChars="225"/>
        <w:rPr>
          <w:rFonts w:hint="eastAsia" w:ascii="宋体" w:hAnsi="宋体" w:cs="仿宋_GB2312"/>
          <w:bCs/>
          <w:color w:val="auto"/>
          <w:sz w:val="32"/>
          <w:szCs w:val="32"/>
          <w:highlight w:val="none"/>
        </w:rPr>
      </w:pPr>
    </w:p>
    <w:p w14:paraId="7C9FAB1B">
      <w:pPr>
        <w:pStyle w:val="6"/>
        <w:snapToGrid w:val="0"/>
        <w:spacing w:before="50" w:after="50"/>
        <w:ind w:firstLine="720" w:firstLineChars="225"/>
        <w:rPr>
          <w:rFonts w:hint="eastAsia" w:ascii="宋体" w:hAnsi="宋体" w:cs="仿宋_GB2312"/>
          <w:bCs/>
          <w:color w:val="auto"/>
          <w:sz w:val="32"/>
          <w:szCs w:val="32"/>
          <w:highlight w:val="none"/>
        </w:rPr>
      </w:pPr>
    </w:p>
    <w:p w14:paraId="31D0ABD1">
      <w:pPr>
        <w:pStyle w:val="6"/>
        <w:snapToGrid w:val="0"/>
        <w:spacing w:before="50" w:after="50"/>
        <w:ind w:firstLine="1280" w:firstLineChars="400"/>
        <w:rPr>
          <w:rFonts w:hint="eastAsia" w:ascii="宋体" w:hAnsi="宋体" w:cs="仿宋_GB2312"/>
          <w:bCs/>
          <w:color w:val="auto"/>
          <w:sz w:val="32"/>
          <w:szCs w:val="32"/>
          <w:highlight w:val="none"/>
        </w:rPr>
      </w:pPr>
    </w:p>
    <w:p w14:paraId="398B0698">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726EEB0A">
      <w:pPr>
        <w:snapToGrid w:val="0"/>
        <w:spacing w:before="156" w:beforeLines="50" w:after="50" w:line="360" w:lineRule="auto"/>
        <w:ind w:left="142"/>
        <w:jc w:val="left"/>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2CE026CC">
      <w:pPr>
        <w:snapToGrid w:val="0"/>
        <w:spacing w:before="156" w:beforeLines="50" w:after="5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14:paraId="0AFC4936">
      <w:pPr>
        <w:snapToGrid w:val="0"/>
        <w:spacing w:before="156" w:beforeLines="50" w:after="50" w:line="360" w:lineRule="auto"/>
        <w:rPr>
          <w:rFonts w:ascii="宋体" w:hAnsi="宋体"/>
          <w:color w:val="auto"/>
          <w:sz w:val="24"/>
          <w:szCs w:val="20"/>
          <w:highlight w:val="none"/>
        </w:rPr>
      </w:pPr>
      <w:r>
        <w:rPr>
          <w:rFonts w:ascii="宋体" w:hAnsi="宋体"/>
          <w:color w:val="auto"/>
          <w:sz w:val="24"/>
          <w:szCs w:val="20"/>
          <w:highlight w:val="none"/>
        </w:rPr>
        <w:t xml:space="preserve"> </w:t>
      </w:r>
    </w:p>
    <w:p w14:paraId="6DD28DBF">
      <w:pPr>
        <w:spacing w:line="360" w:lineRule="auto"/>
        <w:rPr>
          <w:rFonts w:hint="eastAsia" w:ascii="宋体" w:hAnsi="宋体"/>
          <w:color w:val="auto"/>
          <w:szCs w:val="21"/>
          <w:highlight w:val="none"/>
        </w:rPr>
      </w:pPr>
    </w:p>
    <w:p w14:paraId="6B1630A9">
      <w:pPr>
        <w:spacing w:line="360" w:lineRule="auto"/>
        <w:rPr>
          <w:rFonts w:hint="eastAsia" w:ascii="宋体" w:hAnsi="宋体"/>
          <w:color w:val="auto"/>
          <w:szCs w:val="21"/>
          <w:highlight w:val="none"/>
        </w:rPr>
      </w:pPr>
    </w:p>
    <w:p w14:paraId="7468C8C3">
      <w:pPr>
        <w:spacing w:line="360" w:lineRule="auto"/>
        <w:rPr>
          <w:rFonts w:hint="eastAsia" w:ascii="宋体" w:hAnsi="宋体"/>
          <w:color w:val="auto"/>
          <w:szCs w:val="21"/>
          <w:highlight w:val="none"/>
        </w:rPr>
      </w:pPr>
    </w:p>
    <w:p w14:paraId="516CBB5F">
      <w:pPr>
        <w:spacing w:line="360" w:lineRule="auto"/>
        <w:rPr>
          <w:rFonts w:hint="eastAsia" w:ascii="宋体" w:hAnsi="宋体"/>
          <w:color w:val="auto"/>
          <w:szCs w:val="21"/>
          <w:highlight w:val="none"/>
        </w:rPr>
      </w:pPr>
    </w:p>
    <w:p w14:paraId="257FA396">
      <w:pPr>
        <w:spacing w:line="300" w:lineRule="auto"/>
        <w:rPr>
          <w:rFonts w:hint="eastAsia" w:ascii="宋体" w:hAnsi="宋体"/>
          <w:color w:val="auto"/>
          <w:szCs w:val="21"/>
          <w:highlight w:val="none"/>
        </w:rPr>
      </w:pPr>
    </w:p>
    <w:p w14:paraId="6F995928">
      <w:pPr>
        <w:spacing w:line="300" w:lineRule="auto"/>
        <w:rPr>
          <w:rFonts w:hint="eastAsia" w:ascii="宋体" w:hAnsi="宋体"/>
          <w:color w:val="auto"/>
          <w:szCs w:val="21"/>
          <w:highlight w:val="none"/>
        </w:rPr>
      </w:pPr>
    </w:p>
    <w:p w14:paraId="5D67DB1F">
      <w:pPr>
        <w:spacing w:line="300" w:lineRule="auto"/>
        <w:rPr>
          <w:rFonts w:hint="eastAsia" w:ascii="宋体" w:hAnsi="宋体"/>
          <w:color w:val="auto"/>
          <w:szCs w:val="21"/>
          <w:highlight w:val="none"/>
        </w:rPr>
      </w:pPr>
    </w:p>
    <w:p w14:paraId="4492494D">
      <w:pPr>
        <w:spacing w:line="300" w:lineRule="auto"/>
        <w:rPr>
          <w:rFonts w:hint="eastAsia" w:ascii="宋体" w:hAnsi="宋体"/>
          <w:color w:val="auto"/>
          <w:szCs w:val="21"/>
          <w:highlight w:val="none"/>
        </w:rPr>
      </w:pPr>
    </w:p>
    <w:p w14:paraId="7D415E8D">
      <w:pPr>
        <w:spacing w:line="300" w:lineRule="auto"/>
        <w:rPr>
          <w:rFonts w:hint="eastAsia" w:ascii="宋体" w:hAnsi="宋体"/>
          <w:color w:val="auto"/>
          <w:szCs w:val="21"/>
          <w:highlight w:val="none"/>
        </w:rPr>
      </w:pPr>
    </w:p>
    <w:p w14:paraId="4CAA118F">
      <w:pPr>
        <w:spacing w:line="300" w:lineRule="auto"/>
        <w:rPr>
          <w:rFonts w:hint="eastAsia" w:ascii="宋体" w:hAnsi="宋体"/>
          <w:color w:val="auto"/>
          <w:szCs w:val="21"/>
          <w:highlight w:val="none"/>
        </w:rPr>
      </w:pPr>
    </w:p>
    <w:p w14:paraId="72E2502F">
      <w:pPr>
        <w:spacing w:line="300" w:lineRule="auto"/>
        <w:rPr>
          <w:rFonts w:hint="eastAsia" w:ascii="宋体" w:hAnsi="宋体"/>
          <w:color w:val="auto"/>
          <w:szCs w:val="21"/>
          <w:highlight w:val="none"/>
        </w:rPr>
      </w:pPr>
    </w:p>
    <w:p w14:paraId="5A598550">
      <w:pPr>
        <w:spacing w:line="300" w:lineRule="auto"/>
        <w:rPr>
          <w:rFonts w:hint="eastAsia" w:ascii="宋体" w:hAnsi="宋体"/>
          <w:color w:val="auto"/>
          <w:szCs w:val="21"/>
          <w:highlight w:val="none"/>
        </w:rPr>
      </w:pPr>
    </w:p>
    <w:p w14:paraId="15EE185A">
      <w:pPr>
        <w:spacing w:line="300" w:lineRule="auto"/>
        <w:rPr>
          <w:rFonts w:hint="eastAsia" w:ascii="宋体" w:hAnsi="宋体"/>
          <w:color w:val="auto"/>
          <w:szCs w:val="21"/>
          <w:highlight w:val="none"/>
        </w:rPr>
      </w:pPr>
    </w:p>
    <w:p w14:paraId="25741475">
      <w:pPr>
        <w:spacing w:line="300" w:lineRule="auto"/>
        <w:rPr>
          <w:rFonts w:hint="eastAsia" w:ascii="宋体" w:hAnsi="宋体"/>
          <w:color w:val="auto"/>
          <w:szCs w:val="21"/>
          <w:highlight w:val="none"/>
        </w:rPr>
      </w:pPr>
    </w:p>
    <w:p w14:paraId="35910299">
      <w:pPr>
        <w:spacing w:line="300" w:lineRule="auto"/>
        <w:rPr>
          <w:rFonts w:hint="eastAsia" w:ascii="宋体" w:hAnsi="宋体"/>
          <w:color w:val="auto"/>
          <w:szCs w:val="21"/>
          <w:highlight w:val="none"/>
        </w:rPr>
      </w:pPr>
    </w:p>
    <w:p w14:paraId="1D5F049E">
      <w:pPr>
        <w:spacing w:line="320" w:lineRule="exact"/>
        <w:jc w:val="left"/>
        <w:rPr>
          <w:rFonts w:hint="eastAsia" w:ascii="宋体" w:hAnsi="宋体"/>
          <w:color w:val="auto"/>
          <w:szCs w:val="21"/>
          <w:highlight w:val="none"/>
        </w:rPr>
      </w:pPr>
    </w:p>
    <w:p w14:paraId="7E15976A">
      <w:pPr>
        <w:snapToGrid w:val="0"/>
        <w:spacing w:before="156" w:beforeLines="50" w:after="50"/>
        <w:jc w:val="center"/>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供应商直接控股、管理关系信息表</w:t>
      </w:r>
    </w:p>
    <w:p w14:paraId="705F16DF">
      <w:pPr>
        <w:snapToGrid w:val="0"/>
        <w:spacing w:before="156" w:beforeLines="50" w:after="50"/>
        <w:jc w:val="center"/>
        <w:rPr>
          <w:rFonts w:hint="eastAsia" w:ascii="宋体" w:hAnsi="宋体"/>
          <w:b/>
          <w:color w:val="auto"/>
          <w:sz w:val="32"/>
          <w:szCs w:val="32"/>
          <w:highlight w:val="none"/>
        </w:rPr>
      </w:pPr>
    </w:p>
    <w:p w14:paraId="1FAF9654">
      <w:pPr>
        <w:snapToGrid w:val="0"/>
        <w:spacing w:before="156" w:beforeLines="50" w:after="50"/>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24F623B7">
      <w:pPr>
        <w:snapToGrid w:val="0"/>
        <w:spacing w:before="50" w:after="156" w:afterLines="50"/>
        <w:jc w:val="center"/>
        <w:rPr>
          <w:rFonts w:hint="eastAsia" w:ascii="宋体" w:hAnsi="宋体"/>
          <w:b/>
          <w:color w:val="auto"/>
          <w:sz w:val="32"/>
          <w:szCs w:val="32"/>
          <w:highlight w:val="none"/>
        </w:rPr>
      </w:pPr>
    </w:p>
    <w:tbl>
      <w:tblPr>
        <w:tblStyle w:val="21"/>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166F4F8B">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72308D1">
            <w:pPr>
              <w:widowControl/>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FF63360">
            <w:pPr>
              <w:widowControl/>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61B8639">
            <w:pPr>
              <w:widowControl/>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出资比例</w:t>
            </w:r>
            <w:r>
              <w:rPr>
                <w:rFonts w:hint="eastAsia" w:ascii="宋体" w:hAnsi="宋体" w:cs="宋体"/>
                <w:b/>
                <w:bCs/>
                <w:color w:val="auto"/>
                <w:kern w:val="0"/>
                <w:sz w:val="24"/>
                <w:highlight w:val="none"/>
              </w:rPr>
              <w:t>(%)</w:t>
            </w:r>
          </w:p>
        </w:tc>
        <w:tc>
          <w:tcPr>
            <w:tcW w:w="4287"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808F82A">
            <w:pPr>
              <w:widowControl/>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9A1D68D">
            <w:pPr>
              <w:widowControl/>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备注</w:t>
            </w:r>
          </w:p>
        </w:tc>
      </w:tr>
      <w:tr w14:paraId="28DBD554">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80DDA19">
            <w:pPr>
              <w:widowControl/>
              <w:spacing w:line="360" w:lineRule="auto"/>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8FFF94">
            <w:pPr>
              <w:widowControl/>
              <w:spacing w:line="360" w:lineRule="auto"/>
              <w:jc w:val="center"/>
              <w:rPr>
                <w:rFonts w:hint="eastAsia"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A19F915">
            <w:pPr>
              <w:widowControl/>
              <w:spacing w:line="360" w:lineRule="auto"/>
              <w:jc w:val="center"/>
              <w:rPr>
                <w:rFonts w:hint="eastAsia"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77E4F40">
            <w:pPr>
              <w:widowControl/>
              <w:spacing w:line="360" w:lineRule="auto"/>
              <w:jc w:val="center"/>
              <w:rPr>
                <w:rFonts w:hint="eastAsia"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C2FF7FB">
            <w:pPr>
              <w:widowControl/>
              <w:spacing w:line="360" w:lineRule="auto"/>
              <w:jc w:val="center"/>
              <w:rPr>
                <w:rFonts w:hint="eastAsia" w:ascii="宋体" w:hAnsi="宋体" w:cs="宋体"/>
                <w:color w:val="auto"/>
                <w:kern w:val="0"/>
                <w:sz w:val="28"/>
                <w:szCs w:val="28"/>
                <w:highlight w:val="none"/>
              </w:rPr>
            </w:pPr>
          </w:p>
        </w:tc>
      </w:tr>
      <w:tr w14:paraId="61AD528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BFD9361">
            <w:pPr>
              <w:widowControl/>
              <w:spacing w:line="360" w:lineRule="auto"/>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A69E43E">
            <w:pPr>
              <w:widowControl/>
              <w:spacing w:line="360" w:lineRule="auto"/>
              <w:jc w:val="center"/>
              <w:rPr>
                <w:rFonts w:hint="eastAsia"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2390AD8">
            <w:pPr>
              <w:widowControl/>
              <w:spacing w:line="360" w:lineRule="auto"/>
              <w:jc w:val="center"/>
              <w:rPr>
                <w:rFonts w:hint="eastAsia"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AA6C96E">
            <w:pPr>
              <w:widowControl/>
              <w:spacing w:line="360" w:lineRule="auto"/>
              <w:jc w:val="center"/>
              <w:rPr>
                <w:rFonts w:hint="eastAsia"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76539CB">
            <w:pPr>
              <w:widowControl/>
              <w:spacing w:line="360" w:lineRule="auto"/>
              <w:jc w:val="center"/>
              <w:rPr>
                <w:rFonts w:hint="eastAsia" w:ascii="宋体" w:hAnsi="宋体" w:cs="宋体"/>
                <w:color w:val="auto"/>
                <w:kern w:val="0"/>
                <w:sz w:val="28"/>
                <w:szCs w:val="28"/>
                <w:highlight w:val="none"/>
              </w:rPr>
            </w:pPr>
          </w:p>
        </w:tc>
      </w:tr>
      <w:tr w14:paraId="24454216">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095B34C">
            <w:pPr>
              <w:widowControl/>
              <w:spacing w:line="360" w:lineRule="auto"/>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25D00A">
            <w:pPr>
              <w:widowControl/>
              <w:spacing w:line="360" w:lineRule="auto"/>
              <w:jc w:val="center"/>
              <w:rPr>
                <w:rFonts w:hint="eastAsia"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C55CCD">
            <w:pPr>
              <w:widowControl/>
              <w:spacing w:line="360" w:lineRule="auto"/>
              <w:jc w:val="center"/>
              <w:rPr>
                <w:rFonts w:hint="eastAsia"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808157B">
            <w:pPr>
              <w:widowControl/>
              <w:spacing w:line="360" w:lineRule="auto"/>
              <w:jc w:val="center"/>
              <w:rPr>
                <w:rFonts w:hint="eastAsia"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4134BF">
            <w:pPr>
              <w:widowControl/>
              <w:spacing w:line="360" w:lineRule="auto"/>
              <w:jc w:val="center"/>
              <w:rPr>
                <w:rFonts w:hint="eastAsia" w:ascii="宋体" w:hAnsi="宋体" w:cs="宋体"/>
                <w:color w:val="auto"/>
                <w:kern w:val="0"/>
                <w:sz w:val="28"/>
                <w:szCs w:val="28"/>
                <w:highlight w:val="none"/>
              </w:rPr>
            </w:pPr>
          </w:p>
        </w:tc>
      </w:tr>
      <w:tr w14:paraId="56A1FDA4">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ACCD99D">
            <w:pPr>
              <w:widowControl/>
              <w:spacing w:line="360" w:lineRule="auto"/>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C09441">
            <w:pPr>
              <w:widowControl/>
              <w:spacing w:line="360" w:lineRule="auto"/>
              <w:jc w:val="center"/>
              <w:rPr>
                <w:rFonts w:hint="eastAsia"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CE76625">
            <w:pPr>
              <w:widowControl/>
              <w:spacing w:line="360" w:lineRule="auto"/>
              <w:jc w:val="center"/>
              <w:rPr>
                <w:rFonts w:hint="eastAsia"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A93A6CC">
            <w:pPr>
              <w:widowControl/>
              <w:spacing w:line="360" w:lineRule="auto"/>
              <w:jc w:val="center"/>
              <w:rPr>
                <w:rFonts w:hint="eastAsia"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C4C669">
            <w:pPr>
              <w:widowControl/>
              <w:spacing w:line="360" w:lineRule="auto"/>
              <w:jc w:val="center"/>
              <w:rPr>
                <w:rFonts w:hint="eastAsia" w:ascii="宋体" w:hAnsi="宋体" w:cs="宋体"/>
                <w:color w:val="auto"/>
                <w:kern w:val="0"/>
                <w:sz w:val="28"/>
                <w:szCs w:val="28"/>
                <w:highlight w:val="none"/>
              </w:rPr>
            </w:pPr>
          </w:p>
        </w:tc>
      </w:tr>
    </w:tbl>
    <w:p w14:paraId="5480FC98">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注：</w:t>
      </w:r>
    </w:p>
    <w:p w14:paraId="060BFC9E">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3EC8AFB">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06250F88">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1C7CD09D">
      <w:pPr>
        <w:spacing w:line="360" w:lineRule="auto"/>
        <w:ind w:firstLine="420" w:firstLineChars="200"/>
        <w:contextualSpacing/>
        <w:jc w:val="left"/>
        <w:rPr>
          <w:rFonts w:ascii="宋体" w:hAnsi="宋体" w:cs="宋体"/>
          <w:color w:val="auto"/>
          <w:szCs w:val="21"/>
          <w:highlight w:val="none"/>
        </w:rPr>
      </w:pPr>
    </w:p>
    <w:p w14:paraId="32D9CC59">
      <w:pPr>
        <w:spacing w:line="360" w:lineRule="auto"/>
        <w:ind w:firstLine="560" w:firstLineChars="200"/>
        <w:contextualSpacing/>
        <w:jc w:val="left"/>
        <w:rPr>
          <w:rFonts w:hint="eastAsia" w:ascii="宋体" w:hAnsi="宋体" w:cs="宋体"/>
          <w:color w:val="auto"/>
          <w:sz w:val="28"/>
          <w:szCs w:val="28"/>
          <w:highlight w:val="none"/>
        </w:rPr>
      </w:pPr>
    </w:p>
    <w:p w14:paraId="752A6106">
      <w:pPr>
        <w:spacing w:line="360" w:lineRule="auto"/>
        <w:ind w:right="480"/>
        <w:contextualSpacing/>
        <w:jc w:val="center"/>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6BD958B6">
      <w:pPr>
        <w:spacing w:line="360" w:lineRule="auto"/>
        <w:ind w:right="480" w:firstLine="3000" w:firstLineChars="1250"/>
        <w:contextualSpacing/>
        <w:rPr>
          <w:rFonts w:hint="eastAsia" w:ascii="宋体" w:hAnsi="宋体" w:cs="宋体"/>
          <w:color w:val="auto"/>
          <w:sz w:val="24"/>
          <w:highlight w:val="none"/>
          <w:u w:val="single"/>
        </w:rPr>
      </w:pPr>
      <w:r>
        <w:rPr>
          <w:rFonts w:hint="eastAsia" w:ascii="宋体" w:hAnsi="宋体" w:cs="宋体"/>
          <w:color w:val="auto"/>
          <w:sz w:val="24"/>
          <w:highlight w:val="none"/>
        </w:rPr>
        <w:t xml:space="preserve">供应商名称（电子签章）： </w:t>
      </w:r>
      <w:r>
        <w:rPr>
          <w:rFonts w:hint="eastAsia" w:ascii="宋体" w:hAnsi="宋体" w:cs="宋体"/>
          <w:color w:val="auto"/>
          <w:sz w:val="24"/>
          <w:highlight w:val="none"/>
          <w:u w:val="single"/>
        </w:rPr>
        <w:t xml:space="preserve">                              </w:t>
      </w:r>
    </w:p>
    <w:p w14:paraId="0D63AC3D">
      <w:pPr>
        <w:spacing w:line="360" w:lineRule="auto"/>
        <w:ind w:right="480" w:firstLine="5280" w:firstLineChars="2200"/>
        <w:contextualSpacing/>
        <w:rPr>
          <w:rFonts w:hint="eastAsia" w:ascii="宋体" w:hAnsi="宋体" w:cs="宋体"/>
          <w:color w:val="auto"/>
          <w:sz w:val="28"/>
          <w:szCs w:val="28"/>
          <w:highlight w:val="none"/>
        </w:rPr>
      </w:pPr>
      <w:r>
        <w:rPr>
          <w:rFonts w:hint="eastAsia" w:ascii="宋体" w:hAnsi="宋体" w:cs="宋体"/>
          <w:color w:val="auto"/>
          <w:sz w:val="24"/>
          <w:highlight w:val="none"/>
        </w:rPr>
        <w:t>年    月    日</w:t>
      </w:r>
    </w:p>
    <w:p w14:paraId="5B54FC79">
      <w:pPr>
        <w:snapToGrid w:val="0"/>
        <w:jc w:val="center"/>
        <w:rPr>
          <w:rFonts w:hint="eastAsia" w:ascii="宋体" w:hAnsi="宋体"/>
          <w:b/>
          <w:color w:val="auto"/>
          <w:sz w:val="28"/>
          <w:szCs w:val="28"/>
          <w:highlight w:val="none"/>
        </w:rPr>
      </w:pPr>
      <w:r>
        <w:rPr>
          <w:rFonts w:ascii="宋体" w:hAnsi="宋体"/>
          <w:b/>
          <w:color w:val="auto"/>
          <w:sz w:val="28"/>
          <w:szCs w:val="28"/>
          <w:highlight w:val="none"/>
        </w:rPr>
        <w:br w:type="page"/>
      </w:r>
    </w:p>
    <w:p w14:paraId="6962B2C8">
      <w:pPr>
        <w:snapToGrid w:val="0"/>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66BA7E8F">
      <w:pPr>
        <w:snapToGrid w:val="0"/>
        <w:jc w:val="center"/>
        <w:rPr>
          <w:rFonts w:hint="eastAsia" w:ascii="宋体" w:hAnsi="宋体"/>
          <w:b/>
          <w:color w:val="auto"/>
          <w:sz w:val="32"/>
          <w:szCs w:val="32"/>
          <w:highlight w:val="none"/>
        </w:rPr>
      </w:pPr>
    </w:p>
    <w:tbl>
      <w:tblPr>
        <w:tblStyle w:val="2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56F45AAE">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CA893D7">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2216C87">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0E96808">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444E4AF">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备注</w:t>
            </w:r>
          </w:p>
        </w:tc>
      </w:tr>
      <w:tr w14:paraId="0C8E8E2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82690E9">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87A74DE">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B7ECB2">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52612D3">
            <w:pPr>
              <w:widowControl/>
              <w:wordWrap w:val="0"/>
              <w:spacing w:line="200" w:lineRule="atLeast"/>
              <w:jc w:val="center"/>
              <w:rPr>
                <w:rFonts w:ascii="宋体" w:hAnsi="宋体" w:cs="宋体"/>
                <w:color w:val="auto"/>
                <w:kern w:val="0"/>
                <w:sz w:val="28"/>
                <w:szCs w:val="28"/>
                <w:highlight w:val="none"/>
              </w:rPr>
            </w:pPr>
          </w:p>
        </w:tc>
      </w:tr>
      <w:tr w14:paraId="779E0D2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165F01">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53D4D3">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9354477">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CD1E164">
            <w:pPr>
              <w:widowControl/>
              <w:wordWrap w:val="0"/>
              <w:spacing w:line="200" w:lineRule="atLeast"/>
              <w:jc w:val="center"/>
              <w:rPr>
                <w:rFonts w:ascii="宋体" w:hAnsi="宋体" w:cs="宋体"/>
                <w:color w:val="auto"/>
                <w:kern w:val="0"/>
                <w:sz w:val="28"/>
                <w:szCs w:val="28"/>
                <w:highlight w:val="none"/>
              </w:rPr>
            </w:pPr>
          </w:p>
        </w:tc>
      </w:tr>
      <w:tr w14:paraId="274BA63E">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B8E7AA1">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02216CA">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182A5E">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934E030">
            <w:pPr>
              <w:widowControl/>
              <w:wordWrap w:val="0"/>
              <w:spacing w:line="200" w:lineRule="atLeast"/>
              <w:jc w:val="center"/>
              <w:rPr>
                <w:rFonts w:ascii="宋体" w:hAnsi="宋体" w:cs="宋体"/>
                <w:color w:val="auto"/>
                <w:kern w:val="0"/>
                <w:sz w:val="28"/>
                <w:szCs w:val="28"/>
                <w:highlight w:val="none"/>
              </w:rPr>
            </w:pPr>
          </w:p>
        </w:tc>
      </w:tr>
      <w:tr w14:paraId="77B13EB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36CE5D">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9AC31A">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1D9AF9D">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6C029F6">
            <w:pPr>
              <w:widowControl/>
              <w:wordWrap w:val="0"/>
              <w:spacing w:line="200" w:lineRule="atLeast"/>
              <w:jc w:val="center"/>
              <w:rPr>
                <w:rFonts w:ascii="宋体" w:hAnsi="宋体" w:cs="宋体"/>
                <w:color w:val="auto"/>
                <w:kern w:val="0"/>
                <w:sz w:val="28"/>
                <w:szCs w:val="28"/>
                <w:highlight w:val="none"/>
              </w:rPr>
            </w:pPr>
          </w:p>
        </w:tc>
      </w:tr>
    </w:tbl>
    <w:p w14:paraId="2ADEB62A">
      <w:pPr>
        <w:spacing w:line="360" w:lineRule="auto"/>
        <w:contextualSpacing/>
        <w:jc w:val="left"/>
        <w:rPr>
          <w:rFonts w:hint="eastAsia" w:ascii="宋体" w:hAnsi="宋体"/>
          <w:color w:val="auto"/>
          <w:sz w:val="24"/>
          <w:highlight w:val="none"/>
        </w:rPr>
      </w:pPr>
      <w:r>
        <w:rPr>
          <w:rFonts w:hint="eastAsia" w:ascii="宋体" w:hAnsi="宋体"/>
          <w:color w:val="auto"/>
          <w:sz w:val="24"/>
          <w:highlight w:val="none"/>
        </w:rPr>
        <w:t>注：</w:t>
      </w:r>
    </w:p>
    <w:p w14:paraId="6349DD58">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54CA7B9E">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571821E1">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79E412D0">
      <w:pPr>
        <w:spacing w:line="360" w:lineRule="auto"/>
        <w:contextualSpacing/>
        <w:jc w:val="left"/>
        <w:rPr>
          <w:rFonts w:hint="eastAsia" w:ascii="宋体" w:hAnsi="宋体"/>
          <w:color w:val="auto"/>
          <w:sz w:val="28"/>
          <w:szCs w:val="28"/>
          <w:highlight w:val="none"/>
        </w:rPr>
      </w:pPr>
    </w:p>
    <w:p w14:paraId="3A383595">
      <w:pPr>
        <w:spacing w:line="360" w:lineRule="auto"/>
        <w:contextualSpacing/>
        <w:jc w:val="left"/>
        <w:rPr>
          <w:rFonts w:hint="eastAsia" w:ascii="宋体" w:hAnsi="宋体"/>
          <w:color w:val="auto"/>
          <w:sz w:val="28"/>
          <w:szCs w:val="28"/>
          <w:highlight w:val="none"/>
        </w:rPr>
      </w:pPr>
    </w:p>
    <w:p w14:paraId="1D2B144F">
      <w:pPr>
        <w:spacing w:line="360" w:lineRule="auto"/>
        <w:contextualSpacing/>
        <w:jc w:val="left"/>
        <w:rPr>
          <w:rFonts w:hint="eastAsia"/>
          <w:color w:val="auto"/>
          <w:sz w:val="28"/>
          <w:szCs w:val="28"/>
          <w:highlight w:val="none"/>
        </w:rPr>
      </w:pPr>
    </w:p>
    <w:p w14:paraId="3F913C82">
      <w:pPr>
        <w:spacing w:line="360" w:lineRule="auto"/>
        <w:contextualSpacing/>
        <w:jc w:val="left"/>
        <w:rPr>
          <w:rFonts w:hint="eastAsia"/>
          <w:color w:val="auto"/>
          <w:sz w:val="28"/>
          <w:szCs w:val="28"/>
          <w:highlight w:val="none"/>
        </w:rPr>
      </w:pPr>
    </w:p>
    <w:p w14:paraId="02F4DB4C">
      <w:pPr>
        <w:spacing w:line="360" w:lineRule="auto"/>
        <w:contextualSpacing/>
        <w:jc w:val="left"/>
        <w:rPr>
          <w:rFonts w:hint="eastAsia"/>
          <w:color w:val="auto"/>
          <w:sz w:val="28"/>
          <w:szCs w:val="28"/>
          <w:highlight w:val="none"/>
        </w:rPr>
      </w:pPr>
    </w:p>
    <w:p w14:paraId="274EE65B">
      <w:pPr>
        <w:spacing w:line="360" w:lineRule="auto"/>
        <w:contextualSpacing/>
        <w:jc w:val="left"/>
        <w:rPr>
          <w:rFonts w:hint="eastAsia" w:ascii="宋体" w:hAnsi="宋体"/>
          <w:color w:val="auto"/>
          <w:sz w:val="28"/>
          <w:szCs w:val="28"/>
          <w:highlight w:val="none"/>
        </w:rPr>
      </w:pPr>
    </w:p>
    <w:p w14:paraId="7FD66CE8">
      <w:pPr>
        <w:spacing w:line="360" w:lineRule="auto"/>
        <w:ind w:right="480"/>
        <w:contextualSpacing/>
        <w:jc w:val="center"/>
        <w:rPr>
          <w:rFonts w:hint="eastAsia"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2775C8CA">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供应商名称（电子签章）：</w:t>
      </w:r>
      <w:r>
        <w:rPr>
          <w:rFonts w:hint="eastAsia" w:ascii="宋体" w:hAnsi="宋体"/>
          <w:color w:val="auto"/>
          <w:sz w:val="24"/>
          <w:highlight w:val="none"/>
          <w:u w:val="single"/>
        </w:rPr>
        <w:t xml:space="preserve">                </w:t>
      </w:r>
    </w:p>
    <w:p w14:paraId="1149CA95">
      <w:pPr>
        <w:spacing w:line="360" w:lineRule="auto"/>
        <w:ind w:right="480" w:firstLine="240" w:firstLineChars="100"/>
        <w:contextualSpacing/>
        <w:jc w:val="center"/>
        <w:rPr>
          <w:rFonts w:hint="eastAsia" w:ascii="宋体" w:hAnsi="宋体"/>
          <w:color w:val="auto"/>
          <w:sz w:val="28"/>
          <w:szCs w:val="28"/>
          <w:highlight w:val="none"/>
        </w:rPr>
      </w:pPr>
      <w:r>
        <w:rPr>
          <w:rFonts w:hint="eastAsia" w:ascii="宋体" w:hAnsi="宋体"/>
          <w:color w:val="auto"/>
          <w:sz w:val="24"/>
          <w:highlight w:val="none"/>
        </w:rPr>
        <w:t xml:space="preserve">                                        年    月    日</w:t>
      </w:r>
    </w:p>
    <w:p w14:paraId="5123CD3C">
      <w:pPr>
        <w:spacing w:line="500" w:lineRule="exact"/>
        <w:jc w:val="center"/>
        <w:rPr>
          <w:rFonts w:hint="eastAsia" w:ascii="方正小标宋简体" w:hAnsi="宋体" w:eastAsia="方正小标宋简体"/>
          <w:b/>
          <w:color w:val="auto"/>
          <w:sz w:val="32"/>
          <w:szCs w:val="32"/>
          <w:highlight w:val="none"/>
        </w:rPr>
      </w:pPr>
      <w:r>
        <w:rPr>
          <w:rFonts w:ascii="宋体" w:hAnsi="宋体"/>
          <w:b/>
          <w:color w:val="auto"/>
          <w:sz w:val="32"/>
          <w:szCs w:val="32"/>
          <w:highlight w:val="none"/>
        </w:rPr>
        <w:br w:type="page"/>
      </w:r>
      <w:r>
        <w:rPr>
          <w:rFonts w:hint="eastAsia" w:ascii="方正小标宋简体" w:hAnsi="宋体" w:eastAsia="方正小标宋简体"/>
          <w:b/>
          <w:color w:val="auto"/>
          <w:sz w:val="32"/>
          <w:szCs w:val="32"/>
          <w:highlight w:val="none"/>
        </w:rPr>
        <w:t>竞标声明</w:t>
      </w:r>
    </w:p>
    <w:p w14:paraId="7F0321B6">
      <w:pPr>
        <w:spacing w:line="320" w:lineRule="exact"/>
        <w:jc w:val="center"/>
        <w:rPr>
          <w:rFonts w:hint="eastAsia" w:ascii="宋体" w:hAnsi="宋体"/>
          <w:color w:val="auto"/>
          <w:sz w:val="24"/>
          <w:szCs w:val="20"/>
          <w:highlight w:val="none"/>
        </w:rPr>
      </w:pPr>
    </w:p>
    <w:p w14:paraId="0629BB4F">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4DAE286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102A71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166A142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3833FF8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0343755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14:paraId="7FACEA2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（1）将按谈判文件的约定履行合同责任和义务；</w:t>
      </w:r>
    </w:p>
    <w:p w14:paraId="487A52B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（2）已详细审查全部谈判文件，包括补遗文件（如有）；</w:t>
      </w:r>
    </w:p>
    <w:p w14:paraId="420B307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（3）同意提供按照贵方可能要求的与谈判有关的一切数据或者资料；</w:t>
      </w:r>
    </w:p>
    <w:p w14:paraId="5F67DB2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（4）响应谈判文件规定的竞标有效期。</w:t>
      </w:r>
    </w:p>
    <w:p w14:paraId="2764411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098DD74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1C31E92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481C56FB">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6DA6CE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342D5A1">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1542D9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6DC7EBC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4C6F8691">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7F1315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598CF9F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EF54755">
      <w:pPr>
        <w:pStyle w:val="12"/>
        <w:spacing w:line="360" w:lineRule="auto"/>
        <w:ind w:firstLine="480" w:firstLineChars="200"/>
        <w:contextualSpacing/>
        <w:rPr>
          <w:rFonts w:hint="eastAsia" w:hAnsi="宋体" w:cs="宋体"/>
          <w:color w:val="auto"/>
          <w:sz w:val="24"/>
          <w:szCs w:val="24"/>
          <w:highlight w:val="none"/>
          <w:u w:val="single"/>
        </w:rPr>
      </w:pPr>
      <w:r>
        <w:rPr>
          <w:rFonts w:hint="eastAsia" w:hAnsi="宋体" w:cs="宋体"/>
          <w:color w:val="auto"/>
          <w:sz w:val="24"/>
          <w:szCs w:val="24"/>
          <w:highlight w:val="none"/>
        </w:rPr>
        <w:t>7.与本谈判有关的一切正式往来信函请寄：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邮政编码：</w:t>
      </w:r>
      <w:r>
        <w:rPr>
          <w:rFonts w:hint="eastAsia" w:hAnsi="宋体" w:cs="宋体"/>
          <w:color w:val="auto"/>
          <w:sz w:val="24"/>
          <w:szCs w:val="24"/>
          <w:highlight w:val="none"/>
          <w:u w:val="single"/>
        </w:rPr>
        <w:t xml:space="preserve">    </w:t>
      </w:r>
    </w:p>
    <w:p w14:paraId="5BBBF888">
      <w:pPr>
        <w:pStyle w:val="12"/>
        <w:spacing w:line="360" w:lineRule="auto"/>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w:t>
      </w:r>
      <w:r>
        <w:rPr>
          <w:rFonts w:hint="eastAsia" w:hAnsi="宋体" w:cs="宋体"/>
          <w:color w:val="auto"/>
          <w:sz w:val="24"/>
          <w:szCs w:val="24"/>
          <w:highlight w:val="none"/>
          <w:lang w:eastAsia="zh-CN"/>
        </w:rPr>
        <w:t>邮箱</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5BC48C2B">
      <w:pPr>
        <w:pStyle w:val="11"/>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账号/行号：</w:t>
      </w:r>
      <w:r>
        <w:rPr>
          <w:rFonts w:hint="eastAsia" w:ascii="宋体" w:hAnsi="宋体" w:cs="宋体"/>
          <w:color w:val="auto"/>
          <w:sz w:val="24"/>
          <w:highlight w:val="none"/>
          <w:u w:val="single"/>
        </w:rPr>
        <w:t xml:space="preserve">           </w:t>
      </w:r>
    </w:p>
    <w:p w14:paraId="72295ED0">
      <w:pPr>
        <w:pStyle w:val="11"/>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41EF1E9B">
      <w:pPr>
        <w:pStyle w:val="11"/>
        <w:tabs>
          <w:tab w:val="left" w:pos="939"/>
        </w:tabs>
        <w:spacing w:line="360" w:lineRule="auto"/>
        <w:ind w:left="141" w:leftChars="67" w:firstLine="360" w:firstLineChars="150"/>
        <w:rPr>
          <w:rFonts w:hint="eastAsia" w:ascii="宋体" w:hAnsi="宋体" w:cs="宋体"/>
          <w:color w:val="auto"/>
          <w:szCs w:val="21"/>
          <w:highlight w:val="none"/>
        </w:rPr>
      </w:pPr>
      <w:r>
        <w:rPr>
          <w:rFonts w:hint="eastAsia" w:ascii="宋体" w:hAnsi="宋体" w:cs="宋体"/>
          <w:color w:val="auto"/>
          <w:sz w:val="24"/>
          <w:highlight w:val="none"/>
        </w:rPr>
        <w:t>特此承诺。</w:t>
      </w:r>
    </w:p>
    <w:p w14:paraId="6E92468B">
      <w:pPr>
        <w:spacing w:line="360" w:lineRule="auto"/>
        <w:contextualSpacing/>
        <w:jc w:val="left"/>
        <w:rPr>
          <w:rFonts w:hint="eastAsia" w:ascii="宋体" w:hAnsi="宋体"/>
          <w:b/>
          <w:color w:val="auto"/>
          <w:sz w:val="24"/>
          <w:highlight w:val="none"/>
        </w:rPr>
      </w:pPr>
      <w:r>
        <w:rPr>
          <w:rFonts w:hint="eastAsia" w:ascii="宋体" w:hAnsi="宋体"/>
          <w:b/>
          <w:color w:val="auto"/>
          <w:sz w:val="24"/>
          <w:highlight w:val="none"/>
        </w:rPr>
        <w:t xml:space="preserve">    注：如为联合体竞标，盖章处须加盖联合体牵头人电子签章并由联合体牵头人法定代表人分别签字或者盖章或者电子签名，否则响应文件按无效处理。</w:t>
      </w:r>
    </w:p>
    <w:p w14:paraId="6E493781">
      <w:pPr>
        <w:spacing w:line="360" w:lineRule="auto"/>
        <w:contextualSpacing/>
        <w:jc w:val="left"/>
        <w:rPr>
          <w:rFonts w:hint="eastAsia" w:ascii="宋体" w:hAnsi="宋体" w:cs="宋体"/>
          <w:color w:val="auto"/>
          <w:szCs w:val="21"/>
          <w:highlight w:val="none"/>
        </w:rPr>
      </w:pPr>
    </w:p>
    <w:p w14:paraId="4D6861F3">
      <w:pPr>
        <w:spacing w:line="360" w:lineRule="auto"/>
        <w:ind w:firstLine="1807" w:firstLineChars="750"/>
        <w:contextualSpacing/>
        <w:rPr>
          <w:rFonts w:hint="eastAsia"/>
          <w:color w:val="auto"/>
          <w:highlight w:val="none"/>
        </w:rPr>
      </w:pPr>
      <w:r>
        <w:rPr>
          <w:rFonts w:hint="eastAsia" w:ascii="宋体" w:hAnsi="宋体" w:eastAsia="宋体" w:cs="Times New Roman"/>
          <w:b/>
          <w:bCs/>
          <w:color w:val="auto"/>
          <w:sz w:val="24"/>
          <w:highlight w:val="none"/>
        </w:rPr>
        <w:t>法定代表人</w:t>
      </w:r>
      <w:r>
        <w:rPr>
          <w:rFonts w:hint="eastAsia" w:ascii="宋体" w:hAnsi="宋体" w:eastAsia="宋体" w:cs="Times New Roman"/>
          <w:color w:val="auto"/>
          <w:sz w:val="24"/>
          <w:highlight w:val="none"/>
        </w:rPr>
        <w:t>（签字或者盖章或者</w:t>
      </w:r>
      <w:r>
        <w:rPr>
          <w:rFonts w:hint="eastAsia" w:ascii="宋体" w:hAnsi="宋体"/>
          <w:color w:val="auto"/>
          <w:sz w:val="24"/>
          <w:highlight w:val="none"/>
        </w:rPr>
        <w:t>电子签名</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w:t>
      </w:r>
    </w:p>
    <w:p w14:paraId="2E9B09C4">
      <w:pPr>
        <w:spacing w:line="360" w:lineRule="auto"/>
        <w:ind w:firstLine="3780" w:firstLineChars="1800"/>
        <w:contextualSpacing/>
        <w:rPr>
          <w:rFonts w:hint="eastAsia" w:ascii="宋体" w:hAnsi="宋体" w:cs="宋体"/>
          <w:color w:val="auto"/>
          <w:szCs w:val="21"/>
          <w:highlight w:val="none"/>
          <w:u w:val="single"/>
        </w:rPr>
      </w:pPr>
      <w:r>
        <w:rPr>
          <w:rFonts w:hint="eastAsia"/>
          <w:color w:val="auto"/>
          <w:highlight w:val="none"/>
        </w:rPr>
        <w:t>供应商名称（电子签章）：</w:t>
      </w:r>
      <w:r>
        <w:rPr>
          <w:rFonts w:hint="eastAsia"/>
          <w:color w:val="auto"/>
          <w:highlight w:val="none"/>
          <w:u w:val="single"/>
        </w:rPr>
        <w:t xml:space="preserve">                               </w:t>
      </w:r>
      <w:r>
        <w:rPr>
          <w:rFonts w:hint="eastAsia"/>
          <w:color w:val="auto"/>
          <w:highlight w:val="none"/>
        </w:rPr>
        <w:t xml:space="preserve">       </w:t>
      </w:r>
      <w:r>
        <w:rPr>
          <w:rFonts w:hint="eastAsia" w:ascii="宋体" w:hAnsi="宋体" w:cs="宋体"/>
          <w:color w:val="auto"/>
          <w:szCs w:val="21"/>
          <w:highlight w:val="none"/>
        </w:rPr>
        <w:t xml:space="preserve">    </w:t>
      </w:r>
    </w:p>
    <w:p w14:paraId="2AF4CFF9">
      <w:pPr>
        <w:spacing w:line="360" w:lineRule="auto"/>
        <w:ind w:right="482" w:firstLine="210" w:firstLineChars="100"/>
        <w:contextualSpacing/>
        <w:jc w:val="center"/>
        <w:rPr>
          <w:rFonts w:hint="eastAsia" w:ascii="宋体" w:hAnsi="宋体"/>
          <w:color w:val="auto"/>
          <w:szCs w:val="21"/>
          <w:highlight w:val="none"/>
        </w:rPr>
      </w:pPr>
      <w:r>
        <w:rPr>
          <w:rFonts w:hint="eastAsia" w:ascii="宋体" w:hAnsi="宋体" w:cs="宋体"/>
          <w:color w:val="auto"/>
          <w:szCs w:val="21"/>
          <w:highlight w:val="none"/>
        </w:rPr>
        <w:t xml:space="preserve">                                                        </w:t>
      </w:r>
      <w:r>
        <w:rPr>
          <w:rFonts w:hint="eastAsia"/>
          <w:color w:val="auto"/>
          <w:highlight w:val="none"/>
        </w:rPr>
        <w:t xml:space="preserve"> 年    月    日 </w:t>
      </w:r>
    </w:p>
    <w:p w14:paraId="0A2EC45A">
      <w:pPr>
        <w:spacing w:line="360" w:lineRule="auto"/>
        <w:contextualSpacing/>
        <w:jc w:val="both"/>
        <w:rPr>
          <w:rFonts w:hint="eastAsia" w:ascii="宋体" w:hAnsi="宋体" w:cs="仿宋_GB2312"/>
          <w:color w:val="auto"/>
          <w:sz w:val="24"/>
          <w:highlight w:val="none"/>
        </w:rPr>
      </w:pPr>
    </w:p>
    <w:p w14:paraId="4D512C6E">
      <w:pPr>
        <w:spacing w:line="360" w:lineRule="auto"/>
        <w:ind w:right="420"/>
        <w:contextualSpacing/>
        <w:jc w:val="left"/>
        <w:rPr>
          <w:rFonts w:hint="eastAsia" w:ascii="宋体" w:hAnsi="宋体"/>
          <w:b/>
          <w:color w:val="auto"/>
          <w:sz w:val="32"/>
          <w:szCs w:val="32"/>
          <w:highlight w:val="none"/>
        </w:rPr>
      </w:pPr>
      <w:r>
        <w:rPr>
          <w:rFonts w:ascii="宋体" w:hAnsi="宋体"/>
          <w:color w:val="auto"/>
          <w:szCs w:val="21"/>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4073E4D4">
      <w:pPr>
        <w:snapToGrid w:val="0"/>
        <w:spacing w:before="156"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1.报价文件封面格式</w:t>
      </w:r>
    </w:p>
    <w:p w14:paraId="153DE59A">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2C3386A7">
      <w:pPr>
        <w:snapToGrid w:val="0"/>
        <w:spacing w:before="156"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24E4ADC6">
      <w:pPr>
        <w:snapToGrid w:val="0"/>
        <w:spacing w:before="156" w:beforeLines="50" w:after="50"/>
        <w:rPr>
          <w:rFonts w:hint="eastAsia" w:ascii="宋体" w:hAnsi="宋体"/>
          <w:color w:val="auto"/>
          <w:sz w:val="24"/>
          <w:szCs w:val="20"/>
          <w:highlight w:val="none"/>
        </w:rPr>
      </w:pPr>
    </w:p>
    <w:p w14:paraId="5E72AEC1">
      <w:pPr>
        <w:snapToGrid w:val="0"/>
        <w:spacing w:before="156" w:beforeLines="50" w:after="50"/>
        <w:rPr>
          <w:rFonts w:hint="eastAsia" w:ascii="宋体" w:hAnsi="宋体"/>
          <w:color w:val="auto"/>
          <w:sz w:val="24"/>
          <w:szCs w:val="20"/>
          <w:highlight w:val="none"/>
        </w:rPr>
      </w:pPr>
    </w:p>
    <w:p w14:paraId="0C9038EF">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42BB869D">
      <w:pPr>
        <w:snapToGrid w:val="0"/>
        <w:spacing w:before="156" w:beforeLines="50" w:after="50"/>
        <w:rPr>
          <w:rFonts w:hint="eastAsia" w:ascii="宋体" w:hAnsi="宋体"/>
          <w:bCs/>
          <w:color w:val="auto"/>
          <w:sz w:val="24"/>
          <w:szCs w:val="20"/>
          <w:highlight w:val="none"/>
        </w:rPr>
      </w:pPr>
    </w:p>
    <w:p w14:paraId="5907EDF7">
      <w:pPr>
        <w:snapToGrid w:val="0"/>
        <w:spacing w:before="156" w:beforeLines="50" w:after="50"/>
        <w:rPr>
          <w:rFonts w:hint="eastAsia" w:ascii="宋体" w:hAnsi="宋体"/>
          <w:bCs/>
          <w:color w:val="auto"/>
          <w:sz w:val="24"/>
          <w:szCs w:val="20"/>
          <w:highlight w:val="none"/>
        </w:rPr>
      </w:pPr>
    </w:p>
    <w:p w14:paraId="52BD448E">
      <w:pPr>
        <w:snapToGrid w:val="0"/>
        <w:spacing w:before="156" w:beforeLines="50" w:after="50"/>
        <w:rPr>
          <w:rFonts w:hint="eastAsia" w:ascii="宋体" w:hAnsi="宋体"/>
          <w:bCs/>
          <w:color w:val="auto"/>
          <w:sz w:val="24"/>
          <w:szCs w:val="20"/>
          <w:highlight w:val="none"/>
        </w:rPr>
      </w:pPr>
    </w:p>
    <w:p w14:paraId="534D235F">
      <w:pPr>
        <w:snapToGrid w:val="0"/>
        <w:spacing w:before="156" w:beforeLines="50" w:after="50"/>
        <w:rPr>
          <w:rFonts w:hint="eastAsia" w:ascii="宋体" w:hAnsi="宋体"/>
          <w:bCs/>
          <w:color w:val="auto"/>
          <w:sz w:val="24"/>
          <w:szCs w:val="20"/>
          <w:highlight w:val="none"/>
        </w:rPr>
      </w:pPr>
    </w:p>
    <w:p w14:paraId="64E1C823">
      <w:pPr>
        <w:snapToGrid w:val="0"/>
        <w:spacing w:before="156" w:beforeLines="50" w:after="50"/>
        <w:rPr>
          <w:rFonts w:hint="eastAsia" w:ascii="宋体" w:hAnsi="宋体"/>
          <w:bCs/>
          <w:color w:val="auto"/>
          <w:sz w:val="24"/>
          <w:szCs w:val="20"/>
          <w:highlight w:val="none"/>
        </w:rPr>
      </w:pPr>
    </w:p>
    <w:p w14:paraId="6D0A1438">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0D6A5DDD">
      <w:pPr>
        <w:snapToGrid w:val="0"/>
        <w:spacing w:before="156" w:beforeLines="50" w:after="50"/>
        <w:ind w:firstLine="720" w:firstLineChars="225"/>
        <w:rPr>
          <w:rFonts w:hint="eastAsia" w:ascii="宋体" w:hAnsi="宋体" w:cs="仿宋_GB2312"/>
          <w:bCs/>
          <w:color w:val="auto"/>
          <w:sz w:val="32"/>
          <w:szCs w:val="32"/>
          <w:highlight w:val="none"/>
        </w:rPr>
      </w:pPr>
    </w:p>
    <w:p w14:paraId="34DA2841">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0CC67C04">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121E8B88">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42AB0921">
      <w:pPr>
        <w:snapToGrid w:val="0"/>
        <w:spacing w:before="156" w:beforeLines="50" w:after="50"/>
        <w:ind w:firstLine="720" w:firstLineChars="225"/>
        <w:rPr>
          <w:rFonts w:hint="eastAsia" w:ascii="宋体" w:hAnsi="宋体" w:cs="仿宋_GB2312"/>
          <w:bCs/>
          <w:color w:val="auto"/>
          <w:sz w:val="32"/>
          <w:szCs w:val="32"/>
          <w:highlight w:val="none"/>
        </w:rPr>
      </w:pPr>
    </w:p>
    <w:p w14:paraId="35A76F27">
      <w:pPr>
        <w:pStyle w:val="6"/>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D03EBF9">
      <w:pPr>
        <w:pStyle w:val="6"/>
        <w:snapToGrid w:val="0"/>
        <w:spacing w:before="50" w:after="50"/>
        <w:ind w:firstLine="640" w:firstLineChars="200"/>
        <w:rPr>
          <w:rFonts w:hint="eastAsia" w:ascii="宋体" w:hAnsi="宋体" w:cs="仿宋_GB2312"/>
          <w:bCs/>
          <w:color w:val="auto"/>
          <w:sz w:val="32"/>
          <w:szCs w:val="32"/>
          <w:highlight w:val="none"/>
        </w:rPr>
      </w:pPr>
    </w:p>
    <w:p w14:paraId="2211EC87">
      <w:pPr>
        <w:pStyle w:val="6"/>
        <w:snapToGrid w:val="0"/>
        <w:spacing w:before="50" w:after="50"/>
        <w:ind w:firstLine="720" w:firstLineChars="225"/>
        <w:rPr>
          <w:rFonts w:hint="eastAsia" w:ascii="宋体" w:hAnsi="宋体" w:cs="仿宋_GB2312"/>
          <w:bCs/>
          <w:color w:val="auto"/>
          <w:sz w:val="32"/>
          <w:szCs w:val="32"/>
          <w:highlight w:val="none"/>
        </w:rPr>
      </w:pPr>
    </w:p>
    <w:p w14:paraId="02BFE2B6">
      <w:pPr>
        <w:pStyle w:val="6"/>
        <w:snapToGrid w:val="0"/>
        <w:spacing w:before="50" w:after="50"/>
        <w:ind w:firstLine="0"/>
        <w:rPr>
          <w:rFonts w:hint="eastAsia" w:ascii="宋体" w:hAnsi="宋体" w:cs="仿宋_GB2312"/>
          <w:bCs/>
          <w:color w:val="auto"/>
          <w:sz w:val="32"/>
          <w:szCs w:val="32"/>
          <w:highlight w:val="none"/>
        </w:rPr>
      </w:pPr>
    </w:p>
    <w:p w14:paraId="20BCA7EF">
      <w:pPr>
        <w:pStyle w:val="6"/>
        <w:snapToGrid w:val="0"/>
        <w:spacing w:before="50" w:after="50"/>
        <w:ind w:firstLine="1280" w:firstLineChars="400"/>
        <w:rPr>
          <w:rFonts w:hint="eastAsia" w:ascii="宋体" w:hAnsi="宋体" w:cs="仿宋_GB2312"/>
          <w:bCs/>
          <w:color w:val="auto"/>
          <w:sz w:val="32"/>
          <w:szCs w:val="32"/>
          <w:highlight w:val="none"/>
        </w:rPr>
      </w:pPr>
    </w:p>
    <w:p w14:paraId="2CB9D99C">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089EDD68">
      <w:pPr>
        <w:snapToGrid w:val="0"/>
        <w:spacing w:before="156" w:beforeLines="50" w:after="50" w:line="360" w:lineRule="auto"/>
        <w:ind w:left="142"/>
        <w:jc w:val="left"/>
        <w:rPr>
          <w:rFonts w:hint="eastAsia" w:ascii="宋体" w:hAnsi="宋体"/>
          <w:b/>
          <w:bCs/>
          <w:color w:val="auto"/>
          <w:sz w:val="24"/>
          <w:highlight w:val="none"/>
        </w:rPr>
      </w:pPr>
      <w:r>
        <w:rPr>
          <w:rFonts w:ascii="宋体" w:hAnsi="宋体"/>
          <w:color w:val="auto"/>
          <w:szCs w:val="21"/>
          <w:highlight w:val="none"/>
        </w:rPr>
        <w:br w:type="page"/>
      </w:r>
      <w:r>
        <w:rPr>
          <w:rFonts w:hint="eastAsia" w:ascii="宋体" w:hAnsi="宋体"/>
          <w:b/>
          <w:bCs/>
          <w:color w:val="auto"/>
          <w:sz w:val="32"/>
          <w:szCs w:val="32"/>
          <w:highlight w:val="none"/>
        </w:rPr>
        <w:t>2.报价文件目录</w:t>
      </w:r>
    </w:p>
    <w:p w14:paraId="7122D2F2">
      <w:pPr>
        <w:tabs>
          <w:tab w:val="left" w:pos="3479"/>
        </w:tabs>
        <w:spacing w:line="520" w:lineRule="exact"/>
        <w:jc w:val="left"/>
        <w:rPr>
          <w:rFonts w:hint="eastAsia" w:ascii="宋体" w:hAns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14:paraId="0555A8FA">
      <w:pPr>
        <w:tabs>
          <w:tab w:val="left" w:pos="3479"/>
        </w:tabs>
        <w:spacing w:line="520" w:lineRule="exact"/>
        <w:jc w:val="center"/>
        <w:rPr>
          <w:rFonts w:hint="eastAsia" w:ascii="方正小标宋简体" w:hAnsi="方正小标宋简体" w:eastAsia="方正小标宋简体" w:cs="方正小标宋简体"/>
          <w:bCs/>
          <w:color w:val="auto"/>
          <w:sz w:val="32"/>
          <w:szCs w:val="32"/>
          <w:highlight w:val="none"/>
        </w:rPr>
      </w:pPr>
      <w:r>
        <w:rPr>
          <w:rFonts w:ascii="宋体" w:hAnsi="宋体"/>
          <w:color w:val="auto"/>
          <w:szCs w:val="21"/>
          <w:highlight w:val="none"/>
        </w:rPr>
        <w:br w:type="page"/>
      </w:r>
      <w:r>
        <w:rPr>
          <w:rFonts w:hint="eastAsia" w:ascii="方正小标宋简体" w:hAnsi="方正小标宋简体" w:eastAsia="方正小标宋简体" w:cs="方正小标宋简体"/>
          <w:bCs/>
          <w:color w:val="auto"/>
          <w:sz w:val="44"/>
          <w:szCs w:val="44"/>
          <w:highlight w:val="none"/>
        </w:rPr>
        <w:t>竞  标  报  价  表</w:t>
      </w:r>
    </w:p>
    <w:p w14:paraId="603F96E3">
      <w:pPr>
        <w:spacing w:line="520" w:lineRule="exact"/>
        <w:jc w:val="center"/>
        <w:rPr>
          <w:rFonts w:hint="eastAsia" w:ascii="方正小标宋简体" w:hAnsi="方正小标宋简体" w:eastAsia="方正小标宋简体" w:cs="方正小标宋简体"/>
          <w:bCs/>
          <w:color w:val="auto"/>
          <w:sz w:val="32"/>
          <w:szCs w:val="32"/>
          <w:highlight w:val="none"/>
        </w:rPr>
      </w:pPr>
    </w:p>
    <w:p w14:paraId="0F271FCB">
      <w:pPr>
        <w:snapToGrid w:val="0"/>
        <w:spacing w:before="50" w:after="50" w:line="360" w:lineRule="auto"/>
        <w:rPr>
          <w:rFonts w:hint="eastAsia" w:ascii="宋体" w:hAnsi="宋体" w:cs="仿宋_GB2312"/>
          <w:color w:val="auto"/>
          <w:sz w:val="24"/>
          <w:highlight w:val="non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分标（如有）：</w:t>
      </w:r>
      <w:r>
        <w:rPr>
          <w:rFonts w:hint="eastAsia" w:ascii="宋体" w:hAnsi="宋体" w:cs="仿宋_GB2312"/>
          <w:color w:val="auto"/>
          <w:sz w:val="24"/>
          <w:highlight w:val="none"/>
          <w:u w:val="single"/>
        </w:rPr>
        <w:t xml:space="preserve">            </w:t>
      </w:r>
    </w:p>
    <w:p w14:paraId="18EB7AA3">
      <w:pPr>
        <w:snapToGrid w:val="0"/>
        <w:spacing w:before="50" w:after="50" w:line="360" w:lineRule="auto"/>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716A690D">
      <w:pPr>
        <w:snapToGrid w:val="0"/>
        <w:spacing w:before="50" w:after="50" w:line="360" w:lineRule="auto"/>
        <w:ind w:firstLine="5520" w:firstLineChars="2300"/>
        <w:rPr>
          <w:rFonts w:hint="eastAsia" w:ascii="宋体" w:hAnsi="宋体" w:cs="仿宋_GB2312"/>
          <w:color w:val="auto"/>
          <w:sz w:val="24"/>
          <w:highlight w:val="none"/>
        </w:rPr>
      </w:pPr>
      <w:r>
        <w:rPr>
          <w:rFonts w:hint="eastAsia" w:ascii="宋体" w:hAnsi="宋体" w:cs="仿宋_GB2312"/>
          <w:color w:val="auto"/>
          <w:sz w:val="24"/>
          <w:highlight w:val="none"/>
        </w:rPr>
        <w:t>单位：元</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7"/>
        <w:gridCol w:w="1065"/>
        <w:gridCol w:w="1005"/>
        <w:gridCol w:w="870"/>
        <w:gridCol w:w="1065"/>
        <w:gridCol w:w="1200"/>
        <w:gridCol w:w="1095"/>
        <w:gridCol w:w="1095"/>
        <w:gridCol w:w="780"/>
        <w:gridCol w:w="1725"/>
      </w:tblGrid>
      <w:tr w14:paraId="165A56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14:paraId="1D689C9A">
            <w:pPr>
              <w:spacing w:line="360" w:lineRule="auto"/>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项号</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22322AD3">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标的的名称</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0E7709FF">
            <w:pPr>
              <w:spacing w:line="360" w:lineRule="auto"/>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数量及单位</w:t>
            </w:r>
          </w:p>
          <w:p w14:paraId="28693246">
            <w:pPr>
              <w:spacing w:line="360" w:lineRule="auto"/>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①</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08BDA393">
            <w:pPr>
              <w:spacing w:line="360" w:lineRule="auto"/>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品牌</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9D44FCF">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规格</w:t>
            </w:r>
          </w:p>
          <w:p w14:paraId="19D6856A">
            <w:pPr>
              <w:spacing w:line="360" w:lineRule="auto"/>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型号</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DA1704B">
            <w:pPr>
              <w:spacing w:line="360" w:lineRule="auto"/>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制造商</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8909CB2">
            <w:pPr>
              <w:spacing w:line="360" w:lineRule="auto"/>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原产地</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4E4838B">
            <w:pPr>
              <w:spacing w:line="360" w:lineRule="auto"/>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参数性能、指标及配置</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0D03D8D4">
            <w:pPr>
              <w:spacing w:line="360" w:lineRule="auto"/>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单价</w:t>
            </w:r>
          </w:p>
          <w:p w14:paraId="5AFABC46">
            <w:pPr>
              <w:spacing w:line="360" w:lineRule="auto"/>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②</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22013B67">
            <w:pPr>
              <w:spacing w:line="360" w:lineRule="auto"/>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竞标报价</w:t>
            </w:r>
          </w:p>
          <w:p w14:paraId="2DCA90E5">
            <w:pPr>
              <w:spacing w:line="360" w:lineRule="auto"/>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③=①×②</w:t>
            </w:r>
          </w:p>
        </w:tc>
      </w:tr>
      <w:tr w14:paraId="63B46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14:paraId="08F10314">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1</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0DB9C9E">
            <w:pPr>
              <w:spacing w:line="360" w:lineRule="auto"/>
              <w:jc w:val="center"/>
              <w:rPr>
                <w:rFonts w:hint="eastAsia" w:ascii="宋体" w:hAnsi="宋体" w:cs="仿宋_GB2312"/>
                <w:color w:val="auto"/>
                <w:sz w:val="24"/>
                <w:highlight w:val="none"/>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7DADFA2E">
            <w:pPr>
              <w:spacing w:line="360" w:lineRule="auto"/>
              <w:jc w:val="center"/>
              <w:rPr>
                <w:rFonts w:hint="eastAsia" w:ascii="宋体" w:hAnsi="宋体" w:cs="仿宋_GB2312"/>
                <w:color w:val="auto"/>
                <w:sz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7BFF14ED">
            <w:pPr>
              <w:spacing w:line="360" w:lineRule="auto"/>
              <w:jc w:val="center"/>
              <w:rPr>
                <w:rFonts w:hint="eastAsia" w:ascii="宋体" w:hAnsi="宋体" w:cs="仿宋_GB2312"/>
                <w:color w:val="auto"/>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44A8180">
            <w:pPr>
              <w:spacing w:line="360" w:lineRule="auto"/>
              <w:jc w:val="center"/>
              <w:rPr>
                <w:rFonts w:hint="eastAsia" w:ascii="宋体" w:hAnsi="宋体" w:cs="仿宋_GB2312"/>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5324AAF">
            <w:pPr>
              <w:spacing w:line="360" w:lineRule="auto"/>
              <w:jc w:val="center"/>
              <w:rPr>
                <w:rFonts w:hint="eastAsia" w:ascii="宋体" w:hAnsi="宋体"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373D084">
            <w:pPr>
              <w:spacing w:line="360" w:lineRule="auto"/>
              <w:jc w:val="center"/>
              <w:rPr>
                <w:rFonts w:hint="eastAsia" w:ascii="宋体" w:hAnsi="宋体"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DD3FCEE">
            <w:pPr>
              <w:spacing w:line="360" w:lineRule="auto"/>
              <w:jc w:val="center"/>
              <w:rPr>
                <w:rFonts w:hint="eastAsia" w:ascii="宋体" w:hAnsi="宋体" w:cs="仿宋_GB2312"/>
                <w:color w:val="auto"/>
                <w:sz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3CFDA3FF">
            <w:pPr>
              <w:spacing w:line="360" w:lineRule="auto"/>
              <w:jc w:val="center"/>
              <w:rPr>
                <w:rFonts w:hint="eastAsia" w:ascii="宋体" w:hAnsi="宋体" w:cs="仿宋_GB2312"/>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78AFC66">
            <w:pPr>
              <w:spacing w:line="360" w:lineRule="auto"/>
              <w:jc w:val="center"/>
              <w:rPr>
                <w:rFonts w:hint="eastAsia" w:ascii="宋体" w:hAnsi="宋体" w:cs="仿宋_GB2312"/>
                <w:color w:val="auto"/>
                <w:sz w:val="24"/>
                <w:highlight w:val="none"/>
              </w:rPr>
            </w:pPr>
          </w:p>
        </w:tc>
      </w:tr>
      <w:tr w14:paraId="5824C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14:paraId="5D02B6BE">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2</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1381EA1D">
            <w:pPr>
              <w:spacing w:line="360" w:lineRule="auto"/>
              <w:jc w:val="center"/>
              <w:rPr>
                <w:rFonts w:hint="eastAsia" w:ascii="宋体" w:hAnsi="宋体" w:cs="仿宋_GB2312"/>
                <w:color w:val="auto"/>
                <w:sz w:val="24"/>
                <w:highlight w:val="none"/>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690E8A68">
            <w:pPr>
              <w:spacing w:line="360" w:lineRule="auto"/>
              <w:jc w:val="center"/>
              <w:rPr>
                <w:rFonts w:hint="eastAsia" w:ascii="宋体" w:hAnsi="宋体" w:cs="仿宋_GB2312"/>
                <w:color w:val="auto"/>
                <w:sz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44160DA9">
            <w:pPr>
              <w:spacing w:line="360" w:lineRule="auto"/>
              <w:jc w:val="center"/>
              <w:rPr>
                <w:rFonts w:hint="eastAsia" w:ascii="宋体" w:hAnsi="宋体" w:cs="仿宋_GB2312"/>
                <w:color w:val="auto"/>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9ADF2ED">
            <w:pPr>
              <w:spacing w:line="360" w:lineRule="auto"/>
              <w:jc w:val="center"/>
              <w:rPr>
                <w:rFonts w:hint="eastAsia" w:ascii="宋体" w:hAnsi="宋体" w:cs="仿宋_GB2312"/>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3499D1C">
            <w:pPr>
              <w:spacing w:line="360" w:lineRule="auto"/>
              <w:jc w:val="center"/>
              <w:rPr>
                <w:rFonts w:hint="eastAsia" w:ascii="宋体" w:hAnsi="宋体"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6B9635E">
            <w:pPr>
              <w:spacing w:line="360" w:lineRule="auto"/>
              <w:jc w:val="center"/>
              <w:rPr>
                <w:rFonts w:hint="eastAsia" w:ascii="宋体" w:hAnsi="宋体"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8B7E47B">
            <w:pPr>
              <w:spacing w:line="360" w:lineRule="auto"/>
              <w:jc w:val="center"/>
              <w:rPr>
                <w:rFonts w:hint="eastAsia" w:ascii="宋体" w:hAnsi="宋体" w:cs="仿宋_GB2312"/>
                <w:color w:val="auto"/>
                <w:sz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3C62DCA7">
            <w:pPr>
              <w:spacing w:line="360" w:lineRule="auto"/>
              <w:jc w:val="center"/>
              <w:rPr>
                <w:rFonts w:hint="eastAsia" w:ascii="宋体" w:hAnsi="宋体" w:cs="仿宋_GB2312"/>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1C7B07C7">
            <w:pPr>
              <w:spacing w:line="360" w:lineRule="auto"/>
              <w:jc w:val="center"/>
              <w:rPr>
                <w:rFonts w:hint="eastAsia" w:ascii="宋体" w:hAnsi="宋体" w:cs="仿宋_GB2312"/>
                <w:color w:val="auto"/>
                <w:sz w:val="24"/>
                <w:highlight w:val="none"/>
              </w:rPr>
            </w:pPr>
          </w:p>
        </w:tc>
      </w:tr>
      <w:tr w14:paraId="2DFC2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14:paraId="2F7ED112">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0B3A3173">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7B616D40">
            <w:pPr>
              <w:spacing w:line="360" w:lineRule="auto"/>
              <w:jc w:val="center"/>
              <w:rPr>
                <w:rFonts w:hint="eastAsia" w:ascii="宋体" w:hAnsi="宋体" w:cs="仿宋_GB2312"/>
                <w:color w:val="auto"/>
                <w:sz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40622F15">
            <w:pPr>
              <w:spacing w:line="360" w:lineRule="auto"/>
              <w:jc w:val="center"/>
              <w:rPr>
                <w:rFonts w:hint="eastAsia" w:ascii="宋体" w:hAnsi="宋体" w:cs="仿宋_GB2312"/>
                <w:color w:val="auto"/>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34CBB79">
            <w:pPr>
              <w:spacing w:line="360" w:lineRule="auto"/>
              <w:jc w:val="center"/>
              <w:rPr>
                <w:rFonts w:hint="eastAsia" w:ascii="宋体" w:hAnsi="宋体" w:cs="仿宋_GB2312"/>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4D63E86">
            <w:pPr>
              <w:spacing w:line="360" w:lineRule="auto"/>
              <w:jc w:val="center"/>
              <w:rPr>
                <w:rFonts w:hint="eastAsia" w:ascii="宋体" w:hAnsi="宋体"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FE8AD90">
            <w:pPr>
              <w:spacing w:line="360" w:lineRule="auto"/>
              <w:jc w:val="center"/>
              <w:rPr>
                <w:rFonts w:hint="eastAsia" w:ascii="宋体" w:hAnsi="宋体"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60D1EA4">
            <w:pPr>
              <w:spacing w:line="360" w:lineRule="auto"/>
              <w:jc w:val="center"/>
              <w:rPr>
                <w:rFonts w:hint="eastAsia" w:ascii="宋体" w:hAnsi="宋体" w:cs="仿宋_GB2312"/>
                <w:color w:val="auto"/>
                <w:sz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23940671">
            <w:pPr>
              <w:spacing w:line="360" w:lineRule="auto"/>
              <w:jc w:val="center"/>
              <w:rPr>
                <w:rFonts w:hint="eastAsia" w:ascii="宋体" w:hAnsi="宋体" w:cs="仿宋_GB2312"/>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5936B9A6">
            <w:pPr>
              <w:spacing w:line="360" w:lineRule="auto"/>
              <w:jc w:val="center"/>
              <w:rPr>
                <w:rFonts w:hint="eastAsia" w:ascii="宋体" w:hAnsi="宋体" w:cs="仿宋_GB2312"/>
                <w:color w:val="auto"/>
                <w:sz w:val="24"/>
                <w:highlight w:val="none"/>
              </w:rPr>
            </w:pPr>
          </w:p>
        </w:tc>
      </w:tr>
      <w:tr w14:paraId="0E98A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0507" w:type="dxa"/>
            <w:gridSpan w:val="10"/>
            <w:tcBorders>
              <w:top w:val="single" w:color="auto" w:sz="4" w:space="0"/>
              <w:left w:val="single" w:color="auto" w:sz="4" w:space="0"/>
              <w:bottom w:val="single" w:color="auto" w:sz="4" w:space="0"/>
              <w:right w:val="single" w:color="auto" w:sz="4" w:space="0"/>
            </w:tcBorders>
            <w:noWrap w:val="0"/>
            <w:vAlign w:val="top"/>
          </w:tcPr>
          <w:p w14:paraId="616CA32E">
            <w:pPr>
              <w:snapToGrid w:val="0"/>
              <w:spacing w:before="50" w:after="50" w:line="360" w:lineRule="auto"/>
              <w:rPr>
                <w:rFonts w:hint="eastAsia" w:ascii="宋体" w:hAnsi="宋体" w:cs="仿宋_GB2312"/>
                <w:color w:val="auto"/>
                <w:sz w:val="24"/>
                <w:highlight w:val="none"/>
              </w:rPr>
            </w:pPr>
            <w:r>
              <w:rPr>
                <w:rFonts w:hint="eastAsia" w:ascii="宋体" w:hAnsi="宋体" w:cs="仿宋_GB2312"/>
                <w:color w:val="auto"/>
                <w:sz w:val="24"/>
                <w:highlight w:val="none"/>
              </w:rPr>
              <w:t>合计金额大写：人民币</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14:paraId="3512C158">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 xml:space="preserve">注： </w:t>
      </w:r>
    </w:p>
    <w:p w14:paraId="0FDE27F3">
      <w:pPr>
        <w:spacing w:line="360" w:lineRule="auto"/>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1</w:t>
      </w:r>
      <w:r>
        <w:rPr>
          <w:rFonts w:ascii="宋体" w:hAnsi="宋体" w:cs="仿宋_GB2312"/>
          <w:color w:val="auto"/>
          <w:sz w:val="24"/>
          <w:highlight w:val="none"/>
        </w:rPr>
        <w:t>.</w:t>
      </w:r>
      <w:r>
        <w:rPr>
          <w:rFonts w:hint="eastAsia" w:ascii="宋体" w:hAnsi="宋体"/>
          <w:color w:val="auto"/>
          <w:sz w:val="24"/>
          <w:highlight w:val="none"/>
        </w:rPr>
        <w:t xml:space="preserve"> 以上竞标报价表中“货物名称、数量及单位、品牌、规格型号、制造商、原产地、参数性能、指标及配置”必须如实填写完整，品牌、规格型号没有则填无，填写有缺漏</w:t>
      </w:r>
      <w:r>
        <w:rPr>
          <w:rFonts w:hint="eastAsia" w:ascii="宋体" w:hAnsi="宋体"/>
          <w:bCs/>
          <w:color w:val="auto"/>
          <w:sz w:val="24"/>
          <w:highlight w:val="none"/>
        </w:rPr>
        <w:t>的，</w:t>
      </w:r>
      <w:r>
        <w:rPr>
          <w:rFonts w:hint="eastAsia" w:ascii="宋体" w:hAnsi="宋体" w:cs="仿宋_GB2312"/>
          <w:b/>
          <w:color w:val="auto"/>
          <w:sz w:val="24"/>
          <w:highlight w:val="none"/>
        </w:rPr>
        <w:t>其响应文件按无效处理</w:t>
      </w:r>
      <w:r>
        <w:rPr>
          <w:rFonts w:hint="eastAsia" w:ascii="宋体" w:hAnsi="宋体"/>
          <w:b/>
          <w:color w:val="auto"/>
          <w:sz w:val="24"/>
          <w:highlight w:val="none"/>
        </w:rPr>
        <w:t>。</w:t>
      </w:r>
    </w:p>
    <w:p w14:paraId="6D9B1B66">
      <w:pPr>
        <w:spacing w:line="360" w:lineRule="auto"/>
        <w:ind w:firstLine="480" w:firstLineChars="200"/>
        <w:contextualSpacing/>
        <w:jc w:val="left"/>
        <w:rPr>
          <w:rFonts w:hint="eastAsia" w:ascii="宋体" w:hAns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.供应商的报价表必须加盖供应商电子签章并由法定代表人或者委托代理人签</w:t>
      </w:r>
      <w:r>
        <w:rPr>
          <w:rFonts w:hint="eastAsia" w:ascii="宋体" w:hAnsi="宋体" w:cs="仿宋_GB2312"/>
          <w:color w:val="auto"/>
          <w:sz w:val="24"/>
          <w:highlight w:val="none"/>
        </w:rPr>
        <w:t>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7E01AAAC">
      <w:pPr>
        <w:spacing w:line="360" w:lineRule="auto"/>
        <w:ind w:firstLine="480" w:firstLineChars="200"/>
        <w:contextualSpacing/>
        <w:jc w:val="left"/>
        <w:rPr>
          <w:rFonts w:hint="eastAsia" w:ascii="宋体" w:hAnsi="宋体" w:cs="仿宋_GB2312"/>
          <w:b/>
          <w:color w:val="auto"/>
          <w:sz w:val="24"/>
          <w:highlight w:val="none"/>
        </w:rPr>
      </w:pPr>
      <w:r>
        <w:rPr>
          <w:rFonts w:ascii="宋体" w:hAnsi="宋体" w:cs="仿宋_GB2312"/>
          <w:bCs/>
          <w:color w:val="auto"/>
          <w:sz w:val="24"/>
          <w:highlight w:val="none"/>
        </w:rPr>
        <w:t>3</w:t>
      </w:r>
      <w:r>
        <w:rPr>
          <w:rFonts w:hint="eastAsia" w:ascii="宋体" w:hAnsi="宋体" w:cs="仿宋_GB2312"/>
          <w:bCs/>
          <w:color w:val="auto"/>
          <w:sz w:val="24"/>
          <w:highlight w:val="none"/>
        </w:rPr>
        <w:t>.</w:t>
      </w:r>
      <w:r>
        <w:rPr>
          <w:rFonts w:hint="eastAsia" w:ascii="宋体" w:hAnsi="宋体" w:cs="仿宋_GB2312"/>
          <w:color w:val="auto"/>
          <w:sz w:val="24"/>
          <w:highlight w:val="none"/>
        </w:rPr>
        <w:t>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61AE8666">
      <w:pPr>
        <w:spacing w:line="360" w:lineRule="auto"/>
        <w:ind w:firstLine="480" w:firstLineChars="200"/>
        <w:contextualSpacing/>
        <w:jc w:val="left"/>
        <w:rPr>
          <w:rFonts w:hint="eastAsia" w:ascii="宋体" w:hAnsi="宋体" w:cs="仿宋_GB2312"/>
          <w:color w:val="auto"/>
          <w:sz w:val="24"/>
          <w:highlight w:val="none"/>
        </w:rPr>
      </w:pPr>
      <w:r>
        <w:rPr>
          <w:rFonts w:ascii="宋体" w:hAnsi="宋体" w:cs="仿宋_GB2312"/>
          <w:color w:val="auto"/>
          <w:sz w:val="24"/>
          <w:highlight w:val="none"/>
        </w:rPr>
        <w:t>4</w:t>
      </w:r>
      <w:r>
        <w:rPr>
          <w:rFonts w:hint="eastAsia" w:ascii="宋体" w:hAnsi="宋体" w:cs="仿宋_GB2312"/>
          <w:color w:val="auto"/>
          <w:sz w:val="24"/>
          <w:highlight w:val="none"/>
        </w:rPr>
        <w:t>.谈判文件中列明采购专用耗材的，应按谈判文件规定的耗材量或者按耗材的常规使用量提供报价。</w:t>
      </w:r>
    </w:p>
    <w:p w14:paraId="677195F8">
      <w:pPr>
        <w:spacing w:line="360" w:lineRule="auto"/>
        <w:ind w:firstLine="480" w:firstLineChars="200"/>
        <w:contextualSpacing/>
        <w:jc w:val="left"/>
        <w:rPr>
          <w:rFonts w:hint="eastAsia" w:ascii="宋体" w:hAnsi="宋体" w:cs="仿宋_GB2312"/>
          <w:i/>
          <w:color w:val="auto"/>
          <w:sz w:val="24"/>
          <w:highlight w:val="none"/>
        </w:rPr>
      </w:pPr>
      <w:r>
        <w:rPr>
          <w:rFonts w:ascii="宋体" w:hAnsi="宋体" w:cs="仿宋_GB2312"/>
          <w:color w:val="auto"/>
          <w:sz w:val="24"/>
          <w:highlight w:val="none"/>
        </w:rPr>
        <w:t>5</w:t>
      </w:r>
      <w:r>
        <w:rPr>
          <w:rFonts w:hint="eastAsia" w:ascii="宋体" w:hAnsi="宋体" w:cs="仿宋_GB2312"/>
          <w:color w:val="auto"/>
          <w:sz w:val="24"/>
          <w:highlight w:val="none"/>
        </w:rPr>
        <w:t>.如为联合体竞标，“供应商名称”处必须列明联合体各方名称，标注联合体牵头人名称，</w:t>
      </w:r>
      <w:r>
        <w:rPr>
          <w:rFonts w:hint="eastAsia" w:ascii="宋体" w:hAnsi="宋体" w:cs="仿宋_GB2312"/>
          <w:b/>
          <w:color w:val="auto"/>
          <w:sz w:val="24"/>
          <w:highlight w:val="none"/>
        </w:rPr>
        <w:t>否则其响应文件按无效处理。</w:t>
      </w:r>
    </w:p>
    <w:p w14:paraId="203C7282">
      <w:pPr>
        <w:spacing w:line="360" w:lineRule="auto"/>
        <w:ind w:firstLine="480" w:firstLineChars="200"/>
        <w:contextualSpacing/>
        <w:jc w:val="left"/>
        <w:rPr>
          <w:rFonts w:hint="eastAsia" w:ascii="宋体" w:hAnsi="宋体" w:cs="仿宋_GB2312"/>
          <w:color w:val="auto"/>
          <w:sz w:val="24"/>
          <w:highlight w:val="none"/>
        </w:rPr>
      </w:pPr>
      <w:r>
        <w:rPr>
          <w:rFonts w:ascii="宋体" w:hAnsi="宋体" w:cs="仿宋_GB2312"/>
          <w:color w:val="auto"/>
          <w:sz w:val="24"/>
          <w:highlight w:val="none"/>
        </w:rPr>
        <w:t>6</w:t>
      </w:r>
      <w:r>
        <w:rPr>
          <w:rFonts w:hint="eastAsia" w:ascii="宋体" w:hAnsi="宋体" w:cs="仿宋_GB2312"/>
          <w:color w:val="auto"/>
          <w:sz w:val="24"/>
          <w:highlight w:val="none"/>
        </w:rPr>
        <w:t>.如为联合体竞标，</w:t>
      </w:r>
      <w:r>
        <w:rPr>
          <w:rFonts w:hint="eastAsia" w:ascii="宋体" w:hAnsi="宋体"/>
          <w:color w:val="auto"/>
          <w:spacing w:val="-6"/>
          <w:sz w:val="24"/>
          <w:highlight w:val="none"/>
        </w:rPr>
        <w:t xml:space="preserve"> 盖章处须加盖联合体牵头人电子签章</w:t>
      </w:r>
      <w:r>
        <w:rPr>
          <w:rFonts w:hint="eastAsia" w:ascii="宋体" w:hAnsi="宋体" w:cs="仿宋_GB2312"/>
          <w:color w:val="auto"/>
          <w:sz w:val="24"/>
          <w:highlight w:val="none"/>
        </w:rPr>
        <w:t>，</w:t>
      </w:r>
      <w:r>
        <w:rPr>
          <w:rFonts w:hint="eastAsia" w:ascii="宋体" w:hAnsi="宋体" w:cs="仿宋_GB2312"/>
          <w:b/>
          <w:color w:val="auto"/>
          <w:sz w:val="24"/>
          <w:highlight w:val="none"/>
        </w:rPr>
        <w:t>否则其响应文件按无效处理。</w:t>
      </w:r>
    </w:p>
    <w:p w14:paraId="7EEFBECC">
      <w:pPr>
        <w:spacing w:line="360" w:lineRule="auto"/>
        <w:ind w:firstLine="480" w:firstLineChars="200"/>
        <w:contextualSpacing/>
        <w:rPr>
          <w:rFonts w:hint="eastAsia" w:ascii="宋体" w:hAnsi="宋体" w:cs="仿宋_GB2312"/>
          <w:b/>
          <w:color w:val="auto"/>
          <w:sz w:val="24"/>
          <w:highlight w:val="none"/>
        </w:rPr>
      </w:pPr>
      <w:r>
        <w:rPr>
          <w:rFonts w:ascii="宋体" w:hAnsi="宋体" w:cs="仿宋_GB2312"/>
          <w:color w:val="auto"/>
          <w:sz w:val="24"/>
          <w:highlight w:val="none"/>
        </w:rPr>
        <w:t>7</w:t>
      </w:r>
      <w:r>
        <w:rPr>
          <w:rFonts w:hint="eastAsia" w:ascii="宋体" w:hAnsi="宋体" w:cs="仿宋_GB2312"/>
          <w:color w:val="auto"/>
          <w:sz w:val="24"/>
          <w:highlight w:val="none"/>
        </w:rPr>
        <w:t>.</w:t>
      </w:r>
      <w:r>
        <w:rPr>
          <w:rFonts w:hint="eastAsia" w:ascii="宋体" w:hAnsi="宋体" w:cs="仿宋_GB2312"/>
          <w:color w:val="auto"/>
          <w:spacing w:val="-6"/>
          <w:sz w:val="24"/>
          <w:highlight w:val="none"/>
        </w:rPr>
        <w:t>如有多分标，分别列明各分标的报价表，</w:t>
      </w:r>
      <w:r>
        <w:rPr>
          <w:rFonts w:hint="eastAsia" w:ascii="宋体" w:hAnsi="宋体" w:cs="仿宋_GB2312"/>
          <w:b/>
          <w:color w:val="auto"/>
          <w:spacing w:val="-6"/>
          <w:sz w:val="24"/>
          <w:highlight w:val="none"/>
        </w:rPr>
        <w:t>否则其响应文件按无效处理。</w:t>
      </w:r>
    </w:p>
    <w:p w14:paraId="2B720503">
      <w:pPr>
        <w:spacing w:line="360" w:lineRule="auto"/>
        <w:ind w:right="-817" w:rightChars="-389" w:firstLine="2640" w:firstLineChars="1100"/>
        <w:contextualSpacing/>
        <w:rPr>
          <w:rFonts w:hint="eastAsia" w:ascii="宋体" w:hAnsi="宋体" w:cs="仿宋_GB2312"/>
          <w:color w:val="auto"/>
          <w:sz w:val="24"/>
          <w:highlight w:val="none"/>
        </w:rPr>
      </w:pPr>
    </w:p>
    <w:p w14:paraId="1A70AE27">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5E886AF0">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73A0409B">
      <w:pPr>
        <w:spacing w:line="360" w:lineRule="auto"/>
        <w:ind w:right="-817" w:rightChars="-389"/>
        <w:contextualSpacing/>
        <w:rPr>
          <w:rFonts w:hint="eastAsia"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 xml:space="preserve">                      日期：   年   月   日</w:t>
      </w:r>
    </w:p>
    <w:p w14:paraId="7EF807A9">
      <w:pPr>
        <w:spacing w:line="360" w:lineRule="auto"/>
        <w:ind w:right="420"/>
        <w:contextualSpacing/>
        <w:jc w:val="left"/>
        <w:rPr>
          <w:rFonts w:hint="eastAsia" w:ascii="宋体" w:hAnsi="宋体"/>
          <w:b/>
          <w:color w:val="auto"/>
          <w:sz w:val="32"/>
          <w:szCs w:val="32"/>
          <w:highlight w:val="none"/>
        </w:rPr>
      </w:pPr>
      <w:r>
        <w:rPr>
          <w:rFonts w:ascii="宋体" w:hAnsi="宋体"/>
          <w:color w:val="auto"/>
          <w:szCs w:val="21"/>
          <w:highlight w:val="none"/>
        </w:rPr>
        <w:br w:type="page"/>
      </w:r>
      <w:r>
        <w:rPr>
          <w:rFonts w:hint="eastAsia" w:ascii="宋体" w:hAnsi="宋体"/>
          <w:b/>
          <w:bCs/>
          <w:color w:val="auto"/>
          <w:sz w:val="32"/>
          <w:szCs w:val="32"/>
          <w:highlight w:val="none"/>
        </w:rPr>
        <w:t>三、</w:t>
      </w:r>
      <w:r>
        <w:rPr>
          <w:rFonts w:hint="eastAsia" w:ascii="宋体" w:hAnsi="宋体"/>
          <w:b/>
          <w:color w:val="auto"/>
          <w:sz w:val="32"/>
          <w:szCs w:val="32"/>
          <w:highlight w:val="none"/>
        </w:rPr>
        <w:t xml:space="preserve">商务技术文件格式 </w:t>
      </w:r>
    </w:p>
    <w:p w14:paraId="6BF2A373">
      <w:pPr>
        <w:snapToGrid w:val="0"/>
        <w:spacing w:before="156"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1.商务技术文件封面格式</w:t>
      </w:r>
    </w:p>
    <w:p w14:paraId="06C0645D">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39129553">
      <w:pPr>
        <w:snapToGrid w:val="0"/>
        <w:spacing w:before="156"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3DA1A623">
      <w:pPr>
        <w:snapToGrid w:val="0"/>
        <w:spacing w:before="156" w:beforeLines="50" w:after="50"/>
        <w:rPr>
          <w:rFonts w:hint="eastAsia" w:ascii="宋体" w:hAnsi="宋体"/>
          <w:color w:val="auto"/>
          <w:sz w:val="24"/>
          <w:szCs w:val="20"/>
          <w:highlight w:val="none"/>
        </w:rPr>
      </w:pPr>
    </w:p>
    <w:p w14:paraId="7E974F35">
      <w:pPr>
        <w:snapToGrid w:val="0"/>
        <w:spacing w:before="156" w:beforeLines="50" w:after="50"/>
        <w:rPr>
          <w:rFonts w:hint="eastAsia" w:ascii="宋体" w:hAnsi="宋体"/>
          <w:color w:val="auto"/>
          <w:sz w:val="24"/>
          <w:szCs w:val="20"/>
          <w:highlight w:val="none"/>
        </w:rPr>
      </w:pPr>
    </w:p>
    <w:p w14:paraId="763FB09B">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185526D9">
      <w:pPr>
        <w:snapToGrid w:val="0"/>
        <w:spacing w:before="156" w:beforeLines="50" w:after="50"/>
        <w:rPr>
          <w:rFonts w:hint="eastAsia" w:ascii="宋体" w:hAnsi="宋体"/>
          <w:bCs/>
          <w:color w:val="auto"/>
          <w:sz w:val="24"/>
          <w:szCs w:val="20"/>
          <w:highlight w:val="none"/>
        </w:rPr>
      </w:pPr>
    </w:p>
    <w:p w14:paraId="5072C2C3">
      <w:pPr>
        <w:snapToGrid w:val="0"/>
        <w:spacing w:before="156" w:beforeLines="50" w:after="50"/>
        <w:rPr>
          <w:rFonts w:hint="eastAsia" w:ascii="宋体" w:hAnsi="宋体"/>
          <w:bCs/>
          <w:color w:val="auto"/>
          <w:sz w:val="24"/>
          <w:szCs w:val="20"/>
          <w:highlight w:val="none"/>
        </w:rPr>
      </w:pPr>
    </w:p>
    <w:p w14:paraId="53B960A8">
      <w:pPr>
        <w:snapToGrid w:val="0"/>
        <w:spacing w:before="156" w:beforeLines="50" w:after="50"/>
        <w:rPr>
          <w:rFonts w:hint="eastAsia" w:ascii="宋体" w:hAnsi="宋体"/>
          <w:bCs/>
          <w:color w:val="auto"/>
          <w:sz w:val="24"/>
          <w:szCs w:val="20"/>
          <w:highlight w:val="none"/>
        </w:rPr>
      </w:pPr>
    </w:p>
    <w:p w14:paraId="30289AEC">
      <w:pPr>
        <w:snapToGrid w:val="0"/>
        <w:spacing w:before="156" w:beforeLines="50" w:after="50"/>
        <w:rPr>
          <w:rFonts w:hint="eastAsia" w:ascii="宋体" w:hAnsi="宋体"/>
          <w:bCs/>
          <w:color w:val="auto"/>
          <w:sz w:val="24"/>
          <w:szCs w:val="20"/>
          <w:highlight w:val="none"/>
        </w:rPr>
      </w:pPr>
    </w:p>
    <w:p w14:paraId="7AA7F55E">
      <w:pPr>
        <w:snapToGrid w:val="0"/>
        <w:spacing w:before="156" w:beforeLines="50" w:after="50"/>
        <w:rPr>
          <w:rFonts w:hint="eastAsia" w:ascii="宋体" w:hAnsi="宋体"/>
          <w:bCs/>
          <w:color w:val="auto"/>
          <w:sz w:val="24"/>
          <w:szCs w:val="20"/>
          <w:highlight w:val="none"/>
        </w:rPr>
      </w:pPr>
    </w:p>
    <w:p w14:paraId="19A10F74">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66E229FD">
      <w:pPr>
        <w:snapToGrid w:val="0"/>
        <w:spacing w:before="156" w:beforeLines="50" w:after="50"/>
        <w:ind w:firstLine="720" w:firstLineChars="225"/>
        <w:rPr>
          <w:rFonts w:hint="eastAsia" w:ascii="宋体" w:hAnsi="宋体" w:cs="仿宋_GB2312"/>
          <w:bCs/>
          <w:color w:val="auto"/>
          <w:sz w:val="32"/>
          <w:szCs w:val="32"/>
          <w:highlight w:val="none"/>
        </w:rPr>
      </w:pPr>
    </w:p>
    <w:p w14:paraId="506E881C">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5204F9A5">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36F2F8CD">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1A775784">
      <w:pPr>
        <w:snapToGrid w:val="0"/>
        <w:spacing w:before="156" w:beforeLines="50" w:after="50"/>
        <w:ind w:firstLine="720" w:firstLineChars="225"/>
        <w:rPr>
          <w:rFonts w:hint="eastAsia" w:ascii="宋体" w:hAnsi="宋体" w:cs="仿宋_GB2312"/>
          <w:bCs/>
          <w:color w:val="auto"/>
          <w:sz w:val="32"/>
          <w:szCs w:val="32"/>
          <w:highlight w:val="none"/>
        </w:rPr>
      </w:pPr>
    </w:p>
    <w:p w14:paraId="0A9ED823">
      <w:pPr>
        <w:pStyle w:val="6"/>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C152343">
      <w:pPr>
        <w:pStyle w:val="6"/>
        <w:snapToGrid w:val="0"/>
        <w:spacing w:before="50" w:after="50"/>
        <w:ind w:firstLine="640" w:firstLineChars="200"/>
        <w:rPr>
          <w:rFonts w:hint="eastAsia" w:ascii="宋体" w:hAnsi="宋体" w:cs="仿宋_GB2312"/>
          <w:bCs/>
          <w:color w:val="auto"/>
          <w:sz w:val="32"/>
          <w:szCs w:val="32"/>
          <w:highlight w:val="none"/>
        </w:rPr>
      </w:pPr>
    </w:p>
    <w:p w14:paraId="5464E4B0">
      <w:pPr>
        <w:pStyle w:val="6"/>
        <w:snapToGrid w:val="0"/>
        <w:spacing w:before="50" w:after="50"/>
        <w:ind w:firstLine="720" w:firstLineChars="225"/>
        <w:rPr>
          <w:rFonts w:hint="eastAsia" w:ascii="宋体" w:hAnsi="宋体" w:cs="仿宋_GB2312"/>
          <w:bCs/>
          <w:color w:val="auto"/>
          <w:sz w:val="32"/>
          <w:szCs w:val="32"/>
          <w:highlight w:val="none"/>
        </w:rPr>
      </w:pPr>
    </w:p>
    <w:p w14:paraId="729A8C8A">
      <w:pPr>
        <w:pStyle w:val="6"/>
        <w:snapToGrid w:val="0"/>
        <w:spacing w:before="50" w:after="50"/>
        <w:ind w:firstLine="0"/>
        <w:rPr>
          <w:rFonts w:hint="eastAsia" w:ascii="宋体" w:hAnsi="宋体" w:cs="仿宋_GB2312"/>
          <w:bCs/>
          <w:color w:val="auto"/>
          <w:sz w:val="32"/>
          <w:szCs w:val="32"/>
          <w:highlight w:val="none"/>
        </w:rPr>
      </w:pPr>
    </w:p>
    <w:p w14:paraId="0FAABACA">
      <w:pPr>
        <w:pStyle w:val="6"/>
        <w:snapToGrid w:val="0"/>
        <w:spacing w:before="50" w:after="50"/>
        <w:ind w:firstLine="1280" w:firstLineChars="400"/>
        <w:rPr>
          <w:rFonts w:hint="eastAsia" w:ascii="宋体" w:hAnsi="宋体" w:cs="仿宋_GB2312"/>
          <w:bCs/>
          <w:color w:val="auto"/>
          <w:sz w:val="32"/>
          <w:szCs w:val="32"/>
          <w:highlight w:val="none"/>
        </w:rPr>
      </w:pPr>
    </w:p>
    <w:p w14:paraId="06AF21A7">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074AEF66">
      <w:pPr>
        <w:snapToGrid w:val="0"/>
        <w:spacing w:before="156" w:beforeLines="50" w:after="50" w:line="360" w:lineRule="auto"/>
        <w:ind w:left="142"/>
        <w:jc w:val="left"/>
        <w:rPr>
          <w:rFonts w:hint="eastAsia"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6496BF65">
      <w:pPr>
        <w:snapToGrid w:val="0"/>
        <w:spacing w:before="156"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14:paraId="027C4569">
      <w:pPr>
        <w:spacing w:line="400" w:lineRule="exact"/>
        <w:rPr>
          <w:rFonts w:hint="eastAsia" w:ascii="仿宋_GB2312" w:hAnsi="仿宋_GB2312" w:eastAsia="仿宋_GB2312" w:cs="仿宋_GB2312"/>
          <w:color w:val="auto"/>
          <w:sz w:val="32"/>
          <w:szCs w:val="32"/>
          <w:highlight w:val="none"/>
        </w:rPr>
      </w:pPr>
    </w:p>
    <w:p w14:paraId="391CCF43">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682112BE">
      <w:pPr>
        <w:spacing w:line="360" w:lineRule="auto"/>
        <w:ind w:firstLine="640" w:firstLineChars="200"/>
        <w:contextualSpacing/>
        <w:rPr>
          <w:rFonts w:hint="eastAsia" w:ascii="仿宋_GB2312" w:hAnsi="仿宋_GB2312" w:eastAsia="仿宋_GB2312" w:cs="仿宋_GB2312"/>
          <w:color w:val="auto"/>
          <w:sz w:val="32"/>
          <w:szCs w:val="32"/>
          <w:highlight w:val="none"/>
        </w:rPr>
      </w:pPr>
    </w:p>
    <w:p w14:paraId="4A329D26">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34DE5720">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1.不同供应商的响应文件由同一单位或者个人编制；</w:t>
      </w:r>
    </w:p>
    <w:p w14:paraId="5CA0348F">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1220806B">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3.不同的供应商的响应文件载明的项目管理员为同一个人；</w:t>
      </w:r>
    </w:p>
    <w:p w14:paraId="57A2EA98">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46125F9B">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4715550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6.不同供应商的竞标保证金从同一单位或者个人账户转出。</w:t>
      </w:r>
    </w:p>
    <w:p w14:paraId="1ABE5D25">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77FAFAE3">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6DC11FA0">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68FA810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580FD9BD">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7250905E">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5.供应商之间事先约定一致抬高或者压低竞标报价，或者在竞争性谈判项目中事先约定轮流以高价位或者低价位成交，或者事先约定由某一特定供应商成交，然后再参加竞标；</w:t>
      </w:r>
    </w:p>
    <w:p w14:paraId="58F166B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2C4B550B">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3404AFFF">
      <w:pPr>
        <w:spacing w:line="360" w:lineRule="auto"/>
        <w:ind w:firstLine="480" w:firstLineChars="200"/>
        <w:contextualSpacing/>
        <w:rPr>
          <w:rFonts w:hint="eastAsia" w:ascii="宋体" w:hAnsi="宋体" w:cs="仿宋_GB2312"/>
          <w:color w:val="auto"/>
          <w:sz w:val="24"/>
          <w:highlight w:val="none"/>
        </w:rPr>
      </w:pPr>
    </w:p>
    <w:p w14:paraId="4C6366E8">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016C94ED">
      <w:pPr>
        <w:spacing w:line="360" w:lineRule="auto"/>
        <w:ind w:firstLine="480" w:firstLineChars="200"/>
        <w:contextualSpacing/>
        <w:rPr>
          <w:rFonts w:hint="eastAsia" w:ascii="宋体" w:hAnsi="宋体" w:cs="仿宋_GB2312"/>
          <w:color w:val="auto"/>
          <w:sz w:val="24"/>
          <w:highlight w:val="none"/>
        </w:rPr>
      </w:pPr>
    </w:p>
    <w:p w14:paraId="238BFE05">
      <w:pPr>
        <w:spacing w:line="360" w:lineRule="auto"/>
        <w:contextualSpacing/>
        <w:rPr>
          <w:rFonts w:hint="eastAsia" w:ascii="宋体" w:hAnsi="宋体" w:cs="仿宋_GB2312"/>
          <w:color w:val="auto"/>
          <w:sz w:val="24"/>
          <w:highlight w:val="none"/>
        </w:rPr>
      </w:pPr>
    </w:p>
    <w:p w14:paraId="3AD5767C">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供应商名称（电子签章）：</w:t>
      </w:r>
    </w:p>
    <w:p w14:paraId="0232780F">
      <w:pPr>
        <w:spacing w:line="360" w:lineRule="auto"/>
        <w:ind w:firstLine="480" w:firstLineChars="200"/>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 xml:space="preserve">                               年   月   日</w:t>
      </w:r>
    </w:p>
    <w:p w14:paraId="4DFD6ADF">
      <w:pPr>
        <w:spacing w:line="360" w:lineRule="auto"/>
        <w:ind w:firstLine="640" w:firstLineChars="200"/>
        <w:contextualSpacing/>
        <w:jc w:val="center"/>
        <w:rPr>
          <w:rFonts w:hint="eastAsia" w:ascii="宋体" w:hAnsi="宋体" w:cs="仿宋_GB2312"/>
          <w:color w:val="auto"/>
          <w:sz w:val="32"/>
          <w:szCs w:val="32"/>
          <w:highlight w:val="none"/>
        </w:rPr>
      </w:pPr>
    </w:p>
    <w:p w14:paraId="45B81735">
      <w:pPr>
        <w:spacing w:before="312" w:beforeLines="100" w:after="156" w:afterLines="50" w:line="520" w:lineRule="exact"/>
        <w:ind w:left="540"/>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法定代表人证明书</w:t>
      </w:r>
    </w:p>
    <w:p w14:paraId="15A0EB42">
      <w:pPr>
        <w:spacing w:line="360" w:lineRule="auto"/>
        <w:ind w:left="540"/>
        <w:contextualSpacing/>
        <w:rPr>
          <w:rFonts w:hint="eastAsia" w:ascii="仿宋_GB2312" w:hAnsi="仿宋_GB2312" w:eastAsia="仿宋_GB2312" w:cs="仿宋_GB2312"/>
          <w:color w:val="auto"/>
          <w:sz w:val="32"/>
          <w:szCs w:val="32"/>
          <w:highlight w:val="none"/>
        </w:rPr>
      </w:pPr>
    </w:p>
    <w:p w14:paraId="241ED5A0">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09E702BC">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45FE104A">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428BDD82">
      <w:pPr>
        <w:spacing w:line="360" w:lineRule="auto"/>
        <w:ind w:left="540"/>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4202716C">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69B57EE1">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w:t>
      </w:r>
      <w:r>
        <w:rPr>
          <w:rFonts w:ascii="宋体" w:hAnsi="宋体" w:cs="仿宋_GB2312"/>
          <w:color w:val="auto"/>
          <w:sz w:val="24"/>
          <w:highlight w:val="none"/>
          <w:u w:val="single"/>
        </w:rPr>
        <w:t xml:space="preserve">   </w:t>
      </w:r>
      <w:r>
        <w:rPr>
          <w:rFonts w:hint="eastAsia" w:ascii="宋体" w:hAnsi="宋体" w:cs="仿宋_GB2312"/>
          <w:color w:val="auto"/>
          <w:sz w:val="24"/>
          <w:highlight w:val="none"/>
          <w:u w:val="single"/>
        </w:rPr>
        <w:t xml:space="preserve">（供应商名称） </w:t>
      </w:r>
      <w:r>
        <w:rPr>
          <w:rFonts w:ascii="宋体" w:hAnsi="宋体" w:cs="仿宋_GB2312"/>
          <w:color w:val="auto"/>
          <w:sz w:val="24"/>
          <w:highlight w:val="none"/>
          <w:u w:val="single"/>
        </w:rPr>
        <w:t xml:space="preserve">  </w:t>
      </w:r>
      <w:r>
        <w:rPr>
          <w:rFonts w:hint="eastAsia" w:ascii="宋体" w:hAnsi="宋体" w:cs="仿宋_GB2312"/>
          <w:color w:val="auto"/>
          <w:sz w:val="24"/>
          <w:highlight w:val="none"/>
        </w:rPr>
        <w:t>的法定代表人。</w:t>
      </w:r>
    </w:p>
    <w:p w14:paraId="1EFE2E56">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14:paraId="1F852D74">
      <w:pPr>
        <w:spacing w:line="360" w:lineRule="auto"/>
        <w:ind w:left="540"/>
        <w:contextualSpacing/>
        <w:rPr>
          <w:rFonts w:hint="eastAsia" w:ascii="宋体" w:hAnsi="宋体" w:cs="仿宋_GB2312"/>
          <w:color w:val="auto"/>
          <w:sz w:val="24"/>
          <w:highlight w:val="none"/>
        </w:rPr>
      </w:pPr>
    </w:p>
    <w:p w14:paraId="4DCF1D40">
      <w:pPr>
        <w:spacing w:line="360" w:lineRule="auto"/>
        <w:ind w:left="540"/>
        <w:contextualSpacing/>
        <w:rPr>
          <w:rFonts w:hint="eastAsia" w:ascii="宋体" w:hAnsi="宋体" w:cs="仿宋_GB2312"/>
          <w:color w:val="auto"/>
          <w:sz w:val="24"/>
          <w:highlight w:val="none"/>
        </w:rPr>
      </w:pPr>
    </w:p>
    <w:p w14:paraId="0F7511D2">
      <w:pPr>
        <w:spacing w:line="360" w:lineRule="auto"/>
        <w:ind w:left="540"/>
        <w:contextualSpacing/>
        <w:rPr>
          <w:rFonts w:hint="eastAsia" w:ascii="宋体" w:hAnsi="宋体" w:cs="仿宋_GB2312"/>
          <w:color w:val="auto"/>
          <w:sz w:val="24"/>
          <w:highlight w:val="none"/>
        </w:rPr>
      </w:pPr>
    </w:p>
    <w:p w14:paraId="4615A559">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248D673D">
      <w:pPr>
        <w:spacing w:line="360" w:lineRule="auto"/>
        <w:ind w:left="540"/>
        <w:contextualSpacing/>
        <w:rPr>
          <w:rFonts w:hint="eastAsia" w:ascii="宋体" w:hAnsi="宋体" w:cs="仿宋_GB2312"/>
          <w:color w:val="auto"/>
          <w:sz w:val="24"/>
          <w:highlight w:val="none"/>
        </w:rPr>
      </w:pPr>
    </w:p>
    <w:p w14:paraId="34501876">
      <w:pPr>
        <w:spacing w:line="360" w:lineRule="auto"/>
        <w:ind w:left="540"/>
        <w:contextualSpacing/>
        <w:jc w:val="right"/>
        <w:rPr>
          <w:rFonts w:hint="eastAsia" w:ascii="宋体" w:hAnsi="宋体" w:cs="仿宋_GB2312"/>
          <w:color w:val="auto"/>
          <w:sz w:val="24"/>
          <w:highlight w:val="none"/>
        </w:rPr>
      </w:pPr>
      <w:r>
        <w:rPr>
          <w:rFonts w:hint="eastAsia" w:ascii="宋体" w:hAnsi="宋体" w:cs="仿宋_GB2312"/>
          <w:color w:val="auto"/>
          <w:sz w:val="24"/>
          <w:highlight w:val="none"/>
        </w:rPr>
        <w:t>供应商名称（电子签章）：</w:t>
      </w:r>
      <w:r>
        <w:rPr>
          <w:rFonts w:hint="eastAsia" w:ascii="宋体" w:hAnsi="宋体" w:cs="仿宋_GB2312"/>
          <w:color w:val="auto"/>
          <w:sz w:val="24"/>
          <w:highlight w:val="none"/>
          <w:u w:val="single"/>
        </w:rPr>
        <w:t xml:space="preserve">               </w:t>
      </w:r>
    </w:p>
    <w:p w14:paraId="3A1D813E">
      <w:pPr>
        <w:spacing w:line="360" w:lineRule="auto"/>
        <w:ind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48F97D5E">
      <w:pPr>
        <w:spacing w:line="360" w:lineRule="auto"/>
        <w:contextualSpacing/>
        <w:jc w:val="center"/>
        <w:rPr>
          <w:rFonts w:hint="eastAsia" w:ascii="宋体" w:hAnsi="宋体" w:cs="仿宋_GB2312"/>
          <w:b/>
          <w:color w:val="auto"/>
          <w:sz w:val="24"/>
          <w:highlight w:val="none"/>
        </w:rPr>
      </w:pPr>
    </w:p>
    <w:p w14:paraId="16921D92">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注：自然人竞标的无需提供，联合体竞标的只需牵头人出具。</w:t>
      </w:r>
    </w:p>
    <w:p w14:paraId="30E04BDD">
      <w:pPr>
        <w:adjustRightInd w:val="0"/>
        <w:snapToGrid w:val="0"/>
        <w:spacing w:line="300" w:lineRule="auto"/>
        <w:jc w:val="left"/>
        <w:rPr>
          <w:rFonts w:hint="eastAsia" w:ascii="宋体" w:hAnsi="宋体"/>
          <w:b/>
          <w:color w:val="auto"/>
          <w:szCs w:val="21"/>
          <w:highlight w:val="none"/>
        </w:rPr>
      </w:pPr>
    </w:p>
    <w:p w14:paraId="536C709A">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14:paraId="571CB7A0">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（非联合体竞标格式）</w:t>
      </w:r>
    </w:p>
    <w:p w14:paraId="1BF4BDD3">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14:paraId="0CB42FF3">
      <w:pPr>
        <w:spacing w:line="360" w:lineRule="auto"/>
        <w:contextualSpacing/>
        <w:rPr>
          <w:rFonts w:hint="eastAsia" w:ascii="仿宋_GB2312" w:hAnsi="仿宋_GB2312" w:eastAsia="仿宋_GB2312" w:cs="仿宋_GB2312"/>
          <w:color w:val="auto"/>
          <w:sz w:val="32"/>
          <w:szCs w:val="32"/>
          <w:highlight w:val="none"/>
        </w:rPr>
      </w:pPr>
    </w:p>
    <w:p w14:paraId="6D81723E">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2702760C">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sym w:font="Wingdings 2" w:char="00A3"/>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150F8400">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我方对委托代理人的</w:t>
      </w:r>
      <w:r>
        <w:rPr>
          <w:rFonts w:hint="eastAsia" w:ascii="宋体" w:hAnsi="宋体"/>
          <w:color w:val="auto"/>
          <w:sz w:val="24"/>
          <w:highlight w:val="none"/>
        </w:rPr>
        <w:t>签字或者电子签名</w:t>
      </w:r>
      <w:r>
        <w:rPr>
          <w:rFonts w:hint="eastAsia" w:ascii="宋体" w:hAnsi="宋体" w:cs="仿宋_GB2312"/>
          <w:color w:val="auto"/>
          <w:sz w:val="24"/>
          <w:highlight w:val="none"/>
        </w:rPr>
        <w:t>事项负全部责任。</w:t>
      </w:r>
    </w:p>
    <w:p w14:paraId="73A1C323">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1B0324B5">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56B4CB8F">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749706DE">
      <w:pPr>
        <w:spacing w:line="360" w:lineRule="auto"/>
        <w:contextualSpacing/>
        <w:rPr>
          <w:rFonts w:hint="eastAsia" w:ascii="宋体" w:hAnsi="宋体" w:cs="仿宋_GB2312"/>
          <w:color w:val="auto"/>
          <w:sz w:val="24"/>
          <w:highlight w:val="none"/>
        </w:rPr>
      </w:pPr>
    </w:p>
    <w:p w14:paraId="7C9CA88F">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法定代表人（签字或者盖章或者电子签名）：                    </w:t>
      </w:r>
    </w:p>
    <w:p w14:paraId="0A5BA6C1">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4EFCCC0F">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04C29804">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供应商名称（电子签章）：                      </w:t>
      </w:r>
    </w:p>
    <w:p w14:paraId="3FBBAF87">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年    月    日</w:t>
      </w:r>
    </w:p>
    <w:p w14:paraId="2A2B152D">
      <w:pPr>
        <w:spacing w:line="360" w:lineRule="auto"/>
        <w:contextualSpacing/>
        <w:rPr>
          <w:rFonts w:hint="eastAsia" w:ascii="宋体" w:hAnsi="宋体" w:cs="仿宋_GB2312"/>
          <w:color w:val="auto"/>
          <w:sz w:val="24"/>
          <w:highlight w:val="none"/>
        </w:rPr>
      </w:pPr>
    </w:p>
    <w:p w14:paraId="2C3EB7DB">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09086104">
      <w:pPr>
        <w:spacing w:line="360" w:lineRule="auto"/>
        <w:ind w:firstLine="480" w:firstLineChars="200"/>
        <w:contextualSpacing/>
        <w:jc w:val="left"/>
        <w:rPr>
          <w:rFonts w:hint="eastAsia" w:ascii="宋体" w:hAns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法人、其他组织竞标时“我方”是指“我单位”，自然人竞标时“我方”是指“本人”。</w:t>
      </w:r>
    </w:p>
    <w:p w14:paraId="7ED428E0">
      <w:pPr>
        <w:spacing w:line="360" w:lineRule="auto"/>
        <w:ind w:firstLine="420" w:firstLineChars="200"/>
        <w:contextualSpacing/>
        <w:jc w:val="left"/>
        <w:rPr>
          <w:rFonts w:hint="eastAsia" w:ascii="仿宋_GB2312" w:hAnsi="仿宋_GB2312" w:eastAsia="仿宋_GB2312" w:cs="仿宋_GB2312"/>
          <w:color w:val="auto"/>
          <w:szCs w:val="21"/>
          <w:highlight w:val="none"/>
        </w:rPr>
      </w:pPr>
    </w:p>
    <w:p w14:paraId="3083CD03">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bCs/>
          <w:color w:val="auto"/>
          <w:sz w:val="44"/>
          <w:szCs w:val="44"/>
          <w:highlight w:val="none"/>
        </w:rPr>
        <w:t>商务要求偏离表格式</w:t>
      </w:r>
    </w:p>
    <w:p w14:paraId="5B77374E">
      <w:pPr>
        <w:spacing w:line="500" w:lineRule="exact"/>
        <w:jc w:val="center"/>
        <w:rPr>
          <w:rFonts w:ascii="宋体" w:hAnsi="宋体"/>
          <w:b/>
          <w:i/>
          <w:color w:val="auto"/>
          <w:sz w:val="32"/>
          <w:szCs w:val="32"/>
          <w:highlight w:val="none"/>
        </w:rPr>
      </w:pPr>
    </w:p>
    <w:p w14:paraId="031AB97D">
      <w:pPr>
        <w:snapToGrid w:val="0"/>
        <w:spacing w:before="50"/>
        <w:jc w:val="left"/>
        <w:rPr>
          <w:rFonts w:hint="eastAsia" w:ascii="宋体" w:hAnsi="宋体"/>
          <w:color w:val="auto"/>
          <w:sz w:val="24"/>
          <w:highlight w:val="none"/>
        </w:rPr>
      </w:pPr>
    </w:p>
    <w:p w14:paraId="6C18FB0F">
      <w:pPr>
        <w:pStyle w:val="12"/>
        <w:spacing w:line="360" w:lineRule="auto"/>
        <w:rPr>
          <w:rFonts w:hint="eastAsia" w:hAnsi="宋体" w:cs="仿宋_GB2312"/>
          <w:color w:val="auto"/>
          <w:sz w:val="24"/>
          <w:szCs w:val="24"/>
          <w:highlight w:val="none"/>
        </w:rPr>
      </w:pPr>
      <w:r>
        <w:rPr>
          <w:rFonts w:hint="eastAsia" w:hAnsi="宋体" w:cs="仿宋_GB2312"/>
          <w:color w:val="auto"/>
          <w:sz w:val="24"/>
          <w:szCs w:val="24"/>
          <w:highlight w:val="none"/>
        </w:rPr>
        <w:t>所竞分标：</w:t>
      </w:r>
      <w:r>
        <w:rPr>
          <w:rFonts w:hint="eastAsia" w:hAnsi="宋体" w:cs="仿宋_GB2312"/>
          <w:color w:val="auto"/>
          <w:sz w:val="24"/>
          <w:szCs w:val="24"/>
          <w:highlight w:val="none"/>
          <w:u w:val="single"/>
        </w:rPr>
        <w:t xml:space="preserve">              </w:t>
      </w:r>
    </w:p>
    <w:tbl>
      <w:tblPr>
        <w:tblStyle w:val="21"/>
        <w:tblpPr w:leftFromText="180" w:rightFromText="180" w:vertAnchor="text" w:horzAnchor="margin" w:tblpY="31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14:paraId="63EB8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58B97420">
            <w:pPr>
              <w:snapToGrid w:val="0"/>
              <w:spacing w:before="156" w:beforeLines="50"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211DC7CC">
            <w:pPr>
              <w:snapToGrid w:val="0"/>
              <w:spacing w:before="156" w:beforeLines="50"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谈判文件商务要求</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0A8F42D7">
            <w:pPr>
              <w:snapToGrid w:val="0"/>
              <w:spacing w:before="156" w:beforeLines="50"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供应商的响应</w:t>
            </w:r>
          </w:p>
        </w:tc>
        <w:tc>
          <w:tcPr>
            <w:tcW w:w="1829" w:type="dxa"/>
            <w:tcBorders>
              <w:top w:val="single" w:color="auto" w:sz="4" w:space="0"/>
              <w:left w:val="single" w:color="auto" w:sz="4" w:space="0"/>
              <w:bottom w:val="single" w:color="auto" w:sz="4" w:space="0"/>
              <w:right w:val="single" w:color="auto" w:sz="4" w:space="0"/>
            </w:tcBorders>
            <w:noWrap w:val="0"/>
            <w:vAlign w:val="center"/>
          </w:tcPr>
          <w:p w14:paraId="669C0254">
            <w:pPr>
              <w:snapToGrid w:val="0"/>
              <w:spacing w:before="156" w:beforeLines="50"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偏离说明</w:t>
            </w:r>
          </w:p>
        </w:tc>
      </w:tr>
      <w:tr w14:paraId="19AB5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30C66997">
            <w:pPr>
              <w:jc w:val="center"/>
              <w:rPr>
                <w:rFonts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3D97078D">
            <w:pPr>
              <w:jc w:val="center"/>
              <w:rPr>
                <w:rFonts w:ascii="宋体" w:hAnsi="宋体"/>
                <w:color w:val="auto"/>
                <w:sz w:val="24"/>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3ED638FB">
            <w:pPr>
              <w:snapToGrid w:val="0"/>
              <w:spacing w:before="156" w:beforeLines="50" w:line="360" w:lineRule="auto"/>
              <w:jc w:val="center"/>
              <w:rPr>
                <w:rFonts w:hint="eastAsia" w:ascii="宋体" w:hAnsi="宋体" w:cs="仿宋_GB2312"/>
                <w:color w:val="auto"/>
                <w:sz w:val="24"/>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7E40A281">
            <w:pPr>
              <w:snapToGrid w:val="0"/>
              <w:spacing w:before="156" w:beforeLines="50" w:line="360" w:lineRule="auto"/>
              <w:jc w:val="center"/>
              <w:rPr>
                <w:rFonts w:hint="eastAsia" w:ascii="宋体" w:hAnsi="宋体" w:cs="仿宋_GB2312"/>
                <w:color w:val="auto"/>
                <w:sz w:val="24"/>
                <w:highlight w:val="none"/>
              </w:rPr>
            </w:pPr>
          </w:p>
        </w:tc>
      </w:tr>
      <w:tr w14:paraId="54789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28A5098B">
            <w:pPr>
              <w:jc w:val="center"/>
              <w:rPr>
                <w:rFonts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4C5AEC1B">
            <w:pPr>
              <w:jc w:val="center"/>
              <w:rPr>
                <w:rFonts w:ascii="宋体" w:hAnsi="宋体"/>
                <w:color w:val="auto"/>
                <w:sz w:val="24"/>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594B4402">
            <w:pPr>
              <w:snapToGrid w:val="0"/>
              <w:spacing w:before="156" w:beforeLines="50" w:line="360" w:lineRule="auto"/>
              <w:ind w:left="43"/>
              <w:jc w:val="center"/>
              <w:rPr>
                <w:rFonts w:hint="eastAsia" w:ascii="宋体" w:hAnsi="宋体" w:cs="仿宋_GB2312"/>
                <w:color w:val="auto"/>
                <w:sz w:val="24"/>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2CA257CE">
            <w:pPr>
              <w:snapToGrid w:val="0"/>
              <w:spacing w:before="156" w:beforeLines="50" w:line="360" w:lineRule="auto"/>
              <w:ind w:left="43"/>
              <w:jc w:val="center"/>
              <w:rPr>
                <w:rFonts w:hint="eastAsia" w:ascii="宋体" w:hAnsi="宋体" w:cs="仿宋_GB2312"/>
                <w:color w:val="auto"/>
                <w:sz w:val="24"/>
                <w:highlight w:val="none"/>
              </w:rPr>
            </w:pPr>
          </w:p>
        </w:tc>
      </w:tr>
      <w:tr w14:paraId="417AE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14DBD3E6">
            <w:pPr>
              <w:snapToGrid w:val="0"/>
              <w:spacing w:before="156" w:beforeLines="50"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3B280300">
            <w:pPr>
              <w:snapToGrid w:val="0"/>
              <w:spacing w:before="156" w:beforeLines="50" w:line="360" w:lineRule="auto"/>
              <w:jc w:val="center"/>
              <w:rPr>
                <w:rFonts w:hint="eastAsia" w:ascii="宋体" w:hAnsi="宋体" w:cs="仿宋_GB2312"/>
                <w:color w:val="auto"/>
                <w:sz w:val="24"/>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37E7D563">
            <w:pPr>
              <w:snapToGrid w:val="0"/>
              <w:spacing w:before="156" w:beforeLines="50" w:line="360" w:lineRule="auto"/>
              <w:jc w:val="center"/>
              <w:rPr>
                <w:rFonts w:hint="eastAsia" w:ascii="宋体" w:hAnsi="宋体" w:cs="仿宋_GB2312"/>
                <w:color w:val="auto"/>
                <w:sz w:val="24"/>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2F536C03">
            <w:pPr>
              <w:snapToGrid w:val="0"/>
              <w:spacing w:before="156" w:beforeLines="50" w:line="360" w:lineRule="auto"/>
              <w:jc w:val="center"/>
              <w:rPr>
                <w:rFonts w:hint="eastAsia" w:ascii="宋体" w:hAnsi="宋体" w:cs="仿宋_GB2312"/>
                <w:color w:val="auto"/>
                <w:sz w:val="24"/>
                <w:highlight w:val="none"/>
              </w:rPr>
            </w:pPr>
          </w:p>
        </w:tc>
      </w:tr>
    </w:tbl>
    <w:p w14:paraId="00EC672B">
      <w:pPr>
        <w:pStyle w:val="9"/>
        <w:spacing w:after="0" w:line="360" w:lineRule="auto"/>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注：</w:t>
      </w:r>
    </w:p>
    <w:p w14:paraId="4584FEFB">
      <w:pPr>
        <w:pStyle w:val="9"/>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1. 说明：应对照谈判文件“第三章 采购需求”中的商务要求逐条明确响应，并作出偏离说明。</w:t>
      </w:r>
    </w:p>
    <w:p w14:paraId="137AC009">
      <w:pPr>
        <w:pStyle w:val="9"/>
        <w:spacing w:after="0" w:line="360" w:lineRule="auto"/>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2.供应商应根据自身的承诺，对照谈判文件要求在“偏离说明”中注明“正偏离</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rPr>
        <w:t>负偏离”或者“无偏离”。既不属于“正偏离”也不属于“负偏离”即为“无偏离”。</w:t>
      </w:r>
    </w:p>
    <w:p w14:paraId="66D69238">
      <w:pPr>
        <w:spacing w:line="360" w:lineRule="auto"/>
        <w:contextualSpacing/>
        <w:jc w:val="left"/>
        <w:rPr>
          <w:rFonts w:hint="eastAsia" w:ascii="宋体" w:hAnsi="宋体" w:cs="仿宋_GB2312"/>
          <w:color w:val="auto"/>
          <w:sz w:val="24"/>
          <w:highlight w:val="none"/>
          <w:u w:val="single"/>
        </w:rPr>
      </w:pPr>
    </w:p>
    <w:p w14:paraId="1F24DE4D">
      <w:pPr>
        <w:spacing w:line="360" w:lineRule="auto"/>
        <w:contextualSpacing/>
        <w:jc w:val="left"/>
        <w:rPr>
          <w:rFonts w:hint="eastAsia" w:ascii="宋体" w:hAnsi="宋体" w:cs="仿宋_GB2312"/>
          <w:color w:val="auto"/>
          <w:sz w:val="24"/>
          <w:highlight w:val="none"/>
          <w:u w:val="single"/>
        </w:rPr>
      </w:pPr>
    </w:p>
    <w:p w14:paraId="31AF63AA">
      <w:pPr>
        <w:spacing w:line="360" w:lineRule="auto"/>
        <w:ind w:right="-817" w:rightChars="-389"/>
        <w:contextualSpacing/>
        <w:rPr>
          <w:rFonts w:hint="eastAsia" w:ascii="宋体" w:hAnsi="宋体" w:cs="仿宋_GB2312"/>
          <w:color w:val="auto"/>
          <w:sz w:val="24"/>
          <w:highlight w:val="none"/>
        </w:rPr>
      </w:pPr>
    </w:p>
    <w:p w14:paraId="73D3513A">
      <w:pPr>
        <w:spacing w:line="360" w:lineRule="auto"/>
        <w:ind w:right="-817" w:rightChars="-389"/>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4D2895A8">
      <w:pPr>
        <w:spacing w:line="360" w:lineRule="auto"/>
        <w:ind w:right="-817" w:rightChars="-389" w:firstLine="2880" w:firstLineChars="1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112F5943">
      <w:pPr>
        <w:spacing w:line="360" w:lineRule="auto"/>
        <w:ind w:right="-817" w:rightChars="-389" w:firstLine="2880" w:firstLineChars="12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7802C0C9">
      <w:pPr>
        <w:adjustRightInd w:val="0"/>
        <w:snapToGrid w:val="0"/>
        <w:spacing w:line="520" w:lineRule="exact"/>
        <w:ind w:firstLine="7040" w:firstLineChars="1600"/>
        <w:jc w:val="center"/>
        <w:rPr>
          <w:rFonts w:hint="eastAsia" w:ascii="方正小标宋简体" w:hAnsi="方正小标宋简体" w:eastAsia="方正小标宋简体" w:cs="方正小标宋简体"/>
          <w:bCs/>
          <w:color w:val="auto"/>
          <w:sz w:val="44"/>
          <w:szCs w:val="44"/>
          <w:highlight w:val="none"/>
        </w:rPr>
      </w:pPr>
    </w:p>
    <w:p w14:paraId="70437732">
      <w:pPr>
        <w:adjustRightInd w:val="0"/>
        <w:snapToGrid w:val="0"/>
        <w:spacing w:line="520" w:lineRule="exact"/>
        <w:jc w:val="center"/>
        <w:rPr>
          <w:rFonts w:hint="eastAsia" w:ascii="宋体" w:hAnsi="宋体"/>
          <w:b/>
          <w:color w:val="auto"/>
          <w:sz w:val="32"/>
          <w:szCs w:val="32"/>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货物配置清单</w:t>
      </w:r>
    </w:p>
    <w:p w14:paraId="25D3F14C">
      <w:pPr>
        <w:spacing w:line="300" w:lineRule="auto"/>
        <w:rPr>
          <w:rFonts w:hint="eastAsia" w:ascii="宋体" w:hAnsi="宋体"/>
          <w:color w:val="auto"/>
          <w:szCs w:val="21"/>
          <w:highlight w:val="none"/>
        </w:rPr>
      </w:pPr>
    </w:p>
    <w:p w14:paraId="758E7D69">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34B458BB">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54816BB8">
      <w:pPr>
        <w:spacing w:line="360" w:lineRule="auto"/>
        <w:rPr>
          <w:rFonts w:hint="eastAsia" w:ascii="宋体" w:hAnsi="宋体" w:cs="仿宋_GB2312"/>
          <w:color w:val="auto"/>
          <w:sz w:val="24"/>
          <w:highlight w:val="none"/>
          <w:u w:val="single"/>
        </w:rPr>
      </w:pPr>
      <w:r>
        <w:rPr>
          <w:rFonts w:hint="eastAsia" w:ascii="宋体" w:hAnsi="宋体" w:cs="仿宋_GB2312"/>
          <w:color w:val="auto"/>
          <w:sz w:val="24"/>
          <w:highlight w:val="none"/>
        </w:rPr>
        <w:t>所竞分标：</w:t>
      </w:r>
      <w:r>
        <w:rPr>
          <w:rFonts w:hint="eastAsia" w:ascii="宋体" w:hAnsi="宋体" w:cs="仿宋_GB2312"/>
          <w:color w:val="auto"/>
          <w:sz w:val="24"/>
          <w:highlight w:val="none"/>
          <w:u w:val="single"/>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1245"/>
        <w:gridCol w:w="803"/>
        <w:gridCol w:w="895"/>
        <w:gridCol w:w="1786"/>
        <w:gridCol w:w="1245"/>
        <w:gridCol w:w="737"/>
        <w:gridCol w:w="1496"/>
      </w:tblGrid>
      <w:tr w14:paraId="07957D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14:paraId="3DF6185D">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序号</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D63B805">
            <w:pPr>
              <w:snapToGrid w:val="0"/>
              <w:spacing w:before="50" w:after="50"/>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标的的名称</w:t>
            </w:r>
          </w:p>
        </w:tc>
        <w:tc>
          <w:tcPr>
            <w:tcW w:w="803" w:type="dxa"/>
            <w:tcBorders>
              <w:top w:val="single" w:color="auto" w:sz="4" w:space="0"/>
              <w:left w:val="single" w:color="auto" w:sz="4" w:space="0"/>
              <w:bottom w:val="single" w:color="auto" w:sz="4" w:space="0"/>
              <w:right w:val="single" w:color="auto" w:sz="4" w:space="0"/>
            </w:tcBorders>
            <w:noWrap w:val="0"/>
            <w:vAlign w:val="center"/>
          </w:tcPr>
          <w:p w14:paraId="46266DDB">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数量及单位</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48748D72">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品牌</w:t>
            </w:r>
          </w:p>
        </w:tc>
        <w:tc>
          <w:tcPr>
            <w:tcW w:w="1786" w:type="dxa"/>
            <w:tcBorders>
              <w:top w:val="single" w:color="auto" w:sz="4" w:space="0"/>
              <w:left w:val="single" w:color="auto" w:sz="4" w:space="0"/>
              <w:bottom w:val="single" w:color="auto" w:sz="4" w:space="0"/>
              <w:right w:val="single" w:color="auto" w:sz="4" w:space="0"/>
            </w:tcBorders>
            <w:noWrap w:val="0"/>
            <w:vAlign w:val="top"/>
          </w:tcPr>
          <w:p w14:paraId="0AD2BEB9">
            <w:pPr>
              <w:snapToGrid w:val="0"/>
              <w:spacing w:before="50" w:after="50"/>
              <w:jc w:val="center"/>
              <w:rPr>
                <w:rFonts w:ascii="宋体" w:hAnsi="宋体"/>
                <w:color w:val="auto"/>
                <w:sz w:val="24"/>
                <w:highlight w:val="none"/>
              </w:rPr>
            </w:pPr>
          </w:p>
          <w:p w14:paraId="3B6BD57D">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规格型号</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6CE670A1">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制造商</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1D3661BC">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原产地</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7ECCAB45">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参数性能、指标及配置</w:t>
            </w:r>
          </w:p>
        </w:tc>
      </w:tr>
      <w:tr w14:paraId="2C5C83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14:paraId="1218ADDC">
            <w:pPr>
              <w:snapToGrid w:val="0"/>
              <w:spacing w:before="50" w:after="5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7A3CC87">
            <w:pPr>
              <w:snapToGrid w:val="0"/>
              <w:spacing w:before="50" w:after="50"/>
              <w:jc w:val="center"/>
              <w:rPr>
                <w:rFonts w:hint="eastAsia" w:ascii="宋体" w:hAnsi="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noWrap w:val="0"/>
            <w:vAlign w:val="center"/>
          </w:tcPr>
          <w:p w14:paraId="42159A1D">
            <w:pPr>
              <w:snapToGrid w:val="0"/>
              <w:spacing w:before="50" w:after="50"/>
              <w:jc w:val="center"/>
              <w:rPr>
                <w:rFonts w:hint="eastAsia" w:ascii="宋体" w:hAnsi="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3097AE18">
            <w:pPr>
              <w:snapToGrid w:val="0"/>
              <w:spacing w:before="50" w:after="50"/>
              <w:jc w:val="center"/>
              <w:rPr>
                <w:rFonts w:hint="eastAsia" w:ascii="宋体" w:hAnsi="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noWrap w:val="0"/>
            <w:vAlign w:val="top"/>
          </w:tcPr>
          <w:p w14:paraId="61F333C2">
            <w:pPr>
              <w:snapToGrid w:val="0"/>
              <w:spacing w:before="50" w:after="5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37E5C80">
            <w:pPr>
              <w:snapToGrid w:val="0"/>
              <w:spacing w:before="50" w:after="50"/>
              <w:jc w:val="center"/>
              <w:rPr>
                <w:rFonts w:hint="eastAsia"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DC62372">
            <w:pPr>
              <w:snapToGrid w:val="0"/>
              <w:spacing w:before="50" w:after="50"/>
              <w:jc w:val="center"/>
              <w:rPr>
                <w:rFonts w:hint="eastAsia" w:ascii="宋体" w:hAnsi="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697E5289">
            <w:pPr>
              <w:snapToGrid w:val="0"/>
              <w:spacing w:before="50" w:after="50"/>
              <w:jc w:val="center"/>
              <w:rPr>
                <w:rFonts w:hint="eastAsia" w:ascii="宋体" w:hAnsi="宋体"/>
                <w:color w:val="auto"/>
                <w:sz w:val="24"/>
                <w:highlight w:val="none"/>
              </w:rPr>
            </w:pPr>
          </w:p>
        </w:tc>
      </w:tr>
      <w:tr w14:paraId="78F787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14:paraId="5C2BA0E2">
            <w:pPr>
              <w:snapToGrid w:val="0"/>
              <w:spacing w:before="50" w:after="5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7BF7685">
            <w:pPr>
              <w:snapToGrid w:val="0"/>
              <w:spacing w:before="50" w:after="50"/>
              <w:jc w:val="center"/>
              <w:rPr>
                <w:rFonts w:hint="eastAsia" w:ascii="宋体" w:hAnsi="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noWrap w:val="0"/>
            <w:vAlign w:val="center"/>
          </w:tcPr>
          <w:p w14:paraId="21984FAC">
            <w:pPr>
              <w:snapToGrid w:val="0"/>
              <w:spacing w:before="50" w:after="50"/>
              <w:jc w:val="center"/>
              <w:rPr>
                <w:rFonts w:hint="eastAsia" w:ascii="宋体" w:hAnsi="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59AE66E8">
            <w:pPr>
              <w:snapToGrid w:val="0"/>
              <w:spacing w:before="50" w:after="50"/>
              <w:jc w:val="center"/>
              <w:rPr>
                <w:rFonts w:hint="eastAsia" w:ascii="宋体" w:hAnsi="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noWrap w:val="0"/>
            <w:vAlign w:val="top"/>
          </w:tcPr>
          <w:p w14:paraId="04F2E322">
            <w:pPr>
              <w:snapToGrid w:val="0"/>
              <w:spacing w:before="50" w:after="5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D879267">
            <w:pPr>
              <w:snapToGrid w:val="0"/>
              <w:spacing w:before="50" w:after="50"/>
              <w:jc w:val="center"/>
              <w:rPr>
                <w:rFonts w:hint="eastAsia"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3F8D28C">
            <w:pPr>
              <w:snapToGrid w:val="0"/>
              <w:spacing w:before="50" w:after="50"/>
              <w:jc w:val="center"/>
              <w:rPr>
                <w:rFonts w:hint="eastAsia" w:ascii="宋体" w:hAnsi="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0D6726EA">
            <w:pPr>
              <w:snapToGrid w:val="0"/>
              <w:spacing w:before="50" w:after="50"/>
              <w:jc w:val="center"/>
              <w:rPr>
                <w:rFonts w:hint="eastAsia" w:ascii="宋体" w:hAnsi="宋体"/>
                <w:color w:val="auto"/>
                <w:sz w:val="24"/>
                <w:highlight w:val="none"/>
              </w:rPr>
            </w:pPr>
          </w:p>
        </w:tc>
      </w:tr>
      <w:tr w14:paraId="37E92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14:paraId="5A29B037">
            <w:pPr>
              <w:snapToGrid w:val="0"/>
              <w:spacing w:before="50" w:after="5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6F9443A1">
            <w:pPr>
              <w:snapToGrid w:val="0"/>
              <w:spacing w:before="50" w:after="50"/>
              <w:jc w:val="center"/>
              <w:rPr>
                <w:rFonts w:hint="eastAsia" w:ascii="宋体" w:hAnsi="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noWrap w:val="0"/>
            <w:vAlign w:val="center"/>
          </w:tcPr>
          <w:p w14:paraId="79734BE2">
            <w:pPr>
              <w:snapToGrid w:val="0"/>
              <w:spacing w:before="50" w:after="50"/>
              <w:jc w:val="center"/>
              <w:rPr>
                <w:rFonts w:hint="eastAsia" w:ascii="宋体" w:hAnsi="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7AD8E22C">
            <w:pPr>
              <w:snapToGrid w:val="0"/>
              <w:spacing w:before="50" w:after="50"/>
              <w:jc w:val="center"/>
              <w:rPr>
                <w:rFonts w:hint="eastAsia" w:ascii="宋体" w:hAnsi="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noWrap w:val="0"/>
            <w:vAlign w:val="top"/>
          </w:tcPr>
          <w:p w14:paraId="73B3B649">
            <w:pPr>
              <w:snapToGrid w:val="0"/>
              <w:spacing w:before="50" w:after="5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2B9CBAF">
            <w:pPr>
              <w:snapToGrid w:val="0"/>
              <w:spacing w:before="50" w:after="50"/>
              <w:jc w:val="center"/>
              <w:rPr>
                <w:rFonts w:hint="eastAsia"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089641F">
            <w:pPr>
              <w:snapToGrid w:val="0"/>
              <w:spacing w:before="50" w:after="50"/>
              <w:jc w:val="center"/>
              <w:rPr>
                <w:rFonts w:hint="eastAsia" w:ascii="宋体" w:hAnsi="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7A090F51">
            <w:pPr>
              <w:snapToGrid w:val="0"/>
              <w:spacing w:before="50" w:after="50"/>
              <w:jc w:val="center"/>
              <w:rPr>
                <w:rFonts w:hint="eastAsia" w:ascii="宋体" w:hAnsi="宋体"/>
                <w:color w:val="auto"/>
                <w:sz w:val="24"/>
                <w:highlight w:val="none"/>
              </w:rPr>
            </w:pPr>
          </w:p>
        </w:tc>
      </w:tr>
    </w:tbl>
    <w:p w14:paraId="0C24C79B">
      <w:pPr>
        <w:spacing w:line="360" w:lineRule="auto"/>
        <w:contextualSpacing/>
        <w:rPr>
          <w:rFonts w:hint="eastAsia" w:ascii="宋体" w:hAnsi="宋体"/>
          <w:color w:val="auto"/>
          <w:sz w:val="24"/>
          <w:highlight w:val="none"/>
        </w:rPr>
      </w:pPr>
      <w:r>
        <w:rPr>
          <w:rFonts w:hint="eastAsia" w:ascii="宋体" w:hAnsi="宋体"/>
          <w:color w:val="auto"/>
          <w:sz w:val="24"/>
          <w:highlight w:val="none"/>
        </w:rPr>
        <w:t>备注：</w:t>
      </w:r>
    </w:p>
    <w:p w14:paraId="2C7D6C38">
      <w:pPr>
        <w:tabs>
          <w:tab w:val="left" w:pos="1065"/>
        </w:tabs>
        <w:adjustRightInd w:val="0"/>
        <w:spacing w:line="360" w:lineRule="auto"/>
        <w:contextualSpacing/>
        <w:rPr>
          <w:rFonts w:hint="eastAsia" w:ascii="宋体" w:hAnsi="宋体" w:cs="仿宋_GB2312"/>
          <w:color w:val="auto"/>
          <w:sz w:val="24"/>
          <w:highlight w:val="none"/>
        </w:rPr>
      </w:pPr>
      <w:r>
        <w:rPr>
          <w:rFonts w:hint="eastAsia" w:ascii="宋体" w:hAnsi="宋体"/>
          <w:b/>
          <w:bCs/>
          <w:color w:val="auto"/>
          <w:sz w:val="24"/>
          <w:highlight w:val="none"/>
        </w:rPr>
        <w:t>以上货物配置清单中“</w:t>
      </w:r>
      <w:r>
        <w:rPr>
          <w:rFonts w:hint="eastAsia" w:ascii="宋体" w:hAnsi="宋体"/>
          <w:b/>
          <w:bCs/>
          <w:color w:val="auto"/>
          <w:sz w:val="24"/>
          <w:highlight w:val="none"/>
          <w:lang w:val="en-US" w:eastAsia="zh-CN"/>
        </w:rPr>
        <w:t>标的的名称</w:t>
      </w:r>
      <w:r>
        <w:rPr>
          <w:rFonts w:hint="eastAsia" w:ascii="宋体" w:hAnsi="宋体"/>
          <w:b/>
          <w:bCs/>
          <w:color w:val="auto"/>
          <w:sz w:val="24"/>
          <w:highlight w:val="none"/>
        </w:rPr>
        <w:t>、数量及单位、品牌、规格型号、制造商、原产地、参数性能、指标及配置”必须如实填写完整，品牌、规格型号没有则填无，填写有缺漏的，响应文件按无效处理</w:t>
      </w:r>
      <w:r>
        <w:rPr>
          <w:rFonts w:hint="eastAsia" w:ascii="宋体" w:hAnsi="宋体"/>
          <w:b/>
          <w:color w:val="auto"/>
          <w:sz w:val="24"/>
          <w:highlight w:val="none"/>
        </w:rPr>
        <w:t>。</w:t>
      </w:r>
      <w:r>
        <w:rPr>
          <w:rFonts w:hint="eastAsia" w:ascii="宋体" w:hAnsi="宋体" w:cs="仿宋_GB2312"/>
          <w:color w:val="auto"/>
          <w:sz w:val="24"/>
          <w:highlight w:val="none"/>
        </w:rPr>
        <w:tab/>
      </w:r>
    </w:p>
    <w:p w14:paraId="6C7E7A67">
      <w:pPr>
        <w:adjustRightInd w:val="0"/>
        <w:spacing w:line="360" w:lineRule="auto"/>
        <w:contextualSpacing/>
        <w:jc w:val="left"/>
        <w:rPr>
          <w:rFonts w:hint="eastAsia" w:ascii="宋体" w:hAnsi="宋体" w:cs="仿宋_GB2312"/>
          <w:color w:val="auto"/>
          <w:sz w:val="24"/>
          <w:highlight w:val="none"/>
        </w:rPr>
      </w:pPr>
    </w:p>
    <w:p w14:paraId="0FD97D66">
      <w:pPr>
        <w:adjustRightInd w:val="0"/>
        <w:spacing w:line="360" w:lineRule="auto"/>
        <w:contextualSpacing/>
        <w:jc w:val="left"/>
        <w:rPr>
          <w:rFonts w:hint="eastAsia" w:ascii="宋体" w:hAnsi="宋体" w:cs="仿宋_GB2312"/>
          <w:color w:val="auto"/>
          <w:sz w:val="24"/>
          <w:highlight w:val="none"/>
        </w:rPr>
      </w:pPr>
    </w:p>
    <w:p w14:paraId="16524BA0">
      <w:pPr>
        <w:adjustRightInd w:val="0"/>
        <w:spacing w:line="360" w:lineRule="auto"/>
        <w:contextualSpacing/>
        <w:jc w:val="left"/>
        <w:rPr>
          <w:rFonts w:hint="eastAsia" w:ascii="宋体" w:hAnsi="宋体" w:cs="仿宋_GB2312"/>
          <w:color w:val="auto"/>
          <w:sz w:val="24"/>
          <w:highlight w:val="none"/>
        </w:rPr>
      </w:pPr>
    </w:p>
    <w:p w14:paraId="0048DD8E">
      <w:pPr>
        <w:spacing w:line="360" w:lineRule="auto"/>
        <w:ind w:right="-817" w:rightChars="-389"/>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1FAF140E">
      <w:pPr>
        <w:spacing w:line="360" w:lineRule="auto"/>
        <w:ind w:right="-817" w:rightChars="-389" w:firstLine="2880" w:firstLineChars="1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38709B4D">
      <w:pPr>
        <w:spacing w:line="360" w:lineRule="auto"/>
        <w:ind w:right="-817" w:rightChars="-389" w:firstLine="2880" w:firstLineChars="1200"/>
        <w:contextualSpacing/>
        <w:rPr>
          <w:rFonts w:hint="eastAsia"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   年   月   日</w:t>
      </w:r>
    </w:p>
    <w:p w14:paraId="08FF09EC">
      <w:pPr>
        <w:adjustRightInd w:val="0"/>
        <w:snapToGrid w:val="0"/>
        <w:spacing w:line="300" w:lineRule="auto"/>
        <w:rPr>
          <w:rFonts w:hint="eastAsia" w:ascii="宋体" w:hAnsi="宋体"/>
          <w:color w:val="auto"/>
          <w:szCs w:val="21"/>
          <w:highlight w:val="none"/>
          <w:u w:val="single"/>
        </w:rPr>
      </w:pPr>
    </w:p>
    <w:p w14:paraId="6CB85402">
      <w:pPr>
        <w:adjustRightInd w:val="0"/>
        <w:snapToGrid w:val="0"/>
        <w:spacing w:line="300" w:lineRule="auto"/>
        <w:rPr>
          <w:rFonts w:hint="eastAsia" w:ascii="宋体" w:hAnsi="宋体"/>
          <w:color w:val="auto"/>
          <w:szCs w:val="21"/>
          <w:highlight w:val="none"/>
          <w:u w:val="single"/>
        </w:rPr>
      </w:pPr>
    </w:p>
    <w:p w14:paraId="3393AC31">
      <w:pPr>
        <w:adjustRightInd w:val="0"/>
        <w:snapToGrid w:val="0"/>
        <w:spacing w:line="300" w:lineRule="auto"/>
        <w:rPr>
          <w:rFonts w:hint="eastAsia" w:ascii="宋体" w:hAnsi="宋体"/>
          <w:color w:val="auto"/>
          <w:szCs w:val="21"/>
          <w:highlight w:val="none"/>
          <w:u w:val="single"/>
        </w:rPr>
      </w:pPr>
    </w:p>
    <w:p w14:paraId="5DF76421">
      <w:pPr>
        <w:adjustRightInd w:val="0"/>
        <w:snapToGrid w:val="0"/>
        <w:spacing w:line="300" w:lineRule="auto"/>
        <w:rPr>
          <w:rFonts w:hint="eastAsia" w:ascii="宋体" w:hAnsi="宋体"/>
          <w:color w:val="auto"/>
          <w:szCs w:val="21"/>
          <w:highlight w:val="none"/>
          <w:u w:val="single"/>
        </w:rPr>
      </w:pPr>
    </w:p>
    <w:p w14:paraId="19DF06A6">
      <w:pPr>
        <w:adjustRightInd w:val="0"/>
        <w:snapToGrid w:val="0"/>
        <w:spacing w:line="300" w:lineRule="auto"/>
        <w:rPr>
          <w:rFonts w:hint="eastAsia" w:ascii="宋体" w:hAnsi="宋体"/>
          <w:color w:val="auto"/>
          <w:szCs w:val="21"/>
          <w:highlight w:val="none"/>
          <w:u w:val="single"/>
        </w:rPr>
      </w:pPr>
    </w:p>
    <w:p w14:paraId="7B08E50A">
      <w:pPr>
        <w:adjustRightInd w:val="0"/>
        <w:snapToGrid w:val="0"/>
        <w:spacing w:line="300" w:lineRule="auto"/>
        <w:rPr>
          <w:rFonts w:hint="eastAsia" w:ascii="宋体" w:hAnsi="宋体"/>
          <w:color w:val="auto"/>
          <w:szCs w:val="21"/>
          <w:highlight w:val="none"/>
          <w:u w:val="single"/>
        </w:rPr>
      </w:pPr>
    </w:p>
    <w:p w14:paraId="5A57EB3D">
      <w:pPr>
        <w:adjustRightInd w:val="0"/>
        <w:snapToGrid w:val="0"/>
        <w:spacing w:line="300" w:lineRule="auto"/>
        <w:rPr>
          <w:rFonts w:hint="eastAsia" w:ascii="宋体" w:hAnsi="宋体"/>
          <w:color w:val="auto"/>
          <w:szCs w:val="21"/>
          <w:highlight w:val="none"/>
          <w:u w:val="single"/>
        </w:rPr>
      </w:pPr>
    </w:p>
    <w:p w14:paraId="09FB9347">
      <w:pPr>
        <w:adjustRightInd w:val="0"/>
        <w:snapToGrid w:val="0"/>
        <w:spacing w:line="300" w:lineRule="auto"/>
        <w:rPr>
          <w:rFonts w:hint="eastAsia" w:ascii="宋体" w:hAnsi="宋体"/>
          <w:color w:val="auto"/>
          <w:szCs w:val="21"/>
          <w:highlight w:val="none"/>
          <w:u w:val="single"/>
        </w:rPr>
      </w:pPr>
    </w:p>
    <w:p w14:paraId="45C923EC">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技术要求偏离表</w:t>
      </w:r>
    </w:p>
    <w:p w14:paraId="1BD9971F">
      <w:pPr>
        <w:spacing w:line="520" w:lineRule="exact"/>
        <w:rPr>
          <w:rFonts w:hint="eastAsia" w:ascii="仿宋_GB2312" w:hAnsi="仿宋_GB2312" w:eastAsia="仿宋_GB2312" w:cs="仿宋_GB2312"/>
          <w:color w:val="auto"/>
          <w:sz w:val="32"/>
          <w:szCs w:val="32"/>
          <w:highlight w:val="none"/>
        </w:rPr>
      </w:pPr>
    </w:p>
    <w:p w14:paraId="35682D8E">
      <w:pPr>
        <w:spacing w:line="360" w:lineRule="auto"/>
        <w:rPr>
          <w:rFonts w:hint="eastAsia" w:ascii="宋体" w:hAnsi="宋体" w:cs="仿宋_GB2312"/>
          <w:color w:val="auto"/>
          <w:sz w:val="24"/>
          <w:highlight w:val="none"/>
          <w:u w:val="single"/>
        </w:rPr>
      </w:pPr>
      <w:r>
        <w:rPr>
          <w:rFonts w:hint="eastAsia" w:ascii="宋体" w:hAnsi="宋体" w:cs="仿宋_GB2312"/>
          <w:color w:val="auto"/>
          <w:sz w:val="24"/>
          <w:highlight w:val="none"/>
        </w:rPr>
        <w:t>采购项目编号：</w:t>
      </w:r>
      <w:r>
        <w:rPr>
          <w:rFonts w:hint="eastAsia" w:ascii="宋体" w:hAnsi="宋体" w:cs="仿宋_GB2312"/>
          <w:color w:val="auto"/>
          <w:sz w:val="24"/>
          <w:highlight w:val="none"/>
          <w:u w:val="single"/>
        </w:rPr>
        <w:t xml:space="preserve">                 </w:t>
      </w:r>
    </w:p>
    <w:p w14:paraId="6271B2F0">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采购项目名称：</w:t>
      </w:r>
      <w:r>
        <w:rPr>
          <w:rFonts w:hint="eastAsia" w:ascii="宋体" w:hAnsi="宋体" w:cs="仿宋_GB2312"/>
          <w:color w:val="auto"/>
          <w:sz w:val="24"/>
          <w:highlight w:val="none"/>
          <w:u w:val="single"/>
        </w:rPr>
        <w:t xml:space="preserve">                 </w:t>
      </w:r>
    </w:p>
    <w:p w14:paraId="7FFBC9BD">
      <w:pPr>
        <w:spacing w:line="360" w:lineRule="auto"/>
        <w:rPr>
          <w:rFonts w:hint="eastAsia" w:ascii="宋体" w:hAnsi="宋体" w:cs="仿宋_GB2312"/>
          <w:color w:val="auto"/>
          <w:sz w:val="24"/>
          <w:highlight w:val="none"/>
          <w:u w:val="single"/>
        </w:rPr>
      </w:pPr>
      <w:r>
        <w:rPr>
          <w:rFonts w:hint="eastAsia" w:ascii="宋体" w:hAnsi="宋体" w:cs="仿宋_GB2312"/>
          <w:color w:val="auto"/>
          <w:sz w:val="24"/>
          <w:highlight w:val="none"/>
        </w:rPr>
        <w:t>分标号：</w:t>
      </w:r>
      <w:r>
        <w:rPr>
          <w:rFonts w:hint="eastAsia" w:ascii="宋体" w:hAnsi="宋体" w:cs="仿宋_GB2312"/>
          <w:color w:val="auto"/>
          <w:sz w:val="24"/>
          <w:highlight w:val="none"/>
          <w:u w:val="single"/>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
        <w:gridCol w:w="900"/>
        <w:gridCol w:w="2989"/>
        <w:gridCol w:w="2690"/>
        <w:gridCol w:w="1467"/>
      </w:tblGrid>
      <w:tr w14:paraId="3EF511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51526427">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序号</w:t>
            </w:r>
          </w:p>
        </w:tc>
        <w:tc>
          <w:tcPr>
            <w:tcW w:w="900" w:type="dxa"/>
            <w:tcBorders>
              <w:right w:val="single" w:color="auto" w:sz="4" w:space="0"/>
            </w:tcBorders>
            <w:noWrap w:val="0"/>
            <w:vAlign w:val="center"/>
          </w:tcPr>
          <w:p w14:paraId="4857631B">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名称</w:t>
            </w:r>
          </w:p>
        </w:tc>
        <w:tc>
          <w:tcPr>
            <w:tcW w:w="2989" w:type="dxa"/>
            <w:tcBorders>
              <w:left w:val="single" w:color="auto" w:sz="4" w:space="0"/>
            </w:tcBorders>
            <w:noWrap w:val="0"/>
            <w:vAlign w:val="center"/>
          </w:tcPr>
          <w:p w14:paraId="3615BAF2">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谈判文件要求</w:t>
            </w:r>
          </w:p>
        </w:tc>
        <w:tc>
          <w:tcPr>
            <w:tcW w:w="2690" w:type="dxa"/>
            <w:noWrap w:val="0"/>
            <w:vAlign w:val="center"/>
          </w:tcPr>
          <w:p w14:paraId="5B3BDC88">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竞标响应</w:t>
            </w:r>
          </w:p>
        </w:tc>
        <w:tc>
          <w:tcPr>
            <w:tcW w:w="1467" w:type="dxa"/>
            <w:noWrap w:val="0"/>
            <w:vAlign w:val="center"/>
          </w:tcPr>
          <w:p w14:paraId="449733C7">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偏离说明</w:t>
            </w:r>
          </w:p>
        </w:tc>
      </w:tr>
      <w:tr w14:paraId="0020B1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69034298">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1</w:t>
            </w:r>
          </w:p>
        </w:tc>
        <w:tc>
          <w:tcPr>
            <w:tcW w:w="900" w:type="dxa"/>
            <w:tcBorders>
              <w:right w:val="single" w:color="auto" w:sz="4" w:space="0"/>
            </w:tcBorders>
            <w:noWrap w:val="0"/>
            <w:vAlign w:val="center"/>
          </w:tcPr>
          <w:p w14:paraId="628EA540">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989" w:type="dxa"/>
            <w:tcBorders>
              <w:left w:val="single" w:color="auto" w:sz="4" w:space="0"/>
            </w:tcBorders>
            <w:noWrap w:val="0"/>
            <w:vAlign w:val="center"/>
          </w:tcPr>
          <w:p w14:paraId="48FFB631">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690" w:type="dxa"/>
            <w:noWrap w:val="0"/>
            <w:vAlign w:val="center"/>
          </w:tcPr>
          <w:p w14:paraId="6043FC23">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467" w:type="dxa"/>
            <w:noWrap w:val="0"/>
            <w:vAlign w:val="center"/>
          </w:tcPr>
          <w:p w14:paraId="40DC12E7">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r>
      <w:tr w14:paraId="7E734D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282E1E05">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2</w:t>
            </w:r>
          </w:p>
        </w:tc>
        <w:tc>
          <w:tcPr>
            <w:tcW w:w="900" w:type="dxa"/>
            <w:tcBorders>
              <w:right w:val="single" w:color="auto" w:sz="4" w:space="0"/>
            </w:tcBorders>
            <w:noWrap w:val="0"/>
            <w:vAlign w:val="center"/>
          </w:tcPr>
          <w:p w14:paraId="56929EC1">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989" w:type="dxa"/>
            <w:tcBorders>
              <w:left w:val="single" w:color="auto" w:sz="4" w:space="0"/>
            </w:tcBorders>
            <w:noWrap w:val="0"/>
            <w:vAlign w:val="center"/>
          </w:tcPr>
          <w:p w14:paraId="63423880">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690" w:type="dxa"/>
            <w:noWrap w:val="0"/>
            <w:vAlign w:val="center"/>
          </w:tcPr>
          <w:p w14:paraId="7FBE3384">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467" w:type="dxa"/>
            <w:noWrap w:val="0"/>
            <w:vAlign w:val="center"/>
          </w:tcPr>
          <w:p w14:paraId="79433341">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r>
      <w:tr w14:paraId="428E90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73D675BB">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3</w:t>
            </w:r>
          </w:p>
        </w:tc>
        <w:tc>
          <w:tcPr>
            <w:tcW w:w="900" w:type="dxa"/>
            <w:tcBorders>
              <w:right w:val="single" w:color="auto" w:sz="4" w:space="0"/>
            </w:tcBorders>
            <w:noWrap w:val="0"/>
            <w:vAlign w:val="center"/>
          </w:tcPr>
          <w:p w14:paraId="73773553">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989" w:type="dxa"/>
            <w:tcBorders>
              <w:left w:val="single" w:color="auto" w:sz="4" w:space="0"/>
            </w:tcBorders>
            <w:noWrap w:val="0"/>
            <w:vAlign w:val="center"/>
          </w:tcPr>
          <w:p w14:paraId="4EEA5CDE">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690" w:type="dxa"/>
            <w:noWrap w:val="0"/>
            <w:vAlign w:val="center"/>
          </w:tcPr>
          <w:p w14:paraId="02863660">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467" w:type="dxa"/>
            <w:noWrap w:val="0"/>
            <w:vAlign w:val="center"/>
          </w:tcPr>
          <w:p w14:paraId="25041A0E">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r>
      <w:tr w14:paraId="41F441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3E5E2DBD">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4</w:t>
            </w:r>
          </w:p>
        </w:tc>
        <w:tc>
          <w:tcPr>
            <w:tcW w:w="900" w:type="dxa"/>
            <w:tcBorders>
              <w:right w:val="single" w:color="auto" w:sz="4" w:space="0"/>
            </w:tcBorders>
            <w:noWrap w:val="0"/>
            <w:vAlign w:val="center"/>
          </w:tcPr>
          <w:p w14:paraId="0B5EC302">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989" w:type="dxa"/>
            <w:tcBorders>
              <w:left w:val="single" w:color="auto" w:sz="4" w:space="0"/>
            </w:tcBorders>
            <w:noWrap w:val="0"/>
            <w:vAlign w:val="center"/>
          </w:tcPr>
          <w:p w14:paraId="608AB39B">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690" w:type="dxa"/>
            <w:noWrap w:val="0"/>
            <w:vAlign w:val="center"/>
          </w:tcPr>
          <w:p w14:paraId="763082B8">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467" w:type="dxa"/>
            <w:noWrap w:val="0"/>
            <w:vAlign w:val="center"/>
          </w:tcPr>
          <w:p w14:paraId="346B0E2A">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r>
      <w:tr w14:paraId="6238F3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3DFB04BF">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5</w:t>
            </w:r>
          </w:p>
        </w:tc>
        <w:tc>
          <w:tcPr>
            <w:tcW w:w="900" w:type="dxa"/>
            <w:tcBorders>
              <w:right w:val="single" w:color="auto" w:sz="4" w:space="0"/>
            </w:tcBorders>
            <w:noWrap w:val="0"/>
            <w:vAlign w:val="center"/>
          </w:tcPr>
          <w:p w14:paraId="7175ADA3">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989" w:type="dxa"/>
            <w:tcBorders>
              <w:left w:val="single" w:color="auto" w:sz="4" w:space="0"/>
            </w:tcBorders>
            <w:noWrap w:val="0"/>
            <w:vAlign w:val="center"/>
          </w:tcPr>
          <w:p w14:paraId="36E09780">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690" w:type="dxa"/>
            <w:noWrap w:val="0"/>
            <w:vAlign w:val="center"/>
          </w:tcPr>
          <w:p w14:paraId="0025F3DB">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467" w:type="dxa"/>
            <w:noWrap w:val="0"/>
            <w:vAlign w:val="center"/>
          </w:tcPr>
          <w:p w14:paraId="3F7E9BF9">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r>
      <w:tr w14:paraId="0E677B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00" w:type="dxa"/>
            <w:noWrap w:val="0"/>
            <w:vAlign w:val="center"/>
          </w:tcPr>
          <w:p w14:paraId="3AE413FD">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w:t>
            </w:r>
          </w:p>
        </w:tc>
        <w:tc>
          <w:tcPr>
            <w:tcW w:w="900" w:type="dxa"/>
            <w:tcBorders>
              <w:right w:val="single" w:color="auto" w:sz="4" w:space="0"/>
            </w:tcBorders>
            <w:noWrap w:val="0"/>
            <w:vAlign w:val="center"/>
          </w:tcPr>
          <w:p w14:paraId="364F7E92">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989" w:type="dxa"/>
            <w:tcBorders>
              <w:left w:val="single" w:color="auto" w:sz="4" w:space="0"/>
            </w:tcBorders>
            <w:noWrap w:val="0"/>
            <w:vAlign w:val="center"/>
          </w:tcPr>
          <w:p w14:paraId="369F8EEC">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690" w:type="dxa"/>
            <w:noWrap w:val="0"/>
            <w:vAlign w:val="center"/>
          </w:tcPr>
          <w:p w14:paraId="5A6D9283">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467" w:type="dxa"/>
            <w:tcBorders>
              <w:right w:val="single" w:color="auto" w:sz="4" w:space="0"/>
            </w:tcBorders>
            <w:noWrap w:val="0"/>
            <w:vAlign w:val="center"/>
          </w:tcPr>
          <w:p w14:paraId="27C8270A">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r>
    </w:tbl>
    <w:p w14:paraId="48D10313">
      <w:pPr>
        <w:pStyle w:val="10"/>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42B58243">
      <w:pPr>
        <w:pStyle w:val="10"/>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说明：应对照谈判文件“第三章 采购需求”中的技术要求逐条实质性响应，并作出偏离说明。</w:t>
      </w:r>
    </w:p>
    <w:p w14:paraId="06D61E37">
      <w:pPr>
        <w:pStyle w:val="10"/>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2.供应商应根据竞标设备的性能指标，对照谈判文件要求，在“偏离说明”中注明“正偏离</w:t>
      </w:r>
      <w:r>
        <w:rPr>
          <w:rFonts w:hint="eastAsia" w:ascii="宋体" w:hAnsi="宋体" w:eastAsia="宋体" w:cs="仿宋_GB2312"/>
          <w:color w:val="auto"/>
          <w:sz w:val="24"/>
          <w:szCs w:val="24"/>
          <w:highlight w:val="none"/>
          <w:lang w:eastAsia="zh-CN"/>
        </w:rPr>
        <w:t>”“</w:t>
      </w:r>
      <w:r>
        <w:rPr>
          <w:rFonts w:hint="eastAsia" w:ascii="宋体" w:hAnsi="宋体" w:eastAsia="宋体" w:cs="仿宋_GB2312"/>
          <w:color w:val="auto"/>
          <w:sz w:val="24"/>
          <w:szCs w:val="24"/>
          <w:highlight w:val="none"/>
        </w:rPr>
        <w:t>负偏离”或者“无偏离”。既不属于“正偏离”也不属于“负偏离”即为“无偏离”。</w:t>
      </w:r>
    </w:p>
    <w:p w14:paraId="0E0DFF54">
      <w:pPr>
        <w:pStyle w:val="10"/>
        <w:spacing w:line="360" w:lineRule="auto"/>
        <w:ind w:firstLine="0" w:firstLineChars="0"/>
        <w:contextualSpacing/>
        <w:rPr>
          <w:rFonts w:ascii="宋体" w:hAnsi="宋体" w:eastAsia="宋体"/>
          <w:color w:val="auto"/>
          <w:sz w:val="24"/>
          <w:szCs w:val="24"/>
          <w:highlight w:val="none"/>
        </w:rPr>
      </w:pPr>
      <w:r>
        <w:rPr>
          <w:rFonts w:hint="eastAsia" w:ascii="宋体" w:hAnsi="宋体" w:eastAsia="宋体"/>
          <w:color w:val="auto"/>
          <w:sz w:val="24"/>
          <w:szCs w:val="24"/>
          <w:highlight w:val="none"/>
        </w:rPr>
        <w:t>3.供应商认为其竞标响应有正偏离的，请在技术要求偏离表中列明，且在响应文件中提供竞标产品的彩页或</w:t>
      </w:r>
      <w:r>
        <w:rPr>
          <w:rFonts w:ascii="宋体" w:hAnsi="宋体" w:eastAsia="宋体"/>
          <w:color w:val="auto"/>
          <w:sz w:val="24"/>
          <w:szCs w:val="24"/>
          <w:highlight w:val="none"/>
        </w:rPr>
        <w:t>国家认可有资质的第三方检测机构出具的检测报告复印件</w:t>
      </w:r>
      <w:r>
        <w:rPr>
          <w:rFonts w:hint="eastAsia" w:ascii="宋体" w:hAnsi="宋体" w:eastAsia="宋体"/>
          <w:color w:val="auto"/>
          <w:sz w:val="24"/>
          <w:szCs w:val="24"/>
          <w:highlight w:val="none"/>
        </w:rPr>
        <w:t>或产品生产厂家出具的技术参数说明证明作为佐证，以上佐证材料均需加盖生产厂家或代理商（附生产厂家授权资料）公章。</w:t>
      </w:r>
    </w:p>
    <w:p w14:paraId="2C5EBD55">
      <w:pPr>
        <w:pStyle w:val="10"/>
        <w:spacing w:line="360" w:lineRule="auto"/>
        <w:ind w:firstLine="0" w:firstLineChars="0"/>
        <w:contextualSpacing/>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 如技术要求偏离表中的竞标响应与佐证材料不一致的，以佐证材料为准。</w:t>
      </w:r>
    </w:p>
    <w:p w14:paraId="5B83FA66">
      <w:pPr>
        <w:pStyle w:val="10"/>
        <w:spacing w:line="360" w:lineRule="auto"/>
        <w:ind w:firstLine="0" w:firstLineChars="0"/>
        <w:contextualSpacing/>
        <w:rPr>
          <w:rFonts w:hint="eastAsia" w:ascii="宋体" w:hAnsi="宋体" w:eastAsia="宋体" w:cs="仿宋_GB2312"/>
          <w:color w:val="auto"/>
          <w:sz w:val="24"/>
          <w:szCs w:val="24"/>
          <w:highlight w:val="none"/>
        </w:rPr>
      </w:pPr>
    </w:p>
    <w:p w14:paraId="5CF63412">
      <w:pPr>
        <w:spacing w:line="360" w:lineRule="auto"/>
        <w:ind w:right="-817" w:rightChars="-389"/>
        <w:contextualSpacing/>
        <w:rPr>
          <w:rFonts w:hint="eastAsia" w:ascii="宋体" w:hAnsi="宋体" w:cs="仿宋_GB2312"/>
          <w:color w:val="auto"/>
          <w:sz w:val="24"/>
          <w:highlight w:val="none"/>
        </w:rPr>
      </w:pPr>
    </w:p>
    <w:p w14:paraId="109AD21A">
      <w:pPr>
        <w:spacing w:line="360" w:lineRule="auto"/>
        <w:ind w:right="-817" w:rightChars="-389"/>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0B0F7542">
      <w:pPr>
        <w:spacing w:line="360" w:lineRule="auto"/>
        <w:ind w:right="-817" w:rightChars="-389" w:firstLine="2880" w:firstLineChars="1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7C5C4EAB">
      <w:pPr>
        <w:spacing w:line="360" w:lineRule="auto"/>
        <w:ind w:right="-817" w:rightChars="-389" w:firstLine="2880" w:firstLineChars="12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1DB47D3F">
      <w:pPr>
        <w:snapToGrid w:val="0"/>
        <w:spacing w:before="156" w:beforeLines="50" w:after="50"/>
        <w:jc w:val="left"/>
        <w:rPr>
          <w:rFonts w:hint="eastAsia" w:ascii="方正小标宋简体" w:hAnsi="方正小标宋简体" w:eastAsia="方正小标宋简体" w:cs="方正小标宋简体"/>
          <w:bCs/>
          <w:color w:val="auto"/>
          <w:szCs w:val="21"/>
          <w:highlight w:val="none"/>
        </w:rPr>
      </w:pPr>
      <w:r>
        <w:rPr>
          <w:rFonts w:ascii="宋体" w:hAnsi="宋体" w:cs="仿宋_GB2312"/>
          <w:color w:val="auto"/>
          <w:sz w:val="24"/>
          <w:highlight w:val="none"/>
        </w:rPr>
        <w:br w:type="page"/>
      </w:r>
    </w:p>
    <w:p w14:paraId="3B5ABF57">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代理服务费承诺书</w:t>
      </w:r>
    </w:p>
    <w:p w14:paraId="65815F7A">
      <w:pPr>
        <w:snapToGrid w:val="0"/>
        <w:spacing w:before="156" w:beforeLines="50" w:after="50"/>
        <w:jc w:val="center"/>
        <w:rPr>
          <w:rFonts w:hint="eastAsia" w:ascii="宋体" w:hAnsi="宋体"/>
          <w:b/>
          <w:color w:val="auto"/>
          <w:sz w:val="24"/>
          <w:highlight w:val="none"/>
        </w:rPr>
      </w:pPr>
    </w:p>
    <w:p w14:paraId="1B9E4FF0">
      <w:pPr>
        <w:spacing w:line="360" w:lineRule="auto"/>
        <w:rPr>
          <w:rFonts w:hint="eastAsia"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招标代理机构名称</w:t>
      </w:r>
      <w:r>
        <w:rPr>
          <w:rFonts w:hint="eastAsia" w:ascii="宋体" w:hAnsi="宋体"/>
          <w:color w:val="auto"/>
          <w:sz w:val="24"/>
          <w:highlight w:val="none"/>
        </w:rPr>
        <w:t>：</w:t>
      </w:r>
    </w:p>
    <w:p w14:paraId="396E472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本单位参加了贵方组织的</w:t>
      </w:r>
      <w:r>
        <w:rPr>
          <w:rFonts w:hint="eastAsia" w:ascii="宋体" w:hAnsi="宋体"/>
          <w:color w:val="auto"/>
          <w:sz w:val="24"/>
          <w:highlight w:val="none"/>
          <w:u w:val="single"/>
        </w:rPr>
        <w:t xml:space="preserve">  项目名称（项目编号）  </w:t>
      </w:r>
      <w:r>
        <w:rPr>
          <w:rFonts w:hint="eastAsia" w:ascii="宋体" w:hAnsi="宋体"/>
          <w:color w:val="auto"/>
          <w:sz w:val="24"/>
          <w:highlight w:val="none"/>
        </w:rPr>
        <w:t>项目， 在此说明如下：</w:t>
      </w:r>
    </w:p>
    <w:p w14:paraId="57E5705A">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1.我方承诺，若本单位中标，保证在发出中标通知书之后，按本项目采购文件的规定标准向贵单位一次性足额支付代理服务费</w:t>
      </w:r>
      <w:r>
        <w:rPr>
          <w:rFonts w:hint="eastAsia" w:ascii="宋体" w:hAnsi="宋体"/>
          <w:color w:val="auto"/>
          <w:sz w:val="24"/>
          <w:highlight w:val="none"/>
          <w:lang w:eastAsia="zh-CN"/>
        </w:rPr>
        <w:t>，</w:t>
      </w:r>
      <w:r>
        <w:rPr>
          <w:rFonts w:hint="eastAsia" w:ascii="宋体" w:hAnsi="宋体"/>
          <w:color w:val="auto"/>
          <w:sz w:val="24"/>
          <w:highlight w:val="none"/>
        </w:rPr>
        <w:t xml:space="preserve"> 在领取中标通知书后，由于被质疑、投诉或者其他原因而导致中标结果改变，我方将放弃对已缴纳的中标服务费追还的一切权利。</w:t>
      </w:r>
    </w:p>
    <w:p w14:paraId="4F74CD49">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2.本单位选择第</w:t>
      </w:r>
      <w:r>
        <w:rPr>
          <w:rFonts w:hint="eastAsia" w:ascii="宋体" w:hAnsi="宋体"/>
          <w:color w:val="auto"/>
          <w:sz w:val="24"/>
          <w:highlight w:val="none"/>
          <w:u w:val="single"/>
        </w:rPr>
        <w:t xml:space="preserve">     </w:t>
      </w:r>
      <w:r>
        <w:rPr>
          <w:rFonts w:hint="eastAsia" w:ascii="宋体" w:hAnsi="宋体"/>
          <w:color w:val="auto"/>
          <w:sz w:val="24"/>
          <w:highlight w:val="none"/>
        </w:rPr>
        <w:t>种方式作为代理服务费开票类型：</w:t>
      </w:r>
    </w:p>
    <w:p w14:paraId="42BF589E">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第一种方式：开具增值税普通发票。开票信息如下：</w:t>
      </w:r>
    </w:p>
    <w:p w14:paraId="7395B196">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（1）公司名称_</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A749889">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（2）纳税人识别号_</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15FFD39">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第二种方式：开具增值税专用发票，开票信息如下：</w:t>
      </w:r>
    </w:p>
    <w:p w14:paraId="35672465">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C0D8E2B">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（2）纳税人识别号</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4EDCDC5F">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（3）在税局登记的地址</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2D29F3F">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（4）在税局登记的电话</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C9CE7E0">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（5）开户银行</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BDA0174">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（6）银行账户</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D917029">
      <w:pPr>
        <w:spacing w:line="440" w:lineRule="exact"/>
        <w:rPr>
          <w:rFonts w:hint="eastAsia" w:ascii="宋体" w:hAnsi="宋体"/>
          <w:color w:val="auto"/>
          <w:sz w:val="24"/>
          <w:highlight w:val="none"/>
        </w:rPr>
      </w:pPr>
    </w:p>
    <w:p w14:paraId="6EB5E360">
      <w:pPr>
        <w:spacing w:line="440" w:lineRule="exact"/>
        <w:rPr>
          <w:rFonts w:hint="eastAsia" w:ascii="宋体" w:hAnsi="宋体"/>
          <w:color w:val="auto"/>
          <w:sz w:val="24"/>
          <w:highlight w:val="none"/>
        </w:rPr>
      </w:pPr>
    </w:p>
    <w:p w14:paraId="31672F98">
      <w:pPr>
        <w:spacing w:line="440" w:lineRule="exact"/>
        <w:rPr>
          <w:rFonts w:hint="eastAsia" w:ascii="宋体" w:hAnsi="宋体"/>
          <w:color w:val="auto"/>
          <w:sz w:val="24"/>
          <w:highlight w:val="none"/>
        </w:rPr>
      </w:pPr>
    </w:p>
    <w:p w14:paraId="0AB0C37E">
      <w:pPr>
        <w:snapToGrid w:val="0"/>
        <w:spacing w:line="360" w:lineRule="auto"/>
        <w:ind w:left="-2" w:leftChars="-1" w:right="-817" w:rightChars="-389" w:firstLine="1920" w:firstLineChars="800"/>
        <w:rPr>
          <w:rFonts w:hint="eastAsia" w:ascii="宋体" w:hAnsi="宋体"/>
          <w:color w:val="auto"/>
          <w:sz w:val="24"/>
          <w:highlight w:val="none"/>
        </w:rPr>
      </w:pPr>
      <w:r>
        <w:rPr>
          <w:rFonts w:hint="eastAsia" w:ascii="宋体" w:hAnsi="宋体"/>
          <w:color w:val="auto"/>
          <w:sz w:val="24"/>
          <w:highlight w:val="none"/>
        </w:rPr>
        <w:t xml:space="preserve">法定代表人或者委托代理人（签字或者电子签名）： </w:t>
      </w:r>
    </w:p>
    <w:p w14:paraId="1899580E">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供应商公章（电子签章）：</w:t>
      </w:r>
    </w:p>
    <w:p w14:paraId="22265EF7">
      <w:pPr>
        <w:snapToGrid w:val="0"/>
        <w:spacing w:before="50" w:after="50" w:line="360" w:lineRule="auto"/>
        <w:ind w:right="-817" w:rightChars="-389" w:firstLine="4080" w:firstLineChars="1700"/>
        <w:rPr>
          <w:rFonts w:hint="eastAsia" w:ascii="仿宋_GB2312" w:hAnsi="仿宋_GB2312" w:eastAsia="仿宋_GB2312" w:cs="仿宋_GB2312"/>
          <w:b/>
          <w:color w:val="auto"/>
          <w:sz w:val="32"/>
          <w:szCs w:val="32"/>
          <w:highlight w:val="none"/>
        </w:rPr>
      </w:pPr>
      <w:r>
        <w:rPr>
          <w:rFonts w:hint="eastAsia" w:ascii="宋体" w:hAnsi="宋体"/>
          <w:color w:val="auto"/>
          <w:sz w:val="24"/>
          <w:highlight w:val="none"/>
        </w:rPr>
        <w:t xml:space="preserve">                   日期：    年   月   日</w:t>
      </w:r>
    </w:p>
    <w:p w14:paraId="0A7D1D57">
      <w:pPr>
        <w:spacing w:line="360" w:lineRule="auto"/>
        <w:ind w:right="-817" w:rightChars="-389" w:firstLine="3840" w:firstLineChars="1200"/>
        <w:contextualSpacing/>
        <w:rPr>
          <w:rFonts w:ascii="仿宋_GB2312" w:hAnsi="仿宋_GB2312" w:eastAsia="仿宋_GB2312" w:cs="仿宋_GB2312"/>
          <w:color w:val="auto"/>
          <w:sz w:val="32"/>
          <w:szCs w:val="32"/>
          <w:highlight w:val="none"/>
        </w:rPr>
      </w:pPr>
    </w:p>
    <w:p w14:paraId="75799D13">
      <w:pPr>
        <w:spacing w:line="300" w:lineRule="auto"/>
        <w:rPr>
          <w:rFonts w:hint="eastAsia" w:ascii="宋体" w:hAnsi="宋体"/>
          <w:color w:val="auto"/>
          <w:szCs w:val="21"/>
          <w:highlight w:val="none"/>
        </w:rPr>
      </w:pPr>
      <w:r>
        <w:rPr>
          <w:rFonts w:ascii="宋体" w:hAnsi="宋体"/>
          <w:b/>
          <w:bCs/>
          <w:color w:val="auto"/>
          <w:sz w:val="24"/>
          <w:highlight w:val="none"/>
        </w:rPr>
        <w:br w:type="page"/>
      </w:r>
      <w:r>
        <w:rPr>
          <w:rFonts w:hint="eastAsia" w:ascii="宋体" w:hAnsi="宋体"/>
          <w:b/>
          <w:bCs/>
          <w:color w:val="auto"/>
          <w:sz w:val="24"/>
          <w:highlight w:val="none"/>
        </w:rPr>
        <w:t>其他文书、文件格式</w:t>
      </w:r>
    </w:p>
    <w:p w14:paraId="62F62D8F">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bookmarkStart w:id="85" w:name="_Toc71365383"/>
      <w:bookmarkStart w:id="86" w:name="_Toc71366061"/>
      <w:r>
        <w:rPr>
          <w:rFonts w:hint="eastAsia" w:ascii="方正小标宋简体" w:hAnsi="方正小标宋简体" w:eastAsia="方正小标宋简体" w:cs="方正小标宋简体"/>
          <w:bCs/>
          <w:color w:val="auto"/>
          <w:sz w:val="44"/>
          <w:szCs w:val="44"/>
          <w:highlight w:val="none"/>
        </w:rPr>
        <w:t>中小企业声明函（货物）</w:t>
      </w:r>
      <w:bookmarkEnd w:id="85"/>
      <w:bookmarkEnd w:id="86"/>
    </w:p>
    <w:p w14:paraId="1834ACF1">
      <w:pPr>
        <w:rPr>
          <w:rFonts w:hint="eastAsia"/>
          <w:color w:val="auto"/>
          <w:highlight w:val="none"/>
        </w:rPr>
      </w:pPr>
    </w:p>
    <w:p w14:paraId="40BC06FB">
      <w:pPr>
        <w:pStyle w:val="2"/>
        <w:spacing w:after="0" w:line="360" w:lineRule="auto"/>
        <w:ind w:left="-426" w:right="142" w:firstLine="640"/>
        <w:contextualSpacing/>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采购活动，提供的货物全部由符合政策要求的中小企业制造。相关企业（含联合体中的中小企业、签订分包意向协议的中小企业）的具体情况如下：</w:t>
      </w:r>
    </w:p>
    <w:p w14:paraId="607F9363">
      <w:pPr>
        <w:tabs>
          <w:tab w:val="left" w:pos="1384"/>
          <w:tab w:val="left" w:pos="4562"/>
          <w:tab w:val="left" w:pos="6803"/>
        </w:tabs>
        <w:spacing w:line="360" w:lineRule="auto"/>
        <w:ind w:left="-426" w:right="-58" w:firstLine="655"/>
        <w:contextualSpacing/>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（采购文件中明确的所属行业）</w:t>
      </w:r>
      <w:r>
        <w:rPr>
          <w:rFonts w:ascii="宋体" w:hAnsi="宋体"/>
          <w:color w:val="auto"/>
          <w:sz w:val="24"/>
          <w:highlight w:val="none"/>
        </w:rPr>
        <w:t>行业；制造商为</w:t>
      </w:r>
      <w:r>
        <w:rPr>
          <w:rFonts w:ascii="宋体" w:hAnsi="宋体"/>
          <w:color w:val="auto"/>
          <w:sz w:val="24"/>
          <w:highlight w:val="none"/>
          <w:u w:val="single"/>
        </w:rPr>
        <w:t>（企业名称）</w:t>
      </w:r>
      <w:r>
        <w:rPr>
          <w:rFonts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万元，属于</w:t>
      </w:r>
      <w:r>
        <w:rPr>
          <w:rFonts w:ascii="宋体" w:hAnsi="宋体"/>
          <w:color w:val="auto"/>
          <w:sz w:val="24"/>
          <w:highlight w:val="none"/>
          <w:u w:val="single"/>
        </w:rPr>
        <w:t>（中型企业、小型企业、微型企业）</w:t>
      </w:r>
      <w:r>
        <w:rPr>
          <w:rFonts w:ascii="宋体" w:hAnsi="宋体"/>
          <w:color w:val="auto"/>
          <w:sz w:val="24"/>
          <w:highlight w:val="none"/>
        </w:rPr>
        <w:t>；</w:t>
      </w:r>
    </w:p>
    <w:p w14:paraId="49A95037">
      <w:pPr>
        <w:tabs>
          <w:tab w:val="left" w:pos="1065"/>
          <w:tab w:val="left" w:pos="6477"/>
        </w:tabs>
        <w:spacing w:line="360" w:lineRule="auto"/>
        <w:ind w:left="-426" w:right="-58" w:firstLine="655"/>
        <w:contextualSpacing/>
        <w:rPr>
          <w:rFonts w:ascii="宋体" w:hAnsi="宋体"/>
          <w:color w:val="auto"/>
          <w:sz w:val="24"/>
          <w:highlight w:val="non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（采购文件中明确的所属行业）</w:t>
      </w:r>
      <w:r>
        <w:rPr>
          <w:rFonts w:ascii="宋体" w:hAnsi="宋体"/>
          <w:color w:val="auto"/>
          <w:sz w:val="24"/>
          <w:highlight w:val="none"/>
        </w:rPr>
        <w:t>行业；制造商为</w:t>
      </w:r>
      <w:r>
        <w:rPr>
          <w:rFonts w:ascii="宋体" w:hAnsi="宋体"/>
          <w:color w:val="auto"/>
          <w:sz w:val="24"/>
          <w:highlight w:val="none"/>
          <w:u w:val="single"/>
        </w:rPr>
        <w:t>（企业名称）</w:t>
      </w:r>
      <w:r>
        <w:rPr>
          <w:rFonts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万元，属于</w:t>
      </w:r>
      <w:r>
        <w:rPr>
          <w:rFonts w:ascii="宋体" w:hAnsi="宋体"/>
          <w:color w:val="auto"/>
          <w:sz w:val="24"/>
          <w:highlight w:val="none"/>
          <w:u w:val="single"/>
        </w:rPr>
        <w:t>（中型企业、小型企业、微型企业）</w:t>
      </w:r>
      <w:r>
        <w:rPr>
          <w:rFonts w:ascii="宋体" w:hAnsi="宋体"/>
          <w:color w:val="auto"/>
          <w:sz w:val="24"/>
          <w:highlight w:val="none"/>
        </w:rPr>
        <w:t>；</w:t>
      </w:r>
    </w:p>
    <w:p w14:paraId="167DFD52">
      <w:pPr>
        <w:pStyle w:val="2"/>
        <w:spacing w:after="0" w:line="360" w:lineRule="auto"/>
        <w:ind w:left="142" w:right="142"/>
        <w:contextualSpacing/>
        <w:rPr>
          <w:rFonts w:ascii="宋体" w:hAnsi="宋体"/>
          <w:color w:val="auto"/>
          <w:sz w:val="24"/>
          <w:highlight w:val="none"/>
        </w:rPr>
      </w:pPr>
      <w:r>
        <w:rPr>
          <w:rFonts w:ascii="宋体" w:hAnsi="宋体"/>
          <w:color w:val="auto"/>
          <w:sz w:val="24"/>
          <w:highlight w:val="none"/>
        </w:rPr>
        <w:t xml:space="preserve">…… </w:t>
      </w:r>
    </w:p>
    <w:p w14:paraId="5AF98678">
      <w:pPr>
        <w:pStyle w:val="2"/>
        <w:spacing w:after="0" w:line="360" w:lineRule="auto"/>
        <w:ind w:left="-405" w:leftChars="-193" w:right="142" w:firstLine="453" w:firstLineChars="189"/>
        <w:contextualSpacing/>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7287BF75">
      <w:pPr>
        <w:pStyle w:val="2"/>
        <w:spacing w:after="0" w:line="360" w:lineRule="auto"/>
        <w:ind w:left="-426" w:right="142" w:firstLine="567"/>
        <w:contextualSpacing/>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20ABE64A">
      <w:pPr>
        <w:pStyle w:val="2"/>
        <w:spacing w:after="0" w:line="360" w:lineRule="auto"/>
        <w:ind w:left="3960" w:right="1808"/>
        <w:contextualSpacing/>
        <w:rPr>
          <w:rFonts w:hint="eastAsia" w:ascii="宋体" w:hAnsi="宋体"/>
          <w:color w:val="auto"/>
          <w:sz w:val="24"/>
          <w:highlight w:val="none"/>
        </w:rPr>
      </w:pPr>
    </w:p>
    <w:p w14:paraId="57FBA1C8">
      <w:pPr>
        <w:pStyle w:val="2"/>
        <w:spacing w:after="0" w:line="360" w:lineRule="auto"/>
        <w:ind w:left="3960" w:right="1808"/>
        <w:contextualSpacing/>
        <w:rPr>
          <w:rFonts w:ascii="宋体" w:hAnsi="宋体"/>
          <w:color w:val="auto"/>
          <w:sz w:val="24"/>
          <w:highlight w:val="none"/>
        </w:rPr>
      </w:pPr>
      <w:r>
        <w:rPr>
          <w:rFonts w:ascii="宋体" w:hAnsi="宋体"/>
          <w:color w:val="auto"/>
          <w:sz w:val="24"/>
          <w:highlight w:val="none"/>
        </w:rPr>
        <w:t xml:space="preserve">企业名称（章）： </w:t>
      </w:r>
    </w:p>
    <w:p w14:paraId="5F638671">
      <w:pPr>
        <w:pStyle w:val="2"/>
        <w:spacing w:after="0" w:line="360" w:lineRule="auto"/>
        <w:ind w:left="3960" w:right="1808"/>
        <w:contextualSpacing/>
        <w:rPr>
          <w:rFonts w:ascii="宋体" w:hAnsi="宋体"/>
          <w:color w:val="auto"/>
          <w:sz w:val="24"/>
          <w:highlight w:val="none"/>
        </w:rPr>
      </w:pPr>
      <w:r>
        <w:rPr>
          <w:rFonts w:ascii="宋体" w:hAnsi="宋体"/>
          <w:color w:val="auto"/>
          <w:sz w:val="24"/>
          <w:highlight w:val="none"/>
        </w:rPr>
        <w:t>日</w:t>
      </w:r>
      <w:r>
        <w:rPr>
          <w:rFonts w:hint="eastAsia" w:ascii="宋体" w:hAnsi="宋体"/>
          <w:color w:val="auto"/>
          <w:sz w:val="24"/>
          <w:highlight w:val="none"/>
        </w:rPr>
        <w:t xml:space="preserve"> </w:t>
      </w:r>
      <w:r>
        <w:rPr>
          <w:rFonts w:ascii="宋体" w:hAnsi="宋体"/>
          <w:color w:val="auto"/>
          <w:sz w:val="24"/>
          <w:highlight w:val="none"/>
        </w:rPr>
        <w:t>期：</w:t>
      </w:r>
    </w:p>
    <w:p w14:paraId="4D3EF6C8">
      <w:pPr>
        <w:pStyle w:val="2"/>
        <w:spacing w:after="0" w:line="360" w:lineRule="auto"/>
        <w:ind w:left="3960" w:right="1808"/>
        <w:contextualSpacing/>
        <w:rPr>
          <w:color w:val="auto"/>
          <w:highlight w:val="none"/>
        </w:rPr>
      </w:pPr>
    </w:p>
    <w:p w14:paraId="0DBF3F72">
      <w:pPr>
        <w:spacing w:line="360"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5D6883E">
      <w:pPr>
        <w:spacing w:line="360" w:lineRule="auto"/>
        <w:contextualSpacing/>
        <w:jc w:val="center"/>
        <w:rPr>
          <w:rFonts w:hint="eastAsia"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残疾人福利性单位声明函</w:t>
      </w:r>
    </w:p>
    <w:p w14:paraId="418BCD7F">
      <w:pPr>
        <w:spacing w:line="520" w:lineRule="exact"/>
        <w:rPr>
          <w:rFonts w:hint="eastAsia" w:ascii="仿宋_GB2312" w:hAnsi="仿宋_GB2312" w:eastAsia="仿宋_GB2312" w:cs="仿宋_GB2312"/>
          <w:color w:val="auto"/>
          <w:sz w:val="32"/>
          <w:szCs w:val="32"/>
          <w:highlight w:val="none"/>
        </w:rPr>
      </w:pPr>
    </w:p>
    <w:p w14:paraId="2A7C1933">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E27220B">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65662715">
      <w:pPr>
        <w:spacing w:line="360" w:lineRule="auto"/>
        <w:contextualSpacing/>
        <w:rPr>
          <w:rFonts w:hint="eastAsia" w:ascii="宋体" w:hAnsi="宋体" w:cs="仿宋_GB2312"/>
          <w:color w:val="auto"/>
          <w:sz w:val="24"/>
          <w:highlight w:val="none"/>
        </w:rPr>
      </w:pPr>
    </w:p>
    <w:p w14:paraId="66ADE790">
      <w:pPr>
        <w:spacing w:line="360" w:lineRule="auto"/>
        <w:contextualSpacing/>
        <w:rPr>
          <w:rFonts w:hint="eastAsia" w:ascii="宋体" w:hAnsi="宋体" w:cs="仿宋_GB2312"/>
          <w:color w:val="auto"/>
          <w:sz w:val="24"/>
          <w:highlight w:val="none"/>
        </w:rPr>
      </w:pPr>
    </w:p>
    <w:p w14:paraId="70363F7E">
      <w:pPr>
        <w:spacing w:line="360" w:lineRule="auto"/>
        <w:contextualSpacing/>
        <w:rPr>
          <w:rFonts w:hint="eastAsia" w:ascii="宋体" w:hAnsi="宋体" w:cs="仿宋_GB2312"/>
          <w:color w:val="auto"/>
          <w:sz w:val="24"/>
          <w:highlight w:val="none"/>
        </w:rPr>
      </w:pPr>
    </w:p>
    <w:p w14:paraId="18016F21">
      <w:pPr>
        <w:spacing w:line="360" w:lineRule="auto"/>
        <w:ind w:firstLine="2400" w:firstLineChars="1000"/>
        <w:contextualSpacing/>
        <w:rPr>
          <w:rFonts w:hint="eastAsia" w:ascii="宋体" w:hAnsi="宋体" w:cs="仿宋_GB2312"/>
          <w:color w:val="auto"/>
          <w:sz w:val="24"/>
          <w:highlight w:val="none"/>
        </w:rPr>
      </w:pPr>
      <w:r>
        <w:rPr>
          <w:rFonts w:hint="eastAsia" w:ascii="宋体" w:hAnsi="宋体" w:cs="仿宋_GB2312"/>
          <w:color w:val="auto"/>
          <w:sz w:val="24"/>
          <w:highlight w:val="none"/>
        </w:rPr>
        <w:t>单位名称（盖章）：</w:t>
      </w:r>
    </w:p>
    <w:p w14:paraId="1CF295CF">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日  期：</w:t>
      </w:r>
    </w:p>
    <w:p w14:paraId="1DBB15C7">
      <w:pPr>
        <w:spacing w:line="360" w:lineRule="auto"/>
        <w:contextualSpacing/>
        <w:rPr>
          <w:rFonts w:hint="eastAsia" w:ascii="宋体" w:hAnsi="宋体" w:cs="仿宋_GB2312"/>
          <w:color w:val="auto"/>
          <w:sz w:val="24"/>
          <w:highlight w:val="none"/>
        </w:rPr>
      </w:pPr>
    </w:p>
    <w:p w14:paraId="03FEDB32">
      <w:pPr>
        <w:spacing w:line="360" w:lineRule="auto"/>
        <w:contextualSpacing/>
        <w:rPr>
          <w:rFonts w:hint="eastAsia" w:ascii="宋体" w:hAnsi="宋体" w:cs="仿宋_GB2312"/>
          <w:color w:val="auto"/>
          <w:sz w:val="24"/>
          <w:highlight w:val="none"/>
        </w:rPr>
      </w:pPr>
    </w:p>
    <w:p w14:paraId="3CBDB389">
      <w:pPr>
        <w:spacing w:line="360" w:lineRule="auto"/>
        <w:contextualSpacing/>
        <w:rPr>
          <w:rFonts w:hint="eastAsia" w:ascii="宋体" w:hAnsi="宋体" w:cs="仿宋_GB2312"/>
          <w:color w:val="auto"/>
          <w:sz w:val="24"/>
          <w:highlight w:val="none"/>
        </w:rPr>
      </w:pPr>
    </w:p>
    <w:p w14:paraId="40CE7346">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238EEBF6">
      <w:pPr>
        <w:spacing w:line="360" w:lineRule="auto"/>
        <w:jc w:val="center"/>
        <w:rPr>
          <w:rFonts w:hint="eastAsia" w:ascii="宋体" w:hAnsi="宋体"/>
          <w:b/>
          <w:bCs/>
          <w:color w:val="auto"/>
          <w:sz w:val="32"/>
          <w:szCs w:val="32"/>
          <w:highlight w:val="none"/>
        </w:rPr>
      </w:pPr>
      <w:r>
        <w:rPr>
          <w:rFonts w:ascii="宋体" w:hAnsi="宋体" w:cs="仿宋_GB2312"/>
          <w:color w:val="auto"/>
          <w:sz w:val="24"/>
          <w:highlight w:val="none"/>
        </w:rPr>
        <w:br w:type="page"/>
      </w:r>
      <w:r>
        <w:rPr>
          <w:rFonts w:hint="eastAsia" w:ascii="方正小标宋简体" w:hAnsi="方正小标宋简体" w:eastAsia="方正小标宋简体" w:cs="方正小标宋简体"/>
          <w:color w:val="auto"/>
          <w:sz w:val="44"/>
          <w:szCs w:val="44"/>
          <w:highlight w:val="none"/>
        </w:rPr>
        <w:t>质疑函（格式）</w:t>
      </w:r>
    </w:p>
    <w:p w14:paraId="26A018F6">
      <w:pPr>
        <w:spacing w:line="360" w:lineRule="auto"/>
        <w:jc w:val="center"/>
        <w:rPr>
          <w:rFonts w:hint="eastAsia" w:ascii="宋体" w:hAnsi="宋体"/>
          <w:b/>
          <w:bCs/>
          <w:color w:val="auto"/>
          <w:sz w:val="32"/>
          <w:szCs w:val="32"/>
          <w:highlight w:val="none"/>
        </w:rPr>
      </w:pPr>
    </w:p>
    <w:p w14:paraId="6471142D">
      <w:pPr>
        <w:pStyle w:val="12"/>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p>
    <w:p w14:paraId="78EF831B">
      <w:pPr>
        <w:pStyle w:val="12"/>
        <w:spacing w:line="360" w:lineRule="auto"/>
        <w:ind w:firstLine="480" w:firstLineChars="200"/>
        <w:contextualSpacing/>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7C007A4">
      <w:pPr>
        <w:pStyle w:val="12"/>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276DBCE">
      <w:pPr>
        <w:pStyle w:val="12"/>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58F0C743">
      <w:pPr>
        <w:pStyle w:val="12"/>
        <w:spacing w:line="360" w:lineRule="auto"/>
        <w:ind w:firstLine="480" w:firstLineChars="200"/>
        <w:contextualSpacing/>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03BBD82F">
      <w:pPr>
        <w:pStyle w:val="12"/>
        <w:spacing w:line="360" w:lineRule="auto"/>
        <w:ind w:firstLine="480" w:firstLineChars="200"/>
        <w:contextualSpacing/>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3563C97E">
      <w:pPr>
        <w:pStyle w:val="12"/>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09FE280">
      <w:pPr>
        <w:pStyle w:val="12"/>
        <w:spacing w:line="360" w:lineRule="auto"/>
        <w:ind w:firstLine="482" w:firstLineChars="200"/>
        <w:contextualSpacing/>
        <w:rPr>
          <w:rFonts w:hint="eastAsia" w:hAnsi="宋体"/>
          <w:b/>
          <w:bCs/>
          <w:color w:val="auto"/>
          <w:sz w:val="24"/>
          <w:szCs w:val="24"/>
          <w:highlight w:val="none"/>
        </w:rPr>
      </w:pPr>
      <w:r>
        <w:rPr>
          <w:rFonts w:hint="eastAsia" w:hAnsi="宋体"/>
          <w:b/>
          <w:bCs/>
          <w:color w:val="auto"/>
          <w:sz w:val="24"/>
          <w:szCs w:val="24"/>
          <w:highlight w:val="none"/>
        </w:rPr>
        <w:t>二、质疑项目基本情况：</w:t>
      </w:r>
    </w:p>
    <w:p w14:paraId="23961B47">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6F3F98A4">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426E54A5">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145AA0E0">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w:t>
      </w:r>
    </w:p>
    <w:p w14:paraId="256184A3">
      <w:pPr>
        <w:pStyle w:val="12"/>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1F8CBD4D">
      <w:pPr>
        <w:pStyle w:val="12"/>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 xml:space="preserve">□采购过程   </w:t>
      </w:r>
    </w:p>
    <w:p w14:paraId="60C87063">
      <w:pPr>
        <w:pStyle w:val="12"/>
        <w:spacing w:line="360" w:lineRule="auto"/>
        <w:ind w:left="25" w:leftChars="12" w:firstLine="352" w:firstLineChars="147"/>
        <w:contextualSpacing/>
        <w:rPr>
          <w:rFonts w:hint="eastAsia" w:hAnsi="宋体"/>
          <w:bCs/>
          <w:color w:val="auto"/>
          <w:sz w:val="24"/>
          <w:szCs w:val="24"/>
          <w:highlight w:val="none"/>
          <w:u w:val="single"/>
        </w:rPr>
      </w:pPr>
      <w:r>
        <w:rPr>
          <w:rFonts w:hint="eastAsia" w:hAnsi="宋体"/>
          <w:color w:val="auto"/>
          <w:sz w:val="24"/>
          <w:szCs w:val="24"/>
          <w:highlight w:val="none"/>
        </w:rPr>
        <w:t xml:space="preserve">□成交结果   </w:t>
      </w:r>
    </w:p>
    <w:p w14:paraId="6D08FE6A">
      <w:pPr>
        <w:pStyle w:val="12"/>
        <w:spacing w:line="360" w:lineRule="auto"/>
        <w:ind w:left="25" w:leftChars="12" w:firstLine="472" w:firstLineChars="196"/>
        <w:contextualSpacing/>
        <w:rPr>
          <w:rFonts w:hint="eastAsia" w:hAnsi="宋体"/>
          <w:b/>
          <w:color w:val="auto"/>
          <w:sz w:val="24"/>
          <w:szCs w:val="24"/>
          <w:highlight w:val="none"/>
        </w:rPr>
      </w:pPr>
      <w:r>
        <w:rPr>
          <w:rFonts w:hint="eastAsia" w:hAnsi="宋体"/>
          <w:b/>
          <w:color w:val="auto"/>
          <w:sz w:val="24"/>
          <w:szCs w:val="24"/>
          <w:highlight w:val="none"/>
        </w:rPr>
        <w:t>三、质疑事项具体内容</w:t>
      </w:r>
    </w:p>
    <w:p w14:paraId="10CBB95B">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426DBD1B">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5F15596F">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540656B0">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质疑事项2</w:t>
      </w:r>
    </w:p>
    <w:p w14:paraId="52D4F40C">
      <w:pPr>
        <w:pStyle w:val="12"/>
        <w:spacing w:line="360" w:lineRule="auto"/>
        <w:ind w:left="25" w:leftChars="12" w:firstLine="472" w:firstLineChars="197"/>
        <w:contextualSpacing/>
        <w:rPr>
          <w:rFonts w:hint="eastAsia" w:hAnsi="宋体"/>
          <w:color w:val="auto"/>
          <w:sz w:val="24"/>
          <w:szCs w:val="24"/>
          <w:highlight w:val="none"/>
        </w:rPr>
      </w:pPr>
      <w:r>
        <w:rPr>
          <w:rFonts w:hAnsi="宋体"/>
          <w:color w:val="auto"/>
          <w:sz w:val="24"/>
          <w:szCs w:val="24"/>
          <w:highlight w:val="none"/>
        </w:rPr>
        <w:t>……</w:t>
      </w:r>
    </w:p>
    <w:p w14:paraId="63BCAE47">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四、与质疑事项相关的质疑请求：</w:t>
      </w:r>
    </w:p>
    <w:p w14:paraId="66A7C3F8">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00F449E0">
      <w:pPr>
        <w:pStyle w:val="12"/>
        <w:spacing w:line="360" w:lineRule="auto"/>
        <w:ind w:left="25" w:leftChars="12" w:firstLine="352" w:firstLineChars="147"/>
        <w:contextualSpacing/>
        <w:rPr>
          <w:rFonts w:hint="eastAsia" w:hAnsi="宋体"/>
          <w:color w:val="auto"/>
          <w:sz w:val="24"/>
          <w:szCs w:val="24"/>
          <w:highlight w:val="none"/>
        </w:rPr>
      </w:pPr>
    </w:p>
    <w:p w14:paraId="6670E979">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签字（签章）：                                       公章：</w:t>
      </w:r>
    </w:p>
    <w:p w14:paraId="414DDCF5">
      <w:pPr>
        <w:pStyle w:val="12"/>
        <w:spacing w:line="360" w:lineRule="auto"/>
        <w:ind w:left="25" w:leftChars="12" w:firstLine="352" w:firstLineChars="147"/>
        <w:contextualSpacing/>
        <w:rPr>
          <w:rFonts w:hint="eastAsia" w:hAnsi="宋体"/>
          <w:color w:val="auto"/>
          <w:sz w:val="24"/>
          <w:szCs w:val="24"/>
          <w:highlight w:val="none"/>
        </w:rPr>
      </w:pPr>
    </w:p>
    <w:p w14:paraId="0BE08BDD">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日期：</w:t>
      </w:r>
    </w:p>
    <w:p w14:paraId="3C383235">
      <w:pPr>
        <w:pStyle w:val="12"/>
        <w:spacing w:line="360" w:lineRule="auto"/>
        <w:contextualSpacing/>
        <w:rPr>
          <w:rFonts w:hint="eastAsia" w:hAnsi="宋体"/>
          <w:b/>
          <w:color w:val="auto"/>
          <w:sz w:val="24"/>
          <w:szCs w:val="24"/>
          <w:highlight w:val="none"/>
        </w:rPr>
      </w:pPr>
    </w:p>
    <w:p w14:paraId="6185FA92">
      <w:pPr>
        <w:pStyle w:val="12"/>
        <w:spacing w:line="360" w:lineRule="auto"/>
        <w:contextualSpacing/>
        <w:rPr>
          <w:rFonts w:hint="eastAsia" w:hAnsi="宋体"/>
          <w:b/>
          <w:color w:val="auto"/>
          <w:sz w:val="24"/>
          <w:szCs w:val="24"/>
          <w:highlight w:val="none"/>
        </w:rPr>
      </w:pPr>
      <w:r>
        <w:rPr>
          <w:rFonts w:hint="eastAsia" w:hAnsi="宋体"/>
          <w:b/>
          <w:color w:val="auto"/>
          <w:sz w:val="24"/>
          <w:szCs w:val="24"/>
          <w:highlight w:val="none"/>
        </w:rPr>
        <w:t>说明：</w:t>
      </w:r>
    </w:p>
    <w:p w14:paraId="36D7554A">
      <w:pPr>
        <w:pStyle w:val="12"/>
        <w:spacing w:line="360" w:lineRule="auto"/>
        <w:ind w:left="25" w:leftChars="12" w:firstLine="354" w:firstLineChars="147"/>
        <w:contextualSpacing/>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19D3C951">
      <w:pPr>
        <w:pStyle w:val="12"/>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517C744">
      <w:pPr>
        <w:pStyle w:val="12"/>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6A5FC2D1">
      <w:pPr>
        <w:pStyle w:val="12"/>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14:paraId="64F7E928">
      <w:pPr>
        <w:pStyle w:val="12"/>
        <w:spacing w:line="360" w:lineRule="auto"/>
        <w:ind w:left="25" w:leftChars="12" w:firstLine="354" w:firstLineChars="147"/>
        <w:contextualSpacing/>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6224462C">
      <w:pPr>
        <w:pStyle w:val="12"/>
        <w:snapToGrid w:val="0"/>
        <w:rPr>
          <w:rFonts w:hint="eastAsia"/>
          <w:b/>
          <w:color w:val="auto"/>
          <w:sz w:val="24"/>
          <w:szCs w:val="24"/>
          <w:highlight w:val="none"/>
        </w:rPr>
      </w:pPr>
    </w:p>
    <w:p w14:paraId="0842F3AD">
      <w:pPr>
        <w:rPr>
          <w:rFonts w:hint="eastAsia"/>
          <w:color w:val="auto"/>
          <w:highlight w:val="none"/>
        </w:rPr>
      </w:pPr>
      <w:r>
        <w:rPr>
          <w:color w:val="auto"/>
          <w:highlight w:val="none"/>
        </w:rPr>
        <w:br w:type="page"/>
      </w:r>
    </w:p>
    <w:p w14:paraId="5A24988C">
      <w:pPr>
        <w:spacing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70FE0DE7">
      <w:pPr>
        <w:pStyle w:val="12"/>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6BB92AEC">
      <w:pPr>
        <w:pStyle w:val="12"/>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D0242A0">
      <w:pPr>
        <w:pStyle w:val="12"/>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564F27F">
      <w:pPr>
        <w:pStyle w:val="12"/>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13C081EA">
      <w:pPr>
        <w:pStyle w:val="12"/>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50725F60">
      <w:pPr>
        <w:pStyle w:val="12"/>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7295A489">
      <w:pPr>
        <w:pStyle w:val="12"/>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602A032B">
      <w:pPr>
        <w:pStyle w:val="12"/>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128C24F">
      <w:pPr>
        <w:pStyle w:val="12"/>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被投诉人1：</w:t>
      </w:r>
    </w:p>
    <w:p w14:paraId="26E1B3DF">
      <w:pPr>
        <w:pStyle w:val="12"/>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69C4B24F">
      <w:pPr>
        <w:pStyle w:val="12"/>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DBC525C">
      <w:pPr>
        <w:pStyle w:val="12"/>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633F0737">
      <w:pPr>
        <w:pStyle w:val="12"/>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被投诉人2：</w:t>
      </w:r>
    </w:p>
    <w:p w14:paraId="44FF0704">
      <w:pPr>
        <w:pStyle w:val="12"/>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w:t>
      </w:r>
    </w:p>
    <w:p w14:paraId="30DC5FBC">
      <w:pPr>
        <w:pStyle w:val="12"/>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69B8EAC5">
      <w:pPr>
        <w:pStyle w:val="12"/>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9663113">
      <w:pPr>
        <w:pStyle w:val="12"/>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46FCDB9">
      <w:pPr>
        <w:pStyle w:val="12"/>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14:paraId="6AA90483">
      <w:pPr>
        <w:pStyle w:val="12"/>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2F4B09A4">
      <w:pPr>
        <w:pStyle w:val="12"/>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02B64824">
      <w:pPr>
        <w:pStyle w:val="12"/>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150738A5">
      <w:pPr>
        <w:pStyle w:val="12"/>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4F364AAA">
      <w:pPr>
        <w:pStyle w:val="12"/>
        <w:spacing w:line="360" w:lineRule="auto"/>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33F74B0D">
      <w:pPr>
        <w:pStyle w:val="12"/>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50703EDA">
      <w:pPr>
        <w:pStyle w:val="12"/>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14:paraId="16797775">
      <w:pPr>
        <w:pStyle w:val="12"/>
        <w:spacing w:line="360" w:lineRule="auto"/>
        <w:ind w:left="23" w:leftChars="11" w:firstLine="540" w:firstLineChars="225"/>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347ABBC8">
      <w:pPr>
        <w:pStyle w:val="12"/>
        <w:spacing w:line="360" w:lineRule="auto"/>
        <w:ind w:left="23" w:leftChars="11" w:firstLine="540" w:firstLineChars="225"/>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12C5E2D2">
      <w:pPr>
        <w:pStyle w:val="12"/>
        <w:spacing w:line="360" w:lineRule="auto"/>
        <w:ind w:left="23" w:leftChars="11" w:firstLine="540" w:firstLineChars="225"/>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5F4B3ACE">
      <w:pPr>
        <w:pStyle w:val="12"/>
        <w:spacing w:line="360" w:lineRule="auto"/>
        <w:ind w:left="23" w:leftChars="11" w:firstLine="540" w:firstLineChars="225"/>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495A6FE5">
      <w:pPr>
        <w:pStyle w:val="12"/>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14:paraId="7B66AE8B">
      <w:pPr>
        <w:pStyle w:val="12"/>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0EB9806B">
      <w:pPr>
        <w:pStyle w:val="12"/>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45A542D2">
      <w:pPr>
        <w:pStyle w:val="12"/>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u w:val="single"/>
        </w:rPr>
        <w:t xml:space="preserve">                                                                                        </w:t>
      </w:r>
    </w:p>
    <w:p w14:paraId="208F87F1">
      <w:pPr>
        <w:pStyle w:val="12"/>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77E9DEA0">
      <w:pPr>
        <w:pStyle w:val="12"/>
        <w:spacing w:line="360" w:lineRule="auto"/>
        <w:ind w:left="25" w:leftChars="12" w:firstLine="352" w:firstLineChars="147"/>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55E0424A">
      <w:pPr>
        <w:pStyle w:val="12"/>
        <w:spacing w:line="360"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50F8603D">
      <w:pPr>
        <w:pStyle w:val="12"/>
        <w:spacing w:line="360" w:lineRule="auto"/>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14:paraId="1125E254">
      <w:pPr>
        <w:pStyle w:val="12"/>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14:paraId="7DC2AEC0">
      <w:pPr>
        <w:pStyle w:val="12"/>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63F281F2">
      <w:pPr>
        <w:pStyle w:val="12"/>
        <w:spacing w:line="360" w:lineRule="auto"/>
        <w:ind w:left="25" w:leftChars="12" w:firstLine="352" w:firstLineChars="147"/>
        <w:rPr>
          <w:rFonts w:hint="eastAsia" w:hAnsi="宋体"/>
          <w:color w:val="auto"/>
          <w:sz w:val="24"/>
          <w:szCs w:val="24"/>
          <w:highlight w:val="none"/>
        </w:rPr>
      </w:pPr>
    </w:p>
    <w:p w14:paraId="4434C7F2">
      <w:pPr>
        <w:pStyle w:val="12"/>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3CEEF190">
      <w:pPr>
        <w:pStyle w:val="12"/>
        <w:spacing w:line="360" w:lineRule="auto"/>
        <w:ind w:left="25" w:leftChars="12" w:firstLine="352" w:firstLineChars="147"/>
        <w:rPr>
          <w:rFonts w:hint="eastAsia" w:hAnsi="宋体"/>
          <w:color w:val="auto"/>
          <w:sz w:val="24"/>
          <w:szCs w:val="24"/>
          <w:highlight w:val="none"/>
        </w:rPr>
      </w:pPr>
    </w:p>
    <w:p w14:paraId="622BA6D9">
      <w:pPr>
        <w:pStyle w:val="12"/>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396BBFBA">
      <w:pPr>
        <w:pStyle w:val="12"/>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 xml:space="preserve">                                                                                 </w:t>
      </w:r>
    </w:p>
    <w:p w14:paraId="247913A7">
      <w:pPr>
        <w:pStyle w:val="12"/>
        <w:snapToGrid w:val="0"/>
        <w:spacing w:line="360" w:lineRule="auto"/>
        <w:rPr>
          <w:rFonts w:hint="eastAsia" w:hAnsi="宋体"/>
          <w:b/>
          <w:color w:val="auto"/>
          <w:sz w:val="24"/>
          <w:szCs w:val="24"/>
          <w:highlight w:val="none"/>
        </w:rPr>
      </w:pPr>
    </w:p>
    <w:p w14:paraId="19D02FB5">
      <w:pPr>
        <w:pStyle w:val="12"/>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14:paraId="3C33B6F5">
      <w:pPr>
        <w:pStyle w:val="12"/>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12F3A1A2">
      <w:pPr>
        <w:pStyle w:val="12"/>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A1782F1">
      <w:pPr>
        <w:pStyle w:val="12"/>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2EC30C59">
      <w:pPr>
        <w:pStyle w:val="12"/>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17977039">
      <w:pPr>
        <w:pStyle w:val="12"/>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14:paraId="5B8A4192">
      <w:pPr>
        <w:pStyle w:val="12"/>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2EBCEF75">
      <w:pPr>
        <w:snapToGrid w:val="0"/>
        <w:spacing w:line="480" w:lineRule="exact"/>
        <w:jc w:val="center"/>
        <w:rPr>
          <w:color w:val="auto"/>
          <w:highlight w:val="none"/>
        </w:rPr>
      </w:pPr>
      <w:r>
        <w:rPr>
          <w:color w:val="auto"/>
          <w:highlight w:val="none"/>
        </w:rPr>
        <w:br w:type="page"/>
      </w:r>
      <w:bookmarkStart w:id="87" w:name="_Toc74322013"/>
    </w:p>
    <w:p w14:paraId="46FA245C">
      <w:pPr>
        <w:snapToGrid w:val="0"/>
        <w:spacing w:line="480" w:lineRule="exact"/>
        <w:jc w:val="center"/>
        <w:rPr>
          <w:color w:val="auto"/>
          <w:highlight w:val="none"/>
        </w:rPr>
      </w:pPr>
    </w:p>
    <w:p w14:paraId="69DC49B1">
      <w:pPr>
        <w:snapToGrid w:val="0"/>
        <w:spacing w:line="480" w:lineRule="exact"/>
        <w:jc w:val="center"/>
        <w:rPr>
          <w:color w:val="auto"/>
          <w:highlight w:val="none"/>
        </w:rPr>
      </w:pPr>
    </w:p>
    <w:p w14:paraId="2A5BEAA2">
      <w:pPr>
        <w:snapToGrid w:val="0"/>
        <w:spacing w:line="480" w:lineRule="exact"/>
        <w:jc w:val="center"/>
        <w:rPr>
          <w:color w:val="auto"/>
          <w:highlight w:val="none"/>
        </w:rPr>
      </w:pPr>
    </w:p>
    <w:p w14:paraId="412E8F5D">
      <w:pPr>
        <w:snapToGrid w:val="0"/>
        <w:spacing w:line="480" w:lineRule="exact"/>
        <w:jc w:val="center"/>
        <w:rPr>
          <w:color w:val="auto"/>
          <w:highlight w:val="none"/>
        </w:rPr>
      </w:pPr>
    </w:p>
    <w:p w14:paraId="6A26F2F7">
      <w:pPr>
        <w:snapToGrid w:val="0"/>
        <w:spacing w:line="480" w:lineRule="exact"/>
        <w:jc w:val="center"/>
        <w:rPr>
          <w:color w:val="auto"/>
          <w:highlight w:val="none"/>
        </w:rPr>
      </w:pPr>
    </w:p>
    <w:p w14:paraId="72FF5D88">
      <w:pPr>
        <w:snapToGrid w:val="0"/>
        <w:spacing w:line="480" w:lineRule="exact"/>
        <w:jc w:val="center"/>
        <w:rPr>
          <w:color w:val="auto"/>
          <w:highlight w:val="none"/>
        </w:rPr>
      </w:pPr>
    </w:p>
    <w:p w14:paraId="5907D0F6">
      <w:pPr>
        <w:snapToGrid w:val="0"/>
        <w:spacing w:line="480" w:lineRule="exact"/>
        <w:jc w:val="center"/>
        <w:rPr>
          <w:color w:val="auto"/>
          <w:highlight w:val="none"/>
        </w:rPr>
      </w:pPr>
    </w:p>
    <w:p w14:paraId="7E296615">
      <w:pPr>
        <w:pStyle w:val="3"/>
        <w:bidi w:val="0"/>
        <w:jc w:val="center"/>
        <w:rPr>
          <w:rFonts w:hint="eastAsia"/>
          <w:color w:val="auto"/>
          <w:highlight w:val="none"/>
        </w:rPr>
      </w:pPr>
      <w:r>
        <w:rPr>
          <w:rFonts w:hint="eastAsia"/>
          <w:color w:val="auto"/>
          <w:highlight w:val="none"/>
          <w:lang w:val="en-US" w:eastAsia="zh-CN"/>
        </w:rPr>
        <w:t>第六章 合同文本</w:t>
      </w:r>
      <w:bookmarkEnd w:id="87"/>
    </w:p>
    <w:p w14:paraId="3A61BB50">
      <w:pPr>
        <w:snapToGrid w:val="0"/>
        <w:spacing w:line="480" w:lineRule="exact"/>
        <w:jc w:val="center"/>
        <w:rPr>
          <w:rFonts w:hint="eastAsia"/>
          <w:color w:val="auto"/>
          <w:highlight w:val="none"/>
        </w:rPr>
      </w:pPr>
    </w:p>
    <w:p w14:paraId="0F8F383A">
      <w:pPr>
        <w:snapToGrid w:val="0"/>
        <w:spacing w:line="480" w:lineRule="exact"/>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br w:type="page"/>
      </w:r>
      <w:r>
        <w:rPr>
          <w:rFonts w:hint="eastAsia" w:ascii="宋体" w:hAnsi="宋体" w:eastAsia="宋体" w:cs="Times New Roman"/>
          <w:b/>
          <w:bCs/>
          <w:color w:val="auto"/>
          <w:sz w:val="32"/>
          <w:szCs w:val="32"/>
          <w:highlight w:val="none"/>
        </w:rPr>
        <w:t>政府采购合同</w:t>
      </w:r>
    </w:p>
    <w:p w14:paraId="29791110">
      <w:pPr>
        <w:spacing w:line="56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合同编</w:t>
      </w:r>
      <w:r>
        <w:rPr>
          <w:rFonts w:hint="eastAsia" w:ascii="宋体" w:hAnsi="宋体" w:eastAsia="宋体" w:cs="宋体"/>
          <w:color w:val="auto"/>
          <w:kern w:val="0"/>
          <w:szCs w:val="21"/>
          <w:highlight w:val="none"/>
        </w:rPr>
        <w:t>号：</w:t>
      </w:r>
    </w:p>
    <w:p w14:paraId="60A602C8">
      <w:pPr>
        <w:spacing w:line="560" w:lineRule="exact"/>
        <w:ind w:firstLine="420"/>
        <w:rPr>
          <w:rFonts w:ascii="宋体" w:hAnsi="宋体" w:eastAsia="宋体" w:cs="宋体"/>
          <w:color w:val="auto"/>
          <w:kern w:val="0"/>
          <w:szCs w:val="21"/>
          <w:highlight w:val="none"/>
        </w:rPr>
      </w:pPr>
      <w:r>
        <w:rPr>
          <w:rFonts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lang w:val="en-US" w:eastAsia="zh-CN"/>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 xml:space="preserve">   </w:t>
      </w:r>
      <w:r>
        <w:rPr>
          <w:rFonts w:ascii="宋体" w:hAnsi="宋体" w:eastAsia="宋体" w:cs="宋体"/>
          <w:color w:val="auto"/>
          <w:kern w:val="0"/>
          <w:szCs w:val="21"/>
          <w:highlight w:val="none"/>
        </w:rPr>
        <w:t xml:space="preserve"> 项目编号：</w:t>
      </w:r>
    </w:p>
    <w:p w14:paraId="1441A364">
      <w:pPr>
        <w:spacing w:line="560" w:lineRule="exact"/>
        <w:ind w:firstLine="420"/>
        <w:rPr>
          <w:rFonts w:ascii="宋体" w:hAnsi="宋体" w:eastAsia="宋体" w:cs="宋体"/>
          <w:color w:val="auto"/>
          <w:kern w:val="0"/>
          <w:szCs w:val="21"/>
          <w:highlight w:val="none"/>
        </w:rPr>
      </w:pPr>
      <w:r>
        <w:rPr>
          <w:rFonts w:ascii="宋体" w:hAnsi="宋体" w:eastAsia="宋体" w:cs="宋体"/>
          <w:color w:val="auto"/>
          <w:kern w:val="0"/>
          <w:szCs w:val="21"/>
          <w:highlight w:val="none"/>
        </w:rPr>
        <w:t>甲方（采购人）：                   乙方（成交人）：</w:t>
      </w:r>
    </w:p>
    <w:p w14:paraId="6496827E">
      <w:pPr>
        <w:spacing w:line="360" w:lineRule="exac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p>
    <w:p w14:paraId="683B4671">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根据《中华人民共和国政府采购法》、《中华人民共和国民法典》等法律、法规规定，按照</w:t>
      </w:r>
      <w:r>
        <w:rPr>
          <w:rFonts w:hint="eastAsia" w:ascii="宋体" w:hAnsi="宋体" w:eastAsia="宋体" w:cs="宋体"/>
          <w:color w:val="auto"/>
          <w:kern w:val="0"/>
          <w:szCs w:val="21"/>
          <w:highlight w:val="none"/>
          <w:lang w:eastAsia="zh-CN"/>
        </w:rPr>
        <w:t>项目采购</w:t>
      </w:r>
      <w:r>
        <w:rPr>
          <w:rFonts w:hint="eastAsia" w:ascii="宋体" w:hAnsi="宋体" w:eastAsia="宋体" w:cs="宋体"/>
          <w:color w:val="auto"/>
          <w:kern w:val="0"/>
          <w:szCs w:val="21"/>
          <w:highlight w:val="none"/>
        </w:rPr>
        <w:t>文件规定条款和乙方响应文件及其承诺，甲乙双方签订本合同。</w:t>
      </w:r>
    </w:p>
    <w:p w14:paraId="25D6CE45">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eastAsia="zh-CN"/>
        </w:rPr>
        <w:t>一、</w:t>
      </w:r>
      <w:r>
        <w:rPr>
          <w:rFonts w:hint="eastAsia" w:ascii="宋体" w:hAnsi="宋体" w:eastAsia="宋体" w:cs="宋体"/>
          <w:b/>
          <w:bCs/>
          <w:color w:val="auto"/>
          <w:kern w:val="0"/>
          <w:szCs w:val="21"/>
          <w:highlight w:val="none"/>
        </w:rPr>
        <w:t>合同文件</w:t>
      </w:r>
    </w:p>
    <w:p w14:paraId="79E8F437">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本合同所附下列文件是构成本合同不可分割的部分：</w:t>
      </w:r>
    </w:p>
    <w:p w14:paraId="3BA77047">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⑴ 合同基本条款</w:t>
      </w:r>
    </w:p>
    <w:p w14:paraId="2243F582">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⑵ 乙方提交的</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、报价表和售后服务承诺等全部响应文件</w:t>
      </w:r>
    </w:p>
    <w:p w14:paraId="78EF8635">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⑶ 项目需求</w:t>
      </w:r>
    </w:p>
    <w:p w14:paraId="37AEAF0C">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⑷ 成交通知书</w:t>
      </w:r>
    </w:p>
    <w:p w14:paraId="6559A6A8">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⑸ 甲、乙双方商定的补充协议</w:t>
      </w:r>
    </w:p>
    <w:p w14:paraId="587C1E16">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eastAsia="zh-CN"/>
        </w:rPr>
        <w:t>二、</w:t>
      </w:r>
      <w:r>
        <w:rPr>
          <w:rFonts w:hint="eastAsia" w:ascii="宋体" w:hAnsi="宋体" w:eastAsia="宋体" w:cs="宋体"/>
          <w:b/>
          <w:bCs/>
          <w:color w:val="auto"/>
          <w:kern w:val="0"/>
          <w:szCs w:val="21"/>
          <w:highlight w:val="none"/>
        </w:rPr>
        <w:t>合同范围和条件</w:t>
      </w:r>
    </w:p>
    <w:p w14:paraId="47CFD912">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2.1</w:t>
      </w:r>
      <w:r>
        <w:rPr>
          <w:rFonts w:hint="eastAsia" w:ascii="宋体" w:hAnsi="宋体" w:eastAsia="宋体" w:cs="宋体"/>
          <w:color w:val="auto"/>
          <w:kern w:val="0"/>
          <w:szCs w:val="21"/>
          <w:highlight w:val="none"/>
        </w:rPr>
        <w:t>本合同的范围和条件应与上述合同文件的规定相一致。</w:t>
      </w:r>
    </w:p>
    <w:p w14:paraId="1142D81B">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甲、乙双方应将</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文件、响应文件及</w:t>
      </w:r>
      <w:r>
        <w:rPr>
          <w:rFonts w:hint="eastAsia" w:ascii="宋体" w:hAnsi="宋体" w:eastAsia="宋体" w:cs="宋体"/>
          <w:color w:val="auto"/>
          <w:kern w:val="0"/>
          <w:szCs w:val="21"/>
          <w:highlight w:val="none"/>
          <w:lang w:eastAsia="zh-CN"/>
        </w:rPr>
        <w:t>评审</w:t>
      </w:r>
      <w:r>
        <w:rPr>
          <w:rFonts w:hint="eastAsia" w:ascii="宋体" w:hAnsi="宋体" w:eastAsia="宋体" w:cs="宋体"/>
          <w:color w:val="auto"/>
          <w:kern w:val="0"/>
          <w:szCs w:val="21"/>
          <w:highlight w:val="none"/>
        </w:rPr>
        <w:t>小组确认的货物名称、规格型号、技术要求、质量标准、数量、交货日期、交货地点和售后服务内容等作为本条款的基础。</w:t>
      </w:r>
    </w:p>
    <w:p w14:paraId="71D0DD4A">
      <w:pPr>
        <w:keepNext w:val="0"/>
        <w:keepLines w:val="0"/>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eastAsia="zh-CN"/>
        </w:rPr>
        <w:t>三、</w:t>
      </w:r>
      <w:r>
        <w:rPr>
          <w:rFonts w:hint="eastAsia" w:ascii="宋体" w:hAnsi="宋体" w:eastAsia="宋体" w:cs="宋体"/>
          <w:b/>
          <w:bCs/>
          <w:color w:val="auto"/>
          <w:kern w:val="0"/>
          <w:szCs w:val="21"/>
          <w:highlight w:val="none"/>
        </w:rPr>
        <w:t>货物采购内容</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00"/>
        <w:gridCol w:w="830"/>
        <w:gridCol w:w="1875"/>
        <w:gridCol w:w="1830"/>
        <w:gridCol w:w="885"/>
        <w:gridCol w:w="1440"/>
        <w:gridCol w:w="530"/>
      </w:tblGrid>
      <w:tr w14:paraId="3715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72AB1026">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序号</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0AE5E918">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货物名称</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2BA6ED21">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数量及单位</w:t>
            </w:r>
          </w:p>
          <w:p w14:paraId="56EC7D22">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①</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6522FC19">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品牌、生产厂家及国别</w:t>
            </w:r>
          </w:p>
        </w:tc>
        <w:tc>
          <w:tcPr>
            <w:tcW w:w="1830" w:type="dxa"/>
            <w:tcBorders>
              <w:top w:val="single" w:color="auto" w:sz="4" w:space="0"/>
              <w:left w:val="single" w:color="auto" w:sz="4" w:space="0"/>
              <w:right w:val="single" w:color="auto" w:sz="4" w:space="0"/>
            </w:tcBorders>
            <w:noWrap w:val="0"/>
            <w:vAlign w:val="center"/>
          </w:tcPr>
          <w:p w14:paraId="7DD1B120">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型号规格、详细技术参数、性能配置</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75CE502E">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w:t>
            </w:r>
          </w:p>
          <w:p w14:paraId="503AFF29">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p w14:paraId="1607E40B">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8B660C7">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单项合价</w:t>
            </w:r>
          </w:p>
          <w:p w14:paraId="346C9B1A">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p w14:paraId="5C18EC5D">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③=①×②</w:t>
            </w:r>
          </w:p>
        </w:tc>
        <w:tc>
          <w:tcPr>
            <w:tcW w:w="530" w:type="dxa"/>
            <w:tcBorders>
              <w:top w:val="single" w:color="auto" w:sz="4" w:space="0"/>
              <w:left w:val="single" w:color="auto" w:sz="4" w:space="0"/>
              <w:bottom w:val="single" w:color="auto" w:sz="4" w:space="0"/>
              <w:right w:val="single" w:color="auto" w:sz="4" w:space="0"/>
            </w:tcBorders>
            <w:noWrap w:val="0"/>
            <w:vAlign w:val="center"/>
          </w:tcPr>
          <w:p w14:paraId="243A7A6F">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4CAE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34D7D003">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465F7E08">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1D509BE0">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Cs w:val="21"/>
                <w:highlight w:val="none"/>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4838BBCD">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Cs w:val="21"/>
                <w:highlight w:val="none"/>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05028249">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4D0A3680">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32D6BED">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Cs w:val="21"/>
                <w:highlight w:val="none"/>
              </w:rPr>
            </w:pPr>
          </w:p>
        </w:tc>
        <w:tc>
          <w:tcPr>
            <w:tcW w:w="530" w:type="dxa"/>
            <w:tcBorders>
              <w:top w:val="single" w:color="auto" w:sz="4" w:space="0"/>
              <w:left w:val="single" w:color="auto" w:sz="4" w:space="0"/>
              <w:bottom w:val="single" w:color="auto" w:sz="4" w:space="0"/>
              <w:right w:val="single" w:color="auto" w:sz="4" w:space="0"/>
            </w:tcBorders>
            <w:noWrap w:val="0"/>
            <w:vAlign w:val="center"/>
          </w:tcPr>
          <w:p w14:paraId="3CA0F97E">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pacing w:val="-6"/>
                <w:szCs w:val="21"/>
                <w:highlight w:val="none"/>
              </w:rPr>
            </w:pPr>
          </w:p>
        </w:tc>
      </w:tr>
      <w:tr w14:paraId="46A38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1105E872">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484C8D6B">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723A1128">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Cs w:val="21"/>
                <w:highlight w:val="none"/>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454415A2">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Cs w:val="21"/>
                <w:highlight w:val="none"/>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4D0CC760">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21F566F2">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1192DD4">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Cs w:val="21"/>
                <w:highlight w:val="none"/>
              </w:rPr>
            </w:pPr>
          </w:p>
        </w:tc>
        <w:tc>
          <w:tcPr>
            <w:tcW w:w="530" w:type="dxa"/>
            <w:tcBorders>
              <w:top w:val="single" w:color="auto" w:sz="4" w:space="0"/>
              <w:left w:val="single" w:color="auto" w:sz="4" w:space="0"/>
              <w:bottom w:val="single" w:color="auto" w:sz="4" w:space="0"/>
              <w:right w:val="single" w:color="auto" w:sz="4" w:space="0"/>
            </w:tcBorders>
            <w:noWrap w:val="0"/>
            <w:vAlign w:val="center"/>
          </w:tcPr>
          <w:p w14:paraId="6743ED27">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pacing w:val="-6"/>
                <w:szCs w:val="21"/>
                <w:highlight w:val="none"/>
              </w:rPr>
            </w:pPr>
          </w:p>
        </w:tc>
      </w:tr>
      <w:tr w14:paraId="4FFAF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3336DD43">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Cs w:val="21"/>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33F6F831">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7367FA35">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Cs w:val="21"/>
                <w:highlight w:val="none"/>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19712A54">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Cs w:val="21"/>
                <w:highlight w:val="none"/>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7CB7B7ED">
            <w:pPr>
              <w:keepNext w:val="0"/>
              <w:keepLines w:val="0"/>
              <w:pageBreakBefore w:val="0"/>
              <w:widowControl w:val="0"/>
              <w:kinsoku/>
              <w:wordWrap/>
              <w:overflowPunct/>
              <w:topLinePunct w:val="0"/>
              <w:autoSpaceDE/>
              <w:autoSpaceDN/>
              <w:bidi w:val="0"/>
              <w:adjustRightInd/>
              <w:spacing w:line="360" w:lineRule="auto"/>
              <w:ind w:left="0" w:leftChars="0"/>
              <w:jc w:val="righ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357E2E68">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1F2A47E">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Cs w:val="21"/>
                <w:highlight w:val="none"/>
              </w:rPr>
            </w:pPr>
          </w:p>
        </w:tc>
        <w:tc>
          <w:tcPr>
            <w:tcW w:w="530" w:type="dxa"/>
            <w:tcBorders>
              <w:top w:val="single" w:color="auto" w:sz="4" w:space="0"/>
              <w:left w:val="single" w:color="auto" w:sz="4" w:space="0"/>
              <w:bottom w:val="single" w:color="auto" w:sz="4" w:space="0"/>
              <w:right w:val="single" w:color="auto" w:sz="4" w:space="0"/>
            </w:tcBorders>
            <w:noWrap w:val="0"/>
            <w:vAlign w:val="center"/>
          </w:tcPr>
          <w:p w14:paraId="418BA77F">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pacing w:val="-6"/>
                <w:szCs w:val="21"/>
                <w:highlight w:val="none"/>
              </w:rPr>
            </w:pPr>
          </w:p>
        </w:tc>
      </w:tr>
    </w:tbl>
    <w:p w14:paraId="0694E31C">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3.1乙方应按</w:t>
      </w:r>
      <w:r>
        <w:rPr>
          <w:rFonts w:hint="eastAsia" w:ascii="宋体" w:hAnsi="宋体" w:eastAsia="宋体" w:cs="宋体"/>
          <w:color w:val="auto"/>
          <w:kern w:val="0"/>
          <w:szCs w:val="21"/>
          <w:highlight w:val="none"/>
          <w:lang w:eastAsia="zh-CN"/>
        </w:rPr>
        <w:t>响应</w:t>
      </w:r>
      <w:r>
        <w:rPr>
          <w:rFonts w:hint="eastAsia" w:ascii="宋体" w:hAnsi="宋体" w:eastAsia="宋体" w:cs="宋体"/>
          <w:color w:val="auto"/>
          <w:kern w:val="0"/>
          <w:szCs w:val="21"/>
          <w:highlight w:val="none"/>
        </w:rPr>
        <w:t>文件规定的时间向甲方提供安装使用货物配套件所属装置等有关技术文件资料。</w:t>
      </w:r>
    </w:p>
    <w:p w14:paraId="5097D2C4">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3.2乙方提供的货物应有符合国家标准以及本产品的出厂标准的质量检验证明。</w:t>
      </w:r>
    </w:p>
    <w:p w14:paraId="6E1BF2B5">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eastAsia="zh-CN"/>
        </w:rPr>
        <w:t>四、</w:t>
      </w:r>
      <w:r>
        <w:rPr>
          <w:rFonts w:hint="eastAsia" w:ascii="宋体" w:hAnsi="宋体" w:eastAsia="宋体" w:cs="宋体"/>
          <w:b/>
          <w:bCs/>
          <w:color w:val="auto"/>
          <w:kern w:val="0"/>
          <w:szCs w:val="21"/>
          <w:highlight w:val="none"/>
        </w:rPr>
        <w:t>合同金额</w:t>
      </w:r>
    </w:p>
    <w:p w14:paraId="7F138E5B">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根据成交通知书的成交内容，合同的总金额为：</w:t>
      </w:r>
      <w:r>
        <w:rPr>
          <w:rFonts w:hint="eastAsia" w:ascii="宋体" w:hAnsi="宋体" w:eastAsia="宋体" w:cs="宋体"/>
          <w:color w:val="auto"/>
          <w:kern w:val="0"/>
          <w:szCs w:val="21"/>
          <w:highlight w:val="none"/>
          <w:u w:val="single"/>
        </w:rPr>
        <w:t>人民币（大写）（¥  元）</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Hans"/>
        </w:rPr>
        <w:t>合同金额</w:t>
      </w:r>
      <w:r>
        <w:rPr>
          <w:rFonts w:hint="eastAsia" w:ascii="宋体" w:hAnsi="宋体" w:cs="宋体"/>
          <w:color w:val="auto"/>
          <w:szCs w:val="21"/>
          <w:highlight w:val="none"/>
        </w:rPr>
        <w:t>包含但不限于货物及货物运抵指定交付地点的各种费用、随配附件、备品备件、易损件、专用工具、安装调试、技术培训、技术资料、包装、售后服务、保险费、税金、验收检验及其他所有成本费用的总和，如涉及系统对接的由</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负责完成。对于</w:t>
      </w:r>
      <w:r>
        <w:rPr>
          <w:rFonts w:hint="eastAsia" w:ascii="宋体" w:hAnsi="宋体" w:cs="宋体"/>
          <w:color w:val="auto"/>
          <w:szCs w:val="21"/>
          <w:highlight w:val="none"/>
          <w:lang w:val="en-US" w:eastAsia="zh-CN"/>
        </w:rPr>
        <w:t>上述</w:t>
      </w:r>
      <w:r>
        <w:rPr>
          <w:rFonts w:hint="eastAsia" w:ascii="宋体" w:hAnsi="宋体" w:cs="宋体"/>
          <w:color w:val="auto"/>
          <w:szCs w:val="21"/>
          <w:highlight w:val="none"/>
        </w:rPr>
        <w:t>未列明，而</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认为必须的费用也需</w:t>
      </w:r>
      <w:r>
        <w:rPr>
          <w:rFonts w:hint="eastAsia" w:ascii="宋体" w:hAnsi="宋体" w:cs="宋体"/>
          <w:color w:val="auto"/>
          <w:szCs w:val="21"/>
          <w:highlight w:val="none"/>
          <w:lang w:val="en-US" w:eastAsia="zh-CN"/>
        </w:rPr>
        <w:t>包含在合同总额中</w:t>
      </w:r>
      <w:r>
        <w:rPr>
          <w:rFonts w:hint="eastAsia" w:ascii="宋体" w:hAnsi="宋体" w:cs="宋体"/>
          <w:color w:val="auto"/>
          <w:szCs w:val="21"/>
          <w:highlight w:val="none"/>
        </w:rPr>
        <w:t>。在合同实施时，</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将不予支付</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没有列入的项目费用，并认为此项目的费用已包括在</w:t>
      </w:r>
      <w:r>
        <w:rPr>
          <w:rFonts w:hint="eastAsia" w:ascii="宋体" w:hAnsi="宋体" w:cs="宋体"/>
          <w:color w:val="auto"/>
          <w:szCs w:val="21"/>
          <w:highlight w:val="none"/>
          <w:lang w:val="en-US" w:eastAsia="zh-CN"/>
        </w:rPr>
        <w:t>合同总额</w:t>
      </w:r>
      <w:r>
        <w:rPr>
          <w:rFonts w:hint="eastAsia" w:ascii="宋体" w:hAnsi="宋体" w:cs="宋体"/>
          <w:color w:val="auto"/>
          <w:szCs w:val="21"/>
          <w:highlight w:val="none"/>
        </w:rPr>
        <w:t>中。</w:t>
      </w:r>
    </w:p>
    <w:p w14:paraId="64E0512E">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eastAsia="zh-CN"/>
        </w:rPr>
        <w:t>五、</w:t>
      </w:r>
      <w:r>
        <w:rPr>
          <w:rFonts w:hint="eastAsia" w:ascii="宋体" w:hAnsi="宋体" w:eastAsia="宋体" w:cs="宋体"/>
          <w:b/>
          <w:bCs/>
          <w:color w:val="auto"/>
          <w:kern w:val="0"/>
          <w:szCs w:val="21"/>
          <w:highlight w:val="none"/>
        </w:rPr>
        <w:t>付款条件</w:t>
      </w:r>
    </w:p>
    <w:p w14:paraId="1512AC4B">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5.1、付款方式：</w:t>
      </w:r>
      <w:r>
        <w:rPr>
          <w:rFonts w:hint="eastAsia" w:ascii="宋体" w:hAnsi="宋体" w:eastAsia="宋体" w:cs="宋体"/>
          <w:color w:val="auto"/>
          <w:szCs w:val="21"/>
          <w:highlight w:val="none"/>
          <w:lang w:eastAsia="zh-Hans"/>
        </w:rPr>
        <w:t>双方签订合同后，</w:t>
      </w:r>
      <w:r>
        <w:rPr>
          <w:rFonts w:hint="eastAsia" w:ascii="宋体" w:hAnsi="宋体" w:eastAsia="宋体" w:cs="宋体"/>
          <w:color w:val="auto"/>
          <w:szCs w:val="21"/>
          <w:highlight w:val="none"/>
        </w:rPr>
        <w:t>乙方在甲方指定地点交货、安装、调试，经甲方验收合格后，甲方一年内支付合同总价款</w:t>
      </w:r>
      <w:r>
        <w:rPr>
          <w:rFonts w:hint="eastAsia" w:ascii="宋体" w:hAnsi="宋体" w:eastAsia="宋体" w:cs="宋体"/>
          <w:color w:val="auto"/>
          <w:szCs w:val="21"/>
          <w:highlight w:val="none"/>
          <w:lang w:val="en-US" w:eastAsia="zh-CN"/>
        </w:rPr>
        <w:t>的100%</w:t>
      </w:r>
      <w:r>
        <w:rPr>
          <w:rFonts w:hint="eastAsia" w:ascii="宋体" w:hAnsi="宋体" w:eastAsia="宋体" w:cs="宋体"/>
          <w:color w:val="auto"/>
          <w:szCs w:val="21"/>
          <w:highlight w:val="none"/>
        </w:rPr>
        <w:t>。（注：甲方在付款前，通知乙方提供经甲方核定的合同标的金额的增值税发票（符合税法规定），乙方未按时提供增值税发票导致支付延时的责任自负，且乙方应在付款前向甲方提供合同标的金额的增值税发票，否则甲方有权拒绝付款，由此产生的责任由乙方承担。）</w:t>
      </w:r>
    </w:p>
    <w:p w14:paraId="44DE88E3">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5.2、乙方不得随意改变对公交易开户名称、开户银行、账号，若随意变动的，属于违反相关财务制度和税收制度，由此产生的后果由乙方自负。</w:t>
      </w:r>
    </w:p>
    <w:p w14:paraId="32E05CD6">
      <w:pPr>
        <w:keepNext w:val="0"/>
        <w:keepLines w:val="0"/>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lang w:eastAsia="zh-CN"/>
        </w:rPr>
        <w:t>六、质量保证</w:t>
      </w:r>
    </w:p>
    <w:p w14:paraId="3958FAB2">
      <w:pPr>
        <w:keepNext w:val="0"/>
        <w:keepLines w:val="0"/>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lang w:val="en-US" w:eastAsia="zh-CN"/>
        </w:rPr>
        <w:t>6.1</w:t>
      </w:r>
      <w:r>
        <w:rPr>
          <w:rFonts w:hint="eastAsia" w:ascii="宋体" w:hAnsi="宋体" w:eastAsia="宋体" w:cs="宋体"/>
          <w:b/>
          <w:bCs/>
          <w:color w:val="auto"/>
          <w:kern w:val="0"/>
          <w:szCs w:val="21"/>
          <w:highlight w:val="none"/>
        </w:rPr>
        <w:t xml:space="preserve">质保期: </w:t>
      </w:r>
      <w:r>
        <w:rPr>
          <w:rFonts w:hint="eastAsia" w:ascii="宋体" w:hAnsi="宋体" w:eastAsia="宋体" w:cs="宋体"/>
          <w:bCs/>
          <w:color w:val="auto"/>
          <w:kern w:val="0"/>
          <w:szCs w:val="21"/>
          <w:highlight w:val="none"/>
        </w:rPr>
        <w:t xml:space="preserve">自货物验收合格之日起 </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u w:val="single"/>
          <w:lang w:val="en-US" w:eastAsia="zh-CN"/>
        </w:rPr>
        <w:t xml:space="preserve"> </w:t>
      </w:r>
      <w:ins w:id="0" w:author="Administrator" w:date="2025-05-23T11:47:00Z">
        <w:r>
          <w:rPr>
            <w:rFonts w:hint="eastAsia" w:ascii="宋体" w:hAnsi="宋体" w:eastAsia="宋体" w:cs="宋体"/>
            <w:bCs/>
            <w:color w:val="auto"/>
            <w:kern w:val="0"/>
            <w:szCs w:val="21"/>
            <w:highlight w:val="none"/>
            <w:u w:val="single"/>
            <w:lang w:val="en-US" w:eastAsia="zh-CN"/>
          </w:rPr>
          <w:t xml:space="preserve"> </w:t>
        </w:r>
      </w:ins>
      <w:r>
        <w:rPr>
          <w:rFonts w:hint="eastAsia" w:ascii="宋体" w:hAnsi="宋体" w:eastAsia="宋体" w:cs="宋体"/>
          <w:bCs/>
          <w:color w:val="auto"/>
          <w:kern w:val="0"/>
          <w:szCs w:val="21"/>
          <w:highlight w:val="none"/>
        </w:rPr>
        <w:t>年。</w:t>
      </w:r>
    </w:p>
    <w:p w14:paraId="56218C18">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6.2</w:t>
      </w:r>
      <w:r>
        <w:rPr>
          <w:rFonts w:hint="eastAsia" w:ascii="宋体" w:hAnsi="宋体" w:eastAsia="宋体" w:cs="宋体"/>
          <w:color w:val="auto"/>
          <w:kern w:val="0"/>
          <w:szCs w:val="21"/>
          <w:highlight w:val="none"/>
        </w:rPr>
        <w:t>乙方应按</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文件及响应文件的货物性能、技术要求、质量标准向甲方提供未经使用的且是近1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2年生产的全新的产品。</w:t>
      </w:r>
    </w:p>
    <w:p w14:paraId="2F4E6873">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6.3</w:t>
      </w:r>
      <w:r>
        <w:rPr>
          <w:rFonts w:hint="eastAsia" w:ascii="宋体" w:hAnsi="宋体" w:eastAsia="宋体" w:cs="宋体"/>
          <w:color w:val="auto"/>
          <w:kern w:val="0"/>
          <w:szCs w:val="21"/>
          <w:highlight w:val="none"/>
        </w:rPr>
        <w:t>乙方提供货物的</w:t>
      </w:r>
      <w:r>
        <w:rPr>
          <w:rFonts w:hint="eastAsia" w:ascii="宋体" w:hAnsi="宋体" w:eastAsia="宋体" w:cs="宋体"/>
          <w:color w:val="auto"/>
          <w:kern w:val="0"/>
          <w:szCs w:val="21"/>
          <w:highlight w:val="none"/>
          <w:lang w:val="en-US" w:eastAsia="zh-CN"/>
        </w:rPr>
        <w:t>质保期</w:t>
      </w:r>
      <w:r>
        <w:rPr>
          <w:rFonts w:hint="eastAsia" w:ascii="宋体" w:hAnsi="宋体" w:eastAsia="宋体" w:cs="宋体"/>
          <w:color w:val="auto"/>
          <w:kern w:val="0"/>
          <w:szCs w:val="21"/>
          <w:highlight w:val="none"/>
        </w:rPr>
        <w:t>按交货验收合格之日起计（期限见《项目需求》中的要求）。在保证期内因货物本身的质量问题发生故障，乙方应负责</w:t>
      </w:r>
      <w:r>
        <w:rPr>
          <w:rFonts w:hint="eastAsia" w:ascii="宋体" w:hAnsi="宋体" w:eastAsia="宋体" w:cs="宋体"/>
          <w:color w:val="auto"/>
          <w:kern w:val="0"/>
          <w:szCs w:val="21"/>
          <w:highlight w:val="none"/>
          <w:lang w:val="en-US" w:eastAsia="zh-CN"/>
        </w:rPr>
        <w:t>无条件</w:t>
      </w:r>
      <w:r>
        <w:rPr>
          <w:rFonts w:hint="eastAsia" w:ascii="宋体" w:hAnsi="宋体" w:eastAsia="宋体" w:cs="宋体"/>
          <w:color w:val="auto"/>
          <w:kern w:val="0"/>
          <w:szCs w:val="21"/>
          <w:highlight w:val="none"/>
        </w:rPr>
        <w:t>修理和更换零部件。对达不到技术要求者，根据实际情况，经双方协商，可按以下办法处理：</w:t>
      </w:r>
    </w:p>
    <w:p w14:paraId="0FBCC57A">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（1）更换：由乙方承担所发生的全部费用。</w:t>
      </w:r>
    </w:p>
    <w:p w14:paraId="077BCB01">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（2）退货处理：乙方应退还甲方支付的货物款，同时应承担该货物的直接费用(运输、保险、检验、货款利息及银行手续费等)。</w:t>
      </w:r>
    </w:p>
    <w:p w14:paraId="56708219">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6.4</w:t>
      </w:r>
      <w:r>
        <w:rPr>
          <w:rFonts w:hint="eastAsia" w:ascii="宋体" w:hAnsi="宋体" w:eastAsia="宋体" w:cs="宋体"/>
          <w:color w:val="auto"/>
          <w:kern w:val="0"/>
          <w:szCs w:val="21"/>
          <w:highlight w:val="none"/>
        </w:rPr>
        <w:t>如在使用过程中发生质量问题，乙方在接到甲方通知后按《项目需求》中要求的时间内到达甲方现场。</w:t>
      </w:r>
    </w:p>
    <w:p w14:paraId="67879C51">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6.5</w:t>
      </w:r>
      <w:r>
        <w:rPr>
          <w:rFonts w:hint="eastAsia" w:ascii="宋体" w:hAnsi="宋体" w:eastAsia="宋体" w:cs="宋体"/>
          <w:color w:val="auto"/>
          <w:kern w:val="0"/>
          <w:szCs w:val="21"/>
          <w:highlight w:val="none"/>
        </w:rPr>
        <w:t>在质保期内，乙方应对货物出现的质量及安全问题负责处理解决并承担一切费用。</w:t>
      </w:r>
    </w:p>
    <w:p w14:paraId="50E0AA77">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6.6</w:t>
      </w:r>
      <w:r>
        <w:rPr>
          <w:rFonts w:hint="eastAsia" w:ascii="宋体" w:hAnsi="宋体" w:eastAsia="宋体" w:cs="宋体"/>
          <w:color w:val="auto"/>
          <w:kern w:val="0"/>
          <w:szCs w:val="21"/>
          <w:highlight w:val="none"/>
        </w:rPr>
        <w:t>设备如有需要，乙方需配备与之相适应的不间断稳压电源（UPS），保障特殊断电情况下设备的临时电源供应。</w:t>
      </w:r>
    </w:p>
    <w:p w14:paraId="49B78C4E">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6.7</w:t>
      </w:r>
      <w:r>
        <w:rPr>
          <w:rFonts w:hint="eastAsia" w:ascii="宋体" w:hAnsi="宋体" w:eastAsia="宋体" w:cs="宋体"/>
          <w:color w:val="auto"/>
          <w:kern w:val="0"/>
          <w:szCs w:val="21"/>
          <w:highlight w:val="none"/>
        </w:rPr>
        <w:t>设备所用软件需</w:t>
      </w:r>
      <w:r>
        <w:rPr>
          <w:rFonts w:hint="eastAsia" w:ascii="宋体" w:hAnsi="宋体" w:eastAsia="宋体" w:cs="宋体"/>
          <w:color w:val="auto"/>
          <w:kern w:val="0"/>
          <w:szCs w:val="21"/>
          <w:highlight w:val="none"/>
        </w:rPr>
        <w:t>提供终身升级</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费用包含在合同金额中</w:t>
      </w:r>
      <w:r>
        <w:rPr>
          <w:rFonts w:hint="eastAsia" w:ascii="宋体" w:hAnsi="宋体" w:eastAsia="宋体" w:cs="宋体"/>
          <w:color w:val="auto"/>
          <w:kern w:val="0"/>
          <w:szCs w:val="21"/>
          <w:highlight w:val="none"/>
        </w:rPr>
        <w:t>。</w:t>
      </w:r>
    </w:p>
    <w:p w14:paraId="4151179F">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6.8</w:t>
      </w:r>
      <w:r>
        <w:rPr>
          <w:rFonts w:hint="eastAsia" w:ascii="宋体" w:hAnsi="宋体" w:eastAsia="宋体" w:cs="宋体"/>
          <w:color w:val="auto"/>
          <w:kern w:val="0"/>
          <w:szCs w:val="21"/>
          <w:highlight w:val="none"/>
        </w:rPr>
        <w:t>设备如有需要，</w:t>
      </w:r>
      <w:r>
        <w:rPr>
          <w:rFonts w:hint="eastAsia" w:ascii="宋体" w:hAnsi="宋体" w:eastAsia="宋体" w:cs="宋体"/>
          <w:color w:val="auto"/>
          <w:kern w:val="0"/>
          <w:szCs w:val="21"/>
          <w:highlight w:val="none"/>
        </w:rPr>
        <w:t>乙方需提供与甲方系统的对接服务</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费用包含在合同金额中</w:t>
      </w:r>
      <w:r>
        <w:rPr>
          <w:rFonts w:hint="eastAsia" w:ascii="宋体" w:hAnsi="宋体" w:eastAsia="宋体" w:cs="宋体"/>
          <w:color w:val="auto"/>
          <w:kern w:val="0"/>
          <w:szCs w:val="21"/>
          <w:highlight w:val="none"/>
        </w:rPr>
        <w:t>。</w:t>
      </w:r>
    </w:p>
    <w:p w14:paraId="3A53796B">
      <w:pPr>
        <w:keepNext w:val="0"/>
        <w:keepLines w:val="0"/>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eastAsia="zh-CN"/>
        </w:rPr>
        <w:t>七、</w:t>
      </w:r>
      <w:r>
        <w:rPr>
          <w:rFonts w:hint="eastAsia" w:ascii="宋体" w:hAnsi="宋体" w:eastAsia="宋体" w:cs="宋体"/>
          <w:b/>
          <w:bCs/>
          <w:color w:val="auto"/>
          <w:kern w:val="0"/>
          <w:szCs w:val="21"/>
          <w:highlight w:val="none"/>
        </w:rPr>
        <w:t>项目完成时间</w:t>
      </w:r>
    </w:p>
    <w:p w14:paraId="1D8DC7B2">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b w:val="0"/>
          <w:bCs w:val="0"/>
          <w:color w:val="auto"/>
          <w:szCs w:val="21"/>
          <w:highlight w:val="none"/>
          <w:lang w:eastAsia="zh-CN"/>
        </w:rPr>
      </w:pPr>
      <w:r>
        <w:rPr>
          <w:rFonts w:hint="eastAsia" w:ascii="宋体" w:hAnsi="宋体"/>
          <w:b w:val="0"/>
          <w:bCs w:val="0"/>
          <w:color w:val="auto"/>
          <w:szCs w:val="21"/>
          <w:highlight w:val="none"/>
          <w:lang w:eastAsia="zh-CN"/>
        </w:rPr>
        <w:t>合同签订后</w:t>
      </w:r>
      <w:r>
        <w:rPr>
          <w:rFonts w:hint="eastAsia" w:ascii="宋体" w:hAnsi="宋体"/>
          <w:b w:val="0"/>
          <w:bCs w:val="0"/>
          <w:color w:val="auto"/>
          <w:szCs w:val="21"/>
          <w:highlight w:val="none"/>
          <w:u w:val="single"/>
          <w:lang w:val="en-US" w:eastAsia="zh-CN"/>
        </w:rPr>
        <w:t xml:space="preserve">      </w:t>
      </w:r>
      <w:r>
        <w:rPr>
          <w:rFonts w:hint="eastAsia" w:ascii="宋体" w:hAnsi="宋体"/>
          <w:b w:val="0"/>
          <w:bCs w:val="0"/>
          <w:color w:val="auto"/>
          <w:szCs w:val="21"/>
          <w:highlight w:val="none"/>
          <w:lang w:eastAsia="zh-CN"/>
        </w:rPr>
        <w:t>天内交货并安装验收完毕。</w:t>
      </w:r>
    </w:p>
    <w:p w14:paraId="05E8A605">
      <w:pPr>
        <w:keepNext w:val="0"/>
        <w:keepLines w:val="0"/>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color w:val="auto"/>
          <w:kern w:val="0"/>
          <w:szCs w:val="21"/>
          <w:highlight w:val="none"/>
        </w:rPr>
      </w:pPr>
      <w:r>
        <w:rPr>
          <w:rFonts w:hint="eastAsia" w:ascii="宋体" w:hAnsi="宋体" w:eastAsia="宋体" w:cs="宋体"/>
          <w:b/>
          <w:bCs/>
          <w:color w:val="auto"/>
          <w:kern w:val="0"/>
          <w:szCs w:val="21"/>
          <w:highlight w:val="none"/>
          <w:lang w:eastAsia="zh-CN"/>
        </w:rPr>
        <w:t>八、</w:t>
      </w:r>
      <w:r>
        <w:rPr>
          <w:rFonts w:hint="eastAsia" w:ascii="宋体" w:hAnsi="宋体" w:eastAsia="宋体" w:cs="宋体"/>
          <w:b/>
          <w:color w:val="auto"/>
          <w:kern w:val="0"/>
          <w:szCs w:val="21"/>
          <w:highlight w:val="none"/>
        </w:rPr>
        <w:t>验收、安装和培训</w:t>
      </w:r>
    </w:p>
    <w:p w14:paraId="2DEE697C">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8.1</w:t>
      </w:r>
      <w:r>
        <w:rPr>
          <w:rFonts w:hint="eastAsia" w:ascii="宋体" w:hAnsi="宋体" w:eastAsia="宋体" w:cs="宋体"/>
          <w:color w:val="auto"/>
          <w:kern w:val="0"/>
          <w:szCs w:val="21"/>
          <w:highlight w:val="none"/>
        </w:rPr>
        <w:t>乙方交货前应对产品作出全面检查和对验收文件进行整理列出清单，作为甲方收货验收和使用的技术条件依据，检验的结果应随货物交甲方。</w:t>
      </w:r>
    </w:p>
    <w:p w14:paraId="38B74106">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ascii="宋体" w:hAnsi="宋体" w:eastAsia="宋体" w:cs="仿宋"/>
          <w:bCs/>
          <w:color w:val="auto"/>
          <w:szCs w:val="21"/>
          <w:highlight w:val="none"/>
        </w:rPr>
      </w:pPr>
      <w:r>
        <w:rPr>
          <w:rFonts w:hint="eastAsia" w:ascii="宋体" w:hAnsi="宋体" w:eastAsia="宋体" w:cs="仿宋"/>
          <w:bCs/>
          <w:color w:val="auto"/>
          <w:szCs w:val="21"/>
          <w:highlight w:val="none"/>
          <w:lang w:val="en-US" w:eastAsia="zh-CN"/>
        </w:rPr>
        <w:t>8.2</w:t>
      </w:r>
      <w:r>
        <w:rPr>
          <w:rFonts w:hint="eastAsia" w:ascii="宋体" w:hAnsi="宋体" w:eastAsia="宋体" w:cs="仿宋"/>
          <w:bCs/>
          <w:color w:val="auto"/>
          <w:szCs w:val="21"/>
          <w:highlight w:val="none"/>
        </w:rPr>
        <w:t>甲方自行组织或委托政府采购代理机构组织初步验收及最终（安装）验收，由甲方或政府采购代理机构组织相关专业专家到场参与验收。如项目属于技术复杂的货物，甲方聘请国家认可的专业检测机构参与初步验收及最终（安装）验收，与甲方或政府采购代理机构组织的相关专业专家共同组成验收小组。验收时乙方必须在现场，验收完毕后出具验收结果报告；验收所产生的费用（包含但不限于聘请专家、检测机构费用）由乙方承担。</w:t>
      </w:r>
    </w:p>
    <w:p w14:paraId="4C7F913D">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ascii="宋体" w:hAnsi="宋体" w:eastAsia="宋体" w:cs="仿宋"/>
          <w:bCs/>
          <w:color w:val="auto"/>
          <w:szCs w:val="21"/>
          <w:highlight w:val="none"/>
        </w:rPr>
      </w:pPr>
      <w:r>
        <w:rPr>
          <w:rFonts w:hint="eastAsia" w:ascii="宋体" w:hAnsi="宋体" w:eastAsia="宋体" w:cs="仿宋"/>
          <w:bCs/>
          <w:color w:val="auto"/>
          <w:szCs w:val="21"/>
          <w:highlight w:val="none"/>
          <w:lang w:val="en-US" w:eastAsia="zh-CN"/>
        </w:rPr>
        <w:t>8.3</w:t>
      </w:r>
      <w:r>
        <w:rPr>
          <w:rFonts w:hint="eastAsia" w:ascii="宋体" w:hAnsi="宋体" w:eastAsia="宋体" w:cs="仿宋"/>
          <w:bCs/>
          <w:color w:val="auto"/>
          <w:szCs w:val="21"/>
          <w:highlight w:val="none"/>
        </w:rPr>
        <w:t>验收时间以本项目验收方案约定的验收时间为准，验收结果以本项目验收报告结论为准。</w:t>
      </w:r>
    </w:p>
    <w:p w14:paraId="6EA21914">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ascii="宋体" w:hAnsi="宋体" w:eastAsia="宋体" w:cs="仿宋"/>
          <w:bCs/>
          <w:color w:val="auto"/>
          <w:szCs w:val="21"/>
          <w:highlight w:val="none"/>
        </w:rPr>
      </w:pPr>
      <w:r>
        <w:rPr>
          <w:rFonts w:hint="eastAsia" w:ascii="宋体" w:hAnsi="宋体" w:eastAsia="宋体" w:cs="仿宋"/>
          <w:bCs/>
          <w:color w:val="auto"/>
          <w:szCs w:val="21"/>
          <w:highlight w:val="none"/>
          <w:lang w:val="en-US" w:eastAsia="zh-CN"/>
        </w:rPr>
        <w:t>8.4</w:t>
      </w:r>
      <w:r>
        <w:rPr>
          <w:rFonts w:hint="eastAsia" w:ascii="宋体" w:hAnsi="宋体" w:eastAsia="宋体" w:cs="仿宋"/>
          <w:bCs/>
          <w:color w:val="auto"/>
          <w:szCs w:val="21"/>
          <w:highlight w:val="none"/>
        </w:rPr>
        <w:t>初步验收：</w:t>
      </w:r>
    </w:p>
    <w:p w14:paraId="2B068FAF">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ascii="宋体" w:hAnsi="宋体" w:eastAsia="宋体" w:cs="仿宋"/>
          <w:bCs/>
          <w:color w:val="auto"/>
          <w:szCs w:val="21"/>
          <w:highlight w:val="none"/>
        </w:rPr>
      </w:pPr>
      <w:r>
        <w:rPr>
          <w:rFonts w:hint="eastAsia" w:ascii="宋体" w:hAnsi="宋体" w:eastAsia="宋体" w:cs="仿宋"/>
          <w:bCs/>
          <w:color w:val="auto"/>
          <w:szCs w:val="21"/>
          <w:highlight w:val="none"/>
          <w:lang w:val="en-US" w:eastAsia="zh-CN"/>
        </w:rPr>
        <w:t>8.4.1</w:t>
      </w:r>
      <w:r>
        <w:rPr>
          <w:rFonts w:hint="eastAsia" w:ascii="宋体" w:hAnsi="宋体" w:eastAsia="宋体" w:cs="仿宋"/>
          <w:bCs/>
          <w:color w:val="auto"/>
          <w:szCs w:val="21"/>
          <w:highlight w:val="none"/>
        </w:rPr>
        <w:t>甲方（或验收小组）对乙方提交的货物，依据</w:t>
      </w:r>
      <w:r>
        <w:rPr>
          <w:rFonts w:hint="eastAsia" w:ascii="宋体" w:hAnsi="宋体" w:eastAsia="宋体" w:cs="仿宋"/>
          <w:bCs/>
          <w:color w:val="auto"/>
          <w:szCs w:val="21"/>
          <w:highlight w:val="none"/>
          <w:lang w:eastAsia="zh-CN"/>
        </w:rPr>
        <w:t>采购文件</w:t>
      </w:r>
      <w:r>
        <w:rPr>
          <w:rFonts w:hint="eastAsia" w:ascii="宋体" w:hAnsi="宋体" w:eastAsia="宋体" w:cs="仿宋"/>
          <w:bCs/>
          <w:color w:val="auto"/>
          <w:szCs w:val="21"/>
          <w:highlight w:val="none"/>
        </w:rPr>
        <w:t>上的技术规格要求和国家有关质量标准进行现场初步验收，产品外观、说明书符合</w:t>
      </w:r>
      <w:r>
        <w:rPr>
          <w:rFonts w:hint="eastAsia" w:ascii="宋体" w:hAnsi="宋体" w:eastAsia="宋体" w:cs="仿宋"/>
          <w:bCs/>
          <w:color w:val="auto"/>
          <w:szCs w:val="21"/>
          <w:highlight w:val="none"/>
          <w:lang w:eastAsia="zh-CN"/>
        </w:rPr>
        <w:t>采购文件</w:t>
      </w:r>
      <w:r>
        <w:rPr>
          <w:rFonts w:hint="eastAsia" w:ascii="宋体" w:hAnsi="宋体" w:eastAsia="宋体" w:cs="仿宋"/>
          <w:bCs/>
          <w:color w:val="auto"/>
          <w:szCs w:val="21"/>
          <w:highlight w:val="none"/>
        </w:rPr>
        <w:t>技术要求的，给予签收；对不符合要求的货物视为初步验收不合格不予签收，可立即要求退换，乙方不得拒绝和延误。</w:t>
      </w:r>
    </w:p>
    <w:p w14:paraId="45A32C4A">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ascii="宋体" w:hAnsi="宋体" w:eastAsia="宋体" w:cs="仿宋"/>
          <w:bCs/>
          <w:color w:val="auto"/>
          <w:szCs w:val="21"/>
          <w:highlight w:val="none"/>
        </w:rPr>
      </w:pPr>
      <w:r>
        <w:rPr>
          <w:rFonts w:hint="eastAsia" w:ascii="宋体" w:hAnsi="宋体" w:eastAsia="宋体" w:cs="仿宋"/>
          <w:bCs/>
          <w:color w:val="auto"/>
          <w:szCs w:val="21"/>
          <w:highlight w:val="none"/>
          <w:lang w:val="en-US" w:eastAsia="zh-CN"/>
        </w:rPr>
        <w:t>8.4.</w:t>
      </w:r>
      <w:r>
        <w:rPr>
          <w:rFonts w:hint="eastAsia" w:ascii="宋体" w:hAnsi="宋体" w:eastAsia="宋体" w:cs="仿宋"/>
          <w:bCs/>
          <w:color w:val="auto"/>
          <w:szCs w:val="21"/>
          <w:highlight w:val="none"/>
        </w:rPr>
        <w:t>2乙方应将所提供货物的装箱清单、用户手册、原厂保修卡、随机资料、工具和备品、备件、合格证明、医疗器械注册证及医疗器械登记表（如有）、生产许可证、经营许可证复印件加盖公章交付给甲方（或验收小组）,并列出清单,作为甲方（或验收小组）收货验收和使用的技术条件依据，检验的结果应随货物交甲方（或验收小组）。如有缺失应及时补齐，否则视为逾期交货。</w:t>
      </w:r>
    </w:p>
    <w:p w14:paraId="17282AD6">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ascii="宋体" w:hAnsi="宋体" w:eastAsia="宋体" w:cs="仿宋"/>
          <w:bCs/>
          <w:color w:val="auto"/>
          <w:szCs w:val="21"/>
          <w:highlight w:val="none"/>
        </w:rPr>
      </w:pPr>
      <w:r>
        <w:rPr>
          <w:rFonts w:hint="eastAsia" w:ascii="宋体" w:hAnsi="宋体" w:eastAsia="宋体" w:cs="仿宋"/>
          <w:bCs/>
          <w:color w:val="auto"/>
          <w:szCs w:val="21"/>
          <w:highlight w:val="none"/>
          <w:lang w:val="en-US" w:eastAsia="zh-CN"/>
        </w:rPr>
        <w:t>8.4.</w:t>
      </w:r>
      <w:r>
        <w:rPr>
          <w:rFonts w:hint="eastAsia" w:ascii="宋体" w:hAnsi="宋体" w:eastAsia="宋体" w:cs="仿宋"/>
          <w:bCs/>
          <w:color w:val="auto"/>
          <w:szCs w:val="21"/>
          <w:highlight w:val="none"/>
        </w:rPr>
        <w:t>3乙方应按</w:t>
      </w:r>
      <w:r>
        <w:rPr>
          <w:rFonts w:hint="eastAsia" w:ascii="宋体" w:hAnsi="宋体" w:eastAsia="宋体" w:cs="仿宋"/>
          <w:bCs/>
          <w:color w:val="auto"/>
          <w:szCs w:val="21"/>
          <w:highlight w:val="none"/>
          <w:lang w:val="en-US" w:eastAsia="zh-CN"/>
        </w:rPr>
        <w:t>响应</w:t>
      </w:r>
      <w:r>
        <w:rPr>
          <w:rFonts w:hint="eastAsia" w:ascii="宋体" w:hAnsi="宋体" w:eastAsia="宋体" w:cs="仿宋"/>
          <w:bCs/>
          <w:color w:val="auto"/>
          <w:szCs w:val="21"/>
          <w:highlight w:val="none"/>
        </w:rPr>
        <w:t>文件要求提供设备纸质版或电子版的操作规程和维护保养流程。提供设备维护手册、维修手册、软件备份、故障代码表、备件清单、零部件、维修密码、软件光盘及软件安装流程等维护维修必需的材料和信息。</w:t>
      </w:r>
    </w:p>
    <w:p w14:paraId="4C64377F">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ascii="宋体" w:hAnsi="宋体" w:eastAsia="宋体" w:cs="仿宋"/>
          <w:bCs/>
          <w:color w:val="auto"/>
          <w:szCs w:val="21"/>
          <w:highlight w:val="none"/>
        </w:rPr>
      </w:pPr>
      <w:r>
        <w:rPr>
          <w:rFonts w:hint="eastAsia" w:ascii="宋体" w:hAnsi="宋体" w:eastAsia="宋体" w:cs="仿宋"/>
          <w:bCs/>
          <w:color w:val="auto"/>
          <w:szCs w:val="21"/>
          <w:highlight w:val="none"/>
          <w:lang w:val="en-US" w:eastAsia="zh-CN"/>
        </w:rPr>
        <w:t>8.4.</w:t>
      </w:r>
      <w:r>
        <w:rPr>
          <w:rFonts w:hint="eastAsia" w:ascii="宋体" w:hAnsi="宋体" w:eastAsia="宋体" w:cs="仿宋"/>
          <w:bCs/>
          <w:color w:val="auto"/>
          <w:szCs w:val="21"/>
          <w:highlight w:val="none"/>
        </w:rPr>
        <w:t>4甲方（或验收小组）应当在到货后15个工作日内进行初步验收，逾期不验收的，乙方可视同初步验收合格。初步验收合格后由甲乙双方签署货物初步验收单并加盖采购单位公章，甲乙双方各执一份。</w:t>
      </w:r>
    </w:p>
    <w:p w14:paraId="4D3E51D7">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ascii="宋体" w:hAnsi="宋体" w:eastAsia="宋体" w:cs="仿宋"/>
          <w:bCs/>
          <w:color w:val="auto"/>
          <w:szCs w:val="21"/>
          <w:highlight w:val="none"/>
        </w:rPr>
      </w:pPr>
      <w:r>
        <w:rPr>
          <w:rFonts w:hint="eastAsia" w:ascii="宋体" w:hAnsi="宋体" w:eastAsia="宋体" w:cs="仿宋"/>
          <w:bCs/>
          <w:color w:val="auto"/>
          <w:szCs w:val="21"/>
          <w:highlight w:val="none"/>
          <w:lang w:val="en-US" w:eastAsia="zh-CN"/>
        </w:rPr>
        <w:t>8.5</w:t>
      </w:r>
      <w:r>
        <w:rPr>
          <w:rFonts w:hint="eastAsia" w:ascii="宋体" w:hAnsi="宋体" w:eastAsia="宋体" w:cs="仿宋"/>
          <w:bCs/>
          <w:color w:val="auto"/>
          <w:szCs w:val="21"/>
          <w:highlight w:val="none"/>
        </w:rPr>
        <w:t>最终（安装后）验收：</w:t>
      </w:r>
    </w:p>
    <w:p w14:paraId="3401D5E1">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ascii="宋体" w:hAnsi="宋体" w:eastAsia="宋体" w:cs="仿宋"/>
          <w:bCs/>
          <w:color w:val="auto"/>
          <w:szCs w:val="21"/>
          <w:highlight w:val="none"/>
        </w:rPr>
      </w:pPr>
      <w:r>
        <w:rPr>
          <w:rFonts w:hint="eastAsia" w:ascii="宋体" w:hAnsi="宋体" w:eastAsia="宋体" w:cs="仿宋"/>
          <w:bCs/>
          <w:color w:val="auto"/>
          <w:szCs w:val="21"/>
          <w:highlight w:val="none"/>
          <w:lang w:val="en-US" w:eastAsia="zh-CN"/>
        </w:rPr>
        <w:t>8.5.</w:t>
      </w:r>
      <w:r>
        <w:rPr>
          <w:rFonts w:hint="eastAsia" w:ascii="宋体" w:hAnsi="宋体" w:eastAsia="宋体" w:cs="仿宋"/>
          <w:bCs/>
          <w:color w:val="auto"/>
          <w:szCs w:val="21"/>
          <w:highlight w:val="none"/>
        </w:rPr>
        <w:t>1初步验收合格并安装完成后，甲方对乙方提供的货物在使用运行前进行调试时，乙方需负责培训甲方的使用操作人员，并协助甲方一起调试，直到符合技术要求，甲方（或验收小组）开展最终（安装后）验收活动。</w:t>
      </w:r>
    </w:p>
    <w:p w14:paraId="6CAA4FE2">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ascii="宋体" w:hAnsi="宋体" w:eastAsia="宋体" w:cs="仿宋"/>
          <w:bCs/>
          <w:color w:val="auto"/>
          <w:szCs w:val="21"/>
          <w:highlight w:val="none"/>
        </w:rPr>
      </w:pPr>
      <w:r>
        <w:rPr>
          <w:rFonts w:hint="eastAsia" w:ascii="宋体" w:hAnsi="宋体" w:eastAsia="宋体" w:cs="仿宋"/>
          <w:bCs/>
          <w:color w:val="auto"/>
          <w:szCs w:val="21"/>
          <w:highlight w:val="none"/>
          <w:lang w:val="en-US" w:eastAsia="zh-CN"/>
        </w:rPr>
        <w:t>8.5</w:t>
      </w:r>
      <w:r>
        <w:rPr>
          <w:rFonts w:hint="eastAsia" w:ascii="宋体" w:hAnsi="宋体" w:eastAsia="宋体" w:cs="仿宋"/>
          <w:bCs/>
          <w:color w:val="auto"/>
          <w:szCs w:val="21"/>
          <w:highlight w:val="none"/>
        </w:rPr>
        <w:t>.2由甲方（或验收小组）进行最终（安装后）验收，验收内容包括采购项目的每一项技术要求和商务要求（含乙方</w:t>
      </w:r>
      <w:r>
        <w:rPr>
          <w:rFonts w:hint="eastAsia" w:ascii="宋体" w:hAnsi="宋体" w:eastAsia="宋体" w:cs="仿宋"/>
          <w:bCs/>
          <w:color w:val="auto"/>
          <w:szCs w:val="21"/>
          <w:highlight w:val="none"/>
          <w:lang w:eastAsia="zh-CN"/>
        </w:rPr>
        <w:t>响应文件</w:t>
      </w:r>
      <w:r>
        <w:rPr>
          <w:rFonts w:hint="eastAsia" w:ascii="宋体" w:hAnsi="宋体" w:eastAsia="宋体" w:cs="仿宋"/>
          <w:bCs/>
          <w:color w:val="auto"/>
          <w:szCs w:val="21"/>
          <w:highlight w:val="none"/>
        </w:rPr>
        <w:t>响应的技术和商务内容）、合同与补充合同的约定，并按照</w:t>
      </w:r>
      <w:r>
        <w:rPr>
          <w:rFonts w:hint="eastAsia" w:ascii="宋体" w:hAnsi="宋体" w:eastAsia="宋体" w:cs="仿宋"/>
          <w:bCs/>
          <w:color w:val="auto"/>
          <w:szCs w:val="21"/>
          <w:highlight w:val="none"/>
          <w:lang w:eastAsia="zh-CN"/>
        </w:rPr>
        <w:t>采购文件</w:t>
      </w:r>
      <w:r>
        <w:rPr>
          <w:rFonts w:hint="eastAsia" w:ascii="宋体" w:hAnsi="宋体" w:eastAsia="宋体" w:cs="仿宋"/>
          <w:bCs/>
          <w:color w:val="auto"/>
          <w:szCs w:val="21"/>
          <w:highlight w:val="none"/>
        </w:rPr>
        <w:t>上的技术规格要求和国家有关质量标准验收。</w:t>
      </w:r>
    </w:p>
    <w:p w14:paraId="1B97251F">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ascii="宋体" w:hAnsi="宋体" w:eastAsia="宋体" w:cs="仿宋"/>
          <w:bCs/>
          <w:color w:val="auto"/>
          <w:szCs w:val="21"/>
          <w:highlight w:val="none"/>
        </w:rPr>
      </w:pPr>
      <w:r>
        <w:rPr>
          <w:rFonts w:hint="eastAsia" w:ascii="宋体" w:hAnsi="宋体" w:eastAsia="宋体" w:cs="仿宋"/>
          <w:bCs/>
          <w:color w:val="auto"/>
          <w:szCs w:val="21"/>
          <w:highlight w:val="none"/>
          <w:lang w:val="en-US" w:eastAsia="zh-CN"/>
        </w:rPr>
        <w:t>8.5</w:t>
      </w:r>
      <w:r>
        <w:rPr>
          <w:rFonts w:hint="eastAsia" w:ascii="宋体" w:hAnsi="宋体" w:eastAsia="宋体" w:cs="仿宋"/>
          <w:bCs/>
          <w:color w:val="auto"/>
          <w:szCs w:val="21"/>
          <w:highlight w:val="none"/>
        </w:rPr>
        <w:t>.3验收结束后，应当出具验收报告，列明各项标准的验收情况及项目总体评价，由验收各方共同签署。对不符合要求或有质量问题的货物视为最终（安装后）验收不合格的，可立即要求退换，乙方不得拒绝和延误。</w:t>
      </w:r>
    </w:p>
    <w:p w14:paraId="56205060">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ascii="宋体" w:hAnsi="宋体" w:eastAsia="宋体" w:cs="仿宋"/>
          <w:bCs/>
          <w:color w:val="auto"/>
          <w:szCs w:val="21"/>
          <w:highlight w:val="none"/>
        </w:rPr>
      </w:pPr>
      <w:r>
        <w:rPr>
          <w:rFonts w:hint="eastAsia" w:ascii="宋体" w:hAnsi="宋体" w:eastAsia="宋体" w:cs="仿宋"/>
          <w:bCs/>
          <w:color w:val="auto"/>
          <w:szCs w:val="21"/>
          <w:highlight w:val="none"/>
          <w:lang w:val="en-US" w:eastAsia="zh-CN"/>
        </w:rPr>
        <w:t>8.6</w:t>
      </w:r>
      <w:r>
        <w:rPr>
          <w:rFonts w:hint="eastAsia" w:ascii="宋体" w:hAnsi="宋体" w:eastAsia="宋体" w:cs="仿宋"/>
          <w:bCs/>
          <w:color w:val="auto"/>
          <w:szCs w:val="21"/>
          <w:highlight w:val="none"/>
        </w:rPr>
        <w:t>甲方对验收有异议的，在验收后五个工作日内以书面形式向乙方提出，乙方应自收到甲方书面异议后五个工作日内及时予以解决。</w:t>
      </w:r>
    </w:p>
    <w:p w14:paraId="5BD97027">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ascii="宋体" w:hAnsi="宋体" w:eastAsia="宋体" w:cs="仿宋"/>
          <w:bCs/>
          <w:color w:val="auto"/>
          <w:szCs w:val="21"/>
          <w:highlight w:val="none"/>
        </w:rPr>
      </w:pPr>
      <w:r>
        <w:rPr>
          <w:rFonts w:hint="eastAsia" w:ascii="宋体" w:hAnsi="宋体" w:eastAsia="宋体" w:cs="仿宋"/>
          <w:bCs/>
          <w:color w:val="auto"/>
          <w:szCs w:val="21"/>
          <w:highlight w:val="none"/>
          <w:lang w:val="en-US" w:eastAsia="zh-CN"/>
        </w:rPr>
        <w:t>8.7</w:t>
      </w:r>
      <w:r>
        <w:rPr>
          <w:rFonts w:hint="eastAsia" w:ascii="宋体" w:hAnsi="宋体" w:eastAsia="宋体" w:cs="仿宋"/>
          <w:bCs/>
          <w:color w:val="auto"/>
          <w:szCs w:val="21"/>
          <w:highlight w:val="none"/>
        </w:rPr>
        <w:t>负责</w:t>
      </w:r>
      <w:r>
        <w:rPr>
          <w:rFonts w:hint="eastAsia" w:ascii="宋体" w:hAnsi="宋体" w:eastAsia="宋体" w:cs="仿宋"/>
          <w:bCs/>
          <w:color w:val="auto"/>
          <w:szCs w:val="21"/>
          <w:highlight w:val="none"/>
          <w:lang w:val="en-US" w:eastAsia="zh-CN"/>
        </w:rPr>
        <w:t>无条件</w:t>
      </w:r>
      <w:r>
        <w:rPr>
          <w:rFonts w:hint="eastAsia" w:ascii="宋体" w:hAnsi="宋体" w:eastAsia="宋体" w:cs="仿宋"/>
          <w:bCs/>
          <w:color w:val="auto"/>
          <w:szCs w:val="21"/>
          <w:highlight w:val="none"/>
        </w:rPr>
        <w:t>完成设备的控评和验收报告，</w:t>
      </w:r>
      <w:r>
        <w:rPr>
          <w:rFonts w:hint="eastAsia" w:ascii="宋体" w:hAnsi="宋体" w:eastAsia="宋体" w:cs="仿宋"/>
          <w:bCs/>
          <w:color w:val="auto"/>
          <w:szCs w:val="21"/>
          <w:highlight w:val="none"/>
          <w:lang w:val="en-US" w:eastAsia="zh-CN"/>
        </w:rPr>
        <w:t>无条件</w:t>
      </w:r>
      <w:r>
        <w:rPr>
          <w:rFonts w:hint="eastAsia" w:ascii="宋体" w:hAnsi="宋体" w:eastAsia="宋体" w:cs="仿宋"/>
          <w:bCs/>
          <w:color w:val="auto"/>
          <w:szCs w:val="21"/>
          <w:highlight w:val="none"/>
        </w:rPr>
        <w:t>配合</w:t>
      </w:r>
      <w:r>
        <w:rPr>
          <w:rFonts w:hint="eastAsia" w:ascii="宋体" w:hAnsi="宋体" w:eastAsia="宋体" w:cs="仿宋"/>
          <w:bCs/>
          <w:color w:val="auto"/>
          <w:szCs w:val="21"/>
          <w:highlight w:val="none"/>
          <w:lang w:val="en-US" w:eastAsia="zh-CN"/>
        </w:rPr>
        <w:t>甲方</w:t>
      </w:r>
      <w:r>
        <w:rPr>
          <w:rFonts w:hint="eastAsia" w:ascii="宋体" w:hAnsi="宋体" w:eastAsia="宋体" w:cs="仿宋"/>
          <w:bCs/>
          <w:color w:val="auto"/>
          <w:szCs w:val="21"/>
          <w:highlight w:val="none"/>
        </w:rPr>
        <w:t>完成设备办证工作。如属于计量器具或特种设备的，还需按国家相关要求提供合格检定证书或校准证书（或检验报告）。如设备安装场地需技术安装改造的，乙方应负责无条件安装改造至设备正式投入使用。</w:t>
      </w:r>
    </w:p>
    <w:p w14:paraId="073057AA">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仿宋"/>
          <w:bCs/>
          <w:color w:val="auto"/>
          <w:szCs w:val="21"/>
          <w:highlight w:val="none"/>
        </w:rPr>
      </w:pPr>
      <w:r>
        <w:rPr>
          <w:rFonts w:hint="eastAsia" w:ascii="宋体" w:hAnsi="宋体" w:eastAsia="宋体" w:cs="仿宋"/>
          <w:bCs/>
          <w:color w:val="auto"/>
          <w:szCs w:val="21"/>
          <w:highlight w:val="none"/>
          <w:lang w:val="en-US" w:eastAsia="zh-CN"/>
        </w:rPr>
        <w:t>8.8</w:t>
      </w:r>
      <w:r>
        <w:rPr>
          <w:rFonts w:hint="eastAsia" w:ascii="宋体" w:hAnsi="宋体" w:eastAsia="宋体" w:cs="仿宋"/>
          <w:bCs/>
          <w:color w:val="auto"/>
          <w:szCs w:val="21"/>
          <w:highlight w:val="none"/>
        </w:rPr>
        <w:t>在验收过程中发现乙方有违约问题，可暂缓资金结算，待违约问题解决后，方可办理资金结算事宜。因乙方违约导致甲方迟延付款的，甲方不承担逾期付款违约责任。</w:t>
      </w:r>
    </w:p>
    <w:p w14:paraId="16EE7D34">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甲方应提供必要的安装条件，乙方负责货物的安装和调试。</w:t>
      </w:r>
    </w:p>
    <w:p w14:paraId="39C48E66">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 xml:space="preserve"> 乙方负责甲方有关人员的培训。培训时间、地点：按甲方规定的时间和地点。</w:t>
      </w:r>
    </w:p>
    <w:p w14:paraId="2E799AD7">
      <w:pPr>
        <w:keepNext w:val="0"/>
        <w:keepLines w:val="0"/>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eastAsia="zh-CN"/>
        </w:rPr>
        <w:t>九、</w:t>
      </w:r>
      <w:r>
        <w:rPr>
          <w:rFonts w:hint="eastAsia" w:ascii="宋体" w:hAnsi="宋体" w:eastAsia="宋体" w:cs="宋体"/>
          <w:b/>
          <w:color w:val="auto"/>
          <w:kern w:val="0"/>
          <w:szCs w:val="21"/>
          <w:highlight w:val="none"/>
        </w:rPr>
        <w:t>货物包装、发运及运输</w:t>
      </w:r>
    </w:p>
    <w:p w14:paraId="4484744C">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.1乙方应在货物发运前对其进行</w:t>
      </w:r>
      <w:r>
        <w:rPr>
          <w:rFonts w:hint="eastAsia" w:ascii="宋体" w:hAnsi="宋体" w:eastAsia="宋体" w:cs="宋体"/>
          <w:color w:val="auto"/>
          <w:kern w:val="0"/>
          <w:szCs w:val="21"/>
          <w:highlight w:val="none"/>
          <w:lang w:eastAsia="zh-CN"/>
        </w:rPr>
        <w:t>满足</w:t>
      </w:r>
      <w:r>
        <w:rPr>
          <w:rFonts w:hint="eastAsia" w:ascii="宋体" w:hAnsi="宋体" w:eastAsia="宋体" w:cs="宋体"/>
          <w:color w:val="auto"/>
          <w:kern w:val="0"/>
          <w:szCs w:val="21"/>
          <w:highlight w:val="none"/>
        </w:rPr>
        <w:t>运输距离、防潮、防震、防锈和防破损装卸要求的包装，以保证货物安全运输到达甲方指定地点。</w:t>
      </w:r>
    </w:p>
    <w:p w14:paraId="546BF5B8">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.2使用说明书、质量检验证明书、随配附件和工具以及清单等一并附于货物内。</w:t>
      </w:r>
    </w:p>
    <w:p w14:paraId="1A3DB291">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.3乙方负责将货物安全运送到甲方指定地点，不另收任何费用。</w:t>
      </w:r>
    </w:p>
    <w:p w14:paraId="6B90FF90">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.4货物在交货前发生的不可预见的风险均由乙方负责。</w:t>
      </w:r>
    </w:p>
    <w:p w14:paraId="29F4E55B">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.5货物在发运手续办理完毕后24小时内或货到甲方前48小时通知甲方，以准备接货。</w:t>
      </w:r>
    </w:p>
    <w:p w14:paraId="271A8EB0">
      <w:pPr>
        <w:keepNext w:val="0"/>
        <w:keepLines w:val="0"/>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eastAsia="zh-CN"/>
        </w:rPr>
        <w:t>十</w:t>
      </w:r>
      <w:r>
        <w:rPr>
          <w:rFonts w:hint="eastAsia" w:ascii="宋体" w:hAnsi="宋体" w:eastAsia="宋体" w:cs="宋体"/>
          <w:b/>
          <w:color w:val="auto"/>
          <w:kern w:val="0"/>
          <w:szCs w:val="21"/>
          <w:highlight w:val="none"/>
        </w:rPr>
        <w:t>、项目交货方式及完成地点</w:t>
      </w:r>
    </w:p>
    <w:p w14:paraId="22B6913C">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b w:val="0"/>
          <w:bCs w:val="0"/>
          <w:color w:val="auto"/>
          <w:szCs w:val="21"/>
          <w:highlight w:val="none"/>
          <w:lang w:val="en-US" w:eastAsia="zh-CN"/>
        </w:rPr>
      </w:pP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交货方式：现场安装验收。</w:t>
      </w:r>
    </w:p>
    <w:p w14:paraId="13982AC6">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项目完成地点：甲方指定地点。</w:t>
      </w:r>
    </w:p>
    <w:p w14:paraId="12DB5EE5">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ascii="宋体" w:hAnsi="宋体" w:eastAsia="宋体" w:cs="仿宋"/>
          <w:b/>
          <w:color w:val="auto"/>
          <w:szCs w:val="21"/>
          <w:highlight w:val="none"/>
        </w:rPr>
      </w:pPr>
      <w:r>
        <w:rPr>
          <w:rFonts w:hint="eastAsia" w:ascii="宋体" w:hAnsi="宋体" w:eastAsia="宋体" w:cs="仿宋"/>
          <w:b/>
          <w:color w:val="auto"/>
          <w:szCs w:val="21"/>
          <w:highlight w:val="none"/>
          <w:lang w:eastAsia="zh-CN"/>
        </w:rPr>
        <w:t>十一、</w:t>
      </w:r>
      <w:r>
        <w:rPr>
          <w:rFonts w:hint="eastAsia" w:ascii="宋体" w:hAnsi="宋体" w:eastAsia="宋体" w:cs="仿宋"/>
          <w:b/>
          <w:color w:val="auto"/>
          <w:szCs w:val="21"/>
          <w:highlight w:val="none"/>
        </w:rPr>
        <w:t>售后服务、保修期</w:t>
      </w:r>
    </w:p>
    <w:p w14:paraId="7D8BF5AF">
      <w:pPr>
        <w:keepNext w:val="0"/>
        <w:keepLines w:val="0"/>
        <w:pageBreakBefore w:val="0"/>
        <w:widowControl w:val="0"/>
        <w:kinsoku/>
        <w:wordWrap/>
        <w:overflowPunct/>
        <w:topLinePunct w:val="0"/>
        <w:autoSpaceDE/>
        <w:autoSpaceDN/>
        <w:bidi w:val="0"/>
        <w:adjustRightInd/>
        <w:snapToGrid w:val="0"/>
        <w:spacing w:line="360" w:lineRule="auto"/>
        <w:ind w:left="0" w:leftChars="0" w:firstLine="424" w:firstLineChars="202"/>
        <w:textAlignment w:val="auto"/>
        <w:rPr>
          <w:rFonts w:ascii="宋体" w:hAnsi="宋体" w:eastAsia="宋体" w:cs="仿宋"/>
          <w:bCs/>
          <w:color w:val="auto"/>
          <w:szCs w:val="21"/>
          <w:highlight w:val="none"/>
        </w:rPr>
      </w:pPr>
      <w:r>
        <w:rPr>
          <w:rFonts w:hint="eastAsia" w:ascii="宋体" w:hAnsi="宋体" w:eastAsia="宋体" w:cs="仿宋"/>
          <w:bCs/>
          <w:color w:val="auto"/>
          <w:szCs w:val="21"/>
          <w:highlight w:val="none"/>
          <w:lang w:val="en-US" w:eastAsia="zh-CN"/>
        </w:rPr>
        <w:t>11.1</w:t>
      </w:r>
      <w:r>
        <w:rPr>
          <w:rFonts w:hint="eastAsia" w:ascii="宋体" w:hAnsi="宋体" w:eastAsia="宋体" w:cs="仿宋"/>
          <w:bCs/>
          <w:color w:val="auto"/>
          <w:szCs w:val="21"/>
          <w:highlight w:val="none"/>
        </w:rPr>
        <w:t>乙方应按照国家有关法律法规和“三包”规定以及</w:t>
      </w:r>
      <w:r>
        <w:rPr>
          <w:rFonts w:hint="eastAsia" w:ascii="宋体" w:hAnsi="宋体" w:eastAsia="宋体" w:cs="仿宋"/>
          <w:bCs/>
          <w:color w:val="auto"/>
          <w:szCs w:val="21"/>
          <w:highlight w:val="none"/>
          <w:lang w:eastAsia="zh-CN"/>
        </w:rPr>
        <w:t>采购文件</w:t>
      </w:r>
      <w:r>
        <w:rPr>
          <w:rFonts w:hint="eastAsia" w:ascii="宋体" w:hAnsi="宋体" w:eastAsia="宋体" w:cs="仿宋"/>
          <w:bCs/>
          <w:color w:val="auto"/>
          <w:szCs w:val="21"/>
          <w:highlight w:val="none"/>
        </w:rPr>
        <w:t>和本合同所附的《服务承诺》，为甲方提供售后服务。国家法律法规、规章、规范性文件或相关技术标准、规范有更长质保期规定的，从其规定。</w:t>
      </w:r>
    </w:p>
    <w:p w14:paraId="1CE1E3EF">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仿宋"/>
          <w:bCs/>
          <w:color w:val="auto"/>
          <w:szCs w:val="21"/>
          <w:highlight w:val="none"/>
          <w:lang w:eastAsia="zh-CN"/>
        </w:rPr>
      </w:pPr>
      <w:r>
        <w:rPr>
          <w:rFonts w:hint="eastAsia" w:ascii="宋体" w:hAnsi="宋体" w:eastAsia="宋体" w:cs="仿宋"/>
          <w:bCs/>
          <w:color w:val="auto"/>
          <w:szCs w:val="21"/>
          <w:highlight w:val="none"/>
          <w:lang w:val="en-US" w:eastAsia="zh-CN"/>
        </w:rPr>
        <w:t>11.2</w:t>
      </w:r>
      <w:r>
        <w:rPr>
          <w:rFonts w:hint="eastAsia" w:ascii="宋体" w:hAnsi="宋体" w:eastAsia="宋体" w:cs="仿宋"/>
          <w:bCs/>
          <w:color w:val="auto"/>
          <w:szCs w:val="21"/>
          <w:highlight w:val="none"/>
        </w:rPr>
        <w:t>如在使用过程中发生质量问题，乙方在接到甲方通知后在</w:t>
      </w:r>
      <w:r>
        <w:rPr>
          <w:rFonts w:hint="eastAsia" w:ascii="宋体" w:hAnsi="宋体" w:eastAsia="宋体" w:cs="仿宋"/>
          <w:bCs/>
          <w:color w:val="auto"/>
          <w:szCs w:val="21"/>
          <w:highlight w:val="none"/>
          <w:u w:val="single"/>
        </w:rPr>
        <w:t xml:space="preserve"> </w:t>
      </w:r>
      <w:r>
        <w:rPr>
          <w:rFonts w:hint="eastAsia" w:ascii="宋体" w:hAnsi="宋体" w:eastAsia="宋体" w:cs="仿宋"/>
          <w:bCs/>
          <w:color w:val="auto"/>
          <w:szCs w:val="21"/>
          <w:highlight w:val="none"/>
          <w:u w:val="single"/>
          <w:lang w:val="en-US" w:eastAsia="zh-CN"/>
        </w:rPr>
        <w:t>24</w:t>
      </w:r>
      <w:r>
        <w:rPr>
          <w:rFonts w:hint="eastAsia" w:ascii="宋体" w:hAnsi="宋体" w:eastAsia="宋体" w:cs="仿宋"/>
          <w:bCs/>
          <w:color w:val="auto"/>
          <w:szCs w:val="21"/>
          <w:highlight w:val="none"/>
          <w:u w:val="single"/>
        </w:rPr>
        <w:t xml:space="preserve"> </w:t>
      </w:r>
      <w:r>
        <w:rPr>
          <w:rFonts w:hint="eastAsia" w:ascii="宋体" w:hAnsi="宋体" w:eastAsia="宋体" w:cs="仿宋"/>
          <w:bCs/>
          <w:color w:val="auto"/>
          <w:szCs w:val="21"/>
          <w:highlight w:val="none"/>
        </w:rPr>
        <w:t>小时内到达甲方现场</w:t>
      </w:r>
      <w:r>
        <w:rPr>
          <w:rFonts w:hint="eastAsia" w:ascii="宋体" w:hAnsi="宋体" w:eastAsia="宋体" w:cs="仿宋"/>
          <w:bCs/>
          <w:color w:val="auto"/>
          <w:szCs w:val="21"/>
          <w:highlight w:val="none"/>
          <w:lang w:eastAsia="zh-CN"/>
        </w:rPr>
        <w:t>。</w:t>
      </w:r>
    </w:p>
    <w:p w14:paraId="577FB70C">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ascii="宋体" w:hAnsi="宋体" w:eastAsia="宋体" w:cs="仿宋"/>
          <w:bCs/>
          <w:color w:val="auto"/>
          <w:szCs w:val="21"/>
          <w:highlight w:val="none"/>
        </w:rPr>
      </w:pPr>
      <w:r>
        <w:rPr>
          <w:rFonts w:hint="eastAsia" w:ascii="宋体" w:hAnsi="宋体" w:eastAsia="宋体" w:cs="仿宋"/>
          <w:bCs/>
          <w:color w:val="auto"/>
          <w:szCs w:val="21"/>
          <w:highlight w:val="none"/>
          <w:lang w:val="en-US" w:eastAsia="zh-CN"/>
        </w:rPr>
        <w:t>11.3</w:t>
      </w:r>
      <w:r>
        <w:rPr>
          <w:rFonts w:hint="eastAsia" w:ascii="宋体" w:hAnsi="宋体" w:eastAsia="宋体" w:cs="仿宋"/>
          <w:bCs/>
          <w:color w:val="auto"/>
          <w:szCs w:val="21"/>
          <w:highlight w:val="none"/>
        </w:rPr>
        <w:t>在质保期内，乙方应对货物出现的质量问题负责处理解决并承担一切费用。</w:t>
      </w:r>
    </w:p>
    <w:p w14:paraId="6379956F">
      <w:pPr>
        <w:keepNext w:val="0"/>
        <w:keepLines w:val="0"/>
        <w:pageBreakBefore w:val="0"/>
        <w:widowControl w:val="0"/>
        <w:kinsoku/>
        <w:wordWrap/>
        <w:overflowPunct/>
        <w:topLinePunct w:val="0"/>
        <w:autoSpaceDE/>
        <w:autoSpaceDN/>
        <w:bidi w:val="0"/>
        <w:adjustRightInd/>
        <w:snapToGrid w:val="0"/>
        <w:spacing w:line="360" w:lineRule="auto"/>
        <w:ind w:left="0" w:leftChars="0" w:firstLine="424" w:firstLineChars="202"/>
        <w:textAlignment w:val="auto"/>
        <w:rPr>
          <w:rFonts w:ascii="宋体" w:hAnsi="宋体" w:eastAsia="宋体" w:cs="仿宋"/>
          <w:bCs/>
          <w:color w:val="auto"/>
          <w:szCs w:val="21"/>
          <w:highlight w:val="none"/>
        </w:rPr>
      </w:pPr>
      <w:r>
        <w:rPr>
          <w:rFonts w:hint="eastAsia" w:ascii="宋体" w:hAnsi="宋体" w:eastAsia="宋体" w:cs="仿宋"/>
          <w:bCs/>
          <w:color w:val="auto"/>
          <w:szCs w:val="21"/>
          <w:highlight w:val="none"/>
          <w:lang w:val="en-US" w:eastAsia="zh-CN"/>
        </w:rPr>
        <w:t>11.4</w:t>
      </w:r>
      <w:r>
        <w:rPr>
          <w:rFonts w:hint="eastAsia" w:ascii="宋体" w:hAnsi="宋体" w:eastAsia="宋体" w:cs="仿宋"/>
          <w:bCs/>
          <w:color w:val="auto"/>
          <w:szCs w:val="21"/>
          <w:highlight w:val="none"/>
        </w:rPr>
        <w:t>上述的货物质保期，按本合同</w:t>
      </w:r>
      <w:r>
        <w:rPr>
          <w:rFonts w:hint="eastAsia" w:ascii="宋体" w:hAnsi="宋体" w:eastAsia="宋体" w:cs="仿宋"/>
          <w:bCs/>
          <w:color w:val="auto"/>
          <w:szCs w:val="21"/>
          <w:highlight w:val="none"/>
          <w:lang w:eastAsia="zh-CN"/>
        </w:rPr>
        <w:t>“六、质量保证”</w:t>
      </w:r>
      <w:r>
        <w:rPr>
          <w:rFonts w:hint="eastAsia" w:ascii="宋体" w:hAnsi="宋体" w:eastAsia="宋体" w:cs="仿宋"/>
          <w:bCs/>
          <w:color w:val="auto"/>
          <w:szCs w:val="21"/>
          <w:highlight w:val="none"/>
        </w:rPr>
        <w:t>关于质保期的内容执行，</w:t>
      </w:r>
      <w:r>
        <w:rPr>
          <w:rFonts w:hint="eastAsia" w:ascii="宋体" w:hAnsi="宋体" w:eastAsia="宋体" w:cs="仿宋"/>
          <w:bCs/>
          <w:color w:val="auto"/>
          <w:szCs w:val="21"/>
          <w:highlight w:val="none"/>
          <w:lang w:val="en-US" w:eastAsia="zh-CN"/>
        </w:rPr>
        <w:t>无条件</w:t>
      </w:r>
      <w:r>
        <w:rPr>
          <w:rFonts w:hint="eastAsia" w:ascii="宋体" w:hAnsi="宋体" w:eastAsia="宋体" w:cs="仿宋"/>
          <w:bCs/>
          <w:color w:val="auto"/>
          <w:szCs w:val="21"/>
          <w:highlight w:val="none"/>
        </w:rPr>
        <w:t>保修包含需要更换的零配件的费用。因人为因素出现的故障不在</w:t>
      </w:r>
      <w:r>
        <w:rPr>
          <w:rFonts w:hint="eastAsia" w:ascii="宋体" w:hAnsi="宋体" w:eastAsia="宋体" w:cs="仿宋"/>
          <w:bCs/>
          <w:color w:val="auto"/>
          <w:szCs w:val="21"/>
          <w:highlight w:val="none"/>
          <w:lang w:val="en-US" w:eastAsia="zh-CN"/>
        </w:rPr>
        <w:t>无条件</w:t>
      </w:r>
      <w:r>
        <w:rPr>
          <w:rFonts w:hint="eastAsia" w:ascii="宋体" w:hAnsi="宋体" w:eastAsia="宋体" w:cs="仿宋"/>
          <w:bCs/>
          <w:color w:val="auto"/>
          <w:szCs w:val="21"/>
          <w:highlight w:val="none"/>
        </w:rPr>
        <w:t>保修范围内。超过保修期的机器设备，终生维修，维修时只收部件成本费。</w:t>
      </w:r>
    </w:p>
    <w:p w14:paraId="54E90D7B">
      <w:pPr>
        <w:keepNext w:val="0"/>
        <w:keepLines w:val="0"/>
        <w:pageBreakBefore w:val="0"/>
        <w:widowControl w:val="0"/>
        <w:kinsoku/>
        <w:wordWrap/>
        <w:overflowPunct/>
        <w:topLinePunct w:val="0"/>
        <w:autoSpaceDE/>
        <w:autoSpaceDN/>
        <w:bidi w:val="0"/>
        <w:adjustRightInd/>
        <w:snapToGrid w:val="0"/>
        <w:spacing w:line="360" w:lineRule="auto"/>
        <w:ind w:left="0" w:leftChars="0" w:firstLine="424" w:firstLineChars="202"/>
        <w:textAlignment w:val="auto"/>
        <w:rPr>
          <w:rFonts w:hint="eastAsia" w:ascii="宋体" w:hAnsi="宋体" w:eastAsia="宋体" w:cs="仿宋"/>
          <w:bCs/>
          <w:color w:val="auto"/>
          <w:szCs w:val="21"/>
          <w:highlight w:val="none"/>
        </w:rPr>
      </w:pPr>
      <w:r>
        <w:rPr>
          <w:rFonts w:hint="eastAsia" w:ascii="宋体" w:hAnsi="宋体" w:eastAsia="宋体" w:cs="仿宋"/>
          <w:bCs/>
          <w:color w:val="auto"/>
          <w:szCs w:val="21"/>
          <w:highlight w:val="none"/>
          <w:lang w:val="en-US" w:eastAsia="zh-CN"/>
        </w:rPr>
        <w:t>11.5</w:t>
      </w:r>
      <w:r>
        <w:rPr>
          <w:rFonts w:hint="eastAsia" w:ascii="宋体" w:hAnsi="宋体" w:eastAsia="宋体" w:cs="仿宋"/>
          <w:bCs/>
          <w:color w:val="auto"/>
          <w:szCs w:val="21"/>
          <w:highlight w:val="none"/>
        </w:rPr>
        <w:t>乙方提供的服务承诺和售后服务及保修期责任等其它具体约定事项。（见合同附件）</w:t>
      </w:r>
    </w:p>
    <w:p w14:paraId="40C68F17">
      <w:pPr>
        <w:keepNext w:val="0"/>
        <w:keepLines w:val="0"/>
        <w:pageBreakBefore w:val="0"/>
        <w:widowControl w:val="0"/>
        <w:kinsoku/>
        <w:wordWrap/>
        <w:overflowPunct/>
        <w:topLinePunct w:val="0"/>
        <w:autoSpaceDE/>
        <w:autoSpaceDN/>
        <w:bidi w:val="0"/>
        <w:adjustRightInd/>
        <w:snapToGrid w:val="0"/>
        <w:spacing w:line="360" w:lineRule="auto"/>
        <w:ind w:left="0" w:leftChars="0" w:firstLine="426" w:firstLineChars="202"/>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eastAsia="zh-CN"/>
        </w:rPr>
        <w:t>十二、</w:t>
      </w:r>
      <w:r>
        <w:rPr>
          <w:rFonts w:hint="eastAsia" w:ascii="宋体" w:hAnsi="宋体" w:eastAsia="宋体" w:cs="宋体"/>
          <w:b/>
          <w:bCs/>
          <w:color w:val="auto"/>
          <w:kern w:val="0"/>
          <w:szCs w:val="21"/>
          <w:highlight w:val="none"/>
        </w:rPr>
        <w:t>违约责任</w:t>
      </w:r>
    </w:p>
    <w:p w14:paraId="27632190">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12</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逾期交货或无正当理由拒收的，每天按合同额的万分之四支付违约金。</w:t>
      </w:r>
    </w:p>
    <w:p w14:paraId="684E1DF6">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12</w:t>
      </w:r>
      <w:r>
        <w:rPr>
          <w:rFonts w:hint="eastAsia" w:ascii="宋体" w:hAnsi="宋体" w:eastAsia="宋体" w:cs="宋体"/>
          <w:color w:val="auto"/>
          <w:kern w:val="0"/>
          <w:szCs w:val="21"/>
          <w:highlight w:val="none"/>
        </w:rPr>
        <w:t>.2逾期超过10天仍不能交货、或交付的货物不符合标准的，</w:t>
      </w:r>
      <w:r>
        <w:rPr>
          <w:rFonts w:hint="eastAsia" w:ascii="宋体" w:hAnsi="宋体" w:eastAsia="宋体" w:cs="宋体"/>
          <w:color w:val="auto"/>
          <w:kern w:val="0"/>
          <w:szCs w:val="21"/>
          <w:highlight w:val="none"/>
          <w:lang w:val="en-US" w:eastAsia="zh-CN"/>
        </w:rPr>
        <w:t>甲方有权单方解除合同，</w:t>
      </w:r>
      <w:r>
        <w:rPr>
          <w:rFonts w:hint="eastAsia" w:ascii="宋体" w:hAnsi="宋体" w:eastAsia="宋体" w:cs="宋体"/>
          <w:color w:val="auto"/>
          <w:kern w:val="0"/>
          <w:szCs w:val="21"/>
          <w:highlight w:val="none"/>
        </w:rPr>
        <w:t>造成甲方损失的，由乙方负责赔偿。</w:t>
      </w:r>
    </w:p>
    <w:p w14:paraId="2CC474B5">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12</w:t>
      </w:r>
      <w:r>
        <w:rPr>
          <w:rFonts w:hint="eastAsia" w:ascii="宋体" w:hAnsi="宋体" w:eastAsia="宋体" w:cs="宋体"/>
          <w:color w:val="auto"/>
          <w:kern w:val="0"/>
          <w:szCs w:val="21"/>
          <w:highlight w:val="none"/>
        </w:rPr>
        <w:t>.3乙方提供的货物如侵犯了第三方合法权益而引发的任何纠纷或诉讼，均由乙方负责交涉并承担全部责任。</w:t>
      </w:r>
    </w:p>
    <w:p w14:paraId="318BF426">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12</w:t>
      </w:r>
      <w:r>
        <w:rPr>
          <w:rFonts w:hint="eastAsia" w:ascii="宋体" w:hAnsi="宋体" w:eastAsia="宋体" w:cs="宋体"/>
          <w:color w:val="auto"/>
          <w:kern w:val="0"/>
          <w:szCs w:val="21"/>
          <w:highlight w:val="none"/>
        </w:rPr>
        <w:t>.4乙方未按本合同和响应文件中规定的服务承诺提供售后服务的，乙方应按本合同合计金额百分之</w:t>
      </w:r>
      <w:r>
        <w:rPr>
          <w:rFonts w:hint="eastAsia" w:ascii="宋体" w:hAnsi="宋体" w:eastAsia="宋体" w:cs="宋体"/>
          <w:color w:val="auto"/>
          <w:kern w:val="0"/>
          <w:szCs w:val="21"/>
          <w:highlight w:val="none"/>
          <w:lang w:val="en-US" w:eastAsia="zh-CN"/>
        </w:rPr>
        <w:t>十</w:t>
      </w:r>
      <w:r>
        <w:rPr>
          <w:rFonts w:hint="eastAsia" w:ascii="宋体" w:hAnsi="宋体" w:eastAsia="宋体" w:cs="宋体"/>
          <w:color w:val="auto"/>
          <w:kern w:val="0"/>
          <w:szCs w:val="21"/>
          <w:highlight w:val="none"/>
        </w:rPr>
        <w:t>向甲方支付违约金。</w:t>
      </w:r>
    </w:p>
    <w:p w14:paraId="40DB4A3B">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12</w:t>
      </w:r>
      <w:r>
        <w:rPr>
          <w:rFonts w:hint="eastAsia" w:ascii="宋体" w:hAnsi="宋体" w:eastAsia="宋体" w:cs="宋体"/>
          <w:color w:val="auto"/>
          <w:kern w:val="0"/>
          <w:szCs w:val="21"/>
          <w:highlight w:val="none"/>
        </w:rPr>
        <w:t>.5乙方提供的货物在</w:t>
      </w:r>
      <w:r>
        <w:rPr>
          <w:rFonts w:hint="eastAsia" w:ascii="宋体" w:hAnsi="宋体" w:eastAsia="宋体" w:cs="宋体"/>
          <w:color w:val="auto"/>
          <w:kern w:val="0"/>
          <w:szCs w:val="21"/>
          <w:highlight w:val="none"/>
          <w:lang w:val="en-US" w:eastAsia="zh-CN"/>
        </w:rPr>
        <w:t>质保</w:t>
      </w:r>
      <w:r>
        <w:rPr>
          <w:rFonts w:hint="eastAsia" w:ascii="宋体" w:hAnsi="宋体" w:eastAsia="宋体" w:cs="宋体"/>
          <w:color w:val="auto"/>
          <w:kern w:val="0"/>
          <w:szCs w:val="21"/>
          <w:highlight w:val="none"/>
        </w:rPr>
        <w:t>期内，因设计、工艺或材料的缺陷和其他质量原因造成的问题，由乙方负责，费用从余款中扣除，不足另补。</w:t>
      </w:r>
    </w:p>
    <w:p w14:paraId="430F53EB">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12</w:t>
      </w:r>
      <w:r>
        <w:rPr>
          <w:rFonts w:hint="eastAsia" w:ascii="宋体" w:hAnsi="宋体" w:eastAsia="宋体" w:cs="宋体"/>
          <w:color w:val="auto"/>
          <w:kern w:val="0"/>
          <w:szCs w:val="21"/>
          <w:highlight w:val="none"/>
        </w:rPr>
        <w:t>.6其他违约行为按违约货款额百分之五收取违约金并赔偿经济损失。</w:t>
      </w:r>
    </w:p>
    <w:p w14:paraId="6D19598F">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b/>
          <w:bCs/>
          <w:color w:val="auto"/>
          <w:kern w:val="0"/>
          <w:szCs w:val="21"/>
          <w:highlight w:val="none"/>
          <w:lang w:eastAsia="zh-CN"/>
        </w:rPr>
      </w:pPr>
      <w:r>
        <w:rPr>
          <w:rFonts w:hint="eastAsia" w:ascii="宋体" w:hAnsi="宋体" w:eastAsia="宋体" w:cs="宋体"/>
          <w:color w:val="auto"/>
          <w:kern w:val="0"/>
          <w:szCs w:val="21"/>
          <w:highlight w:val="none"/>
          <w:lang w:val="en-US" w:eastAsia="zh-CN"/>
        </w:rPr>
        <w:t>12</w:t>
      </w:r>
      <w:r>
        <w:rPr>
          <w:rFonts w:hint="eastAsia" w:ascii="宋体" w:hAnsi="宋体" w:eastAsia="宋体" w:cs="宋体"/>
          <w:color w:val="auto"/>
          <w:kern w:val="0"/>
          <w:szCs w:val="21"/>
          <w:highlight w:val="none"/>
        </w:rPr>
        <w:t>.7其它未尽事宜，双方签订合同时按《中华人民共和国民法典》议定。</w:t>
      </w:r>
    </w:p>
    <w:p w14:paraId="01323AC0">
      <w:pPr>
        <w:keepNext w:val="0"/>
        <w:keepLines w:val="0"/>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eastAsia="zh-CN"/>
        </w:rPr>
        <w:t>十三、</w:t>
      </w:r>
      <w:r>
        <w:rPr>
          <w:rFonts w:hint="eastAsia" w:ascii="宋体" w:hAnsi="宋体" w:eastAsia="宋体" w:cs="宋体"/>
          <w:b/>
          <w:color w:val="auto"/>
          <w:kern w:val="0"/>
          <w:szCs w:val="21"/>
          <w:highlight w:val="none"/>
        </w:rPr>
        <w:t>不可抗力事件处理</w:t>
      </w:r>
    </w:p>
    <w:p w14:paraId="11C70FD6">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13</w:t>
      </w:r>
      <w:r>
        <w:rPr>
          <w:rFonts w:hint="eastAsia" w:ascii="宋体" w:hAnsi="宋体" w:eastAsia="宋体" w:cs="宋体"/>
          <w:color w:val="auto"/>
          <w:kern w:val="0"/>
          <w:szCs w:val="21"/>
          <w:highlight w:val="none"/>
        </w:rPr>
        <w:t>.1在合同有效期限内，任何一方因不可抗力事件导致不能按时履行合同，则合同履行期可延长，其延长期与不可抗力影响期相同。由于不可抗力事件导致合同的根本目的不能实现时，一方可解除合同。</w:t>
      </w:r>
    </w:p>
    <w:p w14:paraId="0EAEE730">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13</w:t>
      </w:r>
      <w:r>
        <w:rPr>
          <w:rFonts w:hint="eastAsia" w:ascii="宋体" w:hAnsi="宋体" w:eastAsia="宋体" w:cs="宋体"/>
          <w:color w:val="auto"/>
          <w:kern w:val="0"/>
          <w:szCs w:val="21"/>
          <w:highlight w:val="none"/>
        </w:rPr>
        <w:t>.2不可抗力事件发生后，应立即通知对方，并寄送有关权威机构出具的证明。</w:t>
      </w:r>
    </w:p>
    <w:p w14:paraId="7EE3A585">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13</w:t>
      </w:r>
      <w:r>
        <w:rPr>
          <w:rFonts w:hint="eastAsia" w:ascii="宋体" w:hAnsi="宋体" w:eastAsia="宋体" w:cs="宋体"/>
          <w:color w:val="auto"/>
          <w:kern w:val="0"/>
          <w:szCs w:val="21"/>
          <w:highlight w:val="none"/>
        </w:rPr>
        <w:t>.3不可抗力事件延续120天以上，双方应通过友好协商，确定是否继续履行合同。</w:t>
      </w:r>
    </w:p>
    <w:p w14:paraId="3B543487">
      <w:pPr>
        <w:keepNext w:val="0"/>
        <w:keepLines w:val="0"/>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eastAsia="zh-CN"/>
        </w:rPr>
        <w:t>十四</w:t>
      </w:r>
      <w:r>
        <w:rPr>
          <w:rFonts w:hint="eastAsia" w:ascii="宋体" w:hAnsi="宋体" w:eastAsia="宋体" w:cs="宋体"/>
          <w:b/>
          <w:color w:val="auto"/>
          <w:kern w:val="0"/>
          <w:szCs w:val="21"/>
          <w:highlight w:val="none"/>
        </w:rPr>
        <w:t>、争议解决</w:t>
      </w:r>
    </w:p>
    <w:p w14:paraId="5AD7895F">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双方在履行合同中所发生的一切争议，应通过协商解决。如协商不成，按合同事先约定的条款，可向甲方所在地人民法院提起诉讼。</w:t>
      </w:r>
    </w:p>
    <w:p w14:paraId="53BF6F99">
      <w:pPr>
        <w:keepNext w:val="0"/>
        <w:keepLines w:val="0"/>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eastAsia="zh-CN"/>
        </w:rPr>
        <w:t>十五</w:t>
      </w:r>
      <w:r>
        <w:rPr>
          <w:rFonts w:hint="eastAsia" w:ascii="宋体" w:hAnsi="宋体" w:eastAsia="宋体" w:cs="宋体"/>
          <w:b/>
          <w:color w:val="auto"/>
          <w:kern w:val="0"/>
          <w:szCs w:val="21"/>
          <w:highlight w:val="none"/>
        </w:rPr>
        <w:t>、合同生效及其它</w:t>
      </w:r>
    </w:p>
    <w:p w14:paraId="235BC47F">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.1合同经甲、乙双方法定代表人或授权委托代理人签字加盖单位公章后生效。甲乙双方各执贰份，采购代理机构执一份。</w:t>
      </w:r>
    </w:p>
    <w:p w14:paraId="082E28E1">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.2合同履行中，如需修改或补充合同内容，由双方协商另签署书面修改或补充协议作为主合同不可分割的一部分。</w:t>
      </w:r>
    </w:p>
    <w:p w14:paraId="55419CAA">
      <w:pPr>
        <w:keepNext w:val="0"/>
        <w:keepLines w:val="0"/>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.3本合同附件：（1）售后服务承诺书；（2）产品配置清单。</w:t>
      </w:r>
    </w:p>
    <w:p w14:paraId="1F2EA5B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Cs w:val="21"/>
          <w:highlight w:val="none"/>
        </w:rPr>
      </w:pPr>
    </w:p>
    <w:p w14:paraId="7284EA2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甲方名称及公章：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乙方名称及公章：       </w:t>
      </w:r>
    </w:p>
    <w:p w14:paraId="2631014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法定代表人（负责人）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法</w:t>
      </w:r>
      <w:r>
        <w:rPr>
          <w:rFonts w:hint="eastAsia" w:ascii="宋体" w:hAnsi="宋体" w:eastAsia="宋体" w:cs="宋体"/>
          <w:color w:val="auto"/>
          <w:kern w:val="0"/>
          <w:szCs w:val="21"/>
          <w:highlight w:val="none"/>
        </w:rPr>
        <w:t>定代表人 （负责人）</w:t>
      </w:r>
    </w:p>
    <w:p w14:paraId="7309789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或授权委托代理人：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或授权委托代理人：</w:t>
      </w:r>
    </w:p>
    <w:p w14:paraId="506E709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邮政编码：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邮政编码：</w:t>
      </w:r>
    </w:p>
    <w:p w14:paraId="0A2D3B0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地    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地    址：</w:t>
      </w:r>
    </w:p>
    <w:p w14:paraId="165F9ED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联系电话：</w:t>
      </w:r>
    </w:p>
    <w:p w14:paraId="5A77C96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开户名称：</w:t>
      </w:r>
    </w:p>
    <w:p w14:paraId="6947A9E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开户银行：</w:t>
      </w:r>
    </w:p>
    <w:p w14:paraId="31F1B21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经办人：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银行账号：</w:t>
      </w:r>
    </w:p>
    <w:p w14:paraId="63917E3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合同签订时间：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合同签订地点：</w:t>
      </w:r>
    </w:p>
    <w:p w14:paraId="7422546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color w:val="auto"/>
          <w:szCs w:val="21"/>
          <w:highlight w:val="none"/>
        </w:rPr>
      </w:pPr>
    </w:p>
    <w:p w14:paraId="522948DD">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kern w:val="0"/>
          <w:szCs w:val="21"/>
          <w:highlight w:val="none"/>
        </w:rPr>
      </w:pPr>
      <w:bookmarkStart w:id="88" w:name="_GoBack"/>
      <w:bookmarkEnd w:id="88"/>
    </w:p>
    <w:sectPr>
      <w:footerReference r:id="rId5" w:type="firs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D47E9">
    <w:pPr>
      <w:pStyle w:val="15"/>
      <w:jc w:val="center"/>
    </w:pPr>
    <w:r>
      <w:fldChar w:fldCharType="begin"/>
    </w:r>
    <w:r>
      <w:instrText xml:space="preserve"> PAGE   \* MERGEFORMAT </w:instrText>
    </w:r>
    <w:r>
      <w:fldChar w:fldCharType="separate"/>
    </w:r>
    <w:r>
      <w:rPr>
        <w:lang w:val="zh-CN"/>
      </w:rPr>
      <w:t>33</w:t>
    </w:r>
    <w:r>
      <w:fldChar w:fldCharType="end"/>
    </w:r>
  </w:p>
  <w:p w14:paraId="0AE3413D">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17C45">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068B3E">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H9jcw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BEssNDvz8/dv5x6/zz6/k&#10;7bIsk0K9hwoTnzymxuHODSl78gM6E/GhDSZ9kRLBOOp7uugrh0hEerQqV6sCQwJj8wVx2PNzHyC+&#10;l86QZNQ04ACzrvz4CHFMnVNSNevuldbo55W2fzkQM3lY6n3sMVlx2A1T4zvXnJBPj7OvqcVVp0Q/&#10;WJQ2rclshNnYzcbBB7Xv8h6leuBvDxGbyL2lCiPsVBiHltl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Jkf2NzAEAAJwDAAAOAAAAAAAAAAEAIAAAAB4BAABkcnMvZTJv&#10;RG9jLnhtbFBLBQYAAAAABgAGAFkBAABcBQAAAAA=&#10;">
              <v:fill on="f" focussize="0,0"/>
              <v:stroke on="f"/>
              <v:imagedata o:title=""/>
              <o:lock v:ext="edit" aspectratio="f"/>
              <v:textbox inset="0mm,0mm,0mm,0mm" style="mso-fit-shape-to-text:t;">
                <w:txbxContent>
                  <w:p w14:paraId="1F068B3E">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8E300">
    <w:pPr>
      <w:pStyle w:val="16"/>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5,6,7"/>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wODgzNjJkNjNmYzUzYzg0ZTg5ODJmM2IxY2M4YWMifQ=="/>
  </w:docVars>
  <w:rsids>
    <w:rsidRoot w:val="00F34B14"/>
    <w:rsid w:val="00000672"/>
    <w:rsid w:val="00001799"/>
    <w:rsid w:val="00002D29"/>
    <w:rsid w:val="000040C5"/>
    <w:rsid w:val="00004514"/>
    <w:rsid w:val="00004A8A"/>
    <w:rsid w:val="00005E55"/>
    <w:rsid w:val="00005FDF"/>
    <w:rsid w:val="00006586"/>
    <w:rsid w:val="00010D39"/>
    <w:rsid w:val="000112BB"/>
    <w:rsid w:val="0001149B"/>
    <w:rsid w:val="0001172C"/>
    <w:rsid w:val="00012854"/>
    <w:rsid w:val="00012EA6"/>
    <w:rsid w:val="000139DC"/>
    <w:rsid w:val="00013D8C"/>
    <w:rsid w:val="00013DFE"/>
    <w:rsid w:val="000141EA"/>
    <w:rsid w:val="00014385"/>
    <w:rsid w:val="00014B02"/>
    <w:rsid w:val="000166C4"/>
    <w:rsid w:val="00016960"/>
    <w:rsid w:val="00017396"/>
    <w:rsid w:val="000177DB"/>
    <w:rsid w:val="00020227"/>
    <w:rsid w:val="000203E4"/>
    <w:rsid w:val="00020455"/>
    <w:rsid w:val="00022731"/>
    <w:rsid w:val="00022792"/>
    <w:rsid w:val="0002392D"/>
    <w:rsid w:val="00024B43"/>
    <w:rsid w:val="00025382"/>
    <w:rsid w:val="00025636"/>
    <w:rsid w:val="00025E36"/>
    <w:rsid w:val="00026627"/>
    <w:rsid w:val="00026886"/>
    <w:rsid w:val="00030496"/>
    <w:rsid w:val="000329A1"/>
    <w:rsid w:val="000329E0"/>
    <w:rsid w:val="000333A0"/>
    <w:rsid w:val="000352E9"/>
    <w:rsid w:val="00036A07"/>
    <w:rsid w:val="00036E33"/>
    <w:rsid w:val="00037E2D"/>
    <w:rsid w:val="00040571"/>
    <w:rsid w:val="0004156E"/>
    <w:rsid w:val="00041597"/>
    <w:rsid w:val="0004440C"/>
    <w:rsid w:val="00045880"/>
    <w:rsid w:val="000462CB"/>
    <w:rsid w:val="00046B5E"/>
    <w:rsid w:val="0004783A"/>
    <w:rsid w:val="000509D9"/>
    <w:rsid w:val="000552A6"/>
    <w:rsid w:val="00055D41"/>
    <w:rsid w:val="00057CEC"/>
    <w:rsid w:val="00060DCE"/>
    <w:rsid w:val="000623B4"/>
    <w:rsid w:val="000634A7"/>
    <w:rsid w:val="00063E85"/>
    <w:rsid w:val="00063F81"/>
    <w:rsid w:val="00064847"/>
    <w:rsid w:val="0006484B"/>
    <w:rsid w:val="00065BBC"/>
    <w:rsid w:val="000673E2"/>
    <w:rsid w:val="000711E4"/>
    <w:rsid w:val="00072AED"/>
    <w:rsid w:val="00073F47"/>
    <w:rsid w:val="00075B7E"/>
    <w:rsid w:val="00077C70"/>
    <w:rsid w:val="00080B57"/>
    <w:rsid w:val="000817D1"/>
    <w:rsid w:val="00081BA3"/>
    <w:rsid w:val="00081D2E"/>
    <w:rsid w:val="0008267B"/>
    <w:rsid w:val="00082D02"/>
    <w:rsid w:val="00083B91"/>
    <w:rsid w:val="0008520B"/>
    <w:rsid w:val="000871B8"/>
    <w:rsid w:val="00087DB6"/>
    <w:rsid w:val="00090639"/>
    <w:rsid w:val="000913BE"/>
    <w:rsid w:val="000918F8"/>
    <w:rsid w:val="00092442"/>
    <w:rsid w:val="0009588E"/>
    <w:rsid w:val="000959EE"/>
    <w:rsid w:val="00095B2F"/>
    <w:rsid w:val="00095B51"/>
    <w:rsid w:val="00097DA0"/>
    <w:rsid w:val="000A0D6B"/>
    <w:rsid w:val="000A0EEE"/>
    <w:rsid w:val="000A1389"/>
    <w:rsid w:val="000A166E"/>
    <w:rsid w:val="000A17D0"/>
    <w:rsid w:val="000A2B0E"/>
    <w:rsid w:val="000A398F"/>
    <w:rsid w:val="000A4AEE"/>
    <w:rsid w:val="000A509C"/>
    <w:rsid w:val="000A6007"/>
    <w:rsid w:val="000A65A6"/>
    <w:rsid w:val="000A7275"/>
    <w:rsid w:val="000A7A12"/>
    <w:rsid w:val="000A7AD8"/>
    <w:rsid w:val="000A7CA5"/>
    <w:rsid w:val="000B039A"/>
    <w:rsid w:val="000B1801"/>
    <w:rsid w:val="000B19B3"/>
    <w:rsid w:val="000B1D0C"/>
    <w:rsid w:val="000B2D03"/>
    <w:rsid w:val="000B3815"/>
    <w:rsid w:val="000B3C7B"/>
    <w:rsid w:val="000B6C95"/>
    <w:rsid w:val="000C0C58"/>
    <w:rsid w:val="000C1679"/>
    <w:rsid w:val="000C2898"/>
    <w:rsid w:val="000C2F89"/>
    <w:rsid w:val="000C435F"/>
    <w:rsid w:val="000C4635"/>
    <w:rsid w:val="000C548E"/>
    <w:rsid w:val="000C6DE4"/>
    <w:rsid w:val="000D01EB"/>
    <w:rsid w:val="000D056E"/>
    <w:rsid w:val="000D0675"/>
    <w:rsid w:val="000D0A89"/>
    <w:rsid w:val="000D1389"/>
    <w:rsid w:val="000D1798"/>
    <w:rsid w:val="000D1A2A"/>
    <w:rsid w:val="000D2626"/>
    <w:rsid w:val="000D4A06"/>
    <w:rsid w:val="000D54D4"/>
    <w:rsid w:val="000D73DD"/>
    <w:rsid w:val="000D7D9B"/>
    <w:rsid w:val="000E18E2"/>
    <w:rsid w:val="000E28AB"/>
    <w:rsid w:val="000E2E3E"/>
    <w:rsid w:val="000E33C5"/>
    <w:rsid w:val="000E3583"/>
    <w:rsid w:val="000E3AF0"/>
    <w:rsid w:val="000E3D53"/>
    <w:rsid w:val="000E4E04"/>
    <w:rsid w:val="000E6EC9"/>
    <w:rsid w:val="000E70B4"/>
    <w:rsid w:val="000F3281"/>
    <w:rsid w:val="000F3733"/>
    <w:rsid w:val="000F4D88"/>
    <w:rsid w:val="000F5B1B"/>
    <w:rsid w:val="000F64AA"/>
    <w:rsid w:val="000F7AF4"/>
    <w:rsid w:val="000F7C33"/>
    <w:rsid w:val="000F7E7E"/>
    <w:rsid w:val="000F7F0C"/>
    <w:rsid w:val="00100246"/>
    <w:rsid w:val="001004D6"/>
    <w:rsid w:val="00100D90"/>
    <w:rsid w:val="00103918"/>
    <w:rsid w:val="00104324"/>
    <w:rsid w:val="00104889"/>
    <w:rsid w:val="00104897"/>
    <w:rsid w:val="00104EDE"/>
    <w:rsid w:val="00105372"/>
    <w:rsid w:val="00106BEE"/>
    <w:rsid w:val="00113134"/>
    <w:rsid w:val="00113AC0"/>
    <w:rsid w:val="00113E75"/>
    <w:rsid w:val="00114851"/>
    <w:rsid w:val="00115E11"/>
    <w:rsid w:val="00115F56"/>
    <w:rsid w:val="00117CBD"/>
    <w:rsid w:val="0012006A"/>
    <w:rsid w:val="00120990"/>
    <w:rsid w:val="001217B5"/>
    <w:rsid w:val="00121979"/>
    <w:rsid w:val="00122064"/>
    <w:rsid w:val="00125004"/>
    <w:rsid w:val="001263B8"/>
    <w:rsid w:val="00126763"/>
    <w:rsid w:val="00130217"/>
    <w:rsid w:val="00130783"/>
    <w:rsid w:val="001312CB"/>
    <w:rsid w:val="00131B75"/>
    <w:rsid w:val="00132B47"/>
    <w:rsid w:val="00132E64"/>
    <w:rsid w:val="001351CB"/>
    <w:rsid w:val="001359A2"/>
    <w:rsid w:val="00135E37"/>
    <w:rsid w:val="00136020"/>
    <w:rsid w:val="00136445"/>
    <w:rsid w:val="00140132"/>
    <w:rsid w:val="00141C9C"/>
    <w:rsid w:val="001434BE"/>
    <w:rsid w:val="0014479F"/>
    <w:rsid w:val="001452B4"/>
    <w:rsid w:val="0014550E"/>
    <w:rsid w:val="00146EC6"/>
    <w:rsid w:val="001478D2"/>
    <w:rsid w:val="00150CC9"/>
    <w:rsid w:val="00152A87"/>
    <w:rsid w:val="00154486"/>
    <w:rsid w:val="00156D0E"/>
    <w:rsid w:val="0016086E"/>
    <w:rsid w:val="00160D0C"/>
    <w:rsid w:val="00161172"/>
    <w:rsid w:val="0016139E"/>
    <w:rsid w:val="00161E65"/>
    <w:rsid w:val="00162597"/>
    <w:rsid w:val="001629AF"/>
    <w:rsid w:val="0016428A"/>
    <w:rsid w:val="001647C9"/>
    <w:rsid w:val="001661A3"/>
    <w:rsid w:val="0016782B"/>
    <w:rsid w:val="00173256"/>
    <w:rsid w:val="001733E1"/>
    <w:rsid w:val="00173F74"/>
    <w:rsid w:val="00175086"/>
    <w:rsid w:val="00175BA6"/>
    <w:rsid w:val="00176CA7"/>
    <w:rsid w:val="001778C5"/>
    <w:rsid w:val="00177E56"/>
    <w:rsid w:val="00177F0A"/>
    <w:rsid w:val="00180669"/>
    <w:rsid w:val="00182B6B"/>
    <w:rsid w:val="00183088"/>
    <w:rsid w:val="00185617"/>
    <w:rsid w:val="0019171E"/>
    <w:rsid w:val="0019220F"/>
    <w:rsid w:val="001928B1"/>
    <w:rsid w:val="00194ED5"/>
    <w:rsid w:val="00195424"/>
    <w:rsid w:val="001955FF"/>
    <w:rsid w:val="00197EDD"/>
    <w:rsid w:val="001A02B3"/>
    <w:rsid w:val="001A04BB"/>
    <w:rsid w:val="001A08D0"/>
    <w:rsid w:val="001A14B1"/>
    <w:rsid w:val="001A1B39"/>
    <w:rsid w:val="001A2492"/>
    <w:rsid w:val="001A2E69"/>
    <w:rsid w:val="001A3377"/>
    <w:rsid w:val="001A3C34"/>
    <w:rsid w:val="001A3EDE"/>
    <w:rsid w:val="001A4222"/>
    <w:rsid w:val="001A50EA"/>
    <w:rsid w:val="001A5AB8"/>
    <w:rsid w:val="001A5E24"/>
    <w:rsid w:val="001A6D8B"/>
    <w:rsid w:val="001B079E"/>
    <w:rsid w:val="001B0CDA"/>
    <w:rsid w:val="001B0E26"/>
    <w:rsid w:val="001B125A"/>
    <w:rsid w:val="001B1E05"/>
    <w:rsid w:val="001B1EBA"/>
    <w:rsid w:val="001B2142"/>
    <w:rsid w:val="001B26CF"/>
    <w:rsid w:val="001B2F2B"/>
    <w:rsid w:val="001B327A"/>
    <w:rsid w:val="001B35DE"/>
    <w:rsid w:val="001B3A13"/>
    <w:rsid w:val="001B59FF"/>
    <w:rsid w:val="001B636D"/>
    <w:rsid w:val="001B65D7"/>
    <w:rsid w:val="001B6752"/>
    <w:rsid w:val="001B6768"/>
    <w:rsid w:val="001B6F1F"/>
    <w:rsid w:val="001B7ECC"/>
    <w:rsid w:val="001C1AED"/>
    <w:rsid w:val="001C25A7"/>
    <w:rsid w:val="001C318C"/>
    <w:rsid w:val="001C4287"/>
    <w:rsid w:val="001C4479"/>
    <w:rsid w:val="001C76B7"/>
    <w:rsid w:val="001C76FB"/>
    <w:rsid w:val="001D2764"/>
    <w:rsid w:val="001D3697"/>
    <w:rsid w:val="001D51DE"/>
    <w:rsid w:val="001D540E"/>
    <w:rsid w:val="001D58A1"/>
    <w:rsid w:val="001D5A8A"/>
    <w:rsid w:val="001D709B"/>
    <w:rsid w:val="001D735E"/>
    <w:rsid w:val="001D73C8"/>
    <w:rsid w:val="001D74D4"/>
    <w:rsid w:val="001D7E1F"/>
    <w:rsid w:val="001E0756"/>
    <w:rsid w:val="001E0A8D"/>
    <w:rsid w:val="001E0FFB"/>
    <w:rsid w:val="001E129E"/>
    <w:rsid w:val="001E2B9F"/>
    <w:rsid w:val="001E4A8D"/>
    <w:rsid w:val="001E5A94"/>
    <w:rsid w:val="001E7648"/>
    <w:rsid w:val="001F127B"/>
    <w:rsid w:val="001F2A2E"/>
    <w:rsid w:val="001F2E3D"/>
    <w:rsid w:val="001F3B72"/>
    <w:rsid w:val="001F3C63"/>
    <w:rsid w:val="001F4460"/>
    <w:rsid w:val="001F5DAF"/>
    <w:rsid w:val="001F637C"/>
    <w:rsid w:val="001F6B6C"/>
    <w:rsid w:val="001F711A"/>
    <w:rsid w:val="001F75B0"/>
    <w:rsid w:val="001F7686"/>
    <w:rsid w:val="00200CE5"/>
    <w:rsid w:val="002014DB"/>
    <w:rsid w:val="00201E12"/>
    <w:rsid w:val="002031E2"/>
    <w:rsid w:val="002033B5"/>
    <w:rsid w:val="0020382C"/>
    <w:rsid w:val="00203CB0"/>
    <w:rsid w:val="0020437A"/>
    <w:rsid w:val="00204B5F"/>
    <w:rsid w:val="0020532C"/>
    <w:rsid w:val="00205D23"/>
    <w:rsid w:val="0021064F"/>
    <w:rsid w:val="002114C7"/>
    <w:rsid w:val="002118F3"/>
    <w:rsid w:val="00212756"/>
    <w:rsid w:val="0021302C"/>
    <w:rsid w:val="00213045"/>
    <w:rsid w:val="00213483"/>
    <w:rsid w:val="00213B1C"/>
    <w:rsid w:val="00214202"/>
    <w:rsid w:val="002146F3"/>
    <w:rsid w:val="002148E3"/>
    <w:rsid w:val="00215373"/>
    <w:rsid w:val="0021552D"/>
    <w:rsid w:val="002156AE"/>
    <w:rsid w:val="00217861"/>
    <w:rsid w:val="002204C9"/>
    <w:rsid w:val="0022054D"/>
    <w:rsid w:val="0022290A"/>
    <w:rsid w:val="00224DE1"/>
    <w:rsid w:val="00225664"/>
    <w:rsid w:val="002269DC"/>
    <w:rsid w:val="00227F2D"/>
    <w:rsid w:val="0023089D"/>
    <w:rsid w:val="00231851"/>
    <w:rsid w:val="002319FB"/>
    <w:rsid w:val="00231B89"/>
    <w:rsid w:val="002355BE"/>
    <w:rsid w:val="00236DE9"/>
    <w:rsid w:val="00237D5A"/>
    <w:rsid w:val="00237EA9"/>
    <w:rsid w:val="00241300"/>
    <w:rsid w:val="00241D3C"/>
    <w:rsid w:val="0024274D"/>
    <w:rsid w:val="002439AB"/>
    <w:rsid w:val="002450D5"/>
    <w:rsid w:val="00245587"/>
    <w:rsid w:val="00245F2B"/>
    <w:rsid w:val="002464EB"/>
    <w:rsid w:val="00246F95"/>
    <w:rsid w:val="00247F3A"/>
    <w:rsid w:val="00250122"/>
    <w:rsid w:val="00250755"/>
    <w:rsid w:val="00250AE3"/>
    <w:rsid w:val="00251C4A"/>
    <w:rsid w:val="0025271C"/>
    <w:rsid w:val="00252A91"/>
    <w:rsid w:val="002533CD"/>
    <w:rsid w:val="002544C1"/>
    <w:rsid w:val="00254EAB"/>
    <w:rsid w:val="002557AF"/>
    <w:rsid w:val="002561FA"/>
    <w:rsid w:val="00256474"/>
    <w:rsid w:val="002566B1"/>
    <w:rsid w:val="002575E3"/>
    <w:rsid w:val="002603C1"/>
    <w:rsid w:val="002609A1"/>
    <w:rsid w:val="002612B1"/>
    <w:rsid w:val="00266165"/>
    <w:rsid w:val="0027125E"/>
    <w:rsid w:val="00271767"/>
    <w:rsid w:val="00272293"/>
    <w:rsid w:val="002723C8"/>
    <w:rsid w:val="00272676"/>
    <w:rsid w:val="00273CBE"/>
    <w:rsid w:val="00277441"/>
    <w:rsid w:val="002802D7"/>
    <w:rsid w:val="0028232C"/>
    <w:rsid w:val="002827F1"/>
    <w:rsid w:val="00282EC3"/>
    <w:rsid w:val="002835B0"/>
    <w:rsid w:val="0028407E"/>
    <w:rsid w:val="0028410F"/>
    <w:rsid w:val="00286603"/>
    <w:rsid w:val="00286A98"/>
    <w:rsid w:val="00286FB5"/>
    <w:rsid w:val="00287763"/>
    <w:rsid w:val="00290606"/>
    <w:rsid w:val="00290F9D"/>
    <w:rsid w:val="002918A7"/>
    <w:rsid w:val="00291D6D"/>
    <w:rsid w:val="00291FF1"/>
    <w:rsid w:val="002923F6"/>
    <w:rsid w:val="00293361"/>
    <w:rsid w:val="00293770"/>
    <w:rsid w:val="00295287"/>
    <w:rsid w:val="002952B1"/>
    <w:rsid w:val="00295D11"/>
    <w:rsid w:val="00295FA0"/>
    <w:rsid w:val="00297A7A"/>
    <w:rsid w:val="002A0C3A"/>
    <w:rsid w:val="002A1130"/>
    <w:rsid w:val="002A1493"/>
    <w:rsid w:val="002A14D3"/>
    <w:rsid w:val="002A1880"/>
    <w:rsid w:val="002A1D47"/>
    <w:rsid w:val="002A23B7"/>
    <w:rsid w:val="002A3A57"/>
    <w:rsid w:val="002A6D22"/>
    <w:rsid w:val="002A6DEF"/>
    <w:rsid w:val="002A7411"/>
    <w:rsid w:val="002A7C24"/>
    <w:rsid w:val="002B013E"/>
    <w:rsid w:val="002B058D"/>
    <w:rsid w:val="002B0C16"/>
    <w:rsid w:val="002B11C9"/>
    <w:rsid w:val="002B169E"/>
    <w:rsid w:val="002B2621"/>
    <w:rsid w:val="002B2AC5"/>
    <w:rsid w:val="002B3528"/>
    <w:rsid w:val="002B3539"/>
    <w:rsid w:val="002B3B2B"/>
    <w:rsid w:val="002B6D17"/>
    <w:rsid w:val="002C0C1C"/>
    <w:rsid w:val="002C184E"/>
    <w:rsid w:val="002C29C1"/>
    <w:rsid w:val="002C54C2"/>
    <w:rsid w:val="002C58F6"/>
    <w:rsid w:val="002C5D34"/>
    <w:rsid w:val="002C5EA7"/>
    <w:rsid w:val="002C661A"/>
    <w:rsid w:val="002C730C"/>
    <w:rsid w:val="002D0AF5"/>
    <w:rsid w:val="002D1C54"/>
    <w:rsid w:val="002D2231"/>
    <w:rsid w:val="002D25FC"/>
    <w:rsid w:val="002D318B"/>
    <w:rsid w:val="002D3380"/>
    <w:rsid w:val="002D4925"/>
    <w:rsid w:val="002D4AC6"/>
    <w:rsid w:val="002D5C7B"/>
    <w:rsid w:val="002D6DFC"/>
    <w:rsid w:val="002D7648"/>
    <w:rsid w:val="002D7909"/>
    <w:rsid w:val="002D7E56"/>
    <w:rsid w:val="002E109C"/>
    <w:rsid w:val="002E115E"/>
    <w:rsid w:val="002E193E"/>
    <w:rsid w:val="002E1D76"/>
    <w:rsid w:val="002E243C"/>
    <w:rsid w:val="002E26C4"/>
    <w:rsid w:val="002E4B37"/>
    <w:rsid w:val="002E4BF9"/>
    <w:rsid w:val="002E6F5B"/>
    <w:rsid w:val="002F0631"/>
    <w:rsid w:val="002F16DD"/>
    <w:rsid w:val="002F199D"/>
    <w:rsid w:val="002F23B2"/>
    <w:rsid w:val="002F2AC5"/>
    <w:rsid w:val="002F4084"/>
    <w:rsid w:val="002F4672"/>
    <w:rsid w:val="002F4A08"/>
    <w:rsid w:val="002F4ADB"/>
    <w:rsid w:val="002F50E5"/>
    <w:rsid w:val="002F531E"/>
    <w:rsid w:val="002F5ACC"/>
    <w:rsid w:val="002F6C2C"/>
    <w:rsid w:val="002F704B"/>
    <w:rsid w:val="002F70A6"/>
    <w:rsid w:val="002F72C3"/>
    <w:rsid w:val="002F768C"/>
    <w:rsid w:val="002F7D1E"/>
    <w:rsid w:val="00300F92"/>
    <w:rsid w:val="00301839"/>
    <w:rsid w:val="00302929"/>
    <w:rsid w:val="00302F0F"/>
    <w:rsid w:val="00303243"/>
    <w:rsid w:val="00303BCC"/>
    <w:rsid w:val="00303F2B"/>
    <w:rsid w:val="00303F8D"/>
    <w:rsid w:val="00304541"/>
    <w:rsid w:val="00304580"/>
    <w:rsid w:val="0030586A"/>
    <w:rsid w:val="003074C5"/>
    <w:rsid w:val="00307A3C"/>
    <w:rsid w:val="00307FA4"/>
    <w:rsid w:val="00310CC1"/>
    <w:rsid w:val="0031202C"/>
    <w:rsid w:val="00313026"/>
    <w:rsid w:val="0031421F"/>
    <w:rsid w:val="00314B31"/>
    <w:rsid w:val="00314B36"/>
    <w:rsid w:val="00315158"/>
    <w:rsid w:val="00315346"/>
    <w:rsid w:val="00315A65"/>
    <w:rsid w:val="00316CEC"/>
    <w:rsid w:val="00317BA7"/>
    <w:rsid w:val="00320BE2"/>
    <w:rsid w:val="00321886"/>
    <w:rsid w:val="00321902"/>
    <w:rsid w:val="00322F03"/>
    <w:rsid w:val="00323694"/>
    <w:rsid w:val="00324D63"/>
    <w:rsid w:val="003255AF"/>
    <w:rsid w:val="003256EB"/>
    <w:rsid w:val="003259DB"/>
    <w:rsid w:val="00331060"/>
    <w:rsid w:val="00331A48"/>
    <w:rsid w:val="003330C9"/>
    <w:rsid w:val="0033364C"/>
    <w:rsid w:val="00334415"/>
    <w:rsid w:val="00334F92"/>
    <w:rsid w:val="0033691E"/>
    <w:rsid w:val="00336CCB"/>
    <w:rsid w:val="0033745F"/>
    <w:rsid w:val="00337631"/>
    <w:rsid w:val="00337F44"/>
    <w:rsid w:val="003411D1"/>
    <w:rsid w:val="003416BA"/>
    <w:rsid w:val="00341BD6"/>
    <w:rsid w:val="00342A8A"/>
    <w:rsid w:val="00342F99"/>
    <w:rsid w:val="00344726"/>
    <w:rsid w:val="003454A4"/>
    <w:rsid w:val="00350E6C"/>
    <w:rsid w:val="003518A6"/>
    <w:rsid w:val="00351CB0"/>
    <w:rsid w:val="00351E7F"/>
    <w:rsid w:val="00352953"/>
    <w:rsid w:val="00354062"/>
    <w:rsid w:val="00355C0D"/>
    <w:rsid w:val="003566A9"/>
    <w:rsid w:val="00356988"/>
    <w:rsid w:val="00356B20"/>
    <w:rsid w:val="00356E94"/>
    <w:rsid w:val="00357128"/>
    <w:rsid w:val="0035755E"/>
    <w:rsid w:val="00357A80"/>
    <w:rsid w:val="00361B8B"/>
    <w:rsid w:val="00361B95"/>
    <w:rsid w:val="00363F39"/>
    <w:rsid w:val="00364AB0"/>
    <w:rsid w:val="003667B0"/>
    <w:rsid w:val="003667DD"/>
    <w:rsid w:val="00366B48"/>
    <w:rsid w:val="00367764"/>
    <w:rsid w:val="00370316"/>
    <w:rsid w:val="00370DC7"/>
    <w:rsid w:val="0037156C"/>
    <w:rsid w:val="00371CBD"/>
    <w:rsid w:val="00373CBE"/>
    <w:rsid w:val="003740CC"/>
    <w:rsid w:val="0037435E"/>
    <w:rsid w:val="00374E79"/>
    <w:rsid w:val="00375388"/>
    <w:rsid w:val="00375FB9"/>
    <w:rsid w:val="00376851"/>
    <w:rsid w:val="00376FA2"/>
    <w:rsid w:val="00377A3B"/>
    <w:rsid w:val="00377E3C"/>
    <w:rsid w:val="00380BBE"/>
    <w:rsid w:val="00381775"/>
    <w:rsid w:val="00381D70"/>
    <w:rsid w:val="00382128"/>
    <w:rsid w:val="0038235E"/>
    <w:rsid w:val="003829D0"/>
    <w:rsid w:val="00382FBA"/>
    <w:rsid w:val="0038444F"/>
    <w:rsid w:val="00384E83"/>
    <w:rsid w:val="00385333"/>
    <w:rsid w:val="00387051"/>
    <w:rsid w:val="00387712"/>
    <w:rsid w:val="00387ECF"/>
    <w:rsid w:val="0039021B"/>
    <w:rsid w:val="00390429"/>
    <w:rsid w:val="00392A7A"/>
    <w:rsid w:val="0039327C"/>
    <w:rsid w:val="003933A2"/>
    <w:rsid w:val="0039366C"/>
    <w:rsid w:val="003938F3"/>
    <w:rsid w:val="00393EC8"/>
    <w:rsid w:val="00394BC6"/>
    <w:rsid w:val="00395E42"/>
    <w:rsid w:val="00396052"/>
    <w:rsid w:val="00396A2D"/>
    <w:rsid w:val="00396FC3"/>
    <w:rsid w:val="003A0B61"/>
    <w:rsid w:val="003A1554"/>
    <w:rsid w:val="003A1A94"/>
    <w:rsid w:val="003A204E"/>
    <w:rsid w:val="003A2D25"/>
    <w:rsid w:val="003A39B2"/>
    <w:rsid w:val="003A4DDB"/>
    <w:rsid w:val="003A60E7"/>
    <w:rsid w:val="003A6E03"/>
    <w:rsid w:val="003B0B6A"/>
    <w:rsid w:val="003B0F79"/>
    <w:rsid w:val="003B1483"/>
    <w:rsid w:val="003B1CFD"/>
    <w:rsid w:val="003B29CF"/>
    <w:rsid w:val="003B41B5"/>
    <w:rsid w:val="003B54DF"/>
    <w:rsid w:val="003B5F96"/>
    <w:rsid w:val="003B6659"/>
    <w:rsid w:val="003B7733"/>
    <w:rsid w:val="003C0166"/>
    <w:rsid w:val="003C350C"/>
    <w:rsid w:val="003C3903"/>
    <w:rsid w:val="003C3BA0"/>
    <w:rsid w:val="003C4580"/>
    <w:rsid w:val="003C52D8"/>
    <w:rsid w:val="003C5C5E"/>
    <w:rsid w:val="003C6746"/>
    <w:rsid w:val="003C7133"/>
    <w:rsid w:val="003C7555"/>
    <w:rsid w:val="003C7898"/>
    <w:rsid w:val="003D010A"/>
    <w:rsid w:val="003D0FF5"/>
    <w:rsid w:val="003D2D1B"/>
    <w:rsid w:val="003D30AB"/>
    <w:rsid w:val="003D3D94"/>
    <w:rsid w:val="003D48C7"/>
    <w:rsid w:val="003D4B26"/>
    <w:rsid w:val="003D4C08"/>
    <w:rsid w:val="003D51ED"/>
    <w:rsid w:val="003D7CE8"/>
    <w:rsid w:val="003E1032"/>
    <w:rsid w:val="003E1904"/>
    <w:rsid w:val="003E285E"/>
    <w:rsid w:val="003E3300"/>
    <w:rsid w:val="003E65AC"/>
    <w:rsid w:val="003E6E24"/>
    <w:rsid w:val="003E72B9"/>
    <w:rsid w:val="003E7ED4"/>
    <w:rsid w:val="003F0E52"/>
    <w:rsid w:val="003F0EF2"/>
    <w:rsid w:val="003F0F6B"/>
    <w:rsid w:val="003F1F40"/>
    <w:rsid w:val="003F1FE3"/>
    <w:rsid w:val="003F3865"/>
    <w:rsid w:val="003F3A0A"/>
    <w:rsid w:val="003F4632"/>
    <w:rsid w:val="003F47BA"/>
    <w:rsid w:val="003F6617"/>
    <w:rsid w:val="00401081"/>
    <w:rsid w:val="00402332"/>
    <w:rsid w:val="004025C2"/>
    <w:rsid w:val="00403E55"/>
    <w:rsid w:val="00404532"/>
    <w:rsid w:val="00404681"/>
    <w:rsid w:val="0040496D"/>
    <w:rsid w:val="00405010"/>
    <w:rsid w:val="0040595A"/>
    <w:rsid w:val="00406923"/>
    <w:rsid w:val="0040713A"/>
    <w:rsid w:val="0040763D"/>
    <w:rsid w:val="004105B0"/>
    <w:rsid w:val="00410624"/>
    <w:rsid w:val="00410EC5"/>
    <w:rsid w:val="0041250F"/>
    <w:rsid w:val="004133A8"/>
    <w:rsid w:val="00413821"/>
    <w:rsid w:val="00413D43"/>
    <w:rsid w:val="004141A3"/>
    <w:rsid w:val="00414909"/>
    <w:rsid w:val="00415E66"/>
    <w:rsid w:val="00416112"/>
    <w:rsid w:val="00416DF0"/>
    <w:rsid w:val="00417AE0"/>
    <w:rsid w:val="00417BAA"/>
    <w:rsid w:val="00420BA9"/>
    <w:rsid w:val="00420D7A"/>
    <w:rsid w:val="004223DE"/>
    <w:rsid w:val="0042293E"/>
    <w:rsid w:val="00422A10"/>
    <w:rsid w:val="00423D86"/>
    <w:rsid w:val="00424D17"/>
    <w:rsid w:val="00425DFD"/>
    <w:rsid w:val="004263A3"/>
    <w:rsid w:val="00427713"/>
    <w:rsid w:val="00427CCC"/>
    <w:rsid w:val="0043013A"/>
    <w:rsid w:val="00430421"/>
    <w:rsid w:val="00430B4F"/>
    <w:rsid w:val="004314B1"/>
    <w:rsid w:val="00431E65"/>
    <w:rsid w:val="00432589"/>
    <w:rsid w:val="00432A94"/>
    <w:rsid w:val="0043366D"/>
    <w:rsid w:val="00433827"/>
    <w:rsid w:val="004360C8"/>
    <w:rsid w:val="0044006B"/>
    <w:rsid w:val="0044033F"/>
    <w:rsid w:val="00440630"/>
    <w:rsid w:val="00441123"/>
    <w:rsid w:val="00442095"/>
    <w:rsid w:val="00442965"/>
    <w:rsid w:val="00444157"/>
    <w:rsid w:val="0044417C"/>
    <w:rsid w:val="00444DB3"/>
    <w:rsid w:val="004452B9"/>
    <w:rsid w:val="00445A2F"/>
    <w:rsid w:val="00446328"/>
    <w:rsid w:val="00446341"/>
    <w:rsid w:val="00446648"/>
    <w:rsid w:val="0044684E"/>
    <w:rsid w:val="004479CA"/>
    <w:rsid w:val="004503A4"/>
    <w:rsid w:val="00450555"/>
    <w:rsid w:val="00450DC6"/>
    <w:rsid w:val="004516A5"/>
    <w:rsid w:val="00451FE8"/>
    <w:rsid w:val="00452179"/>
    <w:rsid w:val="004522E3"/>
    <w:rsid w:val="00452E99"/>
    <w:rsid w:val="004535AE"/>
    <w:rsid w:val="00453C42"/>
    <w:rsid w:val="0045463A"/>
    <w:rsid w:val="00454AC9"/>
    <w:rsid w:val="00454E26"/>
    <w:rsid w:val="004554A3"/>
    <w:rsid w:val="00455A6E"/>
    <w:rsid w:val="00456758"/>
    <w:rsid w:val="004569CD"/>
    <w:rsid w:val="004578EB"/>
    <w:rsid w:val="00460303"/>
    <w:rsid w:val="00460697"/>
    <w:rsid w:val="00462593"/>
    <w:rsid w:val="00465EEF"/>
    <w:rsid w:val="00466D03"/>
    <w:rsid w:val="0046711B"/>
    <w:rsid w:val="00467312"/>
    <w:rsid w:val="00471156"/>
    <w:rsid w:val="00472429"/>
    <w:rsid w:val="004725E5"/>
    <w:rsid w:val="004726FE"/>
    <w:rsid w:val="00472751"/>
    <w:rsid w:val="00473128"/>
    <w:rsid w:val="00475078"/>
    <w:rsid w:val="00475226"/>
    <w:rsid w:val="004779A0"/>
    <w:rsid w:val="004808E3"/>
    <w:rsid w:val="00481016"/>
    <w:rsid w:val="004814D3"/>
    <w:rsid w:val="0048204C"/>
    <w:rsid w:val="004821BB"/>
    <w:rsid w:val="00482233"/>
    <w:rsid w:val="0048261A"/>
    <w:rsid w:val="004826FE"/>
    <w:rsid w:val="004827D5"/>
    <w:rsid w:val="004830C9"/>
    <w:rsid w:val="00483347"/>
    <w:rsid w:val="00483E2E"/>
    <w:rsid w:val="00484B69"/>
    <w:rsid w:val="00485406"/>
    <w:rsid w:val="0048590F"/>
    <w:rsid w:val="004867A5"/>
    <w:rsid w:val="00486D60"/>
    <w:rsid w:val="00487C87"/>
    <w:rsid w:val="00490BB8"/>
    <w:rsid w:val="00492A25"/>
    <w:rsid w:val="00492F3E"/>
    <w:rsid w:val="0049474A"/>
    <w:rsid w:val="004961EA"/>
    <w:rsid w:val="00496350"/>
    <w:rsid w:val="00496F91"/>
    <w:rsid w:val="00497274"/>
    <w:rsid w:val="00497708"/>
    <w:rsid w:val="0049797C"/>
    <w:rsid w:val="00497C2C"/>
    <w:rsid w:val="00497E9D"/>
    <w:rsid w:val="004A07AC"/>
    <w:rsid w:val="004A1405"/>
    <w:rsid w:val="004A1FC6"/>
    <w:rsid w:val="004A3C03"/>
    <w:rsid w:val="004A3DB7"/>
    <w:rsid w:val="004A3FB3"/>
    <w:rsid w:val="004A5088"/>
    <w:rsid w:val="004A5255"/>
    <w:rsid w:val="004A6097"/>
    <w:rsid w:val="004A6CB0"/>
    <w:rsid w:val="004A70FF"/>
    <w:rsid w:val="004A7CCC"/>
    <w:rsid w:val="004B1B84"/>
    <w:rsid w:val="004B29AC"/>
    <w:rsid w:val="004B35DF"/>
    <w:rsid w:val="004B3627"/>
    <w:rsid w:val="004B3F3A"/>
    <w:rsid w:val="004B4779"/>
    <w:rsid w:val="004B4922"/>
    <w:rsid w:val="004B57DF"/>
    <w:rsid w:val="004C03A0"/>
    <w:rsid w:val="004C04AB"/>
    <w:rsid w:val="004C2138"/>
    <w:rsid w:val="004C2ED0"/>
    <w:rsid w:val="004C32D4"/>
    <w:rsid w:val="004C3940"/>
    <w:rsid w:val="004C51FD"/>
    <w:rsid w:val="004C534B"/>
    <w:rsid w:val="004C65A8"/>
    <w:rsid w:val="004C6F74"/>
    <w:rsid w:val="004C786C"/>
    <w:rsid w:val="004C7963"/>
    <w:rsid w:val="004D2F63"/>
    <w:rsid w:val="004D35BA"/>
    <w:rsid w:val="004D4701"/>
    <w:rsid w:val="004D47C7"/>
    <w:rsid w:val="004D618D"/>
    <w:rsid w:val="004D62A9"/>
    <w:rsid w:val="004D6AEE"/>
    <w:rsid w:val="004D6FC3"/>
    <w:rsid w:val="004D7476"/>
    <w:rsid w:val="004E0306"/>
    <w:rsid w:val="004E0572"/>
    <w:rsid w:val="004E25A8"/>
    <w:rsid w:val="004E2AA0"/>
    <w:rsid w:val="004E3930"/>
    <w:rsid w:val="004E3ED9"/>
    <w:rsid w:val="004E5866"/>
    <w:rsid w:val="004E5D94"/>
    <w:rsid w:val="004E6097"/>
    <w:rsid w:val="004E61EF"/>
    <w:rsid w:val="004E6772"/>
    <w:rsid w:val="004E76A7"/>
    <w:rsid w:val="004E7736"/>
    <w:rsid w:val="004E7B03"/>
    <w:rsid w:val="004F0064"/>
    <w:rsid w:val="004F06AC"/>
    <w:rsid w:val="004F1AE6"/>
    <w:rsid w:val="004F243F"/>
    <w:rsid w:val="004F3E0C"/>
    <w:rsid w:val="004F6A2D"/>
    <w:rsid w:val="004F7160"/>
    <w:rsid w:val="004F71A2"/>
    <w:rsid w:val="00500258"/>
    <w:rsid w:val="0050175E"/>
    <w:rsid w:val="00501A99"/>
    <w:rsid w:val="00503180"/>
    <w:rsid w:val="0050417C"/>
    <w:rsid w:val="00505450"/>
    <w:rsid w:val="005100B7"/>
    <w:rsid w:val="005113C9"/>
    <w:rsid w:val="0051280C"/>
    <w:rsid w:val="00512842"/>
    <w:rsid w:val="005128BE"/>
    <w:rsid w:val="00512B7B"/>
    <w:rsid w:val="00512E6C"/>
    <w:rsid w:val="0051356F"/>
    <w:rsid w:val="00513E7C"/>
    <w:rsid w:val="005140BB"/>
    <w:rsid w:val="005143C2"/>
    <w:rsid w:val="0051454F"/>
    <w:rsid w:val="00514FD9"/>
    <w:rsid w:val="0051608F"/>
    <w:rsid w:val="005210F7"/>
    <w:rsid w:val="00521753"/>
    <w:rsid w:val="00521A44"/>
    <w:rsid w:val="00521D16"/>
    <w:rsid w:val="005222BE"/>
    <w:rsid w:val="005224EE"/>
    <w:rsid w:val="00523BB1"/>
    <w:rsid w:val="0052451A"/>
    <w:rsid w:val="00524737"/>
    <w:rsid w:val="00526265"/>
    <w:rsid w:val="0052652D"/>
    <w:rsid w:val="0052655D"/>
    <w:rsid w:val="005265E0"/>
    <w:rsid w:val="00526BC3"/>
    <w:rsid w:val="00530F9E"/>
    <w:rsid w:val="0053274E"/>
    <w:rsid w:val="0053358A"/>
    <w:rsid w:val="00534668"/>
    <w:rsid w:val="00534DDD"/>
    <w:rsid w:val="00535291"/>
    <w:rsid w:val="00535A94"/>
    <w:rsid w:val="00537874"/>
    <w:rsid w:val="00540204"/>
    <w:rsid w:val="00540578"/>
    <w:rsid w:val="005407D2"/>
    <w:rsid w:val="00540808"/>
    <w:rsid w:val="0054080E"/>
    <w:rsid w:val="00540EA1"/>
    <w:rsid w:val="00541F62"/>
    <w:rsid w:val="00542AD8"/>
    <w:rsid w:val="0054358E"/>
    <w:rsid w:val="00543AF4"/>
    <w:rsid w:val="00544191"/>
    <w:rsid w:val="00544F39"/>
    <w:rsid w:val="0054515D"/>
    <w:rsid w:val="00547EFB"/>
    <w:rsid w:val="00552563"/>
    <w:rsid w:val="005531DF"/>
    <w:rsid w:val="00553874"/>
    <w:rsid w:val="00553ACC"/>
    <w:rsid w:val="00554AD8"/>
    <w:rsid w:val="00554F78"/>
    <w:rsid w:val="005556A5"/>
    <w:rsid w:val="00556BF7"/>
    <w:rsid w:val="00562149"/>
    <w:rsid w:val="005630D8"/>
    <w:rsid w:val="00563FFD"/>
    <w:rsid w:val="00565855"/>
    <w:rsid w:val="005677CE"/>
    <w:rsid w:val="00567B5D"/>
    <w:rsid w:val="00573733"/>
    <w:rsid w:val="00574554"/>
    <w:rsid w:val="00576089"/>
    <w:rsid w:val="005764B1"/>
    <w:rsid w:val="00576A56"/>
    <w:rsid w:val="00576D06"/>
    <w:rsid w:val="005779E4"/>
    <w:rsid w:val="00580AC5"/>
    <w:rsid w:val="00580EB3"/>
    <w:rsid w:val="00581A2A"/>
    <w:rsid w:val="0058289C"/>
    <w:rsid w:val="00582C35"/>
    <w:rsid w:val="00582DC6"/>
    <w:rsid w:val="005836C7"/>
    <w:rsid w:val="00583E30"/>
    <w:rsid w:val="0058408E"/>
    <w:rsid w:val="00585374"/>
    <w:rsid w:val="00586F3C"/>
    <w:rsid w:val="00590B77"/>
    <w:rsid w:val="005913A3"/>
    <w:rsid w:val="00591DCD"/>
    <w:rsid w:val="00591E6C"/>
    <w:rsid w:val="00594A7B"/>
    <w:rsid w:val="00594AFA"/>
    <w:rsid w:val="0059580E"/>
    <w:rsid w:val="00596A6F"/>
    <w:rsid w:val="005976E1"/>
    <w:rsid w:val="005A0541"/>
    <w:rsid w:val="005A1525"/>
    <w:rsid w:val="005A1EC3"/>
    <w:rsid w:val="005A252B"/>
    <w:rsid w:val="005A2A71"/>
    <w:rsid w:val="005A3204"/>
    <w:rsid w:val="005A3341"/>
    <w:rsid w:val="005A3FA1"/>
    <w:rsid w:val="005A46EC"/>
    <w:rsid w:val="005A4847"/>
    <w:rsid w:val="005A494F"/>
    <w:rsid w:val="005B0160"/>
    <w:rsid w:val="005B0185"/>
    <w:rsid w:val="005B07EC"/>
    <w:rsid w:val="005B09D8"/>
    <w:rsid w:val="005B120C"/>
    <w:rsid w:val="005B24F3"/>
    <w:rsid w:val="005B2B11"/>
    <w:rsid w:val="005B2E00"/>
    <w:rsid w:val="005B370E"/>
    <w:rsid w:val="005B4DA3"/>
    <w:rsid w:val="005B5BEE"/>
    <w:rsid w:val="005B77D2"/>
    <w:rsid w:val="005C019B"/>
    <w:rsid w:val="005C144E"/>
    <w:rsid w:val="005C14A8"/>
    <w:rsid w:val="005C30F5"/>
    <w:rsid w:val="005C357E"/>
    <w:rsid w:val="005C3951"/>
    <w:rsid w:val="005C51A5"/>
    <w:rsid w:val="005C557A"/>
    <w:rsid w:val="005C61DD"/>
    <w:rsid w:val="005C6438"/>
    <w:rsid w:val="005C6B8B"/>
    <w:rsid w:val="005D02E3"/>
    <w:rsid w:val="005D0310"/>
    <w:rsid w:val="005D039C"/>
    <w:rsid w:val="005D1F34"/>
    <w:rsid w:val="005D2529"/>
    <w:rsid w:val="005D2C1F"/>
    <w:rsid w:val="005D34B2"/>
    <w:rsid w:val="005D3B54"/>
    <w:rsid w:val="005D40CD"/>
    <w:rsid w:val="005D6B59"/>
    <w:rsid w:val="005D7037"/>
    <w:rsid w:val="005E03E4"/>
    <w:rsid w:val="005E0454"/>
    <w:rsid w:val="005E171D"/>
    <w:rsid w:val="005E34C2"/>
    <w:rsid w:val="005E35C6"/>
    <w:rsid w:val="005E5B01"/>
    <w:rsid w:val="005E7933"/>
    <w:rsid w:val="005E7E0B"/>
    <w:rsid w:val="005F009E"/>
    <w:rsid w:val="005F0A88"/>
    <w:rsid w:val="005F0DF1"/>
    <w:rsid w:val="005F1516"/>
    <w:rsid w:val="005F229E"/>
    <w:rsid w:val="005F2564"/>
    <w:rsid w:val="005F3822"/>
    <w:rsid w:val="005F3E0B"/>
    <w:rsid w:val="005F4D16"/>
    <w:rsid w:val="005F4E52"/>
    <w:rsid w:val="005F5590"/>
    <w:rsid w:val="005F5967"/>
    <w:rsid w:val="005F6A62"/>
    <w:rsid w:val="005F77C8"/>
    <w:rsid w:val="0060058E"/>
    <w:rsid w:val="00602740"/>
    <w:rsid w:val="00602A3C"/>
    <w:rsid w:val="00603BE3"/>
    <w:rsid w:val="00603EFD"/>
    <w:rsid w:val="006041DF"/>
    <w:rsid w:val="0060475B"/>
    <w:rsid w:val="00604FB6"/>
    <w:rsid w:val="00605387"/>
    <w:rsid w:val="00606302"/>
    <w:rsid w:val="006072EF"/>
    <w:rsid w:val="006076FD"/>
    <w:rsid w:val="00607BA3"/>
    <w:rsid w:val="0061143F"/>
    <w:rsid w:val="006114D8"/>
    <w:rsid w:val="00611585"/>
    <w:rsid w:val="00612931"/>
    <w:rsid w:val="00613601"/>
    <w:rsid w:val="00613791"/>
    <w:rsid w:val="00613AAB"/>
    <w:rsid w:val="00614505"/>
    <w:rsid w:val="006148C7"/>
    <w:rsid w:val="006150D6"/>
    <w:rsid w:val="00617EEE"/>
    <w:rsid w:val="006210FE"/>
    <w:rsid w:val="00622811"/>
    <w:rsid w:val="00622894"/>
    <w:rsid w:val="00622BB7"/>
    <w:rsid w:val="00622F3B"/>
    <w:rsid w:val="00623389"/>
    <w:rsid w:val="0062352A"/>
    <w:rsid w:val="00625E45"/>
    <w:rsid w:val="006265C4"/>
    <w:rsid w:val="00627383"/>
    <w:rsid w:val="00627733"/>
    <w:rsid w:val="006301BB"/>
    <w:rsid w:val="00632605"/>
    <w:rsid w:val="00633F8D"/>
    <w:rsid w:val="006341EF"/>
    <w:rsid w:val="00634BED"/>
    <w:rsid w:val="00635A4A"/>
    <w:rsid w:val="00635FB9"/>
    <w:rsid w:val="00636148"/>
    <w:rsid w:val="00637774"/>
    <w:rsid w:val="0064024C"/>
    <w:rsid w:val="00640291"/>
    <w:rsid w:val="00641FAC"/>
    <w:rsid w:val="006432A5"/>
    <w:rsid w:val="00643664"/>
    <w:rsid w:val="00643CAA"/>
    <w:rsid w:val="00652137"/>
    <w:rsid w:val="00652680"/>
    <w:rsid w:val="00652A09"/>
    <w:rsid w:val="006530A1"/>
    <w:rsid w:val="00653CDE"/>
    <w:rsid w:val="006540B4"/>
    <w:rsid w:val="0065636A"/>
    <w:rsid w:val="00656C3C"/>
    <w:rsid w:val="00657003"/>
    <w:rsid w:val="00657126"/>
    <w:rsid w:val="006572C1"/>
    <w:rsid w:val="00657930"/>
    <w:rsid w:val="00660238"/>
    <w:rsid w:val="006602EF"/>
    <w:rsid w:val="00660F41"/>
    <w:rsid w:val="00661277"/>
    <w:rsid w:val="006616FE"/>
    <w:rsid w:val="006619D1"/>
    <w:rsid w:val="00663FEA"/>
    <w:rsid w:val="00664253"/>
    <w:rsid w:val="006647AE"/>
    <w:rsid w:val="00664803"/>
    <w:rsid w:val="006661A4"/>
    <w:rsid w:val="006670E0"/>
    <w:rsid w:val="00667532"/>
    <w:rsid w:val="006704FD"/>
    <w:rsid w:val="0067294B"/>
    <w:rsid w:val="00673AA4"/>
    <w:rsid w:val="00674187"/>
    <w:rsid w:val="0067508F"/>
    <w:rsid w:val="00675349"/>
    <w:rsid w:val="00675E7E"/>
    <w:rsid w:val="0068051E"/>
    <w:rsid w:val="00680B9D"/>
    <w:rsid w:val="00681F13"/>
    <w:rsid w:val="0068231C"/>
    <w:rsid w:val="00682344"/>
    <w:rsid w:val="00682F28"/>
    <w:rsid w:val="00684842"/>
    <w:rsid w:val="00685BD6"/>
    <w:rsid w:val="006878A6"/>
    <w:rsid w:val="00690437"/>
    <w:rsid w:val="00690E65"/>
    <w:rsid w:val="0069188E"/>
    <w:rsid w:val="00691974"/>
    <w:rsid w:val="00692CE6"/>
    <w:rsid w:val="00693B6C"/>
    <w:rsid w:val="00694202"/>
    <w:rsid w:val="006942AE"/>
    <w:rsid w:val="0069483C"/>
    <w:rsid w:val="00695421"/>
    <w:rsid w:val="00696D4B"/>
    <w:rsid w:val="00697BD3"/>
    <w:rsid w:val="00697DFA"/>
    <w:rsid w:val="006A0C53"/>
    <w:rsid w:val="006A10F3"/>
    <w:rsid w:val="006A16D5"/>
    <w:rsid w:val="006A1772"/>
    <w:rsid w:val="006A1780"/>
    <w:rsid w:val="006A25A5"/>
    <w:rsid w:val="006A2790"/>
    <w:rsid w:val="006A3CEC"/>
    <w:rsid w:val="006A3F75"/>
    <w:rsid w:val="006A4FB3"/>
    <w:rsid w:val="006A5A3E"/>
    <w:rsid w:val="006A6CA7"/>
    <w:rsid w:val="006A703E"/>
    <w:rsid w:val="006A7BE3"/>
    <w:rsid w:val="006B01D1"/>
    <w:rsid w:val="006B16EA"/>
    <w:rsid w:val="006B1780"/>
    <w:rsid w:val="006B224E"/>
    <w:rsid w:val="006B376E"/>
    <w:rsid w:val="006B4589"/>
    <w:rsid w:val="006B6805"/>
    <w:rsid w:val="006B6BBE"/>
    <w:rsid w:val="006B6DE0"/>
    <w:rsid w:val="006B7D5F"/>
    <w:rsid w:val="006C32F4"/>
    <w:rsid w:val="006C3C54"/>
    <w:rsid w:val="006C40F4"/>
    <w:rsid w:val="006C427B"/>
    <w:rsid w:val="006C4D5D"/>
    <w:rsid w:val="006C4E5A"/>
    <w:rsid w:val="006C4F9F"/>
    <w:rsid w:val="006C61AB"/>
    <w:rsid w:val="006C650D"/>
    <w:rsid w:val="006C748D"/>
    <w:rsid w:val="006C74E2"/>
    <w:rsid w:val="006D0C1D"/>
    <w:rsid w:val="006D0CE1"/>
    <w:rsid w:val="006D2004"/>
    <w:rsid w:val="006D2A8C"/>
    <w:rsid w:val="006D2E9D"/>
    <w:rsid w:val="006D4C1E"/>
    <w:rsid w:val="006D4C42"/>
    <w:rsid w:val="006D5809"/>
    <w:rsid w:val="006D630A"/>
    <w:rsid w:val="006D668D"/>
    <w:rsid w:val="006D7363"/>
    <w:rsid w:val="006D74F2"/>
    <w:rsid w:val="006E04C8"/>
    <w:rsid w:val="006E0712"/>
    <w:rsid w:val="006E0754"/>
    <w:rsid w:val="006E2668"/>
    <w:rsid w:val="006E2D39"/>
    <w:rsid w:val="006E32B0"/>
    <w:rsid w:val="006E36D8"/>
    <w:rsid w:val="006E396A"/>
    <w:rsid w:val="006E3A73"/>
    <w:rsid w:val="006E5DD8"/>
    <w:rsid w:val="006E5EA1"/>
    <w:rsid w:val="006E7ABC"/>
    <w:rsid w:val="006F0760"/>
    <w:rsid w:val="006F0FF1"/>
    <w:rsid w:val="006F11E2"/>
    <w:rsid w:val="006F12F5"/>
    <w:rsid w:val="006F2574"/>
    <w:rsid w:val="006F3231"/>
    <w:rsid w:val="006F3DE3"/>
    <w:rsid w:val="006F511F"/>
    <w:rsid w:val="006F54B3"/>
    <w:rsid w:val="006F61D8"/>
    <w:rsid w:val="006F62B7"/>
    <w:rsid w:val="006F70BC"/>
    <w:rsid w:val="006F713A"/>
    <w:rsid w:val="006F76BF"/>
    <w:rsid w:val="00700077"/>
    <w:rsid w:val="007066A4"/>
    <w:rsid w:val="00706F37"/>
    <w:rsid w:val="00707D09"/>
    <w:rsid w:val="00711208"/>
    <w:rsid w:val="0071209F"/>
    <w:rsid w:val="007125A2"/>
    <w:rsid w:val="00712DA3"/>
    <w:rsid w:val="00713F79"/>
    <w:rsid w:val="007148A8"/>
    <w:rsid w:val="00714AA4"/>
    <w:rsid w:val="007171E0"/>
    <w:rsid w:val="0072033C"/>
    <w:rsid w:val="00720B1B"/>
    <w:rsid w:val="00720EC1"/>
    <w:rsid w:val="00721062"/>
    <w:rsid w:val="00721E5D"/>
    <w:rsid w:val="007229D4"/>
    <w:rsid w:val="00722CD9"/>
    <w:rsid w:val="007230F8"/>
    <w:rsid w:val="007233F4"/>
    <w:rsid w:val="00724044"/>
    <w:rsid w:val="007244E1"/>
    <w:rsid w:val="007248D3"/>
    <w:rsid w:val="00725137"/>
    <w:rsid w:val="007263ED"/>
    <w:rsid w:val="00727A43"/>
    <w:rsid w:val="00727FF2"/>
    <w:rsid w:val="007323E0"/>
    <w:rsid w:val="00733791"/>
    <w:rsid w:val="0073391B"/>
    <w:rsid w:val="00733DE2"/>
    <w:rsid w:val="007352EA"/>
    <w:rsid w:val="007364E5"/>
    <w:rsid w:val="0073792F"/>
    <w:rsid w:val="00740DA6"/>
    <w:rsid w:val="00741A0E"/>
    <w:rsid w:val="00741D1E"/>
    <w:rsid w:val="00741EE2"/>
    <w:rsid w:val="00742367"/>
    <w:rsid w:val="00742EAA"/>
    <w:rsid w:val="00743818"/>
    <w:rsid w:val="007439E2"/>
    <w:rsid w:val="00743D6F"/>
    <w:rsid w:val="00743DD8"/>
    <w:rsid w:val="007441FB"/>
    <w:rsid w:val="00744517"/>
    <w:rsid w:val="00744810"/>
    <w:rsid w:val="00747DE2"/>
    <w:rsid w:val="007504BF"/>
    <w:rsid w:val="007506CD"/>
    <w:rsid w:val="0075267F"/>
    <w:rsid w:val="007526EC"/>
    <w:rsid w:val="0075310C"/>
    <w:rsid w:val="00753347"/>
    <w:rsid w:val="00753C48"/>
    <w:rsid w:val="00754C97"/>
    <w:rsid w:val="00754FE4"/>
    <w:rsid w:val="00755538"/>
    <w:rsid w:val="00756236"/>
    <w:rsid w:val="00756271"/>
    <w:rsid w:val="00756521"/>
    <w:rsid w:val="00756AB7"/>
    <w:rsid w:val="00760477"/>
    <w:rsid w:val="00761AF4"/>
    <w:rsid w:val="00762071"/>
    <w:rsid w:val="007623FB"/>
    <w:rsid w:val="0076376A"/>
    <w:rsid w:val="0076500F"/>
    <w:rsid w:val="0076504E"/>
    <w:rsid w:val="00765E6A"/>
    <w:rsid w:val="00767EA0"/>
    <w:rsid w:val="0077068F"/>
    <w:rsid w:val="0077408D"/>
    <w:rsid w:val="00774270"/>
    <w:rsid w:val="00775679"/>
    <w:rsid w:val="00775803"/>
    <w:rsid w:val="00777B32"/>
    <w:rsid w:val="0078051E"/>
    <w:rsid w:val="00781FDD"/>
    <w:rsid w:val="00782A9F"/>
    <w:rsid w:val="0078508A"/>
    <w:rsid w:val="00786D5C"/>
    <w:rsid w:val="00786E96"/>
    <w:rsid w:val="00787F93"/>
    <w:rsid w:val="007907CA"/>
    <w:rsid w:val="007913A1"/>
    <w:rsid w:val="00791E6D"/>
    <w:rsid w:val="007928DC"/>
    <w:rsid w:val="007939CC"/>
    <w:rsid w:val="00794AD7"/>
    <w:rsid w:val="00796FB8"/>
    <w:rsid w:val="007A0A5E"/>
    <w:rsid w:val="007A11C2"/>
    <w:rsid w:val="007A2063"/>
    <w:rsid w:val="007A2367"/>
    <w:rsid w:val="007A41BF"/>
    <w:rsid w:val="007A490A"/>
    <w:rsid w:val="007A581D"/>
    <w:rsid w:val="007A7B95"/>
    <w:rsid w:val="007B0297"/>
    <w:rsid w:val="007B0F53"/>
    <w:rsid w:val="007B1DD8"/>
    <w:rsid w:val="007B21AE"/>
    <w:rsid w:val="007B2570"/>
    <w:rsid w:val="007B3113"/>
    <w:rsid w:val="007B3304"/>
    <w:rsid w:val="007B332B"/>
    <w:rsid w:val="007B394D"/>
    <w:rsid w:val="007B7490"/>
    <w:rsid w:val="007B774A"/>
    <w:rsid w:val="007C0525"/>
    <w:rsid w:val="007C0B56"/>
    <w:rsid w:val="007C13F7"/>
    <w:rsid w:val="007C218D"/>
    <w:rsid w:val="007C2D28"/>
    <w:rsid w:val="007C3E22"/>
    <w:rsid w:val="007C5153"/>
    <w:rsid w:val="007C67C6"/>
    <w:rsid w:val="007C707A"/>
    <w:rsid w:val="007C7E59"/>
    <w:rsid w:val="007D0B91"/>
    <w:rsid w:val="007D0F53"/>
    <w:rsid w:val="007D1452"/>
    <w:rsid w:val="007D1E29"/>
    <w:rsid w:val="007D460C"/>
    <w:rsid w:val="007D4AD3"/>
    <w:rsid w:val="007D4C8D"/>
    <w:rsid w:val="007D5195"/>
    <w:rsid w:val="007D5D19"/>
    <w:rsid w:val="007D5FDC"/>
    <w:rsid w:val="007D6232"/>
    <w:rsid w:val="007D6D68"/>
    <w:rsid w:val="007E01DA"/>
    <w:rsid w:val="007E1603"/>
    <w:rsid w:val="007E32DA"/>
    <w:rsid w:val="007E4998"/>
    <w:rsid w:val="007E4A9C"/>
    <w:rsid w:val="007E6914"/>
    <w:rsid w:val="007E7F78"/>
    <w:rsid w:val="007F0C8B"/>
    <w:rsid w:val="007F1517"/>
    <w:rsid w:val="007F1D44"/>
    <w:rsid w:val="007F2C13"/>
    <w:rsid w:val="007F2CEC"/>
    <w:rsid w:val="007F55DE"/>
    <w:rsid w:val="007F5605"/>
    <w:rsid w:val="007F6147"/>
    <w:rsid w:val="007F6FCD"/>
    <w:rsid w:val="007F78FF"/>
    <w:rsid w:val="00800F6C"/>
    <w:rsid w:val="008025BE"/>
    <w:rsid w:val="00804C86"/>
    <w:rsid w:val="008051FC"/>
    <w:rsid w:val="008055A9"/>
    <w:rsid w:val="008070EB"/>
    <w:rsid w:val="00807376"/>
    <w:rsid w:val="00810E8E"/>
    <w:rsid w:val="0081142D"/>
    <w:rsid w:val="00812462"/>
    <w:rsid w:val="008131C3"/>
    <w:rsid w:val="008140A5"/>
    <w:rsid w:val="0081481D"/>
    <w:rsid w:val="00814BE8"/>
    <w:rsid w:val="00814F6E"/>
    <w:rsid w:val="00815B84"/>
    <w:rsid w:val="00821A3D"/>
    <w:rsid w:val="00821B36"/>
    <w:rsid w:val="00822037"/>
    <w:rsid w:val="00823E0A"/>
    <w:rsid w:val="00823FC6"/>
    <w:rsid w:val="00823FFC"/>
    <w:rsid w:val="00824811"/>
    <w:rsid w:val="00825C74"/>
    <w:rsid w:val="00826AB9"/>
    <w:rsid w:val="00826E0E"/>
    <w:rsid w:val="0082731F"/>
    <w:rsid w:val="00827D11"/>
    <w:rsid w:val="00827E0F"/>
    <w:rsid w:val="00827F6E"/>
    <w:rsid w:val="00831758"/>
    <w:rsid w:val="0083279F"/>
    <w:rsid w:val="00833B7F"/>
    <w:rsid w:val="00834906"/>
    <w:rsid w:val="00836075"/>
    <w:rsid w:val="00836417"/>
    <w:rsid w:val="008411F9"/>
    <w:rsid w:val="008413AB"/>
    <w:rsid w:val="00842D10"/>
    <w:rsid w:val="0084322B"/>
    <w:rsid w:val="00843B93"/>
    <w:rsid w:val="00843F81"/>
    <w:rsid w:val="00844087"/>
    <w:rsid w:val="0084519E"/>
    <w:rsid w:val="00846370"/>
    <w:rsid w:val="00847C2B"/>
    <w:rsid w:val="0085270D"/>
    <w:rsid w:val="008532BF"/>
    <w:rsid w:val="00853BF4"/>
    <w:rsid w:val="00854294"/>
    <w:rsid w:val="0085595B"/>
    <w:rsid w:val="00855F80"/>
    <w:rsid w:val="008566B8"/>
    <w:rsid w:val="0085788B"/>
    <w:rsid w:val="00857A9E"/>
    <w:rsid w:val="00857DE2"/>
    <w:rsid w:val="0086353C"/>
    <w:rsid w:val="0086407F"/>
    <w:rsid w:val="00864BFE"/>
    <w:rsid w:val="00864E79"/>
    <w:rsid w:val="00866111"/>
    <w:rsid w:val="0086661F"/>
    <w:rsid w:val="00866A0D"/>
    <w:rsid w:val="00866DB5"/>
    <w:rsid w:val="0086784E"/>
    <w:rsid w:val="00867AF1"/>
    <w:rsid w:val="00870445"/>
    <w:rsid w:val="00872118"/>
    <w:rsid w:val="00872827"/>
    <w:rsid w:val="00872888"/>
    <w:rsid w:val="00872A32"/>
    <w:rsid w:val="00872D92"/>
    <w:rsid w:val="00872E21"/>
    <w:rsid w:val="00874ECA"/>
    <w:rsid w:val="00876EAE"/>
    <w:rsid w:val="00880F95"/>
    <w:rsid w:val="008819C6"/>
    <w:rsid w:val="00882B44"/>
    <w:rsid w:val="00882FE5"/>
    <w:rsid w:val="008845A4"/>
    <w:rsid w:val="00886138"/>
    <w:rsid w:val="00886E66"/>
    <w:rsid w:val="008871B0"/>
    <w:rsid w:val="0089217C"/>
    <w:rsid w:val="008928A1"/>
    <w:rsid w:val="00893671"/>
    <w:rsid w:val="00895838"/>
    <w:rsid w:val="00895A72"/>
    <w:rsid w:val="00895CDF"/>
    <w:rsid w:val="008968C7"/>
    <w:rsid w:val="00897A55"/>
    <w:rsid w:val="008A0FC9"/>
    <w:rsid w:val="008A1956"/>
    <w:rsid w:val="008A2B5F"/>
    <w:rsid w:val="008A40D3"/>
    <w:rsid w:val="008A469C"/>
    <w:rsid w:val="008A484A"/>
    <w:rsid w:val="008A5877"/>
    <w:rsid w:val="008A6539"/>
    <w:rsid w:val="008A701C"/>
    <w:rsid w:val="008B05DD"/>
    <w:rsid w:val="008B17E8"/>
    <w:rsid w:val="008B1925"/>
    <w:rsid w:val="008B266C"/>
    <w:rsid w:val="008B2D03"/>
    <w:rsid w:val="008B2E7C"/>
    <w:rsid w:val="008B42EB"/>
    <w:rsid w:val="008B45A7"/>
    <w:rsid w:val="008B4A70"/>
    <w:rsid w:val="008B502F"/>
    <w:rsid w:val="008B5A88"/>
    <w:rsid w:val="008B6AFE"/>
    <w:rsid w:val="008B7034"/>
    <w:rsid w:val="008B7227"/>
    <w:rsid w:val="008C191C"/>
    <w:rsid w:val="008C1DA4"/>
    <w:rsid w:val="008C2CD5"/>
    <w:rsid w:val="008C3618"/>
    <w:rsid w:val="008C37C2"/>
    <w:rsid w:val="008C3F20"/>
    <w:rsid w:val="008C43AD"/>
    <w:rsid w:val="008C59FB"/>
    <w:rsid w:val="008C6687"/>
    <w:rsid w:val="008C68F0"/>
    <w:rsid w:val="008C6F92"/>
    <w:rsid w:val="008C731F"/>
    <w:rsid w:val="008C74D9"/>
    <w:rsid w:val="008D01FF"/>
    <w:rsid w:val="008D1052"/>
    <w:rsid w:val="008D124C"/>
    <w:rsid w:val="008D1BB3"/>
    <w:rsid w:val="008D22AE"/>
    <w:rsid w:val="008D234A"/>
    <w:rsid w:val="008D2600"/>
    <w:rsid w:val="008D566C"/>
    <w:rsid w:val="008D58D9"/>
    <w:rsid w:val="008D6426"/>
    <w:rsid w:val="008D66EA"/>
    <w:rsid w:val="008D6E59"/>
    <w:rsid w:val="008D7155"/>
    <w:rsid w:val="008D7DE4"/>
    <w:rsid w:val="008E09B3"/>
    <w:rsid w:val="008E141A"/>
    <w:rsid w:val="008E1A44"/>
    <w:rsid w:val="008E28E6"/>
    <w:rsid w:val="008E2B60"/>
    <w:rsid w:val="008E3232"/>
    <w:rsid w:val="008E3674"/>
    <w:rsid w:val="008E3B6C"/>
    <w:rsid w:val="008E68BB"/>
    <w:rsid w:val="008E6C9B"/>
    <w:rsid w:val="008E77D4"/>
    <w:rsid w:val="008F0981"/>
    <w:rsid w:val="008F0AFD"/>
    <w:rsid w:val="008F17B2"/>
    <w:rsid w:val="008F28EE"/>
    <w:rsid w:val="008F357B"/>
    <w:rsid w:val="008F44CA"/>
    <w:rsid w:val="008F49B9"/>
    <w:rsid w:val="008F49D3"/>
    <w:rsid w:val="008F6519"/>
    <w:rsid w:val="008F7012"/>
    <w:rsid w:val="008F7B17"/>
    <w:rsid w:val="00900042"/>
    <w:rsid w:val="0090034B"/>
    <w:rsid w:val="00902623"/>
    <w:rsid w:val="00902890"/>
    <w:rsid w:val="00904BE4"/>
    <w:rsid w:val="0090504A"/>
    <w:rsid w:val="00905188"/>
    <w:rsid w:val="00905D7E"/>
    <w:rsid w:val="009063B7"/>
    <w:rsid w:val="00906B83"/>
    <w:rsid w:val="00907037"/>
    <w:rsid w:val="0091114B"/>
    <w:rsid w:val="0091160A"/>
    <w:rsid w:val="00913258"/>
    <w:rsid w:val="0091564D"/>
    <w:rsid w:val="009156DA"/>
    <w:rsid w:val="00916BC5"/>
    <w:rsid w:val="0091726A"/>
    <w:rsid w:val="00920184"/>
    <w:rsid w:val="00920A19"/>
    <w:rsid w:val="00920EA4"/>
    <w:rsid w:val="00921792"/>
    <w:rsid w:val="00921BEA"/>
    <w:rsid w:val="00923998"/>
    <w:rsid w:val="00923DB4"/>
    <w:rsid w:val="0092430E"/>
    <w:rsid w:val="009249D7"/>
    <w:rsid w:val="0092625F"/>
    <w:rsid w:val="009268A9"/>
    <w:rsid w:val="00927B37"/>
    <w:rsid w:val="009301B2"/>
    <w:rsid w:val="009313DD"/>
    <w:rsid w:val="00931BDE"/>
    <w:rsid w:val="009321B1"/>
    <w:rsid w:val="00932ED7"/>
    <w:rsid w:val="0093357E"/>
    <w:rsid w:val="0093422D"/>
    <w:rsid w:val="00934325"/>
    <w:rsid w:val="00934DD7"/>
    <w:rsid w:val="009369A9"/>
    <w:rsid w:val="00936CF7"/>
    <w:rsid w:val="00937201"/>
    <w:rsid w:val="0093734A"/>
    <w:rsid w:val="00937783"/>
    <w:rsid w:val="00940FE1"/>
    <w:rsid w:val="00942306"/>
    <w:rsid w:val="009424B8"/>
    <w:rsid w:val="009433A4"/>
    <w:rsid w:val="0094435B"/>
    <w:rsid w:val="00944668"/>
    <w:rsid w:val="00944DC6"/>
    <w:rsid w:val="0094515F"/>
    <w:rsid w:val="0094537D"/>
    <w:rsid w:val="0094573F"/>
    <w:rsid w:val="009458B0"/>
    <w:rsid w:val="00945B52"/>
    <w:rsid w:val="00945DC0"/>
    <w:rsid w:val="00945F05"/>
    <w:rsid w:val="00946348"/>
    <w:rsid w:val="009471AD"/>
    <w:rsid w:val="009478A2"/>
    <w:rsid w:val="00950404"/>
    <w:rsid w:val="00952060"/>
    <w:rsid w:val="00954800"/>
    <w:rsid w:val="00955643"/>
    <w:rsid w:val="00955FBB"/>
    <w:rsid w:val="0095694B"/>
    <w:rsid w:val="00956BD5"/>
    <w:rsid w:val="009574BB"/>
    <w:rsid w:val="009577B5"/>
    <w:rsid w:val="009608E6"/>
    <w:rsid w:val="00961779"/>
    <w:rsid w:val="00962EB1"/>
    <w:rsid w:val="00966522"/>
    <w:rsid w:val="00967D3F"/>
    <w:rsid w:val="00967E78"/>
    <w:rsid w:val="00970D7E"/>
    <w:rsid w:val="00970F18"/>
    <w:rsid w:val="00971CF1"/>
    <w:rsid w:val="009721E9"/>
    <w:rsid w:val="00972A58"/>
    <w:rsid w:val="00973772"/>
    <w:rsid w:val="009738FC"/>
    <w:rsid w:val="00975E1E"/>
    <w:rsid w:val="00975E70"/>
    <w:rsid w:val="00977CD6"/>
    <w:rsid w:val="00982481"/>
    <w:rsid w:val="00982D26"/>
    <w:rsid w:val="0098330E"/>
    <w:rsid w:val="009833DD"/>
    <w:rsid w:val="009840AB"/>
    <w:rsid w:val="009849E9"/>
    <w:rsid w:val="009866F3"/>
    <w:rsid w:val="00987812"/>
    <w:rsid w:val="00990225"/>
    <w:rsid w:val="0099244B"/>
    <w:rsid w:val="00993186"/>
    <w:rsid w:val="009947B6"/>
    <w:rsid w:val="00994FCC"/>
    <w:rsid w:val="00995150"/>
    <w:rsid w:val="009957F3"/>
    <w:rsid w:val="00995D67"/>
    <w:rsid w:val="009970BF"/>
    <w:rsid w:val="009A013B"/>
    <w:rsid w:val="009A02F4"/>
    <w:rsid w:val="009A1844"/>
    <w:rsid w:val="009A1F12"/>
    <w:rsid w:val="009A2494"/>
    <w:rsid w:val="009A26CA"/>
    <w:rsid w:val="009A36F2"/>
    <w:rsid w:val="009A5749"/>
    <w:rsid w:val="009A57D0"/>
    <w:rsid w:val="009A6559"/>
    <w:rsid w:val="009A68FC"/>
    <w:rsid w:val="009A7514"/>
    <w:rsid w:val="009A7E7A"/>
    <w:rsid w:val="009B1584"/>
    <w:rsid w:val="009B1585"/>
    <w:rsid w:val="009B2469"/>
    <w:rsid w:val="009B314F"/>
    <w:rsid w:val="009B439C"/>
    <w:rsid w:val="009B4A6C"/>
    <w:rsid w:val="009B5777"/>
    <w:rsid w:val="009B5779"/>
    <w:rsid w:val="009B62A1"/>
    <w:rsid w:val="009B6753"/>
    <w:rsid w:val="009B6A26"/>
    <w:rsid w:val="009C079D"/>
    <w:rsid w:val="009C0D70"/>
    <w:rsid w:val="009C13D1"/>
    <w:rsid w:val="009C2913"/>
    <w:rsid w:val="009C3008"/>
    <w:rsid w:val="009C5AFE"/>
    <w:rsid w:val="009C6606"/>
    <w:rsid w:val="009C6CE5"/>
    <w:rsid w:val="009C6D50"/>
    <w:rsid w:val="009C7547"/>
    <w:rsid w:val="009D1678"/>
    <w:rsid w:val="009D1693"/>
    <w:rsid w:val="009D2721"/>
    <w:rsid w:val="009D2F60"/>
    <w:rsid w:val="009D338C"/>
    <w:rsid w:val="009D3D0D"/>
    <w:rsid w:val="009D5BAC"/>
    <w:rsid w:val="009D64BD"/>
    <w:rsid w:val="009E0D0A"/>
    <w:rsid w:val="009E0D1A"/>
    <w:rsid w:val="009E153F"/>
    <w:rsid w:val="009E2D6C"/>
    <w:rsid w:val="009E388B"/>
    <w:rsid w:val="009E393E"/>
    <w:rsid w:val="009E444E"/>
    <w:rsid w:val="009E4968"/>
    <w:rsid w:val="009E663C"/>
    <w:rsid w:val="009E6BB1"/>
    <w:rsid w:val="009F0092"/>
    <w:rsid w:val="009F0CD9"/>
    <w:rsid w:val="009F1A79"/>
    <w:rsid w:val="009F1F57"/>
    <w:rsid w:val="009F2E26"/>
    <w:rsid w:val="009F4FCF"/>
    <w:rsid w:val="009F5DE2"/>
    <w:rsid w:val="009F65F4"/>
    <w:rsid w:val="009F676B"/>
    <w:rsid w:val="009F6EA6"/>
    <w:rsid w:val="00A004DF"/>
    <w:rsid w:val="00A00D29"/>
    <w:rsid w:val="00A00FD5"/>
    <w:rsid w:val="00A019A8"/>
    <w:rsid w:val="00A01B03"/>
    <w:rsid w:val="00A02C66"/>
    <w:rsid w:val="00A03861"/>
    <w:rsid w:val="00A0464C"/>
    <w:rsid w:val="00A04D48"/>
    <w:rsid w:val="00A054E0"/>
    <w:rsid w:val="00A05ABE"/>
    <w:rsid w:val="00A0663F"/>
    <w:rsid w:val="00A066CE"/>
    <w:rsid w:val="00A0740B"/>
    <w:rsid w:val="00A075A9"/>
    <w:rsid w:val="00A11042"/>
    <w:rsid w:val="00A133D8"/>
    <w:rsid w:val="00A14E97"/>
    <w:rsid w:val="00A15209"/>
    <w:rsid w:val="00A20069"/>
    <w:rsid w:val="00A20280"/>
    <w:rsid w:val="00A2244D"/>
    <w:rsid w:val="00A2253D"/>
    <w:rsid w:val="00A22AEC"/>
    <w:rsid w:val="00A2418A"/>
    <w:rsid w:val="00A247B8"/>
    <w:rsid w:val="00A24D39"/>
    <w:rsid w:val="00A24D8F"/>
    <w:rsid w:val="00A252D3"/>
    <w:rsid w:val="00A25B8B"/>
    <w:rsid w:val="00A26130"/>
    <w:rsid w:val="00A269AF"/>
    <w:rsid w:val="00A269C3"/>
    <w:rsid w:val="00A26ECA"/>
    <w:rsid w:val="00A3142C"/>
    <w:rsid w:val="00A324C1"/>
    <w:rsid w:val="00A337DB"/>
    <w:rsid w:val="00A3467F"/>
    <w:rsid w:val="00A3551A"/>
    <w:rsid w:val="00A376E8"/>
    <w:rsid w:val="00A37E69"/>
    <w:rsid w:val="00A37F8E"/>
    <w:rsid w:val="00A41737"/>
    <w:rsid w:val="00A42B8F"/>
    <w:rsid w:val="00A43254"/>
    <w:rsid w:val="00A43896"/>
    <w:rsid w:val="00A43A26"/>
    <w:rsid w:val="00A447A0"/>
    <w:rsid w:val="00A4598B"/>
    <w:rsid w:val="00A459F5"/>
    <w:rsid w:val="00A45FC0"/>
    <w:rsid w:val="00A46B32"/>
    <w:rsid w:val="00A47301"/>
    <w:rsid w:val="00A47448"/>
    <w:rsid w:val="00A47ECC"/>
    <w:rsid w:val="00A5008C"/>
    <w:rsid w:val="00A50171"/>
    <w:rsid w:val="00A5102E"/>
    <w:rsid w:val="00A51083"/>
    <w:rsid w:val="00A5132E"/>
    <w:rsid w:val="00A51533"/>
    <w:rsid w:val="00A51547"/>
    <w:rsid w:val="00A51E68"/>
    <w:rsid w:val="00A52F3B"/>
    <w:rsid w:val="00A531D4"/>
    <w:rsid w:val="00A55ACD"/>
    <w:rsid w:val="00A55CFA"/>
    <w:rsid w:val="00A575B8"/>
    <w:rsid w:val="00A647B1"/>
    <w:rsid w:val="00A64DEF"/>
    <w:rsid w:val="00A65E4E"/>
    <w:rsid w:val="00A665DF"/>
    <w:rsid w:val="00A67F1B"/>
    <w:rsid w:val="00A67FCC"/>
    <w:rsid w:val="00A716DC"/>
    <w:rsid w:val="00A71ABE"/>
    <w:rsid w:val="00A7217B"/>
    <w:rsid w:val="00A7293E"/>
    <w:rsid w:val="00A72EE4"/>
    <w:rsid w:val="00A73067"/>
    <w:rsid w:val="00A737C4"/>
    <w:rsid w:val="00A739A6"/>
    <w:rsid w:val="00A73BB5"/>
    <w:rsid w:val="00A75EF9"/>
    <w:rsid w:val="00A76BC9"/>
    <w:rsid w:val="00A76FD8"/>
    <w:rsid w:val="00A77566"/>
    <w:rsid w:val="00A80563"/>
    <w:rsid w:val="00A8311C"/>
    <w:rsid w:val="00A84BC8"/>
    <w:rsid w:val="00A84C5F"/>
    <w:rsid w:val="00A86973"/>
    <w:rsid w:val="00A8721F"/>
    <w:rsid w:val="00A8740B"/>
    <w:rsid w:val="00A87519"/>
    <w:rsid w:val="00A90DE4"/>
    <w:rsid w:val="00A9246D"/>
    <w:rsid w:val="00A93644"/>
    <w:rsid w:val="00A93BD0"/>
    <w:rsid w:val="00A95D69"/>
    <w:rsid w:val="00A975A4"/>
    <w:rsid w:val="00AA2001"/>
    <w:rsid w:val="00AA2B5C"/>
    <w:rsid w:val="00AA4E59"/>
    <w:rsid w:val="00AA5328"/>
    <w:rsid w:val="00AA5393"/>
    <w:rsid w:val="00AA5771"/>
    <w:rsid w:val="00AA63D4"/>
    <w:rsid w:val="00AA6767"/>
    <w:rsid w:val="00AB03FD"/>
    <w:rsid w:val="00AB38CB"/>
    <w:rsid w:val="00AB3BEC"/>
    <w:rsid w:val="00AB44E4"/>
    <w:rsid w:val="00AB4AEB"/>
    <w:rsid w:val="00AB5352"/>
    <w:rsid w:val="00AB56AE"/>
    <w:rsid w:val="00AB62D5"/>
    <w:rsid w:val="00AB65B5"/>
    <w:rsid w:val="00AB6DCD"/>
    <w:rsid w:val="00AB6EE0"/>
    <w:rsid w:val="00AB7D91"/>
    <w:rsid w:val="00AC2DFD"/>
    <w:rsid w:val="00AC352D"/>
    <w:rsid w:val="00AC39B7"/>
    <w:rsid w:val="00AC40B7"/>
    <w:rsid w:val="00AC531F"/>
    <w:rsid w:val="00AC6121"/>
    <w:rsid w:val="00AC626D"/>
    <w:rsid w:val="00AC6CB1"/>
    <w:rsid w:val="00AD0091"/>
    <w:rsid w:val="00AD23D8"/>
    <w:rsid w:val="00AD23EF"/>
    <w:rsid w:val="00AD307B"/>
    <w:rsid w:val="00AD41B3"/>
    <w:rsid w:val="00AD4C48"/>
    <w:rsid w:val="00AD57AF"/>
    <w:rsid w:val="00AD6267"/>
    <w:rsid w:val="00AD6DEC"/>
    <w:rsid w:val="00AD7317"/>
    <w:rsid w:val="00AE01A8"/>
    <w:rsid w:val="00AE0CBD"/>
    <w:rsid w:val="00AE123A"/>
    <w:rsid w:val="00AE1D09"/>
    <w:rsid w:val="00AE28A7"/>
    <w:rsid w:val="00AE33A6"/>
    <w:rsid w:val="00AE3446"/>
    <w:rsid w:val="00AE3715"/>
    <w:rsid w:val="00AE3729"/>
    <w:rsid w:val="00AE55B2"/>
    <w:rsid w:val="00AE5C6A"/>
    <w:rsid w:val="00AE65F7"/>
    <w:rsid w:val="00AE7280"/>
    <w:rsid w:val="00AF033A"/>
    <w:rsid w:val="00AF1699"/>
    <w:rsid w:val="00AF3896"/>
    <w:rsid w:val="00AF6C33"/>
    <w:rsid w:val="00B0098A"/>
    <w:rsid w:val="00B00A5F"/>
    <w:rsid w:val="00B0225F"/>
    <w:rsid w:val="00B029B8"/>
    <w:rsid w:val="00B02F60"/>
    <w:rsid w:val="00B032B8"/>
    <w:rsid w:val="00B04B46"/>
    <w:rsid w:val="00B0534D"/>
    <w:rsid w:val="00B06368"/>
    <w:rsid w:val="00B06FC6"/>
    <w:rsid w:val="00B07163"/>
    <w:rsid w:val="00B07429"/>
    <w:rsid w:val="00B12FE6"/>
    <w:rsid w:val="00B1303F"/>
    <w:rsid w:val="00B1364A"/>
    <w:rsid w:val="00B13D3C"/>
    <w:rsid w:val="00B1525C"/>
    <w:rsid w:val="00B16715"/>
    <w:rsid w:val="00B171B4"/>
    <w:rsid w:val="00B174A8"/>
    <w:rsid w:val="00B17910"/>
    <w:rsid w:val="00B20F18"/>
    <w:rsid w:val="00B21516"/>
    <w:rsid w:val="00B22CE0"/>
    <w:rsid w:val="00B23738"/>
    <w:rsid w:val="00B23BEF"/>
    <w:rsid w:val="00B247BB"/>
    <w:rsid w:val="00B25806"/>
    <w:rsid w:val="00B25C11"/>
    <w:rsid w:val="00B25EDF"/>
    <w:rsid w:val="00B25EE6"/>
    <w:rsid w:val="00B26B53"/>
    <w:rsid w:val="00B3115A"/>
    <w:rsid w:val="00B31A5C"/>
    <w:rsid w:val="00B33C19"/>
    <w:rsid w:val="00B34861"/>
    <w:rsid w:val="00B34BBC"/>
    <w:rsid w:val="00B34CB7"/>
    <w:rsid w:val="00B35F6E"/>
    <w:rsid w:val="00B363BD"/>
    <w:rsid w:val="00B369F7"/>
    <w:rsid w:val="00B36A99"/>
    <w:rsid w:val="00B37537"/>
    <w:rsid w:val="00B37E8B"/>
    <w:rsid w:val="00B41B81"/>
    <w:rsid w:val="00B42980"/>
    <w:rsid w:val="00B434B2"/>
    <w:rsid w:val="00B434C7"/>
    <w:rsid w:val="00B43D45"/>
    <w:rsid w:val="00B44771"/>
    <w:rsid w:val="00B4650E"/>
    <w:rsid w:val="00B468F2"/>
    <w:rsid w:val="00B46B45"/>
    <w:rsid w:val="00B46F6B"/>
    <w:rsid w:val="00B47286"/>
    <w:rsid w:val="00B47894"/>
    <w:rsid w:val="00B50234"/>
    <w:rsid w:val="00B51794"/>
    <w:rsid w:val="00B51BF4"/>
    <w:rsid w:val="00B52C68"/>
    <w:rsid w:val="00B542FE"/>
    <w:rsid w:val="00B55A1B"/>
    <w:rsid w:val="00B561DB"/>
    <w:rsid w:val="00B57494"/>
    <w:rsid w:val="00B61DCE"/>
    <w:rsid w:val="00B62188"/>
    <w:rsid w:val="00B62467"/>
    <w:rsid w:val="00B62F79"/>
    <w:rsid w:val="00B62F82"/>
    <w:rsid w:val="00B6325B"/>
    <w:rsid w:val="00B648FA"/>
    <w:rsid w:val="00B662FF"/>
    <w:rsid w:val="00B72C80"/>
    <w:rsid w:val="00B730B4"/>
    <w:rsid w:val="00B74340"/>
    <w:rsid w:val="00B744E0"/>
    <w:rsid w:val="00B7481A"/>
    <w:rsid w:val="00B74F2F"/>
    <w:rsid w:val="00B756FB"/>
    <w:rsid w:val="00B769BC"/>
    <w:rsid w:val="00B77349"/>
    <w:rsid w:val="00B7761E"/>
    <w:rsid w:val="00B80A37"/>
    <w:rsid w:val="00B80A3D"/>
    <w:rsid w:val="00B823E0"/>
    <w:rsid w:val="00B82B78"/>
    <w:rsid w:val="00B83199"/>
    <w:rsid w:val="00B83E3C"/>
    <w:rsid w:val="00B84662"/>
    <w:rsid w:val="00B85402"/>
    <w:rsid w:val="00B864A3"/>
    <w:rsid w:val="00B86C2A"/>
    <w:rsid w:val="00B902A5"/>
    <w:rsid w:val="00B90420"/>
    <w:rsid w:val="00B913E4"/>
    <w:rsid w:val="00B91DB9"/>
    <w:rsid w:val="00B93EFE"/>
    <w:rsid w:val="00B94956"/>
    <w:rsid w:val="00B94C7F"/>
    <w:rsid w:val="00B956B5"/>
    <w:rsid w:val="00B95904"/>
    <w:rsid w:val="00B95C3A"/>
    <w:rsid w:val="00B95FCE"/>
    <w:rsid w:val="00BA0D44"/>
    <w:rsid w:val="00BA0E26"/>
    <w:rsid w:val="00BA31BF"/>
    <w:rsid w:val="00BA43FC"/>
    <w:rsid w:val="00BA478B"/>
    <w:rsid w:val="00BA5224"/>
    <w:rsid w:val="00BA7456"/>
    <w:rsid w:val="00BA7925"/>
    <w:rsid w:val="00BA7B27"/>
    <w:rsid w:val="00BA7E3B"/>
    <w:rsid w:val="00BB079C"/>
    <w:rsid w:val="00BB32A1"/>
    <w:rsid w:val="00BB39C1"/>
    <w:rsid w:val="00BB5555"/>
    <w:rsid w:val="00BB5D16"/>
    <w:rsid w:val="00BB6180"/>
    <w:rsid w:val="00BB69E6"/>
    <w:rsid w:val="00BB7714"/>
    <w:rsid w:val="00BC1B7A"/>
    <w:rsid w:val="00BC2BC7"/>
    <w:rsid w:val="00BC2C17"/>
    <w:rsid w:val="00BC3ACD"/>
    <w:rsid w:val="00BC5C09"/>
    <w:rsid w:val="00BC6E73"/>
    <w:rsid w:val="00BD0014"/>
    <w:rsid w:val="00BD01D8"/>
    <w:rsid w:val="00BD1B17"/>
    <w:rsid w:val="00BD2512"/>
    <w:rsid w:val="00BD255F"/>
    <w:rsid w:val="00BD383D"/>
    <w:rsid w:val="00BD4236"/>
    <w:rsid w:val="00BD5CCA"/>
    <w:rsid w:val="00BD5CD4"/>
    <w:rsid w:val="00BD6EF9"/>
    <w:rsid w:val="00BD77DD"/>
    <w:rsid w:val="00BE0ACB"/>
    <w:rsid w:val="00BE1A90"/>
    <w:rsid w:val="00BE2C0A"/>
    <w:rsid w:val="00BE3537"/>
    <w:rsid w:val="00BE360F"/>
    <w:rsid w:val="00BE50FD"/>
    <w:rsid w:val="00BE51CA"/>
    <w:rsid w:val="00BE5E5A"/>
    <w:rsid w:val="00BE6D47"/>
    <w:rsid w:val="00BE7032"/>
    <w:rsid w:val="00BE7330"/>
    <w:rsid w:val="00BF01C5"/>
    <w:rsid w:val="00BF045B"/>
    <w:rsid w:val="00BF066A"/>
    <w:rsid w:val="00BF361C"/>
    <w:rsid w:val="00BF4342"/>
    <w:rsid w:val="00BF5050"/>
    <w:rsid w:val="00BF5422"/>
    <w:rsid w:val="00BF54CF"/>
    <w:rsid w:val="00BF59B1"/>
    <w:rsid w:val="00BF6A78"/>
    <w:rsid w:val="00BF6E19"/>
    <w:rsid w:val="00BF79B4"/>
    <w:rsid w:val="00C0099F"/>
    <w:rsid w:val="00C01427"/>
    <w:rsid w:val="00C016A1"/>
    <w:rsid w:val="00C04AAB"/>
    <w:rsid w:val="00C058AF"/>
    <w:rsid w:val="00C124C1"/>
    <w:rsid w:val="00C128AE"/>
    <w:rsid w:val="00C136D6"/>
    <w:rsid w:val="00C13D5B"/>
    <w:rsid w:val="00C17AE2"/>
    <w:rsid w:val="00C20F27"/>
    <w:rsid w:val="00C215CF"/>
    <w:rsid w:val="00C2244B"/>
    <w:rsid w:val="00C2263D"/>
    <w:rsid w:val="00C22B0D"/>
    <w:rsid w:val="00C22F55"/>
    <w:rsid w:val="00C240C1"/>
    <w:rsid w:val="00C250D0"/>
    <w:rsid w:val="00C252AC"/>
    <w:rsid w:val="00C255AB"/>
    <w:rsid w:val="00C27214"/>
    <w:rsid w:val="00C27597"/>
    <w:rsid w:val="00C30382"/>
    <w:rsid w:val="00C30D6F"/>
    <w:rsid w:val="00C31063"/>
    <w:rsid w:val="00C31B7E"/>
    <w:rsid w:val="00C3242A"/>
    <w:rsid w:val="00C32AE2"/>
    <w:rsid w:val="00C33201"/>
    <w:rsid w:val="00C332C4"/>
    <w:rsid w:val="00C360B3"/>
    <w:rsid w:val="00C36363"/>
    <w:rsid w:val="00C3679B"/>
    <w:rsid w:val="00C37027"/>
    <w:rsid w:val="00C3778D"/>
    <w:rsid w:val="00C405A3"/>
    <w:rsid w:val="00C42752"/>
    <w:rsid w:val="00C42973"/>
    <w:rsid w:val="00C44F9C"/>
    <w:rsid w:val="00C46D58"/>
    <w:rsid w:val="00C4730E"/>
    <w:rsid w:val="00C47EE9"/>
    <w:rsid w:val="00C5019C"/>
    <w:rsid w:val="00C5034F"/>
    <w:rsid w:val="00C514D3"/>
    <w:rsid w:val="00C52479"/>
    <w:rsid w:val="00C5291F"/>
    <w:rsid w:val="00C52BC8"/>
    <w:rsid w:val="00C52C59"/>
    <w:rsid w:val="00C5349E"/>
    <w:rsid w:val="00C5354B"/>
    <w:rsid w:val="00C54467"/>
    <w:rsid w:val="00C54D3D"/>
    <w:rsid w:val="00C55116"/>
    <w:rsid w:val="00C55A30"/>
    <w:rsid w:val="00C5787F"/>
    <w:rsid w:val="00C57C58"/>
    <w:rsid w:val="00C6028F"/>
    <w:rsid w:val="00C6036D"/>
    <w:rsid w:val="00C608F1"/>
    <w:rsid w:val="00C631E1"/>
    <w:rsid w:val="00C638D8"/>
    <w:rsid w:val="00C63C84"/>
    <w:rsid w:val="00C63D26"/>
    <w:rsid w:val="00C641EB"/>
    <w:rsid w:val="00C65053"/>
    <w:rsid w:val="00C65BD9"/>
    <w:rsid w:val="00C66061"/>
    <w:rsid w:val="00C661D6"/>
    <w:rsid w:val="00C66F69"/>
    <w:rsid w:val="00C67223"/>
    <w:rsid w:val="00C67CFF"/>
    <w:rsid w:val="00C707B8"/>
    <w:rsid w:val="00C7084B"/>
    <w:rsid w:val="00C71C15"/>
    <w:rsid w:val="00C71F3D"/>
    <w:rsid w:val="00C72F53"/>
    <w:rsid w:val="00C74035"/>
    <w:rsid w:val="00C76FF4"/>
    <w:rsid w:val="00C77818"/>
    <w:rsid w:val="00C77AE3"/>
    <w:rsid w:val="00C8063F"/>
    <w:rsid w:val="00C81549"/>
    <w:rsid w:val="00C829A1"/>
    <w:rsid w:val="00C83B36"/>
    <w:rsid w:val="00C84F8A"/>
    <w:rsid w:val="00C85209"/>
    <w:rsid w:val="00C8618F"/>
    <w:rsid w:val="00C90372"/>
    <w:rsid w:val="00C9041F"/>
    <w:rsid w:val="00C91A45"/>
    <w:rsid w:val="00C91ED2"/>
    <w:rsid w:val="00C91FB4"/>
    <w:rsid w:val="00C94D41"/>
    <w:rsid w:val="00C95745"/>
    <w:rsid w:val="00C962E3"/>
    <w:rsid w:val="00C965BD"/>
    <w:rsid w:val="00C96717"/>
    <w:rsid w:val="00C97997"/>
    <w:rsid w:val="00CA08FE"/>
    <w:rsid w:val="00CA0FAC"/>
    <w:rsid w:val="00CA2513"/>
    <w:rsid w:val="00CA25C0"/>
    <w:rsid w:val="00CA3451"/>
    <w:rsid w:val="00CA4948"/>
    <w:rsid w:val="00CA52F9"/>
    <w:rsid w:val="00CA568B"/>
    <w:rsid w:val="00CA7500"/>
    <w:rsid w:val="00CB0696"/>
    <w:rsid w:val="00CB1239"/>
    <w:rsid w:val="00CB19FE"/>
    <w:rsid w:val="00CB304C"/>
    <w:rsid w:val="00CB53E8"/>
    <w:rsid w:val="00CB594A"/>
    <w:rsid w:val="00CB5CB2"/>
    <w:rsid w:val="00CB6979"/>
    <w:rsid w:val="00CC0A3D"/>
    <w:rsid w:val="00CC2373"/>
    <w:rsid w:val="00CC3D24"/>
    <w:rsid w:val="00CC3F91"/>
    <w:rsid w:val="00CC40B6"/>
    <w:rsid w:val="00CC4B0A"/>
    <w:rsid w:val="00CC544A"/>
    <w:rsid w:val="00CC57EA"/>
    <w:rsid w:val="00CC5954"/>
    <w:rsid w:val="00CC6C4E"/>
    <w:rsid w:val="00CC6DD8"/>
    <w:rsid w:val="00CD05A2"/>
    <w:rsid w:val="00CD19DA"/>
    <w:rsid w:val="00CD29D4"/>
    <w:rsid w:val="00CD38F5"/>
    <w:rsid w:val="00CD437E"/>
    <w:rsid w:val="00CD4AE5"/>
    <w:rsid w:val="00CD5833"/>
    <w:rsid w:val="00CD5A89"/>
    <w:rsid w:val="00CD5DAD"/>
    <w:rsid w:val="00CD72C5"/>
    <w:rsid w:val="00CD79A7"/>
    <w:rsid w:val="00CE0789"/>
    <w:rsid w:val="00CE1A03"/>
    <w:rsid w:val="00CE2346"/>
    <w:rsid w:val="00CE3529"/>
    <w:rsid w:val="00CE35C8"/>
    <w:rsid w:val="00CE3962"/>
    <w:rsid w:val="00CE5105"/>
    <w:rsid w:val="00CE56BD"/>
    <w:rsid w:val="00CE5EC0"/>
    <w:rsid w:val="00CE6F9F"/>
    <w:rsid w:val="00CE773B"/>
    <w:rsid w:val="00CE781A"/>
    <w:rsid w:val="00CF10FC"/>
    <w:rsid w:val="00CF1D74"/>
    <w:rsid w:val="00CF2BE2"/>
    <w:rsid w:val="00CF3157"/>
    <w:rsid w:val="00CF55F9"/>
    <w:rsid w:val="00CF71A6"/>
    <w:rsid w:val="00CF7495"/>
    <w:rsid w:val="00CF7671"/>
    <w:rsid w:val="00CF7C5B"/>
    <w:rsid w:val="00D01CF9"/>
    <w:rsid w:val="00D02246"/>
    <w:rsid w:val="00D0334D"/>
    <w:rsid w:val="00D0374D"/>
    <w:rsid w:val="00D05A76"/>
    <w:rsid w:val="00D07384"/>
    <w:rsid w:val="00D07BEF"/>
    <w:rsid w:val="00D07F1D"/>
    <w:rsid w:val="00D10558"/>
    <w:rsid w:val="00D1203E"/>
    <w:rsid w:val="00D13E70"/>
    <w:rsid w:val="00D16C58"/>
    <w:rsid w:val="00D17019"/>
    <w:rsid w:val="00D170C1"/>
    <w:rsid w:val="00D178DE"/>
    <w:rsid w:val="00D17C6E"/>
    <w:rsid w:val="00D21168"/>
    <w:rsid w:val="00D235C8"/>
    <w:rsid w:val="00D2384A"/>
    <w:rsid w:val="00D2438C"/>
    <w:rsid w:val="00D26C3F"/>
    <w:rsid w:val="00D27185"/>
    <w:rsid w:val="00D31CA2"/>
    <w:rsid w:val="00D32B84"/>
    <w:rsid w:val="00D337AE"/>
    <w:rsid w:val="00D33AB3"/>
    <w:rsid w:val="00D33F24"/>
    <w:rsid w:val="00D346B7"/>
    <w:rsid w:val="00D346B8"/>
    <w:rsid w:val="00D35AC8"/>
    <w:rsid w:val="00D35D34"/>
    <w:rsid w:val="00D36F87"/>
    <w:rsid w:val="00D37E4E"/>
    <w:rsid w:val="00D42E6C"/>
    <w:rsid w:val="00D43218"/>
    <w:rsid w:val="00D43B80"/>
    <w:rsid w:val="00D44236"/>
    <w:rsid w:val="00D44AE2"/>
    <w:rsid w:val="00D45B1E"/>
    <w:rsid w:val="00D45BA4"/>
    <w:rsid w:val="00D471AF"/>
    <w:rsid w:val="00D4724F"/>
    <w:rsid w:val="00D50519"/>
    <w:rsid w:val="00D516A5"/>
    <w:rsid w:val="00D5264C"/>
    <w:rsid w:val="00D5289A"/>
    <w:rsid w:val="00D537FE"/>
    <w:rsid w:val="00D538F0"/>
    <w:rsid w:val="00D54A6A"/>
    <w:rsid w:val="00D54BF8"/>
    <w:rsid w:val="00D54D7C"/>
    <w:rsid w:val="00D55951"/>
    <w:rsid w:val="00D572BE"/>
    <w:rsid w:val="00D57EB6"/>
    <w:rsid w:val="00D60ED7"/>
    <w:rsid w:val="00D63586"/>
    <w:rsid w:val="00D65538"/>
    <w:rsid w:val="00D664BF"/>
    <w:rsid w:val="00D66D8B"/>
    <w:rsid w:val="00D72A1C"/>
    <w:rsid w:val="00D73580"/>
    <w:rsid w:val="00D73802"/>
    <w:rsid w:val="00D73868"/>
    <w:rsid w:val="00D73C2C"/>
    <w:rsid w:val="00D73D52"/>
    <w:rsid w:val="00D74042"/>
    <w:rsid w:val="00D7453F"/>
    <w:rsid w:val="00D745E7"/>
    <w:rsid w:val="00D77495"/>
    <w:rsid w:val="00D774ED"/>
    <w:rsid w:val="00D777F6"/>
    <w:rsid w:val="00D77F88"/>
    <w:rsid w:val="00D8002D"/>
    <w:rsid w:val="00D8047C"/>
    <w:rsid w:val="00D81EAA"/>
    <w:rsid w:val="00D8259F"/>
    <w:rsid w:val="00D825F2"/>
    <w:rsid w:val="00D828B1"/>
    <w:rsid w:val="00D84F27"/>
    <w:rsid w:val="00D850D4"/>
    <w:rsid w:val="00D862D1"/>
    <w:rsid w:val="00D873C6"/>
    <w:rsid w:val="00D91027"/>
    <w:rsid w:val="00D94C7D"/>
    <w:rsid w:val="00D94CA4"/>
    <w:rsid w:val="00D94FB4"/>
    <w:rsid w:val="00D95E99"/>
    <w:rsid w:val="00DA098C"/>
    <w:rsid w:val="00DA1A3A"/>
    <w:rsid w:val="00DA2712"/>
    <w:rsid w:val="00DA2C65"/>
    <w:rsid w:val="00DA395D"/>
    <w:rsid w:val="00DA6D33"/>
    <w:rsid w:val="00DB16B8"/>
    <w:rsid w:val="00DB1869"/>
    <w:rsid w:val="00DB1D52"/>
    <w:rsid w:val="00DB1F62"/>
    <w:rsid w:val="00DB2E03"/>
    <w:rsid w:val="00DB2E97"/>
    <w:rsid w:val="00DB3369"/>
    <w:rsid w:val="00DB3742"/>
    <w:rsid w:val="00DB3F4B"/>
    <w:rsid w:val="00DB61A4"/>
    <w:rsid w:val="00DB67C1"/>
    <w:rsid w:val="00DB70CD"/>
    <w:rsid w:val="00DB70F4"/>
    <w:rsid w:val="00DB7343"/>
    <w:rsid w:val="00DC1056"/>
    <w:rsid w:val="00DC211E"/>
    <w:rsid w:val="00DC21D8"/>
    <w:rsid w:val="00DC282A"/>
    <w:rsid w:val="00DC34DC"/>
    <w:rsid w:val="00DC3CC6"/>
    <w:rsid w:val="00DC514A"/>
    <w:rsid w:val="00DC64EC"/>
    <w:rsid w:val="00DC67B1"/>
    <w:rsid w:val="00DC7833"/>
    <w:rsid w:val="00DC7CE9"/>
    <w:rsid w:val="00DD132B"/>
    <w:rsid w:val="00DD1725"/>
    <w:rsid w:val="00DD2427"/>
    <w:rsid w:val="00DD2A18"/>
    <w:rsid w:val="00DD36DA"/>
    <w:rsid w:val="00DD5B1A"/>
    <w:rsid w:val="00DD61E8"/>
    <w:rsid w:val="00DD62C0"/>
    <w:rsid w:val="00DD7859"/>
    <w:rsid w:val="00DE03AC"/>
    <w:rsid w:val="00DE0A1D"/>
    <w:rsid w:val="00DE15B2"/>
    <w:rsid w:val="00DE1A9A"/>
    <w:rsid w:val="00DE3D2C"/>
    <w:rsid w:val="00DE59F8"/>
    <w:rsid w:val="00DE5E82"/>
    <w:rsid w:val="00DE5FA6"/>
    <w:rsid w:val="00DE6494"/>
    <w:rsid w:val="00DE6AA1"/>
    <w:rsid w:val="00DE74D7"/>
    <w:rsid w:val="00DE7EF7"/>
    <w:rsid w:val="00DF106A"/>
    <w:rsid w:val="00DF1185"/>
    <w:rsid w:val="00DF1299"/>
    <w:rsid w:val="00DF1A70"/>
    <w:rsid w:val="00DF23A8"/>
    <w:rsid w:val="00DF2F27"/>
    <w:rsid w:val="00DF6CCC"/>
    <w:rsid w:val="00DF6D0C"/>
    <w:rsid w:val="00DF6DC2"/>
    <w:rsid w:val="00DF6F64"/>
    <w:rsid w:val="00DF721E"/>
    <w:rsid w:val="00DF7C87"/>
    <w:rsid w:val="00E009B0"/>
    <w:rsid w:val="00E031C0"/>
    <w:rsid w:val="00E03AFE"/>
    <w:rsid w:val="00E03D5C"/>
    <w:rsid w:val="00E046A9"/>
    <w:rsid w:val="00E04C0F"/>
    <w:rsid w:val="00E0570B"/>
    <w:rsid w:val="00E057B2"/>
    <w:rsid w:val="00E05996"/>
    <w:rsid w:val="00E068D9"/>
    <w:rsid w:val="00E10B87"/>
    <w:rsid w:val="00E1478B"/>
    <w:rsid w:val="00E14FAC"/>
    <w:rsid w:val="00E15007"/>
    <w:rsid w:val="00E16EC7"/>
    <w:rsid w:val="00E1714F"/>
    <w:rsid w:val="00E17995"/>
    <w:rsid w:val="00E21576"/>
    <w:rsid w:val="00E21801"/>
    <w:rsid w:val="00E219CE"/>
    <w:rsid w:val="00E23961"/>
    <w:rsid w:val="00E24071"/>
    <w:rsid w:val="00E24EBC"/>
    <w:rsid w:val="00E2522C"/>
    <w:rsid w:val="00E2599B"/>
    <w:rsid w:val="00E27383"/>
    <w:rsid w:val="00E2793D"/>
    <w:rsid w:val="00E31AFA"/>
    <w:rsid w:val="00E324EE"/>
    <w:rsid w:val="00E359FF"/>
    <w:rsid w:val="00E36083"/>
    <w:rsid w:val="00E36AA7"/>
    <w:rsid w:val="00E36E39"/>
    <w:rsid w:val="00E405F1"/>
    <w:rsid w:val="00E43054"/>
    <w:rsid w:val="00E434C4"/>
    <w:rsid w:val="00E44FE4"/>
    <w:rsid w:val="00E46013"/>
    <w:rsid w:val="00E477C3"/>
    <w:rsid w:val="00E5048D"/>
    <w:rsid w:val="00E50AC4"/>
    <w:rsid w:val="00E51077"/>
    <w:rsid w:val="00E5132D"/>
    <w:rsid w:val="00E51741"/>
    <w:rsid w:val="00E51E16"/>
    <w:rsid w:val="00E52151"/>
    <w:rsid w:val="00E53730"/>
    <w:rsid w:val="00E53C46"/>
    <w:rsid w:val="00E54511"/>
    <w:rsid w:val="00E548BE"/>
    <w:rsid w:val="00E54978"/>
    <w:rsid w:val="00E55DC3"/>
    <w:rsid w:val="00E57577"/>
    <w:rsid w:val="00E62043"/>
    <w:rsid w:val="00E626B9"/>
    <w:rsid w:val="00E627C9"/>
    <w:rsid w:val="00E630F3"/>
    <w:rsid w:val="00E65198"/>
    <w:rsid w:val="00E664FB"/>
    <w:rsid w:val="00E66F0D"/>
    <w:rsid w:val="00E70615"/>
    <w:rsid w:val="00E71A5E"/>
    <w:rsid w:val="00E7207B"/>
    <w:rsid w:val="00E7347A"/>
    <w:rsid w:val="00E746F4"/>
    <w:rsid w:val="00E75325"/>
    <w:rsid w:val="00E75A47"/>
    <w:rsid w:val="00E75D8C"/>
    <w:rsid w:val="00E77771"/>
    <w:rsid w:val="00E777F2"/>
    <w:rsid w:val="00E779ED"/>
    <w:rsid w:val="00E802C9"/>
    <w:rsid w:val="00E80EDD"/>
    <w:rsid w:val="00E80F0A"/>
    <w:rsid w:val="00E81A6A"/>
    <w:rsid w:val="00E8291B"/>
    <w:rsid w:val="00E8395F"/>
    <w:rsid w:val="00E83BAE"/>
    <w:rsid w:val="00E8473F"/>
    <w:rsid w:val="00E857EB"/>
    <w:rsid w:val="00E85E41"/>
    <w:rsid w:val="00E85EA1"/>
    <w:rsid w:val="00E8610B"/>
    <w:rsid w:val="00E86C86"/>
    <w:rsid w:val="00E91044"/>
    <w:rsid w:val="00E910D3"/>
    <w:rsid w:val="00E9214B"/>
    <w:rsid w:val="00E923CF"/>
    <w:rsid w:val="00E9335F"/>
    <w:rsid w:val="00E95111"/>
    <w:rsid w:val="00EA061E"/>
    <w:rsid w:val="00EA14C8"/>
    <w:rsid w:val="00EA19D3"/>
    <w:rsid w:val="00EA2358"/>
    <w:rsid w:val="00EA2C8B"/>
    <w:rsid w:val="00EA3582"/>
    <w:rsid w:val="00EA6649"/>
    <w:rsid w:val="00EB05D0"/>
    <w:rsid w:val="00EB07C5"/>
    <w:rsid w:val="00EB107E"/>
    <w:rsid w:val="00EB1D49"/>
    <w:rsid w:val="00EB42DD"/>
    <w:rsid w:val="00EB559F"/>
    <w:rsid w:val="00EB5F3D"/>
    <w:rsid w:val="00EB6EC2"/>
    <w:rsid w:val="00EC1CEB"/>
    <w:rsid w:val="00EC268C"/>
    <w:rsid w:val="00EC3602"/>
    <w:rsid w:val="00EC3753"/>
    <w:rsid w:val="00EC3CB8"/>
    <w:rsid w:val="00EC3D46"/>
    <w:rsid w:val="00EC4E71"/>
    <w:rsid w:val="00EC569A"/>
    <w:rsid w:val="00EC6667"/>
    <w:rsid w:val="00ED0365"/>
    <w:rsid w:val="00ED0865"/>
    <w:rsid w:val="00ED094F"/>
    <w:rsid w:val="00ED16B6"/>
    <w:rsid w:val="00ED1C60"/>
    <w:rsid w:val="00ED2EB9"/>
    <w:rsid w:val="00ED4469"/>
    <w:rsid w:val="00ED5F23"/>
    <w:rsid w:val="00ED6DC0"/>
    <w:rsid w:val="00ED79CE"/>
    <w:rsid w:val="00ED7A7A"/>
    <w:rsid w:val="00EE038C"/>
    <w:rsid w:val="00EE040B"/>
    <w:rsid w:val="00EE06A3"/>
    <w:rsid w:val="00EE47C5"/>
    <w:rsid w:val="00EE490C"/>
    <w:rsid w:val="00EE4E02"/>
    <w:rsid w:val="00EE613B"/>
    <w:rsid w:val="00EE7E17"/>
    <w:rsid w:val="00EF2C8E"/>
    <w:rsid w:val="00EF3A0D"/>
    <w:rsid w:val="00EF3CEB"/>
    <w:rsid w:val="00EF41A8"/>
    <w:rsid w:val="00EF44FB"/>
    <w:rsid w:val="00EF4D3C"/>
    <w:rsid w:val="00EF5554"/>
    <w:rsid w:val="00EF5AD8"/>
    <w:rsid w:val="00EF5D2F"/>
    <w:rsid w:val="00EF63F5"/>
    <w:rsid w:val="00EF6758"/>
    <w:rsid w:val="00EF6B90"/>
    <w:rsid w:val="00EF70AE"/>
    <w:rsid w:val="00EF79F7"/>
    <w:rsid w:val="00F00418"/>
    <w:rsid w:val="00F006C0"/>
    <w:rsid w:val="00F019AA"/>
    <w:rsid w:val="00F0267E"/>
    <w:rsid w:val="00F02686"/>
    <w:rsid w:val="00F030DA"/>
    <w:rsid w:val="00F0459B"/>
    <w:rsid w:val="00F04E15"/>
    <w:rsid w:val="00F05DF3"/>
    <w:rsid w:val="00F0641B"/>
    <w:rsid w:val="00F069EA"/>
    <w:rsid w:val="00F07B6E"/>
    <w:rsid w:val="00F07DF8"/>
    <w:rsid w:val="00F11461"/>
    <w:rsid w:val="00F11675"/>
    <w:rsid w:val="00F1182D"/>
    <w:rsid w:val="00F12557"/>
    <w:rsid w:val="00F13A8F"/>
    <w:rsid w:val="00F144F8"/>
    <w:rsid w:val="00F14DF8"/>
    <w:rsid w:val="00F164A3"/>
    <w:rsid w:val="00F17281"/>
    <w:rsid w:val="00F17AD9"/>
    <w:rsid w:val="00F17F74"/>
    <w:rsid w:val="00F202C2"/>
    <w:rsid w:val="00F22756"/>
    <w:rsid w:val="00F23890"/>
    <w:rsid w:val="00F2447A"/>
    <w:rsid w:val="00F24638"/>
    <w:rsid w:val="00F2504D"/>
    <w:rsid w:val="00F2637F"/>
    <w:rsid w:val="00F263A8"/>
    <w:rsid w:val="00F268F7"/>
    <w:rsid w:val="00F27280"/>
    <w:rsid w:val="00F3053D"/>
    <w:rsid w:val="00F30BDB"/>
    <w:rsid w:val="00F30CF8"/>
    <w:rsid w:val="00F317E3"/>
    <w:rsid w:val="00F31EDF"/>
    <w:rsid w:val="00F32CDE"/>
    <w:rsid w:val="00F32D4C"/>
    <w:rsid w:val="00F34811"/>
    <w:rsid w:val="00F34B14"/>
    <w:rsid w:val="00F36A6A"/>
    <w:rsid w:val="00F40101"/>
    <w:rsid w:val="00F404F7"/>
    <w:rsid w:val="00F40CCA"/>
    <w:rsid w:val="00F41521"/>
    <w:rsid w:val="00F41975"/>
    <w:rsid w:val="00F41C0E"/>
    <w:rsid w:val="00F42D97"/>
    <w:rsid w:val="00F43F09"/>
    <w:rsid w:val="00F45A72"/>
    <w:rsid w:val="00F46723"/>
    <w:rsid w:val="00F50016"/>
    <w:rsid w:val="00F50647"/>
    <w:rsid w:val="00F5118A"/>
    <w:rsid w:val="00F51A21"/>
    <w:rsid w:val="00F5276E"/>
    <w:rsid w:val="00F529F9"/>
    <w:rsid w:val="00F52E9F"/>
    <w:rsid w:val="00F53304"/>
    <w:rsid w:val="00F53D40"/>
    <w:rsid w:val="00F545ED"/>
    <w:rsid w:val="00F5687F"/>
    <w:rsid w:val="00F575C7"/>
    <w:rsid w:val="00F60305"/>
    <w:rsid w:val="00F61B12"/>
    <w:rsid w:val="00F61CC5"/>
    <w:rsid w:val="00F62398"/>
    <w:rsid w:val="00F631E8"/>
    <w:rsid w:val="00F63223"/>
    <w:rsid w:val="00F63264"/>
    <w:rsid w:val="00F6379E"/>
    <w:rsid w:val="00F64142"/>
    <w:rsid w:val="00F657E9"/>
    <w:rsid w:val="00F70799"/>
    <w:rsid w:val="00F70906"/>
    <w:rsid w:val="00F70A8B"/>
    <w:rsid w:val="00F724FB"/>
    <w:rsid w:val="00F72578"/>
    <w:rsid w:val="00F72A26"/>
    <w:rsid w:val="00F733C3"/>
    <w:rsid w:val="00F756DD"/>
    <w:rsid w:val="00F75DB3"/>
    <w:rsid w:val="00F80047"/>
    <w:rsid w:val="00F8104D"/>
    <w:rsid w:val="00F81587"/>
    <w:rsid w:val="00F82571"/>
    <w:rsid w:val="00F85B72"/>
    <w:rsid w:val="00F86B6D"/>
    <w:rsid w:val="00F8766F"/>
    <w:rsid w:val="00F9104C"/>
    <w:rsid w:val="00F91082"/>
    <w:rsid w:val="00F91A9A"/>
    <w:rsid w:val="00F93ABB"/>
    <w:rsid w:val="00F94D79"/>
    <w:rsid w:val="00F97E7E"/>
    <w:rsid w:val="00FA118A"/>
    <w:rsid w:val="00FA31C7"/>
    <w:rsid w:val="00FA472D"/>
    <w:rsid w:val="00FA7254"/>
    <w:rsid w:val="00FB0214"/>
    <w:rsid w:val="00FB080C"/>
    <w:rsid w:val="00FB12BC"/>
    <w:rsid w:val="00FB18F6"/>
    <w:rsid w:val="00FB2A52"/>
    <w:rsid w:val="00FB2F13"/>
    <w:rsid w:val="00FB539B"/>
    <w:rsid w:val="00FB6E19"/>
    <w:rsid w:val="00FB71F6"/>
    <w:rsid w:val="00FC1483"/>
    <w:rsid w:val="00FC1C47"/>
    <w:rsid w:val="00FC39ED"/>
    <w:rsid w:val="00FC4419"/>
    <w:rsid w:val="00FC47E2"/>
    <w:rsid w:val="00FC4AA5"/>
    <w:rsid w:val="00FC5148"/>
    <w:rsid w:val="00FC5528"/>
    <w:rsid w:val="00FC75AC"/>
    <w:rsid w:val="00FD01BF"/>
    <w:rsid w:val="00FD0525"/>
    <w:rsid w:val="00FD297D"/>
    <w:rsid w:val="00FD298C"/>
    <w:rsid w:val="00FD2D13"/>
    <w:rsid w:val="00FD3D26"/>
    <w:rsid w:val="00FD4789"/>
    <w:rsid w:val="00FD59FE"/>
    <w:rsid w:val="00FD6071"/>
    <w:rsid w:val="00FE0794"/>
    <w:rsid w:val="00FE1041"/>
    <w:rsid w:val="00FE24CB"/>
    <w:rsid w:val="00FE3166"/>
    <w:rsid w:val="00FE3320"/>
    <w:rsid w:val="00FE3473"/>
    <w:rsid w:val="00FE353B"/>
    <w:rsid w:val="00FE3E81"/>
    <w:rsid w:val="00FE4049"/>
    <w:rsid w:val="00FE4794"/>
    <w:rsid w:val="00FE5DF7"/>
    <w:rsid w:val="00FE5F72"/>
    <w:rsid w:val="00FF0231"/>
    <w:rsid w:val="00FF1C9B"/>
    <w:rsid w:val="00FF1D49"/>
    <w:rsid w:val="00FF2562"/>
    <w:rsid w:val="00FF2CE1"/>
    <w:rsid w:val="00FF3A41"/>
    <w:rsid w:val="00FF3E5B"/>
    <w:rsid w:val="00FF544F"/>
    <w:rsid w:val="00FF57E4"/>
    <w:rsid w:val="00FF75D9"/>
    <w:rsid w:val="00FF78E5"/>
    <w:rsid w:val="02511F9D"/>
    <w:rsid w:val="03056ED3"/>
    <w:rsid w:val="03A300D1"/>
    <w:rsid w:val="03A314B8"/>
    <w:rsid w:val="03D82B98"/>
    <w:rsid w:val="03F83E8B"/>
    <w:rsid w:val="043C0407"/>
    <w:rsid w:val="073562D9"/>
    <w:rsid w:val="07B72767"/>
    <w:rsid w:val="08077E72"/>
    <w:rsid w:val="09270E73"/>
    <w:rsid w:val="09CC2AAC"/>
    <w:rsid w:val="09D820EE"/>
    <w:rsid w:val="0A3E2F0D"/>
    <w:rsid w:val="0A652D3E"/>
    <w:rsid w:val="0B253A7F"/>
    <w:rsid w:val="0B3A48F0"/>
    <w:rsid w:val="0C92213C"/>
    <w:rsid w:val="0D4F221D"/>
    <w:rsid w:val="0D84032B"/>
    <w:rsid w:val="0ED317E0"/>
    <w:rsid w:val="0F0A0484"/>
    <w:rsid w:val="0FD65204"/>
    <w:rsid w:val="10A27F31"/>
    <w:rsid w:val="10CA487C"/>
    <w:rsid w:val="11927058"/>
    <w:rsid w:val="126537F7"/>
    <w:rsid w:val="13AF4F03"/>
    <w:rsid w:val="14736E66"/>
    <w:rsid w:val="149B6AC2"/>
    <w:rsid w:val="14C637BF"/>
    <w:rsid w:val="15293653"/>
    <w:rsid w:val="1534169A"/>
    <w:rsid w:val="15C03E03"/>
    <w:rsid w:val="162A25EB"/>
    <w:rsid w:val="16B5608C"/>
    <w:rsid w:val="16FD2A55"/>
    <w:rsid w:val="17366761"/>
    <w:rsid w:val="177C01F0"/>
    <w:rsid w:val="178057B9"/>
    <w:rsid w:val="17CE6630"/>
    <w:rsid w:val="18043E1F"/>
    <w:rsid w:val="19820BA0"/>
    <w:rsid w:val="1AFA16D5"/>
    <w:rsid w:val="1B4F19F8"/>
    <w:rsid w:val="1BD92184"/>
    <w:rsid w:val="1C5170A2"/>
    <w:rsid w:val="1D4061A8"/>
    <w:rsid w:val="1E004BE2"/>
    <w:rsid w:val="1E5A0A86"/>
    <w:rsid w:val="1E9B4F4B"/>
    <w:rsid w:val="1F063325"/>
    <w:rsid w:val="1FBC5DF5"/>
    <w:rsid w:val="1FC55574"/>
    <w:rsid w:val="203A5D23"/>
    <w:rsid w:val="20AE2B29"/>
    <w:rsid w:val="21B83F86"/>
    <w:rsid w:val="21E55E66"/>
    <w:rsid w:val="221178A8"/>
    <w:rsid w:val="221213CF"/>
    <w:rsid w:val="22327A92"/>
    <w:rsid w:val="22965435"/>
    <w:rsid w:val="22BD6F35"/>
    <w:rsid w:val="231D53A2"/>
    <w:rsid w:val="23B7504C"/>
    <w:rsid w:val="24571307"/>
    <w:rsid w:val="24BA2984"/>
    <w:rsid w:val="25246333"/>
    <w:rsid w:val="2562393C"/>
    <w:rsid w:val="26446DE3"/>
    <w:rsid w:val="264D165B"/>
    <w:rsid w:val="26D7699F"/>
    <w:rsid w:val="274A5E17"/>
    <w:rsid w:val="2B09065E"/>
    <w:rsid w:val="2B774624"/>
    <w:rsid w:val="2BC068DD"/>
    <w:rsid w:val="2C7A72BE"/>
    <w:rsid w:val="2E804C4A"/>
    <w:rsid w:val="2F401D3C"/>
    <w:rsid w:val="2FA95C88"/>
    <w:rsid w:val="3041370F"/>
    <w:rsid w:val="30803872"/>
    <w:rsid w:val="31083A05"/>
    <w:rsid w:val="32453A27"/>
    <w:rsid w:val="3263064A"/>
    <w:rsid w:val="32AC0C06"/>
    <w:rsid w:val="33122182"/>
    <w:rsid w:val="3537750C"/>
    <w:rsid w:val="3537798C"/>
    <w:rsid w:val="357F7ED5"/>
    <w:rsid w:val="35C13FC9"/>
    <w:rsid w:val="362E6D87"/>
    <w:rsid w:val="364257B6"/>
    <w:rsid w:val="36F834D1"/>
    <w:rsid w:val="374264D3"/>
    <w:rsid w:val="37DB7874"/>
    <w:rsid w:val="37EA5922"/>
    <w:rsid w:val="37F30863"/>
    <w:rsid w:val="38276B93"/>
    <w:rsid w:val="393F7DAD"/>
    <w:rsid w:val="3A0B64A7"/>
    <w:rsid w:val="3AF74C02"/>
    <w:rsid w:val="3C0059A5"/>
    <w:rsid w:val="3C134E78"/>
    <w:rsid w:val="3CCA2A44"/>
    <w:rsid w:val="3DF6345D"/>
    <w:rsid w:val="3EC357A9"/>
    <w:rsid w:val="3EE13701"/>
    <w:rsid w:val="3F1A4BB3"/>
    <w:rsid w:val="40192BA6"/>
    <w:rsid w:val="42550A18"/>
    <w:rsid w:val="42DA422F"/>
    <w:rsid w:val="42F473A1"/>
    <w:rsid w:val="43931DE2"/>
    <w:rsid w:val="441E62C0"/>
    <w:rsid w:val="44274ACD"/>
    <w:rsid w:val="45811C7C"/>
    <w:rsid w:val="45FA6B1E"/>
    <w:rsid w:val="46053138"/>
    <w:rsid w:val="468B3EFB"/>
    <w:rsid w:val="470A6193"/>
    <w:rsid w:val="47DC4F5C"/>
    <w:rsid w:val="48205FBB"/>
    <w:rsid w:val="48B40671"/>
    <w:rsid w:val="499B5738"/>
    <w:rsid w:val="499F244D"/>
    <w:rsid w:val="4A8F58C2"/>
    <w:rsid w:val="4AF96BC7"/>
    <w:rsid w:val="4BFB4050"/>
    <w:rsid w:val="4CEF36E2"/>
    <w:rsid w:val="4CEF795D"/>
    <w:rsid w:val="4CFD462D"/>
    <w:rsid w:val="4D3B1120"/>
    <w:rsid w:val="4E4F3B6D"/>
    <w:rsid w:val="4F372FFB"/>
    <w:rsid w:val="4FA76FA4"/>
    <w:rsid w:val="50114897"/>
    <w:rsid w:val="5040259D"/>
    <w:rsid w:val="513F391C"/>
    <w:rsid w:val="51564E44"/>
    <w:rsid w:val="516D4911"/>
    <w:rsid w:val="51CC4ADC"/>
    <w:rsid w:val="51F36455"/>
    <w:rsid w:val="52C10D75"/>
    <w:rsid w:val="549D4147"/>
    <w:rsid w:val="550C4BD7"/>
    <w:rsid w:val="55572986"/>
    <w:rsid w:val="56537644"/>
    <w:rsid w:val="5682624E"/>
    <w:rsid w:val="5A957D93"/>
    <w:rsid w:val="5B3760D9"/>
    <w:rsid w:val="5BED3FEA"/>
    <w:rsid w:val="5D221689"/>
    <w:rsid w:val="5D2317D1"/>
    <w:rsid w:val="5EE2603C"/>
    <w:rsid w:val="5F2913F5"/>
    <w:rsid w:val="5F80710D"/>
    <w:rsid w:val="606007BB"/>
    <w:rsid w:val="60AC7F66"/>
    <w:rsid w:val="618835DC"/>
    <w:rsid w:val="61BF10D9"/>
    <w:rsid w:val="61F67397"/>
    <w:rsid w:val="62165280"/>
    <w:rsid w:val="629F7BDB"/>
    <w:rsid w:val="640C7C21"/>
    <w:rsid w:val="64E45EF7"/>
    <w:rsid w:val="66A57729"/>
    <w:rsid w:val="677435B2"/>
    <w:rsid w:val="67EF75F1"/>
    <w:rsid w:val="69124F16"/>
    <w:rsid w:val="69AF32E9"/>
    <w:rsid w:val="69C64B0E"/>
    <w:rsid w:val="69CD5C14"/>
    <w:rsid w:val="69CF0D33"/>
    <w:rsid w:val="6AB24495"/>
    <w:rsid w:val="6B9946B3"/>
    <w:rsid w:val="6D1837C6"/>
    <w:rsid w:val="6D1B129A"/>
    <w:rsid w:val="6DE76850"/>
    <w:rsid w:val="6E9A1018"/>
    <w:rsid w:val="6EDD570B"/>
    <w:rsid w:val="6FB20BD4"/>
    <w:rsid w:val="6FBA59BE"/>
    <w:rsid w:val="70296B3E"/>
    <w:rsid w:val="70577628"/>
    <w:rsid w:val="70611204"/>
    <w:rsid w:val="7234593E"/>
    <w:rsid w:val="726C71D7"/>
    <w:rsid w:val="72EF4CB6"/>
    <w:rsid w:val="74FA2C30"/>
    <w:rsid w:val="76BC49EB"/>
    <w:rsid w:val="76C40674"/>
    <w:rsid w:val="77000DA2"/>
    <w:rsid w:val="781E69D1"/>
    <w:rsid w:val="78340059"/>
    <w:rsid w:val="7ADD0453"/>
    <w:rsid w:val="7AF46346"/>
    <w:rsid w:val="7B0F5EBF"/>
    <w:rsid w:val="7B130FB9"/>
    <w:rsid w:val="7BDE0625"/>
    <w:rsid w:val="7BF64EDE"/>
    <w:rsid w:val="7C400C1E"/>
    <w:rsid w:val="7DD11708"/>
    <w:rsid w:val="7EBC46EA"/>
    <w:rsid w:val="7EC167BD"/>
    <w:rsid w:val="7F024C4A"/>
    <w:rsid w:val="7FF82C2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7"/>
    <w:qFormat/>
    <w:uiPriority w:val="9"/>
    <w:pPr>
      <w:keepNext/>
      <w:keepLines/>
      <w:spacing w:before="260" w:after="260" w:line="416" w:lineRule="auto"/>
      <w:outlineLvl w:val="1"/>
    </w:pPr>
    <w:rPr>
      <w:rFonts w:ascii="Cambria" w:hAnsi="Cambria"/>
      <w:b/>
      <w:bCs/>
      <w:sz w:val="32"/>
      <w:szCs w:val="32"/>
    </w:rPr>
  </w:style>
  <w:style w:type="paragraph" w:styleId="5">
    <w:name w:val="heading 5"/>
    <w:basedOn w:val="1"/>
    <w:next w:val="6"/>
    <w:link w:val="36"/>
    <w:qFormat/>
    <w:uiPriority w:val="9"/>
    <w:pPr>
      <w:keepNext/>
      <w:keepLines/>
      <w:spacing w:before="280" w:after="290" w:line="376" w:lineRule="auto"/>
      <w:outlineLvl w:val="4"/>
    </w:pPr>
    <w:rPr>
      <w:b/>
      <w:bCs/>
      <w:sz w:val="28"/>
      <w:szCs w:val="28"/>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39"/>
    <w:unhideWhenUsed/>
    <w:qFormat/>
    <w:uiPriority w:val="0"/>
    <w:pPr>
      <w:spacing w:after="120"/>
    </w:pPr>
  </w:style>
  <w:style w:type="paragraph" w:styleId="6">
    <w:name w:val="Normal Indent"/>
    <w:basedOn w:val="1"/>
    <w:qFormat/>
    <w:uiPriority w:val="0"/>
    <w:pPr>
      <w:ind w:firstLine="420"/>
    </w:pPr>
    <w:rPr>
      <w:szCs w:val="20"/>
    </w:rPr>
  </w:style>
  <w:style w:type="paragraph" w:styleId="7">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8">
    <w:name w:val="annotation text"/>
    <w:basedOn w:val="1"/>
    <w:link w:val="42"/>
    <w:qFormat/>
    <w:uiPriority w:val="0"/>
    <w:pPr>
      <w:jc w:val="left"/>
    </w:pPr>
  </w:style>
  <w:style w:type="paragraph" w:styleId="9">
    <w:name w:val="Body Text 3"/>
    <w:basedOn w:val="1"/>
    <w:link w:val="28"/>
    <w:unhideWhenUsed/>
    <w:qFormat/>
    <w:uiPriority w:val="99"/>
    <w:pPr>
      <w:spacing w:after="120"/>
    </w:pPr>
    <w:rPr>
      <w:sz w:val="16"/>
      <w:szCs w:val="16"/>
    </w:rPr>
  </w:style>
  <w:style w:type="paragraph" w:styleId="10">
    <w:name w:val="Body Text Indent"/>
    <w:basedOn w:val="1"/>
    <w:link w:val="29"/>
    <w:qFormat/>
    <w:uiPriority w:val="0"/>
    <w:pPr>
      <w:ind w:firstLine="830" w:firstLineChars="352"/>
    </w:pPr>
    <w:rPr>
      <w:rFonts w:ascii="仿宋_GB2312" w:eastAsia="仿宋_GB2312"/>
      <w:kern w:val="0"/>
      <w:sz w:val="32"/>
      <w:szCs w:val="20"/>
    </w:rPr>
  </w:style>
  <w:style w:type="paragraph" w:styleId="11">
    <w:name w:val="List 2"/>
    <w:basedOn w:val="1"/>
    <w:unhideWhenUsed/>
    <w:qFormat/>
    <w:uiPriority w:val="99"/>
    <w:pPr>
      <w:ind w:left="100" w:leftChars="200" w:hanging="200" w:hangingChars="200"/>
      <w:contextualSpacing/>
    </w:pPr>
  </w:style>
  <w:style w:type="paragraph" w:styleId="12">
    <w:name w:val="Plain Text"/>
    <w:basedOn w:val="1"/>
    <w:link w:val="44"/>
    <w:qFormat/>
    <w:uiPriority w:val="0"/>
    <w:rPr>
      <w:rFonts w:ascii="宋体" w:hAnsi="Courier New"/>
      <w:kern w:val="0"/>
      <w:sz w:val="20"/>
      <w:szCs w:val="21"/>
    </w:rPr>
  </w:style>
  <w:style w:type="paragraph" w:styleId="13">
    <w:name w:val="Date"/>
    <w:basedOn w:val="1"/>
    <w:next w:val="1"/>
    <w:link w:val="30"/>
    <w:unhideWhenUsed/>
    <w:qFormat/>
    <w:uiPriority w:val="99"/>
    <w:pPr>
      <w:ind w:left="100" w:leftChars="2500"/>
    </w:pPr>
  </w:style>
  <w:style w:type="paragraph" w:styleId="14">
    <w:name w:val="Balloon Text"/>
    <w:basedOn w:val="1"/>
    <w:semiHidden/>
    <w:qFormat/>
    <w:uiPriority w:val="0"/>
    <w:rPr>
      <w:sz w:val="18"/>
      <w:szCs w:val="18"/>
    </w:rPr>
  </w:style>
  <w:style w:type="paragraph" w:styleId="15">
    <w:name w:val="footer"/>
    <w:basedOn w:val="1"/>
    <w:link w:val="26"/>
    <w:unhideWhenUsed/>
    <w:qFormat/>
    <w:uiPriority w:val="99"/>
    <w:pPr>
      <w:tabs>
        <w:tab w:val="center" w:pos="4153"/>
        <w:tab w:val="right" w:pos="8306"/>
      </w:tabs>
      <w:snapToGrid w:val="0"/>
      <w:jc w:val="left"/>
    </w:pPr>
    <w:rPr>
      <w:kern w:val="0"/>
      <w:sz w:val="18"/>
      <w:szCs w:val="18"/>
    </w:rPr>
  </w:style>
  <w:style w:type="paragraph" w:styleId="16">
    <w:name w:val="header"/>
    <w:basedOn w:val="1"/>
    <w:link w:val="4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unhideWhenUsed/>
    <w:qFormat/>
    <w:uiPriority w:val="39"/>
  </w:style>
  <w:style w:type="paragraph" w:styleId="18">
    <w:name w:val="toc 2"/>
    <w:basedOn w:val="1"/>
    <w:next w:val="1"/>
    <w:unhideWhenUsed/>
    <w:qFormat/>
    <w:uiPriority w:val="39"/>
    <w:pPr>
      <w:tabs>
        <w:tab w:val="right" w:leader="dot" w:pos="8296"/>
      </w:tabs>
      <w:ind w:left="420" w:leftChars="200"/>
    </w:pPr>
  </w:style>
  <w:style w:type="paragraph" w:styleId="19">
    <w:name w:val="Normal (Web)"/>
    <w:basedOn w:val="1"/>
    <w:unhideWhenUsed/>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0">
    <w:name w:val="annotation subject"/>
    <w:basedOn w:val="8"/>
    <w:next w:val="8"/>
    <w:link w:val="43"/>
    <w:qFormat/>
    <w:uiPriority w:val="99"/>
    <w:rPr>
      <w:b/>
      <w:bCs/>
    </w:rPr>
  </w:style>
  <w:style w:type="table" w:styleId="22">
    <w:name w:val="Table Grid"/>
    <w:basedOn w:val="2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Hyperlink"/>
    <w:unhideWhenUsed/>
    <w:qFormat/>
    <w:uiPriority w:val="99"/>
    <w:rPr>
      <w:color w:val="0000FF"/>
      <w:u w:val="single"/>
    </w:rPr>
  </w:style>
  <w:style w:type="character" w:styleId="25">
    <w:name w:val="annotation reference"/>
    <w:qFormat/>
    <w:uiPriority w:val="0"/>
    <w:rPr>
      <w:sz w:val="21"/>
      <w:szCs w:val="21"/>
    </w:rPr>
  </w:style>
  <w:style w:type="character" w:customStyle="1" w:styleId="26">
    <w:name w:val="页脚 Char1"/>
    <w:link w:val="15"/>
    <w:qFormat/>
    <w:uiPriority w:val="99"/>
    <w:rPr>
      <w:sz w:val="18"/>
      <w:szCs w:val="18"/>
    </w:rPr>
  </w:style>
  <w:style w:type="character" w:customStyle="1" w:styleId="27">
    <w:name w:val="标题 2 Char"/>
    <w:link w:val="4"/>
    <w:qFormat/>
    <w:uiPriority w:val="9"/>
    <w:rPr>
      <w:rFonts w:ascii="Cambria" w:hAnsi="Cambria" w:eastAsia="宋体" w:cs="Times New Roman"/>
      <w:b/>
      <w:bCs/>
      <w:kern w:val="2"/>
      <w:sz w:val="32"/>
      <w:szCs w:val="32"/>
    </w:rPr>
  </w:style>
  <w:style w:type="character" w:customStyle="1" w:styleId="28">
    <w:name w:val="正文文本 3 Char"/>
    <w:link w:val="9"/>
    <w:semiHidden/>
    <w:qFormat/>
    <w:uiPriority w:val="99"/>
    <w:rPr>
      <w:rFonts w:ascii="Times New Roman" w:hAnsi="Times New Roman"/>
      <w:kern w:val="2"/>
      <w:sz w:val="16"/>
      <w:szCs w:val="16"/>
    </w:rPr>
  </w:style>
  <w:style w:type="character" w:customStyle="1" w:styleId="29">
    <w:name w:val="正文文本缩进 Char"/>
    <w:link w:val="10"/>
    <w:qFormat/>
    <w:uiPriority w:val="0"/>
    <w:rPr>
      <w:rFonts w:ascii="仿宋_GB2312" w:hAnsi="Times New Roman" w:eastAsia="仿宋_GB2312" w:cs="Times New Roman"/>
      <w:sz w:val="32"/>
      <w:szCs w:val="20"/>
    </w:rPr>
  </w:style>
  <w:style w:type="character" w:customStyle="1" w:styleId="30">
    <w:name w:val="日期 Char"/>
    <w:link w:val="13"/>
    <w:semiHidden/>
    <w:qFormat/>
    <w:uiPriority w:val="99"/>
    <w:rPr>
      <w:rFonts w:ascii="Times New Roman" w:hAnsi="Times New Roman"/>
      <w:kern w:val="2"/>
      <w:sz w:val="21"/>
      <w:szCs w:val="24"/>
    </w:rPr>
  </w:style>
  <w:style w:type="character" w:customStyle="1" w:styleId="31">
    <w:name w:val="纯文本 字符2"/>
    <w:qFormat/>
    <w:uiPriority w:val="0"/>
    <w:rPr>
      <w:rFonts w:ascii="宋体" w:hAnsi="Courier New" w:eastAsia="宋体" w:cs="Courier New"/>
      <w:szCs w:val="21"/>
    </w:rPr>
  </w:style>
  <w:style w:type="character" w:customStyle="1" w:styleId="32">
    <w:name w:val="标题 1 Char"/>
    <w:link w:val="3"/>
    <w:qFormat/>
    <w:uiPriority w:val="0"/>
    <w:rPr>
      <w:b/>
      <w:bCs/>
      <w:kern w:val="44"/>
      <w:sz w:val="44"/>
      <w:szCs w:val="44"/>
    </w:rPr>
  </w:style>
  <w:style w:type="character" w:customStyle="1" w:styleId="33">
    <w:name w:val="apple-style-span"/>
    <w:qFormat/>
    <w:uiPriority w:val="0"/>
  </w:style>
  <w:style w:type="character" w:customStyle="1" w:styleId="34">
    <w:name w:val="正文文本 Char1"/>
    <w:semiHidden/>
    <w:qFormat/>
    <w:locked/>
    <w:uiPriority w:val="0"/>
    <w:rPr>
      <w:kern w:val="2"/>
      <w:sz w:val="21"/>
      <w:szCs w:val="24"/>
    </w:rPr>
  </w:style>
  <w:style w:type="character" w:customStyle="1" w:styleId="35">
    <w:name w:val="纯文本 Char1"/>
    <w:qFormat/>
    <w:uiPriority w:val="0"/>
    <w:rPr>
      <w:rFonts w:ascii="宋体" w:hAnsi="Courier New" w:eastAsia="宋体" w:cs="Courier New"/>
      <w:szCs w:val="21"/>
    </w:rPr>
  </w:style>
  <w:style w:type="character" w:customStyle="1" w:styleId="36">
    <w:name w:val="标题 5 Char"/>
    <w:link w:val="5"/>
    <w:semiHidden/>
    <w:qFormat/>
    <w:uiPriority w:val="9"/>
    <w:rPr>
      <w:rFonts w:ascii="Times New Roman" w:hAnsi="Times New Roman"/>
      <w:b/>
      <w:bCs/>
      <w:kern w:val="2"/>
      <w:sz w:val="28"/>
      <w:szCs w:val="28"/>
    </w:rPr>
  </w:style>
  <w:style w:type="character" w:customStyle="1" w:styleId="37">
    <w:name w:val="正文2 Char Char"/>
    <w:link w:val="38"/>
    <w:qFormat/>
    <w:uiPriority w:val="0"/>
    <w:rPr>
      <w:kern w:val="2"/>
      <w:sz w:val="24"/>
    </w:rPr>
  </w:style>
  <w:style w:type="paragraph" w:customStyle="1" w:styleId="38">
    <w:name w:val="正文2"/>
    <w:basedOn w:val="1"/>
    <w:link w:val="37"/>
    <w:qFormat/>
    <w:uiPriority w:val="0"/>
    <w:pPr>
      <w:adjustRightInd w:val="0"/>
      <w:spacing w:before="156" w:line="360" w:lineRule="auto"/>
      <w:ind w:firstLine="510" w:firstLineChars="200"/>
    </w:pPr>
    <w:rPr>
      <w:sz w:val="24"/>
      <w:szCs w:val="20"/>
    </w:rPr>
  </w:style>
  <w:style w:type="character" w:customStyle="1" w:styleId="39">
    <w:name w:val="正文文本 Char"/>
    <w:link w:val="2"/>
    <w:qFormat/>
    <w:uiPriority w:val="0"/>
    <w:rPr>
      <w:rFonts w:ascii="Times New Roman" w:hAnsi="Times New Roman"/>
      <w:kern w:val="2"/>
      <w:sz w:val="21"/>
      <w:szCs w:val="24"/>
    </w:rPr>
  </w:style>
  <w:style w:type="character" w:customStyle="1" w:styleId="40">
    <w:name w:val="标题 1 字符"/>
    <w:qFormat/>
    <w:uiPriority w:val="9"/>
    <w:rPr>
      <w:b/>
      <w:bCs/>
      <w:kern w:val="44"/>
      <w:sz w:val="44"/>
      <w:szCs w:val="44"/>
    </w:rPr>
  </w:style>
  <w:style w:type="character" w:customStyle="1" w:styleId="41">
    <w:name w:val="页眉 Char"/>
    <w:link w:val="16"/>
    <w:qFormat/>
    <w:uiPriority w:val="99"/>
    <w:rPr>
      <w:sz w:val="18"/>
      <w:szCs w:val="18"/>
    </w:rPr>
  </w:style>
  <w:style w:type="character" w:customStyle="1" w:styleId="42">
    <w:name w:val="批注文字 Char"/>
    <w:link w:val="8"/>
    <w:qFormat/>
    <w:uiPriority w:val="0"/>
    <w:rPr>
      <w:rFonts w:ascii="Times New Roman" w:hAnsi="Times New Roman"/>
      <w:kern w:val="2"/>
      <w:sz w:val="21"/>
      <w:szCs w:val="24"/>
    </w:rPr>
  </w:style>
  <w:style w:type="character" w:customStyle="1" w:styleId="43">
    <w:name w:val="批注主题 Char"/>
    <w:link w:val="20"/>
    <w:qFormat/>
    <w:uiPriority w:val="99"/>
    <w:rPr>
      <w:rFonts w:ascii="Times New Roman" w:hAnsi="Times New Roman"/>
      <w:b/>
      <w:bCs/>
      <w:kern w:val="2"/>
      <w:sz w:val="21"/>
      <w:szCs w:val="24"/>
    </w:rPr>
  </w:style>
  <w:style w:type="character" w:customStyle="1" w:styleId="44">
    <w:name w:val="纯文本 Char"/>
    <w:link w:val="12"/>
    <w:qFormat/>
    <w:uiPriority w:val="0"/>
    <w:rPr>
      <w:rFonts w:ascii="宋体" w:hAnsi="Courier New" w:eastAsia="宋体" w:cs="Courier New"/>
      <w:szCs w:val="21"/>
    </w:rPr>
  </w:style>
  <w:style w:type="character" w:customStyle="1" w:styleId="45">
    <w:name w:val="批注文字 字符2"/>
    <w:qFormat/>
    <w:uiPriority w:val="0"/>
    <w:rPr>
      <w:rFonts w:ascii="Times New Roman" w:hAnsi="Times New Roman"/>
      <w:kern w:val="2"/>
      <w:sz w:val="21"/>
      <w:szCs w:val="24"/>
    </w:rPr>
  </w:style>
  <w:style w:type="character" w:customStyle="1" w:styleId="46">
    <w:name w:val="正文文本 (26) + 间距 0 pt"/>
    <w:qFormat/>
    <w:uiPriority w:val="0"/>
    <w:rPr>
      <w:rFonts w:hint="eastAsia" w:ascii="宋体" w:hAnsi="宋体" w:eastAsia="宋体" w:cs="宋体"/>
      <w:color w:val="000000"/>
      <w:spacing w:val="0"/>
      <w:w w:val="100"/>
      <w:position w:val="0"/>
      <w:sz w:val="22"/>
      <w:szCs w:val="22"/>
      <w:u w:val="none"/>
      <w:lang w:val="zh-CN" w:eastAsia="zh-CN" w:bidi="zh-CN"/>
    </w:rPr>
  </w:style>
  <w:style w:type="character" w:customStyle="1" w:styleId="47">
    <w:name w:val="纯文本 字符1"/>
    <w:qFormat/>
    <w:uiPriority w:val="0"/>
    <w:rPr>
      <w:rFonts w:ascii="宋体" w:hAnsi="Courier New"/>
    </w:rPr>
  </w:style>
  <w:style w:type="character" w:customStyle="1" w:styleId="48">
    <w:name w:val="正文文本缩进 字符1"/>
    <w:qFormat/>
    <w:uiPriority w:val="0"/>
    <w:rPr>
      <w:rFonts w:ascii="仿宋_GB2312" w:hAnsi="Times New Roman" w:eastAsia="仿宋_GB2312" w:cs="Times New Roman"/>
      <w:sz w:val="32"/>
      <w:szCs w:val="20"/>
    </w:rPr>
  </w:style>
  <w:style w:type="character" w:customStyle="1" w:styleId="49">
    <w:name w:val="批注文字 字符1"/>
    <w:qFormat/>
    <w:uiPriority w:val="0"/>
    <w:rPr>
      <w:kern w:val="2"/>
      <w:sz w:val="21"/>
      <w:szCs w:val="24"/>
    </w:rPr>
  </w:style>
  <w:style w:type="character" w:customStyle="1" w:styleId="50">
    <w:name w:val="页脚 Char"/>
    <w:qFormat/>
    <w:uiPriority w:val="99"/>
    <w:rPr>
      <w:lang w:eastAsia="zh-CN"/>
    </w:rPr>
  </w:style>
  <w:style w:type="character" w:customStyle="1" w:styleId="51">
    <w:name w:val="批注文字 Char1"/>
    <w:qFormat/>
    <w:uiPriority w:val="0"/>
    <w:rPr>
      <w:rFonts w:ascii="Times New Roman" w:hAnsi="Times New Roman"/>
      <w:kern w:val="2"/>
      <w:sz w:val="21"/>
      <w:szCs w:val="24"/>
    </w:rPr>
  </w:style>
  <w:style w:type="character" w:customStyle="1" w:styleId="52">
    <w:name w:val="批注文字 Char2"/>
    <w:qFormat/>
    <w:uiPriority w:val="0"/>
    <w:rPr>
      <w:rFonts w:ascii="Times New Roman" w:hAnsi="Times New Roman"/>
      <w:kern w:val="2"/>
      <w:sz w:val="21"/>
      <w:szCs w:val="24"/>
    </w:rPr>
  </w:style>
  <w:style w:type="character" w:customStyle="1" w:styleId="53">
    <w:name w:val="textcontents"/>
    <w:qFormat/>
    <w:uiPriority w:val="0"/>
  </w:style>
  <w:style w:type="paragraph" w:customStyle="1" w:styleId="54">
    <w:name w:val="列出段落1"/>
    <w:basedOn w:val="1"/>
    <w:qFormat/>
    <w:uiPriority w:val="0"/>
    <w:pPr>
      <w:ind w:firstLine="420" w:firstLineChars="200"/>
    </w:pPr>
    <w:rPr>
      <w:szCs w:val="21"/>
    </w:rPr>
  </w:style>
  <w:style w:type="paragraph" w:customStyle="1" w:styleId="5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6">
    <w:name w:val="Table Paragraph"/>
    <w:basedOn w:val="1"/>
    <w:qFormat/>
    <w:uiPriority w:val="1"/>
    <w:pPr>
      <w:jc w:val="left"/>
    </w:pPr>
    <w:rPr>
      <w:rFonts w:ascii="Calibri" w:hAnsi="Calibri" w:eastAsia="宋体" w:cs="Times New Roman"/>
      <w:kern w:val="0"/>
      <w:sz w:val="22"/>
      <w:szCs w:val="22"/>
      <w:lang w:eastAsia="en-US"/>
    </w:rPr>
  </w:style>
  <w:style w:type="paragraph" w:styleId="57">
    <w:name w:val="List Paragraph"/>
    <w:basedOn w:val="1"/>
    <w:qFormat/>
    <w:uiPriority w:val="34"/>
    <w:pPr>
      <w:ind w:firstLine="420" w:firstLineChars="200"/>
    </w:pPr>
  </w:style>
  <w:style w:type="paragraph" w:customStyle="1" w:styleId="58">
    <w:name w:val="默认段落字体 Para Char Char Char Char Char Char Char Char Char1 Char Char Char Char"/>
    <w:basedOn w:val="1"/>
    <w:qFormat/>
    <w:uiPriority w:val="0"/>
    <w:rPr>
      <w:rFonts w:ascii="Tahoma" w:hAnsi="Tahoma"/>
      <w:sz w:val="24"/>
      <w:szCs w:val="20"/>
    </w:rPr>
  </w:style>
  <w:style w:type="paragraph" w:customStyle="1" w:styleId="59">
    <w:name w:val="Default"/>
    <w:qFormat/>
    <w:uiPriority w:val="0"/>
    <w:pPr>
      <w:widowControl w:val="0"/>
      <w:autoSpaceDE w:val="0"/>
      <w:autoSpaceDN w:val="0"/>
      <w:adjustRightInd w:val="0"/>
      <w:spacing w:after="160" w:line="278" w:lineRule="auto"/>
    </w:pPr>
    <w:rPr>
      <w:rFonts w:ascii="Arial" w:hAnsi="Arial" w:eastAsia="宋体" w:cs="Arial"/>
      <w:color w:val="000000"/>
      <w:sz w:val="24"/>
      <w:szCs w:val="24"/>
      <w:lang w:val="en-US" w:eastAsia="zh-CN" w:bidi="ar-SA"/>
    </w:rPr>
  </w:style>
  <w:style w:type="paragraph" w:customStyle="1" w:styleId="60">
    <w:name w:val="表内文字"/>
    <w:basedOn w:val="1"/>
    <w:qFormat/>
    <w:uiPriority w:val="0"/>
    <w:pPr>
      <w:snapToGrid w:val="0"/>
      <w:spacing w:before="50" w:after="50"/>
      <w:jc w:val="center"/>
    </w:pPr>
    <w:rPr>
      <w:rFonts w:ascii="仿宋_GB2312" w:hAnsi="宋体" w:eastAsia="仿宋_GB2312"/>
      <w:b/>
      <w:color w:val="000000"/>
      <w:sz w:val="32"/>
      <w:szCs w:val="3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75</Pages>
  <Words>23261</Words>
  <Characters>25565</Characters>
  <Lines>495</Lines>
  <Paragraphs>139</Paragraphs>
  <TotalTime>37</TotalTime>
  <ScaleCrop>false</ScaleCrop>
  <LinksUpToDate>false</LinksUpToDate>
  <CharactersWithSpaces>26073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2020-10-16T09:42:00Z</dcterms:created>
  <dc:creator>唐冰</dc:creator>
  <cp:lastModifiedBy>　　　　　              </cp:lastModifiedBy>
  <cp:lastPrinted>2020-04-02T08:20:00Z</cp:lastPrinted>
  <dcterms:modified xsi:type="dcterms:W3CDTF">2025-06-16T09:56:54Z</dcterms:modified>
  <dc:title>竞争性谈判文件规范</dc:title>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D86982BFA6F244718D2E57CCCE1D6B3E_13</vt:lpwstr>
  </property>
  <property fmtid="{D5CDD505-2E9C-101B-9397-08002B2CF9AE}" pid="4" name="KSOTemplateDocerSaveRecord">
    <vt:lpwstr>eyJoZGlkIjoiZjNmNGY2YzQwMGUxZTcyMGZkNjhjZTcyOGJmMmVlOGIiLCJ1c2VySWQiOiI4NjM4MjIxMzQifQ==</vt:lpwstr>
  </property>
</Properties>
</file>