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DDFBC">
      <w:pPr>
        <w:shd w:val="clear"/>
        <w:wordWrap w:val="0"/>
        <w:spacing w:line="336" w:lineRule="auto"/>
        <w:jc w:val="center"/>
        <w:rPr>
          <w:rStyle w:val="25"/>
          <w:color w:val="auto"/>
          <w:highlight w:val="none"/>
        </w:rPr>
      </w:pPr>
      <w:permStart w:id="0" w:edGrp="everyone"/>
      <w:permEnd w:id="0"/>
    </w:p>
    <w:p w14:paraId="0B179DDC">
      <w:pPr>
        <w:shd w:val="clear"/>
        <w:wordWrap w:val="0"/>
        <w:spacing w:line="336" w:lineRule="auto"/>
        <w:jc w:val="center"/>
        <w:rPr>
          <w:rFonts w:asciiTheme="minorEastAsia" w:hAnsiTheme="minorEastAsia" w:eastAsiaTheme="minorEastAsia" w:cstheme="minorEastAsia"/>
          <w:color w:val="auto"/>
          <w:sz w:val="52"/>
          <w:szCs w:val="52"/>
          <w:highlight w:val="none"/>
        </w:rPr>
      </w:pPr>
    </w:p>
    <w:p w14:paraId="17BA5272">
      <w:pPr>
        <w:shd w:val="clear"/>
        <w:wordWrap w:val="0"/>
        <w:spacing w:line="336" w:lineRule="auto"/>
        <w:jc w:val="center"/>
        <w:rPr>
          <w:rFonts w:asciiTheme="minorEastAsia" w:hAnsiTheme="minorEastAsia" w:eastAsiaTheme="minorEastAsia" w:cstheme="minorEastAsia"/>
          <w:color w:val="auto"/>
          <w:sz w:val="72"/>
          <w:szCs w:val="72"/>
          <w:highlight w:val="none"/>
        </w:rPr>
      </w:pPr>
      <w:r>
        <w:rPr>
          <w:rFonts w:hint="eastAsia" w:asciiTheme="minorEastAsia" w:hAnsiTheme="minorEastAsia" w:eastAsiaTheme="minorEastAsia" w:cstheme="minorEastAsia"/>
          <w:color w:val="auto"/>
          <w:sz w:val="72"/>
          <w:szCs w:val="72"/>
          <w:highlight w:val="none"/>
        </w:rPr>
        <w:t>南宁市政府采购</w:t>
      </w:r>
    </w:p>
    <w:p w14:paraId="24E33ADB">
      <w:pPr>
        <w:shd w:val="clear"/>
        <w:wordWrap w:val="0"/>
        <w:spacing w:line="336" w:lineRule="auto"/>
        <w:jc w:val="center"/>
        <w:rPr>
          <w:rFonts w:asciiTheme="minorEastAsia" w:hAnsiTheme="minorEastAsia" w:eastAsiaTheme="minorEastAsia" w:cstheme="minorEastAsia"/>
          <w:color w:val="auto"/>
          <w:sz w:val="44"/>
          <w:szCs w:val="44"/>
          <w:highlight w:val="none"/>
        </w:rPr>
      </w:pPr>
    </w:p>
    <w:p w14:paraId="28CB709A">
      <w:pPr>
        <w:shd w:val="clear"/>
        <w:wordWrap w:val="0"/>
        <w:snapToGrid w:val="0"/>
        <w:spacing w:line="336" w:lineRule="auto"/>
        <w:jc w:val="center"/>
        <w:rPr>
          <w:rFonts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color w:val="auto"/>
          <w:sz w:val="96"/>
          <w:szCs w:val="96"/>
          <w:highlight w:val="none"/>
        </w:rPr>
        <w:t>竞争性磋商文件</w:t>
      </w:r>
    </w:p>
    <w:p w14:paraId="55963251">
      <w:pPr>
        <w:shd w:val="clear"/>
        <w:wordWrap w:val="0"/>
        <w:spacing w:line="336" w:lineRule="auto"/>
        <w:jc w:val="center"/>
        <w:rPr>
          <w:rFonts w:hint="eastAsia" w:asciiTheme="minorEastAsia" w:hAnsiTheme="minorEastAsia" w:eastAsiaTheme="minorEastAsia" w:cstheme="minorEastAsia"/>
          <w:color w:val="auto"/>
          <w:sz w:val="22"/>
          <w:szCs w:val="22"/>
          <w:highlight w:val="none"/>
        </w:rPr>
      </w:pPr>
    </w:p>
    <w:p w14:paraId="048DB1F3">
      <w:pPr>
        <w:shd w:val="clear"/>
        <w:wordWrap w:val="0"/>
        <w:spacing w:line="336" w:lineRule="auto"/>
        <w:jc w:val="center"/>
        <w:rPr>
          <w:rFonts w:hint="eastAsia" w:asciiTheme="minorEastAsia" w:hAnsiTheme="minorEastAsia" w:eastAsiaTheme="minorEastAsia" w:cstheme="minorEastAsia"/>
          <w:color w:val="auto"/>
          <w:sz w:val="22"/>
          <w:szCs w:val="22"/>
          <w:highlight w:val="none"/>
        </w:rPr>
      </w:pPr>
    </w:p>
    <w:p w14:paraId="418F451E">
      <w:pPr>
        <w:shd w:val="clear"/>
        <w:wordWrap w:val="0"/>
        <w:spacing w:line="336"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（全流程电子化评标）</w:t>
      </w:r>
    </w:p>
    <w:p w14:paraId="2BCE1146">
      <w:pPr>
        <w:shd w:val="clear"/>
        <w:wordWrap w:val="0"/>
        <w:spacing w:line="336" w:lineRule="auto"/>
        <w:ind w:firstLine="602" w:firstLineChars="200"/>
        <w:rPr>
          <w:rFonts w:hint="eastAsia" w:hAnsi="宋体" w:eastAsia="宋体" w:cs="宋体"/>
          <w:b/>
          <w:bCs/>
          <w:color w:val="auto"/>
          <w:sz w:val="30"/>
          <w:szCs w:val="30"/>
          <w:highlight w:val="none"/>
        </w:rPr>
      </w:pPr>
    </w:p>
    <w:p w14:paraId="1DDDCEF8">
      <w:pPr>
        <w:shd w:val="clear"/>
        <w:wordWrap w:val="0"/>
        <w:spacing w:line="336" w:lineRule="auto"/>
        <w:ind w:firstLine="420" w:firstLineChars="200"/>
        <w:rPr>
          <w:rFonts w:hint="eastAsia" w:hAnsi="宋体" w:eastAsia="宋体" w:cs="宋体"/>
          <w:b/>
          <w:bCs/>
          <w:color w:val="auto"/>
          <w:sz w:val="30"/>
          <w:szCs w:val="30"/>
          <w:highlight w:val="none"/>
        </w:rPr>
      </w:pPr>
      <w:r>
        <w:drawing>
          <wp:anchor distT="0" distB="0" distL="114300" distR="114300" simplePos="0" relativeHeight="251663360" behindDoc="0" locked="0" layoutInCell="1" allowOverlap="1">
            <wp:simplePos x="0" y="0"/>
            <wp:positionH relativeFrom="column">
              <wp:posOffset>179070</wp:posOffset>
            </wp:positionH>
            <wp:positionV relativeFrom="paragraph">
              <wp:posOffset>157480</wp:posOffset>
            </wp:positionV>
            <wp:extent cx="6182360" cy="3653790"/>
            <wp:effectExtent l="0" t="0" r="8890" b="381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6182360" cy="3653790"/>
                    </a:xfrm>
                    <a:prstGeom prst="rect">
                      <a:avLst/>
                    </a:prstGeom>
                    <a:noFill/>
                    <a:ln>
                      <a:noFill/>
                    </a:ln>
                  </pic:spPr>
                </pic:pic>
              </a:graphicData>
            </a:graphic>
          </wp:anchor>
        </w:drawing>
      </w:r>
    </w:p>
    <w:p w14:paraId="4587B017">
      <w:pPr>
        <w:pStyle w:val="13"/>
        <w:shd w:val="clear"/>
        <w:snapToGrid w:val="0"/>
        <w:spacing w:before="50" w:after="120" w:line="360" w:lineRule="auto"/>
        <w:ind w:firstLine="3000" w:firstLineChars="996"/>
        <w:jc w:val="both"/>
        <w:rPr>
          <w:rFonts w:hint="default" w:ascii="宋体" w:hAnsi="宋体" w:eastAsia="宋体" w:cs="宋体"/>
          <w:b/>
          <w:bCs/>
          <w:color w:val="auto"/>
          <w:sz w:val="30"/>
          <w:szCs w:val="30"/>
          <w:highlight w:val="none"/>
          <w:lang w:val="en-US" w:eastAsia="zh-CN"/>
        </w:rPr>
        <w:sectPr>
          <w:headerReference r:id="rId3" w:type="default"/>
          <w:footerReference r:id="rId4" w:type="default"/>
          <w:pgSz w:w="11905" w:h="16838"/>
          <w:pgMar w:top="1440" w:right="1080" w:bottom="1440" w:left="1080" w:header="720" w:footer="720" w:gutter="0"/>
          <w:pgNumType w:start="0"/>
          <w:cols w:space="0" w:num="1"/>
          <w:docGrid w:linePitch="312" w:charSpace="0"/>
        </w:sectPr>
      </w:pPr>
    </w:p>
    <w:p w14:paraId="0CBBF4C6">
      <w:pPr>
        <w:pStyle w:val="9"/>
        <w:shd w:val="clear"/>
        <w:rPr>
          <w:color w:val="auto"/>
          <w:highlight w:val="none"/>
        </w:rPr>
      </w:pPr>
    </w:p>
    <w:p w14:paraId="4F5745E6">
      <w:pPr>
        <w:shd w:val="clear"/>
        <w:wordWrap w:val="0"/>
        <w:spacing w:line="336" w:lineRule="auto"/>
        <w:jc w:val="center"/>
        <w:rPr>
          <w:rFonts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5588AD25">
      <w:pPr>
        <w:pStyle w:val="16"/>
        <w:keepNext w:val="0"/>
        <w:keepLines w:val="0"/>
        <w:pageBreakBefore w:val="0"/>
        <w:widowControl w:val="0"/>
        <w:shd w:val="clear"/>
        <w:tabs>
          <w:tab w:val="right" w:leader="dot" w:pos="9745"/>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b/>
          <w:color w:val="auto"/>
          <w:sz w:val="180"/>
          <w:szCs w:val="180"/>
          <w:highlight w:val="none"/>
        </w:rPr>
        <w:fldChar w:fldCharType="begin"/>
      </w:r>
      <w:r>
        <w:rPr>
          <w:rFonts w:hint="eastAsia" w:asciiTheme="minorEastAsia" w:hAnsiTheme="minorEastAsia" w:eastAsiaTheme="minorEastAsia" w:cstheme="minorEastAsia"/>
          <w:b/>
          <w:color w:val="auto"/>
          <w:sz w:val="180"/>
          <w:szCs w:val="180"/>
          <w:highlight w:val="none"/>
        </w:rPr>
        <w:instrText xml:space="preserve"> TOC \o "1-3" \h \z \u </w:instrText>
      </w:r>
      <w:r>
        <w:rPr>
          <w:rFonts w:hint="eastAsia" w:asciiTheme="minorEastAsia" w:hAnsiTheme="minorEastAsia" w:eastAsiaTheme="minorEastAsia" w:cstheme="minorEastAsia"/>
          <w:b/>
          <w:color w:val="auto"/>
          <w:sz w:val="180"/>
          <w:szCs w:val="180"/>
          <w:highlight w:val="none"/>
        </w:rPr>
        <w:fldChar w:fldCharType="separate"/>
      </w: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_Toc17248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color w:val="auto"/>
          <w:sz w:val="24"/>
          <w:szCs w:val="32"/>
          <w:highlight w:val="none"/>
        </w:rPr>
        <w:t>第一章 竞争性磋商公告</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_Toc17248 \h </w:instrText>
      </w:r>
      <w:r>
        <w:rPr>
          <w:color w:val="auto"/>
          <w:sz w:val="24"/>
          <w:szCs w:val="32"/>
          <w:highlight w:val="none"/>
        </w:rPr>
        <w:fldChar w:fldCharType="separate"/>
      </w:r>
      <w:r>
        <w:rPr>
          <w:color w:val="auto"/>
          <w:sz w:val="24"/>
          <w:szCs w:val="32"/>
          <w:highlight w:val="none"/>
        </w:rPr>
        <w:t>1</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19F311F1">
      <w:pPr>
        <w:pStyle w:val="16"/>
        <w:keepNext w:val="0"/>
        <w:keepLines w:val="0"/>
        <w:pageBreakBefore w:val="0"/>
        <w:widowControl w:val="0"/>
        <w:shd w:val="clear"/>
        <w:tabs>
          <w:tab w:val="right" w:leader="dot" w:pos="9745"/>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_Toc32333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bCs w:val="0"/>
          <w:color w:val="auto"/>
          <w:sz w:val="24"/>
          <w:szCs w:val="40"/>
          <w:highlight w:val="none"/>
        </w:rPr>
        <w:t>第二章 采购需求</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_Toc32333 \h </w:instrText>
      </w:r>
      <w:r>
        <w:rPr>
          <w:color w:val="auto"/>
          <w:sz w:val="24"/>
          <w:szCs w:val="32"/>
          <w:highlight w:val="none"/>
        </w:rPr>
        <w:fldChar w:fldCharType="separate"/>
      </w:r>
      <w:r>
        <w:rPr>
          <w:color w:val="auto"/>
          <w:sz w:val="24"/>
          <w:szCs w:val="32"/>
          <w:highlight w:val="none"/>
        </w:rPr>
        <w:t>5</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24DAAADC">
      <w:pPr>
        <w:pStyle w:val="16"/>
        <w:keepNext w:val="0"/>
        <w:keepLines w:val="0"/>
        <w:pageBreakBefore w:val="0"/>
        <w:widowControl w:val="0"/>
        <w:shd w:val="clear"/>
        <w:tabs>
          <w:tab w:val="right" w:leader="dot" w:pos="9745"/>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_Toc24683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bCs w:val="0"/>
          <w:color w:val="auto"/>
          <w:sz w:val="24"/>
          <w:szCs w:val="40"/>
          <w:highlight w:val="none"/>
        </w:rPr>
        <w:t>第三章 供应商须知</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_Toc24683 \h </w:instrText>
      </w:r>
      <w:r>
        <w:rPr>
          <w:color w:val="auto"/>
          <w:sz w:val="24"/>
          <w:szCs w:val="32"/>
          <w:highlight w:val="none"/>
        </w:rPr>
        <w:fldChar w:fldCharType="separate"/>
      </w:r>
      <w:r>
        <w:rPr>
          <w:color w:val="auto"/>
          <w:sz w:val="24"/>
          <w:szCs w:val="32"/>
          <w:highlight w:val="none"/>
        </w:rPr>
        <w:t>14</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39F2573D">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_Toc21843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color w:val="auto"/>
          <w:sz w:val="24"/>
          <w:szCs w:val="32"/>
          <w:highlight w:val="none"/>
        </w:rPr>
        <w:t>第一节 供应商须知前附表</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_Toc21843 \h </w:instrText>
      </w:r>
      <w:r>
        <w:rPr>
          <w:color w:val="auto"/>
          <w:sz w:val="24"/>
          <w:szCs w:val="32"/>
          <w:highlight w:val="none"/>
        </w:rPr>
        <w:fldChar w:fldCharType="separate"/>
      </w:r>
      <w:r>
        <w:rPr>
          <w:color w:val="auto"/>
          <w:sz w:val="24"/>
          <w:szCs w:val="32"/>
          <w:highlight w:val="none"/>
        </w:rPr>
        <w:t>14</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16C52AE6">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_Toc26882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color w:val="auto"/>
          <w:sz w:val="24"/>
          <w:szCs w:val="32"/>
          <w:highlight w:val="none"/>
        </w:rPr>
        <w:t>第二节 供应商须知正文</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_Toc26882 \h </w:instrText>
      </w:r>
      <w:r>
        <w:rPr>
          <w:color w:val="auto"/>
          <w:sz w:val="24"/>
          <w:szCs w:val="32"/>
          <w:highlight w:val="none"/>
        </w:rPr>
        <w:fldChar w:fldCharType="separate"/>
      </w:r>
      <w:r>
        <w:rPr>
          <w:color w:val="auto"/>
          <w:sz w:val="24"/>
          <w:szCs w:val="32"/>
          <w:highlight w:val="none"/>
        </w:rPr>
        <w:t>20</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0973BB7C">
      <w:pPr>
        <w:pStyle w:val="16"/>
        <w:keepNext w:val="0"/>
        <w:keepLines w:val="0"/>
        <w:pageBreakBefore w:val="0"/>
        <w:widowControl w:val="0"/>
        <w:shd w:val="clear"/>
        <w:tabs>
          <w:tab w:val="right" w:leader="dot" w:pos="9745"/>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_Toc18995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color w:val="auto"/>
          <w:sz w:val="24"/>
          <w:szCs w:val="32"/>
          <w:highlight w:val="none"/>
        </w:rPr>
        <w:t>第四章  评审程序、评审方法和评审标准</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_Toc18995 \h </w:instrText>
      </w:r>
      <w:r>
        <w:rPr>
          <w:color w:val="auto"/>
          <w:sz w:val="24"/>
          <w:szCs w:val="32"/>
          <w:highlight w:val="none"/>
        </w:rPr>
        <w:fldChar w:fldCharType="separate"/>
      </w:r>
      <w:r>
        <w:rPr>
          <w:color w:val="auto"/>
          <w:sz w:val="24"/>
          <w:szCs w:val="32"/>
          <w:highlight w:val="none"/>
        </w:rPr>
        <w:t>32</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45A26E42">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_Toc14230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color w:val="auto"/>
          <w:sz w:val="24"/>
          <w:szCs w:val="32"/>
          <w:highlight w:val="none"/>
        </w:rPr>
        <w:t>第一节 评审程序和评审方法</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_Toc14230 \h </w:instrText>
      </w:r>
      <w:r>
        <w:rPr>
          <w:color w:val="auto"/>
          <w:sz w:val="24"/>
          <w:szCs w:val="32"/>
          <w:highlight w:val="none"/>
        </w:rPr>
        <w:fldChar w:fldCharType="separate"/>
      </w:r>
      <w:r>
        <w:rPr>
          <w:color w:val="auto"/>
          <w:sz w:val="24"/>
          <w:szCs w:val="32"/>
          <w:highlight w:val="none"/>
        </w:rPr>
        <w:t>32</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40ED059A">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_Toc19321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color w:val="auto"/>
          <w:sz w:val="24"/>
          <w:szCs w:val="32"/>
          <w:highlight w:val="none"/>
        </w:rPr>
        <w:t>第二节 评标报告</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_Toc19321 \h </w:instrText>
      </w:r>
      <w:r>
        <w:rPr>
          <w:color w:val="auto"/>
          <w:sz w:val="24"/>
          <w:szCs w:val="32"/>
          <w:highlight w:val="none"/>
        </w:rPr>
        <w:fldChar w:fldCharType="separate"/>
      </w:r>
      <w:r>
        <w:rPr>
          <w:color w:val="auto"/>
          <w:sz w:val="24"/>
          <w:szCs w:val="32"/>
          <w:highlight w:val="none"/>
        </w:rPr>
        <w:t>42</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6F0DB862">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_Toc3806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color w:val="auto"/>
          <w:sz w:val="24"/>
          <w:szCs w:val="32"/>
          <w:highlight w:val="none"/>
        </w:rPr>
        <w:t>第三节 评审过程的保密与录像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_Toc3806 \h </w:instrText>
      </w:r>
      <w:r>
        <w:rPr>
          <w:color w:val="auto"/>
          <w:sz w:val="24"/>
          <w:szCs w:val="32"/>
          <w:highlight w:val="none"/>
        </w:rPr>
        <w:fldChar w:fldCharType="separate"/>
      </w:r>
      <w:r>
        <w:rPr>
          <w:color w:val="auto"/>
          <w:sz w:val="24"/>
          <w:szCs w:val="32"/>
          <w:highlight w:val="none"/>
        </w:rPr>
        <w:t>42</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439D4649">
      <w:pPr>
        <w:pStyle w:val="16"/>
        <w:keepNext w:val="0"/>
        <w:keepLines w:val="0"/>
        <w:pageBreakBefore w:val="0"/>
        <w:widowControl w:val="0"/>
        <w:shd w:val="clear"/>
        <w:tabs>
          <w:tab w:val="right" w:leader="dot" w:pos="9745"/>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_Toc19955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color w:val="auto"/>
          <w:sz w:val="24"/>
          <w:szCs w:val="32"/>
          <w:highlight w:val="none"/>
        </w:rPr>
        <w:t>第五章 响应文件格式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_Toc19955 \h </w:instrText>
      </w:r>
      <w:r>
        <w:rPr>
          <w:color w:val="auto"/>
          <w:sz w:val="24"/>
          <w:szCs w:val="32"/>
          <w:highlight w:val="none"/>
        </w:rPr>
        <w:fldChar w:fldCharType="separate"/>
      </w:r>
      <w:r>
        <w:rPr>
          <w:color w:val="auto"/>
          <w:sz w:val="24"/>
          <w:szCs w:val="32"/>
          <w:highlight w:val="none"/>
        </w:rPr>
        <w:t>43</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66A794F1">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_Toc8601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color w:val="auto"/>
          <w:sz w:val="24"/>
          <w:szCs w:val="32"/>
          <w:highlight w:val="none"/>
        </w:rPr>
        <w:t>第一节 封面格式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_Toc8601 \h </w:instrText>
      </w:r>
      <w:r>
        <w:rPr>
          <w:color w:val="auto"/>
          <w:sz w:val="24"/>
          <w:szCs w:val="32"/>
          <w:highlight w:val="none"/>
        </w:rPr>
        <w:fldChar w:fldCharType="separate"/>
      </w:r>
      <w:r>
        <w:rPr>
          <w:color w:val="auto"/>
          <w:sz w:val="24"/>
          <w:szCs w:val="32"/>
          <w:highlight w:val="none"/>
        </w:rPr>
        <w:t>44</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24847C33">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_Toc11749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bCs w:val="0"/>
          <w:color w:val="auto"/>
          <w:sz w:val="24"/>
          <w:szCs w:val="32"/>
          <w:highlight w:val="none"/>
        </w:rPr>
        <w:t>第二节 资格证明文件格式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_Toc11749 \h </w:instrText>
      </w:r>
      <w:r>
        <w:rPr>
          <w:color w:val="auto"/>
          <w:sz w:val="24"/>
          <w:szCs w:val="32"/>
          <w:highlight w:val="none"/>
        </w:rPr>
        <w:fldChar w:fldCharType="separate"/>
      </w:r>
      <w:r>
        <w:rPr>
          <w:color w:val="auto"/>
          <w:sz w:val="24"/>
          <w:szCs w:val="32"/>
          <w:highlight w:val="none"/>
        </w:rPr>
        <w:t>45</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5AA9DE3E">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_Toc1397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bCs w:val="0"/>
          <w:color w:val="auto"/>
          <w:sz w:val="24"/>
          <w:szCs w:val="32"/>
          <w:highlight w:val="none"/>
        </w:rPr>
        <w:t xml:space="preserve">第三节 </w:t>
      </w:r>
      <w:r>
        <w:rPr>
          <w:rFonts w:hint="eastAsia" w:asciiTheme="minorEastAsia" w:hAnsiTheme="minorEastAsia" w:eastAsiaTheme="minorEastAsia" w:cstheme="minorEastAsia"/>
          <w:color w:val="auto"/>
          <w:sz w:val="24"/>
          <w:szCs w:val="32"/>
          <w:highlight w:val="none"/>
        </w:rPr>
        <w:t>商务技术文件格式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_Toc1397 \h </w:instrText>
      </w:r>
      <w:r>
        <w:rPr>
          <w:color w:val="auto"/>
          <w:sz w:val="24"/>
          <w:szCs w:val="32"/>
          <w:highlight w:val="none"/>
        </w:rPr>
        <w:fldChar w:fldCharType="separate"/>
      </w:r>
      <w:r>
        <w:rPr>
          <w:color w:val="auto"/>
          <w:sz w:val="24"/>
          <w:szCs w:val="32"/>
          <w:highlight w:val="none"/>
        </w:rPr>
        <w:t>57</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5AC38CB5">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_Toc4827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color w:val="auto"/>
          <w:sz w:val="24"/>
          <w:szCs w:val="32"/>
          <w:highlight w:val="none"/>
        </w:rPr>
        <w:t>第四节 报价文件格式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_Toc4827 \h </w:instrText>
      </w:r>
      <w:r>
        <w:rPr>
          <w:color w:val="auto"/>
          <w:sz w:val="24"/>
          <w:szCs w:val="32"/>
          <w:highlight w:val="none"/>
        </w:rPr>
        <w:fldChar w:fldCharType="separate"/>
      </w:r>
      <w:r>
        <w:rPr>
          <w:color w:val="auto"/>
          <w:sz w:val="24"/>
          <w:szCs w:val="32"/>
          <w:highlight w:val="none"/>
        </w:rPr>
        <w:t>74</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1137CD83">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_Toc21018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color w:val="auto"/>
          <w:sz w:val="24"/>
          <w:szCs w:val="32"/>
          <w:highlight w:val="none"/>
        </w:rPr>
        <w:t>第五节 其他文书、文件格式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_Toc21018 \h </w:instrText>
      </w:r>
      <w:r>
        <w:rPr>
          <w:color w:val="auto"/>
          <w:sz w:val="24"/>
          <w:szCs w:val="32"/>
          <w:highlight w:val="none"/>
        </w:rPr>
        <w:fldChar w:fldCharType="separate"/>
      </w:r>
      <w:r>
        <w:rPr>
          <w:color w:val="auto"/>
          <w:sz w:val="24"/>
          <w:szCs w:val="32"/>
          <w:highlight w:val="none"/>
        </w:rPr>
        <w:t>79</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2092F630">
      <w:pPr>
        <w:pStyle w:val="16"/>
        <w:keepNext w:val="0"/>
        <w:keepLines w:val="0"/>
        <w:pageBreakBefore w:val="0"/>
        <w:widowControl w:val="0"/>
        <w:shd w:val="clear"/>
        <w:tabs>
          <w:tab w:val="right" w:leader="dot" w:pos="9745"/>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_Toc13051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bCs w:val="0"/>
          <w:color w:val="auto"/>
          <w:sz w:val="24"/>
          <w:szCs w:val="32"/>
          <w:highlight w:val="none"/>
        </w:rPr>
        <w:t>第六章  合同文本</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_Toc13051 \h </w:instrText>
      </w:r>
      <w:r>
        <w:rPr>
          <w:color w:val="auto"/>
          <w:sz w:val="24"/>
          <w:szCs w:val="32"/>
          <w:highlight w:val="none"/>
        </w:rPr>
        <w:fldChar w:fldCharType="separate"/>
      </w:r>
      <w:r>
        <w:rPr>
          <w:color w:val="auto"/>
          <w:sz w:val="24"/>
          <w:szCs w:val="32"/>
          <w:highlight w:val="none"/>
        </w:rPr>
        <w:t>81</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1C1A67F8">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_Toc30124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color w:val="auto"/>
          <w:sz w:val="24"/>
          <w:szCs w:val="36"/>
          <w:highlight w:val="none"/>
        </w:rPr>
        <w:t>第一部分 合同书</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_Toc30124 \h </w:instrText>
      </w:r>
      <w:r>
        <w:rPr>
          <w:color w:val="auto"/>
          <w:sz w:val="24"/>
          <w:szCs w:val="32"/>
          <w:highlight w:val="none"/>
        </w:rPr>
        <w:fldChar w:fldCharType="separate"/>
      </w:r>
      <w:r>
        <w:rPr>
          <w:color w:val="auto"/>
          <w:sz w:val="24"/>
          <w:szCs w:val="32"/>
          <w:highlight w:val="none"/>
        </w:rPr>
        <w:t>84</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2F5C23F8">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_Toc31244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宋体" w:hAnsi="宋体" w:cs="宋体"/>
          <w:color w:val="auto"/>
          <w:sz w:val="24"/>
          <w:szCs w:val="36"/>
          <w:highlight w:val="none"/>
        </w:rPr>
        <w:t>第二部分 合同一般条款</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_Toc31244 \h </w:instrText>
      </w:r>
      <w:r>
        <w:rPr>
          <w:color w:val="auto"/>
          <w:sz w:val="24"/>
          <w:szCs w:val="32"/>
          <w:highlight w:val="none"/>
        </w:rPr>
        <w:fldChar w:fldCharType="separate"/>
      </w:r>
      <w:r>
        <w:rPr>
          <w:color w:val="auto"/>
          <w:sz w:val="24"/>
          <w:szCs w:val="32"/>
          <w:highlight w:val="none"/>
        </w:rPr>
        <w:t>87</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781283AF">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_Toc21058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宋体" w:hAnsi="宋体" w:cs="宋体"/>
          <w:color w:val="auto"/>
          <w:sz w:val="24"/>
          <w:szCs w:val="36"/>
          <w:highlight w:val="none"/>
        </w:rPr>
        <w:t>第三部分  合同专用条款</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_Toc21058 \h </w:instrText>
      </w:r>
      <w:r>
        <w:rPr>
          <w:color w:val="auto"/>
          <w:sz w:val="24"/>
          <w:szCs w:val="32"/>
          <w:highlight w:val="none"/>
        </w:rPr>
        <w:fldChar w:fldCharType="separate"/>
      </w:r>
      <w:r>
        <w:rPr>
          <w:color w:val="auto"/>
          <w:sz w:val="24"/>
          <w:szCs w:val="32"/>
          <w:highlight w:val="none"/>
        </w:rPr>
        <w:t>91</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472995A6">
      <w:pPr>
        <w:pStyle w:val="16"/>
        <w:keepNext w:val="0"/>
        <w:keepLines w:val="0"/>
        <w:pageBreakBefore w:val="0"/>
        <w:widowControl w:val="0"/>
        <w:shd w:val="clear"/>
        <w:tabs>
          <w:tab w:val="right" w:leader="dot" w:pos="9745"/>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_Toc31116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color w:val="auto"/>
          <w:sz w:val="24"/>
          <w:szCs w:val="32"/>
          <w:highlight w:val="none"/>
        </w:rPr>
        <w:t>第七章 质疑、投诉材料格式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_Toc31116 \h </w:instrText>
      </w:r>
      <w:r>
        <w:rPr>
          <w:color w:val="auto"/>
          <w:sz w:val="24"/>
          <w:szCs w:val="32"/>
          <w:highlight w:val="none"/>
        </w:rPr>
        <w:fldChar w:fldCharType="separate"/>
      </w:r>
      <w:r>
        <w:rPr>
          <w:color w:val="auto"/>
          <w:sz w:val="24"/>
          <w:szCs w:val="32"/>
          <w:highlight w:val="none"/>
        </w:rPr>
        <w:t>94</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21CA101D">
      <w:pPr>
        <w:pStyle w:val="19"/>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asciiTheme="minorEastAsia" w:hAnsiTheme="minorEastAsia" w:eastAsiaTheme="minorEastAsia" w:cstheme="minorEastAsia"/>
          <w:b/>
          <w:color w:val="auto"/>
          <w:sz w:val="52"/>
          <w:szCs w:val="52"/>
          <w:highlight w:val="none"/>
        </w:rPr>
        <w:sectPr>
          <w:headerReference r:id="rId5" w:type="default"/>
          <w:footerReference r:id="rId6" w:type="default"/>
          <w:pgSz w:w="11905" w:h="16838"/>
          <w:pgMar w:top="1440" w:right="1080" w:bottom="1440" w:left="1080" w:header="720" w:footer="720" w:gutter="0"/>
          <w:pgNumType w:start="0"/>
          <w:cols w:space="0" w:num="1"/>
          <w:docGrid w:linePitch="312" w:charSpace="0"/>
        </w:sectPr>
      </w:pPr>
      <w:r>
        <w:rPr>
          <w:rFonts w:hint="eastAsia" w:asciiTheme="minorEastAsia" w:hAnsiTheme="minorEastAsia" w:eastAsiaTheme="minorEastAsia" w:cstheme="minorEastAsia"/>
          <w:color w:val="auto"/>
          <w:sz w:val="24"/>
          <w:szCs w:val="180"/>
          <w:highlight w:val="none"/>
        </w:rPr>
        <w:fldChar w:fldCharType="end"/>
      </w:r>
    </w:p>
    <w:p w14:paraId="5FBD03D7">
      <w:pPr>
        <w:pStyle w:val="2"/>
        <w:shd w:val="clear"/>
        <w:wordWrap w:val="0"/>
        <w:spacing w:before="0" w:after="0" w:line="336" w:lineRule="auto"/>
        <w:jc w:val="center"/>
        <w:rPr>
          <w:rFonts w:asciiTheme="minorEastAsia" w:hAnsiTheme="minorEastAsia" w:eastAsiaTheme="minorEastAsia" w:cstheme="minorEastAsia"/>
          <w:color w:val="auto"/>
          <w:sz w:val="24"/>
          <w:szCs w:val="24"/>
          <w:highlight w:val="none"/>
        </w:rPr>
      </w:pPr>
      <w:bookmarkStart w:id="0" w:name="_Toc17248"/>
      <w:r>
        <w:rPr>
          <w:rFonts w:hint="eastAsia" w:asciiTheme="minorEastAsia" w:hAnsiTheme="minorEastAsia" w:eastAsiaTheme="minorEastAsia" w:cstheme="minorEastAsia"/>
          <w:color w:val="auto"/>
          <w:highlight w:val="none"/>
        </w:rPr>
        <w:t>第一章 竞争性磋商公告</w:t>
      </w:r>
      <w:bookmarkEnd w:id="0"/>
      <w:bookmarkStart w:id="1" w:name="_Toc28359089"/>
      <w:bookmarkStart w:id="2" w:name="_Toc35393798"/>
      <w:bookmarkStart w:id="3" w:name="_Toc44229878"/>
      <w:bookmarkStart w:id="4" w:name="_Toc28359012"/>
      <w:bookmarkStart w:id="5" w:name="_Toc35393629"/>
      <w:bookmarkStart w:id="6" w:name="_Toc28359081"/>
      <w:bookmarkStart w:id="7" w:name="_Toc35393792"/>
      <w:bookmarkStart w:id="8" w:name="_Toc28359004"/>
      <w:bookmarkStart w:id="9" w:name="_Toc35393623"/>
    </w:p>
    <w:p w14:paraId="62AE41DD">
      <w:pPr>
        <w:pBdr>
          <w:top w:val="single" w:color="auto" w:sz="4" w:space="1"/>
          <w:left w:val="single" w:color="auto" w:sz="4" w:space="4"/>
          <w:bottom w:val="single" w:color="auto" w:sz="4" w:space="1"/>
          <w:right w:val="single" w:color="auto" w:sz="4" w:space="4"/>
        </w:pBd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14:paraId="4811FA6A">
      <w:pPr>
        <w:pBdr>
          <w:top w:val="single" w:color="auto" w:sz="4" w:space="1"/>
          <w:left w:val="single" w:color="auto" w:sz="4" w:space="4"/>
          <w:bottom w:val="single" w:color="auto" w:sz="4" w:space="1"/>
          <w:right w:val="single" w:color="auto" w:sz="4" w:space="4"/>
        </w:pBdr>
        <w:shd w:val="clear"/>
        <w:wordWrap w:val="0"/>
        <w:spacing w:line="336"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u w:val="single"/>
          <w:lang w:eastAsia="zh-CN"/>
        </w:rPr>
        <w:t>南宁片区提升新质生产力发展动能咨询项目</w:t>
      </w:r>
      <w:r>
        <w:rPr>
          <w:rFonts w:hint="eastAsia" w:asciiTheme="minorEastAsia" w:hAnsiTheme="minorEastAsia" w:eastAsiaTheme="minorEastAsia" w:cstheme="minorEastAsia"/>
          <w:color w:val="auto"/>
          <w:sz w:val="24"/>
          <w:highlight w:val="none"/>
        </w:rPr>
        <w:t>采购项目的潜在供应商应在</w:t>
      </w:r>
      <w:r>
        <w:rPr>
          <w:rFonts w:hint="eastAsia" w:asciiTheme="minorEastAsia" w:hAnsiTheme="minorEastAsia" w:eastAsiaTheme="minorEastAsia" w:cstheme="minorEastAsia"/>
          <w:color w:val="auto"/>
          <w:sz w:val="24"/>
          <w:highlight w:val="none"/>
          <w:lang w:eastAsia="zh-CN"/>
        </w:rPr>
        <w:t>广西政府采购云平台（https://login.gcy.zfcg.gxzf.gov.cn/user-login/#/）</w:t>
      </w:r>
      <w:r>
        <w:rPr>
          <w:rFonts w:hint="eastAsia" w:asciiTheme="minorEastAsia" w:hAnsiTheme="minorEastAsia" w:eastAsiaTheme="minorEastAsia" w:cstheme="minorEastAsia"/>
          <w:snapToGrid w:val="0"/>
          <w:color w:val="auto"/>
          <w:sz w:val="24"/>
          <w:highlight w:val="none"/>
        </w:rPr>
        <w:t>获取（下载）</w:t>
      </w:r>
      <w:r>
        <w:rPr>
          <w:rFonts w:hint="eastAsia" w:asciiTheme="minorEastAsia" w:hAnsiTheme="minorEastAsia" w:eastAsiaTheme="minorEastAsia" w:cstheme="minorEastAsia"/>
          <w:color w:val="auto"/>
          <w:sz w:val="24"/>
          <w:highlight w:val="none"/>
        </w:rPr>
        <w:t>获取竞争性磋商文件，并于</w:t>
      </w:r>
      <w:r>
        <w:rPr>
          <w:rFonts w:hint="eastAsia" w:ascii="宋体" w:hAnsi="宋体" w:eastAsia="宋体" w:cs="宋体"/>
          <w:color w:val="auto"/>
          <w:sz w:val="24"/>
          <w:highlight w:val="none"/>
          <w:u w:val="single"/>
          <w:lang w:eastAsia="zh-CN"/>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lang w:eastAsia="zh-CN"/>
        </w:rPr>
        <w:t>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15</w:t>
      </w:r>
      <w:r>
        <w:rPr>
          <w:rFonts w:hint="eastAsia" w:ascii="宋体" w:hAnsi="宋体" w:eastAsia="宋体" w:cs="宋体"/>
          <w:color w:val="auto"/>
          <w:sz w:val="24"/>
          <w:highlight w:val="none"/>
          <w:u w:val="single"/>
          <w:lang w:eastAsia="zh-CN"/>
        </w:rPr>
        <w:t>日</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lang w:eastAsia="zh-CN"/>
        </w:rPr>
        <w:t>时</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lang w:eastAsia="zh-CN"/>
        </w:rPr>
        <w:t>分</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u w:val="single"/>
          <w:lang w:eastAsia="zh-CN"/>
        </w:rPr>
        <w:t>秒</w:t>
      </w:r>
      <w:r>
        <w:rPr>
          <w:rFonts w:hint="eastAsia" w:asciiTheme="minorEastAsia" w:hAnsiTheme="minorEastAsia" w:eastAsiaTheme="minorEastAsia" w:cstheme="minorEastAsia"/>
          <w:bCs/>
          <w:color w:val="auto"/>
          <w:sz w:val="24"/>
          <w:highlight w:val="none"/>
        </w:rPr>
        <w:t>（北京时间）前提交响应文件</w:t>
      </w:r>
      <w:r>
        <w:rPr>
          <w:rFonts w:hint="eastAsia" w:asciiTheme="minorEastAsia" w:hAnsiTheme="minorEastAsia" w:eastAsiaTheme="minorEastAsia" w:cstheme="minorEastAsia"/>
          <w:color w:val="auto"/>
          <w:sz w:val="24"/>
          <w:highlight w:val="none"/>
        </w:rPr>
        <w:t>。</w:t>
      </w:r>
    </w:p>
    <w:p w14:paraId="5E03B5AD">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一、项目基本情况</w:t>
      </w:r>
      <w:bookmarkEnd w:id="1"/>
      <w:bookmarkEnd w:id="2"/>
      <w:bookmarkEnd w:id="3"/>
      <w:bookmarkEnd w:id="4"/>
      <w:bookmarkEnd w:id="5"/>
    </w:p>
    <w:p w14:paraId="3AE35A3F">
      <w:pPr>
        <w:shd w:val="clear"/>
        <w:wordWrap w:val="0"/>
        <w:spacing w:line="336"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NNZC2025-C3-500021-GXYZ</w:t>
      </w:r>
    </w:p>
    <w:p w14:paraId="36E12356">
      <w:pPr>
        <w:shd w:val="clear"/>
        <w:wordWrap w:val="0"/>
        <w:spacing w:line="336"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lang w:eastAsia="zh-CN"/>
        </w:rPr>
        <w:t>南宁片区提升新质生产力发展动能咨询项目</w:t>
      </w:r>
    </w:p>
    <w:p w14:paraId="2D80774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采购方式：竞争性磋商</w:t>
      </w:r>
    </w:p>
    <w:p w14:paraId="54D323A1">
      <w:pPr>
        <w:shd w:val="clear"/>
        <w:wordWrap w:val="0"/>
        <w:spacing w:line="336" w:lineRule="auto"/>
        <w:ind w:firstLine="480" w:firstLineChars="2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采购计划文号：GXZC2025-C3-00046</w:t>
      </w:r>
    </w:p>
    <w:p w14:paraId="33A92988">
      <w:pPr>
        <w:shd w:val="clear"/>
        <w:wordWrap w:val="0"/>
        <w:spacing w:line="336"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预算金额：人民币</w:t>
      </w:r>
      <w:r>
        <w:rPr>
          <w:rFonts w:hint="eastAsia" w:asciiTheme="minorEastAsia" w:hAnsiTheme="minorEastAsia" w:eastAsiaTheme="minorEastAsia" w:cstheme="minorEastAsia"/>
          <w:color w:val="auto"/>
          <w:sz w:val="24"/>
          <w:highlight w:val="none"/>
          <w:lang w:val="en-US" w:eastAsia="zh-CN"/>
        </w:rPr>
        <w:t>伍拾万元整</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500000</w:t>
      </w:r>
      <w:r>
        <w:rPr>
          <w:rFonts w:hint="eastAsia" w:asciiTheme="minorEastAsia" w:hAnsiTheme="minorEastAsia" w:eastAsiaTheme="minorEastAsia" w:cstheme="minorEastAsia"/>
          <w:color w:val="auto"/>
          <w:sz w:val="24"/>
          <w:highlight w:val="none"/>
        </w:rPr>
        <w:t>.00）</w:t>
      </w:r>
    </w:p>
    <w:p w14:paraId="7CACB21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最高限价：人民币</w:t>
      </w:r>
      <w:r>
        <w:rPr>
          <w:rFonts w:hint="eastAsia" w:asciiTheme="minorEastAsia" w:hAnsiTheme="minorEastAsia" w:eastAsiaTheme="minorEastAsia" w:cstheme="minorEastAsia"/>
          <w:color w:val="auto"/>
          <w:sz w:val="24"/>
          <w:highlight w:val="none"/>
          <w:lang w:val="en-US" w:eastAsia="zh-CN"/>
        </w:rPr>
        <w:t>伍拾万元整</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500000</w:t>
      </w:r>
      <w:r>
        <w:rPr>
          <w:rFonts w:hint="eastAsia" w:asciiTheme="minorEastAsia" w:hAnsiTheme="minorEastAsia" w:eastAsiaTheme="minorEastAsia" w:cstheme="minorEastAsia"/>
          <w:color w:val="auto"/>
          <w:sz w:val="24"/>
          <w:highlight w:val="none"/>
        </w:rPr>
        <w:t>.00）</w:t>
      </w:r>
    </w:p>
    <w:p w14:paraId="099BF3DD">
      <w:pPr>
        <w:shd w:val="clear"/>
        <w:wordWrap w:val="0"/>
        <w:spacing w:line="336"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采购需求：</w:t>
      </w:r>
    </w:p>
    <w:tbl>
      <w:tblPr>
        <w:tblStyle w:val="21"/>
        <w:tblW w:w="968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8"/>
        <w:gridCol w:w="2132"/>
        <w:gridCol w:w="870"/>
        <w:gridCol w:w="810"/>
        <w:gridCol w:w="4755"/>
      </w:tblGrid>
      <w:tr w14:paraId="7E4E6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118" w:type="dxa"/>
            <w:tcBorders>
              <w:top w:val="single" w:color="auto" w:sz="4" w:space="0"/>
              <w:left w:val="single" w:color="auto" w:sz="4" w:space="0"/>
              <w:bottom w:val="single" w:color="auto" w:sz="4" w:space="0"/>
              <w:right w:val="single" w:color="auto" w:sz="4" w:space="0"/>
            </w:tcBorders>
            <w:vAlign w:val="center"/>
          </w:tcPr>
          <w:p w14:paraId="19F05A7D">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标段号</w:t>
            </w:r>
          </w:p>
        </w:tc>
        <w:tc>
          <w:tcPr>
            <w:tcW w:w="2132" w:type="dxa"/>
            <w:tcBorders>
              <w:top w:val="single" w:color="auto" w:sz="4" w:space="0"/>
              <w:left w:val="single" w:color="auto" w:sz="4" w:space="0"/>
              <w:bottom w:val="single" w:color="auto" w:sz="4" w:space="0"/>
              <w:right w:val="single" w:color="auto" w:sz="4" w:space="0"/>
            </w:tcBorders>
            <w:vAlign w:val="center"/>
          </w:tcPr>
          <w:p w14:paraId="0D407FB1">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标的的名称</w:t>
            </w:r>
          </w:p>
        </w:tc>
        <w:tc>
          <w:tcPr>
            <w:tcW w:w="870" w:type="dxa"/>
            <w:tcBorders>
              <w:top w:val="single" w:color="auto" w:sz="4" w:space="0"/>
              <w:left w:val="single" w:color="auto" w:sz="4" w:space="0"/>
              <w:bottom w:val="single" w:color="auto" w:sz="4" w:space="0"/>
              <w:right w:val="single" w:color="auto" w:sz="4" w:space="0"/>
            </w:tcBorders>
            <w:vAlign w:val="center"/>
          </w:tcPr>
          <w:p w14:paraId="544895C6">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810" w:type="dxa"/>
            <w:tcBorders>
              <w:top w:val="single" w:color="auto" w:sz="4" w:space="0"/>
              <w:left w:val="single" w:color="auto" w:sz="4" w:space="0"/>
              <w:bottom w:val="single" w:color="auto" w:sz="4" w:space="0"/>
              <w:right w:val="single" w:color="auto" w:sz="4" w:space="0"/>
            </w:tcBorders>
            <w:vAlign w:val="center"/>
          </w:tcPr>
          <w:p w14:paraId="1C99BB05">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w:t>
            </w:r>
          </w:p>
        </w:tc>
        <w:tc>
          <w:tcPr>
            <w:tcW w:w="4755" w:type="dxa"/>
            <w:tcBorders>
              <w:top w:val="single" w:color="auto" w:sz="4" w:space="0"/>
              <w:left w:val="single" w:color="auto" w:sz="4" w:space="0"/>
              <w:bottom w:val="single" w:color="auto" w:sz="4" w:space="0"/>
              <w:right w:val="single" w:color="auto" w:sz="4" w:space="0"/>
            </w:tcBorders>
            <w:vAlign w:val="center"/>
          </w:tcPr>
          <w:p w14:paraId="25DDD0F1">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简要技术需求或者服务要求</w:t>
            </w:r>
          </w:p>
        </w:tc>
      </w:tr>
      <w:tr w14:paraId="15959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18" w:type="dxa"/>
            <w:tcBorders>
              <w:top w:val="single" w:color="auto" w:sz="4" w:space="0"/>
              <w:left w:val="single" w:color="auto" w:sz="4" w:space="0"/>
              <w:bottom w:val="single" w:color="auto" w:sz="4" w:space="0"/>
              <w:right w:val="single" w:color="auto" w:sz="4" w:space="0"/>
            </w:tcBorders>
            <w:vAlign w:val="center"/>
          </w:tcPr>
          <w:p w14:paraId="0ABF07BE">
            <w:pPr>
              <w:shd w:val="clear"/>
              <w:snapToGrid w:val="0"/>
              <w:spacing w:line="336"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132" w:type="dxa"/>
            <w:tcBorders>
              <w:top w:val="single" w:color="auto" w:sz="4" w:space="0"/>
              <w:left w:val="single" w:color="auto" w:sz="4" w:space="0"/>
              <w:bottom w:val="single" w:color="auto" w:sz="4" w:space="0"/>
              <w:right w:val="single" w:color="auto" w:sz="4" w:space="0"/>
            </w:tcBorders>
            <w:vAlign w:val="center"/>
          </w:tcPr>
          <w:p w14:paraId="3DD0BFEF">
            <w:pPr>
              <w:shd w:val="clear"/>
              <w:wordWrap w:val="0"/>
              <w:snapToGrid w:val="0"/>
              <w:spacing w:line="336" w:lineRule="auto"/>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南宁片区提升新质生产力发展动能咨询项目</w:t>
            </w:r>
          </w:p>
        </w:tc>
        <w:tc>
          <w:tcPr>
            <w:tcW w:w="870" w:type="dxa"/>
            <w:tcBorders>
              <w:top w:val="single" w:color="auto" w:sz="4" w:space="0"/>
              <w:left w:val="single" w:color="auto" w:sz="4" w:space="0"/>
              <w:bottom w:val="single" w:color="auto" w:sz="4" w:space="0"/>
              <w:right w:val="single" w:color="auto" w:sz="4" w:space="0"/>
            </w:tcBorders>
            <w:vAlign w:val="center"/>
          </w:tcPr>
          <w:p w14:paraId="50F8D79C">
            <w:pPr>
              <w:shd w:val="clear"/>
              <w:snapToGrid w:val="0"/>
              <w:spacing w:line="336" w:lineRule="auto"/>
              <w:jc w:val="center"/>
              <w:rPr>
                <w:rFonts w:ascii="宋体" w:hAnsi="宋体" w:cs="宋体"/>
                <w:color w:val="auto"/>
                <w:sz w:val="24"/>
                <w:highlight w:val="none"/>
              </w:rPr>
            </w:pPr>
            <w:r>
              <w:rPr>
                <w:rFonts w:hint="eastAsia" w:ascii="宋体" w:hAnsi="宋体" w:cs="宋体"/>
                <w:color w:val="auto"/>
                <w:sz w:val="24"/>
                <w:highlight w:val="none"/>
              </w:rPr>
              <w:t>项</w:t>
            </w:r>
          </w:p>
        </w:tc>
        <w:tc>
          <w:tcPr>
            <w:tcW w:w="810" w:type="dxa"/>
            <w:tcBorders>
              <w:top w:val="single" w:color="auto" w:sz="4" w:space="0"/>
              <w:left w:val="single" w:color="auto" w:sz="4" w:space="0"/>
              <w:bottom w:val="single" w:color="auto" w:sz="4" w:space="0"/>
              <w:right w:val="single" w:color="auto" w:sz="4" w:space="0"/>
            </w:tcBorders>
            <w:vAlign w:val="center"/>
          </w:tcPr>
          <w:p w14:paraId="1C8C0021">
            <w:pPr>
              <w:shd w:val="clear"/>
              <w:snapToGrid w:val="0"/>
              <w:spacing w:line="336" w:lineRule="auto"/>
              <w:jc w:val="center"/>
              <w:rPr>
                <w:rFonts w:ascii="宋体" w:hAnsi="宋体" w:cs="宋体"/>
                <w:b w:val="0"/>
                <w:bCs w:val="0"/>
                <w:color w:val="auto"/>
                <w:sz w:val="24"/>
                <w:highlight w:val="none"/>
              </w:rPr>
            </w:pPr>
            <w:r>
              <w:rPr>
                <w:rFonts w:hint="eastAsia" w:ascii="宋体" w:hAnsi="宋体" w:cs="宋体"/>
                <w:b w:val="0"/>
                <w:bCs w:val="0"/>
                <w:color w:val="auto"/>
                <w:sz w:val="24"/>
                <w:highlight w:val="none"/>
              </w:rPr>
              <w:t>1</w:t>
            </w:r>
          </w:p>
        </w:tc>
        <w:tc>
          <w:tcPr>
            <w:tcW w:w="4755" w:type="dxa"/>
            <w:tcBorders>
              <w:top w:val="single" w:color="auto" w:sz="4" w:space="0"/>
              <w:left w:val="single" w:color="auto" w:sz="4" w:space="0"/>
              <w:bottom w:val="single" w:color="auto" w:sz="4" w:space="0"/>
              <w:right w:val="single" w:color="auto" w:sz="4" w:space="0"/>
            </w:tcBorders>
            <w:vAlign w:val="center"/>
          </w:tcPr>
          <w:p w14:paraId="28F13BA9">
            <w:pPr>
              <w:pStyle w:val="14"/>
              <w:shd w:val="clear"/>
              <w:spacing w:line="336" w:lineRule="auto"/>
              <w:ind w:firstLine="480" w:firstLineChars="200"/>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lang w:eastAsia="zh-CN"/>
              </w:rPr>
              <w:t>.项目范围：中国（广西）自由贸易试验区南宁片区</w:t>
            </w:r>
          </w:p>
          <w:p w14:paraId="1412E92F">
            <w:pPr>
              <w:pStyle w:val="14"/>
              <w:shd w:val="clear"/>
              <w:spacing w:line="336" w:lineRule="auto"/>
              <w:ind w:firstLine="480" w:firstLineChars="200"/>
              <w:rPr>
                <w:b w:val="0"/>
                <w:bCs w:val="0"/>
                <w:color w:val="auto"/>
                <w:highlight w:val="none"/>
              </w:rPr>
            </w:pP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lang w:eastAsia="zh-CN"/>
              </w:rPr>
              <w:t>.项目内容及工作要求：</w:t>
            </w:r>
            <w:r>
              <w:rPr>
                <w:rFonts w:hint="eastAsia" w:ascii="宋体" w:hAnsi="宋体" w:cs="宋体"/>
                <w:b w:val="0"/>
                <w:bCs w:val="0"/>
                <w:color w:val="auto"/>
                <w:sz w:val="24"/>
                <w:highlight w:val="none"/>
                <w:lang w:val="en-US" w:eastAsia="zh-CN"/>
              </w:rPr>
              <w:t>委托第三方梳理南宁片区新质生产力的发展现状和趋势，研究制约南宁片区加快形成新质生产力的瓶颈问题；结合新一轮科技革命</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具体详见</w:t>
            </w:r>
            <w:r>
              <w:rPr>
                <w:rFonts w:hint="eastAsia" w:ascii="宋体" w:hAnsi="宋体" w:cs="宋体"/>
                <w:b/>
                <w:bCs/>
                <w:color w:val="auto"/>
                <w:sz w:val="24"/>
                <w:highlight w:val="none"/>
                <w:lang w:val="en-US" w:eastAsia="zh-CN"/>
              </w:rPr>
              <w:t>第二章 采购需求</w:t>
            </w:r>
            <w:r>
              <w:rPr>
                <w:rFonts w:hint="eastAsia" w:ascii="宋体" w:hAnsi="宋体" w:cs="宋体"/>
                <w:b/>
                <w:bCs/>
                <w:color w:val="auto"/>
                <w:sz w:val="24"/>
                <w:highlight w:val="none"/>
              </w:rPr>
              <w:t>。</w:t>
            </w:r>
          </w:p>
        </w:tc>
      </w:tr>
    </w:tbl>
    <w:p w14:paraId="742108B5">
      <w:pPr>
        <w:shd w:val="clear"/>
        <w:wordWrap w:val="0"/>
        <w:spacing w:line="336"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合同履行期限：详见竞争性磋商文件。</w:t>
      </w:r>
    </w:p>
    <w:p w14:paraId="0411A1F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本项目是否接受联合体：不接受联合体</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w:t>
      </w:r>
    </w:p>
    <w:p w14:paraId="5C35653D">
      <w:pPr>
        <w:shd w:val="clear"/>
        <w:wordWrap w:val="0"/>
        <w:spacing w:line="336" w:lineRule="auto"/>
        <w:ind w:firstLine="482" w:firstLineChars="200"/>
        <w:rPr>
          <w:rFonts w:asciiTheme="minorEastAsia" w:hAnsiTheme="minorEastAsia" w:eastAsiaTheme="minorEastAsia" w:cstheme="minorEastAsia"/>
          <w:bCs/>
          <w:color w:val="auto"/>
          <w:sz w:val="24"/>
          <w:highlight w:val="none"/>
        </w:rPr>
      </w:pPr>
      <w:bookmarkStart w:id="10" w:name="_Toc28359013"/>
      <w:bookmarkStart w:id="11" w:name="_Toc35393630"/>
      <w:bookmarkStart w:id="12" w:name="_Toc35393799"/>
      <w:bookmarkStart w:id="13" w:name="_Toc44229879"/>
      <w:bookmarkStart w:id="14" w:name="_Toc28359090"/>
      <w:r>
        <w:rPr>
          <w:rFonts w:hint="eastAsia" w:asciiTheme="minorEastAsia" w:hAnsiTheme="minorEastAsia" w:eastAsiaTheme="minorEastAsia" w:cstheme="minorEastAsia"/>
          <w:b/>
          <w:color w:val="auto"/>
          <w:kern w:val="44"/>
          <w:sz w:val="24"/>
          <w:highlight w:val="none"/>
        </w:rPr>
        <w:t>二、供应商的资格条件</w:t>
      </w:r>
      <w:bookmarkEnd w:id="10"/>
      <w:bookmarkEnd w:id="11"/>
      <w:bookmarkEnd w:id="12"/>
      <w:bookmarkEnd w:id="13"/>
      <w:bookmarkEnd w:id="14"/>
    </w:p>
    <w:p w14:paraId="3AA3A28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1、满足《中华人民共和国政府采购法》第二十二条规定；</w:t>
      </w:r>
    </w:p>
    <w:p w14:paraId="32046211">
      <w:pPr>
        <w:shd w:val="clear"/>
        <w:wordWrap w:val="0"/>
        <w:spacing w:line="336" w:lineRule="auto"/>
        <w:ind w:firstLine="480" w:firstLineChars="200"/>
        <w:rPr>
          <w:rFonts w:ascii="宋体" w:hAnsi="宋体" w:cs="宋体"/>
          <w:strike/>
          <w:color w:val="auto"/>
          <w:sz w:val="24"/>
          <w:highlight w:val="none"/>
        </w:rPr>
      </w:pPr>
      <w:r>
        <w:rPr>
          <w:rFonts w:hint="eastAsia" w:asciiTheme="minorEastAsia" w:hAnsiTheme="minorEastAsia" w:eastAsiaTheme="minorEastAsia" w:cstheme="minorEastAsia"/>
          <w:color w:val="auto"/>
          <w:sz w:val="24"/>
          <w:highlight w:val="none"/>
        </w:rPr>
        <w:t>2、落实政府采购政策需满足的资格要求：专门面向中小企业采购的项目（供应商应为中小微企业、监狱企业、残疾人福利性单位)；</w:t>
      </w:r>
    </w:p>
    <w:p w14:paraId="0DD2E84F">
      <w:pPr>
        <w:shd w:val="clear"/>
        <w:wordWrap w:val="0"/>
        <w:spacing w:line="336" w:lineRule="auto"/>
        <w:ind w:firstLine="480" w:firstLineChars="200"/>
        <w:rPr>
          <w:rFonts w:hint="eastAsia" w:eastAsia="宋体" w:asciiTheme="minorEastAsia" w:hAnsiTheme="minorEastAsia" w:cstheme="minorEastAsia"/>
          <w:b/>
          <w:bCs/>
          <w:color w:val="auto"/>
          <w:sz w:val="24"/>
          <w:highlight w:val="none"/>
          <w:lang w:eastAsia="zh-CN"/>
        </w:rPr>
      </w:pPr>
      <w:r>
        <w:rPr>
          <w:rFonts w:hint="eastAsia" w:asciiTheme="minorEastAsia" w:hAnsiTheme="minorEastAsia" w:eastAsiaTheme="minorEastAsia" w:cstheme="minorEastAsia"/>
          <w:color w:val="auto"/>
          <w:sz w:val="24"/>
          <w:highlight w:val="none"/>
        </w:rPr>
        <w:t>3、本项目的特定资格要求：</w:t>
      </w:r>
      <w:r>
        <w:rPr>
          <w:rFonts w:hint="eastAsia" w:ascii="宋体" w:hAnsi="宋体" w:cs="宋体"/>
          <w:color w:val="auto"/>
          <w:sz w:val="24"/>
          <w:szCs w:val="24"/>
          <w:highlight w:val="none"/>
          <w:lang w:val="en-US" w:eastAsia="zh-CN"/>
        </w:rPr>
        <w:t>无</w:t>
      </w:r>
      <w:r>
        <w:rPr>
          <w:rFonts w:hint="eastAsia" w:ascii="宋体" w:hAnsi="宋体" w:eastAsia="宋体" w:cs="宋体"/>
          <w:color w:val="auto"/>
          <w:sz w:val="24"/>
          <w:szCs w:val="24"/>
          <w:highlight w:val="none"/>
          <w:lang w:eastAsia="zh-CN"/>
        </w:rPr>
        <w:t>。</w:t>
      </w:r>
    </w:p>
    <w:p w14:paraId="2539DC1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4、本项目的特定条件：无</w:t>
      </w:r>
    </w:p>
    <w:p w14:paraId="6C459402">
      <w:pPr>
        <w:shd w:val="clear"/>
        <w:wordWrap w:val="0"/>
        <w:snapToGrid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E11386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6、对在“信用中国”网站(www.creditchina.gov.cn) 、中国政府采购网(www.ccgp.gov.cn)被列入失信被执行人、</w:t>
      </w:r>
      <w:r>
        <w:rPr>
          <w:rFonts w:hint="eastAsia" w:asciiTheme="minorEastAsia" w:hAnsiTheme="minorEastAsia" w:eastAsiaTheme="minorEastAsia" w:cstheme="minorEastAsia"/>
          <w:color w:val="auto"/>
          <w:sz w:val="24"/>
          <w:highlight w:val="none"/>
          <w:lang w:eastAsia="zh-CN"/>
        </w:rPr>
        <w:t>重大税收违法失信主体</w:t>
      </w:r>
      <w:r>
        <w:rPr>
          <w:rFonts w:hint="eastAsia" w:asciiTheme="minorEastAsia" w:hAnsiTheme="minorEastAsia" w:eastAsiaTheme="minorEastAsia" w:cstheme="minorEastAsia"/>
          <w:color w:val="auto"/>
          <w:sz w:val="24"/>
          <w:highlight w:val="none"/>
        </w:rPr>
        <w:t>、政府采购严重违法失信行为记录名单及其他不符合《中华人民共和国政府采购法》第二十二条规定条件的供应商，不得参与政府采购活动。</w:t>
      </w:r>
    </w:p>
    <w:p w14:paraId="348142F2">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三、获取竞争性磋商文件</w:t>
      </w:r>
      <w:bookmarkEnd w:id="6"/>
      <w:bookmarkEnd w:id="7"/>
      <w:bookmarkEnd w:id="8"/>
      <w:bookmarkEnd w:id="9"/>
    </w:p>
    <w:p w14:paraId="6A342FF2">
      <w:pPr>
        <w:shd w:val="clear"/>
        <w:wordWrap w:val="0"/>
        <w:spacing w:line="336" w:lineRule="auto"/>
        <w:ind w:firstLine="480" w:firstLineChars="200"/>
        <w:rPr>
          <w:rFonts w:asciiTheme="minorEastAsia" w:hAnsiTheme="minorEastAsia" w:eastAsiaTheme="minorEastAsia" w:cstheme="minorEastAsia"/>
          <w:color w:val="auto"/>
          <w:sz w:val="24"/>
          <w:highlight w:val="none"/>
        </w:rPr>
      </w:pPr>
      <w:bookmarkStart w:id="15" w:name="_Toc35393793"/>
      <w:bookmarkStart w:id="16" w:name="_Toc28359082"/>
      <w:bookmarkStart w:id="17" w:name="_Toc35393624"/>
      <w:bookmarkStart w:id="18" w:name="_Toc28359005"/>
      <w:r>
        <w:rPr>
          <w:rFonts w:hint="eastAsia" w:asciiTheme="minorEastAsia" w:hAnsiTheme="minorEastAsia" w:eastAsiaTheme="minorEastAsia" w:cstheme="minorEastAsia"/>
          <w:color w:val="auto"/>
          <w:sz w:val="24"/>
          <w:highlight w:val="none"/>
        </w:rPr>
        <w:t>时间：自公告发布之日起。</w:t>
      </w:r>
    </w:p>
    <w:p w14:paraId="6048E4C2">
      <w:pPr>
        <w:shd w:val="clear"/>
        <w:wordWrap w:val="0"/>
        <w:spacing w:line="336" w:lineRule="auto"/>
        <w:ind w:firstLine="480"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获取方式:网上下载。本项目不发放纸质采购文件，供应商可自行在广西政府采购云平台（https://login.gcy.zfcg.gxzf.gov.cn/user-login/#/）下载采购文件（操作路径：登录“广西政府采购云平台”-项目采购-获取采购文件-找到本项目-点击“申请获取采购文件”），电子响应文件制作需要基于广西政府采购云平台（https://login.gcy.zfcg.gxzf.gov.cn/user-login/#/）获取的采购文件编制。</w:t>
      </w:r>
    </w:p>
    <w:p w14:paraId="559F6DB3">
      <w:pPr>
        <w:shd w:val="clear"/>
        <w:wordWrap w:val="0"/>
        <w:snapToGrid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售价：0元。</w:t>
      </w:r>
    </w:p>
    <w:p w14:paraId="4035A6BB">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四、</w:t>
      </w:r>
      <w:bookmarkEnd w:id="15"/>
      <w:bookmarkEnd w:id="16"/>
      <w:bookmarkEnd w:id="17"/>
      <w:bookmarkEnd w:id="18"/>
      <w:r>
        <w:rPr>
          <w:rFonts w:hint="eastAsia" w:asciiTheme="minorEastAsia" w:hAnsiTheme="minorEastAsia" w:eastAsiaTheme="minorEastAsia" w:cstheme="minorEastAsia"/>
          <w:b/>
          <w:bCs/>
          <w:color w:val="auto"/>
          <w:sz w:val="24"/>
          <w:highlight w:val="none"/>
        </w:rPr>
        <w:t>响应文件提交</w:t>
      </w:r>
    </w:p>
    <w:p w14:paraId="27A832C4">
      <w:pPr>
        <w:shd w:val="clear"/>
        <w:wordWrap w:val="0"/>
        <w:spacing w:line="336" w:lineRule="auto"/>
        <w:ind w:firstLine="480" w:firstLineChars="200"/>
        <w:rPr>
          <w:rFonts w:hint="default"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color w:val="auto"/>
          <w:sz w:val="24"/>
          <w:highlight w:val="none"/>
        </w:rPr>
        <w:t>1、首次响应文件提交截止时间</w:t>
      </w:r>
      <w:r>
        <w:rPr>
          <w:rFonts w:hint="eastAsia" w:asciiTheme="minorEastAsia" w:hAnsiTheme="minorEastAsia" w:eastAsiaTheme="minorEastAsia" w:cstheme="minorEastAsia"/>
          <w:bCs/>
          <w:color w:val="auto"/>
          <w:sz w:val="24"/>
          <w:highlight w:val="none"/>
        </w:rPr>
        <w:t>（北京时间）：</w:t>
      </w:r>
      <w:r>
        <w:rPr>
          <w:rFonts w:hint="eastAsia" w:ascii="宋体" w:hAnsi="宋体" w:eastAsia="宋体" w:cs="宋体"/>
          <w:color w:val="auto"/>
          <w:sz w:val="24"/>
          <w:highlight w:val="none"/>
          <w:u w:val="single"/>
          <w:lang w:eastAsia="zh-CN"/>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lang w:eastAsia="zh-CN"/>
        </w:rPr>
        <w:t>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15</w:t>
      </w:r>
      <w:r>
        <w:rPr>
          <w:rFonts w:hint="eastAsia" w:ascii="宋体" w:hAnsi="宋体" w:eastAsia="宋体" w:cs="宋体"/>
          <w:color w:val="auto"/>
          <w:sz w:val="24"/>
          <w:highlight w:val="none"/>
          <w:u w:val="single"/>
          <w:lang w:eastAsia="zh-CN"/>
        </w:rPr>
        <w:t>日</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lang w:eastAsia="zh-CN"/>
        </w:rPr>
        <w:t>时</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lang w:eastAsia="zh-CN"/>
        </w:rPr>
        <w:t>分</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u w:val="single"/>
          <w:lang w:eastAsia="zh-CN"/>
        </w:rPr>
        <w:t>秒</w:t>
      </w:r>
    </w:p>
    <w:p w14:paraId="7626797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2、首次响应文件提交地点：</w:t>
      </w:r>
    </w:p>
    <w:p w14:paraId="3F2D4246">
      <w:pPr>
        <w:widowControl/>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（1）响应文件提交方式：本项目为南宁市全流程电子化项目，通过广西政府采购云平台（https://login.gcy.zfcg.gxzf.gov.cn/user-login/#/）实行在线电子响应，供应商应先安装“广西政府采购云平台客户端”（请自行前往</w:t>
      </w:r>
      <w:r>
        <w:rPr>
          <w:rFonts w:hint="eastAsia" w:asciiTheme="minorEastAsia" w:hAnsiTheme="minorEastAsia" w:eastAsiaTheme="minorEastAsia" w:cstheme="minorEastAsia"/>
          <w:color w:val="auto"/>
          <w:sz w:val="24"/>
          <w:highlight w:val="none"/>
          <w:lang w:eastAsia="zh-CN"/>
        </w:rPr>
        <w:t>“广西政府采购云平台”</w:t>
      </w:r>
      <w:r>
        <w:rPr>
          <w:rFonts w:hint="eastAsia" w:asciiTheme="minorEastAsia" w:hAnsiTheme="minorEastAsia" w:eastAsiaTheme="minorEastAsia" w:cstheme="minorEastAsia"/>
          <w:color w:val="auto"/>
          <w:sz w:val="24"/>
          <w:highlight w:val="none"/>
        </w:rPr>
        <w:t>平台进行下载），并按照本项目采购文件和</w:t>
      </w:r>
      <w:r>
        <w:rPr>
          <w:rFonts w:hint="eastAsia" w:asciiTheme="minorEastAsia" w:hAnsiTheme="minorEastAsia" w:eastAsiaTheme="minorEastAsia" w:cstheme="minorEastAsia"/>
          <w:color w:val="auto"/>
          <w:sz w:val="24"/>
          <w:highlight w:val="none"/>
          <w:lang w:eastAsia="zh-CN"/>
        </w:rPr>
        <w:t>“广西政府采购云平台”</w:t>
      </w:r>
      <w:r>
        <w:rPr>
          <w:rFonts w:hint="eastAsia" w:asciiTheme="minorEastAsia" w:hAnsiTheme="minorEastAsia" w:eastAsiaTheme="minorEastAsia" w:cstheme="minorEastAsia"/>
          <w:color w:val="auto"/>
          <w:sz w:val="24"/>
          <w:highlight w:val="none"/>
        </w:rPr>
        <w:t>的要求编制、加密后在</w:t>
      </w:r>
      <w:r>
        <w:rPr>
          <w:rFonts w:hint="eastAsia" w:asciiTheme="minorEastAsia" w:hAnsiTheme="minorEastAsia" w:eastAsiaTheme="minorEastAsia" w:cstheme="minorEastAsia"/>
          <w:color w:val="auto"/>
          <w:sz w:val="24"/>
          <w:highlight w:val="none"/>
          <w:lang w:eastAsia="zh-CN"/>
        </w:rPr>
        <w:t>响应</w:t>
      </w:r>
      <w:r>
        <w:rPr>
          <w:rFonts w:hint="eastAsia" w:asciiTheme="minorEastAsia" w:hAnsiTheme="minorEastAsia" w:eastAsiaTheme="minorEastAsia" w:cstheme="minorEastAsia"/>
          <w:color w:val="auto"/>
          <w:sz w:val="24"/>
          <w:highlight w:val="none"/>
        </w:rPr>
        <w:t>截止时间前通过网络上传至南宁市</w:t>
      </w:r>
      <w:r>
        <w:rPr>
          <w:rFonts w:hint="eastAsia" w:asciiTheme="minorEastAsia" w:hAnsiTheme="minorEastAsia" w:eastAsiaTheme="minorEastAsia" w:cstheme="minorEastAsia"/>
          <w:color w:val="auto"/>
          <w:sz w:val="24"/>
          <w:highlight w:val="none"/>
          <w:lang w:eastAsia="zh-CN"/>
        </w:rPr>
        <w:t>“广西政府采购云平台”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供应商在</w:t>
      </w:r>
      <w:r>
        <w:rPr>
          <w:rFonts w:hint="eastAsia" w:asciiTheme="minorEastAsia" w:hAnsiTheme="minorEastAsia" w:eastAsiaTheme="minorEastAsia" w:cstheme="minorEastAsia"/>
          <w:b/>
          <w:color w:val="auto"/>
          <w:sz w:val="24"/>
          <w:highlight w:val="none"/>
          <w:lang w:eastAsia="zh-CN"/>
        </w:rPr>
        <w:t>“广西政府采购云平台”</w:t>
      </w:r>
      <w:r>
        <w:rPr>
          <w:rFonts w:hint="eastAsia" w:asciiTheme="minorEastAsia" w:hAnsiTheme="minorEastAsia" w:eastAsiaTheme="minorEastAsia" w:cstheme="minorEastAsia"/>
          <w:b/>
          <w:color w:val="auto"/>
          <w:sz w:val="24"/>
          <w:highlight w:val="none"/>
        </w:rPr>
        <w:t>提交电子版响应文件时，请填写参加远程采购活动经办人联系方式，</w:t>
      </w:r>
      <w:r>
        <w:rPr>
          <w:rFonts w:hint="eastAsia" w:asciiTheme="minorEastAsia" w:hAnsiTheme="minorEastAsia" w:eastAsiaTheme="minorEastAsia" w:cstheme="minorEastAsia"/>
          <w:color w:val="auto"/>
          <w:sz w:val="24"/>
          <w:highlight w:val="none"/>
        </w:rPr>
        <w:t>电子响应文件具体操作流程详见本公告附件。</w:t>
      </w:r>
    </w:p>
    <w:p w14:paraId="0DE8C211">
      <w:pPr>
        <w:keepNext w:val="0"/>
        <w:keepLines w:val="0"/>
        <w:pageBreakBefore w:val="0"/>
        <w:widowControl/>
        <w:shd w:val="clear"/>
        <w:kinsoku/>
        <w:wordWrap w:val="0"/>
        <w:overflowPunct/>
        <w:topLinePunct w:val="0"/>
        <w:autoSpaceDE/>
        <w:autoSpaceDN/>
        <w:bidi w:val="0"/>
        <w:adjustRightInd/>
        <w:spacing w:line="400" w:lineRule="exact"/>
        <w:ind w:firstLine="480" w:firstLineChars="200"/>
        <w:jc w:val="left"/>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（2）未进行网上注册并办理数字证书（CA认证）的供应商将无法参与本项目政府采购活动，潜在供应商应当在</w:t>
      </w:r>
      <w:r>
        <w:rPr>
          <w:rFonts w:hint="eastAsia" w:asciiTheme="minorEastAsia" w:hAnsiTheme="minorEastAsia" w:eastAsiaTheme="minorEastAsia" w:cstheme="minorEastAsia"/>
          <w:color w:val="auto"/>
          <w:sz w:val="24"/>
          <w:highlight w:val="none"/>
          <w:lang w:eastAsia="zh-CN"/>
        </w:rPr>
        <w:t>响应</w:t>
      </w:r>
      <w:r>
        <w:rPr>
          <w:rFonts w:hint="eastAsia" w:asciiTheme="minorEastAsia" w:hAnsiTheme="minorEastAsia" w:eastAsiaTheme="minorEastAsia" w:cstheme="minorEastAsia"/>
          <w:color w:val="auto"/>
          <w:sz w:val="24"/>
          <w:highlight w:val="none"/>
        </w:rPr>
        <w:t>截止时间前，完成电子交易平台上的CA数字证书办理（申领流程见本公告附件）及响应文件的提交。完成CA数字证书办理预计7日左右，供应商只需办理其中一家CA数字证书及签章。</w:t>
      </w:r>
    </w:p>
    <w:p w14:paraId="13D96023">
      <w:pPr>
        <w:keepNext w:val="0"/>
        <w:keepLines w:val="0"/>
        <w:pageBreakBefore w:val="0"/>
        <w:widowControl/>
        <w:shd w:val="clear"/>
        <w:kinsoku/>
        <w:wordWrap w:val="0"/>
        <w:overflowPunct/>
        <w:topLinePunct w:val="0"/>
        <w:autoSpaceDE/>
        <w:autoSpaceDN/>
        <w:bidi w:val="0"/>
        <w:adjustRightInd/>
        <w:spacing w:line="400" w:lineRule="exact"/>
        <w:ind w:firstLine="480" w:firstLineChars="200"/>
        <w:jc w:val="left"/>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（3）为确保网上操作合法、有效和安全，请供应商确保在电子响应过程中能够对相关数据电文进行加密和使用电子签章，妥善保管CA数字证书并使用有效的CA数字证书参与整个采购活动。</w:t>
      </w:r>
    </w:p>
    <w:p w14:paraId="2C64FBE4">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Theme="minorEastAsia" w:hAnsiTheme="minorEastAsia" w:eastAsiaTheme="minorEastAsia" w:cstheme="minorEastAsia"/>
          <w:bCs/>
          <w:color w:val="auto"/>
          <w:sz w:val="24"/>
          <w:highlight w:val="none"/>
          <w:u w:val="single"/>
          <w:lang w:eastAsia="zh-CN"/>
        </w:rPr>
        <w:t>“广西政府采购云平台”</w:t>
      </w:r>
      <w:r>
        <w:rPr>
          <w:rFonts w:hint="eastAsia" w:asciiTheme="minorEastAsia" w:hAnsiTheme="minorEastAsia" w:eastAsiaTheme="minorEastAsia" w:cstheme="minorEastAsia"/>
          <w:bCs/>
          <w:color w:val="auto"/>
          <w:sz w:val="24"/>
          <w:highlight w:val="none"/>
          <w:u w:val="single"/>
        </w:rPr>
        <w:t>平台将予以拒收。</w:t>
      </w:r>
    </w:p>
    <w:p w14:paraId="74133AFF">
      <w:pPr>
        <w:keepNext w:val="0"/>
        <w:keepLines w:val="0"/>
        <w:pageBreakBefore w:val="0"/>
        <w:shd w:val="clear"/>
        <w:kinsoku/>
        <w:wordWrap w:val="0"/>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3、CA证书在线解密：首次响应文件开启时，须要供应商携带制作响应文件时用来加</w:t>
      </w:r>
      <w:r>
        <w:rPr>
          <w:rFonts w:hint="eastAsia" w:asciiTheme="minorEastAsia" w:hAnsiTheme="minorEastAsia" w:eastAsiaTheme="minorEastAsia" w:cstheme="minorEastAsia"/>
          <w:color w:val="auto"/>
          <w:kern w:val="0"/>
          <w:sz w:val="24"/>
          <w:highlight w:val="none"/>
          <w:lang w:val="en-US" w:eastAsia="zh-CN"/>
        </w:rPr>
        <w:t>密的</w:t>
      </w:r>
      <w:r>
        <w:rPr>
          <w:rFonts w:hint="eastAsia" w:asciiTheme="minorEastAsia" w:hAnsiTheme="minorEastAsia" w:eastAsiaTheme="minorEastAsia" w:cstheme="minorEastAsia"/>
          <w:color w:val="auto"/>
          <w:kern w:val="0"/>
          <w:sz w:val="24"/>
          <w:highlight w:val="none"/>
        </w:rPr>
        <w:t>有效数字证书(CA 认证)登录</w:t>
      </w:r>
      <w:r>
        <w:rPr>
          <w:rFonts w:hint="eastAsia" w:asciiTheme="minorEastAsia" w:hAnsiTheme="minorEastAsia" w:eastAsiaTheme="minorEastAsia" w:cstheme="minorEastAsia"/>
          <w:color w:val="auto"/>
          <w:kern w:val="0"/>
          <w:sz w:val="24"/>
          <w:highlight w:val="none"/>
          <w:lang w:eastAsia="zh-CN"/>
        </w:rPr>
        <w:t>“广西政府采购云平台”</w:t>
      </w:r>
      <w:r>
        <w:rPr>
          <w:rFonts w:hint="eastAsia" w:asciiTheme="minorEastAsia" w:hAnsiTheme="minorEastAsia" w:eastAsiaTheme="minorEastAsia" w:cstheme="minorEastAsia"/>
          <w:color w:val="auto"/>
          <w:kern w:val="0"/>
          <w:sz w:val="24"/>
          <w:highlight w:val="none"/>
        </w:rPr>
        <w:t>电子开标大厅现场按规定时间对加密的响应文件进行解密，未能</w:t>
      </w:r>
      <w:r>
        <w:rPr>
          <w:rFonts w:hint="eastAsia" w:asciiTheme="minorEastAsia" w:hAnsiTheme="minorEastAsia" w:eastAsiaTheme="minorEastAsia" w:cstheme="minorEastAsia"/>
          <w:color w:val="auto"/>
          <w:kern w:val="0"/>
          <w:sz w:val="24"/>
          <w:highlight w:val="none"/>
          <w:lang w:val="en-US" w:eastAsia="zh-CN"/>
        </w:rPr>
        <w:t>按</w:t>
      </w:r>
      <w:r>
        <w:rPr>
          <w:rFonts w:hint="eastAsia" w:asciiTheme="minorEastAsia" w:hAnsiTheme="minorEastAsia" w:eastAsiaTheme="minorEastAsia" w:cstheme="minorEastAsia"/>
          <w:color w:val="auto"/>
          <w:kern w:val="0"/>
          <w:sz w:val="24"/>
          <w:highlight w:val="none"/>
        </w:rPr>
        <w:t>要求进行解密的，由此产生的后果由供应商自行承担</w:t>
      </w:r>
      <w:r>
        <w:rPr>
          <w:rFonts w:hint="eastAsia" w:asciiTheme="minorEastAsia" w:hAnsiTheme="minorEastAsia" w:eastAsiaTheme="minorEastAsia" w:cstheme="minorEastAsia"/>
          <w:color w:val="auto"/>
          <w:kern w:val="0"/>
          <w:sz w:val="24"/>
          <w:highlight w:val="none"/>
          <w:lang w:eastAsia="zh-CN"/>
        </w:rPr>
        <w:t>。</w:t>
      </w:r>
    </w:p>
    <w:p w14:paraId="68DEA37D">
      <w:pPr>
        <w:keepNext w:val="0"/>
        <w:keepLines w:val="0"/>
        <w:pageBreakBefore w:val="0"/>
        <w:shd w:val="clear"/>
        <w:kinsoku/>
        <w:wordWrap w:val="0"/>
        <w:overflowPunct/>
        <w:topLinePunct w:val="0"/>
        <w:autoSpaceDE/>
        <w:autoSpaceDN/>
        <w:bidi w:val="0"/>
        <w:adjustRightInd/>
        <w:snapToGrid w:val="0"/>
        <w:spacing w:line="400" w:lineRule="exact"/>
        <w:ind w:firstLine="480" w:firstLineChars="200"/>
        <w:textAlignment w:val="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4、供应商需要在具备有摄像头及语音功能且互联网网络状况良好的电脑登录</w:t>
      </w:r>
      <w:r>
        <w:rPr>
          <w:rFonts w:hint="eastAsia" w:asciiTheme="minorEastAsia" w:hAnsiTheme="minorEastAsia" w:eastAsiaTheme="minorEastAsia" w:cstheme="minorEastAsia"/>
          <w:color w:val="auto"/>
          <w:kern w:val="0"/>
          <w:sz w:val="24"/>
          <w:highlight w:val="none"/>
          <w:lang w:eastAsia="zh-CN"/>
        </w:rPr>
        <w:t>“广西政府采购云平台”</w:t>
      </w:r>
      <w:r>
        <w:rPr>
          <w:rFonts w:hint="eastAsia" w:asciiTheme="minorEastAsia" w:hAnsiTheme="minorEastAsia" w:eastAsiaTheme="minorEastAsia" w:cstheme="minorEastAsia"/>
          <w:color w:val="auto"/>
          <w:kern w:val="0"/>
          <w:sz w:val="24"/>
          <w:highlight w:val="none"/>
        </w:rPr>
        <w:t>平台远程开标大厅参与本次磋商，否则后果自负。</w:t>
      </w:r>
    </w:p>
    <w:p w14:paraId="508C816C">
      <w:pPr>
        <w:keepNext w:val="0"/>
        <w:keepLines w:val="0"/>
        <w:pageBreakBefore w:val="0"/>
        <w:shd w:val="clear"/>
        <w:kinsoku/>
        <w:wordWrap w:val="0"/>
        <w:overflowPunct/>
        <w:topLinePunct w:val="0"/>
        <w:autoSpaceDE/>
        <w:autoSpaceDN/>
        <w:bidi w:val="0"/>
        <w:adjustRightInd/>
        <w:spacing w:line="400" w:lineRule="exact"/>
        <w:ind w:firstLine="482" w:firstLineChars="20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w:t>五、开启（首次响应文件开启时间）</w:t>
      </w:r>
    </w:p>
    <w:p w14:paraId="2B0B5A2F">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1.时间（北京时间）：</w:t>
      </w:r>
      <w:r>
        <w:rPr>
          <w:rFonts w:hint="eastAsia" w:ascii="宋体" w:hAnsi="宋体" w:eastAsia="宋体" w:cs="宋体"/>
          <w:color w:val="auto"/>
          <w:sz w:val="24"/>
          <w:highlight w:val="none"/>
          <w:u w:val="single"/>
          <w:lang w:eastAsia="zh-CN"/>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lang w:eastAsia="zh-CN"/>
        </w:rPr>
        <w:t>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15</w:t>
      </w:r>
      <w:r>
        <w:rPr>
          <w:rFonts w:hint="eastAsia" w:ascii="宋体" w:hAnsi="宋体" w:eastAsia="宋体" w:cs="宋体"/>
          <w:color w:val="auto"/>
          <w:sz w:val="24"/>
          <w:highlight w:val="none"/>
          <w:u w:val="single"/>
          <w:lang w:eastAsia="zh-CN"/>
        </w:rPr>
        <w:t>日</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lang w:eastAsia="zh-CN"/>
        </w:rPr>
        <w:t>时</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lang w:eastAsia="zh-CN"/>
        </w:rPr>
        <w:t>分</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u w:val="single"/>
          <w:lang w:eastAsia="zh-CN"/>
        </w:rPr>
        <w:t>秒</w:t>
      </w:r>
      <w:r>
        <w:rPr>
          <w:rFonts w:hint="eastAsia" w:asciiTheme="minorEastAsia" w:hAnsiTheme="minorEastAsia" w:eastAsiaTheme="minorEastAsia" w:cstheme="minorEastAsia"/>
          <w:bCs/>
          <w:color w:val="auto"/>
          <w:sz w:val="24"/>
          <w:highlight w:val="none"/>
        </w:rPr>
        <w:t>后</w:t>
      </w:r>
    </w:p>
    <w:p w14:paraId="4DED456B">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2.地点：广西政府采购云平台远程开标大厅 </w:t>
      </w:r>
    </w:p>
    <w:p w14:paraId="54177446">
      <w:pPr>
        <w:keepNext w:val="0"/>
        <w:keepLines w:val="0"/>
        <w:pageBreakBefore w:val="0"/>
        <w:shd w:val="clear"/>
        <w:kinsoku/>
        <w:wordWrap w:val="0"/>
        <w:overflowPunct/>
        <w:topLinePunct w:val="0"/>
        <w:autoSpaceDE/>
        <w:autoSpaceDN/>
        <w:bidi w:val="0"/>
        <w:adjustRightInd/>
        <w:spacing w:line="400" w:lineRule="exact"/>
        <w:ind w:firstLine="482" w:firstLineChars="200"/>
        <w:textAlignment w:val="auto"/>
        <w:rPr>
          <w:rFonts w:asciiTheme="minorEastAsia" w:hAnsiTheme="minorEastAsia" w:eastAsiaTheme="minorEastAsia" w:cstheme="minorEastAsia"/>
          <w:b/>
          <w:bCs/>
          <w:color w:val="auto"/>
          <w:sz w:val="24"/>
          <w:highlight w:val="none"/>
        </w:rPr>
      </w:pPr>
      <w:bookmarkStart w:id="19" w:name="_Toc28359007"/>
      <w:bookmarkStart w:id="20" w:name="_Toc28359084"/>
      <w:bookmarkStart w:id="21" w:name="_Toc35393794"/>
      <w:bookmarkStart w:id="22" w:name="_Toc35393625"/>
      <w:r>
        <w:rPr>
          <w:rFonts w:hint="eastAsia" w:asciiTheme="minorEastAsia" w:hAnsiTheme="minorEastAsia" w:eastAsiaTheme="minorEastAsia" w:cstheme="minorEastAsia"/>
          <w:b/>
          <w:bCs/>
          <w:color w:val="auto"/>
          <w:sz w:val="24"/>
          <w:highlight w:val="none"/>
        </w:rPr>
        <w:t>六、公告期限</w:t>
      </w:r>
      <w:bookmarkEnd w:id="19"/>
      <w:bookmarkEnd w:id="20"/>
      <w:bookmarkEnd w:id="21"/>
      <w:bookmarkEnd w:id="22"/>
    </w:p>
    <w:p w14:paraId="3C50AD00">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自本公告发布之日起3个工作日。</w:t>
      </w:r>
    </w:p>
    <w:p w14:paraId="3B010774">
      <w:pPr>
        <w:keepNext w:val="0"/>
        <w:keepLines w:val="0"/>
        <w:pageBreakBefore w:val="0"/>
        <w:shd w:val="clear"/>
        <w:kinsoku/>
        <w:wordWrap w:val="0"/>
        <w:overflowPunct/>
        <w:topLinePunct w:val="0"/>
        <w:autoSpaceDE/>
        <w:autoSpaceDN/>
        <w:bidi w:val="0"/>
        <w:adjustRightInd/>
        <w:spacing w:line="400" w:lineRule="exact"/>
        <w:ind w:firstLine="482" w:firstLineChars="200"/>
        <w:textAlignment w:val="auto"/>
        <w:rPr>
          <w:rFonts w:asciiTheme="minorEastAsia" w:hAnsiTheme="minorEastAsia" w:eastAsiaTheme="minorEastAsia" w:cstheme="minorEastAsia"/>
          <w:b/>
          <w:bCs/>
          <w:color w:val="auto"/>
          <w:sz w:val="24"/>
          <w:highlight w:val="none"/>
        </w:rPr>
      </w:pPr>
      <w:bookmarkStart w:id="23" w:name="_Toc35393795"/>
      <w:bookmarkStart w:id="24" w:name="_Toc35393626"/>
      <w:r>
        <w:rPr>
          <w:rFonts w:hint="eastAsia" w:asciiTheme="minorEastAsia" w:hAnsiTheme="minorEastAsia" w:eastAsiaTheme="minorEastAsia" w:cstheme="minorEastAsia"/>
          <w:b/>
          <w:bCs/>
          <w:color w:val="auto"/>
          <w:sz w:val="24"/>
          <w:highlight w:val="none"/>
        </w:rPr>
        <w:t>七、其他补充事宜</w:t>
      </w:r>
      <w:bookmarkEnd w:id="23"/>
      <w:bookmarkEnd w:id="24"/>
    </w:p>
    <w:p w14:paraId="7BD7FCB9">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w:t>
      </w:r>
      <w:r>
        <w:rPr>
          <w:rFonts w:hint="eastAsia" w:asciiTheme="minorEastAsia" w:hAnsiTheme="minorEastAsia" w:eastAsiaTheme="minorEastAsia" w:cstheme="minorEastAsia"/>
          <w:color w:val="auto"/>
          <w:kern w:val="0"/>
          <w:sz w:val="24"/>
          <w:highlight w:val="none"/>
        </w:rPr>
        <w:t>磋商保证金：本项目不收取磋商保证金</w:t>
      </w:r>
    </w:p>
    <w:p w14:paraId="73F61283">
      <w:pPr>
        <w:keepNext w:val="0"/>
        <w:keepLines w:val="0"/>
        <w:pageBreakBefore w:val="0"/>
        <w:shd w:val="clear"/>
        <w:kinsoku/>
        <w:wordWrap w:val="0"/>
        <w:overflowPunct/>
        <w:topLinePunct w:val="0"/>
        <w:autoSpaceDE/>
        <w:autoSpaceDN/>
        <w:bidi w:val="0"/>
        <w:adjustRightInd/>
        <w:spacing w:line="400" w:lineRule="exact"/>
        <w:ind w:firstLine="480" w:firstLineChars="200"/>
        <w:jc w:val="left"/>
        <w:textAlignment w:val="auto"/>
        <w:rPr>
          <w:rFonts w:hint="eastAsia" w:asciiTheme="minorEastAsia" w:hAnsiTheme="minorEastAsia" w:eastAsiaTheme="minorEastAsia" w:cstheme="minorEastAsia"/>
          <w:color w:val="auto"/>
          <w:kern w:val="0"/>
          <w:sz w:val="24"/>
          <w:highlight w:val="none"/>
          <w:u w:val="none"/>
          <w:lang w:eastAsia="zh-CN"/>
        </w:rPr>
      </w:pPr>
      <w:bookmarkStart w:id="25" w:name="_Hlk37429585"/>
      <w:bookmarkStart w:id="26" w:name="_Hlk37429595"/>
      <w:r>
        <w:rPr>
          <w:rFonts w:hint="eastAsia" w:asciiTheme="minorEastAsia" w:hAnsiTheme="minorEastAsia" w:eastAsiaTheme="minorEastAsia" w:cstheme="minorEastAsia"/>
          <w:color w:val="auto"/>
          <w:kern w:val="0"/>
          <w:sz w:val="24"/>
          <w:highlight w:val="none"/>
          <w:u w:val="none"/>
        </w:rPr>
        <w:t>（二）采购意向公开链接：广西南宁五象新区规划建设管理委员会自贸创新发展局2025年6月至7月政府采购意向</w:t>
      </w:r>
      <w:r>
        <w:rPr>
          <w:rFonts w:hint="eastAsia" w:asciiTheme="minorEastAsia" w:hAnsiTheme="minorEastAsia" w:eastAsiaTheme="minorEastAsia" w:cstheme="minorEastAsia"/>
          <w:color w:val="auto"/>
          <w:kern w:val="0"/>
          <w:sz w:val="24"/>
          <w:highlight w:val="none"/>
          <w:u w:val="none"/>
          <w:lang w:eastAsia="zh-CN"/>
        </w:rPr>
        <w:t>：</w:t>
      </w:r>
      <w:r>
        <w:rPr>
          <w:rFonts w:hint="eastAsia" w:asciiTheme="minorEastAsia" w:hAnsiTheme="minorEastAsia" w:eastAsiaTheme="minorEastAsia" w:cstheme="minorEastAsia"/>
          <w:color w:val="auto"/>
          <w:kern w:val="0"/>
          <w:sz w:val="24"/>
          <w:highlight w:val="none"/>
          <w:u w:val="none"/>
        </w:rPr>
        <w:t>https://zfcg.gxzf.gov.cn/luban/detail?parentId=66601&amp;articleId=ann_9hHv4El9baXB2pyRG3vUC9D5ndTMr3NGt5TILBJnhQo=&amp;utm=app-announcement-front.5cc075f2.0.0.a0e41f1050db11f099e72f6026b1bd4b</w:t>
      </w:r>
    </w:p>
    <w:p w14:paraId="12C98F47">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（三）</w:t>
      </w:r>
      <w:r>
        <w:rPr>
          <w:rFonts w:hint="eastAsia" w:asciiTheme="minorEastAsia" w:hAnsiTheme="minorEastAsia" w:eastAsiaTheme="minorEastAsia" w:cstheme="minorEastAsia"/>
          <w:color w:val="auto"/>
          <w:kern w:val="0"/>
          <w:sz w:val="24"/>
          <w:highlight w:val="none"/>
        </w:rPr>
        <w:t>网上查询地址</w:t>
      </w:r>
    </w:p>
    <w:bookmarkEnd w:id="25"/>
    <w:bookmarkEnd w:id="26"/>
    <w:p w14:paraId="4D5AF196">
      <w:pPr>
        <w:keepNext w:val="0"/>
        <w:keepLines w:val="0"/>
        <w:pageBreakBefore w:val="0"/>
        <w:shd w:val="clear"/>
        <w:kinsoku/>
        <w:wordWrap w:val="0"/>
        <w:overflowPunct/>
        <w:topLinePunct w:val="0"/>
        <w:autoSpaceDE/>
        <w:autoSpaceDN/>
        <w:bidi w:val="0"/>
        <w:adjustRightInd/>
        <w:spacing w:line="400" w:lineRule="exact"/>
        <w:ind w:firstLine="480" w:firstLineChars="200"/>
        <w:jc w:val="left"/>
        <w:textAlignment w:val="auto"/>
        <w:rPr>
          <w:rFonts w:asciiTheme="minorEastAsia" w:hAnsiTheme="minorEastAsia" w:eastAsiaTheme="minorEastAsia" w:cstheme="minorEastAsia"/>
          <w:color w:val="auto"/>
          <w:kern w:val="0"/>
          <w:sz w:val="24"/>
          <w:highlight w:val="none"/>
          <w:u w:val="single"/>
        </w:rPr>
      </w:pPr>
      <w:bookmarkStart w:id="27" w:name="_Hlk37429674"/>
      <w:r>
        <w:rPr>
          <w:rFonts w:hint="eastAsia" w:asciiTheme="minorEastAsia" w:hAnsiTheme="minorEastAsia" w:eastAsiaTheme="minorEastAsia" w:cstheme="minorEastAsia"/>
          <w:color w:val="auto"/>
          <w:kern w:val="0"/>
          <w:sz w:val="24"/>
          <w:highlight w:val="none"/>
          <w:u w:val="single"/>
        </w:rPr>
        <w:t>http://zfcg.gxzf.gov.cn (广西政府采购网)、http://ggzy.jgswj.gxzf.gov.cn/nnggzy/(全国公共资源交易平台（广西·南宁）)</w:t>
      </w:r>
    </w:p>
    <w:p w14:paraId="00E2E8AD">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（四）</w:t>
      </w:r>
      <w:r>
        <w:rPr>
          <w:rFonts w:hint="eastAsia" w:asciiTheme="minorEastAsia" w:hAnsiTheme="minorEastAsia" w:eastAsiaTheme="minorEastAsia" w:cstheme="minorEastAsia"/>
          <w:color w:val="auto"/>
          <w:kern w:val="0"/>
          <w:sz w:val="24"/>
          <w:highlight w:val="none"/>
        </w:rPr>
        <w:t>本项目需要落实的政府采购政策</w:t>
      </w:r>
    </w:p>
    <w:bookmarkEnd w:id="27"/>
    <w:p w14:paraId="6B4A7393">
      <w:pPr>
        <w:keepNext w:val="0"/>
        <w:keepLines w:val="0"/>
        <w:pageBreakBefore w:val="0"/>
        <w:shd w:val="clear"/>
        <w:kinsoku/>
        <w:wordWrap w:val="0"/>
        <w:overflowPunct/>
        <w:topLinePunct w:val="0"/>
        <w:autoSpaceDE/>
        <w:autoSpaceDN/>
        <w:bidi w:val="0"/>
        <w:adjustRightInd/>
        <w:spacing w:line="400" w:lineRule="exact"/>
        <w:ind w:left="479" w:leftChars="228"/>
        <w:textAlignment w:val="auto"/>
        <w:rPr>
          <w:rFonts w:hint="eastAsia" w:ascii="宋体" w:hAnsi="宋体" w:eastAsia="宋体" w:cs="宋体"/>
          <w:color w:val="auto"/>
          <w:sz w:val="24"/>
          <w:highlight w:val="none"/>
          <w:lang w:eastAsia="zh-CN"/>
        </w:rPr>
      </w:pPr>
      <w:r>
        <w:rPr>
          <w:rFonts w:ascii="宋体" w:hAnsi="宋体" w:cs="宋体"/>
          <w:color w:val="auto"/>
          <w:sz w:val="24"/>
          <w:highlight w:val="none"/>
        </w:rPr>
        <w:t>（1）政府采购促进中小企业发展。</w:t>
      </w:r>
    </w:p>
    <w:p w14:paraId="0551F1E7">
      <w:pPr>
        <w:keepNext w:val="0"/>
        <w:keepLines w:val="0"/>
        <w:pageBreakBefore w:val="0"/>
        <w:shd w:val="clear"/>
        <w:kinsoku/>
        <w:wordWrap w:val="0"/>
        <w:overflowPunct/>
        <w:topLinePunct w:val="0"/>
        <w:autoSpaceDE/>
        <w:autoSpaceDN/>
        <w:bidi w:val="0"/>
        <w:adjustRightInd/>
        <w:spacing w:line="400" w:lineRule="exact"/>
        <w:ind w:left="479" w:leftChars="228"/>
        <w:textAlignment w:val="auto"/>
        <w:rPr>
          <w:rFonts w:hint="eastAsia" w:ascii="宋体" w:hAnsi="宋体" w:eastAsia="宋体" w:cs="宋体"/>
          <w:color w:val="auto"/>
          <w:sz w:val="24"/>
          <w:highlight w:val="none"/>
          <w:lang w:eastAsia="zh-CN"/>
        </w:rPr>
      </w:pPr>
      <w:r>
        <w:rPr>
          <w:rFonts w:ascii="宋体" w:hAnsi="宋体" w:cs="宋体"/>
          <w:color w:val="auto"/>
          <w:sz w:val="24"/>
          <w:highlight w:val="none"/>
        </w:rPr>
        <w:t>（2）政府采购支持采用本国产品的政策。</w:t>
      </w:r>
    </w:p>
    <w:p w14:paraId="695ED148">
      <w:pPr>
        <w:keepNext w:val="0"/>
        <w:keepLines w:val="0"/>
        <w:pageBreakBefore w:val="0"/>
        <w:shd w:val="clear"/>
        <w:kinsoku/>
        <w:wordWrap w:val="0"/>
        <w:overflowPunct/>
        <w:topLinePunct w:val="0"/>
        <w:autoSpaceDE/>
        <w:autoSpaceDN/>
        <w:bidi w:val="0"/>
        <w:adjustRightInd/>
        <w:spacing w:line="400" w:lineRule="exact"/>
        <w:ind w:left="479" w:leftChars="228"/>
        <w:textAlignment w:val="auto"/>
        <w:rPr>
          <w:rFonts w:hint="eastAsia" w:ascii="宋体" w:hAnsi="宋体" w:eastAsia="宋体" w:cs="宋体"/>
          <w:color w:val="auto"/>
          <w:sz w:val="24"/>
          <w:highlight w:val="none"/>
          <w:lang w:eastAsia="zh-CN"/>
        </w:rPr>
      </w:pPr>
      <w:r>
        <w:rPr>
          <w:rFonts w:ascii="宋体" w:hAnsi="宋体" w:cs="宋体"/>
          <w:color w:val="auto"/>
          <w:sz w:val="24"/>
          <w:highlight w:val="none"/>
        </w:rPr>
        <w:t>（3）强制采购节能产品；优先采购节能产品、环境标志产品。</w:t>
      </w:r>
    </w:p>
    <w:p w14:paraId="3FCDA72B">
      <w:pPr>
        <w:keepNext w:val="0"/>
        <w:keepLines w:val="0"/>
        <w:pageBreakBefore w:val="0"/>
        <w:shd w:val="clear"/>
        <w:kinsoku/>
        <w:wordWrap w:val="0"/>
        <w:overflowPunct/>
        <w:topLinePunct w:val="0"/>
        <w:autoSpaceDE/>
        <w:autoSpaceDN/>
        <w:bidi w:val="0"/>
        <w:adjustRightInd/>
        <w:spacing w:line="400" w:lineRule="exact"/>
        <w:ind w:left="479" w:leftChars="228"/>
        <w:textAlignment w:val="auto"/>
        <w:rPr>
          <w:rFonts w:hint="eastAsia" w:ascii="宋体" w:hAnsi="宋体" w:eastAsia="宋体" w:cs="宋体"/>
          <w:color w:val="auto"/>
          <w:sz w:val="24"/>
          <w:highlight w:val="none"/>
          <w:lang w:eastAsia="zh-CN"/>
        </w:rPr>
      </w:pPr>
      <w:r>
        <w:rPr>
          <w:rFonts w:ascii="宋体" w:hAnsi="宋体" w:cs="宋体"/>
          <w:color w:val="auto"/>
          <w:sz w:val="24"/>
          <w:highlight w:val="none"/>
        </w:rPr>
        <w:t>（4）政府采购促进残疾人就业政策。</w:t>
      </w:r>
    </w:p>
    <w:p w14:paraId="06E70293">
      <w:pPr>
        <w:keepNext w:val="0"/>
        <w:keepLines w:val="0"/>
        <w:pageBreakBefore w:val="0"/>
        <w:shd w:val="clear"/>
        <w:kinsoku/>
        <w:wordWrap w:val="0"/>
        <w:overflowPunct/>
        <w:topLinePunct w:val="0"/>
        <w:autoSpaceDE/>
        <w:autoSpaceDN/>
        <w:bidi w:val="0"/>
        <w:adjustRightInd/>
        <w:spacing w:line="400" w:lineRule="exact"/>
        <w:ind w:left="479" w:leftChars="228"/>
        <w:textAlignment w:val="auto"/>
        <w:rPr>
          <w:rFonts w:hint="eastAsia" w:ascii="宋体" w:hAnsi="宋体" w:eastAsia="宋体" w:cs="宋体"/>
          <w:color w:val="auto"/>
          <w:sz w:val="24"/>
          <w:highlight w:val="none"/>
          <w:lang w:eastAsia="zh-CN"/>
        </w:rPr>
      </w:pPr>
      <w:r>
        <w:rPr>
          <w:rFonts w:ascii="宋体" w:hAnsi="宋体" w:cs="宋体"/>
          <w:color w:val="auto"/>
          <w:sz w:val="24"/>
          <w:highlight w:val="none"/>
        </w:rPr>
        <w:t>（5）政府采购支持监狱企业发展。</w:t>
      </w:r>
    </w:p>
    <w:p w14:paraId="7F253794">
      <w:pPr>
        <w:keepNext w:val="0"/>
        <w:keepLines w:val="0"/>
        <w:pageBreakBefore w:val="0"/>
        <w:shd w:val="clear"/>
        <w:kinsoku/>
        <w:wordWrap w:val="0"/>
        <w:overflowPunct/>
        <w:topLinePunct w:val="0"/>
        <w:autoSpaceDE/>
        <w:autoSpaceDN/>
        <w:bidi w:val="0"/>
        <w:adjustRightInd/>
        <w:spacing w:line="400" w:lineRule="exact"/>
        <w:ind w:left="479" w:leftChars="228"/>
        <w:textAlignment w:val="auto"/>
        <w:rPr>
          <w:rFonts w:ascii="宋体" w:hAnsi="宋体" w:cs="宋体"/>
          <w:color w:val="auto"/>
          <w:sz w:val="24"/>
          <w:highlight w:val="none"/>
        </w:rPr>
      </w:pPr>
      <w:r>
        <w:rPr>
          <w:rFonts w:ascii="宋体" w:hAnsi="宋体" w:cs="宋体"/>
          <w:color w:val="auto"/>
          <w:sz w:val="24"/>
          <w:highlight w:val="none"/>
        </w:rPr>
        <w:t>（6）扶持不发达地区和少数民族地区政策。</w:t>
      </w:r>
    </w:p>
    <w:p w14:paraId="3C6EBCC7">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（五）</w:t>
      </w:r>
      <w:r>
        <w:rPr>
          <w:rFonts w:hint="eastAsia" w:asciiTheme="minorEastAsia" w:hAnsiTheme="minorEastAsia" w:eastAsiaTheme="minorEastAsia" w:cstheme="minorEastAsia"/>
          <w:color w:val="auto"/>
          <w:kern w:val="0"/>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5075BC50">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（六）</w:t>
      </w:r>
      <w:r>
        <w:rPr>
          <w:rFonts w:hint="eastAsia" w:asciiTheme="minorEastAsia" w:hAnsiTheme="minorEastAsia" w:eastAsiaTheme="minorEastAsia" w:cstheme="minorEastAsia"/>
          <w:color w:val="auto"/>
          <w:kern w:val="0"/>
          <w:sz w:val="24"/>
          <w:highlight w:val="none"/>
        </w:rPr>
        <w:t>若对项目采购电子交易系统操作有疑问，可登录广西政府采购云平台（https://login.gcy.zfcg.gxzf.gov.cn/user-login/#/），点击右侧咨询小采，获取采小蜜智能服务管家帮助，或拨打服务热线</w:t>
      </w:r>
      <w:r>
        <w:rPr>
          <w:rFonts w:hint="eastAsia" w:asciiTheme="minorEastAsia" w:hAnsiTheme="minorEastAsia" w:eastAsiaTheme="minorEastAsia" w:cstheme="minorEastAsia"/>
          <w:color w:val="auto"/>
          <w:kern w:val="0"/>
          <w:sz w:val="24"/>
          <w:highlight w:val="none"/>
          <w:lang w:val="en-US" w:eastAsia="zh-CN"/>
        </w:rPr>
        <w:t>95763</w:t>
      </w:r>
      <w:r>
        <w:rPr>
          <w:rFonts w:hint="eastAsia" w:asciiTheme="minorEastAsia" w:hAnsiTheme="minorEastAsia" w:eastAsiaTheme="minorEastAsia" w:cstheme="minorEastAsia"/>
          <w:color w:val="auto"/>
          <w:kern w:val="0"/>
          <w:sz w:val="24"/>
          <w:highlight w:val="none"/>
        </w:rPr>
        <w:t xml:space="preserve">获取热线服务帮助。 </w:t>
      </w:r>
    </w:p>
    <w:p w14:paraId="00C27CEB">
      <w:pPr>
        <w:keepNext w:val="0"/>
        <w:keepLines w:val="0"/>
        <w:pageBreakBefore w:val="0"/>
        <w:shd w:val="clear"/>
        <w:kinsoku/>
        <w:wordWrap w:val="0"/>
        <w:overflowPunct/>
        <w:topLinePunct w:val="0"/>
        <w:autoSpaceDE/>
        <w:autoSpaceDN/>
        <w:bidi w:val="0"/>
        <w:adjustRightInd/>
        <w:spacing w:line="400" w:lineRule="exact"/>
        <w:ind w:firstLine="482" w:firstLineChars="20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kern w:val="44"/>
          <w:sz w:val="24"/>
          <w:highlight w:val="none"/>
        </w:rPr>
        <w:t>八、凡对本次采购提出询问，请按以下方式联系</w:t>
      </w:r>
    </w:p>
    <w:p w14:paraId="1842261C">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1.采购人信息</w:t>
      </w:r>
    </w:p>
    <w:p w14:paraId="51D22D8F">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lang w:eastAsia="zh-CN"/>
        </w:rPr>
        <w:t>广西南宁五象新区规划建设管理委员会自贸创新发展局</w:t>
      </w:r>
    </w:p>
    <w:p w14:paraId="0ACBB8A8">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lang w:eastAsia="zh-CN"/>
        </w:rPr>
        <w:t>广西南宁市良庆区云英路8号</w:t>
      </w:r>
    </w:p>
    <w:p w14:paraId="7572BE08">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联系人及联系电话：范女士 0771-4919330</w:t>
      </w:r>
    </w:p>
    <w:p w14:paraId="061AF66E">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2.采购代理机构信息</w:t>
      </w:r>
    </w:p>
    <w:p w14:paraId="6F70EE62">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名    称：广西邕政采购代理有限公司 </w:t>
      </w:r>
    </w:p>
    <w:p w14:paraId="11D51BA3">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lang w:eastAsia="zh-CN"/>
        </w:rPr>
        <w:t>南宁市青秀区民族大道180号（威壮大厦）22层2210～2217室</w:t>
      </w:r>
    </w:p>
    <w:p w14:paraId="29C1F717">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lang w:eastAsia="zh-CN"/>
        </w:rPr>
        <w:t>欧昌梅、</w:t>
      </w:r>
      <w:r>
        <w:rPr>
          <w:rFonts w:hint="eastAsia" w:asciiTheme="minorEastAsia" w:hAnsiTheme="minorEastAsia" w:eastAsiaTheme="minorEastAsia" w:cstheme="minorEastAsia"/>
          <w:color w:val="auto"/>
          <w:sz w:val="24"/>
          <w:highlight w:val="none"/>
          <w:lang w:val="en-US" w:eastAsia="zh-CN"/>
        </w:rPr>
        <w:t>李霞</w:t>
      </w:r>
      <w:r>
        <w:rPr>
          <w:rFonts w:hint="eastAsia" w:asciiTheme="minorEastAsia" w:hAnsiTheme="minorEastAsia" w:eastAsiaTheme="minorEastAsia" w:cstheme="minorEastAsia"/>
          <w:color w:val="auto"/>
          <w:sz w:val="24"/>
          <w:highlight w:val="none"/>
        </w:rPr>
        <w:t xml:space="preserve">  0771-</w:t>
      </w:r>
      <w:r>
        <w:rPr>
          <w:rFonts w:hint="eastAsia" w:asciiTheme="minorEastAsia" w:hAnsiTheme="minorEastAsia" w:eastAsiaTheme="minorEastAsia" w:cstheme="minorEastAsia"/>
          <w:color w:val="auto"/>
          <w:sz w:val="24"/>
          <w:highlight w:val="none"/>
          <w:lang w:val="en-US" w:eastAsia="zh-CN"/>
        </w:rPr>
        <w:t>2225338</w:t>
      </w:r>
    </w:p>
    <w:p w14:paraId="2FE99AF2">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3.项目联系方式</w:t>
      </w:r>
    </w:p>
    <w:p w14:paraId="1AEB077E">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项目联系人：</w:t>
      </w:r>
      <w:r>
        <w:rPr>
          <w:rFonts w:hint="eastAsia" w:asciiTheme="minorEastAsia" w:hAnsiTheme="minorEastAsia" w:eastAsiaTheme="minorEastAsia" w:cstheme="minorEastAsia"/>
          <w:color w:val="auto"/>
          <w:sz w:val="24"/>
          <w:highlight w:val="none"/>
          <w:lang w:eastAsia="zh-CN"/>
        </w:rPr>
        <w:t>欧昌梅、</w:t>
      </w:r>
      <w:r>
        <w:rPr>
          <w:rFonts w:hint="eastAsia" w:asciiTheme="minorEastAsia" w:hAnsiTheme="minorEastAsia" w:eastAsiaTheme="minorEastAsia" w:cstheme="minorEastAsia"/>
          <w:color w:val="auto"/>
          <w:sz w:val="24"/>
          <w:highlight w:val="none"/>
          <w:lang w:val="en-US" w:eastAsia="zh-CN"/>
        </w:rPr>
        <w:t>李霞</w:t>
      </w:r>
      <w:r>
        <w:rPr>
          <w:rFonts w:hint="eastAsia" w:asciiTheme="minorEastAsia" w:hAnsiTheme="minorEastAsia" w:eastAsiaTheme="minorEastAsia" w:cstheme="minorEastAsia"/>
          <w:color w:val="auto"/>
          <w:sz w:val="24"/>
          <w:highlight w:val="none"/>
        </w:rPr>
        <w:t xml:space="preserve">  </w:t>
      </w:r>
    </w:p>
    <w:p w14:paraId="25E1A518">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 0771-</w:t>
      </w:r>
      <w:r>
        <w:rPr>
          <w:rFonts w:hint="eastAsia" w:asciiTheme="minorEastAsia" w:hAnsiTheme="minorEastAsia" w:eastAsiaTheme="minorEastAsia" w:cstheme="minorEastAsia"/>
          <w:color w:val="auto"/>
          <w:sz w:val="24"/>
          <w:highlight w:val="none"/>
          <w:lang w:val="en-US" w:eastAsia="zh-CN"/>
        </w:rPr>
        <w:t>2225338</w:t>
      </w:r>
      <w:r>
        <w:rPr>
          <w:rFonts w:hint="eastAsia" w:asciiTheme="minorEastAsia" w:hAnsiTheme="minorEastAsia" w:eastAsiaTheme="minorEastAsia" w:cstheme="minorEastAsia"/>
          <w:color w:val="auto"/>
          <w:sz w:val="24"/>
          <w:highlight w:val="none"/>
        </w:rPr>
        <w:t xml:space="preserve">  </w:t>
      </w:r>
    </w:p>
    <w:p w14:paraId="6DF2B376">
      <w:pPr>
        <w:pStyle w:val="7"/>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附件:1.CA 证书申请方式及操作指南下载地址(登陆 http://nncz.nanning.gov.cn/( 南宁市财政局官网)-业务专题-政府采购监督管理-资料</w:t>
      </w:r>
      <w:r>
        <w:rPr>
          <w:rFonts w:hint="eastAsia" w:asciiTheme="minorEastAsia" w:hAnsiTheme="minorEastAsia" w:eastAsiaTheme="minorEastAsia" w:cstheme="minorEastAsia"/>
          <w:color w:val="auto"/>
          <w:sz w:val="24"/>
          <w:highlight w:val="none"/>
          <w:lang w:val="en-US" w:eastAsia="zh-CN"/>
        </w:rPr>
        <w:t>下载</w:t>
      </w:r>
      <w:r>
        <w:rPr>
          <w:rFonts w:hint="eastAsia" w:asciiTheme="minorEastAsia" w:hAnsiTheme="minorEastAsia" w:eastAsiaTheme="minorEastAsia" w:cstheme="minorEastAsia"/>
          <w:color w:val="auto"/>
          <w:sz w:val="24"/>
          <w:highlight w:val="none"/>
        </w:rPr>
        <w:t>。“广西政采云西部 CA 办理方式”</w:t>
      </w:r>
      <w:bookmarkStart w:id="239" w:name="_GoBack"/>
      <w:bookmarkEnd w:id="239"/>
      <w:r>
        <w:rPr>
          <w:rFonts w:hint="eastAsia" w:asciiTheme="minorEastAsia" w:hAnsiTheme="minorEastAsia" w:eastAsiaTheme="minorEastAsia" w:cstheme="minorEastAsia"/>
          <w:color w:val="auto"/>
          <w:sz w:val="24"/>
          <w:highlight w:val="none"/>
        </w:rPr>
        <w:t>或“南宁市政采云 CA 证书办理操作指南”</w:t>
      </w:r>
      <w:r>
        <w:rPr>
          <w:rFonts w:hint="eastAsia" w:asciiTheme="minorEastAsia" w:hAnsiTheme="minorEastAsia" w:eastAsiaTheme="minorEastAsia" w:cstheme="minorEastAsia"/>
          <w:color w:val="auto"/>
          <w:sz w:val="24"/>
          <w:highlight w:val="none"/>
          <w:lang w:eastAsia="zh-CN"/>
        </w:rPr>
        <w:t>。</w:t>
      </w:r>
    </w:p>
    <w:p w14:paraId="51FEAB5E">
      <w:pPr>
        <w:pStyle w:val="7"/>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2.电子</w:t>
      </w:r>
      <w:r>
        <w:rPr>
          <w:rFonts w:hint="eastAsia" w:asciiTheme="minorEastAsia" w:hAnsiTheme="minorEastAsia" w:eastAsiaTheme="minorEastAsia" w:cstheme="minorEastAsia"/>
          <w:color w:val="auto"/>
          <w:sz w:val="24"/>
          <w:highlight w:val="none"/>
          <w:lang w:eastAsia="zh-CN"/>
        </w:rPr>
        <w:t>响应</w:t>
      </w:r>
      <w:r>
        <w:rPr>
          <w:rFonts w:hint="eastAsia" w:asciiTheme="minorEastAsia" w:hAnsiTheme="minorEastAsia" w:eastAsiaTheme="minorEastAsia" w:cstheme="minorEastAsia"/>
          <w:color w:val="auto"/>
          <w:sz w:val="24"/>
          <w:highlight w:val="none"/>
        </w:rPr>
        <w:t>文件制作与投送教程(在此网址下载: http://nncz.nanning.gov.cn/南宁市财政局官网 )-业务专题-政府采购监督管理-资料下载-南宁市政府采购项目全流程电子化交易操作指南)</w:t>
      </w:r>
      <w:r>
        <w:rPr>
          <w:rFonts w:hint="eastAsia" w:asciiTheme="minorEastAsia" w:hAnsiTheme="minorEastAsia" w:eastAsiaTheme="minorEastAsia" w:cstheme="minorEastAsia"/>
          <w:color w:val="auto"/>
          <w:sz w:val="24"/>
          <w:highlight w:val="none"/>
          <w:lang w:eastAsia="zh-CN"/>
        </w:rPr>
        <w:t>。</w:t>
      </w:r>
    </w:p>
    <w:p w14:paraId="77376142">
      <w:pPr>
        <w:keepNext w:val="0"/>
        <w:keepLines w:val="0"/>
        <w:pageBreakBefore w:val="0"/>
        <w:shd w:val="clear"/>
        <w:kinsoku/>
        <w:wordWrap w:val="0"/>
        <w:overflowPunct/>
        <w:topLinePunct w:val="0"/>
        <w:autoSpaceDE/>
        <w:autoSpaceDN/>
        <w:bidi w:val="0"/>
        <w:adjustRightInd/>
        <w:spacing w:line="400" w:lineRule="exact"/>
        <w:ind w:firstLine="480" w:firstLineChars="200"/>
        <w:jc w:val="right"/>
        <w:textAlignment w:val="auto"/>
        <w:rPr>
          <w:rFonts w:asciiTheme="minorEastAsia" w:hAnsiTheme="minorEastAsia" w:eastAsiaTheme="minorEastAsia" w:cstheme="minorEastAsia"/>
          <w:color w:val="auto"/>
          <w:sz w:val="24"/>
          <w:highlight w:val="none"/>
        </w:rPr>
      </w:pPr>
    </w:p>
    <w:p w14:paraId="794BA2D9">
      <w:pPr>
        <w:keepNext w:val="0"/>
        <w:keepLines w:val="0"/>
        <w:pageBreakBefore w:val="0"/>
        <w:shd w:val="clear"/>
        <w:kinsoku/>
        <w:wordWrap w:val="0"/>
        <w:overflowPunct/>
        <w:topLinePunct w:val="0"/>
        <w:autoSpaceDE/>
        <w:autoSpaceDN/>
        <w:bidi w:val="0"/>
        <w:adjustRightInd/>
        <w:spacing w:line="400" w:lineRule="exact"/>
        <w:ind w:firstLine="480" w:firstLineChars="200"/>
        <w:jc w:val="right"/>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广西邕政采购代理有限公司</w:t>
      </w:r>
    </w:p>
    <w:p w14:paraId="2F5100CC">
      <w:pPr>
        <w:keepNext w:val="0"/>
        <w:keepLines w:val="0"/>
        <w:pageBreakBefore w:val="0"/>
        <w:shd w:val="clear"/>
        <w:kinsoku/>
        <w:wordWrap w:val="0"/>
        <w:overflowPunct/>
        <w:topLinePunct w:val="0"/>
        <w:autoSpaceDE/>
        <w:autoSpaceDN/>
        <w:bidi w:val="0"/>
        <w:adjustRightInd/>
        <w:spacing w:line="400" w:lineRule="exact"/>
        <w:ind w:firstLine="480" w:firstLineChars="200"/>
        <w:jc w:val="center"/>
        <w:textAlignment w:val="auto"/>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202</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none"/>
          <w:lang w:val="en-US" w:eastAsia="zh-CN"/>
        </w:rPr>
        <w:t>1</w:t>
      </w:r>
      <w:r>
        <w:rPr>
          <w:rFonts w:hint="eastAsia" w:asciiTheme="minorEastAsia" w:hAnsiTheme="minorEastAsia" w:eastAsiaTheme="minorEastAsia" w:cstheme="minorEastAsia"/>
          <w:color w:val="auto"/>
          <w:sz w:val="24"/>
          <w:highlight w:val="none"/>
        </w:rPr>
        <w:t>日</w:t>
      </w:r>
      <w:r>
        <w:rPr>
          <w:rFonts w:hint="eastAsia" w:asciiTheme="minorEastAsia" w:hAnsiTheme="minorEastAsia" w:eastAsiaTheme="minorEastAsia" w:cstheme="minorEastAsia"/>
          <w:color w:val="auto"/>
          <w:sz w:val="32"/>
          <w:szCs w:val="32"/>
          <w:highlight w:val="none"/>
        </w:rPr>
        <w:br w:type="page"/>
      </w:r>
    </w:p>
    <w:p w14:paraId="7E72F09B">
      <w:pPr>
        <w:pStyle w:val="2"/>
        <w:shd w:val="clear"/>
        <w:wordWrap w:val="0"/>
        <w:spacing w:before="0" w:after="0" w:line="336" w:lineRule="auto"/>
        <w:jc w:val="center"/>
        <w:rPr>
          <w:rFonts w:asciiTheme="minorEastAsia" w:hAnsiTheme="minorEastAsia" w:eastAsiaTheme="minorEastAsia" w:cstheme="minorEastAsia"/>
          <w:color w:val="auto"/>
          <w:highlight w:val="none"/>
        </w:rPr>
      </w:pPr>
      <w:bookmarkStart w:id="28" w:name="_Toc32333"/>
      <w:r>
        <w:rPr>
          <w:rFonts w:hint="eastAsia" w:asciiTheme="minorEastAsia" w:hAnsiTheme="minorEastAsia" w:eastAsiaTheme="minorEastAsia" w:cstheme="minorEastAsia"/>
          <w:bCs w:val="0"/>
          <w:color w:val="auto"/>
          <w:sz w:val="32"/>
          <w:szCs w:val="32"/>
          <w:highlight w:val="none"/>
        </w:rPr>
        <w:t>第二章 采购需求</w:t>
      </w:r>
      <w:bookmarkEnd w:id="28"/>
    </w:p>
    <w:p w14:paraId="255AF532">
      <w:pPr>
        <w:shd w:val="clear"/>
        <w:wordWrap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说明：</w:t>
      </w:r>
    </w:p>
    <w:p w14:paraId="4AD2856D">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为落实政府采购政策需满足的要求：</w:t>
      </w:r>
    </w:p>
    <w:p w14:paraId="0EDED354">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（1）本竞争性磋商采购文件所称中小企业必须符合《政府采购促进中小企业发展管理办法》（财库〔2020〕46号）的规定。</w:t>
      </w:r>
    </w:p>
    <w:p w14:paraId="04E75626">
      <w:pPr>
        <w:shd w:val="clear"/>
        <w:tabs>
          <w:tab w:val="left" w:pos="180"/>
          <w:tab w:val="left" w:pos="1620"/>
        </w:tabs>
        <w:wordWrap w:val="0"/>
        <w:spacing w:line="336" w:lineRule="auto"/>
        <w:ind w:firstLine="480"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w:t>
      </w:r>
      <w:r>
        <w:rPr>
          <w:rFonts w:hint="eastAsia" w:ascii="汉仪叶叶相思体简" w:hAnsi="汉仪叶叶相思体简" w:eastAsia="汉仪叶叶相思体简" w:cs="汉仪叶叶相思体简"/>
          <w:color w:val="auto"/>
          <w:sz w:val="24"/>
          <w:highlight w:val="none"/>
        </w:rPr>
        <w:t>★</w:t>
      </w:r>
      <w:r>
        <w:rPr>
          <w:rFonts w:hint="eastAsia" w:asciiTheme="minorEastAsia" w:hAnsiTheme="minorEastAsia" w:eastAsiaTheme="minorEastAsia" w:cstheme="minorEastAsia"/>
          <w:color w:val="auto"/>
          <w:sz w:val="24"/>
          <w:highlight w:val="none"/>
        </w:rPr>
        <w:t>”的，供应商必须在响应文件中提供所响应产品的节能产品认证证书复印件（加盖供应商公章），否则响应文件作无效处理。如本项目包含的配套货物属于品目清单内非标注“</w:t>
      </w:r>
      <w:r>
        <w:rPr>
          <w:rFonts w:hint="eastAsia" w:ascii="汉仪叶叶相思体简" w:hAnsi="汉仪叶叶相思体简" w:eastAsia="汉仪叶叶相思体简" w:cs="汉仪叶叶相思体简"/>
          <w:color w:val="auto"/>
          <w:sz w:val="24"/>
          <w:highlight w:val="none"/>
        </w:rPr>
        <w:t>★</w:t>
      </w:r>
      <w:r>
        <w:rPr>
          <w:rFonts w:hint="eastAsia" w:asciiTheme="minorEastAsia" w:hAnsiTheme="minorEastAsia" w:eastAsiaTheme="minorEastAsia" w:cstheme="minorEastAsia"/>
          <w:color w:val="auto"/>
          <w:sz w:val="24"/>
          <w:highlight w:val="none"/>
        </w:rPr>
        <w:t>”的产品时，应优先采购，具体详见“第四章 评审程序和评定成交的标准”。</w:t>
      </w:r>
    </w:p>
    <w:p w14:paraId="44902F53">
      <w:pPr>
        <w:shd w:val="clear"/>
        <w:wordWrap w:val="0"/>
        <w:spacing w:line="360" w:lineRule="auto"/>
        <w:ind w:firstLine="487" w:firstLineChars="202"/>
        <w:jc w:val="left"/>
        <w:rPr>
          <w:rFonts w:ascii="宋体" w:hAnsi="宋体" w:cs="宋体"/>
          <w:b/>
          <w:bCs/>
          <w:color w:val="auto"/>
          <w:sz w:val="24"/>
          <w:highlight w:val="none"/>
        </w:rPr>
      </w:pPr>
      <w:r>
        <w:rPr>
          <w:rFonts w:hint="eastAsia" w:ascii="宋体" w:hAnsi="宋体" w:cs="宋体"/>
          <w:b/>
          <w:bCs/>
          <w:color w:val="auto"/>
          <w:sz w:val="24"/>
          <w:highlight w:val="none"/>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3C46A315">
      <w:pPr>
        <w:pStyle w:val="27"/>
        <w:shd w:val="clear"/>
        <w:spacing w:line="336" w:lineRule="auto"/>
        <w:ind w:firstLine="482"/>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2.“实质性要求”是指采购需求中带“▲”的条款或者不能负偏离的条款或者已经指明不满足按响应文件作无效处理的条款。</w:t>
      </w:r>
    </w:p>
    <w:p w14:paraId="7A756788">
      <w:pPr>
        <w:pStyle w:val="7"/>
        <w:shd w:val="clear"/>
        <w:wordWrap w:val="0"/>
        <w:spacing w:line="336"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如磋商供应商</w:t>
      </w:r>
      <w:r>
        <w:rPr>
          <w:rFonts w:hint="eastAsia" w:asciiTheme="minorEastAsia" w:hAnsiTheme="minorEastAsia" w:eastAsiaTheme="minorEastAsia" w:cstheme="minorEastAsia"/>
          <w:color w:val="auto"/>
          <w:sz w:val="24"/>
          <w:highlight w:val="none"/>
          <w:lang w:eastAsia="zh-CN"/>
        </w:rPr>
        <w:t>响应</w:t>
      </w:r>
      <w:r>
        <w:rPr>
          <w:rFonts w:hint="eastAsia" w:asciiTheme="minorEastAsia" w:hAnsiTheme="minorEastAsia" w:eastAsiaTheme="minorEastAsia" w:cstheme="minorEastAsia"/>
          <w:color w:val="auto"/>
          <w:sz w:val="24"/>
          <w:highlight w:val="none"/>
        </w:rPr>
        <w:t>产品存在侵犯他人的知识产权或者专利成果行为的，应承担相应法律责任。</w:t>
      </w:r>
    </w:p>
    <w:tbl>
      <w:tblPr>
        <w:tblStyle w:val="21"/>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
        <w:gridCol w:w="413"/>
        <w:gridCol w:w="1107"/>
        <w:gridCol w:w="475"/>
        <w:gridCol w:w="390"/>
        <w:gridCol w:w="4805"/>
        <w:gridCol w:w="1426"/>
        <w:gridCol w:w="1045"/>
      </w:tblGrid>
      <w:tr w14:paraId="1EC86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vAlign w:val="center"/>
          </w:tcPr>
          <w:p w14:paraId="422CD98C">
            <w:pPr>
              <w:keepNext w:val="0"/>
              <w:keepLines w:val="0"/>
              <w:pageBreakBefore w:val="0"/>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服务需求一览表</w:t>
            </w:r>
          </w:p>
        </w:tc>
      </w:tr>
      <w:tr w14:paraId="3BB6C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 w:hRule="atLeast"/>
          <w:jc w:val="center"/>
        </w:trPr>
        <w:tc>
          <w:tcPr>
            <w:tcW w:w="460" w:type="dxa"/>
            <w:vMerge w:val="restart"/>
            <w:tcBorders>
              <w:top w:val="single" w:color="auto" w:sz="4" w:space="0"/>
              <w:left w:val="single" w:color="auto" w:sz="4" w:space="0"/>
              <w:right w:val="single" w:color="auto" w:sz="4" w:space="0"/>
            </w:tcBorders>
          </w:tcPr>
          <w:p w14:paraId="19D69F85">
            <w:pPr>
              <w:keepNext w:val="0"/>
              <w:keepLines w:val="0"/>
              <w:pageBreakBefore w:val="0"/>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采购清单及技术参数</w:t>
            </w:r>
          </w:p>
        </w:tc>
        <w:tc>
          <w:tcPr>
            <w:tcW w:w="4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6A2B652">
            <w:pPr>
              <w:keepNext w:val="0"/>
              <w:keepLines w:val="0"/>
              <w:pageBreakBefore w:val="0"/>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07" w:type="dxa"/>
            <w:tcBorders>
              <w:top w:val="single" w:color="auto" w:sz="4" w:space="0"/>
              <w:left w:val="single" w:color="auto" w:sz="4" w:space="0"/>
              <w:bottom w:val="single" w:color="auto" w:sz="4" w:space="0"/>
              <w:right w:val="single" w:color="auto" w:sz="4" w:space="0"/>
            </w:tcBorders>
            <w:vAlign w:val="center"/>
          </w:tcPr>
          <w:p w14:paraId="628CD8A4">
            <w:pPr>
              <w:keepNext w:val="0"/>
              <w:keepLines w:val="0"/>
              <w:pageBreakBefore w:val="0"/>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标的的名称</w:t>
            </w:r>
          </w:p>
        </w:tc>
        <w:tc>
          <w:tcPr>
            <w:tcW w:w="475" w:type="dxa"/>
            <w:tcBorders>
              <w:top w:val="single" w:color="auto" w:sz="4" w:space="0"/>
              <w:left w:val="single" w:color="auto" w:sz="4" w:space="0"/>
              <w:bottom w:val="single" w:color="auto" w:sz="4" w:space="0"/>
              <w:right w:val="single" w:color="auto" w:sz="4" w:space="0"/>
            </w:tcBorders>
            <w:vAlign w:val="center"/>
          </w:tcPr>
          <w:p w14:paraId="34B644CD">
            <w:pPr>
              <w:keepNext w:val="0"/>
              <w:keepLines w:val="0"/>
              <w:pageBreakBefore w:val="0"/>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390" w:type="dxa"/>
            <w:tcBorders>
              <w:top w:val="single" w:color="auto" w:sz="4" w:space="0"/>
              <w:left w:val="single" w:color="auto" w:sz="4" w:space="0"/>
              <w:bottom w:val="single" w:color="auto" w:sz="4" w:space="0"/>
              <w:right w:val="single" w:color="auto" w:sz="4" w:space="0"/>
            </w:tcBorders>
            <w:vAlign w:val="center"/>
          </w:tcPr>
          <w:p w14:paraId="11D372BC">
            <w:pPr>
              <w:keepNext w:val="0"/>
              <w:keepLines w:val="0"/>
              <w:pageBreakBefore w:val="0"/>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4805" w:type="dxa"/>
            <w:tcBorders>
              <w:top w:val="single" w:color="auto" w:sz="4" w:space="0"/>
              <w:left w:val="single" w:color="auto" w:sz="4" w:space="0"/>
              <w:bottom w:val="single" w:color="auto" w:sz="4" w:space="0"/>
              <w:right w:val="single" w:color="auto" w:sz="4" w:space="0"/>
            </w:tcBorders>
            <w:vAlign w:val="center"/>
          </w:tcPr>
          <w:p w14:paraId="26A25A33">
            <w:pPr>
              <w:keepNext w:val="0"/>
              <w:keepLines w:val="0"/>
              <w:pageBreakBefore w:val="0"/>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服务参数</w:t>
            </w:r>
          </w:p>
        </w:tc>
        <w:tc>
          <w:tcPr>
            <w:tcW w:w="1426" w:type="dxa"/>
            <w:tcBorders>
              <w:top w:val="single" w:color="auto" w:sz="4" w:space="0"/>
              <w:left w:val="single" w:color="auto" w:sz="4" w:space="0"/>
              <w:bottom w:val="single" w:color="auto" w:sz="4" w:space="0"/>
              <w:right w:val="single" w:color="auto" w:sz="4" w:space="0"/>
            </w:tcBorders>
            <w:vAlign w:val="center"/>
          </w:tcPr>
          <w:p w14:paraId="52649D30">
            <w:pPr>
              <w:keepNext w:val="0"/>
              <w:keepLines w:val="0"/>
              <w:pageBreakBefore w:val="0"/>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分项预算合计（元）</w:t>
            </w:r>
          </w:p>
        </w:tc>
        <w:tc>
          <w:tcPr>
            <w:tcW w:w="1045" w:type="dxa"/>
            <w:tcBorders>
              <w:top w:val="single" w:color="auto" w:sz="4" w:space="0"/>
              <w:left w:val="single" w:color="auto" w:sz="4" w:space="0"/>
              <w:bottom w:val="single" w:color="auto" w:sz="4" w:space="0"/>
              <w:right w:val="single" w:color="auto" w:sz="4" w:space="0"/>
            </w:tcBorders>
            <w:vAlign w:val="center"/>
          </w:tcPr>
          <w:p w14:paraId="19D9B711">
            <w:pPr>
              <w:keepNext w:val="0"/>
              <w:keepLines w:val="0"/>
              <w:pageBreakBefore w:val="0"/>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中小企业划分标准所属行业名称（行业名称及划分见本章附件2）</w:t>
            </w:r>
          </w:p>
        </w:tc>
      </w:tr>
      <w:tr w14:paraId="0966D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60" w:type="dxa"/>
            <w:vMerge w:val="continue"/>
            <w:tcBorders>
              <w:left w:val="single" w:color="auto" w:sz="4" w:space="0"/>
              <w:right w:val="single" w:color="auto" w:sz="4" w:space="0"/>
            </w:tcBorders>
          </w:tcPr>
          <w:p w14:paraId="364FD0BF">
            <w:pPr>
              <w:keepNext w:val="0"/>
              <w:keepLines w:val="0"/>
              <w:pageBreakBefore w:val="0"/>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highlight w:val="none"/>
              </w:rPr>
            </w:pPr>
          </w:p>
        </w:tc>
        <w:tc>
          <w:tcPr>
            <w:tcW w:w="1995" w:type="dxa"/>
            <w:gridSpan w:val="3"/>
            <w:tcBorders>
              <w:top w:val="single" w:color="auto" w:sz="4" w:space="0"/>
              <w:left w:val="single" w:color="auto" w:sz="4" w:space="0"/>
              <w:bottom w:val="single" w:color="auto" w:sz="4" w:space="0"/>
              <w:right w:val="single" w:color="auto" w:sz="4" w:space="0"/>
            </w:tcBorders>
            <w:vAlign w:val="center"/>
          </w:tcPr>
          <w:p w14:paraId="5CDF7835">
            <w:pPr>
              <w:keepNext w:val="0"/>
              <w:keepLines w:val="0"/>
              <w:pageBreakBefore w:val="0"/>
              <w:widowControl/>
              <w:shd w:val="clear"/>
              <w:kinsoku/>
              <w:overflowPunct/>
              <w:topLinePunct w:val="0"/>
              <w:autoSpaceDE/>
              <w:autoSpaceDN/>
              <w:bidi w:val="0"/>
              <w:adjustRightInd/>
              <w:spacing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标段</w:t>
            </w:r>
          </w:p>
        </w:tc>
        <w:tc>
          <w:tcPr>
            <w:tcW w:w="7666" w:type="dxa"/>
            <w:gridSpan w:val="4"/>
            <w:tcBorders>
              <w:top w:val="single" w:color="auto" w:sz="4" w:space="0"/>
              <w:left w:val="single" w:color="auto" w:sz="4" w:space="0"/>
              <w:bottom w:val="single" w:color="auto" w:sz="4" w:space="0"/>
              <w:right w:val="single" w:color="auto" w:sz="4" w:space="0"/>
            </w:tcBorders>
            <w:vAlign w:val="center"/>
          </w:tcPr>
          <w:p w14:paraId="6812B92B">
            <w:pPr>
              <w:pStyle w:val="14"/>
              <w:keepNext w:val="0"/>
              <w:keepLines w:val="0"/>
              <w:pageBreakBefore w:val="0"/>
              <w:shd w:val="clear"/>
              <w:kinsoku/>
              <w:overflowPunct/>
              <w:topLinePunct w:val="0"/>
              <w:autoSpaceDE/>
              <w:autoSpaceDN/>
              <w:bidi w:val="0"/>
              <w:adjustRightInd/>
              <w:spacing w:line="360" w:lineRule="auto"/>
              <w:ind w:firstLine="241" w:firstLineChars="1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分标</w:t>
            </w:r>
          </w:p>
        </w:tc>
      </w:tr>
      <w:tr w14:paraId="7955C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60" w:type="dxa"/>
            <w:vMerge w:val="continue"/>
            <w:tcBorders>
              <w:left w:val="single" w:color="auto" w:sz="4" w:space="0"/>
              <w:right w:val="single" w:color="auto" w:sz="4" w:space="0"/>
            </w:tcBorders>
          </w:tcPr>
          <w:p w14:paraId="36787072">
            <w:pPr>
              <w:keepNext w:val="0"/>
              <w:keepLines w:val="0"/>
              <w:pageBreakBefore w:val="0"/>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highlight w:val="none"/>
              </w:rPr>
            </w:pPr>
          </w:p>
        </w:tc>
        <w:tc>
          <w:tcPr>
            <w:tcW w:w="413" w:type="dxa"/>
            <w:tcBorders>
              <w:top w:val="single" w:color="auto" w:sz="4" w:space="0"/>
              <w:left w:val="single" w:color="auto" w:sz="4" w:space="0"/>
              <w:bottom w:val="single" w:color="auto" w:sz="4" w:space="0"/>
              <w:right w:val="single" w:color="auto" w:sz="4" w:space="0"/>
            </w:tcBorders>
            <w:vAlign w:val="center"/>
          </w:tcPr>
          <w:p w14:paraId="10E8AE88">
            <w:pPr>
              <w:keepNext w:val="0"/>
              <w:keepLines w:val="0"/>
              <w:pageBreakBefore w:val="0"/>
              <w:widowControl/>
              <w:shd w:val="clear"/>
              <w:kinsoku/>
              <w:overflowPunct/>
              <w:topLinePunct w:val="0"/>
              <w:autoSpaceDE/>
              <w:autoSpaceDN/>
              <w:bidi w:val="0"/>
              <w:adjustRightIn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107" w:type="dxa"/>
            <w:tcBorders>
              <w:top w:val="single" w:color="auto" w:sz="4" w:space="0"/>
              <w:left w:val="single" w:color="auto" w:sz="4" w:space="0"/>
              <w:bottom w:val="single" w:color="auto" w:sz="4" w:space="0"/>
              <w:right w:val="single" w:color="auto" w:sz="4" w:space="0"/>
            </w:tcBorders>
            <w:vAlign w:val="center"/>
          </w:tcPr>
          <w:p w14:paraId="71F1E8BE">
            <w:pPr>
              <w:pStyle w:val="9"/>
              <w:keepNext w:val="0"/>
              <w:keepLines w:val="0"/>
              <w:pageBreakBefore w:val="0"/>
              <w:shd w:val="clear"/>
              <w:kinsoku/>
              <w:overflowPunct/>
              <w:topLinePunct w:val="0"/>
              <w:autoSpaceDE/>
              <w:autoSpaceDN/>
              <w:bidi w:val="0"/>
              <w:adjustRightInd/>
              <w:spacing w:after="0" w:line="360" w:lineRule="auto"/>
              <w:ind w:firstLine="974" w:firstLineChars="406"/>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w:t>
            </w:r>
          </w:p>
          <w:p w14:paraId="0E9C6380">
            <w:pPr>
              <w:keepNext w:val="0"/>
              <w:keepLines w:val="0"/>
              <w:pageBreakBefore w:val="0"/>
              <w:shd w:val="clear"/>
              <w:kinsoku/>
              <w:overflowPunct/>
              <w:topLinePunct w:val="0"/>
              <w:autoSpaceDE/>
              <w:autoSpaceDN/>
              <w:bidi w:val="0"/>
              <w:adjustRightInd/>
              <w:spacing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南宁片区提升新质生产力发展动能咨询项目</w:t>
            </w:r>
          </w:p>
        </w:tc>
        <w:tc>
          <w:tcPr>
            <w:tcW w:w="475" w:type="dxa"/>
            <w:tcBorders>
              <w:top w:val="single" w:color="auto" w:sz="4" w:space="0"/>
              <w:left w:val="single" w:color="auto" w:sz="4" w:space="0"/>
              <w:bottom w:val="single" w:color="auto" w:sz="4" w:space="0"/>
              <w:right w:val="single" w:color="auto" w:sz="4" w:space="0"/>
            </w:tcBorders>
            <w:vAlign w:val="center"/>
          </w:tcPr>
          <w:p w14:paraId="41AA9DF4">
            <w:pPr>
              <w:keepNext w:val="0"/>
              <w:keepLines w:val="0"/>
              <w:pageBreakBefore w:val="0"/>
              <w:shd w:val="clear"/>
              <w:kinsoku/>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项</w:t>
            </w:r>
          </w:p>
        </w:tc>
        <w:tc>
          <w:tcPr>
            <w:tcW w:w="390" w:type="dxa"/>
            <w:tcBorders>
              <w:top w:val="single" w:color="auto" w:sz="4" w:space="0"/>
              <w:left w:val="single" w:color="auto" w:sz="4" w:space="0"/>
              <w:bottom w:val="single" w:color="auto" w:sz="4" w:space="0"/>
              <w:right w:val="single" w:color="auto" w:sz="4" w:space="0"/>
            </w:tcBorders>
            <w:vAlign w:val="center"/>
          </w:tcPr>
          <w:p w14:paraId="631CB11F">
            <w:pPr>
              <w:keepNext w:val="0"/>
              <w:keepLines w:val="0"/>
              <w:pageBreakBefore w:val="0"/>
              <w:shd w:val="clear"/>
              <w:kinsoku/>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1</w:t>
            </w:r>
          </w:p>
        </w:tc>
        <w:tc>
          <w:tcPr>
            <w:tcW w:w="4805" w:type="dxa"/>
            <w:tcBorders>
              <w:top w:val="single" w:color="auto" w:sz="4" w:space="0"/>
              <w:left w:val="single" w:color="auto" w:sz="4" w:space="0"/>
              <w:bottom w:val="single" w:color="auto" w:sz="4" w:space="0"/>
              <w:right w:val="single" w:color="auto" w:sz="4" w:space="0"/>
            </w:tcBorders>
            <w:vAlign w:val="center"/>
          </w:tcPr>
          <w:p w14:paraId="2E976BBB">
            <w:pPr>
              <w:keepNext w:val="0"/>
              <w:keepLines w:val="0"/>
              <w:pageBreakBefore w:val="0"/>
              <w:kinsoku/>
              <w:wordWrap w:val="0"/>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.项目范围：中国（广西）自由贸易试验区南宁片区</w:t>
            </w:r>
          </w:p>
          <w:p w14:paraId="6EA26AF6">
            <w:pPr>
              <w:keepNext w:val="0"/>
              <w:keepLines w:val="0"/>
              <w:pageBreakBefore w:val="0"/>
              <w:kinsoku/>
              <w:wordWrap w:val="0"/>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.项目内容及工作要求：</w:t>
            </w:r>
            <w:r>
              <w:rPr>
                <w:rFonts w:hint="eastAsia" w:ascii="宋体" w:hAnsi="宋体" w:eastAsia="宋体" w:cs="宋体"/>
                <w:b/>
                <w:bCs/>
                <w:color w:val="auto"/>
                <w:sz w:val="24"/>
                <w:szCs w:val="24"/>
                <w:highlight w:val="none"/>
                <w:lang w:val="en-US" w:eastAsia="zh-CN"/>
              </w:rPr>
              <w:t>委托第三方梳理南宁片区新质生产力的发展现状和趋势，研究制约南宁片区加快形成新质生产力的瓶颈问题；结合新一轮科技革命和产业变革态势，重点围绕人才资源、科技创新、产业结构、政策支持等方面，研究提出南宁片区加快形成新质生产力的主要破局抓手：</w:t>
            </w:r>
          </w:p>
          <w:p w14:paraId="36B1BD15">
            <w:pPr>
              <w:keepNext w:val="0"/>
              <w:keepLines w:val="0"/>
              <w:pageBreakBefore w:val="0"/>
              <w:kinsoku/>
              <w:wordWrap w:val="0"/>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.1评估现状基础，</w:t>
            </w:r>
            <w:r>
              <w:rPr>
                <w:rFonts w:hint="eastAsia" w:ascii="宋体" w:hAnsi="宋体" w:eastAsia="宋体" w:cs="宋体"/>
                <w:color w:val="auto"/>
                <w:sz w:val="24"/>
                <w:szCs w:val="24"/>
                <w:highlight w:val="none"/>
              </w:rPr>
              <w:t>研究</w:t>
            </w:r>
            <w:r>
              <w:rPr>
                <w:rFonts w:hint="eastAsia" w:ascii="宋体" w:hAnsi="宋体" w:cs="宋体"/>
                <w:color w:val="auto"/>
                <w:sz w:val="24"/>
                <w:szCs w:val="24"/>
                <w:highlight w:val="none"/>
                <w:lang w:eastAsia="zh-CN"/>
              </w:rPr>
              <w:t>党中央国务院</w:t>
            </w:r>
            <w:r>
              <w:rPr>
                <w:rFonts w:hint="eastAsia" w:ascii="宋体" w:hAnsi="宋体" w:eastAsia="宋体" w:cs="宋体"/>
                <w:color w:val="auto"/>
                <w:sz w:val="24"/>
                <w:szCs w:val="24"/>
                <w:highlight w:val="none"/>
              </w:rPr>
              <w:t>关于发展新质生产力的重要论述和部署要求，梳理全国各地区关于新质生产力的政策文件，</w:t>
            </w:r>
            <w:r>
              <w:rPr>
                <w:rFonts w:hint="eastAsia" w:ascii="宋体" w:hAnsi="宋体" w:eastAsia="宋体" w:cs="宋体"/>
                <w:color w:val="auto"/>
                <w:sz w:val="24"/>
                <w:szCs w:val="24"/>
                <w:highlight w:val="none"/>
              </w:rPr>
              <w:t>厘清新质生产力的时代背景、概念内涵、关键特征和形成条件，梳理南宁片区新质生产力的发展现状和趋势，分析南宁片区推进新质生产力发展的基础优势，研究制约南宁片区加快形成新质生产力的瓶颈问题；</w:t>
            </w:r>
          </w:p>
          <w:p w14:paraId="5BAF906B">
            <w:pPr>
              <w:keepNext w:val="0"/>
              <w:keepLines w:val="0"/>
              <w:pageBreakBefore w:val="0"/>
              <w:kinsoku/>
              <w:wordWrap w:val="0"/>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研究发展路径，结合新一轮科技革命和产业变革态势，研究提出南宁片区加快传统产业转型、培育壮大战略性新兴产业、抢抓未来产业赛道的主攻方向、思路举措，重点围绕人才资源、科技创新、产业结构、政策支持等领域，研究提出南宁片区加快形成新质生产力的主要破局抓手；</w:t>
            </w:r>
          </w:p>
          <w:p w14:paraId="794435C7">
            <w:pPr>
              <w:keepNext w:val="0"/>
              <w:keepLines w:val="0"/>
              <w:pageBreakBefore w:val="0"/>
              <w:kinsoku/>
              <w:wordWrap w:val="0"/>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3编制人才图谱，人才因素是培育和发展新质生产力的核心，也是激发南宁片区新质生产力内生动力和提升发展动能的破局首选举措，将聚焦1个南宁片区重点产业赛道，梳理南宁片区该产业发展现状与人才需求情况，建立该产业全球高层次人才图谱数据库（不少于3000条信息），为南宁片区新质生产力的产业发展、</w:t>
            </w:r>
            <w:r>
              <w:rPr>
                <w:rFonts w:hint="eastAsia" w:ascii="宋体" w:hAnsi="宋体" w:eastAsia="宋体" w:cs="宋体"/>
                <w:color w:val="auto"/>
                <w:sz w:val="24"/>
                <w:szCs w:val="24"/>
                <w:highlight w:val="none"/>
              </w:rPr>
              <w:t>招商</w:t>
            </w:r>
            <w:r>
              <w:rPr>
                <w:rFonts w:hint="eastAsia" w:ascii="宋体" w:hAnsi="宋体" w:cs="宋体"/>
                <w:color w:val="auto"/>
                <w:sz w:val="24"/>
                <w:szCs w:val="24"/>
                <w:highlight w:val="none"/>
                <w:lang w:val="en-US" w:eastAsia="zh-CN"/>
              </w:rPr>
              <w:t>引智</w:t>
            </w:r>
            <w:r>
              <w:rPr>
                <w:rFonts w:hint="eastAsia" w:ascii="宋体" w:hAnsi="宋体" w:eastAsia="宋体" w:cs="宋体"/>
                <w:color w:val="auto"/>
                <w:sz w:val="24"/>
                <w:szCs w:val="24"/>
                <w:highlight w:val="none"/>
              </w:rPr>
              <w:t>提供现实的参考。</w:t>
            </w:r>
          </w:p>
          <w:p w14:paraId="48D01C7D">
            <w:pPr>
              <w:keepNext w:val="0"/>
              <w:keepLines w:val="0"/>
              <w:pageBreakBefore w:val="0"/>
              <w:kinsoku/>
              <w:wordWrap w:val="0"/>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、项目成果要求</w:t>
            </w:r>
          </w:p>
          <w:p w14:paraId="72E1B15D">
            <w:pPr>
              <w:keepNext w:val="0"/>
              <w:keepLines w:val="0"/>
              <w:pageBreakBefore w:val="0"/>
              <w:kinsoku/>
              <w:wordWrap w:val="0"/>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.1形成《南宁片区提升新质生产力发展动能实践路径研究报告》；</w:t>
            </w:r>
          </w:p>
          <w:p w14:paraId="575E2156">
            <w:pPr>
              <w:keepNext w:val="0"/>
              <w:keepLines w:val="0"/>
              <w:pageBreakBefore w:val="0"/>
              <w:kinsoku/>
              <w:wordWrap w:val="0"/>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.2建立1个南宁片区新质生产力相关重点产业赛道的全球高层次人才图谱数据库（不少于3000条信息）。</w:t>
            </w:r>
          </w:p>
          <w:p w14:paraId="7D28EC61">
            <w:pPr>
              <w:keepNext w:val="0"/>
              <w:keepLines w:val="0"/>
              <w:pageBreakBefore w:val="0"/>
              <w:kinsoku/>
              <w:wordWrap w:val="0"/>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以上材料均须通过采购人验收（验收形式由采购人确认）。</w:t>
            </w:r>
          </w:p>
          <w:p w14:paraId="26014B23">
            <w:pPr>
              <w:keepNext w:val="0"/>
              <w:keepLines w:val="0"/>
              <w:pageBreakBefore w:val="0"/>
              <w:kinsoku/>
              <w:wordWrap w:val="0"/>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以上材料均需提供不少于2份纸质版和1份电子版（具体数量由采购人视具体情况而定）。</w:t>
            </w:r>
          </w:p>
          <w:p w14:paraId="1AAC47F9">
            <w:pPr>
              <w:keepNext w:val="0"/>
              <w:keepLines w:val="0"/>
              <w:pageBreakBefore w:val="0"/>
              <w:kinsoku/>
              <w:wordWrap w:val="0"/>
              <w:overflowPunct/>
              <w:topLinePunct w:val="0"/>
              <w:autoSpaceDE/>
              <w:autoSpaceDN/>
              <w:bidi w:val="0"/>
              <w:adjustRightInd/>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、拟投入技术团队：</w:t>
            </w:r>
          </w:p>
          <w:p w14:paraId="3679210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Theme="minorEastAsia" w:hAnsiTheme="minorEastAsia" w:eastAsiaTheme="minorEastAsia" w:cstheme="minorEastAsia"/>
                <w:color w:val="auto"/>
                <w:sz w:val="24"/>
                <w:szCs w:val="24"/>
                <w:highlight w:val="none"/>
              </w:rPr>
              <w:t>必须为本项目投入不少于3人的技术团队（含项目负责人），在实施过程中不允许单方面换人，除特殊原因已向采购人申请同意除外。</w:t>
            </w:r>
          </w:p>
        </w:tc>
        <w:tc>
          <w:tcPr>
            <w:tcW w:w="1426" w:type="dxa"/>
            <w:tcBorders>
              <w:left w:val="single" w:color="auto" w:sz="4" w:space="0"/>
              <w:right w:val="single" w:color="auto" w:sz="4" w:space="0"/>
            </w:tcBorders>
            <w:vAlign w:val="center"/>
          </w:tcPr>
          <w:p w14:paraId="5DBD1F70">
            <w:pPr>
              <w:keepNext w:val="0"/>
              <w:keepLines w:val="0"/>
              <w:pageBreakBefore w:val="0"/>
              <w:shd w:val="clear"/>
              <w:tabs>
                <w:tab w:val="left" w:pos="1440"/>
              </w:tabs>
              <w:kinsoku/>
              <w:overflowPunct/>
              <w:topLinePunct w:val="0"/>
              <w:autoSpaceDE/>
              <w:autoSpaceDN/>
              <w:bidi w:val="0"/>
              <w:adjustRightIn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500000.00</w:t>
            </w:r>
          </w:p>
        </w:tc>
        <w:tc>
          <w:tcPr>
            <w:tcW w:w="1045" w:type="dxa"/>
            <w:tcBorders>
              <w:left w:val="single" w:color="auto" w:sz="4" w:space="0"/>
              <w:right w:val="single" w:color="auto" w:sz="4" w:space="0"/>
            </w:tcBorders>
            <w:vAlign w:val="center"/>
          </w:tcPr>
          <w:p w14:paraId="66EFC2CE">
            <w:pPr>
              <w:pStyle w:val="14"/>
              <w:keepNext w:val="0"/>
              <w:keepLines w:val="0"/>
              <w:pageBreakBefore w:val="0"/>
              <w:shd w:val="clear"/>
              <w:kinsoku/>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其他未列明行业</w:t>
            </w:r>
          </w:p>
        </w:tc>
      </w:tr>
      <w:tr w14:paraId="6B659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14:paraId="1FC21A34">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w:t>
            </w:r>
          </w:p>
          <w:p w14:paraId="496C2684">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务</w:t>
            </w:r>
          </w:p>
          <w:p w14:paraId="40C4F44E">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w:t>
            </w:r>
          </w:p>
          <w:p w14:paraId="4EB4391C">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款</w:t>
            </w:r>
          </w:p>
        </w:tc>
        <w:tc>
          <w:tcPr>
            <w:tcW w:w="9661" w:type="dxa"/>
            <w:gridSpan w:val="7"/>
            <w:tcBorders>
              <w:top w:val="single" w:color="auto" w:sz="4" w:space="0"/>
              <w:left w:val="single" w:color="auto" w:sz="4" w:space="0"/>
              <w:bottom w:val="single" w:color="auto" w:sz="4" w:space="0"/>
              <w:right w:val="single" w:color="auto" w:sz="4" w:space="0"/>
            </w:tcBorders>
            <w:vAlign w:val="center"/>
          </w:tcPr>
          <w:p w14:paraId="71B4D4FC">
            <w:pPr>
              <w:keepNext w:val="0"/>
              <w:keepLines w:val="0"/>
              <w:pageBreakBefore w:val="0"/>
              <w:widowControl/>
              <w:kinsoku/>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bidi="ar"/>
              </w:rPr>
              <w:t>▲一、合同签订期：</w:t>
            </w:r>
            <w:r>
              <w:rPr>
                <w:rFonts w:hint="eastAsia" w:ascii="宋体" w:hAnsi="宋体" w:eastAsia="宋体" w:cs="宋体"/>
                <w:color w:val="auto"/>
                <w:sz w:val="24"/>
                <w:szCs w:val="24"/>
                <w:highlight w:val="none"/>
              </w:rPr>
              <w:t>自成交通知书发出之日起25日内</w:t>
            </w:r>
            <w:r>
              <w:rPr>
                <w:rFonts w:hint="eastAsia" w:ascii="宋体" w:hAnsi="宋体" w:eastAsia="宋体" w:cs="宋体"/>
                <w:color w:val="auto"/>
                <w:sz w:val="24"/>
                <w:szCs w:val="24"/>
                <w:highlight w:val="none"/>
                <w:lang w:bidi="ar"/>
              </w:rPr>
              <w:t>。</w:t>
            </w:r>
          </w:p>
          <w:p w14:paraId="415BAE0D">
            <w:pPr>
              <w:keepNext w:val="0"/>
              <w:keepLines w:val="0"/>
              <w:pageBreakBefore w:val="0"/>
              <w:widowControl/>
              <w:kinsoku/>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bidi="ar"/>
              </w:rPr>
              <w:t>▲二、提交最终服务成果时间：</w:t>
            </w:r>
            <w:r>
              <w:rPr>
                <w:rFonts w:hint="eastAsia" w:ascii="宋体" w:hAnsi="宋体" w:eastAsia="宋体" w:cs="宋体"/>
                <w:color w:val="auto"/>
                <w:sz w:val="24"/>
                <w:szCs w:val="24"/>
                <w:highlight w:val="none"/>
                <w:lang w:bidi="ar"/>
              </w:rPr>
              <w:t>自合同签订之日起</w:t>
            </w:r>
            <w:r>
              <w:rPr>
                <w:rFonts w:hint="eastAsia" w:ascii="宋体" w:hAnsi="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个月</w:t>
            </w:r>
            <w:r>
              <w:rPr>
                <w:rFonts w:hint="eastAsia" w:ascii="宋体" w:hAnsi="宋体" w:eastAsia="宋体" w:cs="宋体"/>
                <w:color w:val="auto"/>
                <w:sz w:val="24"/>
                <w:szCs w:val="24"/>
                <w:highlight w:val="none"/>
                <w:lang w:bidi="ar"/>
              </w:rPr>
              <w:t>内完成合同约定的服务内容。</w:t>
            </w:r>
          </w:p>
          <w:p w14:paraId="4F74ACA3">
            <w:pPr>
              <w:widowControl/>
              <w:spacing w:line="360" w:lineRule="exact"/>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bidi="ar"/>
              </w:rPr>
              <w:t>▲三、服务地点：</w:t>
            </w:r>
            <w:r>
              <w:rPr>
                <w:rFonts w:hint="eastAsia" w:ascii="宋体" w:hAnsi="宋体" w:eastAsia="宋体" w:cs="宋体"/>
                <w:color w:val="auto"/>
                <w:sz w:val="24"/>
                <w:szCs w:val="24"/>
                <w:highlight w:val="none"/>
              </w:rPr>
              <w:t>南宁市良庆区云英路8号五象总部大厦B座，具体地点由采购人指定。</w:t>
            </w:r>
          </w:p>
          <w:p w14:paraId="71454220">
            <w:pPr>
              <w:keepNext w:val="0"/>
              <w:keepLines w:val="0"/>
              <w:pageBreakBefore w:val="0"/>
              <w:widowControl/>
              <w:kinsoku/>
              <w:overflowPunct/>
              <w:topLinePunct w:val="0"/>
              <w:autoSpaceDE/>
              <w:autoSpaceDN/>
              <w:bidi w:val="0"/>
              <w:adjustRightIn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▲四、验收标准、规范：</w:t>
            </w:r>
          </w:p>
          <w:p w14:paraId="0906ACF4">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1、验收过程中所产生的一切费用均由成交供应商承担。报价时应考虑相关费用。</w:t>
            </w:r>
          </w:p>
          <w:p w14:paraId="6025D2B2">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项目验收过程中，采购人将同时按照采购文件以及供应商响应文件承诺的条款进行逐项验收，如项目验收不合格，由成交供应商返工直至合格，有关返工、再行验收，以及给采购人造成的损失等费用由成交供应商承担。如验收中发现响应文件中有针对技术商务条款有虚假响应情况的，采购人将不予验收，并依据相关法律规定追究成交供应商的责任，由此带来的一切损失由成交供应商自行承担。</w:t>
            </w:r>
          </w:p>
          <w:p w14:paraId="2610F080">
            <w:pPr>
              <w:keepNext w:val="0"/>
              <w:keepLines w:val="0"/>
              <w:pageBreakBefore w:val="0"/>
              <w:widowControl/>
              <w:kinsoku/>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bidi="ar"/>
              </w:rPr>
              <w:t>▲五、</w:t>
            </w:r>
            <w:r>
              <w:rPr>
                <w:rFonts w:hint="eastAsia" w:ascii="宋体" w:hAnsi="宋体" w:eastAsia="宋体" w:cs="宋体"/>
                <w:b/>
                <w:color w:val="auto"/>
                <w:kern w:val="0"/>
                <w:sz w:val="24"/>
                <w:szCs w:val="24"/>
                <w:highlight w:val="none"/>
                <w:lang w:val="zh-CN" w:bidi="ar"/>
              </w:rPr>
              <w:t>服务要求</w:t>
            </w:r>
            <w:r>
              <w:rPr>
                <w:rFonts w:hint="eastAsia" w:ascii="宋体" w:hAnsi="宋体" w:eastAsia="宋体" w:cs="宋体"/>
                <w:color w:val="auto"/>
                <w:sz w:val="24"/>
                <w:szCs w:val="24"/>
                <w:highlight w:val="none"/>
                <w:lang w:bidi="ar"/>
              </w:rPr>
              <w:t>：</w:t>
            </w:r>
          </w:p>
          <w:p w14:paraId="72E71F4F">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达到合同规定要求的成果文件，供应商必须根据采购人的意见和建议，在规定的时间内进行修改、补充和完善，并于5个工作日内给出修改版本。重新验收仍不合格的按违约予以撤项。已拨付的经费要于项目撤项后五个工作日内如数退回采购人。</w:t>
            </w:r>
          </w:p>
          <w:p w14:paraId="27A91E79">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2、服务标准：成交供应商应当为采购人提供技术咨询电话，解答采购人在成果使用中遇到的问题，及时为采购人提出解决问题的建议。</w:t>
            </w:r>
          </w:p>
          <w:p w14:paraId="1E02DCB4">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售后服务要求：提交最终项目成果后3个月内，接到采购人项目后续需要供应商配合工作（如成果应用中使用问题等）的通知后24小时内响应，及时安排本项目人员对接采购人进行处理，并于5个工作日内完成采购人提出的售后服务要求。</w:t>
            </w:r>
          </w:p>
          <w:p w14:paraId="6ED9A993">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六、其他要求：</w:t>
            </w:r>
          </w:p>
          <w:p w14:paraId="2F4B517B">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▲1、报价必须含以下部分，包括：</w:t>
            </w:r>
          </w:p>
          <w:p w14:paraId="7781B6DE">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（1）服务的价格（包含但不限于：资料收集费、调研考察费、差旅费、项目验收评审费、查重费用、工作经费等）；</w:t>
            </w:r>
          </w:p>
          <w:p w14:paraId="46516506">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（2）必要的保险费用和各项税金；</w:t>
            </w:r>
          </w:p>
          <w:p w14:paraId="3B9D731E">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（3）其他：技术支持、售后服务。</w:t>
            </w:r>
          </w:p>
          <w:p w14:paraId="22561ADF">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▲2、付款方式：</w:t>
            </w:r>
          </w:p>
          <w:p w14:paraId="5C518FBD">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bCs/>
                <w:color w:val="auto"/>
                <w:sz w:val="24"/>
                <w:szCs w:val="24"/>
                <w:highlight w:val="none"/>
              </w:rPr>
              <w:t>在签订合同之日起10个工作日内，成交供应商提供项目实施计划经采购人确认后，采购人向成交供应商支付合同总金额的40%。成交供应商提交服务成果初稿后，采购人自收到成交供应商提交的付款申请之日起15个工作日内向成交供应商支付合同总金额的40%；成交供应商按照修改意见完善成果并提交终稿，经采购人验收通过后，采购人自收到成交供应商提交的付款申请之日起15个工作日内向成交供应商支付剩余的合同款，即合同总金额的20%。（每笔款项支付前成交供应商向采购人开具发票，并承担此价格包含所产生的税费。）</w:t>
            </w:r>
          </w:p>
          <w:p w14:paraId="1B26609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bidi="ar"/>
              </w:rPr>
              <w:t>▲3、对合同条款的调整：</w:t>
            </w:r>
            <w:r>
              <w:rPr>
                <w:rFonts w:hint="eastAsia" w:ascii="宋体" w:hAnsi="宋体" w:eastAsia="宋体" w:cs="宋体"/>
                <w:color w:val="auto"/>
                <w:sz w:val="24"/>
                <w:szCs w:val="24"/>
                <w:highlight w:val="none"/>
              </w:rPr>
              <w:t>成交供应商必须在承诺的时限内提交服务成果并通过终验，若由于成交供应商原因，未能按合同规定的内容、时间及相关要求向采购人提交服务成果的，成交供应商承担违约责任，支付违约金。每逾期一天交付合同总费用的千分之二支付违约金，该违约金由采购人从待付合同款中扣除，逾期超过30日仍不能提供服务成果的，采购人做验收不合格处理，停止支付余款，并有权要求成交供应商退还全部已收款项。</w:t>
            </w:r>
          </w:p>
        </w:tc>
      </w:tr>
      <w:tr w14:paraId="3BB40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6"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14:paraId="7B6F9BDC">
            <w:pPr>
              <w:keepNext w:val="0"/>
              <w:keepLines w:val="0"/>
              <w:pageBreakBefore w:val="0"/>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规范标准</w:t>
            </w:r>
          </w:p>
        </w:tc>
        <w:tc>
          <w:tcPr>
            <w:tcW w:w="9661" w:type="dxa"/>
            <w:gridSpan w:val="7"/>
            <w:tcBorders>
              <w:top w:val="single" w:color="auto" w:sz="4" w:space="0"/>
              <w:left w:val="single" w:color="auto" w:sz="4" w:space="0"/>
              <w:bottom w:val="single" w:color="auto" w:sz="4" w:space="0"/>
              <w:right w:val="single" w:color="auto" w:sz="4" w:space="0"/>
            </w:tcBorders>
            <w:vAlign w:val="center"/>
          </w:tcPr>
          <w:p w14:paraId="55AF601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一、本项目采购标的的需执行的国家相关标准、行业标准、地方标准或其他强制性标准、规范等要求：</w:t>
            </w:r>
            <w:r>
              <w:rPr>
                <w:rFonts w:hint="eastAsia" w:ascii="宋体" w:hAnsi="宋体" w:eastAsia="宋体" w:cs="宋体"/>
                <w:color w:val="auto"/>
                <w:kern w:val="2"/>
                <w:sz w:val="24"/>
                <w:szCs w:val="24"/>
                <w:highlight w:val="none"/>
                <w:u w:val="single"/>
                <w:lang w:val="en-US" w:eastAsia="zh-CN"/>
              </w:rPr>
              <w:t>按国家相关标准、成交供应商承诺进行验收。</w:t>
            </w:r>
          </w:p>
          <w:p w14:paraId="39BBACD5">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rPr>
              <w:t>二、合同延续年限、条件和方式：</w:t>
            </w:r>
            <w:r>
              <w:rPr>
                <w:rFonts w:hint="eastAsia" w:ascii="宋体" w:hAnsi="宋体" w:eastAsia="宋体" w:cs="宋体"/>
                <w:color w:val="auto"/>
                <w:kern w:val="2"/>
                <w:sz w:val="24"/>
                <w:szCs w:val="24"/>
                <w:highlight w:val="none"/>
                <w:u w:val="single"/>
                <w:lang w:val="en-US" w:eastAsia="zh-CN"/>
              </w:rPr>
              <w:t>本项目合同到期后不续签。</w:t>
            </w:r>
            <w:r>
              <w:rPr>
                <w:rFonts w:hint="eastAsia" w:ascii="宋体" w:hAnsi="宋体" w:eastAsia="宋体" w:cs="宋体"/>
                <w:color w:val="auto"/>
                <w:kern w:val="2"/>
                <w:sz w:val="24"/>
                <w:szCs w:val="24"/>
                <w:highlight w:val="none"/>
                <w:lang w:val="en-US" w:eastAsia="zh-CN"/>
              </w:rPr>
              <w:t xml:space="preserve"> </w:t>
            </w:r>
          </w:p>
        </w:tc>
      </w:tr>
    </w:tbl>
    <w:p w14:paraId="60F3B41B">
      <w:pPr>
        <w:pStyle w:val="7"/>
        <w:shd w:val="clear"/>
        <w:wordWrap w:val="0"/>
        <w:spacing w:line="336" w:lineRule="auto"/>
        <w:ind w:firstLine="482" w:firstLineChars="200"/>
        <w:rPr>
          <w:rFonts w:asciiTheme="minorEastAsia" w:hAnsiTheme="minorEastAsia" w:eastAsiaTheme="minorEastAsia" w:cstheme="minorEastAsia"/>
          <w:b/>
          <w:bCs/>
          <w:color w:val="auto"/>
          <w:sz w:val="24"/>
          <w:highlight w:val="none"/>
        </w:rPr>
        <w:sectPr>
          <w:footerReference r:id="rId7" w:type="default"/>
          <w:pgSz w:w="11905" w:h="16838"/>
          <w:pgMar w:top="1440" w:right="1080" w:bottom="1440" w:left="1080" w:header="720" w:footer="720" w:gutter="0"/>
          <w:cols w:space="0" w:num="1"/>
          <w:docGrid w:linePitch="331" w:charSpace="0"/>
        </w:sectPr>
      </w:pPr>
    </w:p>
    <w:p w14:paraId="79A1D1BD">
      <w:pPr>
        <w:pStyle w:val="7"/>
        <w:shd w:val="clear"/>
        <w:wordWrap w:val="0"/>
        <w:spacing w:line="336" w:lineRule="auto"/>
        <w:rPr>
          <w:rFonts w:asciiTheme="minorEastAsia" w:hAnsiTheme="minorEastAsia" w:eastAsiaTheme="minorEastAsia" w:cstheme="minorEastAsia"/>
          <w:b/>
          <w:bCs/>
          <w:color w:val="auto"/>
          <w:sz w:val="24"/>
          <w:highlight w:val="none"/>
        </w:rPr>
      </w:pPr>
    </w:p>
    <w:p w14:paraId="60068B07">
      <w:pPr>
        <w:shd w:val="clear"/>
        <w:wordWrap w:val="0"/>
        <w:spacing w:line="336" w:lineRule="auto"/>
        <w:rPr>
          <w:rFonts w:asciiTheme="minorEastAsia" w:hAnsiTheme="minorEastAsia" w:eastAsiaTheme="minorEastAsia" w:cstheme="minorEastAsia"/>
          <w:color w:val="auto"/>
          <w:sz w:val="17"/>
          <w:szCs w:val="17"/>
          <w:highlight w:val="none"/>
        </w:rPr>
      </w:pPr>
      <w:r>
        <w:rPr>
          <w:rFonts w:hint="eastAsia" w:asciiTheme="minorEastAsia" w:hAnsiTheme="minorEastAsia" w:eastAsiaTheme="minorEastAsia" w:cstheme="minorEastAsia"/>
          <w:color w:val="auto"/>
          <w:sz w:val="32"/>
          <w:szCs w:val="32"/>
          <w:highlight w:val="none"/>
        </w:rPr>
        <w:t>附件：</w:t>
      </w:r>
    </w:p>
    <w:p w14:paraId="3257F91A">
      <w:pPr>
        <w:shd w:val="clear"/>
        <w:wordWrap w:val="0"/>
        <w:spacing w:line="336" w:lineRule="auto"/>
        <w:ind w:left="1871"/>
        <w:rPr>
          <w:rFonts w:asciiTheme="minorEastAsia" w:hAnsiTheme="minorEastAsia" w:eastAsiaTheme="minorEastAsia" w:cstheme="minorEastAsia"/>
          <w:color w:val="auto"/>
          <w:sz w:val="40"/>
          <w:szCs w:val="40"/>
          <w:highlight w:val="none"/>
        </w:rPr>
      </w:pPr>
      <w:r>
        <w:rPr>
          <w:rFonts w:hint="eastAsia" w:asciiTheme="minorEastAsia" w:hAnsiTheme="minorEastAsia" w:eastAsiaTheme="minorEastAsia" w:cstheme="minorEastAsia"/>
          <w:color w:val="auto"/>
          <w:sz w:val="40"/>
          <w:szCs w:val="40"/>
          <w:highlight w:val="none"/>
        </w:rPr>
        <w:t>节能产品政府采购品目清单</w:t>
      </w:r>
    </w:p>
    <w:tbl>
      <w:tblPr>
        <w:tblStyle w:val="21"/>
        <w:tblW w:w="9961" w:type="dxa"/>
        <w:tblInd w:w="0" w:type="dxa"/>
        <w:tblLayout w:type="fixed"/>
        <w:tblCellMar>
          <w:top w:w="0" w:type="dxa"/>
          <w:left w:w="108" w:type="dxa"/>
          <w:bottom w:w="0" w:type="dxa"/>
          <w:right w:w="108" w:type="dxa"/>
        </w:tblCellMar>
      </w:tblPr>
      <w:tblGrid>
        <w:gridCol w:w="713"/>
        <w:gridCol w:w="1167"/>
        <w:gridCol w:w="1426"/>
        <w:gridCol w:w="1750"/>
        <w:gridCol w:w="4905"/>
      </w:tblGrid>
      <w:tr w14:paraId="5191D6AE">
        <w:tblPrEx>
          <w:tblCellMar>
            <w:top w:w="0" w:type="dxa"/>
            <w:left w:w="108" w:type="dxa"/>
            <w:bottom w:w="0" w:type="dxa"/>
            <w:right w:w="108" w:type="dxa"/>
          </w:tblCellMar>
        </w:tblPrEx>
        <w:trPr>
          <w:trHeight w:val="555" w:hRule="atLeast"/>
        </w:trPr>
        <w:tc>
          <w:tcPr>
            <w:tcW w:w="713" w:type="dxa"/>
            <w:tcBorders>
              <w:top w:val="single" w:color="000000" w:sz="8" w:space="0"/>
              <w:left w:val="single" w:color="000000" w:sz="8" w:space="0"/>
              <w:bottom w:val="single" w:color="000000" w:sz="8" w:space="0"/>
              <w:right w:val="single" w:color="000000" w:sz="8" w:space="0"/>
            </w:tcBorders>
            <w:shd w:val="clear" w:color="auto" w:fill="auto"/>
          </w:tcPr>
          <w:p w14:paraId="6539B535">
            <w:pPr>
              <w:widowControl/>
              <w:shd w:val="clear"/>
              <w:wordWrap w:val="0"/>
              <w:spacing w:line="336" w:lineRule="auto"/>
              <w:jc w:val="center"/>
              <w:rPr>
                <w:rFonts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品目序号</w:t>
            </w:r>
          </w:p>
        </w:tc>
        <w:tc>
          <w:tcPr>
            <w:tcW w:w="4343" w:type="dxa"/>
            <w:gridSpan w:val="3"/>
            <w:tcBorders>
              <w:top w:val="single" w:color="000000" w:sz="8" w:space="0"/>
              <w:left w:val="nil"/>
              <w:bottom w:val="single" w:color="000000" w:sz="8" w:space="0"/>
              <w:right w:val="single" w:color="000000" w:sz="8" w:space="0"/>
            </w:tcBorders>
            <w:shd w:val="clear" w:color="auto" w:fill="auto"/>
            <w:vAlign w:val="center"/>
          </w:tcPr>
          <w:p w14:paraId="3411E1A5">
            <w:pPr>
              <w:widowControl/>
              <w:shd w:val="clear"/>
              <w:wordWrap w:val="0"/>
              <w:spacing w:line="336" w:lineRule="auto"/>
              <w:jc w:val="center"/>
              <w:rPr>
                <w:rFonts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名称</w:t>
            </w:r>
          </w:p>
        </w:tc>
        <w:tc>
          <w:tcPr>
            <w:tcW w:w="4905" w:type="dxa"/>
            <w:tcBorders>
              <w:top w:val="single" w:color="000000" w:sz="8" w:space="0"/>
              <w:left w:val="nil"/>
              <w:bottom w:val="single" w:color="000000" w:sz="8" w:space="0"/>
              <w:right w:val="single" w:color="000000" w:sz="8" w:space="0"/>
            </w:tcBorders>
            <w:shd w:val="clear" w:color="auto" w:fill="auto"/>
            <w:vAlign w:val="center"/>
          </w:tcPr>
          <w:p w14:paraId="000D23AA">
            <w:pPr>
              <w:widowControl/>
              <w:shd w:val="clear"/>
              <w:wordWrap w:val="0"/>
              <w:spacing w:line="336" w:lineRule="auto"/>
              <w:jc w:val="center"/>
              <w:rPr>
                <w:rFonts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依据的标准</w:t>
            </w:r>
          </w:p>
        </w:tc>
      </w:tr>
      <w:tr w14:paraId="30B4E720">
        <w:tblPrEx>
          <w:tblCellMar>
            <w:top w:w="0" w:type="dxa"/>
            <w:left w:w="108" w:type="dxa"/>
            <w:bottom w:w="0" w:type="dxa"/>
            <w:right w:w="108" w:type="dxa"/>
          </w:tblCellMar>
        </w:tblPrEx>
        <w:trPr>
          <w:trHeight w:val="495" w:hRule="atLeast"/>
        </w:trPr>
        <w:tc>
          <w:tcPr>
            <w:tcW w:w="713" w:type="dxa"/>
            <w:vMerge w:val="restart"/>
            <w:tcBorders>
              <w:top w:val="nil"/>
              <w:left w:val="single" w:color="000000" w:sz="8" w:space="0"/>
              <w:bottom w:val="single" w:color="000000" w:sz="8" w:space="0"/>
              <w:right w:val="single" w:color="000000" w:sz="8" w:space="0"/>
            </w:tcBorders>
            <w:shd w:val="clear" w:color="auto" w:fill="auto"/>
            <w:vAlign w:val="center"/>
          </w:tcPr>
          <w:p w14:paraId="1F18F84F">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c>
          <w:tcPr>
            <w:tcW w:w="1167" w:type="dxa"/>
            <w:vMerge w:val="restart"/>
            <w:tcBorders>
              <w:top w:val="nil"/>
              <w:left w:val="single" w:color="000000" w:sz="8" w:space="0"/>
              <w:bottom w:val="single" w:color="000000" w:sz="8" w:space="0"/>
              <w:right w:val="single" w:color="000000" w:sz="8" w:space="0"/>
            </w:tcBorders>
            <w:shd w:val="clear" w:color="auto" w:fill="auto"/>
            <w:vAlign w:val="center"/>
          </w:tcPr>
          <w:p w14:paraId="28D32822">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A020101计算机设备</w:t>
            </w:r>
          </w:p>
        </w:tc>
        <w:tc>
          <w:tcPr>
            <w:tcW w:w="1426" w:type="dxa"/>
            <w:tcBorders>
              <w:top w:val="nil"/>
              <w:left w:val="nil"/>
              <w:bottom w:val="single" w:color="000000" w:sz="8" w:space="0"/>
              <w:right w:val="single" w:color="000000" w:sz="8" w:space="0"/>
            </w:tcBorders>
            <w:shd w:val="clear" w:color="auto" w:fill="auto"/>
            <w:vAlign w:val="center"/>
          </w:tcPr>
          <w:p w14:paraId="7C127E9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▲A02010104台式计算机</w:t>
            </w:r>
          </w:p>
        </w:tc>
        <w:tc>
          <w:tcPr>
            <w:tcW w:w="1750" w:type="dxa"/>
            <w:tcBorders>
              <w:top w:val="nil"/>
              <w:left w:val="nil"/>
              <w:bottom w:val="single" w:color="000000" w:sz="8" w:space="0"/>
              <w:right w:val="single" w:color="000000" w:sz="8" w:space="0"/>
            </w:tcBorders>
            <w:shd w:val="clear" w:color="auto" w:fill="auto"/>
            <w:vAlign w:val="center"/>
          </w:tcPr>
          <w:p w14:paraId="447835D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0BA93B81">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《微型计算机能效限定值及能效等级》（GB28380）</w:t>
            </w:r>
          </w:p>
        </w:tc>
      </w:tr>
      <w:tr w14:paraId="05B1AAB9">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1394D5C9">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48FBA5AC">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59C6D727">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▲A02010105便携式计算机</w:t>
            </w:r>
          </w:p>
        </w:tc>
        <w:tc>
          <w:tcPr>
            <w:tcW w:w="1750" w:type="dxa"/>
            <w:tcBorders>
              <w:top w:val="nil"/>
              <w:left w:val="nil"/>
              <w:bottom w:val="single" w:color="000000" w:sz="8" w:space="0"/>
              <w:right w:val="single" w:color="000000" w:sz="8" w:space="0"/>
            </w:tcBorders>
            <w:shd w:val="clear" w:color="auto" w:fill="auto"/>
            <w:vAlign w:val="center"/>
          </w:tcPr>
          <w:p w14:paraId="24B8C186">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5249B57F">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《微型计算机能效限定值及能效等级》（GB28380）</w:t>
            </w:r>
          </w:p>
        </w:tc>
      </w:tr>
      <w:tr w14:paraId="7846A5E4">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344D03DD">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4C915E90">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53747CB0">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▲A02010107平板式微型计算机</w:t>
            </w:r>
          </w:p>
        </w:tc>
        <w:tc>
          <w:tcPr>
            <w:tcW w:w="1750" w:type="dxa"/>
            <w:tcBorders>
              <w:top w:val="nil"/>
              <w:left w:val="nil"/>
              <w:bottom w:val="single" w:color="000000" w:sz="8" w:space="0"/>
              <w:right w:val="single" w:color="000000" w:sz="8" w:space="0"/>
            </w:tcBorders>
            <w:shd w:val="clear" w:color="auto" w:fill="auto"/>
            <w:vAlign w:val="center"/>
          </w:tcPr>
          <w:p w14:paraId="0EE0AF66">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356CFCC0">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《微型计算机能效限定值及能效等级》（GB28380）</w:t>
            </w:r>
          </w:p>
        </w:tc>
      </w:tr>
      <w:tr w14:paraId="47430045">
        <w:tblPrEx>
          <w:tblCellMar>
            <w:top w:w="0" w:type="dxa"/>
            <w:left w:w="108" w:type="dxa"/>
            <w:bottom w:w="0" w:type="dxa"/>
            <w:right w:w="108" w:type="dxa"/>
          </w:tblCellMar>
        </w:tblPrEx>
        <w:trPr>
          <w:trHeight w:val="495" w:hRule="atLeast"/>
        </w:trPr>
        <w:tc>
          <w:tcPr>
            <w:tcW w:w="713" w:type="dxa"/>
            <w:vMerge w:val="restart"/>
            <w:tcBorders>
              <w:top w:val="nil"/>
              <w:left w:val="single" w:color="000000" w:sz="8" w:space="0"/>
              <w:bottom w:val="single" w:color="000000" w:sz="8" w:space="0"/>
              <w:right w:val="single" w:color="000000" w:sz="8" w:space="0"/>
            </w:tcBorders>
            <w:shd w:val="clear" w:color="auto" w:fill="auto"/>
            <w:vAlign w:val="center"/>
          </w:tcPr>
          <w:p w14:paraId="6E3A0A5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w:t>
            </w:r>
          </w:p>
        </w:tc>
        <w:tc>
          <w:tcPr>
            <w:tcW w:w="1167" w:type="dxa"/>
            <w:vMerge w:val="restart"/>
            <w:tcBorders>
              <w:top w:val="nil"/>
              <w:left w:val="single" w:color="000000" w:sz="8" w:space="0"/>
              <w:bottom w:val="single" w:color="000000" w:sz="8" w:space="0"/>
              <w:right w:val="single" w:color="000000" w:sz="8" w:space="0"/>
            </w:tcBorders>
            <w:shd w:val="clear" w:color="auto" w:fill="auto"/>
            <w:vAlign w:val="center"/>
          </w:tcPr>
          <w:p w14:paraId="03D824BE">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A020106输入输出设备</w:t>
            </w:r>
          </w:p>
        </w:tc>
        <w:tc>
          <w:tcPr>
            <w:tcW w:w="1426" w:type="dxa"/>
            <w:vMerge w:val="restart"/>
            <w:tcBorders>
              <w:top w:val="nil"/>
              <w:left w:val="single" w:color="000000" w:sz="8" w:space="0"/>
              <w:bottom w:val="single" w:color="000000" w:sz="8" w:space="0"/>
              <w:right w:val="single" w:color="000000" w:sz="8" w:space="0"/>
            </w:tcBorders>
            <w:shd w:val="clear" w:color="auto" w:fill="auto"/>
            <w:vAlign w:val="center"/>
          </w:tcPr>
          <w:p w14:paraId="6CFC989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A02010601打印设备</w:t>
            </w:r>
          </w:p>
        </w:tc>
        <w:tc>
          <w:tcPr>
            <w:tcW w:w="1750" w:type="dxa"/>
            <w:tcBorders>
              <w:top w:val="nil"/>
              <w:left w:val="nil"/>
              <w:bottom w:val="single" w:color="000000" w:sz="8" w:space="0"/>
              <w:right w:val="single" w:color="000000" w:sz="8" w:space="0"/>
            </w:tcBorders>
            <w:shd w:val="clear" w:color="auto" w:fill="auto"/>
            <w:vAlign w:val="center"/>
          </w:tcPr>
          <w:p w14:paraId="27254DE3">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A0201060101喷墨打印机</w:t>
            </w:r>
          </w:p>
        </w:tc>
        <w:tc>
          <w:tcPr>
            <w:tcW w:w="4905" w:type="dxa"/>
            <w:tcBorders>
              <w:top w:val="nil"/>
              <w:left w:val="nil"/>
              <w:bottom w:val="single" w:color="000000" w:sz="8" w:space="0"/>
              <w:right w:val="single" w:color="000000" w:sz="8" w:space="0"/>
            </w:tcBorders>
            <w:shd w:val="clear" w:color="auto" w:fill="auto"/>
            <w:vAlign w:val="center"/>
          </w:tcPr>
          <w:p w14:paraId="71004BDB">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《复印机、打印机和传真机能效限定值及能效等级》（GB21521）</w:t>
            </w:r>
          </w:p>
        </w:tc>
      </w:tr>
      <w:tr w14:paraId="7D1485B4">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6E308E44">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313BF577">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1C515CB4">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17EB4927">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▲A0201060102激光打印机</w:t>
            </w:r>
          </w:p>
        </w:tc>
        <w:tc>
          <w:tcPr>
            <w:tcW w:w="4905" w:type="dxa"/>
            <w:tcBorders>
              <w:top w:val="nil"/>
              <w:left w:val="nil"/>
              <w:bottom w:val="single" w:color="000000" w:sz="8" w:space="0"/>
              <w:right w:val="single" w:color="000000" w:sz="8" w:space="0"/>
            </w:tcBorders>
            <w:shd w:val="clear" w:color="auto" w:fill="auto"/>
            <w:vAlign w:val="center"/>
          </w:tcPr>
          <w:p w14:paraId="7767B778">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《复印机、打印机和传真机能效限定值及能效等级》（GB21521）</w:t>
            </w:r>
          </w:p>
        </w:tc>
      </w:tr>
      <w:tr w14:paraId="4B8F32EE">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3AD55117">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0BF66916">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07011B4F">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2EB2ABF7">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▲A0201060104针式打印机</w:t>
            </w:r>
          </w:p>
        </w:tc>
        <w:tc>
          <w:tcPr>
            <w:tcW w:w="4905" w:type="dxa"/>
            <w:tcBorders>
              <w:top w:val="nil"/>
              <w:left w:val="nil"/>
              <w:bottom w:val="single" w:color="000000" w:sz="8" w:space="0"/>
              <w:right w:val="single" w:color="000000" w:sz="8" w:space="0"/>
            </w:tcBorders>
            <w:shd w:val="clear" w:color="auto" w:fill="auto"/>
            <w:vAlign w:val="center"/>
          </w:tcPr>
          <w:p w14:paraId="452F5167">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《复印机、打印机和传真机能效限定值及能效等级》（GB21521）</w:t>
            </w:r>
          </w:p>
        </w:tc>
      </w:tr>
      <w:tr w14:paraId="527E61FE">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043DAD9C">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75BFB725">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177641B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A02010604显示设备</w:t>
            </w:r>
          </w:p>
        </w:tc>
        <w:tc>
          <w:tcPr>
            <w:tcW w:w="1750" w:type="dxa"/>
            <w:tcBorders>
              <w:top w:val="nil"/>
              <w:left w:val="nil"/>
              <w:bottom w:val="single" w:color="000000" w:sz="8" w:space="0"/>
              <w:right w:val="single" w:color="000000" w:sz="8" w:space="0"/>
            </w:tcBorders>
            <w:shd w:val="clear" w:color="auto" w:fill="auto"/>
            <w:vAlign w:val="center"/>
          </w:tcPr>
          <w:p w14:paraId="418CDA50">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▲A0201060401液晶显示器</w:t>
            </w:r>
          </w:p>
        </w:tc>
        <w:tc>
          <w:tcPr>
            <w:tcW w:w="4905" w:type="dxa"/>
            <w:tcBorders>
              <w:top w:val="nil"/>
              <w:left w:val="nil"/>
              <w:bottom w:val="single" w:color="000000" w:sz="8" w:space="0"/>
              <w:right w:val="single" w:color="000000" w:sz="8" w:space="0"/>
            </w:tcBorders>
            <w:shd w:val="clear" w:color="auto" w:fill="auto"/>
            <w:vAlign w:val="center"/>
          </w:tcPr>
          <w:p w14:paraId="52C437F2">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《计算机显示器能效限定值及能效等级》（GB21520）</w:t>
            </w:r>
          </w:p>
        </w:tc>
      </w:tr>
      <w:tr w14:paraId="71915353">
        <w:tblPrEx>
          <w:tblCellMar>
            <w:top w:w="0" w:type="dxa"/>
            <w:left w:w="108" w:type="dxa"/>
            <w:bottom w:w="0" w:type="dxa"/>
            <w:right w:w="108" w:type="dxa"/>
          </w:tblCellMar>
        </w:tblPrEx>
        <w:trPr>
          <w:trHeight w:val="97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5C04FC5B">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50DCEFB8">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45E19DF6">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A02010609图形图像输入设备</w:t>
            </w:r>
          </w:p>
        </w:tc>
        <w:tc>
          <w:tcPr>
            <w:tcW w:w="1750" w:type="dxa"/>
            <w:tcBorders>
              <w:top w:val="nil"/>
              <w:left w:val="nil"/>
              <w:bottom w:val="single" w:color="000000" w:sz="8" w:space="0"/>
              <w:right w:val="single" w:color="000000" w:sz="8" w:space="0"/>
            </w:tcBorders>
            <w:shd w:val="clear" w:color="auto" w:fill="auto"/>
            <w:vAlign w:val="center"/>
          </w:tcPr>
          <w:p w14:paraId="250B1211">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A0201060901扫描仪</w:t>
            </w:r>
          </w:p>
        </w:tc>
        <w:tc>
          <w:tcPr>
            <w:tcW w:w="4905" w:type="dxa"/>
            <w:tcBorders>
              <w:top w:val="nil"/>
              <w:left w:val="nil"/>
              <w:bottom w:val="single" w:color="000000" w:sz="8" w:space="0"/>
              <w:right w:val="single" w:color="000000" w:sz="8" w:space="0"/>
            </w:tcBorders>
            <w:shd w:val="clear" w:color="auto" w:fill="auto"/>
            <w:vAlign w:val="center"/>
          </w:tcPr>
          <w:p w14:paraId="50FCAB37">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67BEA0C4">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74813D19">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3</w:t>
            </w:r>
          </w:p>
        </w:tc>
        <w:tc>
          <w:tcPr>
            <w:tcW w:w="1167" w:type="dxa"/>
            <w:tcBorders>
              <w:top w:val="nil"/>
              <w:left w:val="nil"/>
              <w:bottom w:val="single" w:color="000000" w:sz="8" w:space="0"/>
              <w:right w:val="single" w:color="000000" w:sz="8" w:space="0"/>
            </w:tcBorders>
            <w:shd w:val="clear" w:color="auto" w:fill="auto"/>
            <w:vAlign w:val="center"/>
          </w:tcPr>
          <w:p w14:paraId="04883319">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A020202投影仪</w:t>
            </w:r>
          </w:p>
        </w:tc>
        <w:tc>
          <w:tcPr>
            <w:tcW w:w="1426" w:type="dxa"/>
            <w:tcBorders>
              <w:top w:val="nil"/>
              <w:left w:val="nil"/>
              <w:bottom w:val="single" w:color="000000" w:sz="8" w:space="0"/>
              <w:right w:val="single" w:color="000000" w:sz="8" w:space="0"/>
            </w:tcBorders>
            <w:shd w:val="clear" w:color="auto" w:fill="auto"/>
            <w:vAlign w:val="center"/>
          </w:tcPr>
          <w:p w14:paraId="76EB6619">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750" w:type="dxa"/>
            <w:tcBorders>
              <w:top w:val="nil"/>
              <w:left w:val="nil"/>
              <w:bottom w:val="single" w:color="000000" w:sz="8" w:space="0"/>
              <w:right w:val="single" w:color="000000" w:sz="8" w:space="0"/>
            </w:tcBorders>
            <w:shd w:val="clear" w:color="auto" w:fill="auto"/>
            <w:vAlign w:val="center"/>
          </w:tcPr>
          <w:p w14:paraId="70CBB80A">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09403A35">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《投影机能效限定值及能效等级》（GB32028）</w:t>
            </w:r>
          </w:p>
        </w:tc>
      </w:tr>
      <w:tr w14:paraId="4B559A2F">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77FFCF59">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4</w:t>
            </w:r>
          </w:p>
        </w:tc>
        <w:tc>
          <w:tcPr>
            <w:tcW w:w="1167" w:type="dxa"/>
            <w:tcBorders>
              <w:top w:val="nil"/>
              <w:left w:val="nil"/>
              <w:bottom w:val="single" w:color="000000" w:sz="8" w:space="0"/>
              <w:right w:val="single" w:color="000000" w:sz="8" w:space="0"/>
            </w:tcBorders>
            <w:shd w:val="clear" w:color="auto" w:fill="auto"/>
            <w:vAlign w:val="center"/>
          </w:tcPr>
          <w:p w14:paraId="009BDFA9">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A020204多功能一体机</w:t>
            </w:r>
          </w:p>
        </w:tc>
        <w:tc>
          <w:tcPr>
            <w:tcW w:w="1426" w:type="dxa"/>
            <w:tcBorders>
              <w:top w:val="nil"/>
              <w:left w:val="nil"/>
              <w:bottom w:val="single" w:color="000000" w:sz="8" w:space="0"/>
              <w:right w:val="single" w:color="000000" w:sz="8" w:space="0"/>
            </w:tcBorders>
            <w:shd w:val="clear" w:color="auto" w:fill="auto"/>
            <w:vAlign w:val="center"/>
          </w:tcPr>
          <w:p w14:paraId="17EAFF81">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750" w:type="dxa"/>
            <w:tcBorders>
              <w:top w:val="nil"/>
              <w:left w:val="nil"/>
              <w:bottom w:val="single" w:color="000000" w:sz="8" w:space="0"/>
              <w:right w:val="single" w:color="000000" w:sz="8" w:space="0"/>
            </w:tcBorders>
            <w:shd w:val="clear" w:color="auto" w:fill="auto"/>
            <w:vAlign w:val="center"/>
          </w:tcPr>
          <w:p w14:paraId="447D4D6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0D9ABBCB">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《复印机、打印机和传真机能效限定值及能效等级》（GB21521）</w:t>
            </w:r>
          </w:p>
        </w:tc>
      </w:tr>
      <w:tr w14:paraId="797B9F5A">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2BE83028">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5</w:t>
            </w:r>
          </w:p>
        </w:tc>
        <w:tc>
          <w:tcPr>
            <w:tcW w:w="1167" w:type="dxa"/>
            <w:tcBorders>
              <w:top w:val="nil"/>
              <w:left w:val="nil"/>
              <w:bottom w:val="single" w:color="000000" w:sz="8" w:space="0"/>
              <w:right w:val="single" w:color="000000" w:sz="8" w:space="0"/>
            </w:tcBorders>
            <w:shd w:val="clear" w:color="auto" w:fill="auto"/>
            <w:vAlign w:val="center"/>
          </w:tcPr>
          <w:p w14:paraId="67FFEE54">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A020519泵</w:t>
            </w:r>
          </w:p>
        </w:tc>
        <w:tc>
          <w:tcPr>
            <w:tcW w:w="1426" w:type="dxa"/>
            <w:tcBorders>
              <w:top w:val="nil"/>
              <w:left w:val="nil"/>
              <w:bottom w:val="single" w:color="000000" w:sz="8" w:space="0"/>
              <w:right w:val="single" w:color="000000" w:sz="8" w:space="0"/>
            </w:tcBorders>
            <w:shd w:val="clear" w:color="auto" w:fill="auto"/>
            <w:vAlign w:val="center"/>
          </w:tcPr>
          <w:p w14:paraId="0E0EA1B3">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A02051901离心泵</w:t>
            </w:r>
          </w:p>
        </w:tc>
        <w:tc>
          <w:tcPr>
            <w:tcW w:w="1750" w:type="dxa"/>
            <w:tcBorders>
              <w:top w:val="nil"/>
              <w:left w:val="nil"/>
              <w:bottom w:val="single" w:color="000000" w:sz="8" w:space="0"/>
              <w:right w:val="single" w:color="000000" w:sz="8" w:space="0"/>
            </w:tcBorders>
            <w:shd w:val="clear" w:color="auto" w:fill="auto"/>
            <w:vAlign w:val="center"/>
          </w:tcPr>
          <w:p w14:paraId="603FF978">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2D736992">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《清水离心泵能效限定值及节能评价值》（GB19762）</w:t>
            </w:r>
          </w:p>
        </w:tc>
      </w:tr>
      <w:tr w14:paraId="14E29914">
        <w:tblPrEx>
          <w:tblCellMar>
            <w:top w:w="0" w:type="dxa"/>
            <w:left w:w="108" w:type="dxa"/>
            <w:bottom w:w="0" w:type="dxa"/>
            <w:right w:w="108" w:type="dxa"/>
          </w:tblCellMar>
        </w:tblPrEx>
        <w:trPr>
          <w:trHeight w:val="735" w:hRule="atLeast"/>
        </w:trPr>
        <w:tc>
          <w:tcPr>
            <w:tcW w:w="713" w:type="dxa"/>
            <w:vMerge w:val="restart"/>
            <w:tcBorders>
              <w:top w:val="nil"/>
              <w:left w:val="single" w:color="000000" w:sz="8" w:space="0"/>
              <w:bottom w:val="single" w:color="000000" w:sz="8" w:space="0"/>
              <w:right w:val="single" w:color="000000" w:sz="8" w:space="0"/>
            </w:tcBorders>
            <w:shd w:val="clear" w:color="auto" w:fill="auto"/>
            <w:vAlign w:val="center"/>
          </w:tcPr>
          <w:p w14:paraId="0FF9B73B">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6</w:t>
            </w:r>
          </w:p>
        </w:tc>
        <w:tc>
          <w:tcPr>
            <w:tcW w:w="1167" w:type="dxa"/>
            <w:vMerge w:val="restart"/>
            <w:tcBorders>
              <w:top w:val="nil"/>
              <w:left w:val="single" w:color="000000" w:sz="8" w:space="0"/>
              <w:bottom w:val="single" w:color="000000" w:sz="8" w:space="0"/>
              <w:right w:val="single" w:color="000000" w:sz="8" w:space="0"/>
            </w:tcBorders>
            <w:shd w:val="clear" w:color="auto" w:fill="auto"/>
            <w:vAlign w:val="center"/>
          </w:tcPr>
          <w:p w14:paraId="4A8A1572">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A020523制冷空调设备</w:t>
            </w:r>
          </w:p>
        </w:tc>
        <w:tc>
          <w:tcPr>
            <w:tcW w:w="1426" w:type="dxa"/>
            <w:vMerge w:val="restart"/>
            <w:tcBorders>
              <w:top w:val="nil"/>
              <w:left w:val="single" w:color="000000" w:sz="8" w:space="0"/>
              <w:bottom w:val="single" w:color="000000" w:sz="8" w:space="0"/>
              <w:right w:val="single" w:color="000000" w:sz="8" w:space="0"/>
            </w:tcBorders>
            <w:shd w:val="clear" w:color="auto" w:fill="auto"/>
            <w:vAlign w:val="center"/>
          </w:tcPr>
          <w:p w14:paraId="1761EBF7">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▲A02052301制冷压缩机</w:t>
            </w:r>
          </w:p>
        </w:tc>
        <w:tc>
          <w:tcPr>
            <w:tcW w:w="1750" w:type="dxa"/>
            <w:tcBorders>
              <w:top w:val="nil"/>
              <w:left w:val="nil"/>
              <w:bottom w:val="single" w:color="000000" w:sz="8" w:space="0"/>
              <w:right w:val="single" w:color="000000" w:sz="8" w:space="0"/>
            </w:tcBorders>
            <w:shd w:val="clear" w:color="auto" w:fill="auto"/>
            <w:vAlign w:val="center"/>
          </w:tcPr>
          <w:p w14:paraId="4227F10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冷水机组</w:t>
            </w:r>
          </w:p>
        </w:tc>
        <w:tc>
          <w:tcPr>
            <w:tcW w:w="4905" w:type="dxa"/>
            <w:tcBorders>
              <w:top w:val="nil"/>
              <w:left w:val="nil"/>
              <w:bottom w:val="single" w:color="000000" w:sz="8" w:space="0"/>
              <w:right w:val="single" w:color="000000" w:sz="8" w:space="0"/>
            </w:tcBorders>
            <w:shd w:val="clear" w:color="auto" w:fill="auto"/>
            <w:vAlign w:val="center"/>
          </w:tcPr>
          <w:p w14:paraId="3FC00605">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《冷水机组能效限定值及能效等级》（GB19577），《低环境温度空气源热泵（冷水）机组能效限定值及能效等级》（GB37480）</w:t>
            </w:r>
          </w:p>
        </w:tc>
      </w:tr>
      <w:tr w14:paraId="09D036B0">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48099B65">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1EBFDB12">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49B44782">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2FE7B1D4">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水源热泵机组</w:t>
            </w:r>
          </w:p>
        </w:tc>
        <w:tc>
          <w:tcPr>
            <w:tcW w:w="4905" w:type="dxa"/>
            <w:tcBorders>
              <w:top w:val="nil"/>
              <w:left w:val="nil"/>
              <w:bottom w:val="single" w:color="000000" w:sz="8" w:space="0"/>
              <w:right w:val="single" w:color="000000" w:sz="8" w:space="0"/>
            </w:tcBorders>
            <w:shd w:val="clear" w:color="auto" w:fill="auto"/>
            <w:vAlign w:val="center"/>
          </w:tcPr>
          <w:p w14:paraId="4EF6B003">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《水（地）源热泵机组能效限定值及能效等级》（GB30721）</w:t>
            </w:r>
          </w:p>
        </w:tc>
      </w:tr>
      <w:tr w14:paraId="5246A9BF">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3DEB60A0">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5785772F">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6D998DF3">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44CC2701">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溴化锂吸收式冷水机组</w:t>
            </w:r>
          </w:p>
        </w:tc>
        <w:tc>
          <w:tcPr>
            <w:tcW w:w="4905" w:type="dxa"/>
            <w:tcBorders>
              <w:top w:val="nil"/>
              <w:left w:val="nil"/>
              <w:bottom w:val="single" w:color="000000" w:sz="8" w:space="0"/>
              <w:right w:val="single" w:color="000000" w:sz="8" w:space="0"/>
            </w:tcBorders>
            <w:shd w:val="clear" w:color="auto" w:fill="auto"/>
            <w:vAlign w:val="center"/>
          </w:tcPr>
          <w:p w14:paraId="57C3814D">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《溴化锂吸收式冷水机组能效限定值及能效等级》（GB29540）</w:t>
            </w:r>
          </w:p>
        </w:tc>
      </w:tr>
      <w:tr w14:paraId="666F0B27">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6B507120">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66A7095C">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restart"/>
            <w:tcBorders>
              <w:top w:val="nil"/>
              <w:left w:val="single" w:color="000000" w:sz="8" w:space="0"/>
              <w:bottom w:val="single" w:color="000000" w:sz="8" w:space="0"/>
              <w:right w:val="single" w:color="000000" w:sz="8" w:space="0"/>
            </w:tcBorders>
            <w:shd w:val="clear" w:color="auto" w:fill="auto"/>
            <w:vAlign w:val="center"/>
          </w:tcPr>
          <w:p w14:paraId="6CE4DF5E">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▲A02052305空调机组</w:t>
            </w:r>
          </w:p>
        </w:tc>
        <w:tc>
          <w:tcPr>
            <w:tcW w:w="1750" w:type="dxa"/>
            <w:tcBorders>
              <w:top w:val="nil"/>
              <w:left w:val="nil"/>
              <w:bottom w:val="single" w:color="000000" w:sz="8" w:space="0"/>
              <w:right w:val="single" w:color="000000" w:sz="8" w:space="0"/>
            </w:tcBorders>
            <w:shd w:val="clear" w:color="auto" w:fill="auto"/>
            <w:vAlign w:val="center"/>
          </w:tcPr>
          <w:p w14:paraId="1D84E0A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多联式空调（热泵）机组(制冷量&gt;14000W)</w:t>
            </w:r>
          </w:p>
        </w:tc>
        <w:tc>
          <w:tcPr>
            <w:tcW w:w="4905" w:type="dxa"/>
            <w:tcBorders>
              <w:top w:val="nil"/>
              <w:left w:val="nil"/>
              <w:bottom w:val="single" w:color="000000" w:sz="8" w:space="0"/>
              <w:right w:val="single" w:color="000000" w:sz="8" w:space="0"/>
            </w:tcBorders>
            <w:shd w:val="clear" w:color="auto" w:fill="auto"/>
            <w:vAlign w:val="center"/>
          </w:tcPr>
          <w:p w14:paraId="01E391EE">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《多联式空调（热泵）机组能效限定值及能源效率等级》（GB21454）</w:t>
            </w:r>
          </w:p>
        </w:tc>
      </w:tr>
      <w:tr w14:paraId="1F2CBA56">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618810E6">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5A0407B7">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27172FF0">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0CAC0092">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单元式空气调节机(制冷量&gt;14000W</w:t>
            </w:r>
          </w:p>
        </w:tc>
        <w:tc>
          <w:tcPr>
            <w:tcW w:w="4905" w:type="dxa"/>
            <w:tcBorders>
              <w:top w:val="nil"/>
              <w:left w:val="nil"/>
              <w:bottom w:val="single" w:color="000000" w:sz="8" w:space="0"/>
              <w:right w:val="single" w:color="000000" w:sz="8" w:space="0"/>
            </w:tcBorders>
            <w:shd w:val="clear" w:color="auto" w:fill="auto"/>
            <w:vAlign w:val="center"/>
          </w:tcPr>
          <w:p w14:paraId="3AD236A0">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《单元式空气调节机能效限定值及能效等级》（GB19576）《风管送风式空调机组能效限定值及能效等级》（GB37479）</w:t>
            </w:r>
          </w:p>
        </w:tc>
      </w:tr>
      <w:tr w14:paraId="7D2C1207">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153352FC">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67361555">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146D5857">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▲A02052309专用制冷、空调设备</w:t>
            </w:r>
          </w:p>
        </w:tc>
        <w:tc>
          <w:tcPr>
            <w:tcW w:w="1750" w:type="dxa"/>
            <w:tcBorders>
              <w:top w:val="nil"/>
              <w:left w:val="nil"/>
              <w:bottom w:val="single" w:color="000000" w:sz="8" w:space="0"/>
              <w:right w:val="single" w:color="000000" w:sz="8" w:space="0"/>
            </w:tcBorders>
            <w:shd w:val="clear" w:color="auto" w:fill="auto"/>
            <w:vAlign w:val="center"/>
          </w:tcPr>
          <w:p w14:paraId="0F1D382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机房空调</w:t>
            </w:r>
          </w:p>
        </w:tc>
        <w:tc>
          <w:tcPr>
            <w:tcW w:w="4905" w:type="dxa"/>
            <w:tcBorders>
              <w:top w:val="nil"/>
              <w:left w:val="nil"/>
              <w:bottom w:val="single" w:color="000000" w:sz="8" w:space="0"/>
              <w:right w:val="single" w:color="000000" w:sz="8" w:space="0"/>
            </w:tcBorders>
            <w:shd w:val="clear" w:color="auto" w:fill="auto"/>
            <w:vAlign w:val="center"/>
          </w:tcPr>
          <w:p w14:paraId="2F1A8A09">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《单元式空气调节机能效限定值及能效等级》（GB19576）</w:t>
            </w:r>
          </w:p>
        </w:tc>
      </w:tr>
      <w:tr w14:paraId="443CFECE">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048708C9">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74B097DC">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1EA44502">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A02052399其他制冷空调设备</w:t>
            </w:r>
          </w:p>
        </w:tc>
        <w:tc>
          <w:tcPr>
            <w:tcW w:w="1750" w:type="dxa"/>
            <w:tcBorders>
              <w:top w:val="nil"/>
              <w:left w:val="nil"/>
              <w:bottom w:val="single" w:color="000000" w:sz="8" w:space="0"/>
              <w:right w:val="single" w:color="000000" w:sz="8" w:space="0"/>
            </w:tcBorders>
            <w:shd w:val="clear" w:color="auto" w:fill="auto"/>
            <w:vAlign w:val="center"/>
          </w:tcPr>
          <w:p w14:paraId="0EE1F37A">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冷却塔</w:t>
            </w:r>
          </w:p>
        </w:tc>
        <w:tc>
          <w:tcPr>
            <w:tcW w:w="4905" w:type="dxa"/>
            <w:tcBorders>
              <w:top w:val="nil"/>
              <w:left w:val="nil"/>
              <w:bottom w:val="single" w:color="000000" w:sz="8" w:space="0"/>
              <w:right w:val="single" w:color="000000" w:sz="8" w:space="0"/>
            </w:tcBorders>
            <w:shd w:val="clear" w:color="auto" w:fill="auto"/>
            <w:vAlign w:val="center"/>
          </w:tcPr>
          <w:p w14:paraId="12E27B62">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《机械通风冷却塔第1部分：中小型开式冷却塔》（GB/T7190.1）；《机械通风冷却塔第2部分：大型开式冷却塔》（GB/T7190.2）</w:t>
            </w:r>
          </w:p>
        </w:tc>
      </w:tr>
      <w:tr w14:paraId="293643F1">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44BDB134">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7</w:t>
            </w:r>
          </w:p>
        </w:tc>
        <w:tc>
          <w:tcPr>
            <w:tcW w:w="1167" w:type="dxa"/>
            <w:tcBorders>
              <w:top w:val="nil"/>
              <w:left w:val="nil"/>
              <w:bottom w:val="single" w:color="000000" w:sz="8" w:space="0"/>
              <w:right w:val="single" w:color="000000" w:sz="8" w:space="0"/>
            </w:tcBorders>
            <w:shd w:val="clear" w:color="auto" w:fill="auto"/>
            <w:vAlign w:val="center"/>
          </w:tcPr>
          <w:p w14:paraId="3E58FED4">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A020601电机</w:t>
            </w:r>
          </w:p>
        </w:tc>
        <w:tc>
          <w:tcPr>
            <w:tcW w:w="1426" w:type="dxa"/>
            <w:tcBorders>
              <w:top w:val="nil"/>
              <w:left w:val="nil"/>
              <w:bottom w:val="single" w:color="000000" w:sz="8" w:space="0"/>
              <w:right w:val="single" w:color="000000" w:sz="8" w:space="0"/>
            </w:tcBorders>
            <w:shd w:val="clear" w:color="auto" w:fill="auto"/>
            <w:vAlign w:val="center"/>
          </w:tcPr>
          <w:p w14:paraId="5EA08D12">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750" w:type="dxa"/>
            <w:tcBorders>
              <w:top w:val="nil"/>
              <w:left w:val="nil"/>
              <w:bottom w:val="single" w:color="000000" w:sz="8" w:space="0"/>
              <w:right w:val="single" w:color="000000" w:sz="8" w:space="0"/>
            </w:tcBorders>
            <w:shd w:val="clear" w:color="auto" w:fill="auto"/>
            <w:vAlign w:val="center"/>
          </w:tcPr>
          <w:p w14:paraId="299AAE1B">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4507F667">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《中小型三相异步电动机能效限定值及能效等级》（GB18613）</w:t>
            </w:r>
          </w:p>
        </w:tc>
      </w:tr>
      <w:tr w14:paraId="2CCC981B">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18E5B688">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8</w:t>
            </w:r>
          </w:p>
        </w:tc>
        <w:tc>
          <w:tcPr>
            <w:tcW w:w="1167" w:type="dxa"/>
            <w:tcBorders>
              <w:top w:val="nil"/>
              <w:left w:val="nil"/>
              <w:bottom w:val="single" w:color="000000" w:sz="8" w:space="0"/>
              <w:right w:val="single" w:color="000000" w:sz="8" w:space="0"/>
            </w:tcBorders>
            <w:shd w:val="clear" w:color="auto" w:fill="auto"/>
            <w:vAlign w:val="center"/>
          </w:tcPr>
          <w:p w14:paraId="30D60ED4">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A020602变压器</w:t>
            </w:r>
          </w:p>
        </w:tc>
        <w:tc>
          <w:tcPr>
            <w:tcW w:w="1426" w:type="dxa"/>
            <w:tcBorders>
              <w:top w:val="nil"/>
              <w:left w:val="nil"/>
              <w:bottom w:val="single" w:color="000000" w:sz="8" w:space="0"/>
              <w:right w:val="single" w:color="000000" w:sz="8" w:space="0"/>
            </w:tcBorders>
            <w:shd w:val="clear" w:color="auto" w:fill="auto"/>
            <w:vAlign w:val="center"/>
          </w:tcPr>
          <w:p w14:paraId="338440B4">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配电变压器</w:t>
            </w:r>
          </w:p>
        </w:tc>
        <w:tc>
          <w:tcPr>
            <w:tcW w:w="1750" w:type="dxa"/>
            <w:tcBorders>
              <w:top w:val="nil"/>
              <w:left w:val="nil"/>
              <w:bottom w:val="single" w:color="000000" w:sz="8" w:space="0"/>
              <w:right w:val="single" w:color="000000" w:sz="8" w:space="0"/>
            </w:tcBorders>
            <w:shd w:val="clear" w:color="auto" w:fill="auto"/>
            <w:vAlign w:val="center"/>
          </w:tcPr>
          <w:p w14:paraId="55002841">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1257B00D">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《三相配电变压器能效限定值及能效等级》（GB20052）</w:t>
            </w:r>
          </w:p>
        </w:tc>
      </w:tr>
      <w:tr w14:paraId="3FD35CFA">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3807D9CA">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9</w:t>
            </w:r>
          </w:p>
        </w:tc>
        <w:tc>
          <w:tcPr>
            <w:tcW w:w="1167" w:type="dxa"/>
            <w:tcBorders>
              <w:top w:val="nil"/>
              <w:left w:val="nil"/>
              <w:bottom w:val="single" w:color="000000" w:sz="8" w:space="0"/>
              <w:right w:val="single" w:color="000000" w:sz="8" w:space="0"/>
            </w:tcBorders>
            <w:shd w:val="clear" w:color="auto" w:fill="auto"/>
            <w:vAlign w:val="center"/>
          </w:tcPr>
          <w:p w14:paraId="103EB133">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▲A020609镇流器</w:t>
            </w:r>
          </w:p>
        </w:tc>
        <w:tc>
          <w:tcPr>
            <w:tcW w:w="1426" w:type="dxa"/>
            <w:tcBorders>
              <w:top w:val="nil"/>
              <w:left w:val="nil"/>
              <w:bottom w:val="single" w:color="000000" w:sz="8" w:space="0"/>
              <w:right w:val="single" w:color="000000" w:sz="8" w:space="0"/>
            </w:tcBorders>
            <w:shd w:val="clear" w:color="auto" w:fill="auto"/>
            <w:vAlign w:val="center"/>
          </w:tcPr>
          <w:p w14:paraId="2F8998BC">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管型荧光灯镇流器</w:t>
            </w:r>
          </w:p>
        </w:tc>
        <w:tc>
          <w:tcPr>
            <w:tcW w:w="1750" w:type="dxa"/>
            <w:tcBorders>
              <w:top w:val="nil"/>
              <w:left w:val="nil"/>
              <w:bottom w:val="single" w:color="000000" w:sz="8" w:space="0"/>
              <w:right w:val="single" w:color="000000" w:sz="8" w:space="0"/>
            </w:tcBorders>
            <w:shd w:val="clear" w:color="auto" w:fill="auto"/>
            <w:vAlign w:val="center"/>
          </w:tcPr>
          <w:p w14:paraId="2EAE8A60">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498DC5AD">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《管形荧光灯镇流器能效限定值及能效等级》（GB17896）</w:t>
            </w:r>
          </w:p>
        </w:tc>
      </w:tr>
      <w:tr w14:paraId="75036099">
        <w:tblPrEx>
          <w:tblCellMar>
            <w:top w:w="0" w:type="dxa"/>
            <w:left w:w="108" w:type="dxa"/>
            <w:bottom w:w="0" w:type="dxa"/>
            <w:right w:w="108" w:type="dxa"/>
          </w:tblCellMar>
        </w:tblPrEx>
        <w:trPr>
          <w:trHeight w:val="495" w:hRule="atLeast"/>
        </w:trPr>
        <w:tc>
          <w:tcPr>
            <w:tcW w:w="713" w:type="dxa"/>
            <w:vMerge w:val="restart"/>
            <w:tcBorders>
              <w:top w:val="nil"/>
              <w:left w:val="single" w:color="000000" w:sz="8" w:space="0"/>
              <w:bottom w:val="single" w:color="000000" w:sz="8" w:space="0"/>
              <w:right w:val="single" w:color="000000" w:sz="8" w:space="0"/>
            </w:tcBorders>
            <w:shd w:val="clear" w:color="auto" w:fill="auto"/>
            <w:vAlign w:val="center"/>
          </w:tcPr>
          <w:p w14:paraId="1974F6B0">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10</w:t>
            </w:r>
          </w:p>
        </w:tc>
        <w:tc>
          <w:tcPr>
            <w:tcW w:w="1167" w:type="dxa"/>
            <w:vMerge w:val="restart"/>
            <w:tcBorders>
              <w:top w:val="nil"/>
              <w:left w:val="single" w:color="000000" w:sz="8" w:space="0"/>
              <w:bottom w:val="single" w:color="000000" w:sz="8" w:space="0"/>
              <w:right w:val="single" w:color="000000" w:sz="8" w:space="0"/>
            </w:tcBorders>
            <w:shd w:val="clear" w:color="auto" w:fill="auto"/>
            <w:vAlign w:val="center"/>
          </w:tcPr>
          <w:p w14:paraId="189C9D9B">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A020618生活用电器</w:t>
            </w:r>
          </w:p>
        </w:tc>
        <w:tc>
          <w:tcPr>
            <w:tcW w:w="1426" w:type="dxa"/>
            <w:tcBorders>
              <w:top w:val="nil"/>
              <w:left w:val="nil"/>
              <w:bottom w:val="single" w:color="000000" w:sz="8" w:space="0"/>
              <w:right w:val="single" w:color="000000" w:sz="8" w:space="0"/>
            </w:tcBorders>
            <w:shd w:val="clear" w:color="auto" w:fill="auto"/>
            <w:vAlign w:val="center"/>
          </w:tcPr>
          <w:p w14:paraId="4B6B2638">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A0206180101电冰箱</w:t>
            </w:r>
          </w:p>
        </w:tc>
        <w:tc>
          <w:tcPr>
            <w:tcW w:w="1750" w:type="dxa"/>
            <w:tcBorders>
              <w:top w:val="nil"/>
              <w:left w:val="nil"/>
              <w:bottom w:val="single" w:color="000000" w:sz="8" w:space="0"/>
              <w:right w:val="single" w:color="000000" w:sz="8" w:space="0"/>
            </w:tcBorders>
            <w:shd w:val="clear" w:color="auto" w:fill="auto"/>
            <w:vAlign w:val="center"/>
          </w:tcPr>
          <w:p w14:paraId="1AE12E5A">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611DF87B">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《家用电冰箱耗电量限定值及能效等级》（GB 12021.2）</w:t>
            </w:r>
          </w:p>
        </w:tc>
      </w:tr>
      <w:tr w14:paraId="594130E2">
        <w:tblPrEx>
          <w:tblCellMar>
            <w:top w:w="0" w:type="dxa"/>
            <w:left w:w="108" w:type="dxa"/>
            <w:bottom w:w="0" w:type="dxa"/>
            <w:right w:w="108" w:type="dxa"/>
          </w:tblCellMar>
        </w:tblPrEx>
        <w:trPr>
          <w:trHeight w:val="97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787CEE7D">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543ABB90">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restart"/>
            <w:tcBorders>
              <w:top w:val="nil"/>
              <w:left w:val="single" w:color="000000" w:sz="8" w:space="0"/>
              <w:bottom w:val="single" w:color="000000" w:sz="8" w:space="0"/>
              <w:right w:val="single" w:color="000000" w:sz="8" w:space="0"/>
            </w:tcBorders>
            <w:shd w:val="clear" w:color="auto" w:fill="auto"/>
            <w:vAlign w:val="center"/>
          </w:tcPr>
          <w:p w14:paraId="5FED728C">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▲A0206180203空调机</w:t>
            </w:r>
          </w:p>
        </w:tc>
        <w:tc>
          <w:tcPr>
            <w:tcW w:w="1750" w:type="dxa"/>
            <w:tcBorders>
              <w:top w:val="nil"/>
              <w:left w:val="nil"/>
              <w:bottom w:val="single" w:color="000000" w:sz="8" w:space="0"/>
              <w:right w:val="single" w:color="000000" w:sz="8" w:space="0"/>
            </w:tcBorders>
            <w:shd w:val="clear" w:color="auto" w:fill="auto"/>
            <w:vAlign w:val="center"/>
          </w:tcPr>
          <w:p w14:paraId="188EC00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房间空气调节器</w:t>
            </w:r>
          </w:p>
        </w:tc>
        <w:tc>
          <w:tcPr>
            <w:tcW w:w="4905" w:type="dxa"/>
            <w:tcBorders>
              <w:top w:val="nil"/>
              <w:left w:val="nil"/>
              <w:bottom w:val="single" w:color="000000" w:sz="8" w:space="0"/>
              <w:right w:val="single" w:color="000000" w:sz="8" w:space="0"/>
            </w:tcBorders>
            <w:shd w:val="clear" w:color="auto" w:fill="auto"/>
            <w:vAlign w:val="center"/>
          </w:tcPr>
          <w:p w14:paraId="6FBFEF6E">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63BC3E2B">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344B1184">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5003A33F">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2BFA129B">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0EF823AB">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多联式空调（热泵）机组（制冷量≤ 14000W）</w:t>
            </w:r>
          </w:p>
        </w:tc>
        <w:tc>
          <w:tcPr>
            <w:tcW w:w="4905" w:type="dxa"/>
            <w:tcBorders>
              <w:top w:val="nil"/>
              <w:left w:val="nil"/>
              <w:bottom w:val="single" w:color="000000" w:sz="8" w:space="0"/>
              <w:right w:val="single" w:color="000000" w:sz="8" w:space="0"/>
            </w:tcBorders>
            <w:shd w:val="clear" w:color="auto" w:fill="auto"/>
            <w:vAlign w:val="center"/>
          </w:tcPr>
          <w:p w14:paraId="199B934E">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《多联式空调（热泵）机组能效限定值及能源效率等级》（GB21454）</w:t>
            </w:r>
          </w:p>
        </w:tc>
      </w:tr>
      <w:tr w14:paraId="48A12009">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1A4F3EDF">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341252EF">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2069F4B6">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527D5B3A">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单元式空气调节机(制冷量≤14000W)</w:t>
            </w:r>
          </w:p>
        </w:tc>
        <w:tc>
          <w:tcPr>
            <w:tcW w:w="4905" w:type="dxa"/>
            <w:tcBorders>
              <w:top w:val="nil"/>
              <w:left w:val="nil"/>
              <w:bottom w:val="single" w:color="000000" w:sz="8" w:space="0"/>
              <w:right w:val="single" w:color="000000" w:sz="8" w:space="0"/>
            </w:tcBorders>
            <w:shd w:val="clear" w:color="auto" w:fill="auto"/>
            <w:vAlign w:val="center"/>
          </w:tcPr>
          <w:p w14:paraId="74FA9222">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《单元式空气调节机能效限定值及能源效率等级》（GB19576）《风管送风式空调机组能效限定值及能效等级》（GB37479）</w:t>
            </w:r>
          </w:p>
        </w:tc>
      </w:tr>
      <w:tr w14:paraId="0B995218">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3CA12BB4">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77611DE3">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2893E01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A0206180301洗衣机</w:t>
            </w:r>
          </w:p>
        </w:tc>
        <w:tc>
          <w:tcPr>
            <w:tcW w:w="1750" w:type="dxa"/>
            <w:tcBorders>
              <w:top w:val="nil"/>
              <w:left w:val="nil"/>
              <w:bottom w:val="single" w:color="000000" w:sz="8" w:space="0"/>
              <w:right w:val="single" w:color="000000" w:sz="8" w:space="0"/>
            </w:tcBorders>
            <w:shd w:val="clear" w:color="auto" w:fill="auto"/>
            <w:vAlign w:val="center"/>
          </w:tcPr>
          <w:p w14:paraId="2DACF124">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73A4E2C5">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《电动洗衣机能效水效限定值及等级》（GB12021.4）</w:t>
            </w:r>
          </w:p>
        </w:tc>
      </w:tr>
      <w:tr w14:paraId="7E3B42E0">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73B59139">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04A51AA0">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restart"/>
            <w:tcBorders>
              <w:top w:val="nil"/>
              <w:left w:val="single" w:color="000000" w:sz="8" w:space="0"/>
              <w:bottom w:val="single" w:color="000000" w:sz="8" w:space="0"/>
              <w:right w:val="single" w:color="000000" w:sz="8" w:space="0"/>
            </w:tcBorders>
            <w:shd w:val="clear" w:color="auto" w:fill="auto"/>
            <w:vAlign w:val="center"/>
          </w:tcPr>
          <w:p w14:paraId="05E39743">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A02061808热水器</w:t>
            </w:r>
          </w:p>
        </w:tc>
        <w:tc>
          <w:tcPr>
            <w:tcW w:w="1750" w:type="dxa"/>
            <w:tcBorders>
              <w:top w:val="nil"/>
              <w:left w:val="nil"/>
              <w:bottom w:val="single" w:color="000000" w:sz="8" w:space="0"/>
              <w:right w:val="single" w:color="000000" w:sz="8" w:space="0"/>
            </w:tcBorders>
            <w:shd w:val="clear" w:color="auto" w:fill="auto"/>
            <w:vAlign w:val="center"/>
          </w:tcPr>
          <w:p w14:paraId="47926984">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▲电热水器</w:t>
            </w:r>
          </w:p>
        </w:tc>
        <w:tc>
          <w:tcPr>
            <w:tcW w:w="4905" w:type="dxa"/>
            <w:tcBorders>
              <w:top w:val="nil"/>
              <w:left w:val="nil"/>
              <w:bottom w:val="single" w:color="000000" w:sz="8" w:space="0"/>
              <w:right w:val="single" w:color="000000" w:sz="8" w:space="0"/>
            </w:tcBorders>
            <w:shd w:val="clear" w:color="auto" w:fill="auto"/>
            <w:vAlign w:val="center"/>
          </w:tcPr>
          <w:p w14:paraId="4B2B1511">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《储水式电热水器能效限定值及能效等级》（GB21519）</w:t>
            </w:r>
          </w:p>
        </w:tc>
      </w:tr>
      <w:tr w14:paraId="22A97EC5">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691B6857">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4A7EB326">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44F33C73">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617732DB">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燃气热水器</w:t>
            </w:r>
          </w:p>
        </w:tc>
        <w:tc>
          <w:tcPr>
            <w:tcW w:w="4905" w:type="dxa"/>
            <w:tcBorders>
              <w:top w:val="nil"/>
              <w:left w:val="nil"/>
              <w:bottom w:val="single" w:color="000000" w:sz="8" w:space="0"/>
              <w:right w:val="single" w:color="000000" w:sz="8" w:space="0"/>
            </w:tcBorders>
            <w:shd w:val="clear" w:color="auto" w:fill="auto"/>
            <w:vAlign w:val="center"/>
          </w:tcPr>
          <w:p w14:paraId="4D81BC55">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《家用燃气快速热水器和燃气采暖热水炉能效限定值及能效等级》（GB20665）</w:t>
            </w:r>
          </w:p>
        </w:tc>
      </w:tr>
      <w:tr w14:paraId="126AF4A9">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60148BDF">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10C44105">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4871C3E8">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652C2586">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热泵热水器</w:t>
            </w:r>
          </w:p>
        </w:tc>
        <w:tc>
          <w:tcPr>
            <w:tcW w:w="4905" w:type="dxa"/>
            <w:tcBorders>
              <w:top w:val="nil"/>
              <w:left w:val="nil"/>
              <w:bottom w:val="single" w:color="000000" w:sz="8" w:space="0"/>
              <w:right w:val="single" w:color="000000" w:sz="8" w:space="0"/>
            </w:tcBorders>
            <w:shd w:val="clear" w:color="auto" w:fill="auto"/>
            <w:vAlign w:val="center"/>
          </w:tcPr>
          <w:p w14:paraId="2A321B10">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《热泵热水机（器）能效限定值及能效等级》（GB29541）</w:t>
            </w:r>
          </w:p>
        </w:tc>
      </w:tr>
      <w:tr w14:paraId="7407F895">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53B4E95F">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67C8DEFC">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297BE1C7">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0A95DB8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太阳能热水系统</w:t>
            </w:r>
          </w:p>
        </w:tc>
        <w:tc>
          <w:tcPr>
            <w:tcW w:w="4905" w:type="dxa"/>
            <w:tcBorders>
              <w:top w:val="nil"/>
              <w:left w:val="nil"/>
              <w:bottom w:val="single" w:color="000000" w:sz="8" w:space="0"/>
              <w:right w:val="single" w:color="000000" w:sz="8" w:space="0"/>
            </w:tcBorders>
            <w:shd w:val="clear" w:color="auto" w:fill="auto"/>
            <w:vAlign w:val="center"/>
          </w:tcPr>
          <w:p w14:paraId="71558957">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《家用太阳能热水系统能效限定值及能效等级》（GB26969）</w:t>
            </w:r>
          </w:p>
        </w:tc>
      </w:tr>
      <w:tr w14:paraId="7BCBF2CD">
        <w:tblPrEx>
          <w:tblCellMar>
            <w:top w:w="0" w:type="dxa"/>
            <w:left w:w="108" w:type="dxa"/>
            <w:bottom w:w="0" w:type="dxa"/>
            <w:right w:w="108" w:type="dxa"/>
          </w:tblCellMar>
        </w:tblPrEx>
        <w:trPr>
          <w:trHeight w:val="495" w:hRule="atLeast"/>
        </w:trPr>
        <w:tc>
          <w:tcPr>
            <w:tcW w:w="713" w:type="dxa"/>
            <w:vMerge w:val="restart"/>
            <w:tcBorders>
              <w:top w:val="nil"/>
              <w:left w:val="single" w:color="000000" w:sz="8" w:space="0"/>
              <w:bottom w:val="single" w:color="000000" w:sz="8" w:space="0"/>
              <w:right w:val="single" w:color="000000" w:sz="8" w:space="0"/>
            </w:tcBorders>
            <w:shd w:val="clear" w:color="auto" w:fill="auto"/>
            <w:vAlign w:val="center"/>
          </w:tcPr>
          <w:p w14:paraId="4FD9A143">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11</w:t>
            </w:r>
          </w:p>
        </w:tc>
        <w:tc>
          <w:tcPr>
            <w:tcW w:w="1167" w:type="dxa"/>
            <w:vMerge w:val="restart"/>
            <w:tcBorders>
              <w:top w:val="nil"/>
              <w:left w:val="single" w:color="000000" w:sz="8" w:space="0"/>
              <w:bottom w:val="single" w:color="000000" w:sz="8" w:space="0"/>
              <w:right w:val="single" w:color="000000" w:sz="8" w:space="0"/>
            </w:tcBorders>
            <w:shd w:val="clear" w:color="auto" w:fill="auto"/>
            <w:vAlign w:val="center"/>
          </w:tcPr>
          <w:p w14:paraId="458754AD">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A020619照明设备</w:t>
            </w:r>
          </w:p>
        </w:tc>
        <w:tc>
          <w:tcPr>
            <w:tcW w:w="1426" w:type="dxa"/>
            <w:tcBorders>
              <w:top w:val="nil"/>
              <w:left w:val="nil"/>
              <w:bottom w:val="single" w:color="000000" w:sz="8" w:space="0"/>
              <w:right w:val="single" w:color="000000" w:sz="8" w:space="0"/>
            </w:tcBorders>
            <w:shd w:val="clear" w:color="auto" w:fill="auto"/>
            <w:vAlign w:val="center"/>
          </w:tcPr>
          <w:p w14:paraId="5B8D000E">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▲普通照明用双端荧光灯</w:t>
            </w:r>
          </w:p>
        </w:tc>
        <w:tc>
          <w:tcPr>
            <w:tcW w:w="1750" w:type="dxa"/>
            <w:tcBorders>
              <w:top w:val="nil"/>
              <w:left w:val="nil"/>
              <w:bottom w:val="single" w:color="000000" w:sz="8" w:space="0"/>
              <w:right w:val="single" w:color="000000" w:sz="8" w:space="0"/>
            </w:tcBorders>
            <w:shd w:val="clear" w:color="auto" w:fill="auto"/>
            <w:vAlign w:val="center"/>
          </w:tcPr>
          <w:p w14:paraId="0A9480B0">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14CF67EC">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《普通照明用双端荧光灯能效限定值及能效等级》（GB19043）</w:t>
            </w:r>
          </w:p>
        </w:tc>
      </w:tr>
      <w:tr w14:paraId="4D0DE625">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492181E8">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357A02A3">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73EEFF1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LED道路/隧道照明产品</w:t>
            </w:r>
          </w:p>
        </w:tc>
        <w:tc>
          <w:tcPr>
            <w:tcW w:w="1750" w:type="dxa"/>
            <w:tcBorders>
              <w:top w:val="nil"/>
              <w:left w:val="nil"/>
              <w:bottom w:val="single" w:color="000000" w:sz="8" w:space="0"/>
              <w:right w:val="single" w:color="000000" w:sz="8" w:space="0"/>
            </w:tcBorders>
            <w:shd w:val="clear" w:color="auto" w:fill="auto"/>
            <w:vAlign w:val="center"/>
          </w:tcPr>
          <w:p w14:paraId="6ED5C263">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1ED80F26">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《道路和隧道照明用LED灯具能效限定值及能效等级》（GB37478）</w:t>
            </w:r>
          </w:p>
        </w:tc>
      </w:tr>
      <w:tr w14:paraId="5F6AC18E">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1B615A43">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04CB2A2B">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499B7498">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LED筒灯</w:t>
            </w:r>
          </w:p>
        </w:tc>
        <w:tc>
          <w:tcPr>
            <w:tcW w:w="1750" w:type="dxa"/>
            <w:tcBorders>
              <w:top w:val="nil"/>
              <w:left w:val="nil"/>
              <w:bottom w:val="single" w:color="000000" w:sz="8" w:space="0"/>
              <w:right w:val="single" w:color="000000" w:sz="8" w:space="0"/>
            </w:tcBorders>
            <w:shd w:val="clear" w:color="auto" w:fill="auto"/>
            <w:vAlign w:val="center"/>
          </w:tcPr>
          <w:p w14:paraId="6C5CE70B">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4B44EB1F">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《室内照明用LED产品能效限定值及能效等级》（GB30255）</w:t>
            </w:r>
          </w:p>
        </w:tc>
      </w:tr>
      <w:tr w14:paraId="6F5D112A">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00C17FF8">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07A57AEC">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5EFC13FE">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普通照明用非定向自镇流LED灯</w:t>
            </w:r>
          </w:p>
        </w:tc>
        <w:tc>
          <w:tcPr>
            <w:tcW w:w="1750" w:type="dxa"/>
            <w:tcBorders>
              <w:top w:val="nil"/>
              <w:left w:val="nil"/>
              <w:bottom w:val="single" w:color="000000" w:sz="8" w:space="0"/>
              <w:right w:val="single" w:color="000000" w:sz="8" w:space="0"/>
            </w:tcBorders>
            <w:shd w:val="clear" w:color="auto" w:fill="auto"/>
            <w:vAlign w:val="center"/>
          </w:tcPr>
          <w:p w14:paraId="10941AEA">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26DE215E">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《室内照明用LED产品能效限定值及能效等级》（GB30255）</w:t>
            </w:r>
          </w:p>
        </w:tc>
      </w:tr>
      <w:tr w14:paraId="0E62A3E5">
        <w:tblPrEx>
          <w:tblCellMar>
            <w:top w:w="0" w:type="dxa"/>
            <w:left w:w="108" w:type="dxa"/>
            <w:bottom w:w="0" w:type="dxa"/>
            <w:right w:w="108" w:type="dxa"/>
          </w:tblCellMar>
        </w:tblPrEx>
        <w:trPr>
          <w:trHeight w:val="73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2806736B">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12</w:t>
            </w:r>
          </w:p>
        </w:tc>
        <w:tc>
          <w:tcPr>
            <w:tcW w:w="1167" w:type="dxa"/>
            <w:tcBorders>
              <w:top w:val="nil"/>
              <w:left w:val="nil"/>
              <w:bottom w:val="single" w:color="000000" w:sz="8" w:space="0"/>
              <w:right w:val="single" w:color="000000" w:sz="8" w:space="0"/>
            </w:tcBorders>
            <w:shd w:val="clear" w:color="auto" w:fill="auto"/>
            <w:vAlign w:val="center"/>
          </w:tcPr>
          <w:p w14:paraId="5950EF8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▲A020910电视设备</w:t>
            </w:r>
          </w:p>
        </w:tc>
        <w:tc>
          <w:tcPr>
            <w:tcW w:w="1426" w:type="dxa"/>
            <w:tcBorders>
              <w:top w:val="nil"/>
              <w:left w:val="nil"/>
              <w:bottom w:val="single" w:color="000000" w:sz="8" w:space="0"/>
              <w:right w:val="single" w:color="000000" w:sz="8" w:space="0"/>
            </w:tcBorders>
            <w:shd w:val="clear" w:color="auto" w:fill="auto"/>
            <w:vAlign w:val="center"/>
          </w:tcPr>
          <w:p w14:paraId="7980829D">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A02091001普通电视设备（电视机）</w:t>
            </w:r>
          </w:p>
        </w:tc>
        <w:tc>
          <w:tcPr>
            <w:tcW w:w="1750" w:type="dxa"/>
            <w:tcBorders>
              <w:top w:val="nil"/>
              <w:left w:val="nil"/>
              <w:bottom w:val="single" w:color="000000" w:sz="8" w:space="0"/>
              <w:right w:val="single" w:color="000000" w:sz="8" w:space="0"/>
            </w:tcBorders>
            <w:shd w:val="clear" w:color="auto" w:fill="auto"/>
            <w:vAlign w:val="center"/>
          </w:tcPr>
          <w:p w14:paraId="3B7D8D01">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7783822D">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《平板电视能效限定值及能效等级》（GB24850）</w:t>
            </w:r>
          </w:p>
        </w:tc>
      </w:tr>
      <w:tr w14:paraId="79B6E0CB">
        <w:tblPrEx>
          <w:tblCellMar>
            <w:top w:w="0" w:type="dxa"/>
            <w:left w:w="108" w:type="dxa"/>
            <w:bottom w:w="0" w:type="dxa"/>
            <w:right w:w="108" w:type="dxa"/>
          </w:tblCellMar>
        </w:tblPrEx>
        <w:trPr>
          <w:trHeight w:val="97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68C9CCDA">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13</w:t>
            </w:r>
          </w:p>
        </w:tc>
        <w:tc>
          <w:tcPr>
            <w:tcW w:w="1167" w:type="dxa"/>
            <w:tcBorders>
              <w:top w:val="nil"/>
              <w:left w:val="nil"/>
              <w:bottom w:val="single" w:color="000000" w:sz="8" w:space="0"/>
              <w:right w:val="single" w:color="000000" w:sz="8" w:space="0"/>
            </w:tcBorders>
            <w:shd w:val="clear" w:color="auto" w:fill="auto"/>
            <w:vAlign w:val="center"/>
          </w:tcPr>
          <w:p w14:paraId="74F57B4B">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▲A020911视频设备</w:t>
            </w:r>
          </w:p>
        </w:tc>
        <w:tc>
          <w:tcPr>
            <w:tcW w:w="1426" w:type="dxa"/>
            <w:tcBorders>
              <w:top w:val="nil"/>
              <w:left w:val="nil"/>
              <w:bottom w:val="single" w:color="000000" w:sz="8" w:space="0"/>
              <w:right w:val="single" w:color="000000" w:sz="8" w:space="0"/>
            </w:tcBorders>
            <w:shd w:val="clear" w:color="auto" w:fill="auto"/>
            <w:vAlign w:val="center"/>
          </w:tcPr>
          <w:p w14:paraId="34298CE1">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A02091107视频监控设备</w:t>
            </w:r>
          </w:p>
        </w:tc>
        <w:tc>
          <w:tcPr>
            <w:tcW w:w="1750" w:type="dxa"/>
            <w:tcBorders>
              <w:top w:val="nil"/>
              <w:left w:val="nil"/>
              <w:bottom w:val="single" w:color="000000" w:sz="8" w:space="0"/>
              <w:right w:val="single" w:color="000000" w:sz="8" w:space="0"/>
            </w:tcBorders>
            <w:shd w:val="clear" w:color="auto" w:fill="auto"/>
            <w:vAlign w:val="center"/>
          </w:tcPr>
          <w:p w14:paraId="6E5A3CFA">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监视器</w:t>
            </w:r>
          </w:p>
        </w:tc>
        <w:tc>
          <w:tcPr>
            <w:tcW w:w="4905" w:type="dxa"/>
            <w:tcBorders>
              <w:top w:val="nil"/>
              <w:left w:val="nil"/>
              <w:bottom w:val="single" w:color="000000" w:sz="8" w:space="0"/>
              <w:right w:val="single" w:color="000000" w:sz="8" w:space="0"/>
            </w:tcBorders>
            <w:shd w:val="clear" w:color="auto" w:fill="auto"/>
            <w:vAlign w:val="center"/>
          </w:tcPr>
          <w:p w14:paraId="493DC281">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0149EBFA">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428C9866">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14</w:t>
            </w:r>
          </w:p>
        </w:tc>
        <w:tc>
          <w:tcPr>
            <w:tcW w:w="1167" w:type="dxa"/>
            <w:tcBorders>
              <w:top w:val="nil"/>
              <w:left w:val="nil"/>
              <w:bottom w:val="single" w:color="000000" w:sz="8" w:space="0"/>
              <w:right w:val="single" w:color="000000" w:sz="8" w:space="0"/>
            </w:tcBorders>
            <w:shd w:val="clear" w:color="auto" w:fill="auto"/>
            <w:vAlign w:val="center"/>
          </w:tcPr>
          <w:p w14:paraId="75E48C4F">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A031210饮食炊事机械</w:t>
            </w:r>
          </w:p>
        </w:tc>
        <w:tc>
          <w:tcPr>
            <w:tcW w:w="1426" w:type="dxa"/>
            <w:tcBorders>
              <w:top w:val="nil"/>
              <w:left w:val="nil"/>
              <w:bottom w:val="single" w:color="000000" w:sz="8" w:space="0"/>
              <w:right w:val="single" w:color="000000" w:sz="8" w:space="0"/>
            </w:tcBorders>
            <w:shd w:val="clear" w:color="auto" w:fill="auto"/>
            <w:vAlign w:val="center"/>
          </w:tcPr>
          <w:p w14:paraId="49A5CE72">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商用燃气灶具</w:t>
            </w:r>
          </w:p>
        </w:tc>
        <w:tc>
          <w:tcPr>
            <w:tcW w:w="1750" w:type="dxa"/>
            <w:tcBorders>
              <w:top w:val="nil"/>
              <w:left w:val="nil"/>
              <w:bottom w:val="single" w:color="000000" w:sz="8" w:space="0"/>
              <w:right w:val="single" w:color="000000" w:sz="8" w:space="0"/>
            </w:tcBorders>
            <w:shd w:val="clear" w:color="auto" w:fill="auto"/>
            <w:vAlign w:val="center"/>
          </w:tcPr>
          <w:p w14:paraId="70A10A10">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0DD65204">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《商用燃气灶具能效限定值及能效等级》（GB30531）</w:t>
            </w:r>
          </w:p>
        </w:tc>
      </w:tr>
      <w:tr w14:paraId="091FF3B4">
        <w:tblPrEx>
          <w:tblCellMar>
            <w:top w:w="0" w:type="dxa"/>
            <w:left w:w="108" w:type="dxa"/>
            <w:bottom w:w="0" w:type="dxa"/>
            <w:right w:w="108" w:type="dxa"/>
          </w:tblCellMar>
        </w:tblPrEx>
        <w:trPr>
          <w:trHeight w:val="285" w:hRule="atLeast"/>
        </w:trPr>
        <w:tc>
          <w:tcPr>
            <w:tcW w:w="713" w:type="dxa"/>
            <w:vMerge w:val="restart"/>
            <w:tcBorders>
              <w:top w:val="nil"/>
              <w:left w:val="single" w:color="000000" w:sz="8" w:space="0"/>
              <w:bottom w:val="single" w:color="000000" w:sz="8" w:space="0"/>
              <w:right w:val="single" w:color="000000" w:sz="8" w:space="0"/>
            </w:tcBorders>
            <w:shd w:val="clear" w:color="auto" w:fill="auto"/>
            <w:vAlign w:val="center"/>
          </w:tcPr>
          <w:p w14:paraId="7ACAB9B1">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15</w:t>
            </w:r>
          </w:p>
        </w:tc>
        <w:tc>
          <w:tcPr>
            <w:tcW w:w="1167" w:type="dxa"/>
            <w:vMerge w:val="restart"/>
            <w:tcBorders>
              <w:top w:val="nil"/>
              <w:left w:val="single" w:color="000000" w:sz="8" w:space="0"/>
              <w:bottom w:val="single" w:color="000000" w:sz="8" w:space="0"/>
              <w:right w:val="single" w:color="000000" w:sz="8" w:space="0"/>
            </w:tcBorders>
            <w:shd w:val="clear" w:color="auto" w:fill="auto"/>
            <w:vAlign w:val="center"/>
          </w:tcPr>
          <w:p w14:paraId="1BF9B71A">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▲A060805便器</w:t>
            </w:r>
          </w:p>
        </w:tc>
        <w:tc>
          <w:tcPr>
            <w:tcW w:w="1426" w:type="dxa"/>
            <w:tcBorders>
              <w:top w:val="nil"/>
              <w:left w:val="nil"/>
              <w:bottom w:val="single" w:color="000000" w:sz="8" w:space="0"/>
              <w:right w:val="single" w:color="000000" w:sz="8" w:space="0"/>
            </w:tcBorders>
            <w:shd w:val="clear" w:color="auto" w:fill="auto"/>
            <w:vAlign w:val="center"/>
          </w:tcPr>
          <w:p w14:paraId="3B6B6279">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坐便器</w:t>
            </w:r>
          </w:p>
        </w:tc>
        <w:tc>
          <w:tcPr>
            <w:tcW w:w="1750" w:type="dxa"/>
            <w:tcBorders>
              <w:top w:val="nil"/>
              <w:left w:val="nil"/>
              <w:bottom w:val="single" w:color="000000" w:sz="8" w:space="0"/>
              <w:right w:val="single" w:color="000000" w:sz="8" w:space="0"/>
            </w:tcBorders>
            <w:shd w:val="clear" w:color="auto" w:fill="auto"/>
            <w:vAlign w:val="center"/>
          </w:tcPr>
          <w:p w14:paraId="6CB99119">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09E5CBE8">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《坐便器水效限定值及水效等级》（GB25502）</w:t>
            </w:r>
          </w:p>
        </w:tc>
      </w:tr>
      <w:tr w14:paraId="1C2019F1">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141DEC9B">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249BD2FF">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1A5FFE3E">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蹲便器</w:t>
            </w:r>
          </w:p>
        </w:tc>
        <w:tc>
          <w:tcPr>
            <w:tcW w:w="1750" w:type="dxa"/>
            <w:tcBorders>
              <w:top w:val="nil"/>
              <w:left w:val="nil"/>
              <w:bottom w:val="single" w:color="000000" w:sz="8" w:space="0"/>
              <w:right w:val="single" w:color="000000" w:sz="8" w:space="0"/>
            </w:tcBorders>
            <w:shd w:val="clear" w:color="auto" w:fill="auto"/>
            <w:vAlign w:val="center"/>
          </w:tcPr>
          <w:p w14:paraId="23A809B7">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2D0D0967">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《蹲便器用水效率限定值及用水效率等级》（GB30717）</w:t>
            </w:r>
          </w:p>
        </w:tc>
      </w:tr>
      <w:tr w14:paraId="7C40984F">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6EC7300E">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36ACEBF2">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69808F18">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小便器</w:t>
            </w:r>
          </w:p>
        </w:tc>
        <w:tc>
          <w:tcPr>
            <w:tcW w:w="1750" w:type="dxa"/>
            <w:tcBorders>
              <w:top w:val="nil"/>
              <w:left w:val="nil"/>
              <w:bottom w:val="single" w:color="000000" w:sz="8" w:space="0"/>
              <w:right w:val="single" w:color="000000" w:sz="8" w:space="0"/>
            </w:tcBorders>
            <w:shd w:val="clear" w:color="auto" w:fill="auto"/>
            <w:vAlign w:val="center"/>
          </w:tcPr>
          <w:p w14:paraId="0FFC070B">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22F06C1C">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《小便器用水效率限定值及用水效率等级》（GB28377）</w:t>
            </w:r>
          </w:p>
        </w:tc>
      </w:tr>
      <w:tr w14:paraId="7A90DD25">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3E734489">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16</w:t>
            </w:r>
          </w:p>
        </w:tc>
        <w:tc>
          <w:tcPr>
            <w:tcW w:w="1167" w:type="dxa"/>
            <w:tcBorders>
              <w:top w:val="nil"/>
              <w:left w:val="nil"/>
              <w:bottom w:val="single" w:color="000000" w:sz="8" w:space="0"/>
              <w:right w:val="single" w:color="000000" w:sz="8" w:space="0"/>
            </w:tcBorders>
            <w:shd w:val="clear" w:color="auto" w:fill="auto"/>
            <w:vAlign w:val="center"/>
          </w:tcPr>
          <w:p w14:paraId="7DFD859C">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▲A060806水嘴</w:t>
            </w:r>
          </w:p>
        </w:tc>
        <w:tc>
          <w:tcPr>
            <w:tcW w:w="1426" w:type="dxa"/>
            <w:tcBorders>
              <w:top w:val="nil"/>
              <w:left w:val="nil"/>
              <w:bottom w:val="single" w:color="000000" w:sz="8" w:space="0"/>
              <w:right w:val="single" w:color="000000" w:sz="8" w:space="0"/>
            </w:tcBorders>
            <w:shd w:val="clear" w:color="auto" w:fill="auto"/>
            <w:vAlign w:val="center"/>
          </w:tcPr>
          <w:p w14:paraId="12EDE729">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750" w:type="dxa"/>
            <w:tcBorders>
              <w:top w:val="nil"/>
              <w:left w:val="nil"/>
              <w:bottom w:val="single" w:color="000000" w:sz="8" w:space="0"/>
              <w:right w:val="single" w:color="000000" w:sz="8" w:space="0"/>
            </w:tcBorders>
            <w:shd w:val="clear" w:color="auto" w:fill="auto"/>
            <w:vAlign w:val="center"/>
          </w:tcPr>
          <w:p w14:paraId="557373D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62CB34C5">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《水嘴用水效率限定值及用水效率等级》（GB 25501）</w:t>
            </w:r>
          </w:p>
        </w:tc>
      </w:tr>
      <w:tr w14:paraId="0E2451BD">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7605FE62">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17</w:t>
            </w:r>
          </w:p>
        </w:tc>
        <w:tc>
          <w:tcPr>
            <w:tcW w:w="1167" w:type="dxa"/>
            <w:tcBorders>
              <w:top w:val="nil"/>
              <w:left w:val="nil"/>
              <w:bottom w:val="single" w:color="000000" w:sz="8" w:space="0"/>
              <w:right w:val="single" w:color="000000" w:sz="8" w:space="0"/>
            </w:tcBorders>
            <w:shd w:val="clear" w:color="auto" w:fill="auto"/>
            <w:vAlign w:val="center"/>
          </w:tcPr>
          <w:p w14:paraId="16BF50CC">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A060807便器冲洗阀</w:t>
            </w:r>
          </w:p>
        </w:tc>
        <w:tc>
          <w:tcPr>
            <w:tcW w:w="1426" w:type="dxa"/>
            <w:tcBorders>
              <w:top w:val="nil"/>
              <w:left w:val="nil"/>
              <w:bottom w:val="single" w:color="000000" w:sz="8" w:space="0"/>
              <w:right w:val="single" w:color="000000" w:sz="8" w:space="0"/>
            </w:tcBorders>
            <w:shd w:val="clear" w:color="auto" w:fill="auto"/>
            <w:vAlign w:val="center"/>
          </w:tcPr>
          <w:p w14:paraId="20E16634">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750" w:type="dxa"/>
            <w:tcBorders>
              <w:top w:val="nil"/>
              <w:left w:val="nil"/>
              <w:bottom w:val="single" w:color="000000" w:sz="8" w:space="0"/>
              <w:right w:val="single" w:color="000000" w:sz="8" w:space="0"/>
            </w:tcBorders>
            <w:shd w:val="clear" w:color="auto" w:fill="auto"/>
            <w:vAlign w:val="center"/>
          </w:tcPr>
          <w:p w14:paraId="7351ACBB">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7573027F">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《便器冲洗阀用水效率限定值及用水效率等级》（GB28379）</w:t>
            </w:r>
          </w:p>
        </w:tc>
      </w:tr>
      <w:tr w14:paraId="7AF52796">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26DD953A">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18</w:t>
            </w:r>
          </w:p>
        </w:tc>
        <w:tc>
          <w:tcPr>
            <w:tcW w:w="1167" w:type="dxa"/>
            <w:tcBorders>
              <w:top w:val="nil"/>
              <w:left w:val="nil"/>
              <w:bottom w:val="single" w:color="000000" w:sz="8" w:space="0"/>
              <w:right w:val="single" w:color="000000" w:sz="8" w:space="0"/>
            </w:tcBorders>
            <w:shd w:val="clear" w:color="auto" w:fill="auto"/>
            <w:vAlign w:val="center"/>
          </w:tcPr>
          <w:p w14:paraId="3DA56C78">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A060810淋浴器</w:t>
            </w:r>
          </w:p>
        </w:tc>
        <w:tc>
          <w:tcPr>
            <w:tcW w:w="1426" w:type="dxa"/>
            <w:tcBorders>
              <w:top w:val="nil"/>
              <w:left w:val="nil"/>
              <w:bottom w:val="single" w:color="000000" w:sz="8" w:space="0"/>
              <w:right w:val="single" w:color="000000" w:sz="8" w:space="0"/>
            </w:tcBorders>
            <w:shd w:val="clear" w:color="auto" w:fill="auto"/>
            <w:vAlign w:val="center"/>
          </w:tcPr>
          <w:p w14:paraId="6DAAD4E1">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750" w:type="dxa"/>
            <w:tcBorders>
              <w:top w:val="nil"/>
              <w:left w:val="nil"/>
              <w:bottom w:val="single" w:color="000000" w:sz="8" w:space="0"/>
              <w:right w:val="single" w:color="000000" w:sz="8" w:space="0"/>
            </w:tcBorders>
            <w:shd w:val="clear" w:color="auto" w:fill="auto"/>
            <w:vAlign w:val="center"/>
          </w:tcPr>
          <w:p w14:paraId="33E95D58">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34561F99">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《淋浴器用水效率限定值及用水效率等级》（GB28378）</w:t>
            </w:r>
          </w:p>
        </w:tc>
      </w:tr>
    </w:tbl>
    <w:p w14:paraId="03BA43D9">
      <w:pPr>
        <w:pStyle w:val="9"/>
        <w:shd w:val="clear"/>
        <w:wordWrap w:val="0"/>
        <w:spacing w:after="0"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注：1.节能产品认证应依据相关国家标准的最新版本，依据国家标准中二级能效（水效）</w:t>
      </w:r>
      <w:r>
        <w:rPr>
          <w:rFonts w:hint="eastAsia" w:asciiTheme="minorEastAsia" w:hAnsiTheme="minorEastAsia" w:eastAsiaTheme="minorEastAsia" w:cstheme="minorEastAsia"/>
          <w:color w:val="auto"/>
          <w:szCs w:val="21"/>
          <w:highlight w:val="none"/>
        </w:rPr>
        <w:t>指标。</w:t>
      </w:r>
    </w:p>
    <w:p w14:paraId="1D0F3820">
      <w:pPr>
        <w:pStyle w:val="13"/>
        <w:shd w:val="clear"/>
        <w:wordWrap w:val="0"/>
        <w:spacing w:line="336" w:lineRule="auto"/>
        <w:jc w:val="left"/>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highlight w:val="none"/>
        </w:rPr>
        <w:t xml:space="preserve">    2.以“▲”标注的为政府强制采购产品。</w:t>
      </w: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32"/>
          <w:szCs w:val="32"/>
          <w:highlight w:val="none"/>
        </w:rPr>
        <w:t>附件2：</w:t>
      </w:r>
    </w:p>
    <w:p w14:paraId="00996246">
      <w:pPr>
        <w:shd w:val="clear"/>
        <w:wordWrap w:val="0"/>
        <w:spacing w:line="336" w:lineRule="auto"/>
        <w:ind w:left="1871"/>
        <w:rPr>
          <w:rFonts w:asciiTheme="minorEastAsia" w:hAnsiTheme="minorEastAsia" w:eastAsiaTheme="minorEastAsia" w:cstheme="minorEastAsia"/>
          <w:color w:val="auto"/>
          <w:sz w:val="40"/>
          <w:szCs w:val="40"/>
          <w:highlight w:val="none"/>
        </w:rPr>
      </w:pPr>
      <w:r>
        <w:rPr>
          <w:rFonts w:hint="eastAsia" w:asciiTheme="minorEastAsia" w:hAnsiTheme="minorEastAsia" w:eastAsiaTheme="minorEastAsia" w:cstheme="minorEastAsia"/>
          <w:color w:val="auto"/>
          <w:sz w:val="40"/>
          <w:szCs w:val="40"/>
          <w:highlight w:val="none"/>
        </w:rPr>
        <w:t>中小微企业划型标准</w:t>
      </w:r>
    </w:p>
    <w:tbl>
      <w:tblPr>
        <w:tblStyle w:val="21"/>
        <w:tblW w:w="9961" w:type="dxa"/>
        <w:tblInd w:w="0" w:type="dxa"/>
        <w:tblLayout w:type="fixed"/>
        <w:tblCellMar>
          <w:top w:w="0" w:type="dxa"/>
          <w:left w:w="108" w:type="dxa"/>
          <w:bottom w:w="0" w:type="dxa"/>
          <w:right w:w="108" w:type="dxa"/>
        </w:tblCellMar>
      </w:tblPr>
      <w:tblGrid>
        <w:gridCol w:w="2082"/>
        <w:gridCol w:w="2081"/>
        <w:gridCol w:w="892"/>
        <w:gridCol w:w="1932"/>
        <w:gridCol w:w="1785"/>
        <w:gridCol w:w="1189"/>
      </w:tblGrid>
      <w:tr w14:paraId="1673E4AF">
        <w:tblPrEx>
          <w:tblCellMar>
            <w:top w:w="0" w:type="dxa"/>
            <w:left w:w="108" w:type="dxa"/>
            <w:bottom w:w="0" w:type="dxa"/>
            <w:right w:w="108" w:type="dxa"/>
          </w:tblCellMar>
        </w:tblPrEx>
        <w:trPr>
          <w:trHeight w:val="285" w:hRule="atLeast"/>
        </w:trPr>
        <w:tc>
          <w:tcPr>
            <w:tcW w:w="2082" w:type="dxa"/>
            <w:tcBorders>
              <w:top w:val="single" w:color="auto" w:sz="4" w:space="0"/>
              <w:left w:val="single" w:color="auto" w:sz="4" w:space="0"/>
              <w:bottom w:val="single" w:color="auto" w:sz="4" w:space="0"/>
              <w:right w:val="single" w:color="auto" w:sz="4" w:space="0"/>
            </w:tcBorders>
            <w:vAlign w:val="center"/>
          </w:tcPr>
          <w:p w14:paraId="030A9758">
            <w:pPr>
              <w:widowControl/>
              <w:shd w:val="clear"/>
              <w:wordWrap w:val="0"/>
              <w:spacing w:line="336" w:lineRule="auto"/>
              <w:jc w:val="left"/>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行业名称</w:t>
            </w:r>
          </w:p>
        </w:tc>
        <w:tc>
          <w:tcPr>
            <w:tcW w:w="2081" w:type="dxa"/>
            <w:tcBorders>
              <w:top w:val="single" w:color="auto" w:sz="4" w:space="0"/>
              <w:left w:val="nil"/>
              <w:bottom w:val="single" w:color="auto" w:sz="4" w:space="0"/>
              <w:right w:val="single" w:color="auto" w:sz="4" w:space="0"/>
            </w:tcBorders>
            <w:vAlign w:val="center"/>
          </w:tcPr>
          <w:p w14:paraId="56660D2C">
            <w:pPr>
              <w:widowControl/>
              <w:shd w:val="clear"/>
              <w:wordWrap w:val="0"/>
              <w:spacing w:line="336" w:lineRule="auto"/>
              <w:jc w:val="left"/>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指标名称</w:t>
            </w:r>
          </w:p>
        </w:tc>
        <w:tc>
          <w:tcPr>
            <w:tcW w:w="892" w:type="dxa"/>
            <w:tcBorders>
              <w:top w:val="single" w:color="auto" w:sz="4" w:space="0"/>
              <w:left w:val="nil"/>
              <w:bottom w:val="single" w:color="auto" w:sz="4" w:space="0"/>
              <w:right w:val="single" w:color="auto" w:sz="4" w:space="0"/>
            </w:tcBorders>
            <w:vAlign w:val="center"/>
          </w:tcPr>
          <w:p w14:paraId="7BB24E76">
            <w:pPr>
              <w:widowControl/>
              <w:shd w:val="clear"/>
              <w:wordWrap w:val="0"/>
              <w:spacing w:line="336" w:lineRule="auto"/>
              <w:jc w:val="left"/>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计量单位</w:t>
            </w:r>
          </w:p>
        </w:tc>
        <w:tc>
          <w:tcPr>
            <w:tcW w:w="1932" w:type="dxa"/>
            <w:tcBorders>
              <w:top w:val="single" w:color="auto" w:sz="4" w:space="0"/>
              <w:left w:val="nil"/>
              <w:bottom w:val="single" w:color="auto" w:sz="4" w:space="0"/>
              <w:right w:val="single" w:color="auto" w:sz="4" w:space="0"/>
            </w:tcBorders>
            <w:vAlign w:val="center"/>
          </w:tcPr>
          <w:p w14:paraId="4E4ECCA4">
            <w:pPr>
              <w:widowControl/>
              <w:shd w:val="clear"/>
              <w:wordWrap w:val="0"/>
              <w:spacing w:line="336" w:lineRule="auto"/>
              <w:jc w:val="left"/>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中型</w:t>
            </w:r>
          </w:p>
        </w:tc>
        <w:tc>
          <w:tcPr>
            <w:tcW w:w="1785" w:type="dxa"/>
            <w:tcBorders>
              <w:top w:val="single" w:color="auto" w:sz="4" w:space="0"/>
              <w:left w:val="nil"/>
              <w:bottom w:val="single" w:color="auto" w:sz="4" w:space="0"/>
              <w:right w:val="single" w:color="auto" w:sz="4" w:space="0"/>
            </w:tcBorders>
            <w:vAlign w:val="center"/>
          </w:tcPr>
          <w:p w14:paraId="01406A18">
            <w:pPr>
              <w:widowControl/>
              <w:shd w:val="clear"/>
              <w:wordWrap w:val="0"/>
              <w:spacing w:line="336" w:lineRule="auto"/>
              <w:jc w:val="left"/>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小型</w:t>
            </w:r>
          </w:p>
        </w:tc>
        <w:tc>
          <w:tcPr>
            <w:tcW w:w="1189" w:type="dxa"/>
            <w:tcBorders>
              <w:top w:val="single" w:color="auto" w:sz="4" w:space="0"/>
              <w:left w:val="nil"/>
              <w:bottom w:val="single" w:color="auto" w:sz="4" w:space="0"/>
              <w:right w:val="single" w:color="auto" w:sz="4" w:space="0"/>
            </w:tcBorders>
            <w:vAlign w:val="center"/>
          </w:tcPr>
          <w:p w14:paraId="4002C39F">
            <w:pPr>
              <w:widowControl/>
              <w:shd w:val="clear"/>
              <w:wordWrap w:val="0"/>
              <w:spacing w:line="336" w:lineRule="auto"/>
              <w:jc w:val="left"/>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微型</w:t>
            </w:r>
          </w:p>
        </w:tc>
      </w:tr>
      <w:tr w14:paraId="1141E233">
        <w:tblPrEx>
          <w:tblCellMar>
            <w:top w:w="0" w:type="dxa"/>
            <w:left w:w="108" w:type="dxa"/>
            <w:bottom w:w="0" w:type="dxa"/>
            <w:right w:w="108" w:type="dxa"/>
          </w:tblCellMar>
        </w:tblPrEx>
        <w:trPr>
          <w:trHeight w:val="225" w:hRule="atLeast"/>
        </w:trPr>
        <w:tc>
          <w:tcPr>
            <w:tcW w:w="2082" w:type="dxa"/>
            <w:tcBorders>
              <w:top w:val="nil"/>
              <w:left w:val="single" w:color="auto" w:sz="4" w:space="0"/>
              <w:bottom w:val="single" w:color="auto" w:sz="4" w:space="0"/>
              <w:right w:val="single" w:color="auto" w:sz="4" w:space="0"/>
            </w:tcBorders>
            <w:vAlign w:val="bottom"/>
          </w:tcPr>
          <w:p w14:paraId="23EA8582">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农、林、牧、渔</w:t>
            </w:r>
          </w:p>
        </w:tc>
        <w:tc>
          <w:tcPr>
            <w:tcW w:w="2081" w:type="dxa"/>
            <w:tcBorders>
              <w:top w:val="nil"/>
              <w:left w:val="nil"/>
              <w:bottom w:val="single" w:color="auto" w:sz="4" w:space="0"/>
              <w:right w:val="single" w:color="auto" w:sz="4" w:space="0"/>
            </w:tcBorders>
            <w:vAlign w:val="center"/>
          </w:tcPr>
          <w:p w14:paraId="0AE566F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4CDAA061">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11DC7FDD">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500≤Y＜20000</w:t>
            </w:r>
          </w:p>
        </w:tc>
        <w:tc>
          <w:tcPr>
            <w:tcW w:w="1785" w:type="dxa"/>
            <w:tcBorders>
              <w:top w:val="nil"/>
              <w:left w:val="nil"/>
              <w:bottom w:val="single" w:color="auto" w:sz="4" w:space="0"/>
              <w:right w:val="single" w:color="auto" w:sz="4" w:space="0"/>
            </w:tcBorders>
            <w:vAlign w:val="center"/>
          </w:tcPr>
          <w:p w14:paraId="1FF506A4">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50≤Y＜500</w:t>
            </w:r>
          </w:p>
        </w:tc>
        <w:tc>
          <w:tcPr>
            <w:tcW w:w="1189" w:type="dxa"/>
            <w:tcBorders>
              <w:top w:val="nil"/>
              <w:left w:val="nil"/>
              <w:bottom w:val="single" w:color="auto" w:sz="4" w:space="0"/>
              <w:right w:val="single" w:color="auto" w:sz="4" w:space="0"/>
            </w:tcBorders>
            <w:vAlign w:val="center"/>
          </w:tcPr>
          <w:p w14:paraId="27CC8F6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w:t>
            </w:r>
          </w:p>
        </w:tc>
      </w:tr>
      <w:tr w14:paraId="2F03A8FF">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18119678">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工业</w:t>
            </w:r>
          </w:p>
        </w:tc>
        <w:tc>
          <w:tcPr>
            <w:tcW w:w="2081" w:type="dxa"/>
            <w:tcBorders>
              <w:top w:val="nil"/>
              <w:left w:val="nil"/>
              <w:bottom w:val="single" w:color="auto" w:sz="4" w:space="0"/>
              <w:right w:val="single" w:color="auto" w:sz="4" w:space="0"/>
            </w:tcBorders>
            <w:vAlign w:val="center"/>
          </w:tcPr>
          <w:p w14:paraId="4CB0D4B1">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428DF164">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791A121C">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785" w:type="dxa"/>
            <w:tcBorders>
              <w:top w:val="nil"/>
              <w:left w:val="nil"/>
              <w:bottom w:val="single" w:color="auto" w:sz="4" w:space="0"/>
              <w:right w:val="single" w:color="auto" w:sz="4" w:space="0"/>
            </w:tcBorders>
            <w:vAlign w:val="center"/>
          </w:tcPr>
          <w:p w14:paraId="487059A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1189" w:type="dxa"/>
            <w:tcBorders>
              <w:top w:val="nil"/>
              <w:left w:val="nil"/>
              <w:bottom w:val="single" w:color="auto" w:sz="4" w:space="0"/>
              <w:right w:val="single" w:color="auto" w:sz="4" w:space="0"/>
            </w:tcBorders>
            <w:vAlign w:val="center"/>
          </w:tcPr>
          <w:p w14:paraId="714E726B">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75A9AB4D">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5753174F">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3844667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27ACB561">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2A78F6C3">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2000≤Y＜40000</w:t>
            </w:r>
          </w:p>
        </w:tc>
        <w:tc>
          <w:tcPr>
            <w:tcW w:w="1785" w:type="dxa"/>
            <w:tcBorders>
              <w:top w:val="nil"/>
              <w:left w:val="nil"/>
              <w:bottom w:val="single" w:color="auto" w:sz="4" w:space="0"/>
              <w:right w:val="single" w:color="auto" w:sz="4" w:space="0"/>
            </w:tcBorders>
            <w:vAlign w:val="center"/>
          </w:tcPr>
          <w:p w14:paraId="38C257A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300≤Y＜2000</w:t>
            </w:r>
          </w:p>
        </w:tc>
        <w:tc>
          <w:tcPr>
            <w:tcW w:w="1189" w:type="dxa"/>
            <w:tcBorders>
              <w:top w:val="nil"/>
              <w:left w:val="nil"/>
              <w:bottom w:val="single" w:color="auto" w:sz="4" w:space="0"/>
              <w:right w:val="single" w:color="auto" w:sz="4" w:space="0"/>
            </w:tcBorders>
            <w:vAlign w:val="center"/>
          </w:tcPr>
          <w:p w14:paraId="70746393">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Y＜300</w:t>
            </w:r>
          </w:p>
        </w:tc>
      </w:tr>
      <w:tr w14:paraId="47D88926">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3284FB71">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建筑业</w:t>
            </w:r>
          </w:p>
        </w:tc>
        <w:tc>
          <w:tcPr>
            <w:tcW w:w="2081" w:type="dxa"/>
            <w:tcBorders>
              <w:top w:val="nil"/>
              <w:left w:val="nil"/>
              <w:bottom w:val="single" w:color="auto" w:sz="4" w:space="0"/>
              <w:right w:val="single" w:color="auto" w:sz="4" w:space="0"/>
            </w:tcBorders>
            <w:vAlign w:val="center"/>
          </w:tcPr>
          <w:p w14:paraId="1174F1E3">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0150228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5C8485C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6000≤Y＜80000</w:t>
            </w:r>
          </w:p>
        </w:tc>
        <w:tc>
          <w:tcPr>
            <w:tcW w:w="1785" w:type="dxa"/>
            <w:tcBorders>
              <w:top w:val="nil"/>
              <w:left w:val="nil"/>
              <w:bottom w:val="single" w:color="auto" w:sz="4" w:space="0"/>
              <w:right w:val="single" w:color="auto" w:sz="4" w:space="0"/>
            </w:tcBorders>
            <w:vAlign w:val="center"/>
          </w:tcPr>
          <w:p w14:paraId="4C9860C3">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300≤Y＜6000</w:t>
            </w:r>
          </w:p>
        </w:tc>
        <w:tc>
          <w:tcPr>
            <w:tcW w:w="1189" w:type="dxa"/>
            <w:tcBorders>
              <w:top w:val="nil"/>
              <w:left w:val="nil"/>
              <w:bottom w:val="single" w:color="auto" w:sz="4" w:space="0"/>
              <w:right w:val="single" w:color="auto" w:sz="4" w:space="0"/>
            </w:tcBorders>
            <w:vAlign w:val="center"/>
          </w:tcPr>
          <w:p w14:paraId="5F9BB1B9">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Y＜300</w:t>
            </w:r>
          </w:p>
        </w:tc>
      </w:tr>
      <w:tr w14:paraId="508F2097">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53CEC7DE">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1731E26E">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892" w:type="dxa"/>
            <w:tcBorders>
              <w:top w:val="nil"/>
              <w:left w:val="nil"/>
              <w:bottom w:val="single" w:color="auto" w:sz="4" w:space="0"/>
              <w:right w:val="single" w:color="auto" w:sz="4" w:space="0"/>
            </w:tcBorders>
            <w:vAlign w:val="center"/>
          </w:tcPr>
          <w:p w14:paraId="484E5520">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0685F41D">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5000≤Z＜80000</w:t>
            </w:r>
          </w:p>
        </w:tc>
        <w:tc>
          <w:tcPr>
            <w:tcW w:w="1785" w:type="dxa"/>
            <w:tcBorders>
              <w:top w:val="nil"/>
              <w:left w:val="nil"/>
              <w:bottom w:val="single" w:color="auto" w:sz="4" w:space="0"/>
              <w:right w:val="single" w:color="auto" w:sz="4" w:space="0"/>
            </w:tcBorders>
            <w:vAlign w:val="center"/>
          </w:tcPr>
          <w:p w14:paraId="365A41BE">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300≤Z＜5000</w:t>
            </w:r>
          </w:p>
        </w:tc>
        <w:tc>
          <w:tcPr>
            <w:tcW w:w="1189" w:type="dxa"/>
            <w:tcBorders>
              <w:top w:val="nil"/>
              <w:left w:val="nil"/>
              <w:bottom w:val="single" w:color="auto" w:sz="4" w:space="0"/>
              <w:right w:val="single" w:color="auto" w:sz="4" w:space="0"/>
            </w:tcBorders>
            <w:vAlign w:val="center"/>
          </w:tcPr>
          <w:p w14:paraId="4FE89F61">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Z＜300</w:t>
            </w:r>
          </w:p>
        </w:tc>
      </w:tr>
      <w:tr w14:paraId="4728CC15">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6A011E76">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批发业</w:t>
            </w:r>
          </w:p>
        </w:tc>
        <w:tc>
          <w:tcPr>
            <w:tcW w:w="2081" w:type="dxa"/>
            <w:tcBorders>
              <w:top w:val="nil"/>
              <w:left w:val="nil"/>
              <w:bottom w:val="single" w:color="auto" w:sz="4" w:space="0"/>
              <w:right w:val="single" w:color="auto" w:sz="4" w:space="0"/>
            </w:tcBorders>
            <w:vAlign w:val="center"/>
          </w:tcPr>
          <w:p w14:paraId="3C0F3DAC">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624AFC0F">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4EF20DA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20≤X＜200</w:t>
            </w:r>
          </w:p>
        </w:tc>
        <w:tc>
          <w:tcPr>
            <w:tcW w:w="1785" w:type="dxa"/>
            <w:tcBorders>
              <w:top w:val="nil"/>
              <w:left w:val="nil"/>
              <w:bottom w:val="single" w:color="auto" w:sz="4" w:space="0"/>
              <w:right w:val="single" w:color="auto" w:sz="4" w:space="0"/>
            </w:tcBorders>
            <w:vAlign w:val="center"/>
          </w:tcPr>
          <w:p w14:paraId="3FEF40B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5≤X＜20</w:t>
            </w:r>
          </w:p>
        </w:tc>
        <w:tc>
          <w:tcPr>
            <w:tcW w:w="1189" w:type="dxa"/>
            <w:tcBorders>
              <w:top w:val="nil"/>
              <w:left w:val="nil"/>
              <w:bottom w:val="single" w:color="auto" w:sz="4" w:space="0"/>
              <w:right w:val="single" w:color="auto" w:sz="4" w:space="0"/>
            </w:tcBorders>
            <w:vAlign w:val="center"/>
          </w:tcPr>
          <w:p w14:paraId="2C19C233">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X＜5</w:t>
            </w:r>
          </w:p>
        </w:tc>
      </w:tr>
      <w:tr w14:paraId="4FE86CA2">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2A6C3B0D">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762A3DAD">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74A7895C">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261A3678">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5000≤Y＜40000</w:t>
            </w:r>
          </w:p>
        </w:tc>
        <w:tc>
          <w:tcPr>
            <w:tcW w:w="1785" w:type="dxa"/>
            <w:tcBorders>
              <w:top w:val="nil"/>
              <w:left w:val="nil"/>
              <w:bottom w:val="single" w:color="auto" w:sz="4" w:space="0"/>
              <w:right w:val="single" w:color="auto" w:sz="4" w:space="0"/>
            </w:tcBorders>
            <w:vAlign w:val="center"/>
          </w:tcPr>
          <w:p w14:paraId="1AC59439">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1000≤Y＜5000</w:t>
            </w:r>
          </w:p>
        </w:tc>
        <w:tc>
          <w:tcPr>
            <w:tcW w:w="1189" w:type="dxa"/>
            <w:tcBorders>
              <w:top w:val="nil"/>
              <w:left w:val="nil"/>
              <w:bottom w:val="single" w:color="auto" w:sz="4" w:space="0"/>
              <w:right w:val="single" w:color="auto" w:sz="4" w:space="0"/>
            </w:tcBorders>
            <w:vAlign w:val="center"/>
          </w:tcPr>
          <w:p w14:paraId="7398BEB2">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Y＜1000</w:t>
            </w:r>
          </w:p>
        </w:tc>
      </w:tr>
      <w:tr w14:paraId="562734E4">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797528B7">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零售业</w:t>
            </w:r>
          </w:p>
        </w:tc>
        <w:tc>
          <w:tcPr>
            <w:tcW w:w="2081" w:type="dxa"/>
            <w:tcBorders>
              <w:top w:val="nil"/>
              <w:left w:val="nil"/>
              <w:bottom w:val="single" w:color="auto" w:sz="4" w:space="0"/>
              <w:right w:val="single" w:color="auto" w:sz="4" w:space="0"/>
            </w:tcBorders>
            <w:vAlign w:val="center"/>
          </w:tcPr>
          <w:p w14:paraId="2B2773D0">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02554D8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1ABC02E7">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50≤X＜300</w:t>
            </w:r>
          </w:p>
        </w:tc>
        <w:tc>
          <w:tcPr>
            <w:tcW w:w="1785" w:type="dxa"/>
            <w:tcBorders>
              <w:top w:val="nil"/>
              <w:left w:val="nil"/>
              <w:bottom w:val="single" w:color="auto" w:sz="4" w:space="0"/>
              <w:right w:val="single" w:color="auto" w:sz="4" w:space="0"/>
            </w:tcBorders>
            <w:vAlign w:val="center"/>
          </w:tcPr>
          <w:p w14:paraId="29D22FCE">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10≤X＜50</w:t>
            </w:r>
          </w:p>
        </w:tc>
        <w:tc>
          <w:tcPr>
            <w:tcW w:w="1189" w:type="dxa"/>
            <w:tcBorders>
              <w:top w:val="nil"/>
              <w:left w:val="nil"/>
              <w:bottom w:val="single" w:color="auto" w:sz="4" w:space="0"/>
              <w:right w:val="single" w:color="auto" w:sz="4" w:space="0"/>
            </w:tcBorders>
            <w:vAlign w:val="center"/>
          </w:tcPr>
          <w:p w14:paraId="0812399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72AC716E">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4158A737">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0AF3EE89">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7539E7B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439C1AF4">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500≤Y＜20000</w:t>
            </w:r>
          </w:p>
        </w:tc>
        <w:tc>
          <w:tcPr>
            <w:tcW w:w="1785" w:type="dxa"/>
            <w:tcBorders>
              <w:top w:val="nil"/>
              <w:left w:val="nil"/>
              <w:bottom w:val="single" w:color="auto" w:sz="4" w:space="0"/>
              <w:right w:val="single" w:color="auto" w:sz="4" w:space="0"/>
            </w:tcBorders>
            <w:vAlign w:val="center"/>
          </w:tcPr>
          <w:p w14:paraId="45D9B30F">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100≤Y＜500</w:t>
            </w:r>
          </w:p>
        </w:tc>
        <w:tc>
          <w:tcPr>
            <w:tcW w:w="1189" w:type="dxa"/>
            <w:tcBorders>
              <w:top w:val="nil"/>
              <w:left w:val="nil"/>
              <w:bottom w:val="single" w:color="auto" w:sz="4" w:space="0"/>
              <w:right w:val="single" w:color="auto" w:sz="4" w:space="0"/>
            </w:tcBorders>
            <w:vAlign w:val="center"/>
          </w:tcPr>
          <w:p w14:paraId="62006909">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0FCA13DC">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25EE6C48">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交通运输业</w:t>
            </w:r>
          </w:p>
        </w:tc>
        <w:tc>
          <w:tcPr>
            <w:tcW w:w="2081" w:type="dxa"/>
            <w:tcBorders>
              <w:top w:val="nil"/>
              <w:left w:val="nil"/>
              <w:bottom w:val="single" w:color="auto" w:sz="4" w:space="0"/>
              <w:right w:val="single" w:color="auto" w:sz="4" w:space="0"/>
            </w:tcBorders>
            <w:vAlign w:val="center"/>
          </w:tcPr>
          <w:p w14:paraId="107534D9">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433596D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05E1DAC0">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785" w:type="dxa"/>
            <w:tcBorders>
              <w:top w:val="nil"/>
              <w:left w:val="nil"/>
              <w:bottom w:val="single" w:color="auto" w:sz="4" w:space="0"/>
              <w:right w:val="single" w:color="auto" w:sz="4" w:space="0"/>
            </w:tcBorders>
            <w:vAlign w:val="center"/>
          </w:tcPr>
          <w:p w14:paraId="46BE7424">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1189" w:type="dxa"/>
            <w:tcBorders>
              <w:top w:val="nil"/>
              <w:left w:val="nil"/>
              <w:bottom w:val="single" w:color="auto" w:sz="4" w:space="0"/>
              <w:right w:val="single" w:color="auto" w:sz="4" w:space="0"/>
            </w:tcBorders>
            <w:vAlign w:val="center"/>
          </w:tcPr>
          <w:p w14:paraId="54A35E6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4DE511E3">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678E5F6E">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0D6BD898">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2F0A5B5C">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3C0E10D8">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3000≤Y＜30000</w:t>
            </w:r>
          </w:p>
        </w:tc>
        <w:tc>
          <w:tcPr>
            <w:tcW w:w="1785" w:type="dxa"/>
            <w:tcBorders>
              <w:top w:val="nil"/>
              <w:left w:val="nil"/>
              <w:bottom w:val="single" w:color="auto" w:sz="4" w:space="0"/>
              <w:right w:val="single" w:color="auto" w:sz="4" w:space="0"/>
            </w:tcBorders>
            <w:vAlign w:val="center"/>
          </w:tcPr>
          <w:p w14:paraId="302D9B90">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200≤Y＜3000</w:t>
            </w:r>
          </w:p>
        </w:tc>
        <w:tc>
          <w:tcPr>
            <w:tcW w:w="1189" w:type="dxa"/>
            <w:tcBorders>
              <w:top w:val="nil"/>
              <w:left w:val="nil"/>
              <w:bottom w:val="single" w:color="auto" w:sz="4" w:space="0"/>
              <w:right w:val="single" w:color="auto" w:sz="4" w:space="0"/>
            </w:tcBorders>
            <w:vAlign w:val="center"/>
          </w:tcPr>
          <w:p w14:paraId="4E4FA2B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Y＜200</w:t>
            </w:r>
          </w:p>
        </w:tc>
      </w:tr>
      <w:tr w14:paraId="346CDE2B">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6095DBCA">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仓储业</w:t>
            </w:r>
          </w:p>
        </w:tc>
        <w:tc>
          <w:tcPr>
            <w:tcW w:w="2081" w:type="dxa"/>
            <w:tcBorders>
              <w:top w:val="nil"/>
              <w:left w:val="nil"/>
              <w:bottom w:val="single" w:color="auto" w:sz="4" w:space="0"/>
              <w:right w:val="single" w:color="auto" w:sz="4" w:space="0"/>
            </w:tcBorders>
            <w:vAlign w:val="center"/>
          </w:tcPr>
          <w:p w14:paraId="309C6F9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4DA84EB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3F50926D">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100≤X＜200</w:t>
            </w:r>
          </w:p>
        </w:tc>
        <w:tc>
          <w:tcPr>
            <w:tcW w:w="1785" w:type="dxa"/>
            <w:tcBorders>
              <w:top w:val="nil"/>
              <w:left w:val="nil"/>
              <w:bottom w:val="single" w:color="auto" w:sz="4" w:space="0"/>
              <w:right w:val="single" w:color="auto" w:sz="4" w:space="0"/>
            </w:tcBorders>
            <w:vAlign w:val="center"/>
          </w:tcPr>
          <w:p w14:paraId="22DFDB1C">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20≤X＜100</w:t>
            </w:r>
          </w:p>
        </w:tc>
        <w:tc>
          <w:tcPr>
            <w:tcW w:w="1189" w:type="dxa"/>
            <w:tcBorders>
              <w:top w:val="nil"/>
              <w:left w:val="nil"/>
              <w:bottom w:val="single" w:color="auto" w:sz="4" w:space="0"/>
              <w:right w:val="single" w:color="auto" w:sz="4" w:space="0"/>
            </w:tcBorders>
            <w:vAlign w:val="center"/>
          </w:tcPr>
          <w:p w14:paraId="0D201B61">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23B249D1">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7371F6F8">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64082FE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4088D2EB">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4A9DF060">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1000≤Y＜30000</w:t>
            </w:r>
          </w:p>
        </w:tc>
        <w:tc>
          <w:tcPr>
            <w:tcW w:w="1785" w:type="dxa"/>
            <w:tcBorders>
              <w:top w:val="nil"/>
              <w:left w:val="nil"/>
              <w:bottom w:val="single" w:color="auto" w:sz="4" w:space="0"/>
              <w:right w:val="single" w:color="auto" w:sz="4" w:space="0"/>
            </w:tcBorders>
            <w:vAlign w:val="center"/>
          </w:tcPr>
          <w:p w14:paraId="5A2C0CB0">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100≤Y＜1000</w:t>
            </w:r>
          </w:p>
        </w:tc>
        <w:tc>
          <w:tcPr>
            <w:tcW w:w="1189" w:type="dxa"/>
            <w:tcBorders>
              <w:top w:val="nil"/>
              <w:left w:val="nil"/>
              <w:bottom w:val="single" w:color="auto" w:sz="4" w:space="0"/>
              <w:right w:val="single" w:color="auto" w:sz="4" w:space="0"/>
            </w:tcBorders>
            <w:vAlign w:val="center"/>
          </w:tcPr>
          <w:p w14:paraId="6A67BD4B">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70BAC230">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6C4ECDD6">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邮政业</w:t>
            </w:r>
          </w:p>
        </w:tc>
        <w:tc>
          <w:tcPr>
            <w:tcW w:w="2081" w:type="dxa"/>
            <w:tcBorders>
              <w:top w:val="nil"/>
              <w:left w:val="nil"/>
              <w:bottom w:val="single" w:color="auto" w:sz="4" w:space="0"/>
              <w:right w:val="single" w:color="auto" w:sz="4" w:space="0"/>
            </w:tcBorders>
            <w:vAlign w:val="center"/>
          </w:tcPr>
          <w:p w14:paraId="2AE86B6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335E9BFC">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26DFF3CF">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785" w:type="dxa"/>
            <w:tcBorders>
              <w:top w:val="nil"/>
              <w:left w:val="nil"/>
              <w:bottom w:val="single" w:color="auto" w:sz="4" w:space="0"/>
              <w:right w:val="single" w:color="auto" w:sz="4" w:space="0"/>
            </w:tcBorders>
            <w:vAlign w:val="center"/>
          </w:tcPr>
          <w:p w14:paraId="35362CE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1189" w:type="dxa"/>
            <w:tcBorders>
              <w:top w:val="nil"/>
              <w:left w:val="nil"/>
              <w:bottom w:val="single" w:color="auto" w:sz="4" w:space="0"/>
              <w:right w:val="single" w:color="auto" w:sz="4" w:space="0"/>
            </w:tcBorders>
            <w:vAlign w:val="center"/>
          </w:tcPr>
          <w:p w14:paraId="5F3ADA2D">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7885BD0F">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13595938">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4E989A5B">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5E5182CD">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7AE7981D">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2000≤Y＜30000</w:t>
            </w:r>
          </w:p>
        </w:tc>
        <w:tc>
          <w:tcPr>
            <w:tcW w:w="1785" w:type="dxa"/>
            <w:tcBorders>
              <w:top w:val="nil"/>
              <w:left w:val="nil"/>
              <w:bottom w:val="single" w:color="auto" w:sz="4" w:space="0"/>
              <w:right w:val="single" w:color="auto" w:sz="4" w:space="0"/>
            </w:tcBorders>
            <w:vAlign w:val="center"/>
          </w:tcPr>
          <w:p w14:paraId="0D71B36E">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1189" w:type="dxa"/>
            <w:tcBorders>
              <w:top w:val="nil"/>
              <w:left w:val="nil"/>
              <w:bottom w:val="single" w:color="auto" w:sz="4" w:space="0"/>
              <w:right w:val="single" w:color="auto" w:sz="4" w:space="0"/>
            </w:tcBorders>
            <w:vAlign w:val="center"/>
          </w:tcPr>
          <w:p w14:paraId="7A5FEB98">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459642CA">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37A9CA84">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住宿业</w:t>
            </w:r>
          </w:p>
        </w:tc>
        <w:tc>
          <w:tcPr>
            <w:tcW w:w="2081" w:type="dxa"/>
            <w:tcBorders>
              <w:top w:val="nil"/>
              <w:left w:val="nil"/>
              <w:bottom w:val="single" w:color="auto" w:sz="4" w:space="0"/>
              <w:right w:val="single" w:color="auto" w:sz="4" w:space="0"/>
            </w:tcBorders>
            <w:vAlign w:val="center"/>
          </w:tcPr>
          <w:p w14:paraId="0870556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227C3440">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50AAF1A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09FA7101">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5D9AC14C">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46228A37">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26C90D5B">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6D93DCE0">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06A9E84E">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67FB6762">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2000≤Y＜10000</w:t>
            </w:r>
          </w:p>
        </w:tc>
        <w:tc>
          <w:tcPr>
            <w:tcW w:w="1785" w:type="dxa"/>
            <w:tcBorders>
              <w:top w:val="nil"/>
              <w:left w:val="nil"/>
              <w:bottom w:val="single" w:color="auto" w:sz="4" w:space="0"/>
              <w:right w:val="single" w:color="auto" w:sz="4" w:space="0"/>
            </w:tcBorders>
            <w:vAlign w:val="center"/>
          </w:tcPr>
          <w:p w14:paraId="4E67E3D1">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1189" w:type="dxa"/>
            <w:tcBorders>
              <w:top w:val="nil"/>
              <w:left w:val="nil"/>
              <w:bottom w:val="single" w:color="auto" w:sz="4" w:space="0"/>
              <w:right w:val="single" w:color="auto" w:sz="4" w:space="0"/>
            </w:tcBorders>
            <w:vAlign w:val="center"/>
          </w:tcPr>
          <w:p w14:paraId="2C409919">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20130FDC">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608A3CF8">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餐饮业</w:t>
            </w:r>
          </w:p>
        </w:tc>
        <w:tc>
          <w:tcPr>
            <w:tcW w:w="2081" w:type="dxa"/>
            <w:tcBorders>
              <w:top w:val="nil"/>
              <w:left w:val="nil"/>
              <w:bottom w:val="single" w:color="auto" w:sz="4" w:space="0"/>
              <w:right w:val="single" w:color="auto" w:sz="4" w:space="0"/>
            </w:tcBorders>
            <w:vAlign w:val="center"/>
          </w:tcPr>
          <w:p w14:paraId="19EB4313">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098A30A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5AB88CD0">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03DA5EC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593BCBA4">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1394AC51">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693FA1E1">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1E0EB077">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6F6C8D64">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19E77BEC">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2000≤Y＜10000</w:t>
            </w:r>
          </w:p>
        </w:tc>
        <w:tc>
          <w:tcPr>
            <w:tcW w:w="1785" w:type="dxa"/>
            <w:tcBorders>
              <w:top w:val="nil"/>
              <w:left w:val="nil"/>
              <w:bottom w:val="single" w:color="auto" w:sz="4" w:space="0"/>
              <w:right w:val="single" w:color="auto" w:sz="4" w:space="0"/>
            </w:tcBorders>
            <w:vAlign w:val="center"/>
          </w:tcPr>
          <w:p w14:paraId="6FD1D143">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1189" w:type="dxa"/>
            <w:tcBorders>
              <w:top w:val="nil"/>
              <w:left w:val="nil"/>
              <w:bottom w:val="single" w:color="auto" w:sz="4" w:space="0"/>
              <w:right w:val="single" w:color="auto" w:sz="4" w:space="0"/>
            </w:tcBorders>
            <w:vAlign w:val="center"/>
          </w:tcPr>
          <w:p w14:paraId="50333954">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61EB1EB2">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584DBBE8">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信息传输业</w:t>
            </w:r>
          </w:p>
        </w:tc>
        <w:tc>
          <w:tcPr>
            <w:tcW w:w="2081" w:type="dxa"/>
            <w:tcBorders>
              <w:top w:val="nil"/>
              <w:left w:val="nil"/>
              <w:bottom w:val="single" w:color="auto" w:sz="4" w:space="0"/>
              <w:right w:val="single" w:color="auto" w:sz="4" w:space="0"/>
            </w:tcBorders>
            <w:vAlign w:val="center"/>
          </w:tcPr>
          <w:p w14:paraId="1376FE6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7CEE94A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42AFCE8B">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100≤X＜2000</w:t>
            </w:r>
          </w:p>
        </w:tc>
        <w:tc>
          <w:tcPr>
            <w:tcW w:w="1785" w:type="dxa"/>
            <w:tcBorders>
              <w:top w:val="nil"/>
              <w:left w:val="nil"/>
              <w:bottom w:val="single" w:color="auto" w:sz="4" w:space="0"/>
              <w:right w:val="single" w:color="auto" w:sz="4" w:space="0"/>
            </w:tcBorders>
            <w:vAlign w:val="center"/>
          </w:tcPr>
          <w:p w14:paraId="65BBEEB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234B3CD2">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1816D82B">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5F167DB1">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3FE07704">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760460F3">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57850C9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1000≤Y＜100000</w:t>
            </w:r>
          </w:p>
        </w:tc>
        <w:tc>
          <w:tcPr>
            <w:tcW w:w="1785" w:type="dxa"/>
            <w:tcBorders>
              <w:top w:val="nil"/>
              <w:left w:val="nil"/>
              <w:bottom w:val="single" w:color="auto" w:sz="4" w:space="0"/>
              <w:right w:val="single" w:color="auto" w:sz="4" w:space="0"/>
            </w:tcBorders>
            <w:vAlign w:val="center"/>
          </w:tcPr>
          <w:p w14:paraId="3FE5AD4B">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100≤Y＜1000</w:t>
            </w:r>
          </w:p>
        </w:tc>
        <w:tc>
          <w:tcPr>
            <w:tcW w:w="1189" w:type="dxa"/>
            <w:tcBorders>
              <w:top w:val="nil"/>
              <w:left w:val="nil"/>
              <w:bottom w:val="single" w:color="auto" w:sz="4" w:space="0"/>
              <w:right w:val="single" w:color="auto" w:sz="4" w:space="0"/>
            </w:tcBorders>
            <w:vAlign w:val="center"/>
          </w:tcPr>
          <w:p w14:paraId="4921F9EF">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0DEEE8B6">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4514AFE4">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软件和信息技术服务业</w:t>
            </w:r>
          </w:p>
        </w:tc>
        <w:tc>
          <w:tcPr>
            <w:tcW w:w="2081" w:type="dxa"/>
            <w:tcBorders>
              <w:top w:val="nil"/>
              <w:left w:val="nil"/>
              <w:bottom w:val="single" w:color="auto" w:sz="4" w:space="0"/>
              <w:right w:val="single" w:color="auto" w:sz="4" w:space="0"/>
            </w:tcBorders>
            <w:vAlign w:val="center"/>
          </w:tcPr>
          <w:p w14:paraId="3ED77E9B">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693658C3">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7E8AC0F9">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3873F0A2">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098DC5FD">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756BDF3D">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3DBE0689">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39FA999D">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4E5986E3">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0C3662E1">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1000≤Y＜10000</w:t>
            </w:r>
          </w:p>
        </w:tc>
        <w:tc>
          <w:tcPr>
            <w:tcW w:w="1785" w:type="dxa"/>
            <w:tcBorders>
              <w:top w:val="nil"/>
              <w:left w:val="nil"/>
              <w:bottom w:val="single" w:color="auto" w:sz="4" w:space="0"/>
              <w:right w:val="single" w:color="auto" w:sz="4" w:space="0"/>
            </w:tcBorders>
            <w:vAlign w:val="center"/>
          </w:tcPr>
          <w:p w14:paraId="1556B3D4">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50≤Y＜1000</w:t>
            </w:r>
          </w:p>
        </w:tc>
        <w:tc>
          <w:tcPr>
            <w:tcW w:w="1189" w:type="dxa"/>
            <w:tcBorders>
              <w:top w:val="nil"/>
              <w:left w:val="nil"/>
              <w:bottom w:val="single" w:color="auto" w:sz="4" w:space="0"/>
              <w:right w:val="single" w:color="auto" w:sz="4" w:space="0"/>
            </w:tcBorders>
            <w:vAlign w:val="center"/>
          </w:tcPr>
          <w:p w14:paraId="4092863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w:t>
            </w:r>
          </w:p>
        </w:tc>
      </w:tr>
      <w:tr w14:paraId="25D06C12">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4330EAE4">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房地产开发经营</w:t>
            </w:r>
          </w:p>
        </w:tc>
        <w:tc>
          <w:tcPr>
            <w:tcW w:w="2081" w:type="dxa"/>
            <w:tcBorders>
              <w:top w:val="nil"/>
              <w:left w:val="nil"/>
              <w:bottom w:val="single" w:color="auto" w:sz="4" w:space="0"/>
              <w:right w:val="single" w:color="auto" w:sz="4" w:space="0"/>
            </w:tcBorders>
            <w:vAlign w:val="center"/>
          </w:tcPr>
          <w:p w14:paraId="15BEC522">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29CC07D7">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3F51FD72">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1000≤Y＜200000</w:t>
            </w:r>
          </w:p>
        </w:tc>
        <w:tc>
          <w:tcPr>
            <w:tcW w:w="1785" w:type="dxa"/>
            <w:tcBorders>
              <w:top w:val="nil"/>
              <w:left w:val="nil"/>
              <w:bottom w:val="single" w:color="auto" w:sz="4" w:space="0"/>
              <w:right w:val="single" w:color="auto" w:sz="4" w:space="0"/>
            </w:tcBorders>
            <w:vAlign w:val="center"/>
          </w:tcPr>
          <w:p w14:paraId="23AFC28F">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100≤X＜1000</w:t>
            </w:r>
          </w:p>
        </w:tc>
        <w:tc>
          <w:tcPr>
            <w:tcW w:w="1189" w:type="dxa"/>
            <w:tcBorders>
              <w:top w:val="nil"/>
              <w:left w:val="nil"/>
              <w:bottom w:val="single" w:color="auto" w:sz="4" w:space="0"/>
              <w:right w:val="single" w:color="auto" w:sz="4" w:space="0"/>
            </w:tcBorders>
            <w:vAlign w:val="center"/>
          </w:tcPr>
          <w:p w14:paraId="36F2794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X＜100</w:t>
            </w:r>
          </w:p>
        </w:tc>
      </w:tr>
      <w:tr w14:paraId="77557D73">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67D3658C">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22D76488">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892" w:type="dxa"/>
            <w:tcBorders>
              <w:top w:val="nil"/>
              <w:left w:val="nil"/>
              <w:bottom w:val="single" w:color="auto" w:sz="4" w:space="0"/>
              <w:right w:val="single" w:color="auto" w:sz="4" w:space="0"/>
            </w:tcBorders>
            <w:vAlign w:val="center"/>
          </w:tcPr>
          <w:p w14:paraId="7E7E5CCC">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45EEB7E4">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5000≤Z＜10000</w:t>
            </w:r>
          </w:p>
        </w:tc>
        <w:tc>
          <w:tcPr>
            <w:tcW w:w="1785" w:type="dxa"/>
            <w:tcBorders>
              <w:top w:val="nil"/>
              <w:left w:val="nil"/>
              <w:bottom w:val="single" w:color="auto" w:sz="4" w:space="0"/>
              <w:right w:val="single" w:color="auto" w:sz="4" w:space="0"/>
            </w:tcBorders>
            <w:vAlign w:val="center"/>
          </w:tcPr>
          <w:p w14:paraId="515A5CE1">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2000≤Y＜5000</w:t>
            </w:r>
          </w:p>
        </w:tc>
        <w:tc>
          <w:tcPr>
            <w:tcW w:w="1189" w:type="dxa"/>
            <w:tcBorders>
              <w:top w:val="nil"/>
              <w:left w:val="nil"/>
              <w:bottom w:val="single" w:color="auto" w:sz="4" w:space="0"/>
              <w:right w:val="single" w:color="auto" w:sz="4" w:space="0"/>
            </w:tcBorders>
            <w:vAlign w:val="center"/>
          </w:tcPr>
          <w:p w14:paraId="2836533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Y＜2000</w:t>
            </w:r>
          </w:p>
        </w:tc>
      </w:tr>
      <w:tr w14:paraId="47F46F9D">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17711261">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物业管理</w:t>
            </w:r>
          </w:p>
        </w:tc>
        <w:tc>
          <w:tcPr>
            <w:tcW w:w="2081" w:type="dxa"/>
            <w:tcBorders>
              <w:top w:val="nil"/>
              <w:left w:val="nil"/>
              <w:bottom w:val="single" w:color="auto" w:sz="4" w:space="0"/>
              <w:right w:val="single" w:color="auto" w:sz="4" w:space="0"/>
            </w:tcBorders>
            <w:vAlign w:val="center"/>
          </w:tcPr>
          <w:p w14:paraId="10623AA9">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5D9D46B0">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66F1B01B">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785" w:type="dxa"/>
            <w:tcBorders>
              <w:top w:val="nil"/>
              <w:left w:val="nil"/>
              <w:bottom w:val="single" w:color="auto" w:sz="4" w:space="0"/>
              <w:right w:val="single" w:color="auto" w:sz="4" w:space="0"/>
            </w:tcBorders>
            <w:vAlign w:val="center"/>
          </w:tcPr>
          <w:p w14:paraId="76B44CC1">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189" w:type="dxa"/>
            <w:tcBorders>
              <w:top w:val="nil"/>
              <w:left w:val="nil"/>
              <w:bottom w:val="single" w:color="auto" w:sz="4" w:space="0"/>
              <w:right w:val="single" w:color="auto" w:sz="4" w:space="0"/>
            </w:tcBorders>
            <w:vAlign w:val="center"/>
          </w:tcPr>
          <w:p w14:paraId="23C64757">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X＜100</w:t>
            </w:r>
          </w:p>
        </w:tc>
      </w:tr>
      <w:tr w14:paraId="651173AF">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1B7B5FE5">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34B3418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255D76BF">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15C299AC">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1000≤Y＜5000</w:t>
            </w:r>
          </w:p>
        </w:tc>
        <w:tc>
          <w:tcPr>
            <w:tcW w:w="1785" w:type="dxa"/>
            <w:tcBorders>
              <w:top w:val="nil"/>
              <w:left w:val="nil"/>
              <w:bottom w:val="single" w:color="auto" w:sz="4" w:space="0"/>
              <w:right w:val="single" w:color="auto" w:sz="4" w:space="0"/>
            </w:tcBorders>
            <w:vAlign w:val="center"/>
          </w:tcPr>
          <w:p w14:paraId="75176A1F">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500≤Y＜1000</w:t>
            </w:r>
          </w:p>
        </w:tc>
        <w:tc>
          <w:tcPr>
            <w:tcW w:w="1189" w:type="dxa"/>
            <w:tcBorders>
              <w:top w:val="nil"/>
              <w:left w:val="nil"/>
              <w:bottom w:val="single" w:color="auto" w:sz="4" w:space="0"/>
              <w:right w:val="single" w:color="auto" w:sz="4" w:space="0"/>
            </w:tcBorders>
            <w:vAlign w:val="center"/>
          </w:tcPr>
          <w:p w14:paraId="7411D95D">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Y＜500</w:t>
            </w:r>
          </w:p>
        </w:tc>
      </w:tr>
      <w:tr w14:paraId="189CE3B7">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31EC70F3">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租赁和商务服务业</w:t>
            </w:r>
          </w:p>
        </w:tc>
        <w:tc>
          <w:tcPr>
            <w:tcW w:w="2081" w:type="dxa"/>
            <w:tcBorders>
              <w:top w:val="nil"/>
              <w:left w:val="nil"/>
              <w:bottom w:val="single" w:color="auto" w:sz="4" w:space="0"/>
              <w:right w:val="single" w:color="auto" w:sz="4" w:space="0"/>
            </w:tcBorders>
            <w:vAlign w:val="center"/>
          </w:tcPr>
          <w:p w14:paraId="47B3A368">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27DAD92C">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5EDC2CFC">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24AAFFB0">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326FFEE0">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4733C7A8">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125AEE90">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7DB4848E">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892" w:type="dxa"/>
            <w:tcBorders>
              <w:top w:val="nil"/>
              <w:left w:val="nil"/>
              <w:bottom w:val="single" w:color="auto" w:sz="4" w:space="0"/>
              <w:right w:val="single" w:color="auto" w:sz="4" w:space="0"/>
            </w:tcBorders>
            <w:vAlign w:val="center"/>
          </w:tcPr>
          <w:p w14:paraId="4E6BDC5F">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48A5FFE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8000≤Z＜120000</w:t>
            </w:r>
          </w:p>
        </w:tc>
        <w:tc>
          <w:tcPr>
            <w:tcW w:w="1785" w:type="dxa"/>
            <w:tcBorders>
              <w:top w:val="nil"/>
              <w:left w:val="nil"/>
              <w:bottom w:val="single" w:color="auto" w:sz="4" w:space="0"/>
              <w:right w:val="single" w:color="auto" w:sz="4" w:space="0"/>
            </w:tcBorders>
            <w:vAlign w:val="center"/>
          </w:tcPr>
          <w:p w14:paraId="2460123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100≤Z＜8000</w:t>
            </w:r>
          </w:p>
        </w:tc>
        <w:tc>
          <w:tcPr>
            <w:tcW w:w="1189" w:type="dxa"/>
            <w:tcBorders>
              <w:top w:val="nil"/>
              <w:left w:val="nil"/>
              <w:bottom w:val="single" w:color="auto" w:sz="4" w:space="0"/>
              <w:right w:val="single" w:color="auto" w:sz="4" w:space="0"/>
            </w:tcBorders>
            <w:vAlign w:val="center"/>
          </w:tcPr>
          <w:p w14:paraId="1ADEA59E">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62E8E9F3">
        <w:tblPrEx>
          <w:tblCellMar>
            <w:top w:w="0" w:type="dxa"/>
            <w:left w:w="108" w:type="dxa"/>
            <w:bottom w:w="0" w:type="dxa"/>
            <w:right w:w="108" w:type="dxa"/>
          </w:tblCellMar>
        </w:tblPrEx>
        <w:trPr>
          <w:trHeight w:val="225" w:hRule="atLeast"/>
        </w:trPr>
        <w:tc>
          <w:tcPr>
            <w:tcW w:w="2082" w:type="dxa"/>
            <w:tcBorders>
              <w:top w:val="nil"/>
              <w:left w:val="single" w:color="auto" w:sz="4" w:space="0"/>
              <w:bottom w:val="single" w:color="auto" w:sz="4" w:space="0"/>
              <w:right w:val="single" w:color="auto" w:sz="4" w:space="0"/>
            </w:tcBorders>
            <w:vAlign w:val="bottom"/>
          </w:tcPr>
          <w:p w14:paraId="51B7BCB0">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其他未列明行业</w:t>
            </w:r>
          </w:p>
        </w:tc>
        <w:tc>
          <w:tcPr>
            <w:tcW w:w="2081" w:type="dxa"/>
            <w:tcBorders>
              <w:top w:val="nil"/>
              <w:left w:val="nil"/>
              <w:bottom w:val="single" w:color="auto" w:sz="4" w:space="0"/>
              <w:right w:val="single" w:color="auto" w:sz="4" w:space="0"/>
            </w:tcBorders>
            <w:vAlign w:val="center"/>
          </w:tcPr>
          <w:p w14:paraId="7A95E65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375FAA8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4617B2B1">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62D0D56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4E99420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bl>
    <w:p w14:paraId="60DA24FC">
      <w:pPr>
        <w:shd w:val="clear"/>
        <w:wordWrap w:val="0"/>
        <w:spacing w:line="336" w:lineRule="auto"/>
        <w:ind w:firstLine="525" w:firstLineChars="2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AF780FA">
      <w:pPr>
        <w:pStyle w:val="13"/>
        <w:shd w:val="clear"/>
        <w:wordWrap w:val="0"/>
        <w:spacing w:line="336" w:lineRule="auto"/>
        <w:jc w:val="center"/>
        <w:rPr>
          <w:rFonts w:asciiTheme="minorEastAsia" w:hAnsiTheme="minorEastAsia" w:eastAsiaTheme="minorEastAsia" w:cstheme="minorEastAsia"/>
          <w:color w:val="auto"/>
          <w:highlight w:val="none"/>
        </w:rPr>
        <w:sectPr>
          <w:footerReference r:id="rId8" w:type="default"/>
          <w:pgSz w:w="11905" w:h="16838"/>
          <w:pgMar w:top="1440" w:right="1080" w:bottom="1440" w:left="1080" w:header="720" w:footer="720" w:gutter="0"/>
          <w:cols w:space="0" w:num="1"/>
          <w:docGrid w:linePitch="331" w:charSpace="0"/>
        </w:sectPr>
      </w:pPr>
    </w:p>
    <w:p w14:paraId="0D0133F1">
      <w:pPr>
        <w:pStyle w:val="2"/>
        <w:shd w:val="clear"/>
        <w:wordWrap w:val="0"/>
        <w:spacing w:before="0" w:after="0" w:line="336" w:lineRule="auto"/>
        <w:jc w:val="center"/>
        <w:rPr>
          <w:rFonts w:asciiTheme="minorEastAsia" w:hAnsiTheme="minorEastAsia" w:eastAsiaTheme="minorEastAsia" w:cstheme="minorEastAsia"/>
          <w:color w:val="auto"/>
          <w:highlight w:val="none"/>
        </w:rPr>
      </w:pPr>
      <w:bookmarkStart w:id="29" w:name="_Toc24683"/>
      <w:r>
        <w:rPr>
          <w:rFonts w:hint="eastAsia" w:asciiTheme="minorEastAsia" w:hAnsiTheme="minorEastAsia" w:eastAsiaTheme="minorEastAsia" w:cstheme="minorEastAsia"/>
          <w:bCs w:val="0"/>
          <w:color w:val="auto"/>
          <w:sz w:val="32"/>
          <w:szCs w:val="32"/>
          <w:highlight w:val="none"/>
        </w:rPr>
        <w:t>第三章 供应商须知</w:t>
      </w:r>
      <w:bookmarkEnd w:id="29"/>
    </w:p>
    <w:p w14:paraId="7AB8EA4A">
      <w:pPr>
        <w:pStyle w:val="3"/>
        <w:shd w:val="clear"/>
        <w:wordWrap w:val="0"/>
        <w:spacing w:before="0" w:after="0" w:line="336" w:lineRule="auto"/>
        <w:jc w:val="center"/>
        <w:rPr>
          <w:rFonts w:asciiTheme="minorEastAsia" w:hAnsiTheme="minorEastAsia" w:eastAsiaTheme="minorEastAsia" w:cstheme="minorEastAsia"/>
          <w:b w:val="0"/>
          <w:color w:val="auto"/>
          <w:highlight w:val="none"/>
        </w:rPr>
      </w:pPr>
      <w:bookmarkStart w:id="30" w:name="_Toc21843"/>
      <w:r>
        <w:rPr>
          <w:rFonts w:hint="eastAsia" w:asciiTheme="minorEastAsia" w:hAnsiTheme="minorEastAsia" w:eastAsiaTheme="minorEastAsia" w:cstheme="minorEastAsia"/>
          <w:b w:val="0"/>
          <w:color w:val="auto"/>
          <w:highlight w:val="none"/>
        </w:rPr>
        <w:t>第一节 供应商须知前附表</w:t>
      </w:r>
      <w:bookmarkEnd w:id="30"/>
    </w:p>
    <w:p w14:paraId="07472F6C">
      <w:pPr>
        <w:shd w:val="clear"/>
        <w:wordWrap w:val="0"/>
        <w:spacing w:line="336" w:lineRule="auto"/>
        <w:jc w:val="center"/>
        <w:rPr>
          <w:rFonts w:asciiTheme="minorEastAsia" w:hAnsiTheme="minorEastAsia" w:eastAsiaTheme="minorEastAsia" w:cstheme="minorEastAsia"/>
          <w:b/>
          <w:color w:val="auto"/>
          <w:sz w:val="32"/>
          <w:szCs w:val="32"/>
          <w:highlight w:val="none"/>
        </w:rPr>
      </w:pPr>
    </w:p>
    <w:tbl>
      <w:tblPr>
        <w:tblStyle w:val="21"/>
        <w:tblW w:w="10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204"/>
        <w:gridCol w:w="7124"/>
      </w:tblGrid>
      <w:tr w14:paraId="4CBF3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1036" w:type="dxa"/>
          </w:tcPr>
          <w:p w14:paraId="6AB5C6CF">
            <w:pPr>
              <w:shd w:val="clear"/>
              <w:wordWrap w:val="0"/>
              <w:spacing w:line="336"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条款号</w:t>
            </w:r>
          </w:p>
        </w:tc>
        <w:tc>
          <w:tcPr>
            <w:tcW w:w="2204" w:type="dxa"/>
            <w:vAlign w:val="center"/>
          </w:tcPr>
          <w:p w14:paraId="3880F9B9">
            <w:pPr>
              <w:shd w:val="clear"/>
              <w:wordWrap w:val="0"/>
              <w:spacing w:line="336"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条款内容</w:t>
            </w:r>
          </w:p>
        </w:tc>
        <w:tc>
          <w:tcPr>
            <w:tcW w:w="7124" w:type="dxa"/>
          </w:tcPr>
          <w:p w14:paraId="5AED78EB">
            <w:pPr>
              <w:shd w:val="clear"/>
              <w:wordWrap w:val="0"/>
              <w:spacing w:line="336"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具体要求</w:t>
            </w:r>
          </w:p>
        </w:tc>
      </w:tr>
      <w:tr w14:paraId="39147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25D5C210">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w:t>
            </w:r>
          </w:p>
        </w:tc>
        <w:tc>
          <w:tcPr>
            <w:tcW w:w="2204" w:type="dxa"/>
            <w:vAlign w:val="center"/>
          </w:tcPr>
          <w:p w14:paraId="1F2A938E">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供应商资格条件</w:t>
            </w:r>
          </w:p>
        </w:tc>
        <w:tc>
          <w:tcPr>
            <w:tcW w:w="7124" w:type="dxa"/>
          </w:tcPr>
          <w:p w14:paraId="31725920">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供应商资格条件要求详见公告。</w:t>
            </w:r>
          </w:p>
        </w:tc>
      </w:tr>
      <w:tr w14:paraId="2B140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6389FAE7">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w:t>
            </w:r>
          </w:p>
        </w:tc>
        <w:tc>
          <w:tcPr>
            <w:tcW w:w="2204" w:type="dxa"/>
            <w:vAlign w:val="center"/>
          </w:tcPr>
          <w:p w14:paraId="5B7CF653">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是否接受联合体响应</w:t>
            </w:r>
          </w:p>
        </w:tc>
        <w:tc>
          <w:tcPr>
            <w:tcW w:w="7124" w:type="dxa"/>
            <w:vAlign w:val="center"/>
          </w:tcPr>
          <w:p w14:paraId="625DA2D8">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不接受联合体响应。</w:t>
            </w:r>
          </w:p>
        </w:tc>
      </w:tr>
      <w:tr w14:paraId="4EE8A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379AE4E8">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w:t>
            </w:r>
          </w:p>
        </w:tc>
        <w:tc>
          <w:tcPr>
            <w:tcW w:w="2204" w:type="dxa"/>
            <w:vAlign w:val="center"/>
          </w:tcPr>
          <w:p w14:paraId="0DC406C9">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联合体响应要求</w:t>
            </w:r>
          </w:p>
        </w:tc>
        <w:tc>
          <w:tcPr>
            <w:tcW w:w="7124" w:type="dxa"/>
            <w:vAlign w:val="center"/>
          </w:tcPr>
          <w:p w14:paraId="0E3D3538">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详见竞争性磋商公告。</w:t>
            </w:r>
          </w:p>
        </w:tc>
      </w:tr>
      <w:tr w14:paraId="0B9B5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1B4B5CBB">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w:t>
            </w:r>
          </w:p>
        </w:tc>
        <w:tc>
          <w:tcPr>
            <w:tcW w:w="2204" w:type="dxa"/>
            <w:vAlign w:val="center"/>
          </w:tcPr>
          <w:p w14:paraId="1E93F01F">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是否允许分包</w:t>
            </w:r>
          </w:p>
        </w:tc>
        <w:tc>
          <w:tcPr>
            <w:tcW w:w="7124" w:type="dxa"/>
            <w:vAlign w:val="center"/>
          </w:tcPr>
          <w:p w14:paraId="6803D38B">
            <w:pPr>
              <w:pStyle w:val="7"/>
              <w:shd w:val="clear"/>
              <w:wordWrap w:val="0"/>
              <w:spacing w:line="336" w:lineRule="auto"/>
              <w:rPr>
                <w:rFonts w:asciiTheme="minorEastAsia" w:hAnsiTheme="minorEastAsia" w:eastAsiaTheme="minorEastAsia" w:cstheme="minorEastAsia"/>
                <w:color w:val="auto"/>
                <w:sz w:val="24"/>
                <w:highlight w:val="none"/>
              </w:rPr>
            </w:pPr>
            <w:bookmarkStart w:id="31" w:name="PO_3000001868_PM044"/>
            <w:r>
              <w:rPr>
                <w:rFonts w:hint="eastAsia" w:asciiTheme="minorEastAsia" w:hAnsiTheme="minorEastAsia" w:eastAsiaTheme="minorEastAsia" w:cstheme="minorEastAsia"/>
                <w:color w:val="auto"/>
                <w:sz w:val="24"/>
                <w:highlight w:val="none"/>
              </w:rPr>
              <w:t>不允许分包</w:t>
            </w:r>
            <w:bookmarkEnd w:id="31"/>
            <w:r>
              <w:rPr>
                <w:rFonts w:hint="eastAsia" w:asciiTheme="minorEastAsia" w:hAnsiTheme="minorEastAsia" w:eastAsiaTheme="minorEastAsia" w:cstheme="minorEastAsia"/>
                <w:color w:val="auto"/>
                <w:sz w:val="24"/>
                <w:highlight w:val="none"/>
              </w:rPr>
              <w:t>。</w:t>
            </w:r>
          </w:p>
        </w:tc>
      </w:tr>
      <w:tr w14:paraId="1B797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2A96E98A">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12.1.1</w:t>
            </w:r>
          </w:p>
        </w:tc>
        <w:tc>
          <w:tcPr>
            <w:tcW w:w="2204" w:type="dxa"/>
            <w:vAlign w:val="center"/>
          </w:tcPr>
          <w:p w14:paraId="3780E524">
            <w:pPr>
              <w:shd w:val="clear"/>
              <w:wordWrap w:val="0"/>
              <w:snapToGrid w:val="0"/>
              <w:spacing w:line="336"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资格证明文件组成</w:t>
            </w:r>
          </w:p>
          <w:p w14:paraId="229AFEFF">
            <w:pPr>
              <w:shd w:val="clear"/>
              <w:wordWrap w:val="0"/>
              <w:spacing w:line="336" w:lineRule="auto"/>
              <w:jc w:val="center"/>
              <w:rPr>
                <w:rFonts w:asciiTheme="minorEastAsia" w:hAnsiTheme="minorEastAsia" w:eastAsiaTheme="minorEastAsia" w:cstheme="minorEastAsia"/>
                <w:color w:val="auto"/>
                <w:sz w:val="24"/>
                <w:highlight w:val="none"/>
              </w:rPr>
            </w:pPr>
          </w:p>
        </w:tc>
        <w:tc>
          <w:tcPr>
            <w:tcW w:w="7124" w:type="dxa"/>
            <w:vAlign w:val="center"/>
          </w:tcPr>
          <w:p w14:paraId="6470D0BB">
            <w:pPr>
              <w:pStyle w:val="7"/>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1.供应商为法人或者其他组织的提供其营业执照等证明文件（如营业执照或者事业单位法人证书或者执业许可证等），供应商为自然人的提供其身份证复印件；（</w:t>
            </w:r>
            <w:r>
              <w:rPr>
                <w:rFonts w:hint="eastAsia" w:asciiTheme="minorEastAsia" w:hAnsiTheme="minorEastAsia" w:eastAsiaTheme="minorEastAsia" w:cstheme="minorEastAsia"/>
                <w:b/>
                <w:color w:val="auto"/>
                <w:sz w:val="24"/>
                <w:highlight w:val="none"/>
              </w:rPr>
              <w:t>必须提供，否则响应文件按无效响应处理</w:t>
            </w:r>
            <w:r>
              <w:rPr>
                <w:rFonts w:hint="eastAsia" w:asciiTheme="minorEastAsia" w:hAnsiTheme="minorEastAsia" w:eastAsiaTheme="minorEastAsia" w:cstheme="minorEastAsia"/>
                <w:color w:val="auto"/>
                <w:sz w:val="24"/>
                <w:highlight w:val="none"/>
              </w:rPr>
              <w:t>）</w:t>
            </w:r>
          </w:p>
          <w:p w14:paraId="16214C22">
            <w:pPr>
              <w:shd w:val="clear"/>
              <w:wordWrap w:val="0"/>
              <w:snapToGrid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2.供应商依法缴纳税收的相关材料：[</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lang w:val="en-US" w:eastAsia="zh-CN"/>
              </w:rPr>
              <w:t>2</w:t>
            </w:r>
            <w:r>
              <w:rPr>
                <w:rFonts w:hint="eastAsia" w:asciiTheme="minorEastAsia" w:hAnsiTheme="minorEastAsia" w:eastAsiaTheme="minorEastAsia" w:cstheme="minorEastAsia"/>
                <w:color w:val="auto"/>
                <w:sz w:val="24"/>
                <w:highlight w:val="none"/>
              </w:rPr>
              <w:t>月至</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lang w:val="en-US" w:eastAsia="zh-CN"/>
              </w:rPr>
              <w:t>7</w:t>
            </w:r>
            <w:r>
              <w:rPr>
                <w:rFonts w:hint="eastAsia" w:asciiTheme="minorEastAsia" w:hAnsiTheme="minorEastAsia" w:eastAsiaTheme="minorEastAsia" w:cstheme="minorEastAsia"/>
                <w:color w:val="auto"/>
                <w:sz w:val="24"/>
                <w:highlight w:val="none"/>
              </w:rPr>
              <w:t>月]连续</w:t>
            </w:r>
            <w:r>
              <w:rPr>
                <w:rFonts w:hint="eastAsia" w:asciiTheme="minorEastAsia" w:hAnsiTheme="minorEastAsia" w:eastAsiaTheme="minorEastAsia" w:cstheme="minorEastAsia"/>
                <w:color w:val="auto"/>
                <w:sz w:val="24"/>
                <w:highlight w:val="none"/>
                <w:u w:val="single"/>
              </w:rPr>
              <w:t xml:space="preserve"> 3</w:t>
            </w:r>
            <w:r>
              <w:rPr>
                <w:rFonts w:hint="eastAsia" w:asciiTheme="minorEastAsia" w:hAnsiTheme="minorEastAsia" w:eastAsiaTheme="minorEastAsia" w:cstheme="minorEastAsia"/>
                <w:color w:val="auto"/>
                <w:sz w:val="24"/>
                <w:highlight w:val="none"/>
              </w:rPr>
              <w:t>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Theme="minorEastAsia" w:hAnsiTheme="minorEastAsia" w:eastAsiaTheme="minorEastAsia" w:cstheme="minorEastAsia"/>
                <w:b/>
                <w:color w:val="auto"/>
                <w:sz w:val="24"/>
                <w:highlight w:val="none"/>
              </w:rPr>
              <w:t>必须提供，否则作无效响应处理</w:t>
            </w:r>
            <w:r>
              <w:rPr>
                <w:rFonts w:hint="eastAsia" w:asciiTheme="minorEastAsia" w:hAnsiTheme="minorEastAsia" w:eastAsiaTheme="minorEastAsia" w:cstheme="minorEastAsia"/>
                <w:color w:val="auto"/>
                <w:sz w:val="24"/>
                <w:highlight w:val="none"/>
              </w:rPr>
              <w:t>）</w:t>
            </w:r>
          </w:p>
          <w:p w14:paraId="0ED23D76">
            <w:pPr>
              <w:shd w:val="clear"/>
              <w:wordWrap w:val="0"/>
              <w:snapToGrid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3.供应商依法缴纳社会保障资金的相关材料：[</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lang w:val="en-US" w:eastAsia="zh-CN"/>
              </w:rPr>
              <w:t>2</w:t>
            </w:r>
            <w:r>
              <w:rPr>
                <w:rFonts w:hint="eastAsia" w:asciiTheme="minorEastAsia" w:hAnsiTheme="minorEastAsia" w:eastAsiaTheme="minorEastAsia" w:cstheme="minorEastAsia"/>
                <w:color w:val="auto"/>
                <w:sz w:val="24"/>
                <w:highlight w:val="none"/>
              </w:rPr>
              <w:t>月至</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lang w:val="en-US" w:eastAsia="zh-CN"/>
              </w:rPr>
              <w:t>7</w:t>
            </w:r>
            <w:r>
              <w:rPr>
                <w:rFonts w:hint="eastAsia" w:asciiTheme="minorEastAsia" w:hAnsiTheme="minorEastAsia" w:eastAsiaTheme="minorEastAsia" w:cstheme="minorEastAsia"/>
                <w:color w:val="auto"/>
                <w:sz w:val="24"/>
                <w:highlight w:val="none"/>
              </w:rPr>
              <w:t>月]连续</w:t>
            </w:r>
            <w:r>
              <w:rPr>
                <w:rFonts w:hint="eastAsia" w:asciiTheme="minorEastAsia" w:hAnsiTheme="minorEastAsia" w:eastAsiaTheme="minorEastAsia" w:cstheme="minorEastAsia"/>
                <w:color w:val="auto"/>
                <w:sz w:val="24"/>
                <w:highlight w:val="none"/>
                <w:u w:val="single"/>
              </w:rPr>
              <w:t>3</w:t>
            </w:r>
            <w:r>
              <w:rPr>
                <w:rFonts w:hint="eastAsia" w:asciiTheme="minorEastAsia" w:hAnsiTheme="minorEastAsia" w:eastAsiaTheme="minorEastAsia" w:cstheme="minorEastAsia"/>
                <w:color w:val="auto"/>
                <w:sz w:val="24"/>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Theme="minorEastAsia" w:hAnsiTheme="minorEastAsia" w:eastAsiaTheme="minorEastAsia" w:cstheme="minorEastAsia"/>
                <w:b/>
                <w:color w:val="auto"/>
                <w:sz w:val="24"/>
                <w:highlight w:val="none"/>
              </w:rPr>
              <w:t>必须提供，否则作无效响应处理</w:t>
            </w:r>
            <w:r>
              <w:rPr>
                <w:rFonts w:hint="eastAsia" w:asciiTheme="minorEastAsia" w:hAnsiTheme="minorEastAsia" w:eastAsiaTheme="minorEastAsia" w:cstheme="minorEastAsia"/>
                <w:color w:val="auto"/>
                <w:sz w:val="24"/>
                <w:highlight w:val="none"/>
              </w:rPr>
              <w:t>）</w:t>
            </w:r>
          </w:p>
          <w:p w14:paraId="4D565681">
            <w:pPr>
              <w:shd w:val="clear"/>
              <w:wordWrap w:val="0"/>
              <w:snapToGrid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4.供应商财务状况报告</w:t>
            </w:r>
            <w:r>
              <w:rPr>
                <w:rFonts w:hint="eastAsia" w:asciiTheme="minorEastAsia" w:hAnsiTheme="minorEastAsia" w:eastAsiaTheme="minorEastAsia" w:cstheme="minorEastAsia"/>
                <w:color w:val="auto"/>
                <w:sz w:val="24"/>
                <w:highlight w:val="none"/>
                <w:lang w:eastAsia="zh-CN"/>
              </w:rPr>
              <w:t>（财务状况报告方面的材料）</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4</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Theme="minorEastAsia" w:hAnsiTheme="minorEastAsia" w:eastAsiaTheme="minorEastAsia" w:cstheme="minorEastAsia"/>
                <w:b/>
                <w:color w:val="auto"/>
                <w:sz w:val="24"/>
                <w:highlight w:val="none"/>
              </w:rPr>
              <w:t>必须提供，否则作无效响应处理</w:t>
            </w:r>
            <w:r>
              <w:rPr>
                <w:rFonts w:hint="eastAsia" w:asciiTheme="minorEastAsia" w:hAnsiTheme="minorEastAsia" w:eastAsiaTheme="minorEastAsia" w:cstheme="minorEastAsia"/>
                <w:color w:val="auto"/>
                <w:sz w:val="24"/>
                <w:highlight w:val="none"/>
              </w:rPr>
              <w:t>）</w:t>
            </w:r>
          </w:p>
          <w:p w14:paraId="07EB01E4">
            <w:pPr>
              <w:shd w:val="clear"/>
              <w:wordWrap w:val="0"/>
              <w:snapToGrid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5.供应商直接控股股东信息</w:t>
            </w:r>
            <w:r>
              <w:rPr>
                <w:rFonts w:hint="eastAsia" w:asciiTheme="minorEastAsia" w:hAnsiTheme="minorEastAsia" w:eastAsiaTheme="minorEastAsia" w:cstheme="minorEastAsia"/>
                <w:color w:val="auto"/>
                <w:sz w:val="24"/>
                <w:highlight w:val="none"/>
                <w:lang w:val="en-US" w:eastAsia="zh-CN"/>
              </w:rPr>
              <w:t>表</w:t>
            </w:r>
            <w:r>
              <w:rPr>
                <w:rFonts w:hint="eastAsia" w:asciiTheme="minorEastAsia" w:hAnsiTheme="minorEastAsia" w:eastAsiaTheme="minorEastAsia" w:cstheme="minorEastAsia"/>
                <w:color w:val="auto"/>
                <w:sz w:val="24"/>
                <w:highlight w:val="none"/>
              </w:rPr>
              <w:t>、供应商直接管理关系信息表；（</w:t>
            </w:r>
            <w:r>
              <w:rPr>
                <w:rFonts w:hint="eastAsia" w:asciiTheme="minorEastAsia" w:hAnsiTheme="minorEastAsia" w:eastAsiaTheme="minorEastAsia" w:cstheme="minorEastAsia"/>
                <w:b/>
                <w:color w:val="auto"/>
                <w:sz w:val="24"/>
                <w:highlight w:val="none"/>
              </w:rPr>
              <w:t>必须提供，否则响应文件按无效响应处理</w:t>
            </w:r>
            <w:r>
              <w:rPr>
                <w:rFonts w:hint="eastAsia" w:asciiTheme="minorEastAsia" w:hAnsiTheme="minorEastAsia" w:eastAsiaTheme="minorEastAsia" w:cstheme="minorEastAsia"/>
                <w:color w:val="auto"/>
                <w:sz w:val="24"/>
                <w:highlight w:val="none"/>
              </w:rPr>
              <w:t>）</w:t>
            </w:r>
          </w:p>
          <w:p w14:paraId="694AA6D4">
            <w:pPr>
              <w:shd w:val="clear"/>
              <w:wordWrap w:val="0"/>
              <w:snapToGrid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6.资格声明；（</w:t>
            </w:r>
            <w:r>
              <w:rPr>
                <w:rFonts w:hint="eastAsia" w:asciiTheme="minorEastAsia" w:hAnsiTheme="minorEastAsia" w:eastAsiaTheme="minorEastAsia" w:cstheme="minorEastAsia"/>
                <w:b/>
                <w:color w:val="auto"/>
                <w:sz w:val="24"/>
                <w:highlight w:val="none"/>
              </w:rPr>
              <w:t>必须提供，否则响应文件按无效响应处理</w:t>
            </w:r>
            <w:r>
              <w:rPr>
                <w:rFonts w:hint="eastAsia" w:asciiTheme="minorEastAsia" w:hAnsiTheme="minorEastAsia" w:eastAsiaTheme="minorEastAsia" w:cstheme="minorEastAsia"/>
                <w:color w:val="auto"/>
                <w:sz w:val="24"/>
                <w:highlight w:val="none"/>
              </w:rPr>
              <w:t>）</w:t>
            </w:r>
          </w:p>
          <w:p w14:paraId="74E0725F">
            <w:pPr>
              <w:shd w:val="clear"/>
              <w:wordWrap w:val="0"/>
              <w:snapToGrid w:val="0"/>
              <w:spacing w:line="336"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rPr>
              <w:t>.中小企业声明函；</w:t>
            </w:r>
            <w:r>
              <w:rPr>
                <w:rFonts w:hint="eastAsia" w:asciiTheme="minorEastAsia" w:hAnsiTheme="minorEastAsia" w:eastAsiaTheme="minorEastAsia" w:cstheme="minorEastAsia"/>
                <w:b/>
                <w:bCs/>
                <w:color w:val="auto"/>
                <w:sz w:val="24"/>
                <w:highlight w:val="none"/>
              </w:rPr>
              <w:t>（供应商应为中小微企业、监狱企业、残疾人福利性单位</w:t>
            </w: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rPr>
              <w:t>必须提供，否则响应文件按无效响应处理）</w:t>
            </w:r>
          </w:p>
          <w:p w14:paraId="5B49FBB7">
            <w:pPr>
              <w:shd w:val="clear"/>
              <w:wordWrap w:val="0"/>
              <w:snapToGrid w:val="0"/>
              <w:spacing w:line="336" w:lineRule="auto"/>
              <w:jc w:val="lef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联合体协议书</w:t>
            </w:r>
            <w:r>
              <w:rPr>
                <w:rFonts w:hint="eastAsia" w:asciiTheme="minorEastAsia" w:hAnsiTheme="minorEastAsia" w:eastAsiaTheme="minorEastAsia" w:cstheme="minorEastAsia"/>
                <w:b/>
                <w:bCs/>
                <w:color w:val="auto"/>
                <w:kern w:val="0"/>
                <w:sz w:val="24"/>
                <w:highlight w:val="none"/>
              </w:rPr>
              <w:t>（</w:t>
            </w:r>
            <w:r>
              <w:rPr>
                <w:rFonts w:hint="eastAsia" w:asciiTheme="minorEastAsia" w:hAnsiTheme="minorEastAsia" w:eastAsiaTheme="minorEastAsia" w:cstheme="minorEastAsia"/>
                <w:b/>
                <w:bCs/>
                <w:color w:val="auto"/>
                <w:sz w:val="24"/>
                <w:highlight w:val="none"/>
              </w:rPr>
              <w:t>以联合体形式响应的，提供联合体协议；本项目不接受联合体响应或者供应商不以联合体形式响应的，则不需要提供</w:t>
            </w:r>
            <w:r>
              <w:rPr>
                <w:rFonts w:hint="eastAsia" w:asciiTheme="minorEastAsia" w:hAnsiTheme="minorEastAsia" w:eastAsiaTheme="minorEastAsia" w:cstheme="minorEastAsia"/>
                <w:b/>
                <w:bCs/>
                <w:color w:val="auto"/>
                <w:kern w:val="0"/>
                <w:sz w:val="24"/>
                <w:highlight w:val="none"/>
              </w:rPr>
              <w:t>）</w:t>
            </w:r>
          </w:p>
          <w:p w14:paraId="0E9C5E98">
            <w:pPr>
              <w:shd w:val="clear"/>
              <w:wordWrap w:val="0"/>
              <w:snapToGrid w:val="0"/>
              <w:spacing w:line="336"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w:t>
            </w:r>
          </w:p>
          <w:p w14:paraId="45591CA6">
            <w:pPr>
              <w:shd w:val="clear"/>
              <w:wordWrap w:val="0"/>
              <w:snapToGrid w:val="0"/>
              <w:spacing w:line="336" w:lineRule="auto"/>
              <w:ind w:firstLine="472" w:firstLineChars="196"/>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1.以上标明“必须提供”的材料属于复印件的扫描件的，必须加盖供应商电子公章，否则响应文件按无效响应处理。</w:t>
            </w:r>
          </w:p>
        </w:tc>
      </w:tr>
      <w:tr w14:paraId="7F4A8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restart"/>
            <w:vAlign w:val="center"/>
          </w:tcPr>
          <w:p w14:paraId="32591758">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12.1.2</w:t>
            </w:r>
          </w:p>
        </w:tc>
        <w:tc>
          <w:tcPr>
            <w:tcW w:w="2204" w:type="dxa"/>
            <w:vAlign w:val="center"/>
          </w:tcPr>
          <w:p w14:paraId="4EF04B96">
            <w:pPr>
              <w:shd w:val="clear"/>
              <w:wordWrap w:val="0"/>
              <w:spacing w:line="336"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商务文件组成</w:t>
            </w:r>
          </w:p>
        </w:tc>
        <w:tc>
          <w:tcPr>
            <w:tcW w:w="7124" w:type="dxa"/>
            <w:vAlign w:val="center"/>
          </w:tcPr>
          <w:p w14:paraId="45C051E1">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1.无串通响应行为的承诺函；（</w:t>
            </w:r>
            <w:r>
              <w:rPr>
                <w:rFonts w:hint="eastAsia" w:asciiTheme="minorEastAsia" w:hAnsiTheme="minorEastAsia" w:eastAsiaTheme="minorEastAsia" w:cstheme="minorEastAsia"/>
                <w:b/>
                <w:color w:val="auto"/>
                <w:sz w:val="24"/>
                <w:highlight w:val="none"/>
              </w:rPr>
              <w:t>必须提供，否则响应文件按无效响应处理</w:t>
            </w:r>
            <w:r>
              <w:rPr>
                <w:rFonts w:hint="eastAsia" w:asciiTheme="minorEastAsia" w:hAnsiTheme="minorEastAsia" w:eastAsiaTheme="minorEastAsia" w:cstheme="minorEastAsia"/>
                <w:color w:val="auto"/>
                <w:sz w:val="24"/>
                <w:highlight w:val="none"/>
              </w:rPr>
              <w:t>）</w:t>
            </w:r>
          </w:p>
          <w:p w14:paraId="15841B78">
            <w:pPr>
              <w:shd w:val="clear"/>
              <w:wordWrap w:val="0"/>
              <w:snapToGrid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2.法定代表人身份证明书及法定代表人有效身份证正反面复印件；（</w:t>
            </w:r>
            <w:r>
              <w:rPr>
                <w:rFonts w:hint="eastAsia" w:asciiTheme="minorEastAsia" w:hAnsiTheme="minorEastAsia" w:eastAsiaTheme="minorEastAsia" w:cstheme="minorEastAsia"/>
                <w:b/>
                <w:bCs/>
                <w:color w:val="auto"/>
                <w:sz w:val="24"/>
                <w:highlight w:val="none"/>
              </w:rPr>
              <w:t>除自然人响应外</w:t>
            </w:r>
            <w:r>
              <w:rPr>
                <w:rFonts w:hint="eastAsia" w:asciiTheme="minorEastAsia" w:hAnsiTheme="minorEastAsia" w:eastAsiaTheme="minorEastAsia" w:cstheme="minorEastAsia"/>
                <w:b/>
                <w:color w:val="auto"/>
                <w:sz w:val="24"/>
                <w:highlight w:val="none"/>
              </w:rPr>
              <w:t>必须提供，否则响应文件按无效响应处理</w:t>
            </w:r>
            <w:r>
              <w:rPr>
                <w:rFonts w:hint="eastAsia" w:asciiTheme="minorEastAsia" w:hAnsiTheme="minorEastAsia" w:eastAsiaTheme="minorEastAsia" w:cstheme="minorEastAsia"/>
                <w:color w:val="auto"/>
                <w:sz w:val="24"/>
                <w:highlight w:val="none"/>
              </w:rPr>
              <w:t>）</w:t>
            </w:r>
          </w:p>
          <w:p w14:paraId="1510A933">
            <w:pPr>
              <w:shd w:val="clear"/>
              <w:wordWrap w:val="0"/>
              <w:spacing w:line="336"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3.法定代表人授权委托书及委托代理人有效身份证正反面复印件；（</w:t>
            </w:r>
            <w:r>
              <w:rPr>
                <w:rFonts w:hint="eastAsia" w:asciiTheme="minorEastAsia" w:hAnsiTheme="minorEastAsia" w:eastAsiaTheme="minorEastAsia" w:cstheme="minorEastAsia"/>
                <w:b/>
                <w:color w:val="auto"/>
                <w:sz w:val="24"/>
                <w:highlight w:val="none"/>
              </w:rPr>
              <w:t>委托时必须提供，否则响应文件按无效响应处理</w:t>
            </w:r>
            <w:r>
              <w:rPr>
                <w:rFonts w:hint="eastAsia" w:asciiTheme="minorEastAsia" w:hAnsiTheme="minorEastAsia" w:eastAsiaTheme="minorEastAsia" w:cstheme="minorEastAsia"/>
                <w:color w:val="auto"/>
                <w:sz w:val="24"/>
                <w:highlight w:val="none"/>
              </w:rPr>
              <w:t>）</w:t>
            </w:r>
          </w:p>
          <w:p w14:paraId="29FA83BA">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4.商务条款偏离表；（</w:t>
            </w:r>
            <w:r>
              <w:rPr>
                <w:rFonts w:hint="eastAsia" w:asciiTheme="minorEastAsia" w:hAnsiTheme="minorEastAsia" w:eastAsiaTheme="minorEastAsia" w:cstheme="minorEastAsia"/>
                <w:b/>
                <w:color w:val="auto"/>
                <w:sz w:val="24"/>
                <w:highlight w:val="none"/>
              </w:rPr>
              <w:t>必须提供，否则响应文件按无效响应处理</w:t>
            </w:r>
            <w:r>
              <w:rPr>
                <w:rFonts w:hint="eastAsia" w:asciiTheme="minorEastAsia" w:hAnsiTheme="minorEastAsia" w:eastAsiaTheme="minorEastAsia" w:cstheme="minorEastAsia"/>
                <w:color w:val="auto"/>
                <w:sz w:val="24"/>
                <w:highlight w:val="none"/>
              </w:rPr>
              <w:t>）</w:t>
            </w:r>
          </w:p>
          <w:p w14:paraId="67736F44">
            <w:pPr>
              <w:shd w:val="clear"/>
              <w:wordWrap w:val="0"/>
              <w:spacing w:line="336"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5.磋商供应商情况介绍；</w:t>
            </w:r>
            <w:r>
              <w:rPr>
                <w:rFonts w:hint="eastAsia" w:asciiTheme="minorEastAsia" w:hAnsiTheme="minorEastAsia" w:eastAsiaTheme="minorEastAsia" w:cstheme="minorEastAsia"/>
                <w:b/>
                <w:bCs/>
                <w:color w:val="auto"/>
                <w:sz w:val="24"/>
                <w:highlight w:val="none"/>
              </w:rPr>
              <w:t>（如有请提供）</w:t>
            </w:r>
          </w:p>
          <w:p w14:paraId="5E3A94ED">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6.供应商认为需要提供的其他有关资料。</w:t>
            </w:r>
            <w:r>
              <w:rPr>
                <w:rFonts w:hint="eastAsia" w:asciiTheme="minorEastAsia" w:hAnsiTheme="minorEastAsia" w:eastAsiaTheme="minorEastAsia" w:cstheme="minorEastAsia"/>
                <w:b/>
                <w:bCs/>
                <w:color w:val="auto"/>
                <w:sz w:val="24"/>
                <w:highlight w:val="none"/>
              </w:rPr>
              <w:t>（如有请提供）</w:t>
            </w:r>
          </w:p>
          <w:p w14:paraId="78EFF152">
            <w:pPr>
              <w:shd w:val="clear"/>
              <w:wordWrap w:val="0"/>
              <w:snapToGrid w:val="0"/>
              <w:spacing w:line="336"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注： </w:t>
            </w:r>
          </w:p>
          <w:p w14:paraId="276788B6">
            <w:pPr>
              <w:shd w:val="clear"/>
              <w:wordWrap w:val="0"/>
              <w:snapToGrid w:val="0"/>
              <w:spacing w:line="336" w:lineRule="auto"/>
              <w:ind w:firstLine="472" w:firstLineChars="196"/>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1.法定代表人授权委托书必须由法定代表人及委托代理人签字，并加盖供应商公章，否则响应文件按无效响应处理。</w:t>
            </w:r>
          </w:p>
          <w:p w14:paraId="6FD29952">
            <w:pPr>
              <w:shd w:val="clear"/>
              <w:wordWrap w:val="0"/>
              <w:spacing w:line="336" w:lineRule="auto"/>
              <w:ind w:firstLine="472" w:firstLineChars="196"/>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2.以上标明“必须提供”的材料属于复印件的扫描件的，必须加盖供应商电子公章，否则响应文件按无效响应处理。</w:t>
            </w:r>
          </w:p>
        </w:tc>
      </w:tr>
      <w:tr w14:paraId="18921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continue"/>
            <w:vAlign w:val="center"/>
          </w:tcPr>
          <w:p w14:paraId="2C4D4A3C">
            <w:pPr>
              <w:shd w:val="clear"/>
              <w:wordWrap w:val="0"/>
              <w:spacing w:line="336" w:lineRule="auto"/>
              <w:jc w:val="center"/>
              <w:rPr>
                <w:rFonts w:asciiTheme="minorEastAsia" w:hAnsiTheme="minorEastAsia" w:eastAsiaTheme="minorEastAsia" w:cstheme="minorEastAsia"/>
                <w:color w:val="auto"/>
                <w:sz w:val="24"/>
                <w:highlight w:val="none"/>
              </w:rPr>
            </w:pPr>
          </w:p>
        </w:tc>
        <w:tc>
          <w:tcPr>
            <w:tcW w:w="2204" w:type="dxa"/>
            <w:vAlign w:val="center"/>
          </w:tcPr>
          <w:p w14:paraId="5293B5D8">
            <w:pPr>
              <w:shd w:val="clear"/>
              <w:wordWrap w:val="0"/>
              <w:spacing w:line="336"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技术文件组成</w:t>
            </w:r>
          </w:p>
        </w:tc>
        <w:tc>
          <w:tcPr>
            <w:tcW w:w="7124" w:type="dxa"/>
            <w:vAlign w:val="center"/>
          </w:tcPr>
          <w:p w14:paraId="40700F75">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1.服务需求偏离表；（</w:t>
            </w:r>
            <w:r>
              <w:rPr>
                <w:rFonts w:hint="eastAsia" w:asciiTheme="minorEastAsia" w:hAnsiTheme="minorEastAsia" w:eastAsiaTheme="minorEastAsia" w:cstheme="minorEastAsia"/>
                <w:b/>
                <w:color w:val="auto"/>
                <w:sz w:val="24"/>
                <w:highlight w:val="none"/>
              </w:rPr>
              <w:t>必须提供，否则响应文件按无效响应处理</w:t>
            </w:r>
            <w:r>
              <w:rPr>
                <w:rFonts w:hint="eastAsia" w:asciiTheme="minorEastAsia" w:hAnsiTheme="minorEastAsia" w:eastAsiaTheme="minorEastAsia" w:cstheme="minorEastAsia"/>
                <w:color w:val="auto"/>
                <w:sz w:val="24"/>
                <w:highlight w:val="none"/>
              </w:rPr>
              <w:t>）</w:t>
            </w:r>
          </w:p>
          <w:p w14:paraId="47A76463">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2.组织服务方案；</w:t>
            </w:r>
            <w:r>
              <w:rPr>
                <w:rFonts w:hint="eastAsia" w:asciiTheme="minorEastAsia" w:hAnsiTheme="minorEastAsia" w:eastAsiaTheme="minorEastAsia" w:cstheme="minorEastAsia"/>
                <w:b/>
                <w:bCs/>
                <w:color w:val="auto"/>
                <w:sz w:val="24"/>
                <w:highlight w:val="none"/>
              </w:rPr>
              <w:t>（如有请提供）</w:t>
            </w:r>
          </w:p>
          <w:p w14:paraId="614376F7">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3.售后服务承诺；（</w:t>
            </w:r>
            <w:r>
              <w:rPr>
                <w:rFonts w:hint="eastAsia" w:asciiTheme="minorEastAsia" w:hAnsiTheme="minorEastAsia" w:eastAsiaTheme="minorEastAsia" w:cstheme="minorEastAsia"/>
                <w:b/>
                <w:color w:val="auto"/>
                <w:sz w:val="24"/>
                <w:highlight w:val="none"/>
              </w:rPr>
              <w:t>必须提供，否则响应文件按无效响应处理</w:t>
            </w:r>
            <w:r>
              <w:rPr>
                <w:rFonts w:hint="eastAsia" w:asciiTheme="minorEastAsia" w:hAnsiTheme="minorEastAsia" w:eastAsiaTheme="minorEastAsia" w:cstheme="minorEastAsia"/>
                <w:color w:val="auto"/>
                <w:sz w:val="24"/>
                <w:highlight w:val="none"/>
              </w:rPr>
              <w:t>）</w:t>
            </w:r>
          </w:p>
          <w:p w14:paraId="68A41310">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4.项目实施人员一览表； </w:t>
            </w:r>
            <w:r>
              <w:rPr>
                <w:rFonts w:hint="eastAsia" w:asciiTheme="minorEastAsia" w:hAnsiTheme="minorEastAsia" w:eastAsiaTheme="minorEastAsia" w:cstheme="minorEastAsia"/>
                <w:b/>
                <w:bCs/>
                <w:color w:val="auto"/>
                <w:sz w:val="24"/>
                <w:highlight w:val="none"/>
              </w:rPr>
              <w:t>（如有请提供）</w:t>
            </w:r>
          </w:p>
          <w:p w14:paraId="5DAE2804">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5.对应采购需求的服务需求、商务条款提供的其他文件资料；</w:t>
            </w:r>
            <w:r>
              <w:rPr>
                <w:rFonts w:hint="eastAsia" w:asciiTheme="minorEastAsia" w:hAnsiTheme="minorEastAsia" w:eastAsiaTheme="minorEastAsia" w:cstheme="minorEastAsia"/>
                <w:b/>
                <w:bCs/>
                <w:color w:val="auto"/>
                <w:sz w:val="24"/>
                <w:highlight w:val="none"/>
              </w:rPr>
              <w:t>（如有请提供）</w:t>
            </w:r>
          </w:p>
          <w:p w14:paraId="5159126C">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6.供应商认为需要提供的其他有关资料。</w:t>
            </w:r>
            <w:r>
              <w:rPr>
                <w:rFonts w:hint="eastAsia" w:asciiTheme="minorEastAsia" w:hAnsiTheme="minorEastAsia" w:eastAsiaTheme="minorEastAsia" w:cstheme="minorEastAsia"/>
                <w:b/>
                <w:bCs/>
                <w:color w:val="auto"/>
                <w:sz w:val="24"/>
                <w:highlight w:val="none"/>
              </w:rPr>
              <w:t>（如有请提供）</w:t>
            </w:r>
          </w:p>
          <w:p w14:paraId="1C49E075">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注：1.以上标明“必须提供”的材料属于复印件的扫描件的，必须加盖供应商电子公章，否则响应文件按无效响应处理。</w:t>
            </w:r>
          </w:p>
        </w:tc>
      </w:tr>
      <w:tr w14:paraId="07E34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0FBFD3BA">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12.1.2</w:t>
            </w:r>
          </w:p>
        </w:tc>
        <w:tc>
          <w:tcPr>
            <w:tcW w:w="2204" w:type="dxa"/>
            <w:vAlign w:val="center"/>
          </w:tcPr>
          <w:p w14:paraId="25A76CFB">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报价文件组成</w:t>
            </w:r>
          </w:p>
        </w:tc>
        <w:tc>
          <w:tcPr>
            <w:tcW w:w="7124" w:type="dxa"/>
            <w:vAlign w:val="center"/>
          </w:tcPr>
          <w:p w14:paraId="07B5D56C">
            <w:pPr>
              <w:shd w:val="clear"/>
              <w:wordWrap w:val="0"/>
              <w:spacing w:line="336" w:lineRule="auto"/>
              <w:ind w:left="17" w:hanging="16" w:hangingChars="7"/>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1.响应函；</w:t>
            </w:r>
            <w:r>
              <w:rPr>
                <w:rFonts w:hint="eastAsia" w:asciiTheme="minorEastAsia" w:hAnsiTheme="minorEastAsia" w:eastAsiaTheme="minorEastAsia" w:cstheme="minorEastAsia"/>
                <w:b/>
                <w:bCs/>
                <w:color w:val="auto"/>
                <w:sz w:val="24"/>
                <w:highlight w:val="none"/>
              </w:rPr>
              <w:t>（必须提供，否则作无效响应处理）</w:t>
            </w:r>
          </w:p>
          <w:p w14:paraId="78101D3E">
            <w:pPr>
              <w:shd w:val="clear"/>
              <w:wordWrap w:val="0"/>
              <w:spacing w:line="336" w:lineRule="auto"/>
              <w:ind w:left="17" w:hanging="16" w:hangingChars="7"/>
              <w:rPr>
                <w:color w:val="auto"/>
                <w:highlight w:val="none"/>
              </w:rPr>
            </w:pPr>
            <w:r>
              <w:rPr>
                <w:rFonts w:hint="eastAsia" w:asciiTheme="minorEastAsia" w:hAnsiTheme="minorEastAsia" w:eastAsiaTheme="minorEastAsia" w:cstheme="minorEastAsia"/>
                <w:color w:val="auto"/>
                <w:sz w:val="24"/>
                <w:highlight w:val="none"/>
              </w:rPr>
              <w:t>2.响应报价表；</w:t>
            </w:r>
            <w:r>
              <w:rPr>
                <w:rFonts w:hint="eastAsia" w:asciiTheme="minorEastAsia" w:hAnsiTheme="minorEastAsia" w:eastAsiaTheme="minorEastAsia" w:cstheme="minorEastAsia"/>
                <w:b/>
                <w:bCs/>
                <w:color w:val="auto"/>
                <w:sz w:val="24"/>
                <w:highlight w:val="none"/>
              </w:rPr>
              <w:t>（必须提供，否则响应文件按无效响应处理）</w:t>
            </w:r>
          </w:p>
        </w:tc>
      </w:tr>
      <w:tr w14:paraId="293FA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11101B27">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12.2</w:t>
            </w:r>
          </w:p>
        </w:tc>
        <w:tc>
          <w:tcPr>
            <w:tcW w:w="2204" w:type="dxa"/>
            <w:vAlign w:val="center"/>
          </w:tcPr>
          <w:p w14:paraId="2CB9B31A">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响应文件电子版要求</w:t>
            </w:r>
          </w:p>
        </w:tc>
        <w:tc>
          <w:tcPr>
            <w:tcW w:w="7124" w:type="dxa"/>
            <w:vAlign w:val="center"/>
          </w:tcPr>
          <w:p w14:paraId="283F9A18">
            <w:pPr>
              <w:shd w:val="clear"/>
              <w:wordWrap w:val="0"/>
              <w:snapToGrid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1.响应文件电子版要求：按照本采购文件“第五章 响应文件格式”编写（第五章未附格式的，由供应商自行拟定），不可涂改并在规定加盖公章处加盖电子公章，</w:t>
            </w:r>
            <w:r>
              <w:rPr>
                <w:rFonts w:hint="eastAsia" w:asciiTheme="minorEastAsia" w:hAnsiTheme="minorEastAsia" w:eastAsiaTheme="minorEastAsia" w:cstheme="minorEastAsia"/>
                <w:b/>
                <w:color w:val="auto"/>
                <w:sz w:val="24"/>
                <w:highlight w:val="none"/>
              </w:rPr>
              <w:t>否则响应文件按无效响应处理</w:t>
            </w:r>
            <w:r>
              <w:rPr>
                <w:rFonts w:hint="eastAsia" w:asciiTheme="minorEastAsia" w:hAnsiTheme="minorEastAsia" w:eastAsiaTheme="minorEastAsia" w:cstheme="minorEastAsia"/>
                <w:color w:val="auto"/>
                <w:sz w:val="24"/>
                <w:highlight w:val="none"/>
              </w:rPr>
              <w:t>。</w:t>
            </w:r>
          </w:p>
          <w:p w14:paraId="0BAEC5CB">
            <w:pPr>
              <w:shd w:val="clear"/>
              <w:wordWrap w:val="0"/>
              <w:snapToGrid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2.响应文件电子版密封方式：电子响应文件通过平台有效CA加密后在</w:t>
            </w:r>
            <w:r>
              <w:rPr>
                <w:rFonts w:hint="eastAsia" w:asciiTheme="minorEastAsia" w:hAnsiTheme="minorEastAsia" w:eastAsiaTheme="minorEastAsia" w:cstheme="minorEastAsia"/>
                <w:color w:val="auto"/>
                <w:sz w:val="24"/>
                <w:highlight w:val="none"/>
                <w:lang w:eastAsia="zh-CN"/>
              </w:rPr>
              <w:t>“广西政府采购云平台”</w:t>
            </w:r>
            <w:r>
              <w:rPr>
                <w:rFonts w:hint="eastAsia" w:asciiTheme="minorEastAsia" w:hAnsiTheme="minorEastAsia" w:eastAsiaTheme="minorEastAsia" w:cstheme="minorEastAsia"/>
                <w:color w:val="auto"/>
                <w:sz w:val="24"/>
                <w:highlight w:val="none"/>
              </w:rPr>
              <w:t>平台投送。（操作方式见公告附件“电子响应文件制作与投送教程” ）</w:t>
            </w:r>
          </w:p>
        </w:tc>
      </w:tr>
      <w:tr w14:paraId="01F4B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632C6EFC">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15.2</w:t>
            </w:r>
          </w:p>
        </w:tc>
        <w:tc>
          <w:tcPr>
            <w:tcW w:w="2204" w:type="dxa"/>
            <w:vAlign w:val="center"/>
          </w:tcPr>
          <w:p w14:paraId="0C143C28">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响应报价要求</w:t>
            </w:r>
          </w:p>
        </w:tc>
        <w:tc>
          <w:tcPr>
            <w:tcW w:w="7124" w:type="dxa"/>
            <w:vAlign w:val="center"/>
          </w:tcPr>
          <w:p w14:paraId="10E68E36">
            <w:pPr>
              <w:shd w:val="clear"/>
              <w:wordWrap w:val="0"/>
              <w:snapToGrid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报价必须包含满足本次响应全部采购需求所应提供的服务，以及伴随的货物和工程（如有）的价格；包含响应服务、货物、工程的成本、运输（含保险）、安装（如有）、调试、检验、技术服务、培训、税费等所有费用。</w:t>
            </w:r>
            <w:r>
              <w:rPr>
                <w:rFonts w:hint="eastAsia" w:asciiTheme="minorEastAsia" w:hAnsiTheme="minorEastAsia" w:eastAsiaTheme="minorEastAsia" w:cstheme="minorEastAsia"/>
                <w:b/>
                <w:color w:val="auto"/>
                <w:sz w:val="24"/>
                <w:highlight w:val="none"/>
              </w:rPr>
              <w:t>（采购需求另有约定的，从其约定。）</w:t>
            </w:r>
          </w:p>
        </w:tc>
      </w:tr>
      <w:tr w14:paraId="00596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7776A68A">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w:t>
            </w:r>
          </w:p>
        </w:tc>
        <w:tc>
          <w:tcPr>
            <w:tcW w:w="2204" w:type="dxa"/>
            <w:vAlign w:val="center"/>
          </w:tcPr>
          <w:p w14:paraId="1654A8AF">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响应有效期</w:t>
            </w:r>
          </w:p>
        </w:tc>
        <w:tc>
          <w:tcPr>
            <w:tcW w:w="7124" w:type="dxa"/>
            <w:vAlign w:val="center"/>
          </w:tcPr>
          <w:p w14:paraId="5C5ED4CA">
            <w:pPr>
              <w:pStyle w:val="5"/>
              <w:numPr>
                <w:ilvl w:val="0"/>
                <w:numId w:val="0"/>
              </w:numPr>
              <w:shd w:val="clear"/>
              <w:tabs>
                <w:tab w:val="left" w:pos="720"/>
                <w:tab w:val="left" w:pos="840"/>
              </w:tabs>
              <w:wordWrap w:val="0"/>
              <w:snapToGrid w:val="0"/>
              <w:spacing w:line="336" w:lineRule="auto"/>
              <w:ind w:left="-283" w:leftChars="-135"/>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自首次响应文件提交截止之日起</w:t>
            </w:r>
            <w:bookmarkStart w:id="32" w:name="PO_3000001868_PM046"/>
            <w:r>
              <w:rPr>
                <w:rFonts w:hint="eastAsia" w:asciiTheme="minorEastAsia" w:hAnsiTheme="minorEastAsia" w:eastAsiaTheme="minorEastAsia" w:cstheme="minorEastAsia"/>
                <w:color w:val="auto"/>
                <w:sz w:val="24"/>
                <w:highlight w:val="none"/>
                <w:u w:val="single"/>
              </w:rPr>
              <w:t xml:space="preserve"> 60</w:t>
            </w:r>
            <w:bookmarkEnd w:id="32"/>
            <w:r>
              <w:rPr>
                <w:rFonts w:hint="eastAsia" w:asciiTheme="minorEastAsia" w:hAnsiTheme="minorEastAsia" w:eastAsiaTheme="minorEastAsia" w:cstheme="minorEastAsia"/>
                <w:color w:val="auto"/>
                <w:sz w:val="24"/>
                <w:highlight w:val="none"/>
              </w:rPr>
              <w:t>日历日。</w:t>
            </w:r>
          </w:p>
        </w:tc>
      </w:tr>
      <w:tr w14:paraId="45A67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63D832FB">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w:t>
            </w:r>
          </w:p>
        </w:tc>
        <w:tc>
          <w:tcPr>
            <w:tcW w:w="2204" w:type="dxa"/>
            <w:vAlign w:val="center"/>
          </w:tcPr>
          <w:p w14:paraId="5767D4E2">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磋商保证金</w:t>
            </w:r>
          </w:p>
        </w:tc>
        <w:tc>
          <w:tcPr>
            <w:tcW w:w="7124" w:type="dxa"/>
            <w:vAlign w:val="center"/>
          </w:tcPr>
          <w:p w14:paraId="39CC2C9C">
            <w:pPr>
              <w:shd w:val="clear"/>
              <w:wordWrap w:val="0"/>
              <w:autoSpaceDE w:val="0"/>
              <w:autoSpaceDN w:val="0"/>
              <w:snapToGrid w:val="0"/>
              <w:spacing w:line="336" w:lineRule="auto"/>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本项目不收取磋商保证金。</w:t>
            </w:r>
          </w:p>
        </w:tc>
      </w:tr>
      <w:tr w14:paraId="76AFF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36" w:type="dxa"/>
            <w:vMerge w:val="restart"/>
            <w:vAlign w:val="center"/>
          </w:tcPr>
          <w:p w14:paraId="108086C9">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20.1</w:t>
            </w:r>
          </w:p>
        </w:tc>
        <w:tc>
          <w:tcPr>
            <w:tcW w:w="2204" w:type="dxa"/>
            <w:vAlign w:val="center"/>
          </w:tcPr>
          <w:p w14:paraId="311DBA55">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首次响应文件提交起止时间</w:t>
            </w:r>
          </w:p>
        </w:tc>
        <w:tc>
          <w:tcPr>
            <w:tcW w:w="7124" w:type="dxa"/>
            <w:vAlign w:val="center"/>
          </w:tcPr>
          <w:p w14:paraId="63C6E15C">
            <w:pPr>
              <w:shd w:val="clear"/>
              <w:wordWrap w:val="0"/>
              <w:snapToGrid w:val="0"/>
              <w:spacing w:line="336" w:lineRule="auto"/>
              <w:jc w:val="left"/>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详见竞争性磋商公告。</w:t>
            </w:r>
          </w:p>
        </w:tc>
      </w:tr>
      <w:tr w14:paraId="25EF2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036" w:type="dxa"/>
            <w:vMerge w:val="continue"/>
            <w:vAlign w:val="center"/>
          </w:tcPr>
          <w:p w14:paraId="478921BB">
            <w:pPr>
              <w:shd w:val="clear"/>
              <w:wordWrap w:val="0"/>
              <w:spacing w:line="336" w:lineRule="auto"/>
              <w:jc w:val="center"/>
              <w:rPr>
                <w:rFonts w:asciiTheme="minorEastAsia" w:hAnsiTheme="minorEastAsia" w:eastAsiaTheme="minorEastAsia" w:cstheme="minorEastAsia"/>
                <w:color w:val="auto"/>
                <w:sz w:val="24"/>
                <w:highlight w:val="none"/>
              </w:rPr>
            </w:pPr>
          </w:p>
        </w:tc>
        <w:tc>
          <w:tcPr>
            <w:tcW w:w="2204" w:type="dxa"/>
            <w:vAlign w:val="center"/>
          </w:tcPr>
          <w:p w14:paraId="3630C630">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首次响应文件提交地点</w:t>
            </w:r>
          </w:p>
        </w:tc>
        <w:tc>
          <w:tcPr>
            <w:tcW w:w="7124" w:type="dxa"/>
            <w:vAlign w:val="center"/>
          </w:tcPr>
          <w:p w14:paraId="0935B9E1">
            <w:pPr>
              <w:shd w:val="clear"/>
              <w:wordWrap w:val="0"/>
              <w:snapToGrid w:val="0"/>
              <w:spacing w:line="336" w:lineRule="auto"/>
              <w:jc w:val="left"/>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详见竞争性磋商公告。</w:t>
            </w:r>
          </w:p>
        </w:tc>
      </w:tr>
      <w:tr w14:paraId="41267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036" w:type="dxa"/>
            <w:vAlign w:val="center"/>
          </w:tcPr>
          <w:p w14:paraId="7953EAAD">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20.6</w:t>
            </w:r>
          </w:p>
        </w:tc>
        <w:tc>
          <w:tcPr>
            <w:tcW w:w="2204" w:type="dxa"/>
            <w:vAlign w:val="center"/>
          </w:tcPr>
          <w:p w14:paraId="1DF789F5">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备份响应文件</w:t>
            </w:r>
          </w:p>
        </w:tc>
        <w:tc>
          <w:tcPr>
            <w:tcW w:w="7124" w:type="dxa"/>
            <w:vAlign w:val="center"/>
          </w:tcPr>
          <w:p w14:paraId="33EF50BB">
            <w:pPr>
              <w:shd w:val="clear"/>
              <w:wordWrap w:val="0"/>
              <w:snapToGrid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本项目不接受备份响应文件。</w:t>
            </w:r>
          </w:p>
        </w:tc>
      </w:tr>
      <w:tr w14:paraId="58823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036" w:type="dxa"/>
            <w:vAlign w:val="center"/>
          </w:tcPr>
          <w:p w14:paraId="70FB8B66">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w:t>
            </w:r>
          </w:p>
        </w:tc>
        <w:tc>
          <w:tcPr>
            <w:tcW w:w="2204" w:type="dxa"/>
            <w:vAlign w:val="center"/>
          </w:tcPr>
          <w:p w14:paraId="143A6B8A">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首次响应文件的退回</w:t>
            </w:r>
          </w:p>
        </w:tc>
        <w:tc>
          <w:tcPr>
            <w:tcW w:w="7124" w:type="dxa"/>
            <w:vAlign w:val="center"/>
          </w:tcPr>
          <w:p w14:paraId="6F8F4B3B">
            <w:pPr>
              <w:shd w:val="clear"/>
              <w:wordWrap w:val="0"/>
              <w:snapToGrid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详见竞争性磋商公告。</w:t>
            </w:r>
          </w:p>
        </w:tc>
      </w:tr>
      <w:tr w14:paraId="7BC0F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036" w:type="dxa"/>
            <w:vMerge w:val="restart"/>
            <w:vAlign w:val="center"/>
          </w:tcPr>
          <w:p w14:paraId="7C7EE3A1">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w:t>
            </w:r>
          </w:p>
        </w:tc>
        <w:tc>
          <w:tcPr>
            <w:tcW w:w="2204" w:type="dxa"/>
            <w:vAlign w:val="center"/>
          </w:tcPr>
          <w:p w14:paraId="1BCE7339">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负偏离要求</w:t>
            </w:r>
          </w:p>
        </w:tc>
        <w:tc>
          <w:tcPr>
            <w:tcW w:w="7124" w:type="dxa"/>
            <w:vAlign w:val="center"/>
          </w:tcPr>
          <w:p w14:paraId="2993C266">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商务条款评审中允许负偏离的条款数为</w:t>
            </w:r>
            <w:r>
              <w:rPr>
                <w:rFonts w:hint="eastAsia" w:asciiTheme="minorEastAsia" w:hAnsiTheme="minorEastAsia" w:eastAsiaTheme="minorEastAsia" w:cstheme="minorEastAsia"/>
                <w:color w:val="auto"/>
                <w:sz w:val="24"/>
                <w:highlight w:val="none"/>
                <w:u w:val="single"/>
              </w:rPr>
              <w:t xml:space="preserve"> 0 </w:t>
            </w:r>
            <w:r>
              <w:rPr>
                <w:rFonts w:hint="eastAsia" w:asciiTheme="minorEastAsia" w:hAnsiTheme="minorEastAsia" w:eastAsiaTheme="minorEastAsia" w:cstheme="minorEastAsia"/>
                <w:color w:val="auto"/>
                <w:sz w:val="24"/>
                <w:highlight w:val="none"/>
              </w:rPr>
              <w:t>项。</w:t>
            </w:r>
          </w:p>
          <w:p w14:paraId="15F314C9">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服务需求评审中允许负偏离的条款数为</w:t>
            </w:r>
            <w:r>
              <w:rPr>
                <w:rFonts w:hint="eastAsia" w:asciiTheme="minorEastAsia" w:hAnsiTheme="minorEastAsia" w:eastAsiaTheme="minorEastAsia" w:cstheme="minorEastAsia"/>
                <w:color w:val="auto"/>
                <w:sz w:val="24"/>
                <w:highlight w:val="none"/>
                <w:u w:val="single"/>
              </w:rPr>
              <w:t xml:space="preserve"> 0 </w:t>
            </w:r>
            <w:r>
              <w:rPr>
                <w:rFonts w:hint="eastAsia" w:asciiTheme="minorEastAsia" w:hAnsiTheme="minorEastAsia" w:eastAsiaTheme="minorEastAsia" w:cstheme="minorEastAsia"/>
                <w:color w:val="auto"/>
                <w:sz w:val="24"/>
                <w:highlight w:val="none"/>
              </w:rPr>
              <w:t>项。</w:t>
            </w:r>
          </w:p>
        </w:tc>
      </w:tr>
      <w:tr w14:paraId="29D95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continue"/>
            <w:vAlign w:val="center"/>
          </w:tcPr>
          <w:p w14:paraId="79C4762F">
            <w:pPr>
              <w:shd w:val="clear"/>
              <w:wordWrap w:val="0"/>
              <w:spacing w:line="336" w:lineRule="auto"/>
              <w:jc w:val="center"/>
              <w:rPr>
                <w:rFonts w:asciiTheme="minorEastAsia" w:hAnsiTheme="minorEastAsia" w:eastAsiaTheme="minorEastAsia" w:cstheme="minorEastAsia"/>
                <w:color w:val="auto"/>
                <w:sz w:val="24"/>
                <w:highlight w:val="none"/>
              </w:rPr>
            </w:pPr>
          </w:p>
        </w:tc>
        <w:tc>
          <w:tcPr>
            <w:tcW w:w="2204" w:type="dxa"/>
            <w:vAlign w:val="center"/>
          </w:tcPr>
          <w:p w14:paraId="58642487">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磋商的顺序</w:t>
            </w:r>
          </w:p>
          <w:p w14:paraId="634C38A8">
            <w:pPr>
              <w:shd w:val="clear"/>
              <w:wordWrap w:val="0"/>
              <w:spacing w:line="336" w:lineRule="auto"/>
              <w:jc w:val="center"/>
              <w:rPr>
                <w:rFonts w:asciiTheme="minorEastAsia" w:hAnsiTheme="minorEastAsia" w:eastAsiaTheme="minorEastAsia" w:cstheme="minorEastAsia"/>
                <w:color w:val="auto"/>
                <w:sz w:val="24"/>
                <w:highlight w:val="none"/>
              </w:rPr>
            </w:pPr>
          </w:p>
        </w:tc>
        <w:tc>
          <w:tcPr>
            <w:tcW w:w="7124" w:type="dxa"/>
            <w:vAlign w:val="center"/>
          </w:tcPr>
          <w:p w14:paraId="10056CA6">
            <w:pPr>
              <w:pStyle w:val="7"/>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☑按照提交首次响应文件的顺序，通知磋商时，若某供应商不在通知现场时，该供应商排序到最后磋商，按照签到的顺序由其下一位供应商先参与磋商。</w:t>
            </w:r>
          </w:p>
          <w:p w14:paraId="17791825">
            <w:pPr>
              <w:shd w:val="clear"/>
              <w:wordWrap w:val="0"/>
              <w:snapToGrid w:val="0"/>
              <w:spacing w:line="336"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□随机排序。</w:t>
            </w:r>
          </w:p>
        </w:tc>
      </w:tr>
      <w:tr w14:paraId="585E1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5B18479E">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w:t>
            </w:r>
          </w:p>
        </w:tc>
        <w:tc>
          <w:tcPr>
            <w:tcW w:w="2204" w:type="dxa"/>
            <w:vAlign w:val="center"/>
          </w:tcPr>
          <w:p w14:paraId="011BB87F">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履约保证金</w:t>
            </w:r>
          </w:p>
        </w:tc>
        <w:tc>
          <w:tcPr>
            <w:tcW w:w="7124" w:type="dxa"/>
            <w:vAlign w:val="center"/>
          </w:tcPr>
          <w:p w14:paraId="3DAC6E48">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本项目不收取履约保证金 </w:t>
            </w:r>
          </w:p>
        </w:tc>
      </w:tr>
      <w:tr w14:paraId="5045A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32FE4050">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29.5</w:t>
            </w:r>
          </w:p>
        </w:tc>
        <w:tc>
          <w:tcPr>
            <w:tcW w:w="2204" w:type="dxa"/>
            <w:vAlign w:val="center"/>
          </w:tcPr>
          <w:p w14:paraId="31949F38">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签订合同携带的材料</w:t>
            </w:r>
          </w:p>
        </w:tc>
        <w:tc>
          <w:tcPr>
            <w:tcW w:w="7124" w:type="dxa"/>
            <w:vAlign w:val="center"/>
          </w:tcPr>
          <w:p w14:paraId="3FFFE818">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使用的有效CA证书加盖单位电子公章</w:t>
            </w:r>
          </w:p>
        </w:tc>
      </w:tr>
      <w:tr w14:paraId="4B664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restart"/>
            <w:vAlign w:val="center"/>
          </w:tcPr>
          <w:p w14:paraId="47F641CE">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31.2</w:t>
            </w:r>
          </w:p>
        </w:tc>
        <w:tc>
          <w:tcPr>
            <w:tcW w:w="2204" w:type="dxa"/>
            <w:vAlign w:val="center"/>
          </w:tcPr>
          <w:p w14:paraId="157C508D">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接收质疑函方式</w:t>
            </w:r>
          </w:p>
        </w:tc>
        <w:tc>
          <w:tcPr>
            <w:tcW w:w="7124" w:type="dxa"/>
            <w:vAlign w:val="center"/>
          </w:tcPr>
          <w:p w14:paraId="6D837ADF">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以书面形式</w:t>
            </w:r>
          </w:p>
        </w:tc>
      </w:tr>
      <w:tr w14:paraId="30A6D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continue"/>
            <w:vAlign w:val="center"/>
          </w:tcPr>
          <w:p w14:paraId="4C1586B9">
            <w:pPr>
              <w:shd w:val="clear"/>
              <w:wordWrap w:val="0"/>
              <w:spacing w:line="336" w:lineRule="auto"/>
              <w:jc w:val="center"/>
              <w:rPr>
                <w:rFonts w:asciiTheme="minorEastAsia" w:hAnsiTheme="minorEastAsia" w:eastAsiaTheme="minorEastAsia" w:cstheme="minorEastAsia"/>
                <w:color w:val="auto"/>
                <w:sz w:val="24"/>
                <w:highlight w:val="none"/>
              </w:rPr>
            </w:pPr>
          </w:p>
        </w:tc>
        <w:tc>
          <w:tcPr>
            <w:tcW w:w="2204" w:type="dxa"/>
            <w:vAlign w:val="center"/>
          </w:tcPr>
          <w:p w14:paraId="07E938E7">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质疑联系部门及联系方式</w:t>
            </w:r>
          </w:p>
        </w:tc>
        <w:tc>
          <w:tcPr>
            <w:tcW w:w="7124" w:type="dxa"/>
            <w:vAlign w:val="center"/>
          </w:tcPr>
          <w:p w14:paraId="625BC7DD">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（1）</w:t>
            </w:r>
            <w:bookmarkStart w:id="33" w:name="PO_3000001868_PM031_3"/>
            <w:r>
              <w:rPr>
                <w:rFonts w:hint="eastAsia" w:asciiTheme="minorEastAsia" w:hAnsiTheme="minorEastAsia" w:eastAsiaTheme="minorEastAsia" w:cstheme="minorEastAsia"/>
                <w:color w:val="auto"/>
                <w:sz w:val="24"/>
                <w:highlight w:val="none"/>
                <w:u w:val="single"/>
              </w:rPr>
              <w:t>广西邕政采购代理有限公司</w:t>
            </w:r>
            <w:bookmarkEnd w:id="33"/>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690F86E0">
            <w:pPr>
              <w:shd w:val="clear"/>
              <w:wordWrap w:val="0"/>
              <w:snapToGrid w:val="0"/>
              <w:spacing w:line="336"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single"/>
              </w:rPr>
              <w:t>0771-2225338</w:t>
            </w:r>
          </w:p>
          <w:p w14:paraId="1E0F90E5">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通讯地址：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南宁市青秀区民族大道180号（威壮大厦）22层2210～2217室</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61F73721">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（2）</w:t>
            </w:r>
            <w:r>
              <w:rPr>
                <w:rFonts w:hint="eastAsia" w:asciiTheme="minorEastAsia" w:hAnsiTheme="minorEastAsia" w:eastAsiaTheme="minorEastAsia" w:cstheme="minorEastAsia"/>
                <w:color w:val="auto"/>
                <w:sz w:val="24"/>
                <w:highlight w:val="none"/>
                <w:u w:val="single"/>
                <w:lang w:eastAsia="zh-CN"/>
              </w:rPr>
              <w:t xml:space="preserve"> 广西南宁五象新区规划建设管理委员会自贸创新发展局</w:t>
            </w:r>
            <w:r>
              <w:rPr>
                <w:rFonts w:hint="eastAsia" w:asciiTheme="minorEastAsia" w:hAnsiTheme="minorEastAsia" w:eastAsiaTheme="minorEastAsia" w:cstheme="minorEastAsia"/>
                <w:color w:val="auto"/>
                <w:sz w:val="24"/>
                <w:highlight w:val="none"/>
              </w:rPr>
              <w:t>；</w:t>
            </w:r>
          </w:p>
          <w:p w14:paraId="73EE3ED2">
            <w:pPr>
              <w:shd w:val="clear"/>
              <w:wordWrap w:val="0"/>
              <w:snapToGrid w:val="0"/>
              <w:spacing w:line="336"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szCs w:val="24"/>
                <w:highlight w:val="none"/>
                <w:u w:val="single"/>
              </w:rPr>
              <w:t xml:space="preserve"> 0771</w:t>
            </w:r>
            <w:r>
              <w:rPr>
                <w:rFonts w:hint="eastAsia" w:ascii="宋体" w:hAnsi="宋体"/>
                <w:color w:val="auto"/>
                <w:sz w:val="24"/>
                <w:szCs w:val="24"/>
                <w:highlight w:val="none"/>
                <w:u w:val="single"/>
              </w:rPr>
              <w:t>-4919324</w:t>
            </w:r>
          </w:p>
          <w:p w14:paraId="7673EBE7">
            <w:pPr>
              <w:shd w:val="clear"/>
              <w:wordWrap w:val="0"/>
              <w:snapToGrid w:val="0"/>
              <w:spacing w:line="336"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通讯地址：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Cs/>
                <w:color w:val="auto"/>
                <w:kern w:val="0"/>
                <w:sz w:val="24"/>
                <w:highlight w:val="none"/>
                <w:u w:val="single"/>
                <w:lang w:eastAsia="zh-CN"/>
              </w:rPr>
              <w:t>广西南宁市良庆区云英路8号五象总部大厦</w:t>
            </w:r>
          </w:p>
        </w:tc>
      </w:tr>
      <w:tr w14:paraId="48818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continue"/>
            <w:vAlign w:val="center"/>
          </w:tcPr>
          <w:p w14:paraId="69023BFF">
            <w:pPr>
              <w:shd w:val="clear"/>
              <w:wordWrap w:val="0"/>
              <w:spacing w:line="336" w:lineRule="auto"/>
              <w:jc w:val="center"/>
              <w:rPr>
                <w:rFonts w:asciiTheme="minorEastAsia" w:hAnsiTheme="minorEastAsia" w:eastAsiaTheme="minorEastAsia" w:cstheme="minorEastAsia"/>
                <w:color w:val="auto"/>
                <w:sz w:val="24"/>
                <w:highlight w:val="none"/>
              </w:rPr>
            </w:pPr>
          </w:p>
        </w:tc>
        <w:tc>
          <w:tcPr>
            <w:tcW w:w="2204" w:type="dxa"/>
            <w:vAlign w:val="center"/>
          </w:tcPr>
          <w:p w14:paraId="40755DF4">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现场提交质疑办理业务时间</w:t>
            </w:r>
          </w:p>
        </w:tc>
        <w:tc>
          <w:tcPr>
            <w:tcW w:w="7124" w:type="dxa"/>
            <w:vAlign w:val="center"/>
          </w:tcPr>
          <w:p w14:paraId="0210982E">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质疑期内每个工作日</w:t>
            </w:r>
            <w:r>
              <w:rPr>
                <w:rFonts w:hint="eastAsia" w:asciiTheme="minorEastAsia" w:hAnsiTheme="minorEastAsia" w:eastAsiaTheme="minorEastAsia" w:cstheme="minorEastAsia"/>
                <w:color w:val="auto"/>
                <w:sz w:val="24"/>
                <w:highlight w:val="none"/>
                <w:u w:val="single"/>
              </w:rPr>
              <w:t>09</w:t>
            </w:r>
            <w:r>
              <w:rPr>
                <w:rFonts w:hint="eastAsia" w:asciiTheme="minorEastAsia" w:hAnsiTheme="minorEastAsia" w:eastAsiaTheme="minorEastAsia" w:cstheme="minorEastAsia"/>
                <w:color w:val="auto"/>
                <w:sz w:val="24"/>
                <w:highlight w:val="none"/>
              </w:rPr>
              <w:t>时</w:t>
            </w:r>
            <w:r>
              <w:rPr>
                <w:rFonts w:hint="eastAsia" w:asciiTheme="minorEastAsia" w:hAnsiTheme="minorEastAsia" w:eastAsiaTheme="minorEastAsia" w:cstheme="minorEastAsia"/>
                <w:color w:val="auto"/>
                <w:sz w:val="24"/>
                <w:highlight w:val="none"/>
                <w:u w:val="single"/>
              </w:rPr>
              <w:t>00</w:t>
            </w:r>
            <w:r>
              <w:rPr>
                <w:rFonts w:hint="eastAsia" w:asciiTheme="minorEastAsia" w:hAnsiTheme="minorEastAsia" w:eastAsiaTheme="minorEastAsia" w:cstheme="minorEastAsia"/>
                <w:color w:val="auto"/>
                <w:sz w:val="24"/>
                <w:highlight w:val="none"/>
              </w:rPr>
              <w:t>分到</w:t>
            </w:r>
            <w:r>
              <w:rPr>
                <w:rFonts w:hint="eastAsia" w:asciiTheme="minorEastAsia" w:hAnsiTheme="minorEastAsia" w:eastAsiaTheme="minorEastAsia" w:cstheme="minorEastAsia"/>
                <w:color w:val="auto"/>
                <w:sz w:val="24"/>
                <w:highlight w:val="none"/>
                <w:u w:val="single"/>
              </w:rPr>
              <w:t>12</w:t>
            </w:r>
            <w:r>
              <w:rPr>
                <w:rFonts w:hint="eastAsia" w:asciiTheme="minorEastAsia" w:hAnsiTheme="minorEastAsia" w:eastAsiaTheme="minorEastAsia" w:cstheme="minorEastAsia"/>
                <w:color w:val="auto"/>
                <w:sz w:val="24"/>
                <w:highlight w:val="none"/>
              </w:rPr>
              <w:t>时</w:t>
            </w:r>
            <w:r>
              <w:rPr>
                <w:rFonts w:hint="eastAsia" w:asciiTheme="minorEastAsia" w:hAnsiTheme="minorEastAsia" w:eastAsiaTheme="minorEastAsia" w:cstheme="minorEastAsia"/>
                <w:color w:val="auto"/>
                <w:sz w:val="24"/>
                <w:highlight w:val="none"/>
                <w:u w:val="single"/>
              </w:rPr>
              <w:t>00</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u w:val="single"/>
              </w:rPr>
              <w:t>15</w:t>
            </w:r>
            <w:r>
              <w:rPr>
                <w:rFonts w:hint="eastAsia" w:asciiTheme="minorEastAsia" w:hAnsiTheme="minorEastAsia" w:eastAsiaTheme="minorEastAsia" w:cstheme="minorEastAsia"/>
                <w:color w:val="auto"/>
                <w:sz w:val="24"/>
                <w:highlight w:val="none"/>
              </w:rPr>
              <w:t>时</w:t>
            </w:r>
            <w:r>
              <w:rPr>
                <w:rFonts w:hint="eastAsia" w:asciiTheme="minorEastAsia" w:hAnsiTheme="minorEastAsia" w:eastAsiaTheme="minorEastAsia" w:cstheme="minorEastAsia"/>
                <w:color w:val="auto"/>
                <w:sz w:val="24"/>
                <w:highlight w:val="none"/>
                <w:u w:val="single"/>
              </w:rPr>
              <w:t>00</w:t>
            </w:r>
            <w:r>
              <w:rPr>
                <w:rFonts w:hint="eastAsia" w:asciiTheme="minorEastAsia" w:hAnsiTheme="minorEastAsia" w:eastAsiaTheme="minorEastAsia" w:cstheme="minorEastAsia"/>
                <w:color w:val="auto"/>
                <w:sz w:val="24"/>
                <w:highlight w:val="none"/>
              </w:rPr>
              <w:t>分到</w:t>
            </w:r>
            <w:r>
              <w:rPr>
                <w:rFonts w:hint="eastAsia" w:asciiTheme="minorEastAsia" w:hAnsiTheme="minorEastAsia" w:eastAsiaTheme="minorEastAsia" w:cstheme="minorEastAsia"/>
                <w:color w:val="auto"/>
                <w:sz w:val="24"/>
                <w:highlight w:val="none"/>
                <w:u w:val="single"/>
              </w:rPr>
              <w:t>18</w:t>
            </w:r>
            <w:r>
              <w:rPr>
                <w:rFonts w:hint="eastAsia" w:asciiTheme="minorEastAsia" w:hAnsiTheme="minorEastAsia" w:eastAsiaTheme="minorEastAsia" w:cstheme="minorEastAsia"/>
                <w:color w:val="auto"/>
                <w:sz w:val="24"/>
                <w:highlight w:val="none"/>
              </w:rPr>
              <w:t>时</w:t>
            </w:r>
            <w:r>
              <w:rPr>
                <w:rFonts w:hint="eastAsia" w:asciiTheme="minorEastAsia" w:hAnsiTheme="minorEastAsia" w:eastAsiaTheme="minorEastAsia" w:cstheme="minorEastAsia"/>
                <w:color w:val="auto"/>
                <w:sz w:val="24"/>
                <w:highlight w:val="none"/>
                <w:u w:val="single"/>
              </w:rPr>
              <w:t>00</w:t>
            </w:r>
            <w:r>
              <w:rPr>
                <w:rFonts w:hint="eastAsia" w:asciiTheme="minorEastAsia" w:hAnsiTheme="minorEastAsia" w:eastAsiaTheme="minorEastAsia" w:cstheme="minorEastAsia"/>
                <w:color w:val="auto"/>
                <w:sz w:val="24"/>
                <w:highlight w:val="none"/>
              </w:rPr>
              <w:t>分</w:t>
            </w:r>
          </w:p>
        </w:tc>
      </w:tr>
      <w:tr w14:paraId="44FDD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49AA7C02">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31.6</w:t>
            </w:r>
          </w:p>
        </w:tc>
        <w:tc>
          <w:tcPr>
            <w:tcW w:w="2204" w:type="dxa"/>
            <w:vAlign w:val="center"/>
          </w:tcPr>
          <w:p w14:paraId="72DFE5E9">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受理投诉方式</w:t>
            </w:r>
          </w:p>
        </w:tc>
        <w:tc>
          <w:tcPr>
            <w:tcW w:w="7124" w:type="dxa"/>
            <w:vAlign w:val="center"/>
          </w:tcPr>
          <w:p w14:paraId="1FF51810">
            <w:pPr>
              <w:snapToGrid w:val="0"/>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1、受理方式：纸质方式受理，投诉书正、副本（经过质疑的事项才可投诉）。</w:t>
            </w:r>
          </w:p>
          <w:p w14:paraId="4463B93A">
            <w:pPr>
              <w:snapToGrid w:val="0"/>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2、邮寄地址：</w:t>
            </w:r>
          </w:p>
          <w:p w14:paraId="217DB5CA">
            <w:pPr>
              <w:snapToGrid w:val="0"/>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名称：广西南宁五象新区规划建设管理委员会财政局</w:t>
            </w:r>
          </w:p>
          <w:p w14:paraId="5B90CBE4">
            <w:pPr>
              <w:snapToGrid w:val="0"/>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地址：南宁市良庆区云英路8号五象总部大厦C座13楼</w:t>
            </w:r>
          </w:p>
          <w:p w14:paraId="7FD2DDFD">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宋体" w:hAnsi="宋体" w:eastAsia="宋体" w:cs="宋体"/>
                <w:color w:val="auto"/>
                <w:sz w:val="24"/>
                <w:szCs w:val="24"/>
                <w:highlight w:val="none"/>
              </w:rPr>
              <w:t>联系电话：0771- 4259254</w:t>
            </w:r>
          </w:p>
        </w:tc>
      </w:tr>
      <w:tr w14:paraId="1604E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11287C9D">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w:t>
            </w:r>
          </w:p>
        </w:tc>
        <w:tc>
          <w:tcPr>
            <w:tcW w:w="2204" w:type="dxa"/>
            <w:vAlign w:val="center"/>
          </w:tcPr>
          <w:p w14:paraId="7995D15B">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采购代理费</w:t>
            </w:r>
          </w:p>
        </w:tc>
        <w:tc>
          <w:tcPr>
            <w:tcW w:w="7124" w:type="dxa"/>
            <w:vAlign w:val="center"/>
          </w:tcPr>
          <w:p w14:paraId="0FFEABE1">
            <w:pPr>
              <w:shd w:val="clear"/>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1. 是否收取采购代理费：</w:t>
            </w:r>
          </w:p>
          <w:p w14:paraId="5B71CA03">
            <w:pPr>
              <w:shd w:val="clear"/>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 是    □ 否</w:t>
            </w:r>
          </w:p>
          <w:p w14:paraId="60FB7B51">
            <w:pPr>
              <w:shd w:val="clear"/>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2.采购代理费支付方式：</w:t>
            </w:r>
          </w:p>
          <w:p w14:paraId="069779D2">
            <w:pPr>
              <w:shd w:val="clear"/>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 本项目代理服务费由</w:t>
            </w:r>
            <w:r>
              <w:rPr>
                <w:rFonts w:hint="eastAsia" w:asciiTheme="minorEastAsia" w:hAnsiTheme="minorEastAsia" w:eastAsiaTheme="minorEastAsia" w:cstheme="minorEastAsia"/>
                <w:color w:val="auto"/>
                <w:kern w:val="0"/>
                <w:sz w:val="24"/>
                <w:highlight w:val="none"/>
                <w:u w:val="single"/>
                <w:lang w:bidi="ar"/>
              </w:rPr>
              <w:t>成交供应商</w:t>
            </w:r>
            <w:r>
              <w:rPr>
                <w:rFonts w:hint="eastAsia" w:asciiTheme="minorEastAsia" w:hAnsiTheme="minorEastAsia" w:eastAsiaTheme="minorEastAsia" w:cstheme="minorEastAsia"/>
                <w:color w:val="auto"/>
                <w:kern w:val="0"/>
                <w:sz w:val="24"/>
                <w:highlight w:val="none"/>
                <w:lang w:bidi="ar"/>
              </w:rPr>
              <w:t>领取成交通知书时，一次性向采购代理机构支付。</w:t>
            </w:r>
          </w:p>
          <w:p w14:paraId="7C08D80A">
            <w:pPr>
              <w:shd w:val="clear"/>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□采购人支付。</w:t>
            </w:r>
          </w:p>
          <w:p w14:paraId="4D234731">
            <w:pPr>
              <w:shd w:val="clear"/>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3.采购代理费收取标准：</w:t>
            </w:r>
          </w:p>
          <w:p w14:paraId="78298886">
            <w:pPr>
              <w:shd w:val="clear"/>
              <w:snapToGrid w:val="0"/>
              <w:spacing w:line="336" w:lineRule="auto"/>
              <w:rPr>
                <w:rFonts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sym w:font="Wingdings 2" w:char="00A3"/>
            </w:r>
            <w:r>
              <w:rPr>
                <w:rFonts w:hint="eastAsia" w:asciiTheme="minorEastAsia" w:hAnsiTheme="minorEastAsia" w:eastAsiaTheme="minorEastAsia" w:cstheme="minorEastAsia"/>
                <w:color w:val="auto"/>
                <w:sz w:val="24"/>
                <w:highlight w:val="none"/>
                <w:lang w:bidi="ar"/>
              </w:rPr>
              <w:t>以分标（</w:t>
            </w:r>
            <w:r>
              <w:rPr>
                <w:rFonts w:hint="eastAsia" w:asciiTheme="minorEastAsia" w:hAnsiTheme="minorEastAsia" w:eastAsiaTheme="minorEastAsia" w:cstheme="minorEastAsia"/>
                <w:color w:val="auto"/>
                <w:sz w:val="24"/>
                <w:highlight w:val="none"/>
                <w:lang w:bidi="ar"/>
              </w:rPr>
              <w:sym w:font="Wingdings 2" w:char="00A3"/>
            </w:r>
            <w:r>
              <w:rPr>
                <w:rFonts w:hint="eastAsia" w:asciiTheme="minorEastAsia" w:hAnsiTheme="minorEastAsia" w:eastAsiaTheme="minorEastAsia" w:cstheme="minorEastAsia"/>
                <w:color w:val="auto"/>
                <w:sz w:val="24"/>
                <w:highlight w:val="none"/>
                <w:lang w:bidi="ar"/>
              </w:rPr>
              <w:t>成交金额/□采购预算/□暂定成交金额/□其他   ）为计费额，</w:t>
            </w:r>
          </w:p>
          <w:p w14:paraId="255D767F">
            <w:pPr>
              <w:shd w:val="clear"/>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按服务</w:t>
            </w:r>
            <w:r>
              <w:rPr>
                <w:rFonts w:hint="eastAsia" w:asciiTheme="minorEastAsia" w:hAnsiTheme="minorEastAsia" w:eastAsiaTheme="minorEastAsia" w:cstheme="minorEastAsia"/>
                <w:color w:val="auto"/>
                <w:sz w:val="24"/>
                <w:highlight w:val="none"/>
                <w:u w:val="single"/>
                <w:lang w:bidi="ar"/>
              </w:rPr>
              <w:t>类</w:t>
            </w:r>
            <w:r>
              <w:rPr>
                <w:rFonts w:hint="eastAsia" w:asciiTheme="minorEastAsia" w:hAnsiTheme="minorEastAsia" w:eastAsiaTheme="minorEastAsia" w:cstheme="minorEastAsia"/>
                <w:color w:val="auto"/>
                <w:sz w:val="24"/>
                <w:highlight w:val="none"/>
                <w:lang w:bidi="ar"/>
              </w:rPr>
              <w:t>采用差额定率累进法计算出收费基准价格，采购代理收费以（</w:t>
            </w:r>
            <w:r>
              <w:rPr>
                <w:rFonts w:hint="eastAsia" w:asciiTheme="minorEastAsia" w:hAnsiTheme="minorEastAsia" w:eastAsiaTheme="minorEastAsia" w:cstheme="minorEastAsia"/>
                <w:color w:val="auto"/>
                <w:sz w:val="24"/>
                <w:highlight w:val="none"/>
                <w:lang w:bidi="ar"/>
              </w:rPr>
              <w:sym w:font="Wingdings 2" w:char="00A3"/>
            </w:r>
            <w:r>
              <w:rPr>
                <w:rFonts w:hint="eastAsia" w:asciiTheme="minorEastAsia" w:hAnsiTheme="minorEastAsia" w:eastAsiaTheme="minorEastAsia" w:cstheme="minorEastAsia"/>
                <w:color w:val="auto"/>
                <w:sz w:val="24"/>
                <w:highlight w:val="none"/>
                <w:lang w:bidi="ar"/>
              </w:rPr>
              <w:t>收费基准价格/</w:t>
            </w:r>
            <w:r>
              <w:rPr>
                <w:rFonts w:hint="eastAsia" w:asciiTheme="minorEastAsia" w:hAnsiTheme="minorEastAsia" w:eastAsiaTheme="minorEastAsia" w:cstheme="minorEastAsia"/>
                <w:color w:val="auto"/>
                <w:sz w:val="24"/>
                <w:highlight w:val="none"/>
                <w:lang w:bidi="ar"/>
              </w:rPr>
              <w:sym w:font="Wingdings 2" w:char="00A3"/>
            </w:r>
            <w:r>
              <w:rPr>
                <w:rFonts w:hint="eastAsia" w:asciiTheme="minorEastAsia" w:hAnsiTheme="minorEastAsia" w:eastAsiaTheme="minorEastAsia" w:cstheme="minorEastAsia"/>
                <w:color w:val="auto"/>
                <w:sz w:val="24"/>
                <w:highlight w:val="none"/>
                <w:lang w:bidi="ar"/>
              </w:rPr>
              <w:t>收费基准价下浮</w:t>
            </w:r>
            <w:r>
              <w:rPr>
                <w:rFonts w:hint="eastAsia" w:asciiTheme="minorEastAsia" w:hAnsiTheme="minorEastAsia" w:eastAsiaTheme="minorEastAsia" w:cstheme="minorEastAsia"/>
                <w:color w:val="auto"/>
                <w:sz w:val="24"/>
                <w:highlight w:val="none"/>
                <w:u w:val="single"/>
                <w:lang w:bidi="ar"/>
              </w:rPr>
              <w:t xml:space="preserve">  %</w:t>
            </w:r>
            <w:r>
              <w:rPr>
                <w:rFonts w:hint="eastAsia" w:asciiTheme="minorEastAsia" w:hAnsiTheme="minorEastAsia" w:eastAsiaTheme="minorEastAsia" w:cstheme="minorEastAsia"/>
                <w:color w:val="auto"/>
                <w:sz w:val="24"/>
                <w:highlight w:val="none"/>
                <w:lang w:bidi="ar"/>
              </w:rPr>
              <w:t>/□收费基准价格上浮</w:t>
            </w:r>
            <w:r>
              <w:rPr>
                <w:rFonts w:hint="eastAsia" w:asciiTheme="minorEastAsia" w:hAnsiTheme="minorEastAsia" w:eastAsiaTheme="minorEastAsia" w:cstheme="minorEastAsia"/>
                <w:color w:val="auto"/>
                <w:sz w:val="24"/>
                <w:highlight w:val="none"/>
                <w:u w:val="single"/>
                <w:lang w:bidi="ar"/>
              </w:rPr>
              <w:t xml:space="preserve">   %</w:t>
            </w:r>
            <w:r>
              <w:rPr>
                <w:rFonts w:hint="eastAsia" w:asciiTheme="minorEastAsia" w:hAnsiTheme="minorEastAsia" w:eastAsiaTheme="minorEastAsia" w:cstheme="minorEastAsia"/>
                <w:color w:val="auto"/>
                <w:sz w:val="24"/>
                <w:highlight w:val="none"/>
                <w:lang w:bidi="ar"/>
              </w:rPr>
              <w:t>）计算。</w:t>
            </w:r>
          </w:p>
          <w:p w14:paraId="0E1B69AB">
            <w:pPr>
              <w:shd w:val="clear"/>
              <w:snapToGrid w:val="0"/>
              <w:spacing w:line="336" w:lineRule="auto"/>
              <w:rPr>
                <w:rFonts w:asciiTheme="minorEastAsia" w:hAnsiTheme="minorEastAsia" w:eastAsiaTheme="minorEastAsia" w:cstheme="minorEastAsia"/>
                <w:color w:val="auto"/>
                <w:sz w:val="24"/>
                <w:highlight w:val="none"/>
                <w:u w:val="single"/>
                <w:lang w:bidi="ar"/>
              </w:rPr>
            </w:pPr>
            <w:r>
              <w:rPr>
                <w:rFonts w:hint="eastAsia" w:asciiTheme="minorEastAsia" w:hAnsiTheme="minorEastAsia" w:eastAsiaTheme="minorEastAsia" w:cstheme="minorEastAsia"/>
                <w:color w:val="auto"/>
                <w:sz w:val="24"/>
                <w:highlight w:val="none"/>
                <w:lang w:bidi="ar"/>
              </w:rPr>
              <w:sym w:font="Wingdings 2" w:char="0052"/>
            </w:r>
            <w:r>
              <w:rPr>
                <w:rFonts w:hint="eastAsia" w:asciiTheme="minorEastAsia" w:hAnsiTheme="minorEastAsia" w:eastAsiaTheme="minorEastAsia" w:cstheme="minorEastAsia"/>
                <w:color w:val="auto"/>
                <w:sz w:val="24"/>
                <w:highlight w:val="none"/>
                <w:lang w:bidi="ar"/>
              </w:rPr>
              <w:t>固定采购代理收费</w:t>
            </w:r>
            <w:r>
              <w:rPr>
                <w:rFonts w:hint="eastAsia" w:asciiTheme="minorEastAsia" w:hAnsiTheme="minorEastAsia" w:eastAsiaTheme="minorEastAsia" w:cstheme="minorEastAsia"/>
                <w:color w:val="auto"/>
                <w:sz w:val="24"/>
                <w:highlight w:val="none"/>
                <w:u w:val="single"/>
                <w:lang w:bidi="ar"/>
              </w:rPr>
              <w:t xml:space="preserve"> </w:t>
            </w:r>
            <w:r>
              <w:rPr>
                <w:rFonts w:hint="eastAsia" w:asciiTheme="minorEastAsia" w:hAnsiTheme="minorEastAsia" w:eastAsiaTheme="minorEastAsia" w:cstheme="minorEastAsia"/>
                <w:color w:val="auto"/>
                <w:sz w:val="24"/>
                <w:highlight w:val="none"/>
                <w:u w:val="single"/>
                <w:lang w:val="en-US" w:eastAsia="zh-CN" w:bidi="ar"/>
              </w:rPr>
              <w:t xml:space="preserve">9000.00元 </w:t>
            </w:r>
            <w:r>
              <w:rPr>
                <w:rFonts w:hint="eastAsia" w:asciiTheme="minorEastAsia" w:hAnsiTheme="minorEastAsia" w:eastAsiaTheme="minorEastAsia" w:cstheme="minorEastAsia"/>
                <w:color w:val="auto"/>
                <w:sz w:val="24"/>
                <w:highlight w:val="none"/>
                <w:u w:val="single"/>
                <w:lang w:bidi="ar"/>
              </w:rPr>
              <w:t>；</w:t>
            </w:r>
          </w:p>
          <w:p w14:paraId="16E4D90F">
            <w:pPr>
              <w:pStyle w:val="13"/>
              <w:shd w:val="clear"/>
              <w:wordWrap w:val="0"/>
              <w:snapToGrid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 采购代理费收取银行账户</w:t>
            </w:r>
          </w:p>
          <w:p w14:paraId="7026F919">
            <w:pPr>
              <w:pStyle w:val="13"/>
              <w:shd w:val="clear"/>
              <w:wordWrap w:val="0"/>
              <w:snapToGrid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账户名称：广西邕政采购代理有限公司</w:t>
            </w:r>
          </w:p>
          <w:p w14:paraId="09D55671">
            <w:pPr>
              <w:pStyle w:val="13"/>
              <w:shd w:val="clear"/>
              <w:wordWrap w:val="0"/>
              <w:snapToGrid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开户银行：交通银行南宁东葛西支行</w:t>
            </w:r>
          </w:p>
          <w:p w14:paraId="71EB5810">
            <w:pPr>
              <w:pStyle w:val="13"/>
              <w:shd w:val="clear"/>
              <w:wordWrap w:val="0"/>
              <w:snapToGrid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银行账号：4510 6070 1018 1602 32818 </w:t>
            </w:r>
          </w:p>
          <w:p w14:paraId="627F3DD2">
            <w:pPr>
              <w:pStyle w:val="13"/>
              <w:shd w:val="clear"/>
              <w:wordWrap w:val="0"/>
              <w:snapToGrid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开户行行号：301611000718</w:t>
            </w:r>
          </w:p>
        </w:tc>
      </w:tr>
      <w:tr w14:paraId="547CF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5A165412">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34.1</w:t>
            </w:r>
          </w:p>
        </w:tc>
        <w:tc>
          <w:tcPr>
            <w:tcW w:w="2204" w:type="dxa"/>
            <w:vAlign w:val="center"/>
          </w:tcPr>
          <w:p w14:paraId="73E8221F">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解释</w:t>
            </w:r>
          </w:p>
        </w:tc>
        <w:tc>
          <w:tcPr>
            <w:tcW w:w="7124" w:type="dxa"/>
            <w:vAlign w:val="center"/>
          </w:tcPr>
          <w:p w14:paraId="7F4E6310">
            <w:pPr>
              <w:pStyle w:val="13"/>
              <w:shd w:val="clear"/>
              <w:wordWrap w:val="0"/>
              <w:snapToGrid w:val="0"/>
              <w:spacing w:line="336"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解释权：</w:t>
            </w:r>
            <w:r>
              <w:rPr>
                <w:rFonts w:hint="eastAsia" w:asciiTheme="minorEastAsia" w:hAnsiTheme="minorEastAsia" w:eastAsiaTheme="minorEastAsia" w:cstheme="minorEastAsia"/>
                <w:color w:val="auto"/>
                <w:sz w:val="24"/>
                <w:szCs w:val="24"/>
                <w:highlight w:val="none"/>
              </w:rPr>
              <w:t>构成本磋商文件的各个组成文件应互为解释，互为说明；除磋商文件中有特别规定外，仅适用于响应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Theme="minorEastAsia" w:hAnsiTheme="minorEastAsia" w:eastAsiaTheme="minorEastAsia" w:cstheme="minorEastAsia"/>
                <w:b/>
                <w:color w:val="auto"/>
                <w:sz w:val="24"/>
                <w:szCs w:val="24"/>
                <w:highlight w:val="none"/>
              </w:rPr>
              <w:t>由采购人或者采购代理机构负责解释。</w:t>
            </w:r>
          </w:p>
          <w:p w14:paraId="4F184CFB">
            <w:pPr>
              <w:pStyle w:val="13"/>
              <w:shd w:val="clear"/>
              <w:wordWrap w:val="0"/>
              <w:snapToGrid w:val="0"/>
              <w:spacing w:line="336"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法律责任：</w:t>
            </w:r>
          </w:p>
          <w:p w14:paraId="6D59253D">
            <w:pPr>
              <w:pStyle w:val="13"/>
              <w:shd w:val="clear"/>
              <w:wordWrap w:val="0"/>
              <w:snapToGrid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color w:val="auto"/>
                <w:sz w:val="24"/>
                <w:szCs w:val="24"/>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577F9030">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2. 本项目采购代理机构应严格按照</w:t>
            </w:r>
            <w:r>
              <w:rPr>
                <w:rFonts w:hint="eastAsia" w:asciiTheme="minorEastAsia" w:hAnsiTheme="minorEastAsia" w:eastAsiaTheme="minorEastAsia" w:cstheme="minorEastAsia"/>
                <w:b/>
                <w:color w:val="auto"/>
                <w:sz w:val="24"/>
                <w:highlight w:val="none"/>
                <w:lang w:eastAsia="zh-CN"/>
              </w:rPr>
              <w:t>“广西政府采购云平台”</w:t>
            </w:r>
            <w:r>
              <w:rPr>
                <w:rFonts w:hint="eastAsia" w:asciiTheme="minorEastAsia" w:hAnsiTheme="minorEastAsia" w:eastAsiaTheme="minorEastAsia" w:cstheme="minorEastAsia"/>
                <w:b/>
                <w:color w:val="auto"/>
                <w:sz w:val="24"/>
                <w:highlight w:val="none"/>
              </w:rPr>
              <w:t>平台项目采购全流程电子化电子开评标规程执行项目采购活动，代理机构在</w:t>
            </w:r>
            <w:r>
              <w:rPr>
                <w:rFonts w:hint="eastAsia" w:asciiTheme="minorEastAsia" w:hAnsiTheme="minorEastAsia" w:eastAsiaTheme="minorEastAsia" w:cstheme="minorEastAsia"/>
                <w:b/>
                <w:color w:val="auto"/>
                <w:sz w:val="24"/>
                <w:highlight w:val="none"/>
                <w:lang w:eastAsia="zh-CN"/>
              </w:rPr>
              <w:t>“广西政府采购云平台”</w:t>
            </w:r>
            <w:r>
              <w:rPr>
                <w:rFonts w:hint="eastAsia" w:asciiTheme="minorEastAsia" w:hAnsiTheme="minorEastAsia" w:eastAsiaTheme="minorEastAsia" w:cstheme="minorEastAsia"/>
                <w:b/>
                <w:color w:val="auto"/>
                <w:sz w:val="24"/>
                <w:highlight w:val="none"/>
              </w:rPr>
              <w:t>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7487F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16953FEA">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34.2</w:t>
            </w:r>
          </w:p>
        </w:tc>
        <w:tc>
          <w:tcPr>
            <w:tcW w:w="2204" w:type="dxa"/>
            <w:vAlign w:val="center"/>
          </w:tcPr>
          <w:p w14:paraId="0899D9A6">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w:t>
            </w:r>
          </w:p>
        </w:tc>
        <w:tc>
          <w:tcPr>
            <w:tcW w:w="7124" w:type="dxa"/>
            <w:vAlign w:val="center"/>
          </w:tcPr>
          <w:p w14:paraId="0082D1B0">
            <w:pPr>
              <w:pStyle w:val="13"/>
              <w:shd w:val="clear"/>
              <w:wordWrap w:val="0"/>
              <w:snapToGrid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磋商文件中描述供应商的“公章”是指根据我国对公章的管理规定，用供应商法定主体行为名称制作的印章，除本磋商文件有特殊规定外，供应商的财务章、部门章、分公司章、工会章、合同章、响应/投标专用章、业务专用章及银行的转账章、现金收讫章、现金付讫章等其他形式印章均不能代替公章。</w:t>
            </w:r>
          </w:p>
          <w:p w14:paraId="181FBA95">
            <w:pPr>
              <w:pStyle w:val="13"/>
              <w:shd w:val="clear"/>
              <w:wordWrap w:val="0"/>
              <w:snapToGrid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2.供应商为其他组织或者自然人时，本磋商文件规定的法定代表人指负责人或者自然人。本磋商文件所称负责人是指参加响应的其他组织营业执照上的负责人，本磋商文件所称自然人指参与响应的自然人本人。</w:t>
            </w:r>
          </w:p>
          <w:p w14:paraId="4841D340">
            <w:pPr>
              <w:pStyle w:val="13"/>
              <w:shd w:val="clear"/>
              <w:wordWrap w:val="0"/>
              <w:snapToGrid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3.本磋商文件中描述供应商的“签字”是指供应商的法定代表人</w:t>
            </w:r>
            <w:r>
              <w:rPr>
                <w:rFonts w:hint="eastAsia" w:asciiTheme="minorEastAsia" w:hAnsiTheme="minorEastAsia" w:eastAsiaTheme="minorEastAsia" w:cstheme="minorEastAsia"/>
                <w:color w:val="auto"/>
                <w:sz w:val="24"/>
                <w:highlight w:val="none"/>
                <w:lang w:val="en-US" w:eastAsia="zh-CN"/>
              </w:rPr>
              <w:t>负责人</w:t>
            </w:r>
            <w:r>
              <w:rPr>
                <w:rFonts w:hint="eastAsia" w:asciiTheme="minorEastAsia" w:hAnsiTheme="minorEastAsia" w:eastAsiaTheme="minorEastAsia" w:cstheme="minorEastAsia"/>
                <w:color w:val="auto"/>
                <w:sz w:val="24"/>
                <w:szCs w:val="24"/>
                <w:highlight w:val="none"/>
              </w:rPr>
              <w:t>或者委托代理人亲自在文件规定签署处亲笔写上个人的名字的行为，私章、签字章、印鉴、影印等其他形式均不能代替亲笔签字。</w:t>
            </w:r>
          </w:p>
          <w:p w14:paraId="3CD88A05">
            <w:pPr>
              <w:pStyle w:val="13"/>
              <w:shd w:val="clear"/>
              <w:wordWrap w:val="0"/>
              <w:snapToGrid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4.自然人响应的，磋商文件规定盖公章处由自然人摁手指指印。</w:t>
            </w:r>
          </w:p>
          <w:p w14:paraId="21B2D81A">
            <w:pPr>
              <w:pStyle w:val="13"/>
              <w:shd w:val="clear"/>
              <w:wordWrap w:val="0"/>
              <w:snapToGrid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5.本磋商文件所称的“以上”“以下”“以内”“届满”，包括本数；所称的“不满”“超过”“以外”，不包括本数。</w:t>
            </w:r>
          </w:p>
          <w:p w14:paraId="4BCD27A7">
            <w:pPr>
              <w:pStyle w:val="13"/>
              <w:shd w:val="clear"/>
              <w:wordWrap w:val="0"/>
              <w:snapToGrid w:val="0"/>
              <w:spacing w:line="336" w:lineRule="auto"/>
              <w:rPr>
                <w:color w:val="auto"/>
                <w:highlight w:val="none"/>
              </w:rPr>
            </w:pPr>
          </w:p>
        </w:tc>
      </w:tr>
    </w:tbl>
    <w:p w14:paraId="7B8BE358">
      <w:pPr>
        <w:pStyle w:val="3"/>
        <w:shd w:val="clear"/>
        <w:wordWrap w:val="0"/>
        <w:spacing w:before="0" w:after="0" w:line="336" w:lineRule="auto"/>
        <w:jc w:val="center"/>
        <w:rPr>
          <w:rFonts w:asciiTheme="minorEastAsia" w:hAnsiTheme="minorEastAsia" w:eastAsiaTheme="minorEastAsia" w:cstheme="minorEastAsia"/>
          <w:b w:val="0"/>
          <w:color w:val="auto"/>
          <w:highlight w:val="none"/>
        </w:rPr>
      </w:pPr>
      <w:r>
        <w:rPr>
          <w:rFonts w:hint="eastAsia" w:asciiTheme="minorEastAsia" w:hAnsiTheme="minorEastAsia" w:eastAsiaTheme="minorEastAsia" w:cstheme="minorEastAsia"/>
          <w:b w:val="0"/>
          <w:color w:val="auto"/>
          <w:highlight w:val="none"/>
        </w:rPr>
        <w:br w:type="page"/>
      </w:r>
      <w:bookmarkStart w:id="34" w:name="_Toc26882"/>
      <w:r>
        <w:rPr>
          <w:rFonts w:hint="eastAsia" w:asciiTheme="minorEastAsia" w:hAnsiTheme="minorEastAsia" w:eastAsiaTheme="minorEastAsia" w:cstheme="minorEastAsia"/>
          <w:b w:val="0"/>
          <w:color w:val="auto"/>
          <w:highlight w:val="none"/>
        </w:rPr>
        <w:t>第二节 供应商须知正文</w:t>
      </w:r>
      <w:bookmarkEnd w:id="34"/>
    </w:p>
    <w:p w14:paraId="0051CCD9">
      <w:pPr>
        <w:shd w:val="clear"/>
        <w:wordWrap w:val="0"/>
        <w:spacing w:line="336" w:lineRule="auto"/>
        <w:ind w:firstLine="640" w:firstLineChars="200"/>
        <w:rPr>
          <w:rFonts w:asciiTheme="minorEastAsia" w:hAnsiTheme="minorEastAsia" w:eastAsiaTheme="minorEastAsia" w:cstheme="minorEastAsia"/>
          <w:color w:val="auto"/>
          <w:sz w:val="32"/>
          <w:szCs w:val="40"/>
          <w:highlight w:val="none"/>
        </w:rPr>
      </w:pPr>
      <w:r>
        <w:rPr>
          <w:rFonts w:hint="eastAsia" w:asciiTheme="minorEastAsia" w:hAnsiTheme="minorEastAsia" w:eastAsiaTheme="minorEastAsia" w:cstheme="minorEastAsia"/>
          <w:color w:val="auto"/>
          <w:sz w:val="32"/>
          <w:szCs w:val="40"/>
          <w:highlight w:val="none"/>
        </w:rPr>
        <w:t>一、总则</w:t>
      </w:r>
    </w:p>
    <w:p w14:paraId="2DBF32C6">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1.适用范围</w:t>
      </w:r>
    </w:p>
    <w:p w14:paraId="60FA2DB5">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71D658B5">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r>
        <w:rPr>
          <w:rFonts w:hint="eastAsia" w:asciiTheme="minorEastAsia" w:hAnsiTheme="minorEastAsia" w:eastAsiaTheme="minorEastAsia" w:cstheme="minorEastAsia"/>
          <w:color w:val="auto"/>
          <w:spacing w:val="-6"/>
          <w:sz w:val="24"/>
          <w:highlight w:val="none"/>
        </w:rPr>
        <w:t>本竞争性磋商文件（以下简称磋商文件）适用于本项目的所有采购程序和环节（法律、法规另有规定的，从其规定）。</w:t>
      </w:r>
    </w:p>
    <w:p w14:paraId="04CA11B4">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2.定义</w:t>
      </w:r>
    </w:p>
    <w:p w14:paraId="76E974BB">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2.1“采购人”是指依法进行政府采购的国家机关、事业单位、团体组织。</w:t>
      </w:r>
    </w:p>
    <w:p w14:paraId="51633B86">
      <w:pPr>
        <w:shd w:val="clear"/>
        <w:wordWrap w:val="0"/>
        <w:spacing w:line="336"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2.2“采购代理机构”是指政府采购集中采购机构和集中采购机构以外的采购代理机构。</w:t>
      </w:r>
    </w:p>
    <w:p w14:paraId="75E178C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2.3“供应商”是指向采购人提供货物、工程或者服务的法人、其他组织或者自然人。</w:t>
      </w:r>
    </w:p>
    <w:p w14:paraId="195202B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2.4“服务”是指除货物和工程以外的其他政府采购对象。</w:t>
      </w:r>
    </w:p>
    <w:p w14:paraId="10AFB52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2.5“响应”是指供应商按照本项目竞争性磋商公告或者邀请函规定的方式获取磋商文件、提交响应文件并希望获得标的的行为。</w:t>
      </w:r>
    </w:p>
    <w:p w14:paraId="5914C86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2.6“响应文件”</w:t>
      </w:r>
      <w:r>
        <w:rPr>
          <w:rFonts w:hint="eastAsia" w:asciiTheme="minorEastAsia" w:hAnsiTheme="minorEastAsia" w:eastAsiaTheme="minorEastAsia" w:cstheme="minorEastAsia"/>
          <w:color w:val="auto"/>
          <w:spacing w:val="-6"/>
          <w:sz w:val="24"/>
          <w:highlight w:val="none"/>
        </w:rPr>
        <w:t>是指：供应商根据本磋商文件要求，编制包含资格证明、报价商务技术等所有内容的文件。</w:t>
      </w:r>
    </w:p>
    <w:p w14:paraId="5C646C0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2.7“实质性要求”是指磋商文件中已经指明不满足则响应文件按无效响应处理的条款，或者不能负偏离的条款，或者采购需求中带“▲”的条款。</w:t>
      </w:r>
    </w:p>
    <w:p w14:paraId="5EAA3C8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2.8“正偏离”，是指响应文件对磋商文件“采购需求”中有关条款作出的响应优于条款要求并有利于采购人的情形。</w:t>
      </w:r>
    </w:p>
    <w:p w14:paraId="287F5EE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2.9“负偏离”，是指响应文件对磋商文件“采购需求”中有关条款作出的响应不满足条款要求，导致采购人要求不能得到满足的情形。</w:t>
      </w:r>
    </w:p>
    <w:p w14:paraId="5A655E0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2.10“允许负偏离的条款”是指采购需求中的不属于“实质性要求”的条款。</w:t>
      </w:r>
    </w:p>
    <w:p w14:paraId="494C7205">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2.11“书面形式”是指合同书、信件和数据电文（包括电报、电传、传真、电子数据交换和电子邮件）等可以有形地表现所载内容的形式。</w:t>
      </w:r>
    </w:p>
    <w:p w14:paraId="4724446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2.12“首次报价”是指供应商提交的首次响应文件中的报价。</w:t>
      </w:r>
    </w:p>
    <w:p w14:paraId="4BBA8FF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2.13“评审报价”是指供应商提交的最后报价并经修正（如有）和政策功能价格扣除（如有）后的价格。</w:t>
      </w:r>
    </w:p>
    <w:p w14:paraId="6A18567E">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3.供应商的资格条件</w:t>
      </w:r>
    </w:p>
    <w:p w14:paraId="0902D60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供应商的资格条件详见“供应商须知前附表”。</w:t>
      </w:r>
    </w:p>
    <w:p w14:paraId="15860AE2">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4.磋商费用</w:t>
      </w:r>
    </w:p>
    <w:p w14:paraId="1120B39D">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供应商应承担参与本次采购活动有关的所有费用，包括但不限于、勘查现场、编制和提交响应文件、参加磋商与应答、签订合同等，不论响应结果如何，均应自行承担。</w:t>
      </w:r>
    </w:p>
    <w:p w14:paraId="44B3316F">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5.联合体响应</w:t>
      </w:r>
    </w:p>
    <w:p w14:paraId="5A86BBC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5.1本项目是否接受联合体响应，详见“供应商须知前附表”。</w:t>
      </w:r>
    </w:p>
    <w:p w14:paraId="0D7D965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5.2如接受联合体响应，联合体响应要求详见“供应商须知前附表”。</w:t>
      </w:r>
    </w:p>
    <w:p w14:paraId="36B9F7AF">
      <w:pPr>
        <w:shd w:val="clear"/>
        <w:wordWrap w:val="0"/>
        <w:spacing w:line="336"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5.3</w:t>
      </w:r>
      <w:r>
        <w:rPr>
          <w:rFonts w:hint="eastAsia" w:asciiTheme="minorEastAsia" w:hAnsiTheme="minorEastAsia" w:eastAsiaTheme="minorEastAsia" w:cstheme="minorEastAsia"/>
          <w:bCs/>
          <w:color w:val="auto"/>
          <w:sz w:val="24"/>
          <w:highlight w:val="none"/>
        </w:rPr>
        <w:t>根据《政府采购促进中小企业发展暂行办法》（财库[2020]46号）第九条规定，接受大中型企业与小微企业组成联合体的采购项目，对于联合协议约定小微企业的合同份额占到合同总金额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p>
    <w:p w14:paraId="4687BAE7">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 xml:space="preserve">6.转包与分包             </w:t>
      </w:r>
    </w:p>
    <w:p w14:paraId="0E4E2C5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6.1本项目是否允许分包详见“供应商须知前附表”。</w:t>
      </w:r>
    </w:p>
    <w:p w14:paraId="44578D9E">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6.2</w:t>
      </w:r>
      <w:r>
        <w:rPr>
          <w:rFonts w:hint="eastAsia" w:asciiTheme="minorEastAsia" w:hAnsiTheme="minorEastAsia" w:eastAsiaTheme="minorEastAsia" w:cstheme="minorEastAsia"/>
          <w:bCs/>
          <w:color w:val="auto"/>
          <w:sz w:val="24"/>
          <w:highlight w:val="none"/>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484157F8">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bookmarkStart w:id="35" w:name="_Toc254970532"/>
      <w:bookmarkStart w:id="36" w:name="_Toc254970673"/>
      <w:r>
        <w:rPr>
          <w:rFonts w:hint="eastAsia" w:asciiTheme="minorEastAsia" w:hAnsiTheme="minorEastAsia" w:eastAsiaTheme="minorEastAsia" w:cstheme="minorEastAsia"/>
          <w:b/>
          <w:bCs/>
          <w:color w:val="auto"/>
          <w:sz w:val="24"/>
          <w:highlight w:val="none"/>
        </w:rPr>
        <w:t>7.特别说明</w:t>
      </w:r>
      <w:bookmarkEnd w:id="35"/>
      <w:bookmarkEnd w:id="36"/>
    </w:p>
    <w:p w14:paraId="799C9D4B">
      <w:pPr>
        <w:shd w:val="clear"/>
        <w:wordWrap w:val="0"/>
        <w:spacing w:line="336" w:lineRule="auto"/>
        <w:ind w:firstLine="480" w:firstLineChars="200"/>
        <w:rPr>
          <w:rFonts w:asciiTheme="minorEastAsia" w:hAnsiTheme="minorEastAsia" w:eastAsiaTheme="minorEastAsia" w:cstheme="minorEastAsia"/>
          <w:color w:val="auto"/>
          <w:sz w:val="24"/>
          <w:highlight w:val="none"/>
        </w:rPr>
      </w:pPr>
      <w:bookmarkStart w:id="37" w:name="_8.1提供相同品牌产品且通过资格审查、符合性审查的不同投标人参加同一合"/>
      <w:bookmarkEnd w:id="37"/>
      <w:r>
        <w:rPr>
          <w:rFonts w:hint="eastAsia" w:asciiTheme="minorEastAsia" w:hAnsiTheme="minorEastAsia" w:eastAsiaTheme="minorEastAsia" w:cstheme="minorEastAsia"/>
          <w:color w:val="auto"/>
          <w:sz w:val="24"/>
          <w:highlight w:val="none"/>
        </w:rPr>
        <w:t>7.1</w:t>
      </w:r>
      <w:bookmarkStart w:id="38" w:name="_Hlk65832145"/>
      <w:r>
        <w:rPr>
          <w:rFonts w:hint="eastAsia" w:asciiTheme="minorEastAsia" w:hAnsiTheme="minorEastAsia" w:eastAsiaTheme="minorEastAsia" w:cstheme="minorEastAsia"/>
          <w:color w:val="auto"/>
          <w:sz w:val="24"/>
          <w:highlight w:val="none"/>
        </w:rPr>
        <w:t>如果本磋商文件要求提供供应商或制造商的资格、信誉、荣誉、业绩与企业认证等材料的，资格、信誉、荣誉、业绩与企业认证等必须为供应商或者制造商所拥有或自身获得 。</w:t>
      </w:r>
    </w:p>
    <w:bookmarkEnd w:id="38"/>
    <w:p w14:paraId="6B72119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7.2供应商应仔细阅读磋商文件的所有内容，按照磋商文件的要求提交响应文件，并对所提供的全部资料的真实性承担法律责任。</w:t>
      </w:r>
    </w:p>
    <w:p w14:paraId="07933715">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7.3供应商在响应活动中提供任何疑似虚假材料，将报监管部门查处；签订合同后发现的，成交供应商须依照《中华人民共和国消费者权益保护法》规定赔偿采购人，且民事赔偿并不免除违法供应商的行政与刑事责任。</w:t>
      </w:r>
    </w:p>
    <w:p w14:paraId="631145D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7.4在政府采购活动中，采购人员及相关人员与供应商有下列利害关系之一的，应当回避：</w:t>
      </w:r>
    </w:p>
    <w:p w14:paraId="5C0D7FE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（1）参加采购活动前3年内与供应商存在劳动关系；</w:t>
      </w:r>
    </w:p>
    <w:p w14:paraId="12E9B35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（2）参加采购活动前3年内担任供应商的董事、监事；</w:t>
      </w:r>
    </w:p>
    <w:p w14:paraId="0FFE8C3E">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（3）参加采购活动前3年内是供应商的控股股东或者实际控制人；</w:t>
      </w:r>
    </w:p>
    <w:p w14:paraId="766D492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（4）与供应商的法定代表人或者负责人有夫妻、直系血亲、三代以内旁系血亲或者近姻亲关系；</w:t>
      </w:r>
    </w:p>
    <w:p w14:paraId="44882DB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（5）与供应商有其他可能影响政府采购活动公平、公正进行的关系。</w:t>
      </w:r>
    </w:p>
    <w:p w14:paraId="1F2E7BF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F5A6065">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7.5有下列情形之一的视为供应商相互串通响应，响应文件将被视为无效：</w:t>
      </w:r>
    </w:p>
    <w:p w14:paraId="0C0EC89B">
      <w:pPr>
        <w:numPr>
          <w:ilvl w:val="0"/>
          <w:numId w:val="2"/>
        </w:num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不同供应商的响应文件由同一单位或者个人编制；或者不同供应商报名的IP地址一致的；或者编制响应文件硬件设备CPU编号、硬盘编号、网卡地址一致的情况； </w:t>
      </w:r>
    </w:p>
    <w:p w14:paraId="71EC9EB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（2）不同供应商委托同一单位或者个人办理响应事宜；</w:t>
      </w:r>
    </w:p>
    <w:p w14:paraId="5DCA86A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（3）不同的供应商的响应文件载明的项目管理员为同一个人；</w:t>
      </w:r>
    </w:p>
    <w:p w14:paraId="0486126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（4）不同供应商的响应文件异常一致或者报价呈规律性差异；</w:t>
      </w:r>
    </w:p>
    <w:p w14:paraId="05D9F16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（5）不同供应商的响应文件相互混装；</w:t>
      </w:r>
    </w:p>
    <w:p w14:paraId="3FC3702A">
      <w:pPr>
        <w:shd w:val="clear"/>
        <w:tabs>
          <w:tab w:val="left" w:pos="6931"/>
        </w:tabs>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（6）不同供应商的磋商保证金从同一单位或者个人账户转出。</w:t>
      </w:r>
      <w:r>
        <w:rPr>
          <w:rFonts w:hint="eastAsia" w:asciiTheme="minorEastAsia" w:hAnsiTheme="minorEastAsia" w:eastAsiaTheme="minorEastAsia" w:cstheme="minorEastAsia"/>
          <w:color w:val="auto"/>
          <w:sz w:val="24"/>
          <w:highlight w:val="none"/>
        </w:rPr>
        <w:tab/>
      </w:r>
    </w:p>
    <w:p w14:paraId="6ADCB6CB">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7.6供应商有下列情形之一的，属于恶意串通行为，将报同级监督管理部门：</w:t>
      </w:r>
    </w:p>
    <w:p w14:paraId="321A54A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（1）供应商直接或者间接从采购人或者采购代理机构处获得其他供应商的相关信息并修改其响应文件；</w:t>
      </w:r>
    </w:p>
    <w:p w14:paraId="590E685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（2）供应商按照采购人或者采购代理机构的授意撤换、修改响应文件；</w:t>
      </w:r>
    </w:p>
    <w:p w14:paraId="66E0C30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（3）供应商之间协商报价、技术方案等响应文件或者响应文件的实质性内容；</w:t>
      </w:r>
    </w:p>
    <w:p w14:paraId="1752281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（4）属于同一集团、协会、商会等组织成员的供应商按照该组织要求协同参加政府采购活动；</w:t>
      </w:r>
    </w:p>
    <w:p w14:paraId="7D981BF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（5）供应商之间事先约定一致抬高或者压低报价，或者在政府采购活动中事先约定轮流以高价位或者低价位成交，或者事先约定由某一特定供应商成交，然后再参加响应；</w:t>
      </w:r>
    </w:p>
    <w:p w14:paraId="2658D77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（6）供应商之间商定部分供应商放弃参加政府采购活动或者放弃成交；</w:t>
      </w:r>
    </w:p>
    <w:p w14:paraId="6A4357F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（7）供应商与采购人或者采购代理机构之间、供应商相互之间，为谋求特定供应商成交或者排斥其他供应商的其他串通行为。</w:t>
      </w:r>
    </w:p>
    <w:p w14:paraId="496CE7BB">
      <w:pPr>
        <w:shd w:val="clear"/>
        <w:wordWrap w:val="0"/>
        <w:spacing w:line="336" w:lineRule="auto"/>
        <w:ind w:firstLine="640" w:firstLineChars="200"/>
        <w:rPr>
          <w:rFonts w:asciiTheme="minorEastAsia" w:hAnsiTheme="minorEastAsia" w:eastAsiaTheme="minorEastAsia" w:cstheme="minorEastAsia"/>
          <w:color w:val="auto"/>
          <w:sz w:val="32"/>
          <w:szCs w:val="32"/>
          <w:highlight w:val="none"/>
        </w:rPr>
      </w:pPr>
      <w:bookmarkStart w:id="39" w:name="_Toc254970675"/>
      <w:bookmarkStart w:id="40" w:name="_Toc254970534"/>
      <w:r>
        <w:rPr>
          <w:rFonts w:hint="eastAsia" w:asciiTheme="minorEastAsia" w:hAnsiTheme="minorEastAsia" w:eastAsiaTheme="minorEastAsia" w:cstheme="minorEastAsia"/>
          <w:color w:val="auto"/>
          <w:sz w:val="32"/>
          <w:szCs w:val="32"/>
          <w:highlight w:val="none"/>
        </w:rPr>
        <w:t>二、磋商文件</w:t>
      </w:r>
      <w:bookmarkEnd w:id="39"/>
      <w:bookmarkEnd w:id="40"/>
    </w:p>
    <w:p w14:paraId="5AF69C82">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8.磋商文件的构成</w:t>
      </w:r>
    </w:p>
    <w:p w14:paraId="38E0C299">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第一章 竞争性磋商公告；</w:t>
      </w:r>
    </w:p>
    <w:p w14:paraId="206A34FB">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第二章 采购需求；</w:t>
      </w:r>
    </w:p>
    <w:p w14:paraId="6F317988">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第三章 供应商须知； </w:t>
      </w:r>
    </w:p>
    <w:p w14:paraId="1DB05A10">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第四章 评审程序、评审方法和评审标准；</w:t>
      </w:r>
    </w:p>
    <w:p w14:paraId="2B6B1DE9">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第五章 响应文件格式；</w:t>
      </w:r>
    </w:p>
    <w:p w14:paraId="62C62067">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第六章 合同文本；</w:t>
      </w:r>
    </w:p>
    <w:p w14:paraId="3B8F8A3B">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第七章 质疑、投诉材料格式。</w:t>
      </w:r>
    </w:p>
    <w:p w14:paraId="5EDF8647">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9.供应商的询问</w:t>
      </w:r>
    </w:p>
    <w:p w14:paraId="1CB8E9F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34836C23">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10.磋商文件的澄清和修改</w:t>
      </w:r>
    </w:p>
    <w:p w14:paraId="135423E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629F2553">
      <w:pPr>
        <w:shd w:val="clear"/>
        <w:wordWrap w:val="0"/>
        <w:spacing w:line="336"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33C651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日前，以书面形式（目前为网上公告和系统短信等形式）通知所有获取磋商文件的供应商，不足</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日的，应当顺延提交首次响应文件截止之日。</w:t>
      </w:r>
    </w:p>
    <w:p w14:paraId="7BB6088B">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10.4</w:t>
      </w:r>
      <w:r>
        <w:rPr>
          <w:rFonts w:hint="eastAsia" w:asciiTheme="minorEastAsia" w:hAnsiTheme="minorEastAsia" w:eastAsiaTheme="minorEastAsia" w:cstheme="minorEastAsia"/>
          <w:color w:val="auto"/>
          <w:sz w:val="24"/>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75C7E6DE">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70633061">
      <w:pPr>
        <w:shd w:val="clear"/>
        <w:wordWrap w:val="0"/>
        <w:spacing w:line="336"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b/>
          <w:color w:val="auto"/>
          <w:kern w:val="0"/>
          <w:sz w:val="24"/>
          <w:highlight w:val="none"/>
        </w:rPr>
        <w:t>响应文件未按磋商文件的澄清、修改的内容编制，又不符合实质性要求的，其响应文件作无效处理。</w:t>
      </w:r>
    </w:p>
    <w:p w14:paraId="4A5D8439">
      <w:pPr>
        <w:shd w:val="clear"/>
        <w:wordWrap w:val="0"/>
        <w:spacing w:line="336" w:lineRule="auto"/>
        <w:ind w:firstLine="640"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三、响应文件的编制</w:t>
      </w:r>
    </w:p>
    <w:p w14:paraId="1418BF3B">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11.响应文件的编制原则</w:t>
      </w:r>
    </w:p>
    <w:p w14:paraId="7434286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供应商必须按照磋商文件的要求编制响应文件，并对其提交的响应文件的真实性、合法性承担法律责任。响应文件必须对磋商文件作出实质性响应。</w:t>
      </w:r>
    </w:p>
    <w:p w14:paraId="19E3D672">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12.响应文件的组成</w:t>
      </w:r>
    </w:p>
    <w:p w14:paraId="153877C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12.1响应文件由资格证明文件、报价文件、商务和技术文件三部分组成。</w:t>
      </w:r>
    </w:p>
    <w:p w14:paraId="74C97255">
      <w:pPr>
        <w:shd w:val="clear"/>
        <w:wordWrap w:val="0"/>
        <w:spacing w:line="336"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12.1.1资格证明文件：详见须知前附表</w:t>
      </w:r>
    </w:p>
    <w:p w14:paraId="04F3CCD5">
      <w:pPr>
        <w:shd w:val="clear"/>
        <w:wordWrap w:val="0"/>
        <w:spacing w:line="336"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12.1.2商务技术文件：详见须知前附表</w:t>
      </w:r>
    </w:p>
    <w:p w14:paraId="46558E0C">
      <w:pPr>
        <w:shd w:val="clear"/>
        <w:wordWrap w:val="0"/>
        <w:spacing w:line="336"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12.1.3报价文件：详见须知前附表</w:t>
      </w:r>
    </w:p>
    <w:p w14:paraId="4C0EEF6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12.2响应文件电子版：详见须知前附表</w:t>
      </w:r>
    </w:p>
    <w:p w14:paraId="45E4333E">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13.计量单位</w:t>
      </w:r>
    </w:p>
    <w:p w14:paraId="0B38755A">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磋商文件已有明确规定的，使用磋商文件规定的计量单位；磋商文件没有规定的，应采用中华人民共和国法定计量单位，货币种类为人民币，否则视同未响应。</w:t>
      </w:r>
    </w:p>
    <w:p w14:paraId="44341354">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14.响应的风险</w:t>
      </w:r>
    </w:p>
    <w:p w14:paraId="7107D15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供应商没有按照磋商文件要求提供全部资料，或者供应商没有对磋商文件在各方面作出实质性响应可能导致其响应无效，是供应商应当考虑的风险。</w:t>
      </w:r>
    </w:p>
    <w:p w14:paraId="77560228">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15.响应报价要求和构成</w:t>
      </w:r>
    </w:p>
    <w:p w14:paraId="33B1D7F0">
      <w:pPr>
        <w:shd w:val="clear"/>
        <w:tabs>
          <w:tab w:val="left" w:pos="2492"/>
        </w:tabs>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15.1响应报价应按“第五章 响应文件格式”中“响应报价表”格式填写。</w:t>
      </w:r>
    </w:p>
    <w:p w14:paraId="1F568F27">
      <w:pPr>
        <w:shd w:val="clear"/>
        <w:tabs>
          <w:tab w:val="left" w:pos="2492"/>
        </w:tabs>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15.2响应报价的价格构成见“供应商须知前附表”。</w:t>
      </w:r>
    </w:p>
    <w:p w14:paraId="733190D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15.3响应报价要求</w:t>
      </w:r>
    </w:p>
    <w:p w14:paraId="207F578A">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15.3.1供应商的响应报价应符合以下要求，否则响应文件按无效响应处理：</w:t>
      </w:r>
    </w:p>
    <w:p w14:paraId="78F9B56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（1）供应商必须就“采购需求”中所响应的每个分标的全部内容分别作完整唯一总价报价，不得存在漏项报价；</w:t>
      </w:r>
    </w:p>
    <w:p w14:paraId="5CB50A2A">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（2）供应商必须就所响应的分标的单项内容作唯一报价。</w:t>
      </w:r>
    </w:p>
    <w:p w14:paraId="056EE35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15.3.2响应报价（包含首次报价、最后报价）超过所响应分标规定的采购预算金额或者最高限价的，其响应文件将作无效处理。</w:t>
      </w:r>
    </w:p>
    <w:p w14:paraId="70956A9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15.3.3</w:t>
      </w:r>
      <w:bookmarkStart w:id="41" w:name="_Hlk42592874"/>
      <w:r>
        <w:rPr>
          <w:rFonts w:hint="eastAsia" w:asciiTheme="minorEastAsia" w:hAnsiTheme="minorEastAsia" w:eastAsiaTheme="minorEastAsia" w:cstheme="minorEastAsia"/>
          <w:color w:val="auto"/>
          <w:sz w:val="24"/>
          <w:highlight w:val="none"/>
        </w:rPr>
        <w:t>响应报价（包含首次报价、最后报价）超过分项采购预算金额或者最高限价的，其响应文件将作无效处理。</w:t>
      </w:r>
    </w:p>
    <w:bookmarkEnd w:id="41"/>
    <w:p w14:paraId="7B712C17">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16.响应有效期</w:t>
      </w:r>
    </w:p>
    <w:p w14:paraId="3649A9B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16.1响应有效期是指为保证采购人有足够的时间在提交响应文件后完成评审、确定成交供应商、合同签订等工作而要求供应商提交的响应文件在一定时间内保持有效的期限。</w:t>
      </w:r>
    </w:p>
    <w:p w14:paraId="06B7911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 响应有效期应由供应商按“供应商须知前附表”规定的期限作出响应。</w:t>
      </w:r>
    </w:p>
    <w:p w14:paraId="784C36C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16.3供应商的响应文件在响应有效期内均保持有效。</w:t>
      </w:r>
    </w:p>
    <w:p w14:paraId="7FD10864">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17.磋商保证金</w:t>
      </w:r>
    </w:p>
    <w:p w14:paraId="50BE817D">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详见“供应商须知前附表”。</w:t>
      </w:r>
    </w:p>
    <w:p w14:paraId="0066A68C">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18.响应文件编制的要求</w:t>
      </w:r>
    </w:p>
    <w:p w14:paraId="5199C645">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3D5B03AB">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18.2响应文件应按资格证明、报价分别编制，商务技术文件合并编制，本磋商只接受电子版响应文件，要求见本章“12.2响应文件电子版要求”。</w:t>
      </w:r>
    </w:p>
    <w:p w14:paraId="40FE1FF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w:t>
      </w:r>
      <w:bookmarkStart w:id="42" w:name="_Hlk65832699"/>
      <w:r>
        <w:rPr>
          <w:rFonts w:hint="eastAsia" w:asciiTheme="minorEastAsia" w:hAnsiTheme="minorEastAsia" w:eastAsiaTheme="minorEastAsia" w:cstheme="minorEastAsia"/>
          <w:color w:val="auto"/>
          <w:sz w:val="24"/>
          <w:highlight w:val="none"/>
        </w:rPr>
        <w:t>3响应文件须由供应商在</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sz w:val="24"/>
          <w:highlight w:val="none"/>
        </w:rPr>
        <w:t>第五章 响应文件格式</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sz w:val="24"/>
          <w:highlight w:val="none"/>
        </w:rPr>
        <w:t>规定位置进行签署、盖章</w:t>
      </w:r>
      <w:bookmarkEnd w:id="42"/>
      <w:r>
        <w:rPr>
          <w:rFonts w:hint="eastAsia" w:asciiTheme="minorEastAsia" w:hAnsiTheme="minorEastAsia" w:eastAsiaTheme="minorEastAsia" w:cstheme="minorEastAsia"/>
          <w:color w:val="auto"/>
          <w:sz w:val="24"/>
          <w:highlight w:val="none"/>
        </w:rPr>
        <w:t>，否则其响应文件按无效响应处理。骑缝盖公章不视为在规定位置盖章。</w:t>
      </w:r>
    </w:p>
    <w:p w14:paraId="705589A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18.4响应文件成交注的供应商名称应与营业执照（事业单位法人证书、执业许可证、自然人身份证）及电子公章一致，否则其响应文件按无效响应处理。</w:t>
      </w:r>
    </w:p>
    <w:p w14:paraId="381D989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18.5响应文件应避免涂改、行间插字或者删除，否则其响应文件按无效响应处理。</w:t>
      </w:r>
    </w:p>
    <w:p w14:paraId="60D11A81">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19.响应文件的密封和标记</w:t>
      </w:r>
    </w:p>
    <w:p w14:paraId="66F5B975">
      <w:pPr>
        <w:shd w:val="clear"/>
        <w:wordWrap w:val="0"/>
        <w:spacing w:line="336"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19.1供应商进行电子交易应安装客户端软件—“广西政府采购云平台客户端”，并按照磋商文件和电子交易平台的要求编制并加密响应文件。供应商未按规定加密的响应文件，电子交易平台将拒收并提示。</w:t>
      </w:r>
    </w:p>
    <w:p w14:paraId="3106428A">
      <w:pPr>
        <w:shd w:val="clear"/>
        <w:wordWrap w:val="0"/>
        <w:spacing w:line="336"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19.2使用“广西政府采购云平台客户端”需要提前申领CA数字证书，申领流程见该项目采购公告附件。</w:t>
      </w:r>
    </w:p>
    <w:p w14:paraId="521E023E">
      <w:pPr>
        <w:pStyle w:val="13"/>
        <w:shd w:val="clear"/>
        <w:wordWrap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19.3为确保网上操作合法、有效和安全，供应商应当在响应文件提交截止时间前完成在“广西政府采购云平台”的身份认证，确保在电子交易过程中能够对相关数据电文进行加密和使用电子签名。</w:t>
      </w:r>
    </w:p>
    <w:p w14:paraId="5B357DAC">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20.响应文件的提交</w:t>
      </w:r>
    </w:p>
    <w:p w14:paraId="30E9F53A">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20.1供应商必须在“供应商须知前附表”规定的时间和地点提交响应文件。</w:t>
      </w:r>
    </w:p>
    <w:p w14:paraId="6E7C827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20.2 在响应文件提交截止时间以后，不能补充、修改响应文件。</w:t>
      </w:r>
    </w:p>
    <w:p w14:paraId="5933F4F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20.3 在提交“最后报价”后，供应商不能退出谈判。</w:t>
      </w:r>
    </w:p>
    <w:p w14:paraId="12474B4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445EE63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20.5 采购机构不可视情况延长提交响应文件的截止时间。</w:t>
      </w:r>
    </w:p>
    <w:p w14:paraId="51B85B7D">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20.6备份响应文件。</w:t>
      </w:r>
      <w:r>
        <w:rPr>
          <w:rFonts w:hint="eastAsia" w:asciiTheme="minorEastAsia" w:hAnsiTheme="minorEastAsia" w:eastAsiaTheme="minorEastAsia" w:cstheme="minorEastAsia"/>
          <w:bCs/>
          <w:color w:val="auto"/>
          <w:sz w:val="24"/>
          <w:highlight w:val="none"/>
        </w:rPr>
        <w:t>详见在“供应商须知前附表”。</w:t>
      </w:r>
    </w:p>
    <w:p w14:paraId="50978094">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21.首次响应文件的补充、修改与撤回</w:t>
      </w:r>
    </w:p>
    <w:p w14:paraId="08D7DD6B">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详见“供应商须知前附表”。</w:t>
      </w:r>
    </w:p>
    <w:p w14:paraId="148682C4">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bookmarkStart w:id="43" w:name="_Hlk45702405"/>
      <w:r>
        <w:rPr>
          <w:rFonts w:hint="eastAsia" w:asciiTheme="minorEastAsia" w:hAnsiTheme="minorEastAsia" w:eastAsiaTheme="minorEastAsia" w:cstheme="minorEastAsia"/>
          <w:b/>
          <w:bCs/>
          <w:color w:val="auto"/>
          <w:sz w:val="24"/>
          <w:highlight w:val="none"/>
        </w:rPr>
        <w:t>22. 首次响应文件的退回</w:t>
      </w:r>
    </w:p>
    <w:p w14:paraId="221D981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在首次响应文件提交截止时间止提交响应文件的供应商不足3家时电子响应文件由代理机构在</w:t>
      </w:r>
      <w:r>
        <w:rPr>
          <w:rFonts w:hint="eastAsia" w:asciiTheme="minorEastAsia" w:hAnsiTheme="minorEastAsia" w:eastAsiaTheme="minorEastAsia" w:cstheme="minorEastAsia"/>
          <w:color w:val="auto"/>
          <w:sz w:val="24"/>
          <w:highlight w:val="none"/>
          <w:lang w:eastAsia="zh-CN"/>
        </w:rPr>
        <w:t>“广西政府采购云平台”</w:t>
      </w:r>
      <w:r>
        <w:rPr>
          <w:rFonts w:hint="eastAsia" w:asciiTheme="minorEastAsia" w:hAnsiTheme="minorEastAsia" w:eastAsiaTheme="minorEastAsia" w:cstheme="minorEastAsia"/>
          <w:color w:val="auto"/>
          <w:sz w:val="24"/>
          <w:highlight w:val="none"/>
        </w:rPr>
        <w:t>平台操作退回，除此之外采购人和采购代理机构对已提交的电子响应文件概不退回。</w:t>
      </w:r>
    </w:p>
    <w:p w14:paraId="50C4D6D3">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23. 截止时间后的撤回</w:t>
      </w:r>
    </w:p>
    <w:p w14:paraId="1091C09E">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本项目不收取磋商保证金，供应商在首次响应文件提交截止时间后可向采购人、采购代理机构书面申请撤回电子响应文件。</w:t>
      </w:r>
      <w:bookmarkEnd w:id="43"/>
    </w:p>
    <w:p w14:paraId="3BC05B98">
      <w:pPr>
        <w:shd w:val="clear"/>
        <w:wordWrap w:val="0"/>
        <w:spacing w:line="336" w:lineRule="auto"/>
        <w:ind w:firstLine="640"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四、评审及磋商</w:t>
      </w:r>
    </w:p>
    <w:p w14:paraId="09EAA558">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24.磋商小组成立</w:t>
      </w:r>
    </w:p>
    <w:p w14:paraId="69DA8FF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CF770A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282ACCC">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25.首次响应文件的开启</w:t>
      </w:r>
    </w:p>
    <w:p w14:paraId="4D5460C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25.1首次响应文件由磋商小组或者采购代理机构在“供应商须知前附表”规定的时间开启。</w:t>
      </w:r>
    </w:p>
    <w:p w14:paraId="421B967F">
      <w:pPr>
        <w:pStyle w:val="13"/>
        <w:shd w:val="clear"/>
        <w:wordWrap w:val="0"/>
        <w:spacing w:line="336"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25.2 </w:t>
      </w:r>
      <w:r>
        <w:rPr>
          <w:rFonts w:hint="eastAsia" w:asciiTheme="minorEastAsia" w:hAnsiTheme="minorEastAsia" w:eastAsiaTheme="minorEastAsia" w:cstheme="minorEastAsia"/>
          <w:bCs/>
          <w:color w:val="auto"/>
          <w:sz w:val="24"/>
          <w:szCs w:val="24"/>
          <w:highlight w:val="none"/>
        </w:rPr>
        <w:t>响应文件解密</w:t>
      </w:r>
    </w:p>
    <w:p w14:paraId="2392EBEE">
      <w:pPr>
        <w:pStyle w:val="13"/>
        <w:shd w:val="clear"/>
        <w:wordWrap w:val="0"/>
        <w:snapToGrid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采购代理机构将在“供应商须知前附表”规定的时</w:t>
      </w:r>
      <w:r>
        <w:rPr>
          <w:rFonts w:hint="eastAsia" w:asciiTheme="minorEastAsia" w:hAnsiTheme="minorEastAsia" w:eastAsiaTheme="minorEastAsia" w:cstheme="minorEastAsia"/>
          <w:color w:val="auto"/>
          <w:sz w:val="24"/>
          <w:szCs w:val="24"/>
          <w:highlight w:val="none"/>
        </w:rPr>
        <w:t>间通过电子交易平台组织响应文件开启，采购机构依托电子交易平台发起开始解密指令，供应商的法定代表人或其委托代理人</w:t>
      </w:r>
      <w:r>
        <w:rPr>
          <w:rFonts w:hint="eastAsia" w:asciiTheme="minorEastAsia" w:hAnsiTheme="minorEastAsia" w:eastAsiaTheme="minorEastAsia" w:cstheme="minorEastAsia"/>
          <w:b/>
          <w:color w:val="auto"/>
          <w:sz w:val="24"/>
          <w:szCs w:val="24"/>
          <w:highlight w:val="none"/>
        </w:rPr>
        <w:t>须携带加密时所用的CA锁按平台提示和采购文件的规定登录到</w:t>
      </w:r>
      <w:r>
        <w:rPr>
          <w:rFonts w:hint="eastAsia" w:asciiTheme="minorEastAsia" w:hAnsiTheme="minorEastAsia" w:eastAsiaTheme="minorEastAsia" w:cstheme="minorEastAsia"/>
          <w:b/>
          <w:color w:val="auto"/>
          <w:sz w:val="24"/>
          <w:szCs w:val="24"/>
          <w:highlight w:val="none"/>
          <w:lang w:eastAsia="zh-CN"/>
        </w:rPr>
        <w:t>“广西政府采购云平台”</w:t>
      </w:r>
      <w:r>
        <w:rPr>
          <w:rFonts w:hint="eastAsia" w:asciiTheme="minorEastAsia" w:hAnsiTheme="minorEastAsia" w:eastAsiaTheme="minorEastAsia" w:cstheme="minorEastAsia"/>
          <w:b/>
          <w:color w:val="auto"/>
          <w:sz w:val="24"/>
          <w:szCs w:val="24"/>
          <w:highlight w:val="none"/>
        </w:rPr>
        <w:t>平台电子开标大厅签到并在发起解密指令之时起30分钟内完成对电子响应文件在线解密</w:t>
      </w:r>
      <w:r>
        <w:rPr>
          <w:rFonts w:hint="eastAsia" w:asciiTheme="minorEastAsia" w:hAnsiTheme="minorEastAsia" w:eastAsiaTheme="minorEastAsia" w:cstheme="minorEastAsia"/>
          <w:color w:val="auto"/>
          <w:sz w:val="24"/>
          <w:szCs w:val="24"/>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Theme="minorEastAsia" w:hAnsiTheme="minorEastAsia" w:eastAsiaTheme="minorEastAsia" w:cstheme="minorEastAsia"/>
          <w:b/>
          <w:color w:val="auto"/>
          <w:sz w:val="24"/>
          <w:szCs w:val="24"/>
          <w:highlight w:val="none"/>
        </w:rPr>
        <w:t>视为响应文件无效。</w:t>
      </w:r>
      <w:r>
        <w:rPr>
          <w:rFonts w:hint="eastAsia" w:asciiTheme="minorEastAsia" w:hAnsiTheme="minorEastAsia" w:eastAsiaTheme="minorEastAsia" w:cstheme="minorEastAsia"/>
          <w:color w:val="auto"/>
          <w:sz w:val="24"/>
          <w:szCs w:val="24"/>
          <w:highlight w:val="none"/>
        </w:rPr>
        <w:t>（解密</w:t>
      </w:r>
      <w:r>
        <w:rPr>
          <w:rFonts w:hint="eastAsia" w:asciiTheme="minorEastAsia" w:hAnsiTheme="minorEastAsia" w:eastAsiaTheme="minorEastAsia" w:cstheme="minorEastAsia"/>
          <w:bCs/>
          <w:color w:val="auto"/>
          <w:sz w:val="24"/>
          <w:szCs w:val="24"/>
          <w:highlight w:val="none"/>
        </w:rPr>
        <w:t>异常情况处理：详见本章</w:t>
      </w:r>
      <w:r>
        <w:rPr>
          <w:rFonts w:hint="eastAsia" w:asciiTheme="minorEastAsia" w:hAnsiTheme="minorEastAsia" w:eastAsiaTheme="minorEastAsia" w:cstheme="minorEastAsia"/>
          <w:color w:val="auto"/>
          <w:sz w:val="24"/>
          <w:szCs w:val="24"/>
          <w:highlight w:val="none"/>
        </w:rPr>
        <w:t>26.3 电子交易活动的中止。）</w:t>
      </w:r>
    </w:p>
    <w:p w14:paraId="0CF5FAA0">
      <w:pPr>
        <w:pStyle w:val="13"/>
        <w:shd w:val="clear"/>
        <w:wordWrap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w:t>
      </w:r>
      <w:r>
        <w:rPr>
          <w:rFonts w:hint="eastAsia" w:asciiTheme="minorEastAsia" w:hAnsiTheme="minorEastAsia" w:eastAsiaTheme="minorEastAsia" w:cstheme="minorEastAsia"/>
          <w:bCs/>
          <w:color w:val="auto"/>
          <w:sz w:val="24"/>
          <w:szCs w:val="24"/>
          <w:highlight w:val="none"/>
        </w:rPr>
        <w:t>供应商成功解密响应文件，但未在</w:t>
      </w:r>
      <w:r>
        <w:rPr>
          <w:rFonts w:hint="eastAsia" w:asciiTheme="minorEastAsia" w:hAnsiTheme="minorEastAsia" w:eastAsiaTheme="minorEastAsia" w:cstheme="minorEastAsia"/>
          <w:bCs/>
          <w:color w:val="auto"/>
          <w:sz w:val="24"/>
          <w:szCs w:val="24"/>
          <w:highlight w:val="none"/>
          <w:lang w:eastAsia="zh-CN"/>
        </w:rPr>
        <w:t>“广西政府采购云平台”</w:t>
      </w:r>
      <w:r>
        <w:rPr>
          <w:rFonts w:hint="eastAsia" w:asciiTheme="minorEastAsia" w:hAnsiTheme="minorEastAsia" w:eastAsiaTheme="minorEastAsia" w:cstheme="minorEastAsia"/>
          <w:bCs/>
          <w:color w:val="auto"/>
          <w:sz w:val="24"/>
          <w:szCs w:val="24"/>
          <w:highlight w:val="none"/>
        </w:rPr>
        <w:t>电子开标大厅参加谈判的，视同认可谈判过程和结果，</w:t>
      </w:r>
      <w:r>
        <w:rPr>
          <w:rFonts w:hint="eastAsia" w:asciiTheme="minorEastAsia" w:hAnsiTheme="minorEastAsia" w:eastAsiaTheme="minorEastAsia" w:cstheme="minorEastAsia"/>
          <w:color w:val="auto"/>
          <w:sz w:val="24"/>
          <w:szCs w:val="24"/>
          <w:highlight w:val="none"/>
        </w:rPr>
        <w:t>由此产生的后果由供应商自行负责。 参与谈判的供应商不足3家的，不得谈判。</w:t>
      </w:r>
    </w:p>
    <w:p w14:paraId="3C6946DD">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26.评审程序、评审方法和评审标准</w:t>
      </w:r>
    </w:p>
    <w:p w14:paraId="1CEA3C4E">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26.1磋商小组按照“第四章 评审程序、评审方法和评审标准”规定的方法、评审因素、标准和程序对响应文件进行评审。</w:t>
      </w:r>
    </w:p>
    <w:p w14:paraId="2AB15EAE">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 采购需求负偏离要求及磋商顺序详见 “ 供应商须知前附表”。</w:t>
      </w:r>
    </w:p>
    <w:p w14:paraId="1C47153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26.3电子交易活动的中止。采购过程中出现以下情形，导致电子交易平台无法正常运行，或者无法保证电子交易的公平、公正和安全时，采购机构可中止电子交易活动：</w:t>
      </w:r>
    </w:p>
    <w:p w14:paraId="1D13481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（1）电子交易平台发生故障而无法登录访问的； </w:t>
      </w:r>
    </w:p>
    <w:p w14:paraId="0C91DF2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（2）电子交易平台应用或数据库出现错误，不能进行正常操作的；</w:t>
      </w:r>
    </w:p>
    <w:p w14:paraId="74A9C14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（3）电子交易平台发现严重安全漏洞，有潜在泄密危险的；</w:t>
      </w:r>
    </w:p>
    <w:p w14:paraId="0B3DCA4A">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（4）病毒发作导致不能进行正常操作的； </w:t>
      </w:r>
    </w:p>
    <w:p w14:paraId="5354942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（4）其他无法保证电子交易的公平、公正和安全的情况。</w:t>
      </w:r>
    </w:p>
    <w:p w14:paraId="7BD0C44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D4A7864">
      <w:pPr>
        <w:shd w:val="clear"/>
        <w:wordWrap w:val="0"/>
        <w:spacing w:line="336" w:lineRule="auto"/>
        <w:ind w:firstLine="450" w:firstLineChars="150"/>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五、成交及合同</w:t>
      </w:r>
    </w:p>
    <w:p w14:paraId="3C33439B">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27.确定成交供应商及结果公告</w:t>
      </w:r>
    </w:p>
    <w:p w14:paraId="11056FB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27.1确定成交供应商。</w:t>
      </w:r>
      <w:r>
        <w:rPr>
          <w:rFonts w:hint="eastAsia" w:asciiTheme="minorEastAsia" w:hAnsiTheme="minorEastAsia" w:eastAsiaTheme="minorEastAsia" w:cstheme="minorEastAsia"/>
          <w:color w:val="auto"/>
          <w:kern w:val="0"/>
          <w:sz w:val="24"/>
          <w:highlight w:val="none"/>
          <w:u w:val="single"/>
        </w:rPr>
        <w:t xml:space="preserve"> 由采购人直接委托评审专家确定</w:t>
      </w:r>
      <w:r>
        <w:rPr>
          <w:rFonts w:hint="eastAsia" w:asciiTheme="minorEastAsia" w:hAnsiTheme="minorEastAsia" w:eastAsiaTheme="minorEastAsia" w:cstheme="minorEastAsia"/>
          <w:color w:val="auto"/>
          <w:sz w:val="24"/>
          <w:highlight w:val="none"/>
          <w:u w:val="single"/>
        </w:rPr>
        <w:t>，评审报告提出的排序第一的供应商为成交供应商。</w:t>
      </w:r>
    </w:p>
    <w:p w14:paraId="326A3A6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27.2成交通知及成交结果公告。</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sz w:val="24"/>
          <w:highlight w:val="none"/>
        </w:rPr>
        <w:t>供应商确定后2个工作日内，在省级以上财政部门指定的媒体上公</w:t>
      </w:r>
      <w:r>
        <w:rPr>
          <w:rFonts w:hint="eastAsia" w:asciiTheme="minorEastAsia" w:hAnsiTheme="minorEastAsia" w:eastAsiaTheme="minorEastAsia" w:cstheme="minorEastAsia"/>
          <w:color w:val="auto"/>
          <w:kern w:val="0"/>
          <w:sz w:val="24"/>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Theme="minorEastAsia" w:hAnsiTheme="minorEastAsia" w:eastAsiaTheme="minorEastAsia" w:cstheme="minorEastAsia"/>
          <w:color w:val="auto"/>
          <w:sz w:val="24"/>
          <w:highlight w:val="none"/>
        </w:rPr>
        <w:t>同时向成交供应商发出成交通知书，成交通知书规定签订合同的时间不得超过25日。</w:t>
      </w:r>
    </w:p>
    <w:p w14:paraId="522C71F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27.3采购人或者采购代理机构发出成交通知书前，应当对成交供应商信用进行查询核实，对列入失信被执行人、</w:t>
      </w:r>
      <w:r>
        <w:rPr>
          <w:rFonts w:hint="eastAsia" w:asciiTheme="minorEastAsia" w:hAnsiTheme="minorEastAsia" w:eastAsiaTheme="minorEastAsia" w:cstheme="minorEastAsia"/>
          <w:color w:val="auto"/>
          <w:sz w:val="24"/>
          <w:highlight w:val="none"/>
          <w:lang w:eastAsia="zh-CN"/>
        </w:rPr>
        <w:t>重大税收违法失信主体</w:t>
      </w:r>
      <w:r>
        <w:rPr>
          <w:rFonts w:hint="eastAsia" w:asciiTheme="minorEastAsia" w:hAnsiTheme="minorEastAsia" w:eastAsiaTheme="minorEastAsia" w:cstheme="minorEastAsia"/>
          <w:color w:val="auto"/>
          <w:sz w:val="24"/>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2A03EA0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FEB477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27.5</w:t>
      </w:r>
      <w:r>
        <w:rPr>
          <w:rFonts w:hint="eastAsia" w:asciiTheme="minorEastAsia" w:hAnsiTheme="minorEastAsia" w:eastAsiaTheme="minorEastAsia" w:cstheme="minorEastAsia"/>
          <w:color w:val="auto"/>
          <w:sz w:val="24"/>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1A13B79E">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28.履约保证金</w:t>
      </w:r>
    </w:p>
    <w:p w14:paraId="0F143AEB">
      <w:pPr>
        <w:shd w:val="clear"/>
        <w:wordWrap w:val="0"/>
        <w:spacing w:line="336" w:lineRule="auto"/>
        <w:ind w:firstLine="480"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详见 “供应商须知前附表”</w:t>
      </w:r>
    </w:p>
    <w:p w14:paraId="1880331E">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29.签订合同</w:t>
      </w:r>
    </w:p>
    <w:p w14:paraId="07053D47">
      <w:pPr>
        <w:pStyle w:val="28"/>
        <w:shd w:val="clear"/>
        <w:wordWrap w:val="0"/>
        <w:snapToGrid w:val="0"/>
        <w:spacing w:before="0" w:line="336" w:lineRule="auto"/>
        <w:ind w:firstLine="480"/>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Theme="minorEastAsia" w:hAnsiTheme="minorEastAsia" w:eastAsiaTheme="minorEastAsia" w:cstheme="minorEastAsia"/>
          <w:color w:val="auto"/>
          <w:szCs w:val="24"/>
          <w:highlight w:val="none"/>
          <w:lang w:val="zh-CN"/>
        </w:rPr>
        <w:t>如成交供应商为联合体的，由联合体成员各方法定代表人或其授权代表与采购人代表签订合同。</w:t>
      </w:r>
    </w:p>
    <w:p w14:paraId="07BAB91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6D59AF1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921AFED">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29.4如签订合同并生效后，供应商无故拒绝或延期，除按照合同条款处理外，列入不良行为记录，并给予通报。</w:t>
      </w:r>
    </w:p>
    <w:p w14:paraId="516B68B8">
      <w:pPr>
        <w:pStyle w:val="28"/>
        <w:shd w:val="clear"/>
        <w:wordWrap w:val="0"/>
        <w:spacing w:before="0" w:line="336" w:lineRule="auto"/>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29.5采购合同由采购人与成交供应商根据磋商文件、响应文件等内容通过政府采购电子交易平台在线签订，自动备案，在线签订须携带的材料见“ 供应商须知前附表”。</w:t>
      </w:r>
    </w:p>
    <w:p w14:paraId="11B02F84">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30.政府采购合同公告</w:t>
      </w:r>
    </w:p>
    <w:p w14:paraId="5708D8B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采购人或者受托采购代理机构应当自政府采购合同签订之日起2个工作日内，将政府采购合同</w:t>
      </w:r>
      <w:r>
        <w:rPr>
          <w:rFonts w:hint="eastAsia" w:asciiTheme="minorEastAsia" w:hAnsiTheme="minorEastAsia" w:eastAsiaTheme="minorEastAsia" w:cstheme="minorEastAsia"/>
          <w:bCs/>
          <w:color w:val="auto"/>
          <w:sz w:val="24"/>
          <w:highlight w:val="none"/>
        </w:rPr>
        <w:t>在以下媒体上发布</w:t>
      </w:r>
      <w:r>
        <w:rPr>
          <w:rFonts w:hint="eastAsia" w:asciiTheme="minorEastAsia" w:hAnsiTheme="minorEastAsia" w:eastAsiaTheme="minorEastAsia" w:cstheme="minorEastAsia"/>
          <w:color w:val="auto"/>
          <w:kern w:val="0"/>
          <w:sz w:val="24"/>
          <w:highlight w:val="none"/>
        </w:rPr>
        <w:t xml:space="preserve"> “广西政府采购网”（http://zfcg.gxzf.gov.cn）</w:t>
      </w:r>
      <w:r>
        <w:rPr>
          <w:rFonts w:hint="eastAsia" w:asciiTheme="minorEastAsia" w:hAnsiTheme="minorEastAsia" w:eastAsiaTheme="minorEastAsia" w:cstheme="minorEastAsia"/>
          <w:color w:val="auto"/>
          <w:sz w:val="24"/>
          <w:highlight w:val="none"/>
        </w:rPr>
        <w:t>上公告，但政府采购合同中涉及国家秘密、商业秘密的内容除外。</w:t>
      </w:r>
    </w:p>
    <w:p w14:paraId="1FF06F2E">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31. 询问、质疑和投诉</w:t>
      </w:r>
    </w:p>
    <w:p w14:paraId="2A59440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31.1供应商对政府采购活动事项有疑问的，可以向采购人、采购代理机构提出询问，采购人或者采购代理机构应当在3个工作日内对供应商依法提出的询问作出答复。</w:t>
      </w:r>
    </w:p>
    <w:p w14:paraId="5DDDD3D1">
      <w:pPr>
        <w:shd w:val="clear"/>
        <w:wordWrap w:val="0"/>
        <w:spacing w:line="336"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Theme="minorEastAsia" w:hAnsiTheme="minorEastAsia" w:eastAsiaTheme="minorEastAsia" w:cstheme="minorEastAsia"/>
          <w:color w:val="auto"/>
          <w:sz w:val="24"/>
          <w:highlight w:val="none"/>
          <w:shd w:val="clear" w:color="auto" w:fill="FFFFFF"/>
        </w:rPr>
        <w:t>接收质疑函的方式、联系部门、联系电话和通讯地址等信息详见</w:t>
      </w:r>
      <w:r>
        <w:rPr>
          <w:rFonts w:hint="eastAsia" w:asciiTheme="minorEastAsia" w:hAnsiTheme="minorEastAsia" w:eastAsiaTheme="minorEastAsia" w:cstheme="minorEastAsia"/>
          <w:color w:val="auto"/>
          <w:sz w:val="24"/>
          <w:highlight w:val="none"/>
        </w:rPr>
        <w:t>“供应商须知前附表”。</w:t>
      </w:r>
      <w:r>
        <w:rPr>
          <w:rFonts w:hint="eastAsia" w:asciiTheme="minorEastAsia" w:hAnsiTheme="minorEastAsia" w:eastAsiaTheme="minorEastAsia" w:cstheme="minorEastAsia"/>
          <w:b/>
          <w:color w:val="auto"/>
          <w:sz w:val="24"/>
          <w:highlight w:val="none"/>
        </w:rPr>
        <w:t xml:space="preserve">具体质疑起算时间及处理方式如下： </w:t>
      </w:r>
    </w:p>
    <w:p w14:paraId="1A968F61">
      <w:pPr>
        <w:shd w:val="clear"/>
        <w:wordWrap w:val="0"/>
        <w:spacing w:line="336"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（1）潜在供应商依法获取采购文件后，认为采购文件使自己的权益受到损害的，应当在竞争性磋商采购文件公告期限届满之日起7个工作日内提出质疑。</w:t>
      </w:r>
      <w:r>
        <w:rPr>
          <w:rFonts w:hint="eastAsia" w:asciiTheme="minorEastAsia" w:hAnsiTheme="minorEastAsia" w:eastAsiaTheme="minorEastAsia" w:cstheme="minorEastAsia"/>
          <w:color w:val="auto"/>
          <w:sz w:val="24"/>
          <w:highlight w:val="none"/>
        </w:rPr>
        <w:t>委托代理协议无特殊约定的，</w:t>
      </w:r>
      <w:r>
        <w:rPr>
          <w:rFonts w:hint="eastAsia" w:asciiTheme="minorEastAsia" w:hAnsiTheme="minorEastAsia" w:eastAsiaTheme="minorEastAsia" w:cstheme="minorEastAsia"/>
          <w:bCs/>
          <w:color w:val="auto"/>
          <w:sz w:val="24"/>
          <w:highlight w:val="none"/>
        </w:rPr>
        <w:t>对竞争性磋商文件中采购需求（含资格要求、采购预算和评分办法）的质疑由采购人受理并负责答复；对竞争性磋商文件中的采购执行程序的质疑由采购代理机构受理并负责答复。</w:t>
      </w:r>
    </w:p>
    <w:p w14:paraId="6456FD44">
      <w:pPr>
        <w:shd w:val="clear"/>
        <w:wordWrap w:val="0"/>
        <w:spacing w:line="336"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A685B0D">
      <w:pPr>
        <w:shd w:val="clear"/>
        <w:wordWrap w:val="0"/>
        <w:spacing w:line="336"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（3）供应商认为成交结果使自己的权益受到损害的，应当在成交结果公告期限届满之日起7个工作日内提出质疑，由采购人受理并负责答复。</w:t>
      </w:r>
    </w:p>
    <w:p w14:paraId="696A554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16AADA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31.4 供应商提出质疑应当提交质疑函和必要的证明材料，针对同一采购程序环节的质疑必须在法定质疑期内一次性提出。质疑函应当包括下列内容</w:t>
      </w:r>
      <w:r>
        <w:rPr>
          <w:rFonts w:hint="eastAsia" w:asciiTheme="minorEastAsia" w:hAnsiTheme="minorEastAsia" w:eastAsiaTheme="minorEastAsia" w:cstheme="minorEastAsia"/>
          <w:bCs/>
          <w:color w:val="auto"/>
          <w:sz w:val="24"/>
          <w:highlight w:val="none"/>
        </w:rPr>
        <w:t>（质疑函格式后附）</w:t>
      </w:r>
      <w:r>
        <w:rPr>
          <w:rFonts w:hint="eastAsia" w:asciiTheme="minorEastAsia" w:hAnsiTheme="minorEastAsia" w:eastAsiaTheme="minorEastAsia" w:cstheme="minorEastAsia"/>
          <w:color w:val="auto"/>
          <w:sz w:val="24"/>
          <w:highlight w:val="none"/>
        </w:rPr>
        <w:t>：</w:t>
      </w:r>
    </w:p>
    <w:p w14:paraId="6BEF77A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（1）供应商的姓名或者名称、地址、邮编、联系人及联系电话；</w:t>
      </w:r>
    </w:p>
    <w:p w14:paraId="453A8E2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（2）质疑项目的名称、编号；</w:t>
      </w:r>
    </w:p>
    <w:p w14:paraId="4C26A32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（3）具体、明确的质疑事项和与质疑事项相关的请求；</w:t>
      </w:r>
    </w:p>
    <w:p w14:paraId="4901AF0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（4）事实依据；</w:t>
      </w:r>
    </w:p>
    <w:p w14:paraId="139AEA1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（5）必要的法律依据；</w:t>
      </w:r>
    </w:p>
    <w:p w14:paraId="148C7C9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（6）提出质疑的日期。</w:t>
      </w:r>
    </w:p>
    <w:p w14:paraId="63FF400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供应商为自然人的，应当由本人签字；供应商为法人或者其他组织的，应当由法定代表人、主要负责人，或者其委托代理人签字或者盖章，并加盖公章。</w:t>
      </w:r>
    </w:p>
    <w:p w14:paraId="36E6D03B">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31.5采购人、采购代理机构认为供应商质疑不成立，或者成立但未对成交结果构成影响的，继续开展采购活动；认为供应商质疑成立且影响或者可能影响成交结果的，按照下列情况处理：</w:t>
      </w:r>
    </w:p>
    <w:p w14:paraId="3F0A3FD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（一）对采购文件提出的质疑，依法通过澄清或者修改可以继续开展采购活动的，澄清或者修改采购文件后继续开展采购活动；否则应当修改采购文件后重新开展采购活动。</w:t>
      </w:r>
    </w:p>
    <w:p w14:paraId="7580AEE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（二）对采购过程或者成交结果提出的质疑，合格供应商符合法定数量时，可以从合格的成交候选人中另行确定成交供应商的，应当依法另行确定成交供应商；否则应当重新开展采购活动。</w:t>
      </w:r>
    </w:p>
    <w:p w14:paraId="6B98C955">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质疑答复导致成交结果改变的，采购人或者采购代理机构应当将有关情况书面报告本级财政部门。</w:t>
      </w:r>
    </w:p>
    <w:p w14:paraId="57C3B85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44" w:name="_Toc80205930"/>
    </w:p>
    <w:p w14:paraId="05330B87">
      <w:pPr>
        <w:shd w:val="clear"/>
        <w:wordWrap w:val="0"/>
        <w:spacing w:line="336" w:lineRule="auto"/>
        <w:ind w:firstLine="313" w:firstLineChars="98"/>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六、验收</w:t>
      </w:r>
      <w:bookmarkEnd w:id="44"/>
    </w:p>
    <w:p w14:paraId="5A3C1076">
      <w:pPr>
        <w:shd w:val="clear"/>
        <w:tabs>
          <w:tab w:val="left" w:pos="0"/>
        </w:tabs>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32.验收</w:t>
      </w:r>
    </w:p>
    <w:p w14:paraId="3E6AD35E">
      <w:pPr>
        <w:shd w:val="clear"/>
        <w:tabs>
          <w:tab w:val="left" w:pos="0"/>
        </w:tabs>
        <w:wordWrap w:val="0"/>
        <w:spacing w:line="336"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DDC8EB">
      <w:pPr>
        <w:shd w:val="clear"/>
        <w:tabs>
          <w:tab w:val="left" w:pos="0"/>
        </w:tabs>
        <w:wordWrap w:val="0"/>
        <w:spacing w:line="336"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32.2采购人可以邀请参加本项目的其他供应商或者第三方机构参与验收。参与验收的供应商或者第三方机构的意见作为验收书的参考资料一并存档。</w:t>
      </w:r>
    </w:p>
    <w:p w14:paraId="7A696F3D">
      <w:pPr>
        <w:shd w:val="clear"/>
        <w:tabs>
          <w:tab w:val="left" w:pos="0"/>
        </w:tabs>
        <w:wordWrap w:val="0"/>
        <w:spacing w:line="336"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D1A723F">
      <w:pPr>
        <w:shd w:val="clear"/>
        <w:tabs>
          <w:tab w:val="left" w:pos="0"/>
        </w:tabs>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607FE58">
      <w:pPr>
        <w:shd w:val="clear"/>
        <w:wordWrap w:val="0"/>
        <w:spacing w:line="336" w:lineRule="auto"/>
        <w:ind w:firstLine="320" w:firstLineChars="1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七、其他事项</w:t>
      </w:r>
    </w:p>
    <w:p w14:paraId="018DBA93">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33.代理服务费</w:t>
      </w:r>
    </w:p>
    <w:p w14:paraId="686456BA">
      <w:pPr>
        <w:shd w:val="clear"/>
        <w:tabs>
          <w:tab w:val="left" w:pos="2835"/>
        </w:tabs>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代理服务收费标准及缴费账户详见“供应商须知前附表”，供应商为联合体的，可以由联合体中的一方或者多方共同交纳代理服务费。</w:t>
      </w:r>
    </w:p>
    <w:p w14:paraId="1811C929">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34.需要补充的其他内容</w:t>
      </w:r>
    </w:p>
    <w:p w14:paraId="121C722B">
      <w:pPr>
        <w:pStyle w:val="13"/>
        <w:shd w:val="clear"/>
        <w:wordWrap w:val="0"/>
        <w:spacing w:line="336" w:lineRule="auto"/>
        <w:ind w:firstLine="480" w:firstLineChars="200"/>
        <w:textAlignment w:val="center"/>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34.1本磋商文件解释规则详见“供应商须知前附表”。</w:t>
      </w:r>
    </w:p>
    <w:p w14:paraId="2BAA68C3">
      <w:pPr>
        <w:pStyle w:val="13"/>
        <w:shd w:val="clear"/>
        <w:wordWrap w:val="0"/>
        <w:spacing w:line="336" w:lineRule="auto"/>
        <w:ind w:firstLine="480" w:firstLineChars="200"/>
        <w:textAlignment w:val="center"/>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34.2 其他事项详见“供应商须知前附表”。</w:t>
      </w:r>
    </w:p>
    <w:p w14:paraId="41A88225">
      <w:pPr>
        <w:pStyle w:val="13"/>
        <w:shd w:val="clear"/>
        <w:wordWrap w:val="0"/>
        <w:spacing w:line="336" w:lineRule="auto"/>
        <w:ind w:firstLine="480" w:firstLineChars="200"/>
        <w:textAlignment w:val="center"/>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Theme="minorEastAsia" w:hAnsiTheme="minorEastAsia" w:eastAsiaTheme="minorEastAsia" w:cstheme="minorEastAsia"/>
          <w:color w:val="auto"/>
          <w:sz w:val="24"/>
          <w:szCs w:val="24"/>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Theme="minorEastAsia" w:hAnsiTheme="minorEastAsia" w:eastAsiaTheme="minorEastAsia" w:cstheme="minorEastAsia"/>
          <w:color w:val="auto"/>
          <w:kern w:val="2"/>
          <w:sz w:val="24"/>
          <w:szCs w:val="24"/>
          <w:highlight w:val="none"/>
        </w:rPr>
        <w:t>，享受本文件规定的中小企业扶持政策。</w:t>
      </w:r>
    </w:p>
    <w:p w14:paraId="22BA454A">
      <w:pPr>
        <w:pStyle w:val="13"/>
        <w:shd w:val="clear"/>
        <w:wordWrap w:val="0"/>
        <w:spacing w:line="336" w:lineRule="auto"/>
        <w:ind w:firstLine="480" w:firstLineChars="200"/>
        <w:textAlignment w:val="center"/>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以联合体形式参加政府采购活动，联合体各方均为中小企业的，联合体视同中小企业。其中，联合体各方均为小微企业的，联合体视同小微企业。</w:t>
      </w:r>
    </w:p>
    <w:p w14:paraId="3D41ED5E">
      <w:pPr>
        <w:pStyle w:val="13"/>
        <w:shd w:val="clear"/>
        <w:wordWrap w:val="0"/>
        <w:spacing w:line="336" w:lineRule="auto"/>
        <w:ind w:firstLine="480" w:firstLineChars="200"/>
        <w:textAlignment w:val="center"/>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依据本文件规定享受扶持政策获得政府采购合同的，小微企业不得将合同分包给大中型企业，中型企业不得将合同分包给大型企业。</w:t>
      </w:r>
    </w:p>
    <w:p w14:paraId="2C604439">
      <w:pPr>
        <w:shd w:val="clear"/>
        <w:wordWrap w:val="0"/>
        <w:spacing w:line="336"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highlight w:val="none"/>
        </w:rPr>
        <w:t>35. 政采贷相关说明</w:t>
      </w:r>
      <w:r>
        <w:rPr>
          <w:rFonts w:hint="eastAsia" w:asciiTheme="minorEastAsia" w:hAnsiTheme="minorEastAsia" w:eastAsiaTheme="minorEastAsia" w:cstheme="minorEastAsia"/>
          <w:color w:val="auto"/>
          <w:sz w:val="24"/>
          <w:szCs w:val="24"/>
          <w:highlight w:val="none"/>
          <w:lang w:val="en-US" w:eastAsia="zh-CN"/>
        </w:rPr>
        <w:t xml:space="preserve"> </w:t>
      </w:r>
    </w:p>
    <w:p w14:paraId="0B2165C9">
      <w:pPr>
        <w:pStyle w:val="13"/>
        <w:shd w:val="clear"/>
        <w:wordWrap w:val="0"/>
        <w:spacing w:line="336" w:lineRule="auto"/>
        <w:ind w:firstLine="480" w:firstLineChars="200"/>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为优化政府采购营商环境，缓解供应商资金难题，南宁市政府采购试行政府采购信用融资制度，成交供应商如有融资需求，可凭政府采购合同通过以下方式申请政府采购信用融资贷款:   (1)线下渠道:在“南宁市公共资源交易中心”官网(网址: http://www.nnggzy.org.cn)“交易信息-政府采购-政府采购信用融资”中融资银行和南宁市企业融资服务中心专栏信息申请政府采购信用融资。</w:t>
      </w:r>
    </w:p>
    <w:p w14:paraId="1FD387B9">
      <w:pPr>
        <w:pStyle w:val="13"/>
        <w:shd w:val="clear"/>
        <w:wordWrap w:val="0"/>
        <w:spacing w:line="336" w:lineRule="auto"/>
        <w:ind w:firstLine="480" w:firstLineChars="200"/>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线上渠道:登录中征营应收账款融服务平台(网址https://www.crcrfsp.com，客服电话:400-009-0001)，选择相关金融产品和银行业金融机金融融资贷款。具体操作方式见《中国人民银行南宁中心支行广西壮族自治区财政厅关于推广线上“政采贷”融资模式的通知》(南宁南宁银发[2021] 258号)文(文件公开网址详情见:“广西政府采购网http://www.ccgp-guangxi.gov.cn/AdministrativeRegulations/AutonomousRegion/9830442.html)</w:t>
      </w:r>
      <w:r>
        <w:rPr>
          <w:rFonts w:hint="eastAsia" w:asciiTheme="minorEastAsia" w:hAnsiTheme="minorEastAsia" w:eastAsiaTheme="minorEastAsia" w:cstheme="minorEastAsia"/>
          <w:b/>
          <w:color w:val="auto"/>
          <w:sz w:val="24"/>
          <w:szCs w:val="24"/>
          <w:highlight w:val="none"/>
        </w:rPr>
        <w:br w:type="page"/>
      </w:r>
    </w:p>
    <w:p w14:paraId="5D85E47B">
      <w:pPr>
        <w:pStyle w:val="2"/>
        <w:shd w:val="clear"/>
        <w:wordWrap w:val="0"/>
        <w:spacing w:before="0" w:after="0" w:line="336" w:lineRule="auto"/>
        <w:jc w:val="center"/>
        <w:rPr>
          <w:rFonts w:asciiTheme="minorEastAsia" w:hAnsiTheme="minorEastAsia" w:eastAsiaTheme="minorEastAsia" w:cstheme="minorEastAsia"/>
          <w:color w:val="auto"/>
          <w:highlight w:val="none"/>
        </w:rPr>
      </w:pPr>
      <w:bookmarkStart w:id="45" w:name="_Toc18995"/>
      <w:r>
        <w:rPr>
          <w:rFonts w:hint="eastAsia" w:asciiTheme="minorEastAsia" w:hAnsiTheme="minorEastAsia" w:eastAsiaTheme="minorEastAsia" w:cstheme="minorEastAsia"/>
          <w:color w:val="auto"/>
          <w:highlight w:val="none"/>
        </w:rPr>
        <w:t>第四章  评审程序、评审方法和评审标准</w:t>
      </w:r>
      <w:bookmarkEnd w:id="45"/>
    </w:p>
    <w:p w14:paraId="3CEA9D2A">
      <w:pPr>
        <w:pStyle w:val="3"/>
        <w:shd w:val="clear"/>
        <w:wordWrap w:val="0"/>
        <w:spacing w:before="0" w:after="0" w:line="336" w:lineRule="auto"/>
        <w:jc w:val="center"/>
        <w:rPr>
          <w:rFonts w:asciiTheme="minorEastAsia" w:hAnsiTheme="minorEastAsia" w:eastAsiaTheme="minorEastAsia" w:cstheme="minorEastAsia"/>
          <w:b w:val="0"/>
          <w:color w:val="auto"/>
          <w:highlight w:val="none"/>
        </w:rPr>
      </w:pPr>
      <w:bookmarkStart w:id="46" w:name="_Toc14230"/>
      <w:r>
        <w:rPr>
          <w:rFonts w:hint="eastAsia" w:asciiTheme="minorEastAsia" w:hAnsiTheme="minorEastAsia" w:eastAsiaTheme="minorEastAsia" w:cstheme="minorEastAsia"/>
          <w:b w:val="0"/>
          <w:color w:val="auto"/>
          <w:highlight w:val="none"/>
        </w:rPr>
        <w:t>第一节 评审程序和评审方法</w:t>
      </w:r>
      <w:bookmarkEnd w:id="46"/>
    </w:p>
    <w:p w14:paraId="2E7C8920">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1.确认磋商文件</w:t>
      </w:r>
    </w:p>
    <w:p w14:paraId="2B7F792A">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由磋商小组确认磋商文件。</w:t>
      </w:r>
    </w:p>
    <w:p w14:paraId="603D9FDA">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2.资格审查</w:t>
      </w:r>
    </w:p>
    <w:p w14:paraId="018262BE">
      <w:pPr>
        <w:shd w:val="clear"/>
        <w:wordWrap w:val="0"/>
        <w:snapToGrid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2.1响应文件开启后，磋商小组依法对供应商的资格证明文件进行审查。</w:t>
      </w:r>
    </w:p>
    <w:p w14:paraId="5BF847F5">
      <w:pPr>
        <w:shd w:val="clear"/>
        <w:wordWrap w:val="0"/>
        <w:snapToGrid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注：采购人代表或者采购代理机构在资格审查结束前，对供应商进行信用查询。</w:t>
      </w:r>
    </w:p>
    <w:p w14:paraId="05456B59">
      <w:pPr>
        <w:shd w:val="clear"/>
        <w:wordWrap w:val="0"/>
        <w:snapToGrid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（1）查询渠道：</w:t>
      </w:r>
      <w:r>
        <w:rPr>
          <w:rFonts w:hint="eastAsia" w:asciiTheme="minorEastAsia" w:hAnsiTheme="minorEastAsia" w:eastAsiaTheme="minorEastAsia" w:cstheme="minorEastAsia"/>
          <w:color w:val="auto"/>
          <w:sz w:val="24"/>
          <w:highlight w:val="none"/>
          <w:lang w:eastAsia="zh-CN"/>
        </w:rPr>
        <w:t>“广西政府采购云平台”</w:t>
      </w:r>
      <w:r>
        <w:rPr>
          <w:rFonts w:hint="eastAsia" w:asciiTheme="minorEastAsia" w:hAnsiTheme="minorEastAsia" w:eastAsiaTheme="minorEastAsia" w:cstheme="minorEastAsia"/>
          <w:color w:val="auto"/>
          <w:sz w:val="24"/>
          <w:highlight w:val="none"/>
        </w:rPr>
        <w:t>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4"/>
          <w:rFonts w:hint="eastAsia" w:asciiTheme="minorEastAsia" w:hAnsiTheme="minorEastAsia" w:eastAsiaTheme="minorEastAsia" w:cstheme="minorEastAsia"/>
          <w:color w:val="auto"/>
          <w:sz w:val="24"/>
          <w:highlight w:val="none"/>
        </w:rPr>
        <w:t>www.creditchina.gov.cn</w:t>
      </w:r>
      <w:r>
        <w:rPr>
          <w:rStyle w:val="24"/>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4"/>
          <w:rFonts w:hint="eastAsia" w:asciiTheme="minorEastAsia" w:hAnsiTheme="minorEastAsia" w:eastAsiaTheme="minorEastAsia" w:cstheme="minorEastAsia"/>
          <w:color w:val="auto"/>
          <w:sz w:val="24"/>
          <w:highlight w:val="none"/>
        </w:rPr>
        <w:t>www.ccgp.gov.cn</w:t>
      </w:r>
      <w:r>
        <w:rPr>
          <w:rStyle w:val="24"/>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)链接入口。</w:t>
      </w:r>
    </w:p>
    <w:p w14:paraId="541BD1EF">
      <w:pPr>
        <w:shd w:val="clear"/>
        <w:wordWrap w:val="0"/>
        <w:snapToGrid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（2）信用查询截止时点：资格审查结束前。</w:t>
      </w:r>
    </w:p>
    <w:p w14:paraId="7126135C">
      <w:pPr>
        <w:shd w:val="clear"/>
        <w:wordWrap w:val="0"/>
        <w:snapToGrid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查询记录和证据留存方式：在查询网站中直接打印查询记录，截图另存为电子文档作为评审资料保存。</w:t>
      </w:r>
    </w:p>
    <w:p w14:paraId="055FB6D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（3）信用信息使用规则：对在“信用中国”网站(www.creditchina.gov.cn) 、中国政府采购网(www.ccgp.gov.cn)被列入失信被执行人、</w:t>
      </w:r>
      <w:r>
        <w:rPr>
          <w:rFonts w:hint="eastAsia" w:asciiTheme="minorEastAsia" w:hAnsiTheme="minorEastAsia" w:eastAsiaTheme="minorEastAsia" w:cstheme="minorEastAsia"/>
          <w:color w:val="auto"/>
          <w:sz w:val="24"/>
          <w:highlight w:val="none"/>
          <w:lang w:eastAsia="zh-CN"/>
        </w:rPr>
        <w:t>重大税收违法失信主体</w:t>
      </w:r>
      <w:r>
        <w:rPr>
          <w:rFonts w:hint="eastAsia" w:asciiTheme="minorEastAsia" w:hAnsiTheme="minorEastAsia" w:eastAsiaTheme="minorEastAsia" w:cstheme="minorEastAsia"/>
          <w:color w:val="auto"/>
          <w:sz w:val="24"/>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6D329C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2.2资格审查标准为本磋商文件中载明对供应商资格要求的条件。资格审查采用合格制，凡符合磋商文件规定的供应商资格要求的响应文件均通过资格审查。</w:t>
      </w:r>
    </w:p>
    <w:p w14:paraId="1A7C5AED">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2.3供应商有下列情形之一的，资格审查不通过，其响应文件按无效响应处理：</w:t>
      </w:r>
    </w:p>
    <w:p w14:paraId="7C068442">
      <w:pPr>
        <w:shd w:val="clear"/>
        <w:wordWrap w:val="0"/>
        <w:snapToGrid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（1）不具备磋商文件中规定的资格要求的；</w:t>
      </w:r>
    </w:p>
    <w:p w14:paraId="7D7A750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（2）响应文件未提供任一项“供应商须知前附表”资格证明文件规定的“必须提供”的文件资料的；</w:t>
      </w:r>
    </w:p>
    <w:p w14:paraId="266A07A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（3）响应文件提供的资格证明文件出现任一项不符合“供应商须知前附表”资格证明文件规定的“必须提供”的文件资料要求或者无效的。</w:t>
      </w:r>
    </w:p>
    <w:p w14:paraId="3CA053F1">
      <w:pPr>
        <w:shd w:val="clear"/>
        <w:wordWrap w:val="0"/>
        <w:spacing w:line="336" w:lineRule="auto"/>
        <w:ind w:firstLine="480" w:firstLineChars="200"/>
        <w:rPr>
          <w:rFonts w:asciiTheme="minorEastAsia" w:hAnsiTheme="minorEastAsia" w:eastAsiaTheme="minorEastAsia" w:cstheme="minorEastAsia"/>
          <w:color w:val="auto"/>
          <w:sz w:val="24"/>
          <w:highlight w:val="none"/>
        </w:rPr>
      </w:pPr>
      <w:bookmarkStart w:id="47" w:name="_Hlk68601553"/>
      <w:r>
        <w:rPr>
          <w:rFonts w:hint="eastAsia" w:asciiTheme="minorEastAsia" w:hAnsiTheme="minorEastAsia" w:eastAsiaTheme="minorEastAsia" w:cstheme="minorEastAsia"/>
          <w:color w:val="auto"/>
          <w:sz w:val="24"/>
          <w:highlight w:val="none"/>
        </w:rPr>
        <w:t>（4）同一合同项下的不同供应商，单位负责人为同一人或者存在直接控股、管理关系的；为本项目提供过整体设计、规范编制或者项目管理、监理、检测等服务的。</w:t>
      </w:r>
      <w:bookmarkEnd w:id="47"/>
    </w:p>
    <w:p w14:paraId="548B371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2.4通过资格审查的合格供应商不足3家的，不得进入符合性审查环节，采购人或者采购代理机构应当重新开展采购活动。</w:t>
      </w:r>
    </w:p>
    <w:p w14:paraId="2BD9FD2A">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3.符合性审查</w:t>
      </w:r>
    </w:p>
    <w:p w14:paraId="07C634C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3.1由磋商小组对通过资格审查的合格供应商的响应文件的响应报价、商务、技术等实质性要求进行符合性审查，以确定其是否满足磋商文件的实质性要求。</w:t>
      </w:r>
    </w:p>
    <w:p w14:paraId="31A05EE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2457D64">
      <w:pPr>
        <w:shd w:val="clear"/>
        <w:wordWrap w:val="0"/>
        <w:spacing w:line="336" w:lineRule="auto"/>
        <w:ind w:firstLine="480" w:firstLineChars="20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z w:val="24"/>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Theme="minorEastAsia" w:hAnsiTheme="minorEastAsia" w:eastAsiaTheme="minorEastAsia" w:cstheme="minorEastAsia"/>
          <w:color w:val="auto"/>
          <w:spacing w:val="-6"/>
          <w:sz w:val="24"/>
          <w:highlight w:val="none"/>
        </w:rPr>
        <w:t>。供应商为自然人的，必须由本人签字并附身份证明。</w:t>
      </w:r>
    </w:p>
    <w:p w14:paraId="67FD054E">
      <w:pPr>
        <w:shd w:val="clear"/>
        <w:wordWrap w:val="0"/>
        <w:spacing w:line="336" w:lineRule="auto"/>
        <w:ind w:firstLine="456"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3.4</w:t>
      </w:r>
      <w:r>
        <w:rPr>
          <w:rFonts w:hint="eastAsia" w:asciiTheme="minorEastAsia" w:hAnsiTheme="minorEastAsia" w:eastAsiaTheme="minorEastAsia" w:cstheme="minorEastAsia"/>
          <w:color w:val="auto"/>
          <w:sz w:val="24"/>
          <w:highlight w:val="none"/>
        </w:rPr>
        <w:t xml:space="preserve">首次响应文件报价出现前后不一致的，按照下列规定修正： </w:t>
      </w:r>
    </w:p>
    <w:p w14:paraId="65EA910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（1）响应文件中报价表内容与响应文件中相应内容不一致的，以报价表为准；</w:t>
      </w:r>
    </w:p>
    <w:p w14:paraId="1598E48E">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（2）大写金额和小写金额不一致的，以大写金额为准；</w:t>
      </w:r>
    </w:p>
    <w:p w14:paraId="53C130B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（3）单价金额小数点或者百分比有明显错位的，以报价表的总价为准，并修改单价；</w:t>
      </w:r>
    </w:p>
    <w:p w14:paraId="1733814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（4）总价金额与按单价汇总金额不一致的，以单价金额计算结果为准。</w:t>
      </w:r>
    </w:p>
    <w:p w14:paraId="40FFA33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同时出现两种以上不一致的，按照以上（1）-（4）规定的顺序逐条进行修正。修正后的报价经供应商确认后产生约束力，供应商不确认的，其响应文件按无效响应处理。</w:t>
      </w:r>
    </w:p>
    <w:p w14:paraId="741E1CB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3.5商务技术、报价评审</w:t>
      </w:r>
    </w:p>
    <w:p w14:paraId="0735DC0D">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在评审时，如发现下列情形之一的，将被视为响应文件无效处理：</w:t>
      </w:r>
    </w:p>
    <w:p w14:paraId="6CC5AF9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（1）商务技术评审</w:t>
      </w:r>
    </w:p>
    <w:p w14:paraId="7401338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1）响应文件未按磋商文件要求签署、盖章；</w:t>
      </w:r>
    </w:p>
    <w:p w14:paraId="7379A00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2）委托代理人未能出具有效身份证明或者出具的身份证明与授权委托书中的信息不符； </w:t>
      </w:r>
    </w:p>
    <w:p w14:paraId="1638F46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319080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4）商务条款成交“▲”的条款发生负偏离的或者允许负偏离的条款数超过“供应商须知前附表”规定项数的或者标明实质性的要求发生负偏离；</w:t>
      </w:r>
    </w:p>
    <w:p w14:paraId="37467BCB">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5）未对响应有效期作出响应或者响应文件承诺的响应有效期不满足磋商文件要求；</w:t>
      </w:r>
    </w:p>
    <w:p w14:paraId="45401CC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6）响应文件的实质性内容未使用中文表述、使用计量单位不符合磋商文件要求；</w:t>
      </w:r>
    </w:p>
    <w:p w14:paraId="0A4B8285">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7）响应文件中的文件资料因填写不齐全或者内容虚假或者出现其他情形而导致被磋商小组认定无效；</w:t>
      </w:r>
    </w:p>
    <w:p w14:paraId="4CD8582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8）响应文件含有采购人不能接受的附加条件；</w:t>
      </w:r>
    </w:p>
    <w:p w14:paraId="20C8A70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9）属于“供应商须知正文”第7.5条情形；</w:t>
      </w:r>
    </w:p>
    <w:p w14:paraId="68CCC3E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10）技术需求允许负偏离的条款数超过“供应商须知前附表”规定项数；</w:t>
      </w:r>
    </w:p>
    <w:p w14:paraId="7A335D3A">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11）虚假响应，或者出现其他情形而导致被磋商小组认定无效；</w:t>
      </w:r>
    </w:p>
    <w:p w14:paraId="7CDECCE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12）响应技术方案不明确，磋商文件未允许但响应文件中存在一个或者一个以上备选（替代）响应方案；</w:t>
      </w:r>
    </w:p>
    <w:p w14:paraId="2F8E992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13）响应文件标注的项目名称或者项目编号与竞争性磋商文件标注的项目名称或者项目编号不一致的；</w:t>
      </w:r>
    </w:p>
    <w:p w14:paraId="0D4B530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14）未响应磋商文件实质性要求；</w:t>
      </w:r>
    </w:p>
    <w:p w14:paraId="2166FC6E">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15）法律、法规和磋商文件规定的其他无效情形。</w:t>
      </w:r>
    </w:p>
    <w:p w14:paraId="20BD57E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（2）报价评审</w:t>
      </w:r>
    </w:p>
    <w:p w14:paraId="123D70A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响应文件未提供“供应商须知前附表” 报价文件中规定的“响应报价表”；</w:t>
      </w:r>
    </w:p>
    <w:p w14:paraId="34B8534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2）未采用人民币报价或者未按照磋商文件标明的币种报价；</w:t>
      </w:r>
    </w:p>
    <w:p w14:paraId="4B99265E">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未就所响应分标进行报价或者存在漏项报价；供应商未就所响应分标的单项内容作唯一报价；供应商未就所响应分标的全部内容作唯一总价报价；供应商响应文件中存在有选择、有条件报价的（磋商文件允许有备选方案或者其他约定的除外）；</w:t>
      </w:r>
    </w:p>
    <w:p w14:paraId="681B23B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响应报价（包含首次报价、最后报价）超过所响应分标规定的采购预算金额或者最高限价的（如本项目公布了最高限价）；响应报价（包含首次报价、最后报价）超过磋商文件分项采购预算金额或者最高限价的（如本项目公布了最高限价）；</w:t>
      </w:r>
    </w:p>
    <w:p w14:paraId="2BF1863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修正后的报价，供应商不确认的；或者经供应商确认修正后的响应报价（包含首次报价、最后报价）超过所响应分标规定的采购预算金额或者最高限价（如本项目公布了最高限价）；或者经供应商确认修正后响应报价（包含首次报价、最后报价）超过磋商文件分项采购预算金额或者最高限价的（如本项目公布了最高限价）。</w:t>
      </w:r>
    </w:p>
    <w:p w14:paraId="71EFCB4A">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6）响应文件响应的标的数量及单位与竞争性磋商采购文件要求实质性不一致的。</w:t>
      </w:r>
    </w:p>
    <w:p w14:paraId="7C2998F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5ECA74D">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7B11B7F3">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4.磋商程序</w:t>
      </w:r>
    </w:p>
    <w:p w14:paraId="774CEDEB">
      <w:pPr>
        <w:shd w:val="clear"/>
        <w:wordWrap w:val="0"/>
        <w:spacing w:line="336"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4.1磋商小组按照“供应商须知前附表”</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rPr>
        <w:t>确定的</w:t>
      </w:r>
      <w:r>
        <w:rPr>
          <w:rFonts w:hint="eastAsia" w:asciiTheme="minorEastAsia" w:hAnsiTheme="minorEastAsia" w:eastAsiaTheme="minorEastAsia" w:cstheme="minorEastAsia"/>
          <w:color w:val="auto"/>
          <w:sz w:val="24"/>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C16A9F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DD0FC1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4.3对磋商文件作出的实质性变动是磋商文件的有效组成部分，由磋商小组及时以电子澄清函形式同时通知所有参加磋商的供应商。</w:t>
      </w:r>
    </w:p>
    <w:p w14:paraId="38228EB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5BB8AB5D">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4.5磋商中，</w:t>
      </w:r>
      <w:r>
        <w:rPr>
          <w:rFonts w:hint="eastAsia" w:asciiTheme="minorEastAsia" w:hAnsiTheme="minorEastAsia" w:eastAsiaTheme="minorEastAsia" w:cstheme="minorEastAsia"/>
          <w:color w:val="auto"/>
          <w:spacing w:val="-6"/>
          <w:sz w:val="24"/>
          <w:highlight w:val="none"/>
        </w:rPr>
        <w:t>磋商的任何一方不得透露与磋商有关的其他供应商的技术资料、价格和其他信息。</w:t>
      </w:r>
    </w:p>
    <w:p w14:paraId="1B8E91EC">
      <w:pPr>
        <w:widowControl/>
        <w:shd w:val="clear"/>
        <w:tabs>
          <w:tab w:val="left" w:pos="540"/>
        </w:tabs>
        <w:wordWrap w:val="0"/>
        <w:spacing w:line="336" w:lineRule="auto"/>
        <w:ind w:firstLine="480" w:firstLineChars="20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4.6磋商小组应对磋商过程和重要磋商内容进行记录，作为评标报告一部分，磋商小组在记录上签字确认。</w:t>
      </w:r>
      <w:r>
        <w:rPr>
          <w:rFonts w:hint="eastAsia" w:asciiTheme="minorEastAsia" w:hAnsiTheme="minorEastAsia" w:eastAsiaTheme="minorEastAsia" w:cstheme="minorEastAsia"/>
          <w:b/>
          <w:color w:val="auto"/>
          <w:sz w:val="24"/>
          <w:highlight w:val="none"/>
        </w:rPr>
        <w:t>主要内容包括：</w:t>
      </w:r>
    </w:p>
    <w:p w14:paraId="3F81C239">
      <w:pPr>
        <w:pStyle w:val="28"/>
        <w:shd w:val="clear"/>
        <w:wordWrap w:val="0"/>
        <w:spacing w:before="0" w:line="336" w:lineRule="auto"/>
        <w:ind w:firstLine="456"/>
        <w:rPr>
          <w:rFonts w:asciiTheme="minorEastAsia" w:hAnsiTheme="minorEastAsia" w:eastAsiaTheme="minorEastAsia" w:cstheme="minorEastAsia"/>
          <w:color w:val="auto"/>
          <w:spacing w:val="-6"/>
          <w:kern w:val="2"/>
          <w:szCs w:val="24"/>
          <w:highlight w:val="none"/>
        </w:rPr>
      </w:pPr>
      <w:r>
        <w:rPr>
          <w:rFonts w:hint="eastAsia" w:asciiTheme="minorEastAsia" w:hAnsiTheme="minorEastAsia" w:eastAsiaTheme="minorEastAsia" w:cstheme="minorEastAsia"/>
          <w:color w:val="auto"/>
          <w:spacing w:val="-6"/>
          <w:kern w:val="2"/>
          <w:szCs w:val="24"/>
          <w:highlight w:val="none"/>
        </w:rPr>
        <w:t>（1）按照相关规定进行公示的，公示情况说明；</w:t>
      </w:r>
    </w:p>
    <w:p w14:paraId="351E8B61">
      <w:pPr>
        <w:pStyle w:val="28"/>
        <w:shd w:val="clear"/>
        <w:wordWrap w:val="0"/>
        <w:spacing w:before="0" w:line="336" w:lineRule="auto"/>
        <w:ind w:firstLine="456"/>
        <w:rPr>
          <w:rFonts w:asciiTheme="minorEastAsia" w:hAnsiTheme="minorEastAsia" w:eastAsiaTheme="minorEastAsia" w:cstheme="minorEastAsia"/>
          <w:color w:val="auto"/>
          <w:spacing w:val="-6"/>
          <w:kern w:val="2"/>
          <w:szCs w:val="24"/>
          <w:highlight w:val="none"/>
        </w:rPr>
      </w:pPr>
      <w:r>
        <w:rPr>
          <w:rFonts w:hint="eastAsia" w:asciiTheme="minorEastAsia" w:hAnsiTheme="minorEastAsia" w:eastAsiaTheme="minorEastAsia" w:cstheme="minorEastAsia"/>
          <w:color w:val="auto"/>
          <w:spacing w:val="-6"/>
          <w:kern w:val="2"/>
          <w:szCs w:val="24"/>
          <w:highlight w:val="none"/>
        </w:rPr>
        <w:t>（2）磋商日期和地点，磋商人员名单；</w:t>
      </w:r>
    </w:p>
    <w:p w14:paraId="24CCCA13">
      <w:pPr>
        <w:pStyle w:val="28"/>
        <w:shd w:val="clear"/>
        <w:wordWrap w:val="0"/>
        <w:spacing w:before="0" w:line="336" w:lineRule="auto"/>
        <w:ind w:firstLine="456"/>
        <w:rPr>
          <w:rFonts w:asciiTheme="minorEastAsia" w:hAnsiTheme="minorEastAsia" w:eastAsiaTheme="minorEastAsia" w:cstheme="minorEastAsia"/>
          <w:color w:val="auto"/>
          <w:spacing w:val="-6"/>
          <w:kern w:val="2"/>
          <w:szCs w:val="24"/>
          <w:highlight w:val="none"/>
        </w:rPr>
      </w:pPr>
      <w:r>
        <w:rPr>
          <w:rFonts w:hint="eastAsia" w:asciiTheme="minorEastAsia" w:hAnsiTheme="minorEastAsia" w:eastAsiaTheme="minorEastAsia" w:cstheme="minorEastAsia"/>
          <w:color w:val="auto"/>
          <w:spacing w:val="-6"/>
          <w:kern w:val="2"/>
          <w:szCs w:val="24"/>
          <w:highlight w:val="none"/>
        </w:rPr>
        <w:t>（3）合同主要条款及价格商定情况。</w:t>
      </w:r>
    </w:p>
    <w:p w14:paraId="2E503979">
      <w:pPr>
        <w:widowControl/>
        <w:shd w:val="clear"/>
        <w:tabs>
          <w:tab w:val="left" w:pos="540"/>
        </w:tabs>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4.7磋商过程中重新提交的响应文件，供应商可以在开启前补充、修改。</w:t>
      </w:r>
    </w:p>
    <w:p w14:paraId="095C5491">
      <w:pPr>
        <w:shd w:val="clear"/>
        <w:tabs>
          <w:tab w:val="left" w:pos="2835"/>
        </w:tabs>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4.8对磋商过程提交的响应文件进行有效性、完整性和响应程度审查，通过审查的合格供应商不足3家的，采购人或者采购代理机构应当重新开展采购活动。</w:t>
      </w:r>
    </w:p>
    <w:p w14:paraId="4FAA2883">
      <w:pPr>
        <w:shd w:val="clear"/>
        <w:wordWrap w:val="0"/>
        <w:spacing w:line="336" w:lineRule="auto"/>
        <w:ind w:firstLine="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5. 最后报价</w:t>
      </w:r>
    </w:p>
    <w:p w14:paraId="77B1F92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269B64C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7AB2DD8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6C19CB5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5.4已经提交响应文件的供应商，在提交最后报价之前，可以根据磋商情况退出磋商，退出磋商的供应商的响应文件按无效响应处理。</w:t>
      </w:r>
    </w:p>
    <w:p w14:paraId="17120F1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5.5供应商未在规定时间内提交最后报价的，视同退出磋商。</w:t>
      </w:r>
    </w:p>
    <w:p w14:paraId="566CA72B">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5.6磋商小组收齐某一分标最后报价后统一开启，磋商小组对最后报价进行有效性、完整性和响应程度的审查。</w:t>
      </w:r>
    </w:p>
    <w:p w14:paraId="1C808CCA">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5.7最终响应文件的报价出现前后不一致的，按照本章第3.4条的规定修正。 </w:t>
      </w:r>
    </w:p>
    <w:p w14:paraId="3005251A">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5.8修正后的最终报价出现下列情形的，按无效响应处理：</w:t>
      </w:r>
    </w:p>
    <w:p w14:paraId="74FE8ED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（1）供应商不确认的（全流程电子化评标采取在线确认）；</w:t>
      </w:r>
    </w:p>
    <w:p w14:paraId="318E377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（2）经供应商确认修正后的响应报价（包含首次报价、最后报价）超过所响应分标规定的采购预算金额或者最高限价的（如本项目公布了最高限价）；</w:t>
      </w:r>
    </w:p>
    <w:p w14:paraId="5ECDCADA">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（3）经供应商确认修正后的响应报价（包含首次报价、最后报价）超过分项采购预算金额或者最高限价的（如本项目公布了最高限价）。</w:t>
      </w:r>
    </w:p>
    <w:p w14:paraId="084291FE">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5.9经供应商确认修正后的最后报价作为评审及签订合同的依据。</w:t>
      </w:r>
    </w:p>
    <w:p w14:paraId="07E5CF5A">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5.10供应商出现最后报价按无效响应处理或者响应文件按无效处理时，磋商小组应当告知有关供应商。</w:t>
      </w:r>
    </w:p>
    <w:p w14:paraId="25FA77BD">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5.11最后报价结束后，磋商小组不得再与供应商进行任何形式的商谈。</w:t>
      </w:r>
    </w:p>
    <w:p w14:paraId="02900AC6">
      <w:pPr>
        <w:shd w:val="clear"/>
        <w:wordWrap w:val="0"/>
        <w:spacing w:line="336" w:lineRule="auto"/>
        <w:ind w:firstLine="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6.比较与评价</w:t>
      </w:r>
    </w:p>
    <w:p w14:paraId="3F987B0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6.1评审方法：综合评分法。</w:t>
      </w:r>
    </w:p>
    <w:p w14:paraId="54F7B18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6.2经磋商确定最终采购需求和提交最后报价的供应商后，由磋商小组采用综合评分法对提交最后报价的供应商的响应文件和最后报价进行综合评分。</w:t>
      </w:r>
    </w:p>
    <w:p w14:paraId="39EC9B5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6.3评审时，磋商小组各成员应当独立对每个有效响应的文件进行评价、打分，然后汇总每个供应商每项评分因素的得分。</w:t>
      </w:r>
    </w:p>
    <w:p w14:paraId="239CD0DC">
      <w:pPr>
        <w:numPr>
          <w:ilvl w:val="0"/>
          <w:numId w:val="3"/>
        </w:num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14:paraId="5C3A6BA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（2）各供应商的得分为磋商小组所有成员的有效评分的算术平均数。</w:t>
      </w:r>
    </w:p>
    <w:p w14:paraId="51BF558E">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6.4评审价为供应商的最后报价进行政策性扣除后的价格，评审价只是作为评审时使用。最终成交供应商的成交金额等于最后报价（如有修正，以确认修正后的最后报价为准）。</w:t>
      </w:r>
    </w:p>
    <w:p w14:paraId="256443FC">
      <w:pPr>
        <w:shd w:val="clear"/>
        <w:wordWrap w:val="0"/>
        <w:spacing w:line="336"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6.5由磋商小组根据综合评分情况，按照评审得分由高到低顺序推荐3名以上成交候选供应商，并编写评</w:t>
      </w:r>
      <w:r>
        <w:rPr>
          <w:rFonts w:hint="eastAsia" w:asciiTheme="minorEastAsia" w:hAnsiTheme="minorEastAsia" w:eastAsiaTheme="minorEastAsia" w:cstheme="minorEastAsia"/>
          <w:color w:val="auto"/>
          <w:kern w:val="0"/>
          <w:sz w:val="24"/>
          <w:highlight w:val="none"/>
        </w:rPr>
        <w:t>审报告。符合本章第4.3条情形的，可以推荐2家成交候选供应商。评审得分相同的，按照最后报价由低到高的顺序推荐。评审得分且最后报价相同的，按照技术指标优劣顺序推荐。</w:t>
      </w:r>
    </w:p>
    <w:p w14:paraId="5FA4AB30">
      <w:pPr>
        <w:shd w:val="clear"/>
        <w:wordWrap w:val="0"/>
        <w:spacing w:line="336"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FBBF5E6">
      <w:pPr>
        <w:shd w:val="clear"/>
        <w:wordWrap w:val="0"/>
        <w:spacing w:line="336" w:lineRule="auto"/>
        <w:ind w:firstLine="200"/>
        <w:rPr>
          <w:rFonts w:ascii="宋体" w:hAnsi="宋体" w:cs="宋体"/>
          <w:b/>
          <w:bCs/>
          <w:color w:val="auto"/>
          <w:sz w:val="24"/>
          <w:highlight w:val="none"/>
        </w:rPr>
      </w:pPr>
      <w:r>
        <w:rPr>
          <w:rFonts w:ascii="宋体" w:hAnsi="宋体" w:cs="宋体"/>
          <w:b/>
          <w:bCs/>
          <w:color w:val="auto"/>
          <w:sz w:val="24"/>
          <w:highlight w:val="none"/>
        </w:rPr>
        <w:t xml:space="preserve">7.评审复核 </w:t>
      </w:r>
    </w:p>
    <w:p w14:paraId="53CAD422">
      <w:pPr>
        <w:shd w:val="clear"/>
        <w:wordWrap w:val="0"/>
        <w:spacing w:line="336" w:lineRule="auto"/>
        <w:ind w:firstLine="468" w:firstLineChars="195"/>
        <w:rPr>
          <w:rFonts w:ascii="宋体" w:hAnsi="宋体" w:cs="宋体"/>
          <w:color w:val="auto"/>
          <w:sz w:val="24"/>
          <w:highlight w:val="none"/>
        </w:rPr>
      </w:pPr>
      <w:r>
        <w:rPr>
          <w:rFonts w:ascii="宋体" w:hAnsi="宋体" w:cs="宋体"/>
          <w:color w:val="auto"/>
          <w:sz w:val="24"/>
          <w:highlight w:val="none"/>
        </w:rPr>
        <w:t xml:space="preserve">7.1 评审报告签署前，评审委员会要对评审结果进行复核，复核意见要体现在评审报告中。 </w:t>
      </w:r>
      <w:r>
        <w:rPr>
          <w:rFonts w:hint="eastAsia" w:ascii="宋体" w:hAnsi="宋体" w:cs="宋体"/>
          <w:color w:val="auto"/>
          <w:sz w:val="24"/>
          <w:highlight w:val="none"/>
        </w:rPr>
        <w:t xml:space="preserve">   </w:t>
      </w:r>
      <w:r>
        <w:rPr>
          <w:rFonts w:ascii="宋体" w:hAnsi="宋体" w:cs="宋体"/>
          <w:color w:val="auto"/>
          <w:sz w:val="24"/>
          <w:highlight w:val="none"/>
        </w:rPr>
        <w:t>7.2 评审结果汇总完成后，采购人、采购代理机构和评审委员会均不得修改评审结果或者要 求重新评审，但资格性检查认定错误、分值汇总计算错误、分项评分超出评分标准范围、客观分 评分不一致、经评审委员会一致认定评分畸高、畸低的情形除外。出现上述除外情形的，评审委 员会应当现场修改评审结果，并在评审报告中明确记载。</w:t>
      </w:r>
    </w:p>
    <w:p w14:paraId="27D7C2CC">
      <w:pPr>
        <w:shd w:val="clear"/>
        <w:wordWrap w:val="0"/>
        <w:spacing w:line="336" w:lineRule="auto"/>
        <w:ind w:firstLine="585" w:firstLineChars="195"/>
        <w:rPr>
          <w:rFonts w:asciiTheme="minorEastAsia" w:hAnsiTheme="minorEastAsia" w:eastAsiaTheme="minorEastAsia" w:cstheme="minorEastAsia"/>
          <w:b/>
          <w:bCs/>
          <w:color w:val="auto"/>
          <w:sz w:val="24"/>
          <w:highlight w:val="none"/>
        </w:rPr>
      </w:pPr>
      <w:r>
        <w:rPr>
          <w:rFonts w:ascii="宋体" w:hAnsi="宋体" w:cs="宋体"/>
          <w:color w:val="auto"/>
          <w:sz w:val="30"/>
          <w:szCs w:val="30"/>
          <w:highlight w:val="none"/>
        </w:rPr>
        <w:t xml:space="preserve"> </w:t>
      </w:r>
      <w:r>
        <w:rPr>
          <w:rFonts w:hint="eastAsia" w:asciiTheme="minorEastAsia" w:hAnsiTheme="minorEastAsia" w:eastAsiaTheme="minorEastAsia" w:cstheme="minorEastAsia"/>
          <w:b/>
          <w:bCs/>
          <w:color w:val="auto"/>
          <w:sz w:val="30"/>
          <w:szCs w:val="30"/>
          <w:highlight w:val="none"/>
        </w:rPr>
        <w:t>8.评审标准</w:t>
      </w:r>
    </w:p>
    <w:p w14:paraId="0BDEC196">
      <w:pPr>
        <w:keepNext w:val="0"/>
        <w:keepLines w:val="0"/>
        <w:pageBreakBefore w:val="0"/>
        <w:shd w:val="clear"/>
        <w:kinsoku/>
        <w:wordWrap w:val="0"/>
        <w:overflowPunct/>
        <w:topLinePunct w:val="0"/>
        <w:autoSpaceDE/>
        <w:autoSpaceDN/>
        <w:bidi w:val="0"/>
        <w:adjustRightInd/>
        <w:spacing w:line="360" w:lineRule="auto"/>
        <w:ind w:firstLine="482" w:firstLineChars="20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8.</w:t>
      </w:r>
      <w:r>
        <w:rPr>
          <w:rFonts w:hint="eastAsia" w:asciiTheme="minorEastAsia" w:hAnsiTheme="minorEastAsia" w:eastAsiaTheme="minorEastAsia" w:cstheme="minorEastAsia"/>
          <w:bCs/>
          <w:color w:val="auto"/>
          <w:sz w:val="24"/>
          <w:highlight w:val="none"/>
        </w:rPr>
        <w:t>1评审依据：磋商小组将以磋商响应文件为评审依据，对供应商的报价、技术、商务等方面内容按百分制打分。（计分方法按四舍五入取至百分位）。</w:t>
      </w:r>
      <w:bookmarkStart w:id="48" w:name="_Toc80205935"/>
    </w:p>
    <w:tbl>
      <w:tblPr>
        <w:tblStyle w:val="21"/>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361"/>
        <w:gridCol w:w="6667"/>
        <w:gridCol w:w="1134"/>
      </w:tblGrid>
      <w:tr w14:paraId="529C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Align w:val="center"/>
          </w:tcPr>
          <w:p w14:paraId="75194A07">
            <w:pPr>
              <w:keepNext w:val="0"/>
              <w:keepLines w:val="0"/>
              <w:pageBreakBefore w:val="0"/>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序号</w:t>
            </w:r>
          </w:p>
        </w:tc>
        <w:tc>
          <w:tcPr>
            <w:tcW w:w="1361" w:type="dxa"/>
            <w:vAlign w:val="center"/>
          </w:tcPr>
          <w:p w14:paraId="5BF89A53">
            <w:pPr>
              <w:keepNext w:val="0"/>
              <w:keepLines w:val="0"/>
              <w:pageBreakBefore w:val="0"/>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评分类型</w:t>
            </w:r>
          </w:p>
        </w:tc>
        <w:tc>
          <w:tcPr>
            <w:tcW w:w="6667" w:type="dxa"/>
            <w:vAlign w:val="center"/>
          </w:tcPr>
          <w:p w14:paraId="76F5DCA8">
            <w:pPr>
              <w:keepNext w:val="0"/>
              <w:keepLines w:val="0"/>
              <w:pageBreakBefore w:val="0"/>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评分标准</w:t>
            </w:r>
          </w:p>
        </w:tc>
        <w:tc>
          <w:tcPr>
            <w:tcW w:w="1134" w:type="dxa"/>
            <w:vAlign w:val="center"/>
          </w:tcPr>
          <w:p w14:paraId="076D325E">
            <w:pPr>
              <w:keepNext w:val="0"/>
              <w:keepLines w:val="0"/>
              <w:pageBreakBefore w:val="0"/>
              <w:widowControl/>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分值</w:t>
            </w:r>
          </w:p>
        </w:tc>
      </w:tr>
      <w:tr w14:paraId="076A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Align w:val="center"/>
          </w:tcPr>
          <w:p w14:paraId="20B02625">
            <w:pPr>
              <w:keepNext w:val="0"/>
              <w:keepLines w:val="0"/>
              <w:pageBreakBefore w:val="0"/>
              <w:shd w:val="clear"/>
              <w:kinsoku/>
              <w:wordWrap w:val="0"/>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361" w:type="dxa"/>
            <w:vAlign w:val="center"/>
          </w:tcPr>
          <w:p w14:paraId="70D78ACC">
            <w:pPr>
              <w:keepNext w:val="0"/>
              <w:keepLines w:val="0"/>
              <w:pageBreakBefore w:val="0"/>
              <w:shd w:val="clear"/>
              <w:kinsoku/>
              <w:wordWrap w:val="0"/>
              <w:overflowPunct/>
              <w:topLinePunct w:val="0"/>
              <w:autoSpaceDE/>
              <w:autoSpaceDN/>
              <w:bidi w:val="0"/>
              <w:adjustRightIn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价格分（满分</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6667" w:type="dxa"/>
          </w:tcPr>
          <w:p w14:paraId="628B04AE">
            <w:pPr>
              <w:keepNext w:val="0"/>
              <w:keepLines w:val="0"/>
              <w:pageBreakBefore w:val="0"/>
              <w:shd w:val="clear"/>
              <w:kinsoku/>
              <w:overflowPunct/>
              <w:topLinePunct w:val="0"/>
              <w:autoSpaceDE/>
              <w:autoSpaceDN/>
              <w:bidi w:val="0"/>
              <w:adjustRightInd/>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☑本项目为专门面对中小企业项目，小微企业、监狱企业、残疾人福利性单位均不再执行价格评审优惠的扶持政策。</w:t>
            </w:r>
          </w:p>
          <w:p w14:paraId="52107EC4">
            <w:pPr>
              <w:keepNext w:val="0"/>
              <w:keepLines w:val="0"/>
              <w:pageBreakBefore w:val="0"/>
              <w:shd w:val="clear"/>
              <w:kinsoku/>
              <w:overflowPunct/>
              <w:topLinePunct w:val="0"/>
              <w:autoSpaceDE/>
              <w:autoSpaceDN/>
              <w:bidi w:val="0"/>
              <w:adjustRightInd/>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本项目为非专门面向中小企业采购项目（政府采购政策性扣除计算方法）：</w:t>
            </w:r>
          </w:p>
          <w:p w14:paraId="633F8C07">
            <w:pPr>
              <w:keepNext w:val="0"/>
              <w:keepLines w:val="0"/>
              <w:pageBreakBefore w:val="0"/>
              <w:shd w:val="clear"/>
              <w:kinsoku/>
              <w:wordWrap w:val="0"/>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1.评审报价为供应商的最后报价进行政策性扣除后的价格，评审报价只是作为评审时使用。最终成交供应商的成交金额等于最后报价（如有修正，以确认修正后的最后报价为准）。</w:t>
            </w:r>
          </w:p>
          <w:p w14:paraId="3EE218A5">
            <w:pPr>
              <w:keepNext w:val="0"/>
              <w:keepLines w:val="0"/>
              <w:pageBreakBefore w:val="0"/>
              <w:shd w:val="clear"/>
              <w:kinsoku/>
              <w:wordWrap w:val="0"/>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2.政府采购政策性扣除计算方法</w:t>
            </w:r>
          </w:p>
          <w:p w14:paraId="04E37C13">
            <w:pPr>
              <w:keepNext w:val="0"/>
              <w:keepLines w:val="0"/>
              <w:pageBreakBefore w:val="0"/>
              <w:shd w:val="clear"/>
              <w:kinsoku/>
              <w:wordWrap w:val="0"/>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（1）按照《政府采购促进中小企业发展管理办法》（财库〔2020〕46号）的规定，供应商在其响应文件中提供《中小企业声明函》，且其服务为小型和微型企业承接的，对其最后报价给予20%的扣除。</w:t>
            </w:r>
          </w:p>
          <w:p w14:paraId="060DEA00">
            <w:pPr>
              <w:keepNext w:val="0"/>
              <w:keepLines w:val="0"/>
              <w:pageBreakBefore w:val="0"/>
              <w:shd w:val="clear"/>
              <w:kinsoku/>
              <w:wordWrap w:val="0"/>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5A58987">
            <w:pPr>
              <w:keepNext w:val="0"/>
              <w:keepLines w:val="0"/>
              <w:pageBreakBefore w:val="0"/>
              <w:shd w:val="clear"/>
              <w:kinsoku/>
              <w:wordWrap w:val="0"/>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EF0E65A">
            <w:pPr>
              <w:keepNext w:val="0"/>
              <w:keepLines w:val="0"/>
              <w:pageBreakBefore w:val="0"/>
              <w:shd w:val="clear"/>
              <w:kinsoku/>
              <w:wordWrap w:val="0"/>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（4）政策性扣除计算方法。</w:t>
            </w:r>
          </w:p>
          <w:p w14:paraId="0D0B1330">
            <w:pPr>
              <w:keepNext w:val="0"/>
              <w:keepLines w:val="0"/>
              <w:pageBreakBefore w:val="0"/>
              <w:shd w:val="clear"/>
              <w:kinsoku/>
              <w:wordWrap w:val="0"/>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在服务采购项目中，服务由小微企业承接；对符合上述要求的供应商的响应报价给予</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rPr>
              <w:t>的扣除，扣除后的价格为评审报价，即评审报价=响应报价×（1-</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的扣除，用扣除后的价格参加评审，扣除后的价格为评审报价，即评审报价=响应报价×（1-6%）。除上述情况外，评审报价=响应报价。</w:t>
            </w:r>
          </w:p>
          <w:p w14:paraId="14950B8B">
            <w:pPr>
              <w:keepNext w:val="0"/>
              <w:keepLines w:val="0"/>
              <w:pageBreakBefore w:val="0"/>
              <w:shd w:val="clear"/>
              <w:kinsoku/>
              <w:wordWrap w:val="0"/>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（5）除上述情况外，评审报价＝最后报价。</w:t>
            </w:r>
          </w:p>
          <w:p w14:paraId="2B1EC2D9">
            <w:pPr>
              <w:keepNext w:val="0"/>
              <w:keepLines w:val="0"/>
              <w:pageBreakBefore w:val="0"/>
              <w:shd w:val="clear"/>
              <w:kinsoku/>
              <w:wordWrap w:val="0"/>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）以进入比较与评价环节的最低的评审报价为基准价。</w:t>
            </w:r>
          </w:p>
          <w:p w14:paraId="42DDC217">
            <w:pPr>
              <w:keepNext w:val="0"/>
              <w:keepLines w:val="0"/>
              <w:pageBreakBefore w:val="0"/>
              <w:shd w:val="clear"/>
              <w:kinsoku/>
              <w:wordWrap w:val="0"/>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）价格分计算公式：</w:t>
            </w:r>
          </w:p>
          <w:p w14:paraId="10910FDE">
            <w:pPr>
              <w:keepNext w:val="0"/>
              <w:keepLines w:val="0"/>
              <w:pageBreakBefore w:val="0"/>
              <w:shd w:val="clear"/>
              <w:kinsoku/>
              <w:wordWrap w:val="0"/>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报价得分=（基准价/最后报价）×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1134" w:type="dxa"/>
            <w:vAlign w:val="center"/>
          </w:tcPr>
          <w:p w14:paraId="13E49E9D">
            <w:pPr>
              <w:keepNext w:val="0"/>
              <w:keepLines w:val="0"/>
              <w:pageBreakBefore w:val="0"/>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14:paraId="5010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Merge w:val="restart"/>
            <w:vAlign w:val="center"/>
          </w:tcPr>
          <w:p w14:paraId="3FA420E9">
            <w:pPr>
              <w:keepNext w:val="0"/>
              <w:keepLines w:val="0"/>
              <w:pageBreakBefore w:val="0"/>
              <w:widowControl/>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2</w:t>
            </w:r>
          </w:p>
        </w:tc>
        <w:tc>
          <w:tcPr>
            <w:tcW w:w="1361" w:type="dxa"/>
            <w:vAlign w:val="center"/>
          </w:tcPr>
          <w:p w14:paraId="196C09A1">
            <w:pPr>
              <w:keepNext w:val="0"/>
              <w:keepLines w:val="0"/>
              <w:pageBreakBefore w:val="0"/>
              <w:widowControl/>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技术分（满分</w:t>
            </w:r>
            <w:r>
              <w:rPr>
                <w:rFonts w:hint="eastAsia" w:ascii="宋体" w:hAnsi="宋体" w:eastAsia="宋体" w:cs="宋体"/>
                <w:bCs/>
                <w:color w:val="auto"/>
                <w:kern w:val="0"/>
                <w:sz w:val="24"/>
                <w:szCs w:val="24"/>
                <w:highlight w:val="none"/>
                <w:lang w:val="en-US" w:eastAsia="zh-CN"/>
              </w:rPr>
              <w:t>60</w:t>
            </w:r>
            <w:r>
              <w:rPr>
                <w:rFonts w:hint="eastAsia" w:ascii="宋体" w:hAnsi="宋体" w:eastAsia="宋体" w:cs="宋体"/>
                <w:bCs/>
                <w:color w:val="auto"/>
                <w:kern w:val="0"/>
                <w:sz w:val="24"/>
                <w:szCs w:val="24"/>
                <w:highlight w:val="none"/>
              </w:rPr>
              <w:t>分）</w:t>
            </w:r>
          </w:p>
        </w:tc>
        <w:tc>
          <w:tcPr>
            <w:tcW w:w="6667" w:type="dxa"/>
            <w:vAlign w:val="center"/>
          </w:tcPr>
          <w:p w14:paraId="7581341B">
            <w:pPr>
              <w:pStyle w:val="13"/>
              <w:keepNext w:val="0"/>
              <w:keepLines w:val="0"/>
              <w:pageBreakBefore w:val="0"/>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1134" w:type="dxa"/>
            <w:vAlign w:val="center"/>
          </w:tcPr>
          <w:p w14:paraId="498F5419">
            <w:pPr>
              <w:keepNext w:val="0"/>
              <w:keepLines w:val="0"/>
              <w:pageBreakBefore w:val="0"/>
              <w:widowControl/>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分值</w:t>
            </w:r>
          </w:p>
        </w:tc>
      </w:tr>
      <w:tr w14:paraId="5CE5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Merge w:val="continue"/>
            <w:vAlign w:val="center"/>
          </w:tcPr>
          <w:p w14:paraId="06EA144F">
            <w:pPr>
              <w:keepNext w:val="0"/>
              <w:keepLines w:val="0"/>
              <w:pageBreakBefore w:val="0"/>
              <w:widowControl/>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c>
          <w:tcPr>
            <w:tcW w:w="1361" w:type="dxa"/>
            <w:vAlign w:val="center"/>
          </w:tcPr>
          <w:p w14:paraId="23ACA4FC">
            <w:pPr>
              <w:keepNext w:val="0"/>
              <w:keepLines w:val="0"/>
              <w:pageBreakBefore w:val="0"/>
              <w:widowControl/>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（1）项目背景理解（满分</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分）</w:t>
            </w:r>
          </w:p>
        </w:tc>
        <w:tc>
          <w:tcPr>
            <w:tcW w:w="6667" w:type="dxa"/>
            <w:vAlign w:val="center"/>
          </w:tcPr>
          <w:p w14:paraId="4C8C0E4D">
            <w:pPr>
              <w:keepNext w:val="0"/>
              <w:keepLines w:val="0"/>
              <w:pageBreakBefore w:val="0"/>
              <w:kinsoku/>
              <w:overflowPunct/>
              <w:topLinePunct w:val="0"/>
              <w:autoSpaceDE/>
              <w:autoSpaceDN/>
              <w:bidi w:val="0"/>
              <w:adjustRightInd/>
              <w:spacing w:line="360" w:lineRule="auto"/>
              <w:ind w:firstLine="42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一档（10分）：未完全了解项目背景，对</w:t>
            </w:r>
            <w:r>
              <w:rPr>
                <w:rFonts w:hint="eastAsia" w:ascii="宋体" w:hAnsi="宋体" w:eastAsia="宋体" w:cs="宋体"/>
                <w:color w:val="auto"/>
                <w:sz w:val="24"/>
                <w:szCs w:val="24"/>
                <w:highlight w:val="none"/>
              </w:rPr>
              <w:t>新质生产力内涵、特征与形成条件，评估南宁片区发展新质生产力的基础与问题，研究加快形成新质生产力的主要方向</w:t>
            </w:r>
            <w:r>
              <w:rPr>
                <w:rFonts w:hint="eastAsia" w:ascii="宋体" w:hAnsi="宋体" w:eastAsia="宋体" w:cs="宋体"/>
                <w:bCs/>
                <w:color w:val="auto"/>
                <w:kern w:val="0"/>
                <w:sz w:val="24"/>
                <w:szCs w:val="24"/>
                <w:highlight w:val="none"/>
              </w:rPr>
              <w:t>，与采购人需求有较大偏差。</w:t>
            </w:r>
          </w:p>
          <w:p w14:paraId="340D9071">
            <w:pPr>
              <w:keepNext w:val="0"/>
              <w:keepLines w:val="0"/>
              <w:pageBreakBefore w:val="0"/>
              <w:kinsoku/>
              <w:overflowPunct/>
              <w:topLinePunct w:val="0"/>
              <w:autoSpaceDE/>
              <w:autoSpaceDN/>
              <w:bidi w:val="0"/>
              <w:adjustRightInd/>
              <w:spacing w:line="360" w:lineRule="auto"/>
              <w:ind w:firstLine="42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二档（15分）：对</w:t>
            </w:r>
            <w:r>
              <w:rPr>
                <w:rFonts w:hint="eastAsia" w:ascii="宋体" w:hAnsi="宋体" w:eastAsia="宋体" w:cs="宋体"/>
                <w:color w:val="auto"/>
                <w:sz w:val="24"/>
                <w:szCs w:val="24"/>
                <w:highlight w:val="none"/>
              </w:rPr>
              <w:t>新质生产力内涵、特征与形成条件，评估南宁片区发展新质生产力的基础与问题，研究加快形成新质生产力的主要方向</w:t>
            </w:r>
            <w:r>
              <w:rPr>
                <w:rFonts w:hint="eastAsia" w:ascii="宋体" w:hAnsi="宋体" w:eastAsia="宋体" w:cs="宋体"/>
                <w:bCs/>
                <w:color w:val="auto"/>
                <w:kern w:val="0"/>
                <w:sz w:val="24"/>
                <w:szCs w:val="24"/>
                <w:highlight w:val="none"/>
              </w:rPr>
              <w:t>有基本认识，较符合采购人需求。</w:t>
            </w:r>
          </w:p>
          <w:p w14:paraId="076B16A5">
            <w:pPr>
              <w:keepNext w:val="0"/>
              <w:keepLines w:val="0"/>
              <w:pageBreakBefore w:val="0"/>
              <w:kinsoku/>
              <w:overflowPunct/>
              <w:topLinePunct w:val="0"/>
              <w:autoSpaceDE/>
              <w:autoSpaceDN/>
              <w:bidi w:val="0"/>
              <w:adjustRightInd/>
              <w:spacing w:line="360" w:lineRule="auto"/>
              <w:ind w:firstLine="42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三档（20分）：</w:t>
            </w:r>
            <w:r>
              <w:rPr>
                <w:rFonts w:hint="eastAsia" w:ascii="宋体" w:hAnsi="宋体" w:eastAsia="宋体" w:cs="宋体"/>
                <w:bCs/>
                <w:color w:val="auto"/>
                <w:sz w:val="24"/>
                <w:szCs w:val="24"/>
                <w:highlight w:val="none"/>
              </w:rPr>
              <w:t>深入理解新质生产力的时代背景、概念内涵、关键特征和形成条件，南宁片区新质生产力的发展现状和趋势，分析南宁片区推进新质生产力发展的基础优势，研究制约南宁片区加快形成新质生产力的瓶颈问题等核心内容，完全契合采购人需求。</w:t>
            </w:r>
          </w:p>
          <w:p w14:paraId="4A12013F">
            <w:pPr>
              <w:keepNext w:val="0"/>
              <w:keepLines w:val="0"/>
              <w:pageBreakBefore w:val="0"/>
              <w:widowControl/>
              <w:shd w:val="clear"/>
              <w:kinsoku/>
              <w:overflowPunct/>
              <w:topLinePunct w:val="0"/>
              <w:autoSpaceDE/>
              <w:autoSpaceDN/>
              <w:bidi w:val="0"/>
              <w:adjustRightIn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注：未提供或不符合最低入档条件的按不入档计0分处理。</w:t>
            </w:r>
          </w:p>
        </w:tc>
        <w:tc>
          <w:tcPr>
            <w:tcW w:w="1134" w:type="dxa"/>
            <w:vAlign w:val="center"/>
          </w:tcPr>
          <w:p w14:paraId="0C9E64E5">
            <w:pPr>
              <w:keepNext w:val="0"/>
              <w:keepLines w:val="0"/>
              <w:pageBreakBefore w:val="0"/>
              <w:shd w:val="clear"/>
              <w:kinsoku/>
              <w:overflowPunct/>
              <w:topLinePunct w:val="0"/>
              <w:autoSpaceDE/>
              <w:autoSpaceDN/>
              <w:bidi w:val="0"/>
              <w:adjustRightInd/>
              <w:spacing w:line="360" w:lineRule="auto"/>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rPr>
              <w:t>0~20分</w:t>
            </w:r>
          </w:p>
        </w:tc>
      </w:tr>
      <w:tr w14:paraId="6E61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Merge w:val="continue"/>
            <w:vAlign w:val="center"/>
          </w:tcPr>
          <w:p w14:paraId="463A7A2B">
            <w:pPr>
              <w:keepNext w:val="0"/>
              <w:keepLines w:val="0"/>
              <w:pageBreakBefore w:val="0"/>
              <w:widowControl/>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c>
          <w:tcPr>
            <w:tcW w:w="1361" w:type="dxa"/>
            <w:vAlign w:val="center"/>
          </w:tcPr>
          <w:p w14:paraId="4EA81DE7">
            <w:pPr>
              <w:keepNext w:val="0"/>
              <w:keepLines w:val="0"/>
              <w:pageBreakBefore w:val="0"/>
              <w:widowControl/>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（2）工作实施方案（满分</w:t>
            </w:r>
            <w:r>
              <w:rPr>
                <w:rFonts w:hint="eastAsia" w:ascii="宋体" w:hAnsi="宋体" w:eastAsia="宋体" w:cs="宋体"/>
                <w:color w:val="auto"/>
                <w:kern w:val="0"/>
                <w:sz w:val="24"/>
                <w:szCs w:val="24"/>
                <w:highlight w:val="none"/>
                <w:lang w:val="en-US" w:eastAsia="zh-CN"/>
              </w:rPr>
              <w:t>25</w:t>
            </w:r>
            <w:r>
              <w:rPr>
                <w:rFonts w:hint="eastAsia" w:ascii="宋体" w:hAnsi="宋体" w:eastAsia="宋体" w:cs="宋体"/>
                <w:color w:val="auto"/>
                <w:kern w:val="0"/>
                <w:sz w:val="24"/>
                <w:szCs w:val="24"/>
                <w:highlight w:val="none"/>
              </w:rPr>
              <w:t>分）</w:t>
            </w:r>
          </w:p>
        </w:tc>
        <w:tc>
          <w:tcPr>
            <w:tcW w:w="6667" w:type="dxa"/>
            <w:vAlign w:val="center"/>
          </w:tcPr>
          <w:p w14:paraId="1B8A11D3">
            <w:pPr>
              <w:keepNext w:val="0"/>
              <w:keepLines w:val="0"/>
              <w:pageBreakBefore w:val="0"/>
              <w:kinsoku/>
              <w:overflowPunct/>
              <w:topLinePunct w:val="0"/>
              <w:autoSpaceDE/>
              <w:autoSpaceDN/>
              <w:bidi w:val="0"/>
              <w:adjustRightInd/>
              <w:spacing w:line="360" w:lineRule="auto"/>
              <w:ind w:firstLine="42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一档（10分）：仅提供基础性工作思路，</w:t>
            </w:r>
            <w:r>
              <w:rPr>
                <w:rFonts w:hint="eastAsia" w:ascii="宋体" w:hAnsi="宋体" w:eastAsia="宋体" w:cs="宋体"/>
                <w:bCs/>
                <w:color w:val="auto"/>
                <w:sz w:val="24"/>
                <w:szCs w:val="24"/>
                <w:highlight w:val="none"/>
              </w:rPr>
              <w:t>工作思路简单笼统，对宏观政策研究、现状分析、实施路径设计等工作内容覆盖不全，缺乏针对性，仅满足采购文件要求。</w:t>
            </w:r>
          </w:p>
          <w:p w14:paraId="1ADA9A2E">
            <w:pPr>
              <w:keepNext w:val="0"/>
              <w:keepLines w:val="0"/>
              <w:pageBreakBefore w:val="0"/>
              <w:kinsoku/>
              <w:overflowPunct/>
              <w:topLinePunct w:val="0"/>
              <w:autoSpaceDE/>
              <w:autoSpaceDN/>
              <w:bidi w:val="0"/>
              <w:adjustRightInd/>
              <w:spacing w:line="360" w:lineRule="auto"/>
              <w:ind w:firstLine="42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二档（15分）：提供较为完整的工作方案，能基本覆盖宏观政策研究、现状分析、实施路径设计等各项工作内容，提出简单的研究思路，整体方案可行性一般，较满足采购文件要求。</w:t>
            </w:r>
          </w:p>
          <w:p w14:paraId="4F5997F9">
            <w:pPr>
              <w:keepNext w:val="0"/>
              <w:keepLines w:val="0"/>
              <w:pageBreakBefore w:val="0"/>
              <w:kinsoku/>
              <w:overflowPunct/>
              <w:topLinePunct w:val="0"/>
              <w:autoSpaceDE/>
              <w:autoSpaceDN/>
              <w:bidi w:val="0"/>
              <w:adjustRightInd/>
              <w:spacing w:line="360" w:lineRule="auto"/>
              <w:ind w:firstLine="42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档（20分）：工作方案结构较为清晰，研究方法具有一定的科学性、系统性，宏观政策研究部分能形成初步政策研究框架；现状分析部分能提出较为合理的现状分析方法；实施路径设计部分能提出基本工作方法，方案具备一定可行性，满足采购文件要求。</w:t>
            </w:r>
          </w:p>
          <w:p w14:paraId="3B280D50">
            <w:pPr>
              <w:keepNext w:val="0"/>
              <w:keepLines w:val="0"/>
              <w:pageBreakBefore w:val="0"/>
              <w:kinsoku/>
              <w:overflowPunct/>
              <w:topLinePunct w:val="0"/>
              <w:autoSpaceDE/>
              <w:autoSpaceDN/>
              <w:bidi w:val="0"/>
              <w:adjustRightIn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四档（25分）：工作方案系统性强、逻辑严密，研究方法科学完备，宏观政策研究部分能构建多层级、系统性政策研究框架，覆盖国家、地方及片区相关政策；现状分析部分能提出科学、合理的现状分析方法，可有效挖掘南宁片区发展基础与痛点；实施路径设计部分能制定科学、合理的工作方法，并提出初步的差异化、特色化建设路径，方案可行性强，优于采购文件要求</w:t>
            </w:r>
            <w:r>
              <w:rPr>
                <w:rFonts w:hint="eastAsia" w:ascii="宋体" w:hAnsi="宋体" w:eastAsia="宋体" w:cs="宋体"/>
                <w:bCs/>
                <w:color w:val="auto"/>
                <w:sz w:val="24"/>
                <w:szCs w:val="24"/>
                <w:highlight w:val="none"/>
              </w:rPr>
              <w:t>。</w:t>
            </w:r>
          </w:p>
          <w:p w14:paraId="5A2AEEBE">
            <w:pPr>
              <w:keepNext w:val="0"/>
              <w:keepLines w:val="0"/>
              <w:pageBreakBefore w:val="0"/>
              <w:widowControl/>
              <w:shd w:val="clear"/>
              <w:kinsoku/>
              <w:overflowPunct/>
              <w:topLinePunct w:val="0"/>
              <w:autoSpaceDE/>
              <w:autoSpaceDN/>
              <w:bidi w:val="0"/>
              <w:adjustRightInd/>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注：未提供或不符合最低入档条件的按不入档计0分处理。</w:t>
            </w:r>
          </w:p>
        </w:tc>
        <w:tc>
          <w:tcPr>
            <w:tcW w:w="1134" w:type="dxa"/>
            <w:vAlign w:val="center"/>
          </w:tcPr>
          <w:p w14:paraId="02F2369E">
            <w:pPr>
              <w:keepNext w:val="0"/>
              <w:keepLines w:val="0"/>
              <w:pageBreakBefore w:val="0"/>
              <w:shd w:val="clear"/>
              <w:kinsoku/>
              <w:overflowPunct/>
              <w:topLinePunct w:val="0"/>
              <w:autoSpaceDE/>
              <w:autoSpaceDN/>
              <w:bidi w:val="0"/>
              <w:adjustRightInd/>
              <w:spacing w:line="360" w:lineRule="auto"/>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rPr>
              <w:t>0~25分</w:t>
            </w:r>
          </w:p>
        </w:tc>
      </w:tr>
      <w:tr w14:paraId="774D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Merge w:val="continue"/>
            <w:vAlign w:val="center"/>
          </w:tcPr>
          <w:p w14:paraId="1CDB99AA">
            <w:pPr>
              <w:keepNext w:val="0"/>
              <w:keepLines w:val="0"/>
              <w:pageBreakBefore w:val="0"/>
              <w:widowControl/>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c>
          <w:tcPr>
            <w:tcW w:w="1361" w:type="dxa"/>
            <w:vAlign w:val="center"/>
          </w:tcPr>
          <w:p w14:paraId="269937B5">
            <w:pPr>
              <w:keepNext w:val="0"/>
              <w:keepLines w:val="0"/>
              <w:pageBreakBefore w:val="0"/>
              <w:widowControl/>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）项目进度安排</w:t>
            </w:r>
            <w:r>
              <w:rPr>
                <w:rFonts w:hint="eastAsia" w:ascii="宋体" w:hAnsi="宋体" w:eastAsia="宋体" w:cs="宋体"/>
                <w:color w:val="auto"/>
                <w:kern w:val="0"/>
                <w:sz w:val="24"/>
                <w:szCs w:val="24"/>
                <w:highlight w:val="none"/>
              </w:rPr>
              <w:t>（满分</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分）</w:t>
            </w:r>
          </w:p>
        </w:tc>
        <w:tc>
          <w:tcPr>
            <w:tcW w:w="6667" w:type="dxa"/>
            <w:vAlign w:val="center"/>
          </w:tcPr>
          <w:p w14:paraId="39319D32">
            <w:pPr>
              <w:keepNext w:val="0"/>
              <w:keepLines w:val="0"/>
              <w:pageBreakBefore w:val="0"/>
              <w:kinsoku/>
              <w:overflowPunct/>
              <w:topLinePunct w:val="0"/>
              <w:autoSpaceDE/>
              <w:autoSpaceDN/>
              <w:bidi w:val="0"/>
              <w:adjustRightInd/>
              <w:spacing w:line="360" w:lineRule="auto"/>
              <w:ind w:firstLine="42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一档（5分）：供应商仅提供工作总时间，仅能满足采购文件要求。</w:t>
            </w:r>
          </w:p>
          <w:p w14:paraId="3F68576A">
            <w:pPr>
              <w:keepNext w:val="0"/>
              <w:keepLines w:val="0"/>
              <w:pageBreakBefore w:val="0"/>
              <w:kinsoku/>
              <w:overflowPunct/>
              <w:topLinePunct w:val="0"/>
              <w:autoSpaceDE/>
              <w:autoSpaceDN/>
              <w:bidi w:val="0"/>
              <w:adjustRightInd/>
              <w:spacing w:line="360" w:lineRule="auto"/>
              <w:ind w:firstLine="42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二档（10分）：</w:t>
            </w:r>
            <w:r>
              <w:rPr>
                <w:rFonts w:hint="eastAsia" w:ascii="宋体" w:hAnsi="宋体" w:eastAsia="宋体" w:cs="宋体"/>
                <w:bCs/>
                <w:color w:val="auto"/>
                <w:sz w:val="24"/>
                <w:szCs w:val="24"/>
                <w:highlight w:val="none"/>
              </w:rPr>
              <w:t>供应商能依据工作阶段提供简单的项目进度安排，满足采购文件要求</w:t>
            </w:r>
            <w:r>
              <w:rPr>
                <w:rFonts w:hint="eastAsia" w:ascii="宋体" w:hAnsi="宋体" w:eastAsia="宋体" w:cs="宋体"/>
                <w:bCs/>
                <w:color w:val="auto"/>
                <w:kern w:val="0"/>
                <w:sz w:val="24"/>
                <w:szCs w:val="24"/>
                <w:highlight w:val="none"/>
              </w:rPr>
              <w:t>。</w:t>
            </w:r>
          </w:p>
          <w:p w14:paraId="20EE4597">
            <w:pPr>
              <w:keepNext w:val="0"/>
              <w:keepLines w:val="0"/>
              <w:pageBreakBefore w:val="0"/>
              <w:kinsoku/>
              <w:overflowPunct/>
              <w:topLinePunct w:val="0"/>
              <w:autoSpaceDE/>
              <w:autoSpaceDN/>
              <w:bidi w:val="0"/>
              <w:adjustRightInd/>
              <w:spacing w:line="360" w:lineRule="auto"/>
              <w:ind w:firstLine="42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三档（15分）：</w:t>
            </w:r>
            <w:r>
              <w:rPr>
                <w:rFonts w:hint="eastAsia" w:ascii="宋体" w:hAnsi="宋体" w:eastAsia="宋体" w:cs="宋体"/>
                <w:bCs/>
                <w:color w:val="auto"/>
                <w:sz w:val="24"/>
                <w:szCs w:val="24"/>
                <w:highlight w:val="none"/>
              </w:rPr>
              <w:t>在满足二档的基础上，供应商提供较为详细的项目进度安排，明确各阶段工作时间、节点及每个阶段所提交的阶段性服务成果</w:t>
            </w:r>
            <w:r>
              <w:rPr>
                <w:rFonts w:hint="eastAsia" w:ascii="宋体" w:hAnsi="宋体" w:eastAsia="宋体" w:cs="宋体"/>
                <w:bCs/>
                <w:color w:val="auto"/>
                <w:kern w:val="0"/>
                <w:sz w:val="24"/>
                <w:szCs w:val="24"/>
                <w:highlight w:val="none"/>
              </w:rPr>
              <w:t>。</w:t>
            </w:r>
          </w:p>
          <w:p w14:paraId="097E52C8">
            <w:pPr>
              <w:keepNext w:val="0"/>
              <w:keepLines w:val="0"/>
              <w:pageBreakBefore w:val="0"/>
              <w:widowControl/>
              <w:shd w:val="clear"/>
              <w:kinsoku/>
              <w:overflowPunct/>
              <w:topLinePunct w:val="0"/>
              <w:autoSpaceDE/>
              <w:autoSpaceDN/>
              <w:bidi w:val="0"/>
              <w:adjustRightInd/>
              <w:spacing w:line="360" w:lineRule="auto"/>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color w:val="auto"/>
                <w:sz w:val="24"/>
                <w:szCs w:val="24"/>
                <w:highlight w:val="none"/>
              </w:rPr>
              <w:t>注：未提供或不符合最低入档条件的按不入档计0分处理。</w:t>
            </w:r>
          </w:p>
        </w:tc>
        <w:tc>
          <w:tcPr>
            <w:tcW w:w="1134" w:type="dxa"/>
            <w:vAlign w:val="center"/>
          </w:tcPr>
          <w:p w14:paraId="642FAF48">
            <w:pPr>
              <w:keepNext w:val="0"/>
              <w:keepLines w:val="0"/>
              <w:pageBreakBefore w:val="0"/>
              <w:shd w:val="clear"/>
              <w:kinsoku/>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0~15分</w:t>
            </w:r>
          </w:p>
        </w:tc>
      </w:tr>
      <w:tr w14:paraId="7CCE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Merge w:val="continue"/>
            <w:vAlign w:val="center"/>
          </w:tcPr>
          <w:p w14:paraId="257894A7">
            <w:pPr>
              <w:keepNext w:val="0"/>
              <w:keepLines w:val="0"/>
              <w:pageBreakBefore w:val="0"/>
              <w:widowControl/>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c>
          <w:tcPr>
            <w:tcW w:w="1361" w:type="dxa"/>
            <w:vAlign w:val="center"/>
          </w:tcPr>
          <w:p w14:paraId="473246F0">
            <w:pPr>
              <w:keepNext w:val="0"/>
              <w:keepLines w:val="0"/>
              <w:pageBreakBefore w:val="0"/>
              <w:widowControl/>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企业技术调研信息管理与安全保证措施方案</w:t>
            </w:r>
            <w:r>
              <w:rPr>
                <w:rFonts w:hint="eastAsia" w:ascii="宋体" w:hAnsi="宋体" w:eastAsia="宋体" w:cs="宋体"/>
                <w:bCs/>
                <w:color w:val="auto"/>
                <w:sz w:val="24"/>
                <w:szCs w:val="24"/>
                <w:highlight w:val="none"/>
              </w:rPr>
              <w:t>（满分</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分）</w:t>
            </w:r>
          </w:p>
        </w:tc>
        <w:tc>
          <w:tcPr>
            <w:tcW w:w="6667" w:type="dxa"/>
            <w:vAlign w:val="center"/>
          </w:tcPr>
          <w:p w14:paraId="08958E32">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rPr>
              <w:t>档（1分）：企业技术调研信息管理与安全保证措施基本完善、可行性一般（具备基本数据库或系统）；</w:t>
            </w:r>
          </w:p>
          <w:p w14:paraId="62CB4C6C">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二档（5分）：企业技术调研信息管理与安全保证措施较有力、较完善，可行性较高（具备基本数据库或系统，该数据库或系统有基本安全保障的）;</w:t>
            </w:r>
          </w:p>
          <w:p w14:paraId="62D80448">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档（9分）：对项目实施过程中获取的企业技术调研信息管理与安全保证措施有力、完善，切实可行（有专业的法律服务团队；具备自研的、集挖掘-分析-可视化一体的数据库或系统，该数据库或系统涉及多学科、多产业系统且系统包括人才数据展示、匹配、触达等功能）</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w:t>
            </w:r>
          </w:p>
          <w:p w14:paraId="1A2C86B8">
            <w:pPr>
              <w:keepNext w:val="0"/>
              <w:keepLines w:val="0"/>
              <w:pageBreakBefore w:val="0"/>
              <w:widowControl/>
              <w:shd w:val="clear"/>
              <w:kinsoku/>
              <w:overflowPunct/>
              <w:topLinePunct w:val="0"/>
              <w:autoSpaceDE/>
              <w:autoSpaceDN/>
              <w:bidi w:val="0"/>
              <w:adjustRightInd/>
              <w:spacing w:line="360" w:lineRule="auto"/>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企业技术调研信息管理与安全保证措施不完善或未提供不得分。</w:t>
            </w:r>
          </w:p>
        </w:tc>
        <w:tc>
          <w:tcPr>
            <w:tcW w:w="1134" w:type="dxa"/>
            <w:vAlign w:val="center"/>
          </w:tcPr>
          <w:p w14:paraId="1E7ADB98">
            <w:pPr>
              <w:keepNext w:val="0"/>
              <w:keepLines w:val="0"/>
              <w:pageBreakBefore w:val="0"/>
              <w:shd w:val="clear"/>
              <w:kinsoku/>
              <w:overflowPunct/>
              <w:topLinePunct w:val="0"/>
              <w:autoSpaceDE/>
              <w:autoSpaceDN/>
              <w:bidi w:val="0"/>
              <w:adjustRightInd/>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lang w:val="en-US" w:eastAsia="zh-CN"/>
              </w:rPr>
              <w:t>分</w:t>
            </w:r>
          </w:p>
        </w:tc>
      </w:tr>
      <w:tr w14:paraId="0B54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Merge w:val="continue"/>
            <w:vAlign w:val="center"/>
          </w:tcPr>
          <w:p w14:paraId="16A4E37F">
            <w:pPr>
              <w:keepNext w:val="0"/>
              <w:keepLines w:val="0"/>
              <w:pageBreakBefore w:val="0"/>
              <w:widowControl/>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c>
          <w:tcPr>
            <w:tcW w:w="1361" w:type="dxa"/>
            <w:vAlign w:val="center"/>
          </w:tcPr>
          <w:p w14:paraId="2D3D5B42">
            <w:pPr>
              <w:keepNext w:val="0"/>
              <w:keepLines w:val="0"/>
              <w:pageBreakBefore w:val="0"/>
              <w:widowControl/>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）售后服务承诺（满分</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w:t>
            </w:r>
          </w:p>
        </w:tc>
        <w:tc>
          <w:tcPr>
            <w:tcW w:w="6667" w:type="dxa"/>
            <w:vAlign w:val="center"/>
          </w:tcPr>
          <w:p w14:paraId="6CCAAC0A">
            <w:pPr>
              <w:keepNext w:val="0"/>
              <w:keepLines w:val="0"/>
              <w:pageBreakBefore w:val="0"/>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一档（2分）：</w:t>
            </w:r>
            <w:r>
              <w:rPr>
                <w:rFonts w:hint="eastAsia" w:ascii="宋体" w:hAnsi="宋体" w:eastAsia="宋体" w:cs="宋体"/>
                <w:bCs/>
                <w:color w:val="auto"/>
                <w:sz w:val="24"/>
                <w:szCs w:val="24"/>
                <w:highlight w:val="none"/>
              </w:rPr>
              <w:t>售后服务内容含糊不清，未提供明确售后疑问响应时间，有欠缺</w:t>
            </w:r>
            <w:r>
              <w:rPr>
                <w:rFonts w:hint="eastAsia" w:ascii="宋体" w:hAnsi="宋体" w:eastAsia="宋体" w:cs="宋体"/>
                <w:bCs/>
                <w:color w:val="auto"/>
                <w:kern w:val="0"/>
                <w:sz w:val="24"/>
                <w:szCs w:val="24"/>
                <w:highlight w:val="none"/>
              </w:rPr>
              <w:t>。</w:t>
            </w:r>
          </w:p>
          <w:p w14:paraId="4D6A07EB">
            <w:pPr>
              <w:keepNext w:val="0"/>
              <w:keepLines w:val="0"/>
              <w:pageBreakBefore w:val="0"/>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二档（4分）：</w:t>
            </w:r>
            <w:r>
              <w:rPr>
                <w:rFonts w:hint="eastAsia" w:ascii="宋体" w:hAnsi="宋体" w:eastAsia="宋体" w:cs="宋体"/>
                <w:bCs/>
                <w:color w:val="auto"/>
                <w:sz w:val="24"/>
                <w:szCs w:val="24"/>
                <w:highlight w:val="none"/>
              </w:rPr>
              <w:t>供应商提供明确售后疑问响应时间，但提供的售后服务内容在科学性、合理性、针对性、服务的连续性稳定性、内部质量保证制度等方面内容不充分、有欠缺</w:t>
            </w:r>
            <w:r>
              <w:rPr>
                <w:rFonts w:hint="eastAsia" w:ascii="宋体" w:hAnsi="宋体" w:eastAsia="宋体" w:cs="宋体"/>
                <w:bCs/>
                <w:color w:val="auto"/>
                <w:kern w:val="0"/>
                <w:sz w:val="24"/>
                <w:szCs w:val="24"/>
                <w:highlight w:val="none"/>
              </w:rPr>
              <w:t>。</w:t>
            </w:r>
          </w:p>
          <w:p w14:paraId="3703B0BE">
            <w:pPr>
              <w:keepNext w:val="0"/>
              <w:keepLines w:val="0"/>
              <w:pageBreakBefore w:val="0"/>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三档（6分）：</w:t>
            </w:r>
            <w:r>
              <w:rPr>
                <w:rFonts w:hint="eastAsia" w:ascii="宋体" w:hAnsi="宋体" w:eastAsia="宋体" w:cs="宋体"/>
                <w:bCs/>
                <w:color w:val="auto"/>
                <w:sz w:val="24"/>
                <w:szCs w:val="24"/>
                <w:highlight w:val="none"/>
              </w:rPr>
              <w:t>供应商提供的售后服务措施内容在科学性、合理性、针对性、服务的连续性稳定性、内部质量保证制度满足采购文件要求等方面优秀，承诺在接到服务请求后的24小时内给予响应，及时安排本项目人员对接采购人进行处理，并于5个工作日内完成采购人提出的售后服务要求</w:t>
            </w:r>
            <w:r>
              <w:rPr>
                <w:rFonts w:hint="eastAsia" w:ascii="宋体" w:hAnsi="宋体" w:eastAsia="宋体" w:cs="宋体"/>
                <w:bCs/>
                <w:color w:val="auto"/>
                <w:kern w:val="0"/>
                <w:sz w:val="24"/>
                <w:szCs w:val="24"/>
                <w:highlight w:val="none"/>
              </w:rPr>
              <w:t>。</w:t>
            </w:r>
          </w:p>
          <w:p w14:paraId="4197AF81">
            <w:pPr>
              <w:keepNext w:val="0"/>
              <w:keepLines w:val="0"/>
              <w:pageBreakBefore w:val="0"/>
              <w:widowControl/>
              <w:shd w:val="clear"/>
              <w:kinsoku/>
              <w:overflowPunct/>
              <w:topLinePunct w:val="0"/>
              <w:autoSpaceDE/>
              <w:autoSpaceDN/>
              <w:bidi w:val="0"/>
              <w:adjustRightInd/>
              <w:spacing w:line="360" w:lineRule="auto"/>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注：未提供或不符合最低入档条件的按不入档计0分处理。</w:t>
            </w:r>
          </w:p>
        </w:tc>
        <w:tc>
          <w:tcPr>
            <w:tcW w:w="1134" w:type="dxa"/>
            <w:vAlign w:val="center"/>
          </w:tcPr>
          <w:p w14:paraId="4E4F69B2">
            <w:pPr>
              <w:keepNext w:val="0"/>
              <w:keepLines w:val="0"/>
              <w:pageBreakBefore w:val="0"/>
              <w:shd w:val="clear"/>
              <w:kinsoku/>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分</w:t>
            </w:r>
          </w:p>
        </w:tc>
      </w:tr>
      <w:tr w14:paraId="76AE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0" w:type="dxa"/>
            <w:vMerge w:val="restart"/>
            <w:vAlign w:val="center"/>
          </w:tcPr>
          <w:p w14:paraId="4CFE1AF9">
            <w:pPr>
              <w:keepNext w:val="0"/>
              <w:keepLines w:val="0"/>
              <w:pageBreakBefore w:val="0"/>
              <w:widowControl/>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361" w:type="dxa"/>
            <w:vAlign w:val="center"/>
          </w:tcPr>
          <w:p w14:paraId="2E9956A7">
            <w:pPr>
              <w:keepNext w:val="0"/>
              <w:keepLines w:val="0"/>
              <w:pageBreakBefore w:val="0"/>
              <w:widowControl/>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商务分（满分</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分）</w:t>
            </w:r>
          </w:p>
        </w:tc>
        <w:tc>
          <w:tcPr>
            <w:tcW w:w="6667" w:type="dxa"/>
            <w:vAlign w:val="center"/>
          </w:tcPr>
          <w:p w14:paraId="784EAA1D">
            <w:pPr>
              <w:keepNext w:val="0"/>
              <w:keepLines w:val="0"/>
              <w:pageBreakBefore w:val="0"/>
              <w:widowControl/>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评审因素</w:t>
            </w:r>
          </w:p>
        </w:tc>
        <w:tc>
          <w:tcPr>
            <w:tcW w:w="1134" w:type="dxa"/>
            <w:vAlign w:val="center"/>
          </w:tcPr>
          <w:p w14:paraId="788A7C60">
            <w:pPr>
              <w:pStyle w:val="13"/>
              <w:keepNext w:val="0"/>
              <w:keepLines w:val="0"/>
              <w:pageBreakBefore w:val="0"/>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14:paraId="03ED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570" w:type="dxa"/>
            <w:vMerge w:val="continue"/>
            <w:vAlign w:val="center"/>
          </w:tcPr>
          <w:p w14:paraId="7674F46A">
            <w:pPr>
              <w:keepNext w:val="0"/>
              <w:keepLines w:val="0"/>
              <w:pageBreakBefore w:val="0"/>
              <w:widowControl/>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c>
          <w:tcPr>
            <w:tcW w:w="1361" w:type="dxa"/>
            <w:vAlign w:val="center"/>
          </w:tcPr>
          <w:p w14:paraId="0BFC7DB3">
            <w:pPr>
              <w:keepNext w:val="0"/>
              <w:keepLines w:val="0"/>
              <w:pageBreakBefore w:val="0"/>
              <w:shd w:val="clear"/>
              <w:kinsoku/>
              <w:overflowPunct/>
              <w:topLinePunct w:val="0"/>
              <w:autoSpaceDE/>
              <w:autoSpaceDN/>
              <w:bidi w:val="0"/>
              <w:adjustRightIn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（1）项目业绩（满分</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分）</w:t>
            </w:r>
          </w:p>
        </w:tc>
        <w:tc>
          <w:tcPr>
            <w:tcW w:w="6667" w:type="dxa"/>
            <w:vAlign w:val="center"/>
          </w:tcPr>
          <w:p w14:paraId="3D9E7D5F">
            <w:pPr>
              <w:keepNext w:val="0"/>
              <w:keepLines w:val="0"/>
              <w:pageBreakBefore w:val="0"/>
              <w:shd w:val="clear"/>
              <w:kinsoku/>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w:t>
            </w:r>
            <w:r>
              <w:rPr>
                <w:rFonts w:hint="eastAsia" w:ascii="宋体" w:hAnsi="宋体" w:eastAsia="宋体" w:cs="宋体"/>
                <w:bCs/>
                <w:color w:val="auto"/>
                <w:sz w:val="24"/>
                <w:szCs w:val="24"/>
                <w:highlight w:val="none"/>
              </w:rPr>
              <w:t>以来至投标文件递交截止日期止，供应商同类项目业绩相关项目，每项得2分，满分10分。[项目业绩以提供中标</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成交</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通知书或项目验收书或合同的关键页为准，时间以</w:t>
            </w:r>
            <w:r>
              <w:rPr>
                <w:rFonts w:hint="eastAsia" w:ascii="宋体" w:hAnsi="宋体" w:eastAsia="宋体" w:cs="宋体"/>
                <w:bCs/>
                <w:color w:val="auto"/>
                <w:sz w:val="24"/>
                <w:szCs w:val="24"/>
                <w:highlight w:val="none"/>
              </w:rPr>
              <w:t>中标</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成交</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通知书</w:t>
            </w:r>
            <w:r>
              <w:rPr>
                <w:rFonts w:hint="eastAsia" w:ascii="宋体" w:hAnsi="宋体" w:cs="宋体"/>
                <w:bCs/>
                <w:color w:val="auto"/>
                <w:sz w:val="24"/>
                <w:szCs w:val="24"/>
                <w:highlight w:val="none"/>
                <w:lang w:val="en-US" w:eastAsia="zh-CN"/>
              </w:rPr>
              <w:t>或</w:t>
            </w:r>
            <w:r>
              <w:rPr>
                <w:rFonts w:hint="eastAsia" w:ascii="宋体" w:hAnsi="宋体" w:eastAsia="宋体" w:cs="宋体"/>
                <w:bCs/>
                <w:color w:val="auto"/>
                <w:sz w:val="24"/>
                <w:szCs w:val="24"/>
                <w:highlight w:val="none"/>
              </w:rPr>
              <w:t>甲方盖章的项目验收书或合同签订日期为准，未提供或不能反映上述考核内容的不得分]。</w:t>
            </w:r>
          </w:p>
        </w:tc>
        <w:tc>
          <w:tcPr>
            <w:tcW w:w="1134" w:type="dxa"/>
            <w:vAlign w:val="center"/>
          </w:tcPr>
          <w:p w14:paraId="04FE8CA0">
            <w:pPr>
              <w:keepNext w:val="0"/>
              <w:keepLines w:val="0"/>
              <w:pageBreakBefore w:val="0"/>
              <w:widowControl/>
              <w:shd w:val="clear"/>
              <w:kinsoku/>
              <w:overflowPunct/>
              <w:topLinePunct w:val="0"/>
              <w:autoSpaceDE/>
              <w:autoSpaceDN/>
              <w:bidi w:val="0"/>
              <w:adjustRightInd/>
              <w:spacing w:line="360" w:lineRule="auto"/>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rPr>
              <w:t>0~10分（客观分）</w:t>
            </w:r>
          </w:p>
        </w:tc>
      </w:tr>
      <w:tr w14:paraId="6156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Merge w:val="continue"/>
            <w:vAlign w:val="center"/>
          </w:tcPr>
          <w:p w14:paraId="50A26317">
            <w:pPr>
              <w:keepNext w:val="0"/>
              <w:keepLines w:val="0"/>
              <w:pageBreakBefore w:val="0"/>
              <w:widowControl/>
              <w:shd w:val="clear"/>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c>
          <w:tcPr>
            <w:tcW w:w="1361" w:type="dxa"/>
            <w:vAlign w:val="center"/>
          </w:tcPr>
          <w:p w14:paraId="7E392B2D">
            <w:pPr>
              <w:keepNext w:val="0"/>
              <w:keepLines w:val="0"/>
              <w:pageBreakBefore w:val="0"/>
              <w:shd w:val="clear"/>
              <w:kinsoku/>
              <w:overflowPunct/>
              <w:topLinePunct w:val="0"/>
              <w:autoSpaceDE/>
              <w:autoSpaceDN/>
              <w:bidi w:val="0"/>
              <w:adjustRightIn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rPr>
              <w:t>项目团队</w:t>
            </w:r>
            <w:r>
              <w:rPr>
                <w:rFonts w:hint="eastAsia" w:ascii="宋体" w:hAnsi="宋体" w:eastAsia="宋体" w:cs="宋体"/>
                <w:bCs/>
                <w:color w:val="auto"/>
                <w:sz w:val="24"/>
                <w:szCs w:val="24"/>
                <w:highlight w:val="none"/>
              </w:rPr>
              <w:t>（满分</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tc>
        <w:tc>
          <w:tcPr>
            <w:tcW w:w="6667" w:type="dxa"/>
            <w:vAlign w:val="center"/>
          </w:tcPr>
          <w:p w14:paraId="5A399B07">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项目负责人：</w:t>
            </w:r>
          </w:p>
          <w:p w14:paraId="72657F88">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项目负责人每承担过一个产才图谱相关项目经验可得1分，该项最多可得2分〔以供应商提供的项目合同为准（可提供合同关键页）。</w:t>
            </w:r>
          </w:p>
          <w:p w14:paraId="5DD48584">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项目团队</w:t>
            </w:r>
            <w:r>
              <w:rPr>
                <w:rFonts w:hint="eastAsia" w:ascii="宋体" w:hAnsi="宋体" w:eastAsia="宋体" w:cs="宋体"/>
                <w:bCs/>
                <w:color w:val="auto"/>
                <w:sz w:val="24"/>
                <w:szCs w:val="24"/>
                <w:highlight w:val="none"/>
              </w:rPr>
              <w:t>成员：</w:t>
            </w:r>
          </w:p>
          <w:p w14:paraId="4CC65804">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项目团队由项目相关专业人员组成，配备专业的技术人员（专业的数据研究人员、专业的系统开发人员等），每匹配一个专业技术人员得1分，该项最多可得3分。</w:t>
            </w:r>
          </w:p>
        </w:tc>
        <w:tc>
          <w:tcPr>
            <w:tcW w:w="1134" w:type="dxa"/>
            <w:vAlign w:val="center"/>
          </w:tcPr>
          <w:p w14:paraId="2D006FBC">
            <w:pPr>
              <w:keepNext w:val="0"/>
              <w:keepLines w:val="0"/>
              <w:pageBreakBefore w:val="0"/>
              <w:widowControl/>
              <w:shd w:val="clear"/>
              <w:kinsoku/>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0~5分</w:t>
            </w:r>
          </w:p>
          <w:p w14:paraId="07CC5355">
            <w:pPr>
              <w:keepNext w:val="0"/>
              <w:keepLines w:val="0"/>
              <w:pageBreakBefore w:val="0"/>
              <w:widowControl/>
              <w:shd w:val="clear"/>
              <w:kinsoku/>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（客观分）</w:t>
            </w:r>
          </w:p>
        </w:tc>
      </w:tr>
      <w:tr w14:paraId="6EB0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732" w:type="dxa"/>
            <w:gridSpan w:val="4"/>
            <w:vAlign w:val="center"/>
          </w:tcPr>
          <w:p w14:paraId="1197B59C">
            <w:pPr>
              <w:keepNext w:val="0"/>
              <w:keepLines w:val="0"/>
              <w:pageBreakBefore w:val="0"/>
              <w:widowControl/>
              <w:shd w:val="clear"/>
              <w:kinsoku/>
              <w:wordWrap w:val="0"/>
              <w:overflowPunct/>
              <w:topLinePunct w:val="0"/>
              <w:autoSpaceDE/>
              <w:autoSpaceDN/>
              <w:bidi w:val="0"/>
              <w:adjustRightInd/>
              <w:spacing w:line="360" w:lineRule="auto"/>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总得分＝1＋2＋3</w:t>
            </w:r>
          </w:p>
        </w:tc>
      </w:tr>
    </w:tbl>
    <w:p w14:paraId="42840009">
      <w:pPr>
        <w:keepNext w:val="0"/>
        <w:keepLines w:val="0"/>
        <w:pageBreakBefore w:val="0"/>
        <w:shd w:val="clear"/>
        <w:kinsoku/>
        <w:wordWrap w:val="0"/>
        <w:overflowPunct/>
        <w:topLinePunct w:val="0"/>
        <w:autoSpaceDE/>
        <w:autoSpaceDN/>
        <w:bidi w:val="0"/>
        <w:adjustRightInd/>
        <w:spacing w:line="360" w:lineRule="auto"/>
        <w:textAlignment w:val="auto"/>
        <w:rPr>
          <w:rFonts w:asciiTheme="minorEastAsia" w:hAnsiTheme="minorEastAsia" w:eastAsiaTheme="minorEastAsia" w:cstheme="minorEastAsia"/>
          <w:color w:val="auto"/>
          <w:highlight w:val="none"/>
        </w:rPr>
      </w:pPr>
    </w:p>
    <w:p w14:paraId="5EC4321E">
      <w:pPr>
        <w:keepNext/>
        <w:keepLines/>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8.2 商务技术评审因素为客观评分项的，应在评分项目或评分标准中予以标注为“客观分”。对 供应商的客观评分项目，各评审专家评分应当一致。</w:t>
      </w:r>
    </w:p>
    <w:p w14:paraId="44BC66D5">
      <w:pPr>
        <w:keepNext/>
        <w:keepLines/>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8.3.终止竞争性磋商采购活动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54F9DDEA">
      <w:pPr>
        <w:shd w:val="clear"/>
        <w:rPr>
          <w:rFonts w:hint="eastAsia" w:asciiTheme="minorEastAsia" w:hAnsiTheme="minorEastAsia" w:eastAsiaTheme="minorEastAsia" w:cstheme="minorEastAsia"/>
          <w:b w:val="0"/>
          <w:color w:val="auto"/>
          <w:highlight w:val="none"/>
        </w:rPr>
      </w:pPr>
      <w:r>
        <w:rPr>
          <w:rFonts w:hint="eastAsia" w:asciiTheme="minorEastAsia" w:hAnsiTheme="minorEastAsia" w:eastAsiaTheme="minorEastAsia" w:cstheme="minorEastAsia"/>
          <w:b w:val="0"/>
          <w:color w:val="auto"/>
          <w:highlight w:val="none"/>
        </w:rPr>
        <w:br w:type="page"/>
      </w:r>
    </w:p>
    <w:p w14:paraId="40AFDEA6">
      <w:pPr>
        <w:pStyle w:val="3"/>
        <w:shd w:val="clear"/>
        <w:wordWrap w:val="0"/>
        <w:spacing w:before="0" w:after="0" w:line="336" w:lineRule="auto"/>
        <w:ind w:firstLine="640" w:firstLineChars="200"/>
        <w:jc w:val="center"/>
        <w:rPr>
          <w:rFonts w:asciiTheme="minorEastAsia" w:hAnsiTheme="minorEastAsia" w:eastAsiaTheme="minorEastAsia" w:cstheme="minorEastAsia"/>
          <w:b w:val="0"/>
          <w:color w:val="auto"/>
          <w:highlight w:val="none"/>
        </w:rPr>
      </w:pPr>
      <w:bookmarkStart w:id="49" w:name="_Toc19321"/>
      <w:r>
        <w:rPr>
          <w:rFonts w:hint="eastAsia" w:asciiTheme="minorEastAsia" w:hAnsiTheme="minorEastAsia" w:eastAsiaTheme="minorEastAsia" w:cstheme="minorEastAsia"/>
          <w:b w:val="0"/>
          <w:color w:val="auto"/>
          <w:highlight w:val="none"/>
        </w:rPr>
        <w:t>第二节 评标报告</w:t>
      </w:r>
      <w:bookmarkEnd w:id="48"/>
      <w:bookmarkEnd w:id="49"/>
    </w:p>
    <w:p w14:paraId="7520D13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1.成交标准</w:t>
      </w:r>
    </w:p>
    <w:p w14:paraId="3F9BE390">
      <w:pPr>
        <w:shd w:val="clear"/>
        <w:wordWrap w:val="0"/>
        <w:spacing w:line="336"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由磋商小组根据综合评分情况，按照评审得分由高到低顺序推荐3名以上成交候选供应商</w:t>
      </w:r>
      <w:r>
        <w:rPr>
          <w:rFonts w:hint="eastAsia" w:asciiTheme="minorEastAsia" w:hAnsiTheme="minorEastAsia" w:eastAsiaTheme="minorEastAsia" w:cstheme="minorEastAsia"/>
          <w:color w:val="auto"/>
          <w:sz w:val="24"/>
          <w:highlight w:val="none"/>
        </w:rPr>
        <w:t>,并在线编写电子评审报告</w:t>
      </w:r>
      <w:r>
        <w:rPr>
          <w:rFonts w:hint="eastAsia" w:asciiTheme="minorEastAsia" w:hAnsiTheme="minorEastAsia" w:eastAsiaTheme="minorEastAsia" w:cstheme="minorEastAsia"/>
          <w:bCs/>
          <w:color w:val="auto"/>
          <w:sz w:val="24"/>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2CD5937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2.评标争议事项处理</w:t>
      </w:r>
    </w:p>
    <w:p w14:paraId="1ED3E709">
      <w:pPr>
        <w:pStyle w:val="28"/>
        <w:shd w:val="clear"/>
        <w:wordWrap w:val="0"/>
        <w:spacing w:before="0" w:line="336" w:lineRule="auto"/>
        <w:ind w:firstLine="480"/>
        <w:rPr>
          <w:rFonts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3E02C76E">
      <w:pPr>
        <w:pStyle w:val="3"/>
        <w:shd w:val="clear"/>
        <w:wordWrap w:val="0"/>
        <w:spacing w:before="0" w:after="0" w:line="336" w:lineRule="auto"/>
        <w:ind w:firstLine="640" w:firstLineChars="200"/>
        <w:jc w:val="center"/>
        <w:rPr>
          <w:rFonts w:asciiTheme="minorEastAsia" w:hAnsiTheme="minorEastAsia" w:eastAsiaTheme="minorEastAsia" w:cstheme="minorEastAsia"/>
          <w:b w:val="0"/>
          <w:color w:val="auto"/>
          <w:highlight w:val="none"/>
        </w:rPr>
      </w:pPr>
      <w:bookmarkStart w:id="50" w:name="_Toc3806"/>
      <w:bookmarkStart w:id="51" w:name="_Toc80205936"/>
      <w:r>
        <w:rPr>
          <w:rFonts w:hint="eastAsia" w:asciiTheme="minorEastAsia" w:hAnsiTheme="minorEastAsia" w:eastAsiaTheme="minorEastAsia" w:cstheme="minorEastAsia"/>
          <w:b w:val="0"/>
          <w:color w:val="auto"/>
          <w:highlight w:val="none"/>
        </w:rPr>
        <w:t>第三节 评审过程的保密与录像</w:t>
      </w:r>
      <w:bookmarkEnd w:id="50"/>
      <w:bookmarkEnd w:id="51"/>
    </w:p>
    <w:p w14:paraId="25B8B96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1.保密。</w:t>
      </w:r>
    </w:p>
    <w:p w14:paraId="06C0C83A">
      <w:pPr>
        <w:widowControl/>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审活动在严格保密的情况下进行。评审过程中凡是与采购响应文件评审和比较、成交成交供应商推荐等评审有关的情况，以及涉及国家秘密和商业秘密等信息，磋商小组成员、采购人和采购机构工作人员、相关监督人员等与评审有关的人员应当予以保密。</w:t>
      </w:r>
    </w:p>
    <w:p w14:paraId="5DE0110B">
      <w:pPr>
        <w:widowControl/>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2.录音录像。</w:t>
      </w:r>
    </w:p>
    <w:p w14:paraId="2F74C3E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采购代理机构对评审工作现场及操作屏幕进行全过程录音录像，录音录像资料作为采购项目文件随其他文件一并存档。</w:t>
      </w:r>
    </w:p>
    <w:p w14:paraId="03F9AC33">
      <w:pPr>
        <w:shd w:val="clear"/>
        <w:wordWrap w:val="0"/>
        <w:spacing w:line="336" w:lineRule="auto"/>
        <w:rPr>
          <w:rFonts w:asciiTheme="minorEastAsia" w:hAnsiTheme="minorEastAsia" w:eastAsiaTheme="minorEastAsia" w:cstheme="minorEastAsia"/>
          <w:color w:val="auto"/>
          <w:sz w:val="24"/>
          <w:highlight w:val="none"/>
        </w:rPr>
      </w:pPr>
    </w:p>
    <w:p w14:paraId="04C69DCD">
      <w:pPr>
        <w:shd w:val="clear"/>
        <w:wordWrap w:val="0"/>
        <w:spacing w:line="336"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74581152">
      <w:pPr>
        <w:pStyle w:val="2"/>
        <w:shd w:val="clear"/>
        <w:wordWrap w:val="0"/>
        <w:spacing w:before="0" w:after="0" w:line="336" w:lineRule="auto"/>
        <w:jc w:val="center"/>
        <w:rPr>
          <w:rFonts w:asciiTheme="minorEastAsia" w:hAnsiTheme="minorEastAsia" w:eastAsiaTheme="minorEastAsia" w:cstheme="minorEastAsia"/>
          <w:color w:val="auto"/>
          <w:highlight w:val="none"/>
        </w:rPr>
        <w:sectPr>
          <w:footerReference r:id="rId9" w:type="default"/>
          <w:pgSz w:w="11905" w:h="16838"/>
          <w:pgMar w:top="1440" w:right="1080" w:bottom="1440" w:left="1080" w:header="720" w:footer="720" w:gutter="0"/>
          <w:cols w:space="0" w:num="1"/>
        </w:sectPr>
      </w:pPr>
      <w:bookmarkStart w:id="52" w:name="_Toc19955"/>
      <w:r>
        <w:rPr>
          <w:rFonts w:hint="eastAsia" w:asciiTheme="minorEastAsia" w:hAnsiTheme="minorEastAsia" w:eastAsiaTheme="minorEastAsia" w:cstheme="minorEastAsia"/>
          <w:color w:val="auto"/>
          <w:highlight w:val="none"/>
        </w:rPr>
        <w:t>第五章 响应文件格式</w:t>
      </w:r>
      <w:bookmarkEnd w:id="52"/>
    </w:p>
    <w:p w14:paraId="69E23C60">
      <w:pPr>
        <w:pStyle w:val="3"/>
        <w:shd w:val="clear"/>
        <w:wordWrap w:val="0"/>
        <w:spacing w:before="0" w:after="0" w:line="336" w:lineRule="auto"/>
        <w:jc w:val="center"/>
        <w:rPr>
          <w:rFonts w:asciiTheme="minorEastAsia" w:hAnsiTheme="minorEastAsia" w:eastAsiaTheme="minorEastAsia" w:cstheme="minorEastAsia"/>
          <w:b w:val="0"/>
          <w:color w:val="auto"/>
          <w:highlight w:val="none"/>
        </w:rPr>
      </w:pPr>
      <w:bookmarkStart w:id="53" w:name="_Toc8601"/>
      <w:bookmarkStart w:id="54" w:name="_Toc80205938"/>
      <w:r>
        <w:rPr>
          <w:rFonts w:hint="eastAsia" w:asciiTheme="minorEastAsia" w:hAnsiTheme="minorEastAsia" w:eastAsiaTheme="minorEastAsia" w:cstheme="minorEastAsia"/>
          <w:b w:val="0"/>
          <w:color w:val="auto"/>
          <w:highlight w:val="none"/>
        </w:rPr>
        <w:t>第一节 封面格式</w:t>
      </w:r>
      <w:bookmarkEnd w:id="53"/>
      <w:bookmarkEnd w:id="54"/>
    </w:p>
    <w:p w14:paraId="7E17481D">
      <w:pPr>
        <w:shd w:val="clear"/>
        <w:wordWrap w:val="0"/>
        <w:snapToGrid w:val="0"/>
        <w:spacing w:line="336" w:lineRule="auto"/>
        <w:rPr>
          <w:rFonts w:asciiTheme="minorEastAsia" w:hAnsiTheme="minorEastAsia" w:eastAsiaTheme="minorEastAsia" w:cstheme="minorEastAsia"/>
          <w:color w:val="auto"/>
          <w:sz w:val="24"/>
          <w:szCs w:val="20"/>
          <w:highlight w:val="none"/>
        </w:rPr>
      </w:pPr>
    </w:p>
    <w:p w14:paraId="4FB6B6AD">
      <w:pPr>
        <w:shd w:val="clear"/>
        <w:wordWrap w:val="0"/>
        <w:snapToGrid w:val="0"/>
        <w:spacing w:line="336" w:lineRule="auto"/>
        <w:jc w:val="center"/>
        <w:rPr>
          <w:rFonts w:asciiTheme="minorEastAsia" w:hAnsiTheme="minorEastAsia" w:eastAsiaTheme="minorEastAsia" w:cstheme="minorEastAsia"/>
          <w:bCs/>
          <w:color w:val="auto"/>
          <w:sz w:val="24"/>
          <w:szCs w:val="20"/>
          <w:highlight w:val="none"/>
        </w:rPr>
      </w:pPr>
    </w:p>
    <w:p w14:paraId="4416AA3E">
      <w:pPr>
        <w:shd w:val="clear"/>
        <w:wordWrap w:val="0"/>
        <w:snapToGrid w:val="0"/>
        <w:spacing w:line="336" w:lineRule="auto"/>
        <w:jc w:val="center"/>
        <w:rPr>
          <w:rFonts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响  应  文  件</w:t>
      </w:r>
    </w:p>
    <w:p w14:paraId="1FA3EB75">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433FA678">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67886947">
      <w:pPr>
        <w:shd w:val="clear"/>
        <w:wordWrap w:val="0"/>
        <w:snapToGrid w:val="0"/>
        <w:spacing w:line="336" w:lineRule="auto"/>
        <w:rPr>
          <w:rFonts w:asciiTheme="minorEastAsia" w:hAnsiTheme="minorEastAsia" w:eastAsiaTheme="minorEastAsia" w:cstheme="minorEastAsia"/>
          <w:bCs/>
          <w:color w:val="auto"/>
          <w:sz w:val="32"/>
          <w:szCs w:val="32"/>
          <w:highlight w:val="none"/>
        </w:rPr>
      </w:pPr>
    </w:p>
    <w:p w14:paraId="10185843">
      <w:pPr>
        <w:shd w:val="clear"/>
        <w:wordWrap w:val="0"/>
        <w:snapToGrid w:val="0"/>
        <w:spacing w:line="336" w:lineRule="auto"/>
        <w:ind w:firstLine="640" w:firstLineChars="200"/>
        <w:rPr>
          <w:rFonts w:hint="eastAsia" w:asciiTheme="minorEastAsia" w:hAnsiTheme="minorEastAsia" w:eastAsiaTheme="minorEastAsia" w:cstheme="minorEastAsia"/>
          <w:bCs/>
          <w:color w:val="auto"/>
          <w:sz w:val="32"/>
          <w:szCs w:val="32"/>
          <w:highlight w:val="none"/>
          <w:lang w:eastAsia="zh-CN"/>
        </w:rPr>
      </w:pPr>
      <w:r>
        <w:rPr>
          <w:rFonts w:hint="eastAsia" w:asciiTheme="minorEastAsia" w:hAnsiTheme="minorEastAsia" w:eastAsiaTheme="minorEastAsia" w:cstheme="minorEastAsia"/>
          <w:bCs/>
          <w:color w:val="auto"/>
          <w:sz w:val="32"/>
          <w:szCs w:val="32"/>
          <w:highlight w:val="none"/>
        </w:rPr>
        <w:t>项目名称：</w:t>
      </w:r>
    </w:p>
    <w:p w14:paraId="538E4DDE">
      <w:pPr>
        <w:shd w:val="clear"/>
        <w:wordWrap w:val="0"/>
        <w:snapToGrid w:val="0"/>
        <w:spacing w:line="336" w:lineRule="auto"/>
        <w:ind w:firstLine="480" w:firstLineChars="150"/>
        <w:rPr>
          <w:rFonts w:asciiTheme="minorEastAsia" w:hAnsiTheme="minorEastAsia" w:eastAsiaTheme="minorEastAsia" w:cstheme="minorEastAsia"/>
          <w:bCs/>
          <w:color w:val="auto"/>
          <w:sz w:val="32"/>
          <w:szCs w:val="32"/>
          <w:highlight w:val="none"/>
        </w:rPr>
      </w:pPr>
    </w:p>
    <w:p w14:paraId="29980F66">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 xml:space="preserve">项目编号： </w:t>
      </w:r>
    </w:p>
    <w:p w14:paraId="29DB9B82">
      <w:pPr>
        <w:shd w:val="clear"/>
        <w:wordWrap w:val="0"/>
        <w:snapToGrid w:val="0"/>
        <w:spacing w:line="336" w:lineRule="auto"/>
        <w:ind w:firstLine="480" w:firstLineChars="150"/>
        <w:rPr>
          <w:rFonts w:asciiTheme="minorEastAsia" w:hAnsiTheme="minorEastAsia" w:eastAsiaTheme="minorEastAsia" w:cstheme="minorEastAsia"/>
          <w:bCs/>
          <w:color w:val="auto"/>
          <w:sz w:val="32"/>
          <w:szCs w:val="32"/>
          <w:highlight w:val="none"/>
        </w:rPr>
      </w:pPr>
    </w:p>
    <w:p w14:paraId="563BE6AC">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所响应分标（如有则填写，无分标时填写“无”或者留空）：</w:t>
      </w:r>
    </w:p>
    <w:p w14:paraId="197B3CA8">
      <w:pPr>
        <w:shd w:val="clear"/>
        <w:wordWrap w:val="0"/>
        <w:snapToGrid w:val="0"/>
        <w:spacing w:line="336" w:lineRule="auto"/>
        <w:rPr>
          <w:rFonts w:asciiTheme="minorEastAsia" w:hAnsiTheme="minorEastAsia" w:eastAsiaTheme="minorEastAsia" w:cstheme="minorEastAsia"/>
          <w:bCs/>
          <w:color w:val="auto"/>
          <w:sz w:val="32"/>
          <w:szCs w:val="32"/>
          <w:highlight w:val="none"/>
        </w:rPr>
      </w:pPr>
    </w:p>
    <w:p w14:paraId="3159AA02">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供应商名称：</w:t>
      </w:r>
    </w:p>
    <w:p w14:paraId="3B144897">
      <w:pPr>
        <w:shd w:val="clear"/>
        <w:wordWrap w:val="0"/>
        <w:snapToGrid w:val="0"/>
        <w:spacing w:line="336" w:lineRule="auto"/>
        <w:rPr>
          <w:rFonts w:asciiTheme="minorEastAsia" w:hAnsiTheme="minorEastAsia" w:eastAsiaTheme="minorEastAsia" w:cstheme="minorEastAsia"/>
          <w:bCs/>
          <w:color w:val="auto"/>
          <w:sz w:val="32"/>
          <w:szCs w:val="32"/>
          <w:highlight w:val="none"/>
        </w:rPr>
      </w:pPr>
    </w:p>
    <w:p w14:paraId="7D9B51B7">
      <w:pPr>
        <w:shd w:val="clear"/>
        <w:wordWrap w:val="0"/>
        <w:snapToGrid w:val="0"/>
        <w:spacing w:line="336" w:lineRule="auto"/>
        <w:ind w:firstLine="480" w:firstLineChars="150"/>
        <w:jc w:val="center"/>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首次响应文件提交截止时间前不得解密</w:t>
      </w:r>
    </w:p>
    <w:p w14:paraId="5F83AA04">
      <w:pPr>
        <w:shd w:val="clear"/>
        <w:wordWrap w:val="0"/>
        <w:snapToGrid w:val="0"/>
        <w:spacing w:line="336" w:lineRule="auto"/>
        <w:ind w:firstLine="5440" w:firstLineChars="1700"/>
        <w:jc w:val="center"/>
        <w:rPr>
          <w:rFonts w:asciiTheme="minorEastAsia" w:hAnsiTheme="minorEastAsia" w:eastAsiaTheme="minorEastAsia" w:cstheme="minorEastAsia"/>
          <w:bCs/>
          <w:color w:val="auto"/>
          <w:sz w:val="32"/>
          <w:szCs w:val="32"/>
          <w:highlight w:val="none"/>
        </w:rPr>
      </w:pPr>
    </w:p>
    <w:p w14:paraId="5E125A2C">
      <w:pPr>
        <w:shd w:val="clear"/>
        <w:wordWrap w:val="0"/>
        <w:snapToGrid w:val="0"/>
        <w:spacing w:line="336" w:lineRule="auto"/>
        <w:ind w:firstLine="645"/>
        <w:jc w:val="center"/>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年    月    日</w:t>
      </w:r>
    </w:p>
    <w:p w14:paraId="4106F709">
      <w:pPr>
        <w:shd w:val="clear"/>
        <w:wordWrap w:val="0"/>
        <w:spacing w:line="336" w:lineRule="auto"/>
        <w:rPr>
          <w:rFonts w:asciiTheme="minorEastAsia" w:hAnsiTheme="minorEastAsia" w:eastAsiaTheme="minorEastAsia" w:cstheme="minorEastAsia"/>
          <w:color w:val="auto"/>
          <w:highlight w:val="none"/>
        </w:rPr>
        <w:sectPr>
          <w:pgSz w:w="11905" w:h="16838"/>
          <w:pgMar w:top="1440" w:right="1080" w:bottom="1440" w:left="1080" w:header="720" w:footer="720" w:gutter="0"/>
          <w:cols w:space="0" w:num="1"/>
        </w:sectPr>
      </w:pPr>
    </w:p>
    <w:p w14:paraId="589AEECF">
      <w:pPr>
        <w:pStyle w:val="3"/>
        <w:shd w:val="clear"/>
        <w:wordWrap w:val="0"/>
        <w:spacing w:before="0" w:after="0" w:line="336" w:lineRule="auto"/>
        <w:jc w:val="center"/>
        <w:rPr>
          <w:rFonts w:asciiTheme="minorEastAsia" w:hAnsiTheme="minorEastAsia" w:eastAsiaTheme="minorEastAsia" w:cstheme="minorEastAsia"/>
          <w:bCs w:val="0"/>
          <w:color w:val="auto"/>
          <w:highlight w:val="none"/>
        </w:rPr>
      </w:pPr>
      <w:bookmarkStart w:id="55" w:name="_Toc11749"/>
      <w:bookmarkStart w:id="56" w:name="_Toc80205939"/>
      <w:r>
        <w:rPr>
          <w:rFonts w:hint="eastAsia" w:asciiTheme="minorEastAsia" w:hAnsiTheme="minorEastAsia" w:eastAsiaTheme="minorEastAsia" w:cstheme="minorEastAsia"/>
          <w:bCs w:val="0"/>
          <w:color w:val="auto"/>
          <w:highlight w:val="none"/>
        </w:rPr>
        <w:t>第二节 资格证明文件格式</w:t>
      </w:r>
      <w:bookmarkEnd w:id="55"/>
      <w:bookmarkEnd w:id="56"/>
    </w:p>
    <w:p w14:paraId="3B04CC02">
      <w:pPr>
        <w:shd w:val="clear"/>
        <w:wordWrap w:val="0"/>
        <w:snapToGrid w:val="0"/>
        <w:spacing w:line="336" w:lineRule="auto"/>
        <w:rPr>
          <w:rFonts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全流程电子文件</w:t>
      </w:r>
    </w:p>
    <w:p w14:paraId="1BC326A9">
      <w:pPr>
        <w:shd w:val="clear"/>
        <w:wordWrap w:val="0"/>
        <w:snapToGrid w:val="0"/>
        <w:spacing w:line="336" w:lineRule="auto"/>
        <w:rPr>
          <w:rFonts w:asciiTheme="minorEastAsia" w:hAnsiTheme="minorEastAsia" w:eastAsiaTheme="minorEastAsia" w:cstheme="minorEastAsia"/>
          <w:color w:val="auto"/>
          <w:sz w:val="24"/>
          <w:szCs w:val="20"/>
          <w:highlight w:val="none"/>
        </w:rPr>
      </w:pPr>
    </w:p>
    <w:p w14:paraId="1EB14DF6">
      <w:pPr>
        <w:shd w:val="clear"/>
        <w:wordWrap w:val="0"/>
        <w:snapToGrid w:val="0"/>
        <w:spacing w:line="336" w:lineRule="auto"/>
        <w:rPr>
          <w:rFonts w:asciiTheme="minorEastAsia" w:hAnsiTheme="minorEastAsia" w:eastAsiaTheme="minorEastAsia" w:cstheme="minorEastAsia"/>
          <w:color w:val="auto"/>
          <w:sz w:val="24"/>
          <w:szCs w:val="20"/>
          <w:highlight w:val="none"/>
        </w:rPr>
      </w:pPr>
    </w:p>
    <w:p w14:paraId="2E961018">
      <w:pPr>
        <w:shd w:val="clear"/>
        <w:wordWrap w:val="0"/>
        <w:snapToGrid w:val="0"/>
        <w:spacing w:line="336" w:lineRule="auto"/>
        <w:jc w:val="center"/>
        <w:rPr>
          <w:rFonts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资  格  证  明  文  件（封面）</w:t>
      </w:r>
    </w:p>
    <w:p w14:paraId="67DCCAB2">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7F1FB3E8">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55097173">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73731890">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49D4F8D9">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2D7E4F28">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 xml:space="preserve">项目名称：  </w:t>
      </w:r>
    </w:p>
    <w:p w14:paraId="0B484993">
      <w:pPr>
        <w:shd w:val="clear"/>
        <w:wordWrap w:val="0"/>
        <w:snapToGrid w:val="0"/>
        <w:spacing w:line="336" w:lineRule="auto"/>
        <w:ind w:firstLine="480" w:firstLineChars="150"/>
        <w:rPr>
          <w:rFonts w:asciiTheme="minorEastAsia" w:hAnsiTheme="minorEastAsia" w:eastAsiaTheme="minorEastAsia" w:cstheme="minorEastAsia"/>
          <w:bCs/>
          <w:color w:val="auto"/>
          <w:sz w:val="32"/>
          <w:szCs w:val="32"/>
          <w:highlight w:val="none"/>
        </w:rPr>
      </w:pPr>
    </w:p>
    <w:p w14:paraId="23FB01E0">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 xml:space="preserve">项目编号： </w:t>
      </w:r>
    </w:p>
    <w:p w14:paraId="029B0F11">
      <w:pPr>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 xml:space="preserve"> </w:t>
      </w:r>
    </w:p>
    <w:p w14:paraId="7C09A9CC">
      <w:pPr>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所响应分标（如有则填写，无分标时填写“无”或者留空）：</w:t>
      </w:r>
    </w:p>
    <w:p w14:paraId="7458E6FB">
      <w:pPr>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p>
    <w:p w14:paraId="5F569770">
      <w:pPr>
        <w:pStyle w:val="6"/>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供应商名称：</w:t>
      </w:r>
    </w:p>
    <w:p w14:paraId="1E9AFBA0">
      <w:pPr>
        <w:pStyle w:val="6"/>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p>
    <w:p w14:paraId="7DCA7D10">
      <w:pPr>
        <w:pStyle w:val="6"/>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p>
    <w:p w14:paraId="6C6155B0">
      <w:pPr>
        <w:pStyle w:val="6"/>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p>
    <w:p w14:paraId="2753AD88">
      <w:pPr>
        <w:pStyle w:val="6"/>
        <w:shd w:val="clear"/>
        <w:wordWrap w:val="0"/>
        <w:snapToGrid w:val="0"/>
        <w:spacing w:line="336" w:lineRule="auto"/>
        <w:ind w:firstLine="1280" w:firstLineChars="400"/>
        <w:rPr>
          <w:rFonts w:asciiTheme="minorEastAsia" w:hAnsiTheme="minorEastAsia" w:eastAsiaTheme="minorEastAsia" w:cstheme="minorEastAsia"/>
          <w:bCs/>
          <w:color w:val="auto"/>
          <w:sz w:val="32"/>
          <w:szCs w:val="32"/>
          <w:highlight w:val="none"/>
        </w:rPr>
      </w:pPr>
    </w:p>
    <w:p w14:paraId="5B75D976">
      <w:pPr>
        <w:shd w:val="clear"/>
        <w:wordWrap w:val="0"/>
        <w:snapToGrid w:val="0"/>
        <w:spacing w:line="336"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年    月    日</w:t>
      </w:r>
    </w:p>
    <w:p w14:paraId="0240B11E">
      <w:pPr>
        <w:shd w:val="clear"/>
        <w:wordWrap w:val="0"/>
        <w:snapToGrid w:val="0"/>
        <w:spacing w:line="336" w:lineRule="auto"/>
        <w:jc w:val="left"/>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b/>
          <w:bCs/>
          <w:color w:val="auto"/>
          <w:sz w:val="32"/>
          <w:szCs w:val="32"/>
          <w:highlight w:val="none"/>
        </w:rPr>
        <w:t xml:space="preserve"> </w:t>
      </w:r>
    </w:p>
    <w:p w14:paraId="4CE5C6AF">
      <w:pPr>
        <w:shd w:val="clear"/>
        <w:wordWrap w:val="0"/>
        <w:spacing w:line="336" w:lineRule="auto"/>
        <w:jc w:val="center"/>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资格证明文件目录</w:t>
      </w:r>
    </w:p>
    <w:p w14:paraId="432F6918">
      <w:pPr>
        <w:shd w:val="clear"/>
        <w:wordWrap w:val="0"/>
        <w:snapToGrid w:val="0"/>
        <w:spacing w:line="336" w:lineRule="auto"/>
        <w:rPr>
          <w:rFonts w:asciiTheme="minorEastAsia" w:hAnsiTheme="minorEastAsia" w:eastAsiaTheme="minorEastAsia" w:cstheme="minorEastAsia"/>
          <w:color w:val="auto"/>
          <w:kern w:val="0"/>
          <w:sz w:val="24"/>
          <w:highlight w:val="none"/>
        </w:rPr>
      </w:pPr>
    </w:p>
    <w:p w14:paraId="1DEF9B46">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w:t>
      </w:r>
      <w:r>
        <w:rPr>
          <w:rFonts w:hint="eastAsia" w:asciiTheme="minorEastAsia" w:hAnsiTheme="minorEastAsia" w:eastAsiaTheme="minorEastAsia" w:cstheme="minorEastAsia"/>
          <w:color w:val="auto"/>
          <w:sz w:val="24"/>
          <w:highlight w:val="none"/>
        </w:rPr>
        <w:t>营业执照(或事业法人登记证或其他工商等登记证明材料)复印件（供应商为自然人的，须提供</w:t>
      </w:r>
      <w:r>
        <w:rPr>
          <w:rFonts w:hint="eastAsia" w:asciiTheme="minorEastAsia" w:hAnsiTheme="minorEastAsia" w:eastAsiaTheme="minorEastAsia" w:cstheme="minorEastAsia"/>
          <w:color w:val="auto"/>
          <w:kern w:val="0"/>
          <w:sz w:val="24"/>
          <w:highlight w:val="none"/>
        </w:rPr>
        <w:t>自然人的身份证明</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rPr>
        <w:t>………………………………………………………（页码）</w:t>
      </w:r>
    </w:p>
    <w:p w14:paraId="511CD54A">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二、符合参与政府采购活动的资格条件依法缴纳税收、社会保障资金等方面的材料…………………………………………………………………………………（页码）</w:t>
      </w:r>
    </w:p>
    <w:p w14:paraId="563B31CA">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三、供应商财务状况报告（财务状况报告方面的材料）………………………（页码）</w:t>
      </w:r>
    </w:p>
    <w:p w14:paraId="7EC0D2E6">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四、供应商直接控股股东信息</w:t>
      </w:r>
      <w:r>
        <w:rPr>
          <w:rFonts w:hint="eastAsia" w:asciiTheme="minorEastAsia" w:hAnsiTheme="minorEastAsia" w:eastAsiaTheme="minorEastAsia" w:cstheme="minorEastAsia"/>
          <w:color w:val="auto"/>
          <w:sz w:val="24"/>
          <w:highlight w:val="none"/>
          <w:lang w:val="en-US" w:eastAsia="zh-CN"/>
        </w:rPr>
        <w:t>表</w:t>
      </w:r>
      <w:r>
        <w:rPr>
          <w:rFonts w:hint="eastAsia" w:asciiTheme="minorEastAsia" w:hAnsiTheme="minorEastAsia" w:eastAsiaTheme="minorEastAsia" w:cstheme="minorEastAsia"/>
          <w:color w:val="auto"/>
          <w:kern w:val="0"/>
          <w:sz w:val="24"/>
          <w:highlight w:val="none"/>
        </w:rPr>
        <w:t>…………………………………………………（页码）</w:t>
      </w:r>
    </w:p>
    <w:p w14:paraId="0F1AD71E">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五、供应商直接管理关系信息表</w:t>
      </w:r>
      <w:r>
        <w:rPr>
          <w:rFonts w:hint="eastAsia" w:asciiTheme="minorEastAsia" w:hAnsiTheme="minorEastAsia" w:eastAsiaTheme="minorEastAsia" w:cstheme="minorEastAsia"/>
          <w:color w:val="auto"/>
          <w:kern w:val="0"/>
          <w:sz w:val="24"/>
          <w:highlight w:val="none"/>
        </w:rPr>
        <w:t>………………………………………………（页码）</w:t>
      </w:r>
    </w:p>
    <w:p w14:paraId="2B633F90">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六、资格声明函…………………………………………………………………（页码）</w:t>
      </w:r>
    </w:p>
    <w:p w14:paraId="568DB36F">
      <w:pPr>
        <w:shd w:val="clear"/>
        <w:wordWrap w:val="0"/>
        <w:snapToGrid w:val="0"/>
        <w:spacing w:line="336"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七</w:t>
      </w:r>
      <w:r>
        <w:rPr>
          <w:rFonts w:hint="eastAsia" w:asciiTheme="minorEastAsia" w:hAnsiTheme="minorEastAsia" w:eastAsiaTheme="minorEastAsia" w:cstheme="minorEastAsia"/>
          <w:color w:val="auto"/>
          <w:kern w:val="0"/>
          <w:sz w:val="24"/>
          <w:highlight w:val="none"/>
        </w:rPr>
        <w:t>、中小企业声明函……………………………………………………………（页码）</w:t>
      </w:r>
    </w:p>
    <w:p w14:paraId="343A483B">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八</w:t>
      </w:r>
      <w:r>
        <w:rPr>
          <w:rFonts w:hint="eastAsia" w:asciiTheme="minorEastAsia" w:hAnsiTheme="minorEastAsia" w:eastAsiaTheme="minorEastAsia" w:cstheme="minorEastAsia"/>
          <w:color w:val="auto"/>
          <w:kern w:val="0"/>
          <w:sz w:val="24"/>
          <w:highlight w:val="none"/>
        </w:rPr>
        <w:t>、联合体协议书（</w:t>
      </w:r>
      <w:r>
        <w:rPr>
          <w:rFonts w:hint="eastAsia" w:asciiTheme="minorEastAsia" w:hAnsiTheme="minorEastAsia" w:eastAsiaTheme="minorEastAsia" w:cstheme="minorEastAsia"/>
          <w:color w:val="auto"/>
          <w:sz w:val="24"/>
          <w:highlight w:val="none"/>
        </w:rPr>
        <w:t>以联合体形式响应的，提供联合体协议；本项目不接受联合体响应或者供应商不以联合体形式响应的，则不需要提供</w:t>
      </w:r>
      <w:r>
        <w:rPr>
          <w:rFonts w:hint="eastAsia" w:asciiTheme="minorEastAsia" w:hAnsiTheme="minorEastAsia" w:eastAsiaTheme="minorEastAsia" w:cstheme="minorEastAsia"/>
          <w:color w:val="auto"/>
          <w:kern w:val="0"/>
          <w:sz w:val="24"/>
          <w:highlight w:val="none"/>
        </w:rPr>
        <w:t>）………………………………（页码）</w:t>
      </w:r>
    </w:p>
    <w:p w14:paraId="58D79E1F">
      <w:pPr>
        <w:shd w:val="clear"/>
        <w:wordWrap w:val="0"/>
        <w:spacing w:line="336" w:lineRule="auto"/>
        <w:rPr>
          <w:rFonts w:asciiTheme="minorEastAsia" w:hAnsiTheme="minorEastAsia" w:eastAsiaTheme="minorEastAsia" w:cstheme="minorEastAsia"/>
          <w:b/>
          <w:bCs/>
          <w:color w:val="auto"/>
          <w:sz w:val="24"/>
          <w:highlight w:val="none"/>
        </w:rPr>
      </w:pPr>
    </w:p>
    <w:p w14:paraId="32F0B733">
      <w:pPr>
        <w:shd w:val="clear"/>
        <w:wordWrap w:val="0"/>
        <w:spacing w:line="336"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注：以上目录是编制供应商响应文件的基本格式要求，各供应商可根据自身情况进一步细化。</w:t>
      </w:r>
    </w:p>
    <w:p w14:paraId="6FC6E0D1">
      <w:pPr>
        <w:shd w:val="clear"/>
        <w:wordWrap w:val="0"/>
        <w:snapToGrid w:val="0"/>
        <w:spacing w:line="336" w:lineRule="auto"/>
        <w:ind w:left="142" w:firstLine="420" w:firstLineChars="200"/>
        <w:jc w:val="left"/>
        <w:rPr>
          <w:rFonts w:asciiTheme="minorEastAsia" w:hAnsiTheme="minorEastAsia" w:eastAsiaTheme="minorEastAsia" w:cstheme="minorEastAsia"/>
          <w:color w:val="auto"/>
          <w:szCs w:val="21"/>
          <w:highlight w:val="none"/>
        </w:rPr>
      </w:pPr>
    </w:p>
    <w:p w14:paraId="4260E11B">
      <w:pPr>
        <w:shd w:val="clear"/>
        <w:wordWrap w:val="0"/>
        <w:spacing w:line="336" w:lineRule="auto"/>
        <w:rPr>
          <w:rFonts w:asciiTheme="minorEastAsia" w:hAnsiTheme="minorEastAsia" w:eastAsiaTheme="minorEastAsia" w:cstheme="minorEastAsia"/>
          <w:color w:val="auto"/>
          <w:szCs w:val="21"/>
          <w:highlight w:val="none"/>
        </w:rPr>
      </w:pPr>
    </w:p>
    <w:p w14:paraId="4131AC1B">
      <w:pPr>
        <w:shd w:val="clear"/>
        <w:wordWrap w:val="0"/>
        <w:spacing w:line="336" w:lineRule="auto"/>
        <w:rPr>
          <w:rFonts w:asciiTheme="minorEastAsia" w:hAnsiTheme="minorEastAsia" w:eastAsiaTheme="minorEastAsia" w:cstheme="minorEastAsia"/>
          <w:color w:val="auto"/>
          <w:szCs w:val="21"/>
          <w:highlight w:val="none"/>
        </w:rPr>
      </w:pPr>
    </w:p>
    <w:p w14:paraId="41A0ED88">
      <w:pPr>
        <w:shd w:val="clear"/>
        <w:wordWrap w:val="0"/>
        <w:spacing w:line="336" w:lineRule="auto"/>
        <w:rPr>
          <w:rFonts w:asciiTheme="minorEastAsia" w:hAnsiTheme="minorEastAsia" w:eastAsiaTheme="minorEastAsia" w:cstheme="minorEastAsia"/>
          <w:color w:val="auto"/>
          <w:szCs w:val="21"/>
          <w:highlight w:val="none"/>
        </w:rPr>
      </w:pPr>
    </w:p>
    <w:p w14:paraId="470F6EBC">
      <w:pPr>
        <w:shd w:val="clear"/>
        <w:wordWrap w:val="0"/>
        <w:spacing w:line="336" w:lineRule="auto"/>
        <w:rPr>
          <w:rFonts w:asciiTheme="minorEastAsia" w:hAnsiTheme="minorEastAsia" w:eastAsiaTheme="minorEastAsia" w:cstheme="minorEastAsia"/>
          <w:color w:val="auto"/>
          <w:szCs w:val="21"/>
          <w:highlight w:val="none"/>
        </w:rPr>
      </w:pPr>
    </w:p>
    <w:p w14:paraId="2072C741">
      <w:pPr>
        <w:shd w:val="clear"/>
        <w:wordWrap w:val="0"/>
        <w:spacing w:line="336" w:lineRule="auto"/>
        <w:rPr>
          <w:rFonts w:asciiTheme="minorEastAsia" w:hAnsiTheme="minorEastAsia" w:eastAsiaTheme="minorEastAsia" w:cstheme="minorEastAsia"/>
          <w:color w:val="auto"/>
          <w:szCs w:val="21"/>
          <w:highlight w:val="none"/>
        </w:rPr>
      </w:pPr>
    </w:p>
    <w:p w14:paraId="1A4B557F">
      <w:pPr>
        <w:shd w:val="clear"/>
        <w:wordWrap w:val="0"/>
        <w:spacing w:line="336" w:lineRule="auto"/>
        <w:rPr>
          <w:rFonts w:asciiTheme="minorEastAsia" w:hAnsiTheme="minorEastAsia" w:eastAsiaTheme="minorEastAsia" w:cstheme="minorEastAsia"/>
          <w:color w:val="auto"/>
          <w:szCs w:val="21"/>
          <w:highlight w:val="none"/>
        </w:rPr>
      </w:pPr>
    </w:p>
    <w:p w14:paraId="3EAA1246">
      <w:pPr>
        <w:shd w:val="clear"/>
        <w:wordWrap w:val="0"/>
        <w:spacing w:line="336" w:lineRule="auto"/>
        <w:rPr>
          <w:rFonts w:asciiTheme="minorEastAsia" w:hAnsiTheme="minorEastAsia" w:eastAsiaTheme="minorEastAsia" w:cstheme="minorEastAsia"/>
          <w:color w:val="auto"/>
          <w:szCs w:val="21"/>
          <w:highlight w:val="none"/>
        </w:rPr>
      </w:pPr>
    </w:p>
    <w:p w14:paraId="7C49878F">
      <w:pPr>
        <w:shd w:val="clear"/>
        <w:wordWrap w:val="0"/>
        <w:spacing w:line="336" w:lineRule="auto"/>
        <w:rPr>
          <w:rFonts w:asciiTheme="minorEastAsia" w:hAnsiTheme="minorEastAsia" w:eastAsiaTheme="minorEastAsia" w:cstheme="minorEastAsia"/>
          <w:color w:val="auto"/>
          <w:szCs w:val="21"/>
          <w:highlight w:val="none"/>
        </w:rPr>
      </w:pPr>
    </w:p>
    <w:p w14:paraId="3958ECB9">
      <w:pPr>
        <w:shd w:val="clear"/>
        <w:wordWrap w:val="0"/>
        <w:spacing w:line="336" w:lineRule="auto"/>
        <w:rPr>
          <w:rFonts w:asciiTheme="minorEastAsia" w:hAnsiTheme="minorEastAsia" w:eastAsiaTheme="minorEastAsia" w:cstheme="minorEastAsia"/>
          <w:color w:val="auto"/>
          <w:szCs w:val="21"/>
          <w:highlight w:val="none"/>
        </w:rPr>
      </w:pPr>
    </w:p>
    <w:p w14:paraId="4BA6C4CC">
      <w:pPr>
        <w:pStyle w:val="13"/>
        <w:shd w:val="clear"/>
        <w:wordWrap w:val="0"/>
        <w:spacing w:line="336" w:lineRule="auto"/>
        <w:ind w:firstLine="400" w:firstLineChars="200"/>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30"/>
          <w:szCs w:val="30"/>
          <w:highlight w:val="none"/>
        </w:rPr>
        <w:t>一、营业执照(或事业法人登记证或其他工商等登记证明材料)复印件（供应商为自然人的，提供自然人的身份证明）</w:t>
      </w:r>
    </w:p>
    <w:p w14:paraId="309B106E">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7971645A">
      <w:pPr>
        <w:shd w:val="clear"/>
        <w:wordWrap w:val="0"/>
        <w:autoSpaceDE w:val="0"/>
        <w:autoSpaceDN w:val="0"/>
        <w:spacing w:line="336" w:lineRule="auto"/>
        <w:ind w:left="4365" w:leftChars="1850" w:hanging="480" w:hanging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7725317F">
      <w:pPr>
        <w:shd w:val="clear"/>
        <w:wordWrap w:val="0"/>
        <w:autoSpaceDE w:val="0"/>
        <w:autoSpaceDN w:val="0"/>
        <w:spacing w:line="336" w:lineRule="auto"/>
        <w:ind w:firstLine="6120" w:firstLineChars="255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5236F296">
      <w:pPr>
        <w:shd w:val="clear"/>
        <w:wordWrap w:val="0"/>
        <w:snapToGrid w:val="0"/>
        <w:spacing w:line="336" w:lineRule="auto"/>
        <w:rPr>
          <w:rFonts w:asciiTheme="minorEastAsia" w:hAnsiTheme="minorEastAsia" w:eastAsiaTheme="minorEastAsia" w:cstheme="minorEastAsia"/>
          <w:color w:val="auto"/>
          <w:sz w:val="24"/>
          <w:szCs w:val="20"/>
          <w:highlight w:val="none"/>
        </w:rPr>
      </w:pPr>
    </w:p>
    <w:p w14:paraId="08A53D1C">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04CFB73C">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0261DE8A">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2C996557">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540B130C">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60B76593">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142057AB">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5E082082">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59A31D96">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769DA7B2">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19054E7C">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532B1050">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7A80267C">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3BD563CE">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29A5D66E">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2ADE3C1A">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144A5E40">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1E1D457D">
      <w:pPr>
        <w:pStyle w:val="4"/>
        <w:shd w:val="clear"/>
        <w:ind w:left="2940"/>
        <w:rPr>
          <w:rFonts w:asciiTheme="minorEastAsia" w:hAnsiTheme="minorEastAsia" w:eastAsiaTheme="minorEastAsia" w:cstheme="minorEastAsia"/>
          <w:b/>
          <w:color w:val="auto"/>
          <w:sz w:val="30"/>
          <w:szCs w:val="30"/>
          <w:highlight w:val="none"/>
        </w:rPr>
      </w:pPr>
    </w:p>
    <w:p w14:paraId="1C83E530">
      <w:pPr>
        <w:shd w:val="clear"/>
        <w:rPr>
          <w:color w:val="auto"/>
          <w:highlight w:val="none"/>
        </w:rPr>
      </w:pPr>
    </w:p>
    <w:p w14:paraId="7D2F28E5">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3B1A1C66">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55A4DA07">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二、符合参与政府采购活动的资格条件依法缴纳税收、社会保障资金等方面的材料</w:t>
      </w:r>
    </w:p>
    <w:p w14:paraId="0D9E5521">
      <w:pPr>
        <w:shd w:val="clear"/>
        <w:wordWrap w:val="0"/>
        <w:spacing w:line="336" w:lineRule="auto"/>
        <w:rPr>
          <w:rFonts w:asciiTheme="minorEastAsia" w:hAnsiTheme="minorEastAsia" w:eastAsiaTheme="minorEastAsia" w:cstheme="minorEastAsia"/>
          <w:color w:val="auto"/>
          <w:szCs w:val="21"/>
          <w:highlight w:val="none"/>
        </w:rPr>
      </w:pPr>
    </w:p>
    <w:p w14:paraId="14652F0F">
      <w:pPr>
        <w:shd w:val="clear"/>
        <w:wordWrap w:val="0"/>
        <w:autoSpaceDE w:val="0"/>
        <w:autoSpaceDN w:val="0"/>
        <w:spacing w:line="336" w:lineRule="auto"/>
        <w:ind w:left="4365" w:leftChars="1850" w:hanging="480" w:hanging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5B5AFD85">
      <w:pPr>
        <w:shd w:val="clear"/>
        <w:wordWrap w:val="0"/>
        <w:autoSpaceDE w:val="0"/>
        <w:autoSpaceDN w:val="0"/>
        <w:spacing w:line="336" w:lineRule="auto"/>
        <w:ind w:firstLine="6120" w:firstLineChars="255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33CF1EDF">
      <w:pPr>
        <w:shd w:val="clear"/>
        <w:wordWrap w:val="0"/>
        <w:spacing w:line="336" w:lineRule="auto"/>
        <w:rPr>
          <w:rFonts w:asciiTheme="minorEastAsia" w:hAnsiTheme="minorEastAsia" w:eastAsiaTheme="minorEastAsia" w:cstheme="minorEastAsia"/>
          <w:color w:val="auto"/>
          <w:szCs w:val="21"/>
          <w:highlight w:val="none"/>
        </w:rPr>
      </w:pPr>
    </w:p>
    <w:p w14:paraId="24FC7734">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6A91AD2A">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305207F8">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7D50F9D0">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2091607E">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5C95045E">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67C4E0A1">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712E8B35">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54CA82A4">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618B9260">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745F9F7D">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6332B695">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45F4D9C1">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5EC3A5B0">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55011146">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46B06273">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76FBD040">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689BC270">
      <w:pPr>
        <w:pStyle w:val="9"/>
        <w:shd w:val="clear"/>
        <w:rPr>
          <w:rFonts w:asciiTheme="minorEastAsia" w:hAnsiTheme="minorEastAsia" w:eastAsiaTheme="minorEastAsia" w:cstheme="minorEastAsia"/>
          <w:b/>
          <w:color w:val="auto"/>
          <w:kern w:val="0"/>
          <w:sz w:val="30"/>
          <w:szCs w:val="30"/>
          <w:highlight w:val="none"/>
        </w:rPr>
      </w:pPr>
    </w:p>
    <w:p w14:paraId="6627B74A">
      <w:pPr>
        <w:shd w:val="clear"/>
        <w:rPr>
          <w:rFonts w:asciiTheme="minorEastAsia" w:hAnsiTheme="minorEastAsia" w:eastAsiaTheme="minorEastAsia" w:cstheme="minorEastAsia"/>
          <w:b/>
          <w:color w:val="auto"/>
          <w:kern w:val="0"/>
          <w:sz w:val="30"/>
          <w:szCs w:val="30"/>
          <w:highlight w:val="none"/>
        </w:rPr>
      </w:pPr>
    </w:p>
    <w:p w14:paraId="046FA671">
      <w:pPr>
        <w:pStyle w:val="9"/>
        <w:shd w:val="clear"/>
        <w:rPr>
          <w:color w:val="auto"/>
          <w:highlight w:val="none"/>
        </w:rPr>
      </w:pPr>
    </w:p>
    <w:p w14:paraId="48B96AB2">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5587E30C">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三、供应商财务状况报告（财务状况报告方面的材料）</w:t>
      </w:r>
    </w:p>
    <w:p w14:paraId="5972C307">
      <w:pPr>
        <w:shd w:val="clear"/>
        <w:wordWrap w:val="0"/>
        <w:spacing w:line="336" w:lineRule="auto"/>
        <w:rPr>
          <w:rFonts w:asciiTheme="minorEastAsia" w:hAnsiTheme="minorEastAsia" w:eastAsiaTheme="minorEastAsia" w:cstheme="minorEastAsia"/>
          <w:color w:val="auto"/>
          <w:szCs w:val="21"/>
          <w:highlight w:val="none"/>
        </w:rPr>
      </w:pPr>
    </w:p>
    <w:p w14:paraId="52C874F3">
      <w:pPr>
        <w:shd w:val="clear"/>
        <w:wordWrap w:val="0"/>
        <w:autoSpaceDE w:val="0"/>
        <w:autoSpaceDN w:val="0"/>
        <w:spacing w:line="336" w:lineRule="auto"/>
        <w:ind w:left="4365" w:leftChars="1850" w:hanging="480" w:hanging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4488909D">
      <w:pPr>
        <w:shd w:val="clear"/>
        <w:wordWrap w:val="0"/>
        <w:autoSpaceDE w:val="0"/>
        <w:autoSpaceDN w:val="0"/>
        <w:spacing w:line="336" w:lineRule="auto"/>
        <w:ind w:firstLine="6120" w:firstLineChars="255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4E7A9E62">
      <w:pPr>
        <w:shd w:val="clear"/>
        <w:wordWrap w:val="0"/>
        <w:spacing w:line="336"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4C18A4F6">
      <w:pPr>
        <w:shd w:val="clear"/>
        <w:wordWrap w:val="0"/>
        <w:snapToGrid w:val="0"/>
        <w:spacing w:line="336" w:lineRule="auto"/>
        <w:jc w:val="center"/>
        <w:rPr>
          <w:rFonts w:asciiTheme="minorEastAsia" w:hAnsiTheme="minorEastAsia" w:eastAsiaTheme="minorEastAsia" w:cstheme="minorEastAsia"/>
          <w:b/>
          <w:color w:val="auto"/>
          <w:sz w:val="24"/>
          <w:highlight w:val="none"/>
        </w:rPr>
      </w:pPr>
    </w:p>
    <w:p w14:paraId="5B4FCF1B">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5A321CD6">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1438FE32">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0489CDEE">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5FD4202B">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483BFDDB">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56E8B70F">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4E02A5EE">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28D7B620">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52F19617">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6CEF27F9">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5289AE61">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4B952539">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116B4626">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711D5D00">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793CAD14">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36F6CF47">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53DCD57B">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3CAC2310">
      <w:pPr>
        <w:pStyle w:val="9"/>
        <w:shd w:val="clear"/>
        <w:rPr>
          <w:rFonts w:asciiTheme="minorEastAsia" w:hAnsiTheme="minorEastAsia" w:eastAsiaTheme="minorEastAsia" w:cstheme="minorEastAsia"/>
          <w:b/>
          <w:color w:val="auto"/>
          <w:kern w:val="0"/>
          <w:sz w:val="30"/>
          <w:szCs w:val="30"/>
          <w:highlight w:val="none"/>
        </w:rPr>
      </w:pPr>
    </w:p>
    <w:p w14:paraId="7EA263A7">
      <w:pPr>
        <w:shd w:val="clear"/>
        <w:rPr>
          <w:color w:val="auto"/>
          <w:highlight w:val="none"/>
        </w:rPr>
      </w:pPr>
    </w:p>
    <w:p w14:paraId="55C2CA66">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5A363E84">
      <w:pPr>
        <w:shd w:val="clear"/>
        <w:wordWrap w:val="0"/>
        <w:spacing w:line="336" w:lineRule="auto"/>
        <w:ind w:firstLine="596" w:firstLineChars="198"/>
        <w:contextualSpacing/>
        <w:rPr>
          <w:rFonts w:hint="eastAsia"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四、供应商直接控股股东信息</w:t>
      </w:r>
      <w:r>
        <w:rPr>
          <w:rFonts w:hint="eastAsia" w:asciiTheme="minorEastAsia" w:hAnsiTheme="minorEastAsia" w:eastAsiaTheme="minorEastAsia" w:cstheme="minorEastAsia"/>
          <w:b/>
          <w:color w:val="auto"/>
          <w:kern w:val="0"/>
          <w:sz w:val="30"/>
          <w:szCs w:val="30"/>
          <w:highlight w:val="none"/>
          <w:lang w:val="en-US" w:eastAsia="zh-CN"/>
        </w:rPr>
        <w:t>表</w:t>
      </w:r>
    </w:p>
    <w:p w14:paraId="28D29283">
      <w:pPr>
        <w:shd w:val="clear"/>
        <w:wordWrap w:val="0"/>
        <w:spacing w:line="336" w:lineRule="auto"/>
        <w:contextualSpacing/>
        <w:jc w:val="center"/>
        <w:rPr>
          <w:rFonts w:asciiTheme="minorEastAsia" w:hAnsiTheme="minorEastAsia" w:eastAsiaTheme="minorEastAsia" w:cstheme="minorEastAsia"/>
          <w:b/>
          <w:color w:val="auto"/>
          <w:sz w:val="24"/>
          <w:highlight w:val="none"/>
        </w:rPr>
      </w:pPr>
    </w:p>
    <w:tbl>
      <w:tblPr>
        <w:tblStyle w:val="21"/>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FA153FB">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D7543A">
            <w:pPr>
              <w:widowControl/>
              <w:shd w:val="clear"/>
              <w:wordWrap w:val="0"/>
              <w:spacing w:line="336"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3FFFAF">
            <w:pPr>
              <w:widowControl/>
              <w:shd w:val="clear"/>
              <w:wordWrap w:val="0"/>
              <w:spacing w:line="336"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7EB654">
            <w:pPr>
              <w:widowControl/>
              <w:shd w:val="clear"/>
              <w:wordWrap w:val="0"/>
              <w:spacing w:line="336"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74E219">
            <w:pPr>
              <w:widowControl/>
              <w:shd w:val="clear"/>
              <w:wordWrap w:val="0"/>
              <w:spacing w:line="336"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3F685E">
            <w:pPr>
              <w:widowControl/>
              <w:shd w:val="clear"/>
              <w:wordWrap w:val="0"/>
              <w:spacing w:line="336"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备注</w:t>
            </w:r>
          </w:p>
        </w:tc>
      </w:tr>
      <w:tr w14:paraId="25C5A673">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87BC26">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309534">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7898A0">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D1DED5">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F9E0A1">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r>
      <w:tr w14:paraId="7D25AF9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49EF6C">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1577B9">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810760">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41F9A3">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67DD5F">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r>
      <w:tr w14:paraId="42B23C68">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95ABC2">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DCDCC5">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8425BE">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733795">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CD5E7B">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r>
      <w:tr w14:paraId="52B8F00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933866">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00D239">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3E6DD6">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800F59">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ED6D1E">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r>
    </w:tbl>
    <w:p w14:paraId="37C9F090">
      <w:pPr>
        <w:shd w:val="clear"/>
        <w:wordWrap w:val="0"/>
        <w:spacing w:line="336" w:lineRule="auto"/>
        <w:contextualSpacing/>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w:t>
      </w:r>
    </w:p>
    <w:p w14:paraId="718E06A8">
      <w:pPr>
        <w:shd w:val="clear"/>
        <w:wordWrap w:val="0"/>
        <w:spacing w:line="336" w:lineRule="auto"/>
        <w:ind w:firstLine="480" w:firstLineChars="200"/>
        <w:contextualSpacing/>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E60DE6F">
      <w:pPr>
        <w:shd w:val="clear"/>
        <w:wordWrap w:val="0"/>
        <w:spacing w:line="336" w:lineRule="auto"/>
        <w:ind w:firstLine="480" w:firstLineChars="200"/>
        <w:contextualSpacing/>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2.本表所指的控股关系仅限于直接控股关系，不包括间接的控股关系。公司实际控制人与公司之间的关系不属于本表所指的直接控股关系。</w:t>
      </w:r>
    </w:p>
    <w:p w14:paraId="5B5916DE">
      <w:pPr>
        <w:shd w:val="clear"/>
        <w:wordWrap w:val="0"/>
        <w:spacing w:line="336" w:lineRule="auto"/>
        <w:ind w:firstLine="480" w:firstLineChars="200"/>
        <w:contextualSpacing/>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3.供应商不存在直接控股股东的，则填“无”。</w:t>
      </w:r>
    </w:p>
    <w:p w14:paraId="545F87CA">
      <w:pPr>
        <w:shd w:val="clear"/>
        <w:wordWrap w:val="0"/>
        <w:snapToGrid w:val="0"/>
        <w:spacing w:line="336" w:lineRule="auto"/>
        <w:jc w:val="left"/>
        <w:rPr>
          <w:rFonts w:asciiTheme="minorEastAsia" w:hAnsiTheme="minorEastAsia" w:eastAsiaTheme="minorEastAsia" w:cstheme="minorEastAsia"/>
          <w:color w:val="auto"/>
          <w:sz w:val="24"/>
          <w:highlight w:val="none"/>
        </w:rPr>
      </w:pPr>
    </w:p>
    <w:p w14:paraId="6C06716D">
      <w:pPr>
        <w:shd w:val="clear"/>
        <w:wordWrap w:val="0"/>
        <w:snapToGrid w:val="0"/>
        <w:spacing w:line="336" w:lineRule="auto"/>
        <w:jc w:val="left"/>
        <w:rPr>
          <w:rFonts w:asciiTheme="minorEastAsia" w:hAnsiTheme="minorEastAsia" w:eastAsiaTheme="minorEastAsia" w:cstheme="minorEastAsia"/>
          <w:color w:val="auto"/>
          <w:sz w:val="24"/>
          <w:highlight w:val="none"/>
        </w:rPr>
      </w:pPr>
    </w:p>
    <w:p w14:paraId="08EDFDBD">
      <w:pPr>
        <w:shd w:val="clear"/>
        <w:wordWrap w:val="0"/>
        <w:snapToGrid w:val="0"/>
        <w:spacing w:line="336" w:lineRule="auto"/>
        <w:jc w:val="left"/>
        <w:rPr>
          <w:rFonts w:asciiTheme="minorEastAsia" w:hAnsiTheme="minorEastAsia" w:eastAsiaTheme="minorEastAsia" w:cstheme="minorEastAsia"/>
          <w:color w:val="auto"/>
          <w:sz w:val="24"/>
          <w:highlight w:val="none"/>
        </w:rPr>
      </w:pPr>
    </w:p>
    <w:p w14:paraId="7DF1CEE7">
      <w:pPr>
        <w:shd w:val="clear"/>
        <w:wordWrap w:val="0"/>
        <w:autoSpaceDE w:val="0"/>
        <w:autoSpaceDN w:val="0"/>
        <w:spacing w:line="336" w:lineRule="auto"/>
        <w:ind w:left="4365" w:leftChars="1850" w:hanging="480" w:hanging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721E26C7">
      <w:pPr>
        <w:shd w:val="clear"/>
        <w:wordWrap w:val="0"/>
        <w:autoSpaceDE w:val="0"/>
        <w:autoSpaceDN w:val="0"/>
        <w:spacing w:line="336" w:lineRule="auto"/>
        <w:ind w:firstLine="6120" w:firstLineChars="255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37AC190E">
      <w:pPr>
        <w:shd w:val="clear"/>
        <w:wordWrap w:val="0"/>
        <w:snapToGrid w:val="0"/>
        <w:spacing w:line="336" w:lineRule="auto"/>
        <w:rPr>
          <w:rFonts w:asciiTheme="minorEastAsia" w:hAnsiTheme="minorEastAsia" w:eastAsiaTheme="minorEastAsia" w:cstheme="minorEastAsia"/>
          <w:b/>
          <w:color w:val="auto"/>
          <w:kern w:val="0"/>
          <w:sz w:val="30"/>
          <w:szCs w:val="30"/>
          <w:highlight w:val="none"/>
        </w:rPr>
      </w:pPr>
    </w:p>
    <w:p w14:paraId="391F95CF">
      <w:pPr>
        <w:shd w:val="clear"/>
        <w:wordWrap w:val="0"/>
        <w:snapToGrid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0639BAF7">
      <w:pPr>
        <w:shd w:val="clear"/>
        <w:wordWrap w:val="0"/>
        <w:snapToGrid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4C5AE14A">
      <w:pPr>
        <w:shd w:val="clear"/>
        <w:wordWrap w:val="0"/>
        <w:snapToGrid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22238E6A">
      <w:pPr>
        <w:shd w:val="clear"/>
        <w:wordWrap w:val="0"/>
        <w:snapToGrid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4D6749B4">
      <w:pPr>
        <w:pStyle w:val="9"/>
        <w:shd w:val="clear"/>
        <w:rPr>
          <w:rFonts w:asciiTheme="minorEastAsia" w:hAnsiTheme="minorEastAsia" w:eastAsiaTheme="minorEastAsia" w:cstheme="minorEastAsia"/>
          <w:b/>
          <w:color w:val="auto"/>
          <w:kern w:val="0"/>
          <w:sz w:val="30"/>
          <w:szCs w:val="30"/>
          <w:highlight w:val="none"/>
        </w:rPr>
      </w:pPr>
    </w:p>
    <w:p w14:paraId="4726A8F2">
      <w:pPr>
        <w:shd w:val="clear"/>
        <w:rPr>
          <w:rFonts w:asciiTheme="minorEastAsia" w:hAnsiTheme="minorEastAsia" w:eastAsiaTheme="minorEastAsia" w:cstheme="minorEastAsia"/>
          <w:b/>
          <w:color w:val="auto"/>
          <w:kern w:val="0"/>
          <w:sz w:val="30"/>
          <w:szCs w:val="30"/>
          <w:highlight w:val="none"/>
        </w:rPr>
      </w:pPr>
    </w:p>
    <w:p w14:paraId="2C20CCFF">
      <w:pPr>
        <w:pStyle w:val="9"/>
        <w:shd w:val="clear"/>
        <w:rPr>
          <w:color w:val="auto"/>
          <w:highlight w:val="none"/>
        </w:rPr>
      </w:pPr>
    </w:p>
    <w:p w14:paraId="4E202915">
      <w:pPr>
        <w:shd w:val="clear"/>
        <w:wordWrap w:val="0"/>
        <w:snapToGrid w:val="0"/>
        <w:spacing w:line="336" w:lineRule="auto"/>
        <w:ind w:firstLine="596" w:firstLineChars="198"/>
        <w:rPr>
          <w:rFonts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五、供应商直接管理关系信息表</w:t>
      </w:r>
    </w:p>
    <w:p w14:paraId="69244B13">
      <w:pPr>
        <w:shd w:val="clear"/>
        <w:wordWrap w:val="0"/>
        <w:snapToGrid w:val="0"/>
        <w:spacing w:line="336" w:lineRule="auto"/>
        <w:jc w:val="center"/>
        <w:rPr>
          <w:rFonts w:asciiTheme="minorEastAsia" w:hAnsiTheme="minorEastAsia" w:eastAsiaTheme="minorEastAsia" w:cstheme="minorEastAsia"/>
          <w:b/>
          <w:color w:val="auto"/>
          <w:sz w:val="24"/>
          <w:highlight w:val="none"/>
        </w:rPr>
      </w:pPr>
    </w:p>
    <w:tbl>
      <w:tblPr>
        <w:tblStyle w:val="21"/>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B6D87A8">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A274E3">
            <w:pPr>
              <w:widowControl/>
              <w:shd w:val="clear"/>
              <w:wordWrap w:val="0"/>
              <w:spacing w:line="336"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45ACAE">
            <w:pPr>
              <w:widowControl/>
              <w:shd w:val="clear"/>
              <w:wordWrap w:val="0"/>
              <w:spacing w:line="336"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7F7E1F">
            <w:pPr>
              <w:widowControl/>
              <w:shd w:val="clear"/>
              <w:wordWrap w:val="0"/>
              <w:spacing w:line="336"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4C74F2">
            <w:pPr>
              <w:widowControl/>
              <w:shd w:val="clear"/>
              <w:wordWrap w:val="0"/>
              <w:spacing w:line="336"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备注</w:t>
            </w:r>
          </w:p>
        </w:tc>
      </w:tr>
      <w:tr w14:paraId="139E82F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A453A2">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73A5BC">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097E4E">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6D9747">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r>
      <w:tr w14:paraId="58E9CCB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D2BF6E">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CC41E3">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77A572">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42F516">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r>
      <w:tr w14:paraId="278C8C8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63C989">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90FEDF">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C5E131">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A481E2">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r>
      <w:tr w14:paraId="4E36921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624494">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5CAEFC">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28FB03">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6DFBB7">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r>
    </w:tbl>
    <w:p w14:paraId="4D83C6AA">
      <w:pPr>
        <w:shd w:val="clear"/>
        <w:wordWrap w:val="0"/>
        <w:spacing w:line="336" w:lineRule="auto"/>
        <w:ind w:firstLine="480" w:firstLineChars="200"/>
        <w:contextualSpacing/>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w:t>
      </w:r>
    </w:p>
    <w:p w14:paraId="533515F3">
      <w:pPr>
        <w:shd w:val="clear"/>
        <w:wordWrap w:val="0"/>
        <w:spacing w:line="336" w:lineRule="auto"/>
        <w:ind w:firstLine="480" w:firstLineChars="200"/>
        <w:contextualSpacing/>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1.管理关系：是指不具有出资持股关系的其他单位之间存在的管理与被管理关系，如一些上下级关系的事业单位和团体组织。</w:t>
      </w:r>
    </w:p>
    <w:p w14:paraId="4E5A0129">
      <w:pPr>
        <w:shd w:val="clear"/>
        <w:wordWrap w:val="0"/>
        <w:spacing w:line="336" w:lineRule="auto"/>
        <w:ind w:firstLine="480" w:firstLineChars="200"/>
        <w:contextualSpacing/>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2.本表所指的管理关系仅限于直接管理关系，不包括间接的管理关系。</w:t>
      </w:r>
    </w:p>
    <w:p w14:paraId="6F1E9861">
      <w:pPr>
        <w:shd w:val="clear"/>
        <w:wordWrap w:val="0"/>
        <w:spacing w:line="336" w:lineRule="auto"/>
        <w:ind w:firstLine="480" w:firstLineChars="200"/>
        <w:contextualSpacing/>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3.供应商不存在直接管理关系的，则填“无”。</w:t>
      </w:r>
    </w:p>
    <w:p w14:paraId="4AC5F362">
      <w:pPr>
        <w:shd w:val="clear"/>
        <w:wordWrap w:val="0"/>
        <w:autoSpaceDE w:val="0"/>
        <w:autoSpaceDN w:val="0"/>
        <w:spacing w:line="336" w:lineRule="auto"/>
        <w:ind w:left="4365" w:leftChars="1850" w:hanging="480" w:hangingChars="200"/>
        <w:rPr>
          <w:rFonts w:hint="eastAsia" w:asciiTheme="minorEastAsia" w:hAnsiTheme="minorEastAsia" w:eastAsiaTheme="minorEastAsia" w:cstheme="minorEastAsia"/>
          <w:color w:val="auto"/>
          <w:kern w:val="0"/>
          <w:sz w:val="24"/>
          <w:highlight w:val="none"/>
        </w:rPr>
      </w:pPr>
    </w:p>
    <w:p w14:paraId="0FBA48B5">
      <w:pPr>
        <w:shd w:val="clear"/>
        <w:wordWrap w:val="0"/>
        <w:autoSpaceDE w:val="0"/>
        <w:autoSpaceDN w:val="0"/>
        <w:spacing w:line="336" w:lineRule="auto"/>
        <w:ind w:left="4365" w:leftChars="1850" w:hanging="480" w:hanging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03653951">
      <w:pPr>
        <w:shd w:val="clear"/>
        <w:wordWrap w:val="0"/>
        <w:autoSpaceDE w:val="0"/>
        <w:autoSpaceDN w:val="0"/>
        <w:spacing w:line="336" w:lineRule="auto"/>
        <w:ind w:firstLine="6000" w:firstLineChars="25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0"/>
          <w:sz w:val="24"/>
          <w:highlight w:val="none"/>
          <w:lang w:val="zh-CN"/>
        </w:rPr>
        <w:t>日期：  年  月   日</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8"/>
          <w:szCs w:val="28"/>
          <w:highlight w:val="none"/>
        </w:rPr>
        <w:br w:type="page"/>
      </w:r>
      <w:r>
        <w:rPr>
          <w:rFonts w:hint="eastAsia" w:asciiTheme="minorEastAsia" w:hAnsiTheme="minorEastAsia" w:eastAsiaTheme="minorEastAsia" w:cstheme="minorEastAsia"/>
          <w:b/>
          <w:color w:val="auto"/>
          <w:kern w:val="0"/>
          <w:sz w:val="30"/>
          <w:szCs w:val="30"/>
          <w:highlight w:val="none"/>
        </w:rPr>
        <w:t>六、资格声明函</w:t>
      </w:r>
    </w:p>
    <w:p w14:paraId="6EAD3FD3">
      <w:pPr>
        <w:shd w:val="clear"/>
        <w:wordWrap w:val="0"/>
        <w:spacing w:line="336" w:lineRule="auto"/>
        <w:jc w:val="center"/>
        <w:rPr>
          <w:rFonts w:asciiTheme="minorEastAsia" w:hAnsiTheme="minorEastAsia" w:eastAsiaTheme="minorEastAsia" w:cstheme="minorEastAsia"/>
          <w:b/>
          <w:color w:val="auto"/>
          <w:sz w:val="32"/>
          <w:szCs w:val="32"/>
          <w:highlight w:val="none"/>
        </w:rPr>
      </w:pPr>
    </w:p>
    <w:p w14:paraId="432D7358">
      <w:pPr>
        <w:shd w:val="clear"/>
        <w:wordWrap w:val="0"/>
        <w:spacing w:line="336"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资格声明函</w:t>
      </w:r>
    </w:p>
    <w:p w14:paraId="0C857215">
      <w:pPr>
        <w:shd w:val="clear"/>
        <w:wordWrap w:val="0"/>
        <w:spacing w:line="336" w:lineRule="auto"/>
        <w:jc w:val="center"/>
        <w:rPr>
          <w:rFonts w:asciiTheme="minorEastAsia" w:hAnsiTheme="minorEastAsia" w:eastAsiaTheme="minorEastAsia" w:cstheme="minorEastAsia"/>
          <w:color w:val="auto"/>
          <w:sz w:val="24"/>
          <w:szCs w:val="20"/>
          <w:highlight w:val="none"/>
        </w:rPr>
      </w:pPr>
    </w:p>
    <w:p w14:paraId="4E2323C8">
      <w:pPr>
        <w:shd w:val="clear"/>
        <w:wordWrap w:val="0"/>
        <w:spacing w:line="336" w:lineRule="auto"/>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广西邕政采购代理有限公司</w:t>
      </w:r>
      <w:r>
        <w:rPr>
          <w:rFonts w:hint="eastAsia" w:asciiTheme="minorEastAsia" w:hAnsiTheme="minorEastAsia" w:eastAsiaTheme="minorEastAsia" w:cstheme="minorEastAsia"/>
          <w:color w:val="auto"/>
          <w:sz w:val="24"/>
          <w:highlight w:val="none"/>
        </w:rPr>
        <w:t>：</w:t>
      </w:r>
    </w:p>
    <w:p w14:paraId="1BEE2FE1">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（供应商名称） </w:t>
      </w:r>
      <w:r>
        <w:rPr>
          <w:rFonts w:hint="eastAsia" w:asciiTheme="minorEastAsia" w:hAnsiTheme="minorEastAsia" w:eastAsiaTheme="minorEastAsia" w:cstheme="minorEastAsia"/>
          <w:color w:val="auto"/>
          <w:sz w:val="24"/>
          <w:highlight w:val="none"/>
        </w:rPr>
        <w:t>系中华人民共和国合法供应商，经营地址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18052255">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我方愿意参加贵方组织的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项目的响应，为便于贵方公正、择优地确定成交供应商及其响应产品和服务，我方就本次响应有关事项郑重声明如下：</w:t>
      </w:r>
    </w:p>
    <w:p w14:paraId="7A60C0EA">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1.我方向贵方提交的所有响应文件、资料都是准确的和真实的。</w:t>
      </w:r>
    </w:p>
    <w:p w14:paraId="3512A426">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0E3969B">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3.在此，我方宣布同意如下：</w:t>
      </w:r>
    </w:p>
    <w:p w14:paraId="46C44298">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（1）将按磋商文件的约定履行合同责任和义务；</w:t>
      </w:r>
    </w:p>
    <w:p w14:paraId="36E7948D">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（2）已详细审查全部磋商文件，包括澄清或者更正公告（如有）；</w:t>
      </w:r>
    </w:p>
    <w:p w14:paraId="51720102">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（3）同意提供按照贵方可能要求的与谈判有关的一切数据或者资料；</w:t>
      </w:r>
    </w:p>
    <w:p w14:paraId="08A2B85C">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（4）响应磋商文件规定的响应有效期。</w:t>
      </w:r>
    </w:p>
    <w:p w14:paraId="436A8A80">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2C821818">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Theme="minorEastAsia" w:hAnsiTheme="minorEastAsia" w:eastAsiaTheme="minorEastAsia" w:cstheme="minorEastAsia"/>
          <w:color w:val="auto"/>
          <w:sz w:val="24"/>
          <w:highlight w:val="none"/>
          <w:lang w:eastAsia="zh-CN"/>
        </w:rPr>
        <w:t>重大税收违法失信主体</w:t>
      </w:r>
      <w:r>
        <w:rPr>
          <w:rFonts w:hint="eastAsia" w:asciiTheme="minorEastAsia" w:hAnsiTheme="minorEastAsia" w:eastAsiaTheme="minorEastAsia" w:cstheme="minorEastAsia"/>
          <w:color w:val="auto"/>
          <w:sz w:val="24"/>
          <w:highlight w:val="none"/>
        </w:rPr>
        <w:t>、政府采购严重违法失信行为记录名单，完全符合《中华人民共和国政府采购法》第二十二条规定的供应商资格条件，我方对此声明负全部法律责任。</w:t>
      </w:r>
    </w:p>
    <w:p w14:paraId="2E5CE90E">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0E91AF5">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□我方本次响应文件</w:t>
      </w:r>
      <w:r>
        <w:rPr>
          <w:rFonts w:hint="eastAsia" w:asciiTheme="minorEastAsia" w:hAnsiTheme="minorEastAsia" w:eastAsiaTheme="minorEastAsia" w:cstheme="minorEastAsia"/>
          <w:color w:val="auto"/>
          <w:kern w:val="0"/>
          <w:sz w:val="24"/>
          <w:highlight w:val="none"/>
        </w:rPr>
        <w:t>内容中</w:t>
      </w:r>
      <w:r>
        <w:rPr>
          <w:rFonts w:hint="eastAsia" w:asciiTheme="minorEastAsia" w:hAnsiTheme="minorEastAsia" w:eastAsiaTheme="minorEastAsia" w:cstheme="minorEastAsia"/>
          <w:color w:val="auto"/>
          <w:sz w:val="24"/>
          <w:highlight w:val="none"/>
        </w:rPr>
        <w:t>未</w:t>
      </w:r>
      <w:r>
        <w:rPr>
          <w:rFonts w:hint="eastAsia" w:asciiTheme="minorEastAsia" w:hAnsiTheme="minorEastAsia" w:eastAsiaTheme="minorEastAsia" w:cstheme="minorEastAsia"/>
          <w:color w:val="auto"/>
          <w:kern w:val="0"/>
          <w:sz w:val="24"/>
          <w:highlight w:val="none"/>
        </w:rPr>
        <w:t>涉及商业秘密；</w:t>
      </w:r>
    </w:p>
    <w:p w14:paraId="62171A7A">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□我方本次响应文件</w:t>
      </w:r>
      <w:r>
        <w:rPr>
          <w:rFonts w:hint="eastAsia" w:asciiTheme="minorEastAsia" w:hAnsiTheme="minorEastAsia" w:eastAsiaTheme="minorEastAsia" w:cstheme="minorEastAsia"/>
          <w:color w:val="auto"/>
          <w:kern w:val="0"/>
          <w:sz w:val="24"/>
          <w:highlight w:val="none"/>
        </w:rPr>
        <w:t>涉及商业秘密的内容有：</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764DB6A1">
      <w:pPr>
        <w:pStyle w:val="13"/>
        <w:shd w:val="clear"/>
        <w:wordWrap w:val="0"/>
        <w:spacing w:line="336" w:lineRule="auto"/>
        <w:ind w:firstLine="480" w:firstLineChars="200"/>
        <w:contextualSpacing/>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7.与本磋商有关的一切正式往来信函请寄：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邮政编号：</w:t>
      </w:r>
      <w:r>
        <w:rPr>
          <w:rFonts w:hint="eastAsia" w:asciiTheme="minorEastAsia" w:hAnsiTheme="minorEastAsia" w:eastAsiaTheme="minorEastAsia" w:cstheme="minorEastAsia"/>
          <w:color w:val="auto"/>
          <w:sz w:val="24"/>
          <w:szCs w:val="24"/>
          <w:highlight w:val="none"/>
          <w:u w:val="single"/>
        </w:rPr>
        <w:t xml:space="preserve">        </w:t>
      </w:r>
    </w:p>
    <w:p w14:paraId="32975CB4">
      <w:pPr>
        <w:pStyle w:val="13"/>
        <w:shd w:val="clear"/>
        <w:wordWrap w:val="0"/>
        <w:spacing w:line="336" w:lineRule="auto"/>
        <w:ind w:firstLine="480" w:firstLineChars="200"/>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电话/传真：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电子函件：</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1353BB4E">
      <w:pPr>
        <w:pStyle w:val="12"/>
        <w:shd w:val="clear"/>
        <w:tabs>
          <w:tab w:val="left" w:pos="939"/>
        </w:tabs>
        <w:wordWrap w:val="0"/>
        <w:spacing w:line="336" w:lineRule="auto"/>
        <w:ind w:left="141" w:leftChars="67"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开户银行：</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帐号：</w:t>
      </w:r>
      <w:r>
        <w:rPr>
          <w:rFonts w:hint="eastAsia" w:asciiTheme="minorEastAsia" w:hAnsiTheme="minorEastAsia" w:eastAsiaTheme="minorEastAsia" w:cstheme="minorEastAsia"/>
          <w:color w:val="auto"/>
          <w:sz w:val="24"/>
          <w:highlight w:val="none"/>
          <w:u w:val="single"/>
        </w:rPr>
        <w:t xml:space="preserve">                               </w:t>
      </w:r>
    </w:p>
    <w:p w14:paraId="622F2671">
      <w:pPr>
        <w:pStyle w:val="12"/>
        <w:shd w:val="clear"/>
        <w:tabs>
          <w:tab w:val="left" w:pos="939"/>
        </w:tabs>
        <w:wordWrap w:val="0"/>
        <w:spacing w:line="336" w:lineRule="auto"/>
        <w:ind w:left="0" w:leftChars="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8.以上事项如有虚假或者隐瞒，我方愿意承担一切后果，并不再寻求任何旨在减轻或者免除法律责任的辩解。</w:t>
      </w:r>
    </w:p>
    <w:p w14:paraId="76D32AE9">
      <w:pPr>
        <w:pStyle w:val="12"/>
        <w:shd w:val="clear"/>
        <w:tabs>
          <w:tab w:val="left" w:pos="939"/>
        </w:tabs>
        <w:wordWrap w:val="0"/>
        <w:spacing w:line="336" w:lineRule="auto"/>
        <w:ind w:left="141" w:leftChars="67"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14:paraId="38DB8901">
      <w:pPr>
        <w:pStyle w:val="12"/>
        <w:shd w:val="clear"/>
        <w:tabs>
          <w:tab w:val="left" w:pos="939"/>
        </w:tabs>
        <w:wordWrap w:val="0"/>
        <w:spacing w:line="336" w:lineRule="auto"/>
        <w:ind w:left="0" w:leftChars="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注：如为联合体响应，盖章处须加盖联合体各方公章并由联合体各方法定代表人签署，否则其响应文件按无效响应处理。</w:t>
      </w:r>
    </w:p>
    <w:p w14:paraId="2854186D">
      <w:pPr>
        <w:pStyle w:val="12"/>
        <w:shd w:val="clear"/>
        <w:tabs>
          <w:tab w:val="left" w:pos="939"/>
        </w:tabs>
        <w:wordWrap w:val="0"/>
        <w:spacing w:line="336" w:lineRule="auto"/>
        <w:ind w:left="0" w:leftChars="0" w:firstLine="480" w:firstLineChars="200"/>
        <w:rPr>
          <w:rFonts w:asciiTheme="minorEastAsia" w:hAnsiTheme="minorEastAsia" w:eastAsiaTheme="minorEastAsia" w:cstheme="minorEastAsia"/>
          <w:color w:val="auto"/>
          <w:sz w:val="24"/>
          <w:highlight w:val="none"/>
        </w:rPr>
      </w:pPr>
    </w:p>
    <w:p w14:paraId="01DAD127">
      <w:pPr>
        <w:shd w:val="clear"/>
        <w:wordWrap w:val="0"/>
        <w:autoSpaceDE w:val="0"/>
        <w:autoSpaceDN w:val="0"/>
        <w:spacing w:line="336" w:lineRule="auto"/>
        <w:ind w:left="4365" w:leftChars="1850" w:hanging="480" w:hanging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366C7FB6">
      <w:pPr>
        <w:shd w:val="clear"/>
        <w:wordWrap w:val="0"/>
        <w:autoSpaceDE w:val="0"/>
        <w:autoSpaceDN w:val="0"/>
        <w:spacing w:line="336" w:lineRule="auto"/>
        <w:ind w:firstLine="6120" w:firstLineChars="2550"/>
        <w:rPr>
          <w:rFonts w:asciiTheme="minorEastAsia" w:hAnsiTheme="minorEastAsia" w:eastAsiaTheme="minorEastAsia" w:cstheme="minorEastAsia"/>
          <w:color w:val="auto"/>
          <w:kern w:val="0"/>
          <w:sz w:val="24"/>
          <w:highlight w:val="none"/>
          <w:lang w:val="zh-CN"/>
        </w:rPr>
        <w:sectPr>
          <w:pgSz w:w="11905" w:h="16838"/>
          <w:pgMar w:top="1440" w:right="1080" w:bottom="1440" w:left="1080" w:header="720" w:footer="720" w:gutter="0"/>
          <w:cols w:space="0" w:num="1"/>
        </w:sectPr>
      </w:pPr>
      <w:r>
        <w:rPr>
          <w:rFonts w:hint="eastAsia" w:asciiTheme="minorEastAsia" w:hAnsiTheme="minorEastAsia" w:eastAsiaTheme="minorEastAsia" w:cstheme="minorEastAsia"/>
          <w:color w:val="auto"/>
          <w:kern w:val="0"/>
          <w:sz w:val="24"/>
          <w:highlight w:val="none"/>
          <w:lang w:val="zh-CN"/>
        </w:rPr>
        <w:t>日期：  年  月   日</w:t>
      </w:r>
    </w:p>
    <w:p w14:paraId="5B818B03">
      <w:pPr>
        <w:pStyle w:val="13"/>
        <w:shd w:val="clear"/>
        <w:wordWrap w:val="0"/>
        <w:spacing w:line="336" w:lineRule="auto"/>
        <w:jc w:val="center"/>
        <w:rPr>
          <w:rFonts w:asciiTheme="minorEastAsia" w:hAnsiTheme="minorEastAsia" w:eastAsiaTheme="minorEastAsia" w:cstheme="minorEastAsia"/>
          <w:b/>
          <w:color w:val="auto"/>
          <w:kern w:val="2"/>
          <w:sz w:val="30"/>
          <w:szCs w:val="30"/>
          <w:highlight w:val="none"/>
        </w:rPr>
      </w:pPr>
      <w:r>
        <w:rPr>
          <w:rFonts w:hint="eastAsia" w:asciiTheme="minorEastAsia" w:hAnsiTheme="minorEastAsia" w:eastAsiaTheme="minorEastAsia" w:cstheme="minorEastAsia"/>
          <w:b/>
          <w:bCs/>
          <w:color w:val="auto"/>
          <w:kern w:val="2"/>
          <w:sz w:val="32"/>
          <w:szCs w:val="32"/>
          <w:highlight w:val="none"/>
          <w:lang w:val="en-US" w:eastAsia="zh-CN"/>
        </w:rPr>
        <w:t>七</w:t>
      </w:r>
      <w:r>
        <w:rPr>
          <w:rFonts w:hint="eastAsia" w:asciiTheme="minorEastAsia" w:hAnsiTheme="minorEastAsia" w:eastAsiaTheme="minorEastAsia" w:cstheme="minorEastAsia"/>
          <w:b/>
          <w:bCs/>
          <w:color w:val="auto"/>
          <w:kern w:val="2"/>
          <w:sz w:val="32"/>
          <w:szCs w:val="32"/>
          <w:highlight w:val="none"/>
        </w:rPr>
        <w:t>、中小企业声明函</w:t>
      </w:r>
    </w:p>
    <w:p w14:paraId="4C18A5F7">
      <w:pPr>
        <w:shd w:val="clear"/>
        <w:wordWrap w:val="0"/>
        <w:spacing w:line="336" w:lineRule="auto"/>
        <w:jc w:val="center"/>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中小企业声明函</w:t>
      </w:r>
    </w:p>
    <w:p w14:paraId="058663E5">
      <w:pPr>
        <w:pStyle w:val="9"/>
        <w:keepNext w:val="0"/>
        <w:keepLines w:val="0"/>
        <w:pageBreakBefore w:val="0"/>
        <w:widowControl w:val="0"/>
        <w:shd w:val="clear"/>
        <w:kinsoku/>
        <w:wordWrap w:val="0"/>
        <w:overflowPunct/>
        <w:topLinePunct w:val="0"/>
        <w:bidi w:val="0"/>
        <w:adjustRightInd/>
        <w:snapToGrid/>
        <w:spacing w:after="0" w:line="500" w:lineRule="exact"/>
        <w:ind w:left="-426" w:right="142" w:firstLine="640"/>
        <w:contextualSpacing/>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（采购人单位名称）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u w:val="single"/>
          <w:lang w:val="en-US" w:eastAsia="zh-CN"/>
        </w:rPr>
        <w:t>项目名称</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采购活动，提供的服务全部由符合政策要求的中小企业</w:t>
      </w:r>
      <w:r>
        <w:rPr>
          <w:rFonts w:hint="eastAsia" w:asciiTheme="minorEastAsia" w:hAnsiTheme="minorEastAsia" w:eastAsiaTheme="minorEastAsia" w:cstheme="minorEastAsia"/>
          <w:color w:val="auto"/>
          <w:sz w:val="24"/>
          <w:highlight w:val="none"/>
          <w:lang w:val="en-US" w:eastAsia="zh-CN"/>
        </w:rPr>
        <w:t>提供</w:t>
      </w:r>
      <w:r>
        <w:rPr>
          <w:rFonts w:hint="eastAsia" w:asciiTheme="minorEastAsia" w:hAnsiTheme="minorEastAsia" w:eastAsiaTheme="minorEastAsia" w:cstheme="minorEastAsia"/>
          <w:color w:val="auto"/>
          <w:sz w:val="24"/>
          <w:highlight w:val="none"/>
        </w:rPr>
        <w:t>。相关企业（含联合体中的中小企业、签订分包意向协议的中小企业）的具体情况如下：</w:t>
      </w:r>
    </w:p>
    <w:p w14:paraId="699AFE7D">
      <w:pPr>
        <w:keepNext w:val="0"/>
        <w:keepLines w:val="0"/>
        <w:pageBreakBefore w:val="0"/>
        <w:widowControl w:val="0"/>
        <w:numPr>
          <w:ilvl w:val="0"/>
          <w:numId w:val="4"/>
        </w:numPr>
        <w:shd w:val="clear"/>
        <w:tabs>
          <w:tab w:val="left" w:pos="1384"/>
          <w:tab w:val="left" w:pos="4562"/>
          <w:tab w:val="left" w:pos="6803"/>
        </w:tabs>
        <w:kinsoku/>
        <w:wordWrap w:val="0"/>
        <w:overflowPunct/>
        <w:topLinePunct w:val="0"/>
        <w:bidi w:val="0"/>
        <w:adjustRightInd/>
        <w:snapToGrid/>
        <w:spacing w:line="500" w:lineRule="exact"/>
        <w:ind w:left="-426" w:right="-58" w:firstLine="655"/>
        <w:contextualSpacing/>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（标的名称） </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（采购文件中明确的所属行业）</w:t>
      </w:r>
      <w:r>
        <w:rPr>
          <w:rFonts w:hint="eastAsia" w:asciiTheme="minorEastAsia" w:hAnsiTheme="minorEastAsia" w:eastAsiaTheme="minorEastAsia" w:cstheme="minorEastAsia"/>
          <w:color w:val="auto"/>
          <w:sz w:val="24"/>
          <w:highlight w:val="none"/>
        </w:rPr>
        <w:t>行业；承建（承接）企业为</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（中型企业、小型企业、微型企业）</w:t>
      </w:r>
      <w:r>
        <w:rPr>
          <w:rFonts w:hint="eastAsia" w:asciiTheme="minorEastAsia" w:hAnsiTheme="minorEastAsia" w:eastAsiaTheme="minorEastAsia" w:cstheme="minorEastAsia"/>
          <w:color w:val="auto"/>
          <w:sz w:val="24"/>
          <w:highlight w:val="none"/>
        </w:rPr>
        <w:t>；</w:t>
      </w:r>
    </w:p>
    <w:p w14:paraId="12322793">
      <w:pPr>
        <w:keepNext w:val="0"/>
        <w:keepLines w:val="0"/>
        <w:pageBreakBefore w:val="0"/>
        <w:widowControl w:val="0"/>
        <w:shd w:val="clear"/>
        <w:kinsoku/>
        <w:overflowPunct/>
        <w:topLinePunct w:val="0"/>
        <w:bidi w:val="0"/>
        <w:adjustRightInd/>
        <w:snapToGrid/>
        <w:spacing w:line="500" w:lineRule="exact"/>
        <w:ind w:left="765" w:right="142" w:hanging="5"/>
        <w:textAlignment w:val="auto"/>
        <w:rPr>
          <w:rFonts w:ascii="宋体" w:hAnsi="宋体"/>
          <w:color w:val="auto"/>
          <w:szCs w:val="21"/>
          <w:highlight w:val="none"/>
        </w:rPr>
      </w:pPr>
    </w:p>
    <w:p w14:paraId="3B5C29C9">
      <w:pPr>
        <w:keepNext w:val="0"/>
        <w:keepLines w:val="0"/>
        <w:pageBreakBefore w:val="0"/>
        <w:widowControl w:val="0"/>
        <w:shd w:val="clear"/>
        <w:kinsoku/>
        <w:overflowPunct/>
        <w:topLinePunct w:val="0"/>
        <w:bidi w:val="0"/>
        <w:adjustRightInd/>
        <w:snapToGrid/>
        <w:spacing w:line="500" w:lineRule="exact"/>
        <w:ind w:left="765" w:right="142" w:hanging="5"/>
        <w:textAlignment w:val="auto"/>
        <w:rPr>
          <w:rFonts w:asciiTheme="minorEastAsia" w:hAnsiTheme="minorEastAsia" w:eastAsiaTheme="minorEastAsia" w:cstheme="minorEastAsia"/>
          <w:color w:val="auto"/>
          <w:sz w:val="24"/>
          <w:highlight w:val="none"/>
        </w:rPr>
      </w:pPr>
      <w:r>
        <w:rPr>
          <w:rFonts w:ascii="宋体" w:hAnsi="宋体"/>
          <w:color w:val="auto"/>
          <w:szCs w:val="21"/>
          <w:highlight w:val="none"/>
        </w:rPr>
        <w:t xml:space="preserve">…… </w:t>
      </w:r>
    </w:p>
    <w:p w14:paraId="2C5C3D96">
      <w:pPr>
        <w:pStyle w:val="9"/>
        <w:keepNext w:val="0"/>
        <w:keepLines w:val="0"/>
        <w:pageBreakBefore w:val="0"/>
        <w:widowControl w:val="0"/>
        <w:shd w:val="clear"/>
        <w:kinsoku/>
        <w:wordWrap w:val="0"/>
        <w:overflowPunct/>
        <w:topLinePunct w:val="0"/>
        <w:bidi w:val="0"/>
        <w:adjustRightInd/>
        <w:snapToGrid/>
        <w:spacing w:after="0" w:line="500" w:lineRule="exact"/>
        <w:ind w:left="-405" w:leftChars="-193" w:right="142" w:firstLine="453" w:firstLineChars="189"/>
        <w:contextualSpacing/>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14:paraId="0CB390E7">
      <w:pPr>
        <w:pStyle w:val="9"/>
        <w:keepNext w:val="0"/>
        <w:keepLines w:val="0"/>
        <w:pageBreakBefore w:val="0"/>
        <w:widowControl w:val="0"/>
        <w:shd w:val="clear"/>
        <w:kinsoku/>
        <w:wordWrap w:val="0"/>
        <w:overflowPunct/>
        <w:topLinePunct w:val="0"/>
        <w:bidi w:val="0"/>
        <w:adjustRightInd/>
        <w:snapToGrid/>
        <w:spacing w:after="0" w:line="500" w:lineRule="exact"/>
        <w:ind w:left="-426" w:right="142" w:firstLine="567"/>
        <w:contextualSpacing/>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14:paraId="5CC9296E">
      <w:pPr>
        <w:pStyle w:val="9"/>
        <w:keepNext w:val="0"/>
        <w:keepLines w:val="0"/>
        <w:pageBreakBefore w:val="0"/>
        <w:widowControl w:val="0"/>
        <w:shd w:val="clear"/>
        <w:kinsoku/>
        <w:wordWrap w:val="0"/>
        <w:overflowPunct/>
        <w:topLinePunct w:val="0"/>
        <w:bidi w:val="0"/>
        <w:adjustRightInd/>
        <w:snapToGrid/>
        <w:spacing w:after="0" w:line="500" w:lineRule="exact"/>
        <w:ind w:left="3960" w:right="1808"/>
        <w:contextualSpacing/>
        <w:textAlignment w:val="auto"/>
        <w:rPr>
          <w:rFonts w:asciiTheme="minorEastAsia" w:hAnsiTheme="minorEastAsia" w:eastAsiaTheme="minorEastAsia" w:cstheme="minorEastAsia"/>
          <w:color w:val="auto"/>
          <w:sz w:val="24"/>
          <w:highlight w:val="none"/>
        </w:rPr>
      </w:pPr>
    </w:p>
    <w:p w14:paraId="7DB7AB56">
      <w:pPr>
        <w:keepNext w:val="0"/>
        <w:keepLines w:val="0"/>
        <w:pageBreakBefore w:val="0"/>
        <w:widowControl w:val="0"/>
        <w:shd w:val="clear"/>
        <w:kinsoku/>
        <w:wordWrap w:val="0"/>
        <w:overflowPunct/>
        <w:topLinePunct w:val="0"/>
        <w:autoSpaceDE w:val="0"/>
        <w:autoSpaceDN w:val="0"/>
        <w:bidi w:val="0"/>
        <w:adjustRightInd/>
        <w:snapToGrid/>
        <w:spacing w:line="500" w:lineRule="exact"/>
        <w:ind w:left="4335" w:leftChars="1950" w:hanging="240" w:hangingChars="100"/>
        <w:textAlignment w:val="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0BFE24D4">
      <w:pPr>
        <w:keepNext w:val="0"/>
        <w:keepLines w:val="0"/>
        <w:pageBreakBefore w:val="0"/>
        <w:widowControl w:val="0"/>
        <w:shd w:val="clear"/>
        <w:kinsoku/>
        <w:wordWrap w:val="0"/>
        <w:overflowPunct/>
        <w:topLinePunct w:val="0"/>
        <w:autoSpaceDE w:val="0"/>
        <w:autoSpaceDN w:val="0"/>
        <w:bidi w:val="0"/>
        <w:adjustRightInd/>
        <w:snapToGrid/>
        <w:spacing w:line="500" w:lineRule="exact"/>
        <w:ind w:firstLine="6480" w:firstLineChars="2700"/>
        <w:textAlignment w:val="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34360186">
      <w:pPr>
        <w:pStyle w:val="9"/>
        <w:shd w:val="clear"/>
        <w:wordWrap w:val="0"/>
        <w:spacing w:after="0" w:line="336" w:lineRule="auto"/>
        <w:ind w:left="3960" w:right="1808"/>
        <w:contextualSpacing/>
        <w:rPr>
          <w:rFonts w:asciiTheme="minorEastAsia" w:hAnsiTheme="minorEastAsia" w:eastAsiaTheme="minorEastAsia" w:cstheme="minorEastAsia"/>
          <w:color w:val="auto"/>
          <w:highlight w:val="none"/>
        </w:rPr>
      </w:pPr>
    </w:p>
    <w:p w14:paraId="07229A73">
      <w:pPr>
        <w:pStyle w:val="6"/>
        <w:shd w:val="clear"/>
        <w:wordWrap w:val="0"/>
        <w:spacing w:line="336" w:lineRule="auto"/>
        <w:ind w:firstLine="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7238C82">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2291ECBE">
      <w:pPr>
        <w:pStyle w:val="6"/>
        <w:numPr>
          <w:ilvl w:val="0"/>
          <w:numId w:val="0"/>
        </w:numPr>
        <w:shd w:val="clear"/>
        <w:wordWrap w:val="0"/>
        <w:spacing w:line="336" w:lineRule="auto"/>
        <w:ind w:firstLine="0" w:firstLineChars="0"/>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kern w:val="0"/>
          <w:sz w:val="30"/>
          <w:szCs w:val="30"/>
          <w:highlight w:val="none"/>
          <w:lang w:val="en-US" w:eastAsia="zh-CN" w:bidi="ar-SA"/>
        </w:rPr>
        <w:t>八、</w:t>
      </w:r>
      <w:r>
        <w:rPr>
          <w:rFonts w:hint="eastAsia" w:asciiTheme="minorEastAsia" w:hAnsiTheme="minorEastAsia" w:eastAsiaTheme="minorEastAsia" w:cstheme="minorEastAsia"/>
          <w:b/>
          <w:color w:val="auto"/>
          <w:kern w:val="0"/>
          <w:sz w:val="30"/>
          <w:szCs w:val="30"/>
          <w:highlight w:val="none"/>
        </w:rPr>
        <w:t>联合体协议书（以联合体形式响应的，提供联合体协议；本项目不接受联合体响应或者供应商不以联合体形式响应的，则不需要提供）</w:t>
      </w:r>
    </w:p>
    <w:p w14:paraId="6BA7736E">
      <w:pPr>
        <w:pStyle w:val="13"/>
        <w:shd w:val="clear"/>
        <w:wordWrap w:val="0"/>
        <w:spacing w:line="336" w:lineRule="auto"/>
        <w:jc w:val="center"/>
        <w:rPr>
          <w:rFonts w:asciiTheme="minorEastAsia" w:hAnsiTheme="minorEastAsia" w:eastAsiaTheme="minorEastAsia" w:cstheme="minorEastAsia"/>
          <w:color w:val="auto"/>
          <w:kern w:val="2"/>
          <w:sz w:val="44"/>
          <w:szCs w:val="44"/>
          <w:highlight w:val="none"/>
        </w:rPr>
      </w:pPr>
    </w:p>
    <w:p w14:paraId="6E6A3D3C">
      <w:pPr>
        <w:pStyle w:val="13"/>
        <w:shd w:val="clear"/>
        <w:wordWrap w:val="0"/>
        <w:spacing w:line="336" w:lineRule="auto"/>
        <w:jc w:val="center"/>
        <w:rPr>
          <w:rFonts w:asciiTheme="minorEastAsia" w:hAnsiTheme="minorEastAsia" w:eastAsiaTheme="minorEastAsia" w:cstheme="minorEastAsia"/>
          <w:color w:val="auto"/>
          <w:kern w:val="2"/>
          <w:sz w:val="44"/>
          <w:szCs w:val="44"/>
          <w:highlight w:val="none"/>
        </w:rPr>
      </w:pPr>
      <w:r>
        <w:rPr>
          <w:rFonts w:hint="eastAsia" w:asciiTheme="minorEastAsia" w:hAnsiTheme="minorEastAsia" w:eastAsiaTheme="minorEastAsia" w:cstheme="minorEastAsia"/>
          <w:color w:val="auto"/>
          <w:kern w:val="2"/>
          <w:sz w:val="44"/>
          <w:szCs w:val="44"/>
          <w:highlight w:val="none"/>
        </w:rPr>
        <w:t>联合体响应协议书（格式）</w:t>
      </w:r>
    </w:p>
    <w:p w14:paraId="154D4806">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Cs w:val="21"/>
          <w:highlight w:val="none"/>
          <w:u w:val="single"/>
        </w:rPr>
      </w:pPr>
    </w:p>
    <w:p w14:paraId="4851BA71">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（所有成员单位名称）自愿组成联合体，共同参加</w:t>
      </w:r>
      <w:r>
        <w:rPr>
          <w:rFonts w:hint="eastAsia" w:asciiTheme="minorEastAsia" w:hAnsiTheme="minorEastAsia" w:eastAsiaTheme="minorEastAsia" w:cstheme="minorEastAsia"/>
          <w:color w:val="auto"/>
          <w:kern w:val="0"/>
          <w:sz w:val="24"/>
          <w:highlight w:val="none"/>
          <w:u w:val="single"/>
        </w:rPr>
        <w:t xml:space="preserve">  </w:t>
      </w:r>
      <w:bookmarkStart w:id="57" w:name="PO_3000001868_PM031"/>
      <w:r>
        <w:rPr>
          <w:rFonts w:hint="eastAsia" w:ascii="宋体" w:hAnsi="宋体" w:cs="宋体"/>
          <w:color w:val="auto"/>
          <w:kern w:val="0"/>
          <w:sz w:val="24"/>
          <w:highlight w:val="none"/>
          <w:u w:val="single"/>
        </w:rPr>
        <w:t>广西邕政采购代理有限公司</w:t>
      </w:r>
      <w:bookmarkEnd w:id="57"/>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组织的</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lang w:val="en-US" w:eastAsia="zh-CN"/>
        </w:rPr>
        <w:t>项目名称</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（项目编号：</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）竞争性磋商采购。现就联合体响应事宜订立如下协议：</w:t>
      </w:r>
    </w:p>
    <w:p w14:paraId="5370ADF4">
      <w:pPr>
        <w:shd w:val="clear"/>
        <w:wordWrap w:val="0"/>
        <w:autoSpaceDE w:val="0"/>
        <w:autoSpaceDN w:val="0"/>
        <w:adjustRightInd w:val="0"/>
        <w:spacing w:line="336" w:lineRule="auto"/>
        <w:ind w:firstLine="42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sz w:val="24"/>
          <w:highlight w:val="none"/>
        </w:rPr>
        <w:t>________________________</w:t>
      </w:r>
      <w:r>
        <w:rPr>
          <w:rFonts w:hint="eastAsia" w:asciiTheme="minorEastAsia" w:hAnsiTheme="minorEastAsia" w:eastAsiaTheme="minorEastAsia" w:cstheme="minorEastAsia"/>
          <w:color w:val="auto"/>
          <w:kern w:val="0"/>
          <w:sz w:val="24"/>
          <w:highlight w:val="none"/>
        </w:rPr>
        <w:t>（某成员单位名称）为联合体名称牵头人。</w:t>
      </w:r>
    </w:p>
    <w:p w14:paraId="1CE4679E">
      <w:pPr>
        <w:shd w:val="clear"/>
        <w:wordWrap w:val="0"/>
        <w:autoSpaceDE w:val="0"/>
        <w:autoSpaceDN w:val="0"/>
        <w:adjustRightInd w:val="0"/>
        <w:spacing w:line="336" w:lineRule="auto"/>
        <w:ind w:firstLine="42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5F5D8D2F">
      <w:pPr>
        <w:shd w:val="clear"/>
        <w:wordWrap w:val="0"/>
        <w:autoSpaceDE w:val="0"/>
        <w:autoSpaceDN w:val="0"/>
        <w:adjustRightInd w:val="0"/>
        <w:spacing w:line="336" w:lineRule="auto"/>
        <w:ind w:firstLine="42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2F601DEE">
      <w:pPr>
        <w:shd w:val="clear"/>
        <w:wordWrap w:val="0"/>
        <w:autoSpaceDE w:val="0"/>
        <w:autoSpaceDN w:val="0"/>
        <w:adjustRightInd w:val="0"/>
        <w:spacing w:line="336" w:lineRule="auto"/>
        <w:ind w:firstLine="42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4、联合体各成员单位内部的职责分工如下</w:t>
      </w:r>
      <w:r>
        <w:rPr>
          <w:rFonts w:hint="eastAsia" w:asciiTheme="minorEastAsia" w:hAnsiTheme="minorEastAsia" w:eastAsiaTheme="minorEastAsia" w:cstheme="minorEastAsia"/>
          <w:color w:val="auto"/>
          <w:kern w:val="0"/>
          <w:sz w:val="24"/>
          <w:highlight w:val="none"/>
          <w:u w:val="single"/>
        </w:rPr>
        <w:t>：</w:t>
      </w:r>
      <w:r>
        <w:rPr>
          <w:rFonts w:hint="eastAsia" w:asciiTheme="minorEastAsia" w:hAnsiTheme="minorEastAsia" w:eastAsiaTheme="minorEastAsia" w:cstheme="minorEastAsia"/>
          <w:color w:val="auto"/>
          <w:sz w:val="24"/>
          <w:highlight w:val="none"/>
          <w:u w:val="single"/>
        </w:rPr>
        <w:t>________________________________________________</w:t>
      </w:r>
      <w:r>
        <w:rPr>
          <w:rFonts w:hint="eastAsia" w:asciiTheme="minorEastAsia" w:hAnsiTheme="minorEastAsia" w:eastAsiaTheme="minorEastAsia" w:cstheme="minorEastAsia"/>
          <w:color w:val="auto"/>
          <w:kern w:val="0"/>
          <w:sz w:val="24"/>
          <w:highlight w:val="none"/>
        </w:rPr>
        <w:t>。</w:t>
      </w:r>
    </w:p>
    <w:p w14:paraId="48563EF9">
      <w:pPr>
        <w:pStyle w:val="13"/>
        <w:shd w:val="clear"/>
        <w:wordWrap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5、本联合体中</w:t>
      </w:r>
      <w:r>
        <w:rPr>
          <w:rFonts w:hint="eastAsia" w:asciiTheme="minorEastAsia" w:hAnsiTheme="minorEastAsia" w:eastAsiaTheme="minorEastAsia" w:cstheme="minorEastAsia"/>
          <w:color w:val="auto"/>
          <w:sz w:val="24"/>
          <w:szCs w:val="24"/>
          <w:highlight w:val="none"/>
          <w:u w:val="single"/>
        </w:rPr>
        <w:t>，________________________（某成员单位名称）为______</w:t>
      </w:r>
      <w:r>
        <w:rPr>
          <w:rFonts w:hint="eastAsia" w:asciiTheme="minorEastAsia" w:hAnsiTheme="minorEastAsia" w:eastAsiaTheme="minorEastAsia" w:cstheme="minorEastAsia"/>
          <w:color w:val="auto"/>
          <w:sz w:val="24"/>
          <w:szCs w:val="24"/>
          <w:highlight w:val="none"/>
        </w:rPr>
        <w:t>（请填写：中型、小型、微型）企业，其协议合同金额占联合体协议合同总金额的</w:t>
      </w:r>
      <w:r>
        <w:rPr>
          <w:rFonts w:hint="eastAsia" w:asciiTheme="minorEastAsia" w:hAnsiTheme="minorEastAsia" w:eastAsiaTheme="minorEastAsia" w:cstheme="minorEastAsia"/>
          <w:color w:val="auto"/>
          <w:sz w:val="24"/>
          <w:szCs w:val="24"/>
          <w:highlight w:val="none"/>
          <w:u w:val="single"/>
        </w:rPr>
        <w:t>______</w:t>
      </w:r>
      <w:r>
        <w:rPr>
          <w:rFonts w:hint="eastAsia" w:asciiTheme="minorEastAsia" w:hAnsiTheme="minorEastAsia" w:eastAsiaTheme="minorEastAsia" w:cstheme="minorEastAsia"/>
          <w:color w:val="auto"/>
          <w:sz w:val="24"/>
          <w:szCs w:val="24"/>
          <w:highlight w:val="none"/>
        </w:rPr>
        <w:t>%。【如联合体成员中有小型、微型企业的，请填写此条，否则无需填写；如联合体成员中有多个小型、微型企业的，请逐一列出。】</w:t>
      </w:r>
    </w:p>
    <w:p w14:paraId="7740EE97">
      <w:pPr>
        <w:shd w:val="clear"/>
        <w:wordWrap w:val="0"/>
        <w:autoSpaceDE w:val="0"/>
        <w:autoSpaceDN w:val="0"/>
        <w:adjustRightInd w:val="0"/>
        <w:spacing w:line="336" w:lineRule="auto"/>
        <w:ind w:firstLine="42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6、本协议书自签署之日起生效，合同履行完毕后自动失效。</w:t>
      </w:r>
    </w:p>
    <w:p w14:paraId="2A1F5F37">
      <w:pPr>
        <w:shd w:val="clear"/>
        <w:wordWrap w:val="0"/>
        <w:autoSpaceDE w:val="0"/>
        <w:autoSpaceDN w:val="0"/>
        <w:adjustRightInd w:val="0"/>
        <w:spacing w:line="336" w:lineRule="auto"/>
        <w:ind w:firstLine="42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7、本协议书一式</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份，联合体成员和采购代理机构各执一份。</w:t>
      </w:r>
    </w:p>
    <w:p w14:paraId="0150FA55">
      <w:pPr>
        <w:shd w:val="clear"/>
        <w:wordWrap w:val="0"/>
        <w:autoSpaceDE w:val="0"/>
        <w:autoSpaceDN w:val="0"/>
        <w:adjustRightInd w:val="0"/>
        <w:spacing w:line="336" w:lineRule="auto"/>
        <w:ind w:firstLine="42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注：本协议书由法定代表人签字的，应附法定代表人身份证明；本协议书由委托代理人签字的，应附法定代表人授权委托书。</w:t>
      </w:r>
    </w:p>
    <w:p w14:paraId="6461D647">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牵头人名称：</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（盖单位公章）</w:t>
      </w:r>
    </w:p>
    <w:p w14:paraId="3059621A">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法定代表人或其委托代理人：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（签字或盖章）</w:t>
      </w:r>
    </w:p>
    <w:p w14:paraId="2D8FE07B">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 w:val="24"/>
          <w:highlight w:val="none"/>
        </w:rPr>
      </w:pPr>
    </w:p>
    <w:p w14:paraId="6565ACE5">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成员一名称：</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（盖单位公章）</w:t>
      </w:r>
    </w:p>
    <w:p w14:paraId="0841805D">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法定代表人或其委托代理人：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（签字或盖章）</w:t>
      </w:r>
    </w:p>
    <w:p w14:paraId="50E54889">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Cs w:val="21"/>
          <w:highlight w:val="none"/>
        </w:rPr>
      </w:pPr>
    </w:p>
    <w:p w14:paraId="3D02A45E">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成员二名称：</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（盖单位公章）</w:t>
      </w:r>
    </w:p>
    <w:p w14:paraId="60F6A059">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法定代表人或其委托代理人：                         （签字或盖章）</w:t>
      </w:r>
    </w:p>
    <w:p w14:paraId="07339F71">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 w:val="24"/>
          <w:highlight w:val="none"/>
        </w:rPr>
      </w:pPr>
    </w:p>
    <w:p w14:paraId="20AFF3B5">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 w:val="24"/>
          <w:highlight w:val="none"/>
        </w:rPr>
      </w:pPr>
    </w:p>
    <w:p w14:paraId="3FD8A754">
      <w:pPr>
        <w:shd w:val="clear"/>
        <w:wordWrap w:val="0"/>
        <w:autoSpaceDE w:val="0"/>
        <w:autoSpaceDN w:val="0"/>
        <w:spacing w:line="336" w:lineRule="auto"/>
        <w:ind w:left="4365" w:leftChars="1850" w:hanging="480" w:hanging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6762C511">
      <w:pPr>
        <w:shd w:val="clear"/>
        <w:wordWrap w:val="0"/>
        <w:autoSpaceDE w:val="0"/>
        <w:autoSpaceDN w:val="0"/>
        <w:spacing w:line="336" w:lineRule="auto"/>
        <w:ind w:firstLine="6120" w:firstLineChars="25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30C479CF">
      <w:pPr>
        <w:shd w:val="clear"/>
        <w:wordWrap w:val="0"/>
        <w:autoSpaceDE w:val="0"/>
        <w:autoSpaceDN w:val="0"/>
        <w:spacing w:line="336" w:lineRule="auto"/>
        <w:ind w:firstLine="6120" w:firstLineChars="2550"/>
        <w:rPr>
          <w:rFonts w:asciiTheme="minorEastAsia" w:hAnsiTheme="minorEastAsia" w:eastAsiaTheme="minorEastAsia" w:cstheme="minorEastAsia"/>
          <w:color w:val="auto"/>
          <w:kern w:val="0"/>
          <w:sz w:val="24"/>
          <w:highlight w:val="none"/>
          <w:lang w:val="zh-CN"/>
        </w:rPr>
      </w:pPr>
    </w:p>
    <w:p w14:paraId="445AE3B5">
      <w:pPr>
        <w:shd w:val="clear"/>
        <w:wordWrap w:val="0"/>
        <w:autoSpaceDE w:val="0"/>
        <w:autoSpaceDN w:val="0"/>
        <w:spacing w:line="336" w:lineRule="auto"/>
        <w:ind w:firstLine="6120" w:firstLineChars="2550"/>
        <w:rPr>
          <w:rFonts w:asciiTheme="minorEastAsia" w:hAnsiTheme="minorEastAsia" w:eastAsiaTheme="minorEastAsia" w:cstheme="minorEastAsia"/>
          <w:color w:val="auto"/>
          <w:kern w:val="0"/>
          <w:sz w:val="24"/>
          <w:highlight w:val="none"/>
          <w:lang w:val="zh-CN"/>
        </w:rPr>
      </w:pPr>
    </w:p>
    <w:p w14:paraId="6D1A975E">
      <w:pPr>
        <w:shd w:val="clear"/>
        <w:wordWrap w:val="0"/>
        <w:autoSpaceDE w:val="0"/>
        <w:autoSpaceDN w:val="0"/>
        <w:spacing w:line="336" w:lineRule="auto"/>
        <w:ind w:firstLine="6120" w:firstLineChars="2550"/>
        <w:rPr>
          <w:rFonts w:asciiTheme="minorEastAsia" w:hAnsiTheme="minorEastAsia" w:eastAsiaTheme="minorEastAsia" w:cstheme="minorEastAsia"/>
          <w:color w:val="auto"/>
          <w:kern w:val="0"/>
          <w:sz w:val="24"/>
          <w:highlight w:val="none"/>
          <w:lang w:val="zh-CN"/>
        </w:rPr>
      </w:pPr>
    </w:p>
    <w:p w14:paraId="49986391">
      <w:pPr>
        <w:shd w:val="clear"/>
        <w:wordWrap w:val="0"/>
        <w:snapToGrid w:val="0"/>
        <w:spacing w:line="336" w:lineRule="auto"/>
        <w:ind w:firstLine="602" w:firstLineChars="200"/>
        <w:rPr>
          <w:rFonts w:asciiTheme="minorEastAsia" w:hAnsiTheme="minorEastAsia" w:eastAsiaTheme="minorEastAsia" w:cstheme="minorEastAsia"/>
          <w:b/>
          <w:color w:val="auto"/>
          <w:sz w:val="30"/>
          <w:szCs w:val="30"/>
          <w:highlight w:val="none"/>
        </w:rPr>
        <w:sectPr>
          <w:pgSz w:w="11905" w:h="16838"/>
          <w:pgMar w:top="1440" w:right="1080" w:bottom="1440" w:left="1080" w:header="720" w:footer="720" w:gutter="0"/>
          <w:cols w:space="0" w:num="1"/>
        </w:sectPr>
      </w:pPr>
    </w:p>
    <w:p w14:paraId="280F3098">
      <w:pPr>
        <w:pStyle w:val="3"/>
        <w:shd w:val="clear"/>
        <w:wordWrap w:val="0"/>
        <w:spacing w:before="0" w:after="0" w:line="336" w:lineRule="auto"/>
        <w:jc w:val="center"/>
        <w:rPr>
          <w:rFonts w:asciiTheme="minorEastAsia" w:hAnsiTheme="minorEastAsia" w:eastAsiaTheme="minorEastAsia" w:cstheme="minorEastAsia"/>
          <w:b w:val="0"/>
          <w:color w:val="auto"/>
          <w:highlight w:val="none"/>
        </w:rPr>
      </w:pPr>
      <w:bookmarkStart w:id="58" w:name="_Toc80205940"/>
      <w:bookmarkStart w:id="59" w:name="_Toc1397"/>
      <w:r>
        <w:rPr>
          <w:rFonts w:hint="eastAsia" w:asciiTheme="minorEastAsia" w:hAnsiTheme="minorEastAsia" w:eastAsiaTheme="minorEastAsia" w:cstheme="minorEastAsia"/>
          <w:b w:val="0"/>
          <w:bCs w:val="0"/>
          <w:color w:val="auto"/>
          <w:highlight w:val="none"/>
        </w:rPr>
        <w:t xml:space="preserve">第三节 </w:t>
      </w:r>
      <w:r>
        <w:rPr>
          <w:rFonts w:hint="eastAsia" w:asciiTheme="minorEastAsia" w:hAnsiTheme="minorEastAsia" w:eastAsiaTheme="minorEastAsia" w:cstheme="minorEastAsia"/>
          <w:b w:val="0"/>
          <w:color w:val="auto"/>
          <w:highlight w:val="none"/>
        </w:rPr>
        <w:t>商务技术文件格式</w:t>
      </w:r>
      <w:bookmarkEnd w:id="58"/>
      <w:bookmarkEnd w:id="59"/>
    </w:p>
    <w:p w14:paraId="29E00BA6">
      <w:pPr>
        <w:shd w:val="clear"/>
        <w:wordWrap w:val="0"/>
        <w:snapToGrid w:val="0"/>
        <w:spacing w:line="336" w:lineRule="auto"/>
        <w:rPr>
          <w:rFonts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全流程电子文件</w:t>
      </w:r>
    </w:p>
    <w:p w14:paraId="3EEDCB62">
      <w:pPr>
        <w:shd w:val="clear"/>
        <w:wordWrap w:val="0"/>
        <w:snapToGrid w:val="0"/>
        <w:spacing w:line="336" w:lineRule="auto"/>
        <w:rPr>
          <w:rFonts w:asciiTheme="minorEastAsia" w:hAnsiTheme="minorEastAsia" w:eastAsiaTheme="minorEastAsia" w:cstheme="minorEastAsia"/>
          <w:color w:val="auto"/>
          <w:sz w:val="24"/>
          <w:szCs w:val="20"/>
          <w:highlight w:val="none"/>
        </w:rPr>
      </w:pPr>
    </w:p>
    <w:p w14:paraId="04D4EE4C">
      <w:pPr>
        <w:shd w:val="clear"/>
        <w:wordWrap w:val="0"/>
        <w:snapToGrid w:val="0"/>
        <w:spacing w:line="336" w:lineRule="auto"/>
        <w:rPr>
          <w:rFonts w:asciiTheme="minorEastAsia" w:hAnsiTheme="minorEastAsia" w:eastAsiaTheme="minorEastAsia" w:cstheme="minorEastAsia"/>
          <w:color w:val="auto"/>
          <w:sz w:val="24"/>
          <w:szCs w:val="20"/>
          <w:highlight w:val="none"/>
        </w:rPr>
      </w:pPr>
    </w:p>
    <w:p w14:paraId="7FC0E1CC">
      <w:pPr>
        <w:shd w:val="clear"/>
        <w:wordWrap w:val="0"/>
        <w:snapToGrid w:val="0"/>
        <w:spacing w:line="336" w:lineRule="auto"/>
        <w:rPr>
          <w:rFonts w:asciiTheme="minorEastAsia" w:hAnsiTheme="minorEastAsia" w:eastAsiaTheme="minorEastAsia" w:cstheme="minorEastAsia"/>
          <w:color w:val="auto"/>
          <w:sz w:val="24"/>
          <w:szCs w:val="20"/>
          <w:highlight w:val="none"/>
        </w:rPr>
      </w:pPr>
    </w:p>
    <w:p w14:paraId="616285A0">
      <w:pPr>
        <w:shd w:val="clear"/>
        <w:wordWrap w:val="0"/>
        <w:snapToGrid w:val="0"/>
        <w:spacing w:line="336" w:lineRule="auto"/>
        <w:jc w:val="center"/>
        <w:rPr>
          <w:rFonts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商  务  技  术  文  件（封面）</w:t>
      </w:r>
    </w:p>
    <w:p w14:paraId="38C90DDF">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73DAEA7F">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447F2ADF">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312097B7">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7532E0B8">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47F42EC9">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 xml:space="preserve">项目名称：  </w:t>
      </w:r>
    </w:p>
    <w:p w14:paraId="42CCB990">
      <w:pPr>
        <w:shd w:val="clear"/>
        <w:wordWrap w:val="0"/>
        <w:snapToGrid w:val="0"/>
        <w:spacing w:line="336" w:lineRule="auto"/>
        <w:ind w:firstLine="480" w:firstLineChars="150"/>
        <w:rPr>
          <w:rFonts w:asciiTheme="minorEastAsia" w:hAnsiTheme="minorEastAsia" w:eastAsiaTheme="minorEastAsia" w:cstheme="minorEastAsia"/>
          <w:bCs/>
          <w:color w:val="auto"/>
          <w:sz w:val="32"/>
          <w:szCs w:val="32"/>
          <w:highlight w:val="none"/>
        </w:rPr>
      </w:pPr>
    </w:p>
    <w:p w14:paraId="0E384720">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 xml:space="preserve">项目编号：  </w:t>
      </w:r>
    </w:p>
    <w:p w14:paraId="3C15A639">
      <w:pPr>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 xml:space="preserve"> </w:t>
      </w:r>
    </w:p>
    <w:p w14:paraId="25A5186A">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所响应分标（如有则填写，无分标时填写“无”或者留空）：</w:t>
      </w:r>
    </w:p>
    <w:p w14:paraId="75A2E2FD">
      <w:pPr>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p>
    <w:p w14:paraId="09F41C07">
      <w:pPr>
        <w:pStyle w:val="6"/>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供应商名称：</w:t>
      </w:r>
    </w:p>
    <w:p w14:paraId="30C137EE">
      <w:pPr>
        <w:pStyle w:val="6"/>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p>
    <w:p w14:paraId="31D6A2C4">
      <w:pPr>
        <w:pStyle w:val="6"/>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p>
    <w:p w14:paraId="6290616C">
      <w:pPr>
        <w:pStyle w:val="6"/>
        <w:shd w:val="clear"/>
        <w:wordWrap w:val="0"/>
        <w:snapToGrid w:val="0"/>
        <w:spacing w:line="336" w:lineRule="auto"/>
        <w:ind w:firstLine="1280" w:firstLineChars="400"/>
        <w:rPr>
          <w:rFonts w:asciiTheme="minorEastAsia" w:hAnsiTheme="minorEastAsia" w:eastAsiaTheme="minorEastAsia" w:cstheme="minorEastAsia"/>
          <w:bCs/>
          <w:color w:val="auto"/>
          <w:sz w:val="32"/>
          <w:szCs w:val="32"/>
          <w:highlight w:val="none"/>
        </w:rPr>
      </w:pPr>
    </w:p>
    <w:p w14:paraId="75EB2812">
      <w:pPr>
        <w:shd w:val="clear"/>
        <w:wordWrap w:val="0"/>
        <w:snapToGrid w:val="0"/>
        <w:spacing w:line="336"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年    月    日</w:t>
      </w:r>
    </w:p>
    <w:p w14:paraId="4212F01C">
      <w:pPr>
        <w:shd w:val="clear"/>
        <w:wordWrap w:val="0"/>
        <w:snapToGrid w:val="0"/>
        <w:spacing w:line="336" w:lineRule="auto"/>
        <w:ind w:left="142" w:firstLine="643" w:firstLineChars="200"/>
        <w:jc w:val="left"/>
        <w:rPr>
          <w:rFonts w:asciiTheme="minorEastAsia" w:hAnsiTheme="minorEastAsia" w:eastAsiaTheme="minorEastAsia" w:cstheme="minorEastAsia"/>
          <w:b/>
          <w:bCs/>
          <w:color w:val="auto"/>
          <w:sz w:val="32"/>
          <w:szCs w:val="32"/>
          <w:highlight w:val="none"/>
        </w:rPr>
        <w:sectPr>
          <w:pgSz w:w="11905" w:h="16838"/>
          <w:pgMar w:top="1440" w:right="1080" w:bottom="1440" w:left="1080" w:header="720" w:footer="720" w:gutter="0"/>
          <w:cols w:space="0" w:num="1"/>
        </w:sectPr>
      </w:pPr>
    </w:p>
    <w:p w14:paraId="2F7CE559">
      <w:pPr>
        <w:shd w:val="clear"/>
        <w:wordWrap w:val="0"/>
        <w:spacing w:line="336" w:lineRule="auto"/>
        <w:jc w:val="center"/>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商务技术文件目录</w:t>
      </w:r>
    </w:p>
    <w:p w14:paraId="17030458">
      <w:pPr>
        <w:shd w:val="clear"/>
        <w:wordWrap w:val="0"/>
        <w:spacing w:line="336" w:lineRule="auto"/>
        <w:jc w:val="center"/>
        <w:rPr>
          <w:rFonts w:asciiTheme="minorEastAsia" w:hAnsiTheme="minorEastAsia" w:eastAsiaTheme="minorEastAsia" w:cstheme="minorEastAsia"/>
          <w:b/>
          <w:color w:val="auto"/>
          <w:kern w:val="0"/>
          <w:sz w:val="28"/>
          <w:szCs w:val="28"/>
          <w:highlight w:val="none"/>
        </w:rPr>
      </w:pPr>
    </w:p>
    <w:p w14:paraId="537B50BF">
      <w:pPr>
        <w:pStyle w:val="30"/>
        <w:shd w:val="clear"/>
        <w:wordWrap w:val="0"/>
        <w:spacing w:line="336"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一、无串标行为承诺函………………………………………………………（页码）</w:t>
      </w:r>
    </w:p>
    <w:p w14:paraId="40B0672B">
      <w:pPr>
        <w:pStyle w:val="30"/>
        <w:shd w:val="clear"/>
        <w:wordWrap w:val="0"/>
        <w:spacing w:line="336"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二、法定代表人身份证明及法定代表人有效身份证正反面复印件………（页码）</w:t>
      </w:r>
    </w:p>
    <w:p w14:paraId="5B6EBA7D">
      <w:pPr>
        <w:pStyle w:val="30"/>
        <w:shd w:val="clear"/>
        <w:wordWrap w:val="0"/>
        <w:spacing w:line="336"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三、法定代表人授权委托书（如有委托时）………………………………（页码）</w:t>
      </w:r>
    </w:p>
    <w:p w14:paraId="575F5F64">
      <w:pPr>
        <w:pStyle w:val="30"/>
        <w:shd w:val="clear"/>
        <w:wordWrap w:val="0"/>
        <w:spacing w:line="336"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w:t>
      </w:r>
      <w:r>
        <w:rPr>
          <w:rFonts w:hint="eastAsia" w:asciiTheme="minorEastAsia" w:hAnsiTheme="minorEastAsia" w:eastAsiaTheme="minorEastAsia" w:cstheme="minorEastAsia"/>
          <w:color w:val="auto"/>
          <w:highlight w:val="none"/>
          <w:lang w:val="zh-CN"/>
        </w:rPr>
        <w:t>商务条款偏离表………………………………</w:t>
      </w:r>
      <w:r>
        <w:rPr>
          <w:rFonts w:hint="eastAsia" w:asciiTheme="minorEastAsia" w:hAnsiTheme="minorEastAsia" w:eastAsiaTheme="minorEastAsia" w:cstheme="minorEastAsia"/>
          <w:color w:val="auto"/>
          <w:highlight w:val="none"/>
        </w:rPr>
        <w:t>…………………………（页码）</w:t>
      </w:r>
    </w:p>
    <w:p w14:paraId="6DF6BE04">
      <w:pPr>
        <w:pStyle w:val="30"/>
        <w:shd w:val="clear"/>
        <w:wordWrap w:val="0"/>
        <w:spacing w:line="336" w:lineRule="auto"/>
        <w:rPr>
          <w:rFonts w:asciiTheme="minorEastAsia" w:hAnsiTheme="minorEastAsia" w:eastAsiaTheme="minorEastAsia" w:cstheme="minorEastAsia"/>
          <w:color w:val="auto"/>
          <w:highlight w:val="none"/>
        </w:rPr>
      </w:pPr>
      <w:bookmarkStart w:id="60" w:name="OLE_LINK7"/>
      <w:bookmarkStart w:id="61" w:name="OLE_LINK6"/>
      <w:bookmarkStart w:id="62" w:name="OLE_LINK5"/>
      <w:r>
        <w:rPr>
          <w:rFonts w:hint="eastAsia" w:asciiTheme="minorEastAsia" w:hAnsiTheme="minorEastAsia" w:eastAsiaTheme="minorEastAsia" w:cstheme="minorEastAsia"/>
          <w:color w:val="auto"/>
          <w:highlight w:val="none"/>
        </w:rPr>
        <w:t>五、磋商供应商情况介绍</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08FB127E">
      <w:pPr>
        <w:pStyle w:val="30"/>
        <w:shd w:val="clear"/>
        <w:wordWrap w:val="0"/>
        <w:spacing w:line="336"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六、供应商类似业绩的证明文件（如有要求）</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bookmarkEnd w:id="60"/>
      <w:bookmarkEnd w:id="61"/>
    </w:p>
    <w:bookmarkEnd w:id="62"/>
    <w:p w14:paraId="1E11B6AF">
      <w:pPr>
        <w:pStyle w:val="30"/>
        <w:shd w:val="clear"/>
        <w:wordWrap w:val="0"/>
        <w:spacing w:line="336"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七、服务需求偏离表…………………………………………………………（页码）</w:t>
      </w:r>
    </w:p>
    <w:p w14:paraId="144C8E77">
      <w:pPr>
        <w:pStyle w:val="30"/>
        <w:shd w:val="clear"/>
        <w:wordWrap w:val="0"/>
        <w:spacing w:line="336"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八、组织服务方案……………………………………………………………（页码）</w:t>
      </w:r>
    </w:p>
    <w:p w14:paraId="05F5A381">
      <w:pPr>
        <w:pStyle w:val="30"/>
        <w:shd w:val="clear"/>
        <w:wordWrap w:val="0"/>
        <w:spacing w:line="336"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九、售后服务方案………………………………</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6CD8A40D">
      <w:pPr>
        <w:pStyle w:val="30"/>
        <w:shd w:val="clear"/>
        <w:wordWrap w:val="0"/>
        <w:spacing w:line="336"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w:t>
      </w:r>
      <w:r>
        <w:rPr>
          <w:rFonts w:hint="eastAsia" w:asciiTheme="minorEastAsia" w:hAnsiTheme="minorEastAsia" w:eastAsiaTheme="minorEastAsia" w:cstheme="minorEastAsia"/>
          <w:color w:val="auto"/>
          <w:highlight w:val="none"/>
          <w:lang w:val="zh-CN"/>
        </w:rPr>
        <w:t>项目实施人员一览表………………………………</w:t>
      </w:r>
      <w:r>
        <w:rPr>
          <w:rFonts w:hint="eastAsia" w:asciiTheme="minorEastAsia" w:hAnsiTheme="minorEastAsia" w:eastAsiaTheme="minorEastAsia" w:cstheme="minorEastAsia"/>
          <w:color w:val="auto"/>
          <w:highlight w:val="none"/>
        </w:rPr>
        <w:t>……………………（页码）</w:t>
      </w:r>
    </w:p>
    <w:p w14:paraId="7568FD5F">
      <w:pPr>
        <w:pStyle w:val="30"/>
        <w:shd w:val="clear"/>
        <w:wordWrap w:val="0"/>
        <w:spacing w:line="336"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十一、服务需求、商务条款要求提供的其他材料</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41A67367">
      <w:pPr>
        <w:shd w:val="clear"/>
        <w:wordWrap w:val="0"/>
        <w:spacing w:line="336"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注：以上目录是基本格式要求，各供应商可根据自身情况进一步向下增加内容或细化。</w:t>
      </w:r>
    </w:p>
    <w:p w14:paraId="36985014">
      <w:pPr>
        <w:shd w:val="clear"/>
        <w:wordWrap w:val="0"/>
        <w:spacing w:line="336" w:lineRule="auto"/>
        <w:rPr>
          <w:rFonts w:asciiTheme="minorEastAsia" w:hAnsiTheme="minorEastAsia" w:eastAsiaTheme="minorEastAsia" w:cstheme="minorEastAsia"/>
          <w:color w:val="auto"/>
          <w:sz w:val="32"/>
          <w:szCs w:val="32"/>
          <w:highlight w:val="none"/>
        </w:rPr>
      </w:pPr>
    </w:p>
    <w:p w14:paraId="0C42ABEE">
      <w:pPr>
        <w:shd w:val="clear"/>
        <w:wordWrap w:val="0"/>
        <w:spacing w:line="336" w:lineRule="auto"/>
        <w:ind w:firstLine="880" w:firstLineChars="200"/>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br w:type="page"/>
      </w:r>
      <w:r>
        <w:rPr>
          <w:rFonts w:hint="eastAsia" w:asciiTheme="minorEastAsia" w:hAnsiTheme="minorEastAsia" w:eastAsiaTheme="minorEastAsia" w:cstheme="minorEastAsia"/>
          <w:b/>
          <w:color w:val="auto"/>
          <w:sz w:val="30"/>
          <w:szCs w:val="30"/>
          <w:highlight w:val="none"/>
        </w:rPr>
        <w:t>一、无串通响应行为的承诺函</w:t>
      </w:r>
    </w:p>
    <w:p w14:paraId="2BF4EF06">
      <w:pPr>
        <w:shd w:val="clear"/>
        <w:wordWrap w:val="0"/>
        <w:spacing w:line="336"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44"/>
          <w:szCs w:val="44"/>
          <w:highlight w:val="none"/>
        </w:rPr>
        <w:t>无串通响应行为的承诺函</w:t>
      </w:r>
    </w:p>
    <w:p w14:paraId="0DB0C4D4">
      <w:pPr>
        <w:shd w:val="clear"/>
        <w:wordWrap w:val="0"/>
        <w:spacing w:line="336" w:lineRule="auto"/>
        <w:ind w:firstLine="482" w:firstLineChars="200"/>
        <w:contextualSpacing/>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一、我方承诺无下列相互串通响应的情形：</w:t>
      </w:r>
    </w:p>
    <w:p w14:paraId="44ABCD76">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1.不同供应商的响应文件由同一单位或者个人编制；或者不同供应商报名的IP地址一致的；或者编制响应文件硬件设备CPU编号、硬盘编号、网卡地址一致的情况； </w:t>
      </w:r>
    </w:p>
    <w:p w14:paraId="6A4AFE87">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2.不同供应商委托同一单位或者个人办理响应事宜；</w:t>
      </w:r>
    </w:p>
    <w:p w14:paraId="6FF97927">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3.不同供应商的响应文件载明的项目管理员为同一个人；</w:t>
      </w:r>
    </w:p>
    <w:p w14:paraId="228BC1C4">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4.不</w:t>
      </w:r>
      <w:r>
        <w:rPr>
          <w:rFonts w:hint="eastAsia" w:asciiTheme="minorEastAsia" w:hAnsiTheme="minorEastAsia" w:eastAsiaTheme="minorEastAsia" w:cstheme="minorEastAsia"/>
          <w:color w:val="auto"/>
          <w:spacing w:val="-6"/>
          <w:sz w:val="24"/>
          <w:highlight w:val="none"/>
        </w:rPr>
        <w:t>同供应商的响应文件异常一致或者响应报价呈规律性差异；</w:t>
      </w:r>
    </w:p>
    <w:p w14:paraId="2A084EE0">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5.不同供应商的响应文件相互混装；</w:t>
      </w:r>
    </w:p>
    <w:p w14:paraId="32696B42">
      <w:pPr>
        <w:shd w:val="clear"/>
        <w:wordWrap w:val="0"/>
        <w:spacing w:line="336" w:lineRule="auto"/>
        <w:ind w:firstLine="480" w:firstLineChars="200"/>
        <w:contextualSpacing/>
        <w:rPr>
          <w:color w:val="auto"/>
          <w:highlight w:val="none"/>
        </w:rPr>
      </w:pPr>
      <w:r>
        <w:rPr>
          <w:rFonts w:hint="eastAsia" w:asciiTheme="minorEastAsia" w:hAnsiTheme="minorEastAsia" w:eastAsiaTheme="minorEastAsia" w:cstheme="minorEastAsia"/>
          <w:color w:val="auto"/>
          <w:sz w:val="24"/>
          <w:highlight w:val="none"/>
        </w:rPr>
        <w:t>6.不同供应商的磋商保证金从同一单位或者个人账户转出。</w:t>
      </w:r>
    </w:p>
    <w:p w14:paraId="2FA82421">
      <w:pPr>
        <w:shd w:val="clear"/>
        <w:wordWrap w:val="0"/>
        <w:spacing w:line="336" w:lineRule="auto"/>
        <w:ind w:firstLine="482" w:firstLineChars="200"/>
        <w:contextualSpacing/>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二、我方承诺无下列恶意串通的情形：</w:t>
      </w:r>
    </w:p>
    <w:p w14:paraId="7B5C41A6">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1.供应商直接或者间接从采购人或者采购代理机构处获得其他供应商的相关信息并修改其响应文件；</w:t>
      </w:r>
    </w:p>
    <w:p w14:paraId="163115EC">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2.供应商按照采购人或者采购代理机构的授意撤换、修改响应文件；</w:t>
      </w:r>
    </w:p>
    <w:p w14:paraId="68918D4D">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w:t>
      </w:r>
      <w:r>
        <w:rPr>
          <w:rFonts w:hint="eastAsia" w:asciiTheme="minorEastAsia" w:hAnsiTheme="minorEastAsia" w:eastAsiaTheme="minorEastAsia" w:cstheme="minorEastAsia"/>
          <w:color w:val="auto"/>
          <w:spacing w:val="-6"/>
          <w:sz w:val="24"/>
          <w:highlight w:val="none"/>
        </w:rPr>
        <w:t>应商之间协商报价、技术方案等响应文件的实质性内容；</w:t>
      </w:r>
    </w:p>
    <w:p w14:paraId="7E0E5E92">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4.属于同一集团、协会、商会等组织成员的供应商按照该组织要求协同参加政府采购活动；</w:t>
      </w:r>
    </w:p>
    <w:p w14:paraId="2FCCA947">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5.供应商之间事先约定一致抬高或者压低响应报价，或者在竞争性磋商项目中事先约定轮流以高价位或者低价位成交，或者事先约定由某一特定供应商成交，然后再参加响应；</w:t>
      </w:r>
    </w:p>
    <w:p w14:paraId="6FE743BB">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6.供应商之间商定部分供应商放弃参加政府采购活动或者放弃成交；</w:t>
      </w:r>
    </w:p>
    <w:p w14:paraId="6BFB9512">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7.供应商与采购人或者采购代理机构之间、供应商相互之间，为</w:t>
      </w:r>
      <w:r>
        <w:rPr>
          <w:rFonts w:hint="eastAsia" w:asciiTheme="minorEastAsia" w:hAnsiTheme="minorEastAsia" w:eastAsiaTheme="minorEastAsia" w:cstheme="minorEastAsia"/>
          <w:color w:val="auto"/>
          <w:spacing w:val="-6"/>
          <w:sz w:val="24"/>
          <w:highlight w:val="none"/>
        </w:rPr>
        <w:t>谋求特定供应商成交或者排斥其他供应商的其他串通行为。</w:t>
      </w:r>
    </w:p>
    <w:p w14:paraId="11AB1BC3">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p>
    <w:p w14:paraId="009D3CCB">
      <w:pPr>
        <w:shd w:val="clear"/>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以上情形一经核查属实，接受政府采购监管部门对我方认定存在围标串标行为，我方愿意承担一切后果，并不再寻求任何旨在减轻或者免除法律责任的辩解。</w:t>
      </w:r>
    </w:p>
    <w:p w14:paraId="04BF2E4D">
      <w:pPr>
        <w:shd w:val="clear"/>
        <w:wordWrap w:val="0"/>
        <w:autoSpaceDE w:val="0"/>
        <w:autoSpaceDN w:val="0"/>
        <w:spacing w:line="336" w:lineRule="auto"/>
        <w:ind w:left="10" w:leftChars="5" w:firstLine="4221" w:firstLineChars="1759"/>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5F68734D">
      <w:pPr>
        <w:shd w:val="clear"/>
        <w:wordWrap w:val="0"/>
        <w:spacing w:line="336" w:lineRule="auto"/>
        <w:ind w:left="239" w:leftChars="114" w:firstLine="6120" w:firstLineChars="2550"/>
        <w:jc w:val="left"/>
        <w:rPr>
          <w:rFonts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color w:val="auto"/>
          <w:kern w:val="0"/>
          <w:sz w:val="24"/>
          <w:highlight w:val="none"/>
          <w:lang w:val="zh-CN"/>
        </w:rPr>
        <w:t xml:space="preserve">日期：  年  月   日   </w:t>
      </w:r>
      <w:r>
        <w:rPr>
          <w:rFonts w:hint="eastAsia" w:asciiTheme="minorEastAsia" w:hAnsiTheme="minorEastAsia" w:eastAsiaTheme="minorEastAsia" w:cstheme="minorEastAsia"/>
          <w:b/>
          <w:bCs/>
          <w:color w:val="auto"/>
          <w:sz w:val="32"/>
          <w:szCs w:val="32"/>
          <w:highlight w:val="none"/>
        </w:rPr>
        <w:br w:type="page"/>
      </w:r>
      <w:r>
        <w:rPr>
          <w:rFonts w:hint="eastAsia" w:asciiTheme="minorEastAsia" w:hAnsiTheme="minorEastAsia" w:eastAsiaTheme="minorEastAsia" w:cstheme="minorEastAsia"/>
          <w:b/>
          <w:color w:val="auto"/>
          <w:sz w:val="30"/>
          <w:szCs w:val="30"/>
          <w:highlight w:val="none"/>
        </w:rPr>
        <w:t>二、法定代表人身份证明及法定代表人有效身份证正反面复印件</w:t>
      </w:r>
    </w:p>
    <w:p w14:paraId="2D43EDA7">
      <w:pPr>
        <w:shd w:val="clear"/>
        <w:wordWrap w:val="0"/>
        <w:spacing w:line="336"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Cs/>
          <w:color w:val="auto"/>
          <w:sz w:val="44"/>
          <w:szCs w:val="44"/>
          <w:highlight w:val="none"/>
        </w:rPr>
        <w:t>法定代表人证明书</w:t>
      </w:r>
    </w:p>
    <w:p w14:paraId="5ACED0B6">
      <w:pPr>
        <w:shd w:val="clear"/>
        <w:wordWrap w:val="0"/>
        <w:spacing w:line="336" w:lineRule="auto"/>
        <w:ind w:left="540"/>
        <w:contextualSpacing/>
        <w:rPr>
          <w:rFonts w:asciiTheme="minorEastAsia" w:hAnsiTheme="minorEastAsia" w:eastAsiaTheme="minorEastAsia" w:cstheme="minorEastAsia"/>
          <w:color w:val="auto"/>
          <w:sz w:val="32"/>
          <w:szCs w:val="32"/>
          <w:highlight w:val="none"/>
        </w:rPr>
      </w:pPr>
    </w:p>
    <w:p w14:paraId="397A0B2B">
      <w:pPr>
        <w:shd w:val="clear"/>
        <w:wordWrap w:val="0"/>
        <w:spacing w:line="336" w:lineRule="auto"/>
        <w:ind w:left="54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w:t>
      </w:r>
      <w:r>
        <w:rPr>
          <w:rFonts w:hint="eastAsia" w:asciiTheme="minorEastAsia" w:hAnsiTheme="minorEastAsia" w:eastAsiaTheme="minorEastAsia" w:cstheme="minorEastAsia"/>
          <w:color w:val="auto"/>
          <w:sz w:val="24"/>
          <w:highlight w:val="none"/>
          <w:u w:val="single"/>
        </w:rPr>
        <w:t xml:space="preserve">                                                        </w:t>
      </w:r>
    </w:p>
    <w:p w14:paraId="19A2270D">
      <w:pPr>
        <w:shd w:val="clear"/>
        <w:wordWrap w:val="0"/>
        <w:spacing w:line="336" w:lineRule="auto"/>
        <w:ind w:left="54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single"/>
        </w:rPr>
        <w:t xml:space="preserve">                                                        </w:t>
      </w:r>
    </w:p>
    <w:p w14:paraId="4012C1E1">
      <w:pPr>
        <w:shd w:val="clear"/>
        <w:wordWrap w:val="0"/>
        <w:spacing w:line="336" w:lineRule="auto"/>
        <w:ind w:left="54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    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性     别：</w:t>
      </w:r>
      <w:r>
        <w:rPr>
          <w:rFonts w:hint="eastAsia" w:asciiTheme="minorEastAsia" w:hAnsiTheme="minorEastAsia" w:eastAsiaTheme="minorEastAsia" w:cstheme="minorEastAsia"/>
          <w:color w:val="auto"/>
          <w:sz w:val="24"/>
          <w:highlight w:val="none"/>
          <w:u w:val="single"/>
        </w:rPr>
        <w:t xml:space="preserve">                </w:t>
      </w:r>
    </w:p>
    <w:p w14:paraId="10C7330D">
      <w:pPr>
        <w:shd w:val="clear"/>
        <w:wordWrap w:val="0"/>
        <w:spacing w:line="336" w:lineRule="auto"/>
        <w:ind w:left="540"/>
        <w:contextualSpacing/>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年    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     务：</w:t>
      </w:r>
      <w:r>
        <w:rPr>
          <w:rFonts w:hint="eastAsia" w:asciiTheme="minorEastAsia" w:hAnsiTheme="minorEastAsia" w:eastAsiaTheme="minorEastAsia" w:cstheme="minorEastAsia"/>
          <w:color w:val="auto"/>
          <w:sz w:val="24"/>
          <w:highlight w:val="none"/>
          <w:u w:val="single"/>
        </w:rPr>
        <w:t xml:space="preserve">                </w:t>
      </w:r>
    </w:p>
    <w:p w14:paraId="421585AC">
      <w:pPr>
        <w:shd w:val="clear"/>
        <w:wordWrap w:val="0"/>
        <w:spacing w:line="336" w:lineRule="auto"/>
        <w:ind w:left="54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身份证号码：</w:t>
      </w:r>
      <w:r>
        <w:rPr>
          <w:rFonts w:hint="eastAsia" w:asciiTheme="minorEastAsia" w:hAnsiTheme="minorEastAsia" w:eastAsiaTheme="minorEastAsia" w:cstheme="minorEastAsia"/>
          <w:color w:val="auto"/>
          <w:sz w:val="24"/>
          <w:highlight w:val="none"/>
          <w:u w:val="single"/>
        </w:rPr>
        <w:t xml:space="preserve">                                        </w:t>
      </w:r>
    </w:p>
    <w:p w14:paraId="283903AE">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（供应商名称）</w:t>
      </w:r>
      <w:r>
        <w:rPr>
          <w:rFonts w:hint="eastAsia" w:asciiTheme="minorEastAsia" w:hAnsiTheme="minorEastAsia" w:eastAsiaTheme="minorEastAsia" w:cstheme="minorEastAsia"/>
          <w:color w:val="auto"/>
          <w:sz w:val="24"/>
          <w:highlight w:val="none"/>
        </w:rPr>
        <w:t>的法定代表人。</w:t>
      </w:r>
    </w:p>
    <w:p w14:paraId="7BD4CA4A">
      <w:pPr>
        <w:shd w:val="clear"/>
        <w:wordWrap w:val="0"/>
        <w:spacing w:line="336" w:lineRule="auto"/>
        <w:ind w:left="54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14:paraId="7078E25C">
      <w:pPr>
        <w:shd w:val="clear"/>
        <w:wordWrap w:val="0"/>
        <w:spacing w:line="336" w:lineRule="auto"/>
        <w:ind w:left="540"/>
        <w:contextualSpacing/>
        <w:rPr>
          <w:rFonts w:asciiTheme="minorEastAsia" w:hAnsiTheme="minorEastAsia" w:eastAsiaTheme="minorEastAsia" w:cstheme="minorEastAsia"/>
          <w:color w:val="auto"/>
          <w:sz w:val="24"/>
          <w:highlight w:val="none"/>
        </w:rPr>
      </w:pPr>
    </w:p>
    <w:p w14:paraId="1F31D8AE">
      <w:pPr>
        <w:shd w:val="clear"/>
        <w:wordWrap w:val="0"/>
        <w:spacing w:line="336" w:lineRule="auto"/>
        <w:ind w:left="540"/>
        <w:contextualSpacing/>
        <w:rPr>
          <w:rFonts w:asciiTheme="minorEastAsia" w:hAnsiTheme="minorEastAsia" w:eastAsiaTheme="minorEastAsia" w:cstheme="minorEastAsia"/>
          <w:color w:val="auto"/>
          <w:sz w:val="24"/>
          <w:highlight w:val="none"/>
        </w:rPr>
      </w:pPr>
    </w:p>
    <w:p w14:paraId="3C55CEC6">
      <w:pPr>
        <w:shd w:val="clear"/>
        <w:wordWrap w:val="0"/>
        <w:spacing w:line="336" w:lineRule="auto"/>
        <w:ind w:left="540"/>
        <w:contextualSpacing/>
        <w:rPr>
          <w:rFonts w:asciiTheme="minorEastAsia" w:hAnsiTheme="minorEastAsia" w:eastAsiaTheme="minorEastAsia" w:cstheme="minorEastAsia"/>
          <w:color w:val="auto"/>
          <w:sz w:val="24"/>
          <w:highlight w:val="none"/>
        </w:rPr>
      </w:pPr>
    </w:p>
    <w:p w14:paraId="1385C606">
      <w:pPr>
        <w:shd w:val="clear"/>
        <w:wordWrap w:val="0"/>
        <w:spacing w:line="336" w:lineRule="auto"/>
        <w:ind w:left="54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附件：法定代表人有效身份证正反面复印件</w:t>
      </w:r>
    </w:p>
    <w:p w14:paraId="5EE1A122">
      <w:pPr>
        <w:shd w:val="clear"/>
        <w:wordWrap w:val="0"/>
        <w:spacing w:line="336" w:lineRule="auto"/>
        <w:ind w:left="540"/>
        <w:contextualSpacing/>
        <w:rPr>
          <w:rFonts w:asciiTheme="minorEastAsia" w:hAnsiTheme="minorEastAsia" w:eastAsiaTheme="minorEastAsia" w:cstheme="minorEastAsia"/>
          <w:color w:val="auto"/>
          <w:sz w:val="24"/>
          <w:highlight w:val="none"/>
        </w:rPr>
      </w:pPr>
    </w:p>
    <w:p w14:paraId="4BFA9A37">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4B3EB5B2">
      <w:pPr>
        <w:shd w:val="clear"/>
        <w:wordWrap w:val="0"/>
        <w:spacing w:line="336" w:lineRule="auto"/>
        <w:contextualSpacing/>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 xml:space="preserve">                                                   日期：  年  月   日</w:t>
      </w:r>
    </w:p>
    <w:p w14:paraId="258665EE">
      <w:pPr>
        <w:shd w:val="clear"/>
        <w:wordWrap w:val="0"/>
        <w:spacing w:line="336" w:lineRule="auto"/>
        <w:contextualSpacing/>
        <w:jc w:val="left"/>
        <w:rPr>
          <w:rFonts w:asciiTheme="minorEastAsia" w:hAnsiTheme="minorEastAsia" w:eastAsiaTheme="minorEastAsia" w:cstheme="minorEastAsia"/>
          <w:color w:val="auto"/>
          <w:sz w:val="24"/>
          <w:highlight w:val="none"/>
        </w:rPr>
      </w:pPr>
    </w:p>
    <w:p w14:paraId="327D166F">
      <w:pPr>
        <w:shd w:val="clear"/>
        <w:wordWrap w:val="0"/>
        <w:spacing w:line="336" w:lineRule="auto"/>
        <w:contextualSpacing/>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注：1.自然人响应的无需提供，联合体响应的只需牵头人出具。</w:t>
      </w:r>
    </w:p>
    <w:p w14:paraId="31F0E91A">
      <w:pPr>
        <w:shd w:val="clear"/>
        <w:wordWrap w:val="0"/>
        <w:spacing w:line="336" w:lineRule="auto"/>
        <w:ind w:firstLine="480" w:firstLineChars="200"/>
        <w:contextualSpacing/>
        <w:jc w:val="left"/>
        <w:rPr>
          <w:rFonts w:asciiTheme="minorEastAsia" w:hAnsiTheme="minorEastAsia" w:eastAsiaTheme="minorEastAsia" w:cstheme="minorEastAsia"/>
          <w:color w:val="auto"/>
          <w:sz w:val="24"/>
          <w:highlight w:val="none"/>
        </w:rPr>
        <w:sectPr>
          <w:pgSz w:w="11905" w:h="16838"/>
          <w:pgMar w:top="1440" w:right="1080" w:bottom="1440" w:left="1080" w:header="720" w:footer="720" w:gutter="0"/>
          <w:cols w:space="0" w:num="1"/>
        </w:sectPr>
      </w:pPr>
      <w:r>
        <w:rPr>
          <w:rFonts w:hint="eastAsia" w:asciiTheme="minorEastAsia" w:hAnsiTheme="minorEastAsia" w:eastAsiaTheme="minorEastAsia" w:cstheme="minorEastAsia"/>
          <w:color w:val="auto"/>
          <w:sz w:val="24"/>
          <w:highlight w:val="none"/>
        </w:rPr>
        <w:t>2.供应商为其他组织或者自然人时，本磋商文件规定的法定代表人指负责人或者自然人。本磋商文件所称负责人是指参加响应的其他组织营业执照上的负责人，本磋商文件所称自然人指参与响应的自然人本人。</w:t>
      </w:r>
    </w:p>
    <w:tbl>
      <w:tblPr>
        <w:tblStyle w:val="21"/>
        <w:tblpPr w:leftFromText="180" w:rightFromText="180" w:vertAnchor="text" w:horzAnchor="margin" w:tblpY="1169"/>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1"/>
      </w:tblGrid>
      <w:tr w14:paraId="6F8D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9961" w:type="dxa"/>
          </w:tcPr>
          <w:p w14:paraId="1C1290B6">
            <w:pPr>
              <w:shd w:val="clear"/>
              <w:wordWrap w:val="0"/>
              <w:spacing w:line="336" w:lineRule="auto"/>
              <w:rPr>
                <w:rFonts w:asciiTheme="minorEastAsia" w:hAnsiTheme="minorEastAsia" w:eastAsiaTheme="minorEastAsia" w:cstheme="minorEastAsia"/>
                <w:b/>
                <w:color w:val="auto"/>
                <w:sz w:val="24"/>
                <w:highlight w:val="none"/>
              </w:rPr>
            </w:pPr>
          </w:p>
          <w:p w14:paraId="0CE99C5D">
            <w:pPr>
              <w:shd w:val="clear"/>
              <w:wordWrap w:val="0"/>
              <w:spacing w:line="336"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法定代表身份证复印件粘帖处（正、反面）</w:t>
            </w:r>
          </w:p>
        </w:tc>
      </w:tr>
    </w:tbl>
    <w:p w14:paraId="2A117237">
      <w:pPr>
        <w:shd w:val="clear"/>
        <w:wordWrap w:val="0"/>
        <w:spacing w:line="336" w:lineRule="auto"/>
        <w:ind w:firstLine="482" w:firstLineChars="200"/>
        <w:contextualSpacing/>
        <w:jc w:val="left"/>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4"/>
          <w:highlight w:val="none"/>
        </w:rPr>
        <w:t>附件：</w:t>
      </w:r>
    </w:p>
    <w:p w14:paraId="05DB89C6">
      <w:pPr>
        <w:shd w:val="clear"/>
        <w:wordWrap w:val="0"/>
        <w:adjustRightInd w:val="0"/>
        <w:snapToGrid w:val="0"/>
        <w:spacing w:line="336" w:lineRule="auto"/>
        <w:jc w:val="left"/>
        <w:rPr>
          <w:rFonts w:asciiTheme="minorEastAsia" w:hAnsiTheme="minorEastAsia" w:eastAsiaTheme="minorEastAsia" w:cstheme="minorEastAsia"/>
          <w:b/>
          <w:color w:val="auto"/>
          <w:szCs w:val="21"/>
          <w:highlight w:val="none"/>
        </w:rPr>
      </w:pPr>
    </w:p>
    <w:p w14:paraId="094569A7">
      <w:pPr>
        <w:shd w:val="clear"/>
        <w:wordWrap w:val="0"/>
        <w:spacing w:line="336" w:lineRule="auto"/>
        <w:ind w:firstLine="880"/>
        <w:jc w:val="left"/>
        <w:rPr>
          <w:rFonts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color w:val="auto"/>
          <w:sz w:val="44"/>
          <w:szCs w:val="44"/>
          <w:highlight w:val="none"/>
        </w:rPr>
        <w:br w:type="page"/>
      </w:r>
      <w:r>
        <w:rPr>
          <w:rFonts w:hint="eastAsia" w:asciiTheme="minorEastAsia" w:hAnsiTheme="minorEastAsia" w:eastAsiaTheme="minorEastAsia" w:cstheme="minorEastAsia"/>
          <w:b/>
          <w:color w:val="auto"/>
          <w:sz w:val="30"/>
          <w:szCs w:val="30"/>
          <w:highlight w:val="none"/>
        </w:rPr>
        <w:t>三、法定代表人授权委托书</w:t>
      </w:r>
    </w:p>
    <w:p w14:paraId="10378F22">
      <w:pPr>
        <w:shd w:val="clear"/>
        <w:wordWrap w:val="0"/>
        <w:spacing w:line="336" w:lineRule="auto"/>
        <w:jc w:val="center"/>
        <w:rPr>
          <w:rFonts w:asciiTheme="minorEastAsia" w:hAnsiTheme="minorEastAsia" w:eastAsiaTheme="minorEastAsia" w:cstheme="minorEastAsia"/>
          <w:color w:val="auto"/>
          <w:sz w:val="44"/>
          <w:szCs w:val="44"/>
          <w:highlight w:val="none"/>
        </w:rPr>
      </w:pPr>
    </w:p>
    <w:p w14:paraId="0002B5C6">
      <w:pPr>
        <w:shd w:val="clear"/>
        <w:wordWrap w:val="0"/>
        <w:spacing w:line="336" w:lineRule="auto"/>
        <w:jc w:val="center"/>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授权委托书（非联合体响应格式）</w:t>
      </w:r>
    </w:p>
    <w:p w14:paraId="5C4FA632">
      <w:pPr>
        <w:shd w:val="clear"/>
        <w:wordWrap w:val="0"/>
        <w:spacing w:line="336"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44"/>
          <w:szCs w:val="44"/>
          <w:highlight w:val="none"/>
        </w:rPr>
        <w:t>（如有委托时）</w:t>
      </w:r>
    </w:p>
    <w:p w14:paraId="386C38E5">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bookmarkStart w:id="63" w:name="PO_3000001920_PM031"/>
      <w:r>
        <w:rPr>
          <w:rFonts w:hint="eastAsia" w:ascii="宋体" w:hAnsi="宋体" w:cs="宋体"/>
          <w:color w:val="auto"/>
          <w:sz w:val="24"/>
          <w:highlight w:val="none"/>
          <w:u w:val="single"/>
        </w:rPr>
        <w:t>广西邕政采购代理有限公司</w:t>
      </w:r>
      <w:bookmarkEnd w:id="63"/>
      <w:r>
        <w:rPr>
          <w:rFonts w:hint="eastAsia" w:asciiTheme="minorEastAsia" w:hAnsiTheme="minorEastAsia" w:eastAsiaTheme="minorEastAsia" w:cstheme="minorEastAsia"/>
          <w:color w:val="auto"/>
          <w:sz w:val="24"/>
          <w:highlight w:val="none"/>
        </w:rPr>
        <w:t>：</w:t>
      </w:r>
    </w:p>
    <w:p w14:paraId="7EF4CF5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w:t>
      </w:r>
      <w:r>
        <w:rPr>
          <w:rFonts w:hint="eastAsia" w:asciiTheme="minorEastAsia" w:hAnsiTheme="minorEastAsia" w:eastAsiaTheme="minorEastAsia" w:cstheme="minorEastAsia"/>
          <w:color w:val="auto"/>
          <w:sz w:val="24"/>
          <w:highlight w:val="none"/>
          <w:u w:val="single"/>
        </w:rPr>
        <w:t xml:space="preserve">  （姓名）  </w:t>
      </w: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（供应商名称）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□法定代表人/□负责人/□自然人本人</w:t>
      </w:r>
      <w:r>
        <w:rPr>
          <w:rFonts w:hint="eastAsia" w:asciiTheme="minorEastAsia" w:hAnsiTheme="minorEastAsia" w:eastAsiaTheme="minorEastAsia" w:cstheme="minorEastAsia"/>
          <w:color w:val="auto"/>
          <w:sz w:val="24"/>
          <w:highlight w:val="none"/>
        </w:rPr>
        <w:t>），现授权</w:t>
      </w:r>
      <w:r>
        <w:rPr>
          <w:rFonts w:hint="eastAsia" w:asciiTheme="minorEastAsia" w:hAnsiTheme="minorEastAsia" w:eastAsiaTheme="minorEastAsia" w:cstheme="minorEastAsia"/>
          <w:color w:val="auto"/>
          <w:sz w:val="24"/>
          <w:highlight w:val="none"/>
          <w:u w:val="single"/>
        </w:rPr>
        <w:t xml:space="preserve"> （姓名） </w:t>
      </w:r>
      <w:r>
        <w:rPr>
          <w:rFonts w:hint="eastAsia" w:asciiTheme="minorEastAsia" w:hAnsiTheme="minorEastAsia" w:eastAsiaTheme="minorEastAsia" w:cstheme="minorEastAsia"/>
          <w:color w:val="auto"/>
          <w:sz w:val="24"/>
          <w:highlight w:val="none"/>
        </w:rPr>
        <w:t>以我方的名义参加</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u w:val="single"/>
          <w:lang w:val="en-US" w:eastAsia="zh-CN"/>
        </w:rPr>
        <w:t>项目名称</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项目的响应活动，并代表我方全权办理针对上述项目的所有采购程序和环节的具体事务和签署相关文件。</w:t>
      </w:r>
    </w:p>
    <w:p w14:paraId="3D76F169">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我方对委托代理人的签字事项负全部责任。</w:t>
      </w:r>
    </w:p>
    <w:p w14:paraId="4EBF0F6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本授权书自签署之日起生效，在撤销授权的书面通知以前，本授权书一直有效。委托代理人在授权书有效期内签署的所有文件不因授权的撤销而失效。</w:t>
      </w:r>
    </w:p>
    <w:p w14:paraId="57609A5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委托代理人无转委托权，特此委托。</w:t>
      </w:r>
    </w:p>
    <w:p w14:paraId="0F036F9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附：法定代表人身份证明书及委托代理人有效身份证正反面复印件</w:t>
      </w:r>
    </w:p>
    <w:p w14:paraId="185CE02A">
      <w:pPr>
        <w:shd w:val="clear"/>
        <w:wordWrap w:val="0"/>
        <w:spacing w:line="336" w:lineRule="auto"/>
        <w:rPr>
          <w:rFonts w:asciiTheme="minorEastAsia" w:hAnsiTheme="minorEastAsia" w:eastAsiaTheme="minorEastAsia" w:cstheme="minorEastAsia"/>
          <w:color w:val="auto"/>
          <w:sz w:val="24"/>
          <w:highlight w:val="none"/>
        </w:rPr>
      </w:pPr>
    </w:p>
    <w:p w14:paraId="05888689">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委托代理人（签字）：         法定代表人（签字或盖章）：                    </w:t>
      </w:r>
    </w:p>
    <w:p w14:paraId="7705954F">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委托代理人身份证号码：                              </w:t>
      </w:r>
    </w:p>
    <w:p w14:paraId="7EE4AE64">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6B4A05DD">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rPr>
        <w:t>供应商名称（电子签章）：</w:t>
      </w:r>
    </w:p>
    <w:p w14:paraId="4DF58550">
      <w:pPr>
        <w:shd w:val="clear"/>
        <w:wordWrap w:val="0"/>
        <w:spacing w:line="336" w:lineRule="auto"/>
        <w:contextualSpacing/>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 xml:space="preserve">                                                   日期：  年  月   日</w:t>
      </w:r>
    </w:p>
    <w:p w14:paraId="3F7509E0">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 法定代表人必须在授权委托书上亲笔签字或盖章，委托代理人必须在授权委托书上亲笔签字，</w:t>
      </w:r>
      <w:r>
        <w:rPr>
          <w:rFonts w:hint="eastAsia" w:asciiTheme="minorEastAsia" w:hAnsiTheme="minorEastAsia" w:eastAsiaTheme="minorEastAsia" w:cstheme="minorEastAsia"/>
          <w:b/>
          <w:color w:val="auto"/>
          <w:sz w:val="24"/>
          <w:highlight w:val="none"/>
        </w:rPr>
        <w:t>否则其响应文件按无效响应处理。</w:t>
      </w:r>
    </w:p>
    <w:p w14:paraId="5D618896">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2.供应商为其他组织或者自然人时，本磋商文件规定的法定代表人指负责人或者自然人。本磋商文件所称负责人是指参加响应的其他组织营业执照上的负责人，本磋商文件所称自然人指参与响应的自然人本人。</w:t>
      </w:r>
    </w:p>
    <w:p w14:paraId="41C16819">
      <w:pPr>
        <w:shd w:val="clear"/>
        <w:wordWrap w:val="0"/>
        <w:spacing w:line="336" w:lineRule="auto"/>
        <w:ind w:firstLine="48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highlight w:val="none"/>
        </w:rPr>
        <w:t>3. 法人、其他组织响应时“我方”是指“我单位”，自然人响应时“我方”是指“本人”。</w:t>
      </w:r>
    </w:p>
    <w:p w14:paraId="34106F64">
      <w:pPr>
        <w:shd w:val="clear"/>
        <w:wordWrap w:val="0"/>
        <w:spacing w:line="336" w:lineRule="auto"/>
        <w:jc w:val="center"/>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color w:val="auto"/>
          <w:sz w:val="44"/>
          <w:szCs w:val="44"/>
          <w:highlight w:val="none"/>
        </w:rPr>
        <w:t>授权委托书（联合体响应格式）</w:t>
      </w:r>
    </w:p>
    <w:p w14:paraId="5858B11F">
      <w:pPr>
        <w:shd w:val="clear"/>
        <w:wordWrap w:val="0"/>
        <w:spacing w:line="336" w:lineRule="auto"/>
        <w:jc w:val="center"/>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（如有委托时）</w:t>
      </w:r>
    </w:p>
    <w:p w14:paraId="08CE1D11">
      <w:pPr>
        <w:shd w:val="clear"/>
        <w:wordWrap w:val="0"/>
        <w:spacing w:line="336" w:lineRule="auto"/>
        <w:jc w:val="center"/>
        <w:rPr>
          <w:rFonts w:asciiTheme="minorEastAsia" w:hAnsiTheme="minorEastAsia" w:eastAsiaTheme="minorEastAsia" w:cstheme="minorEastAsia"/>
          <w:color w:val="auto"/>
          <w:sz w:val="32"/>
          <w:szCs w:val="32"/>
          <w:highlight w:val="none"/>
        </w:rPr>
      </w:pPr>
    </w:p>
    <w:p w14:paraId="69ECB6CF">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本授权委托书声明：根据</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（牵头人名称）与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（联合体其他成员名称）签订的《联合体响应协议书》的内容，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（牵头人名称）的法定代表人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（姓名）现授权</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（姓名）为联合委托代理人，并代表我方全权办理针对上述项目的所有采购程序和环节的具体事务和签署相关文件。</w:t>
      </w:r>
    </w:p>
    <w:p w14:paraId="5A84588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我方对委托代理人的签字事项负全部责任。</w:t>
      </w:r>
    </w:p>
    <w:p w14:paraId="7CEA1BAB">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本授权书自签署之日起生效，在撤销授权的书面通知以前，本授权书一直有效。委托代理人在授权书有效期内签署的所有文件不因授权的撤销而失效。</w:t>
      </w:r>
    </w:p>
    <w:p w14:paraId="50D334A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委托代理人无转委托权，特此委托。</w:t>
      </w:r>
    </w:p>
    <w:p w14:paraId="0F6CDDA0">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2B3DF75D">
      <w:pPr>
        <w:shd w:val="clear"/>
        <w:wordWrap w:val="0"/>
        <w:spacing w:line="336" w:lineRule="auto"/>
        <w:ind w:firstLine="1560" w:firstLineChars="6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牵头人法定代表人（签字或盖章）：</w:t>
      </w:r>
    </w:p>
    <w:p w14:paraId="4926C805">
      <w:pPr>
        <w:shd w:val="clear"/>
        <w:wordWrap w:val="0"/>
        <w:spacing w:line="336" w:lineRule="auto"/>
        <w:ind w:firstLine="3120" w:firstLineChars="1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牵头人（电子签章）：</w:t>
      </w:r>
    </w:p>
    <w:p w14:paraId="0B9BDA19">
      <w:pPr>
        <w:shd w:val="clear"/>
        <w:wordWrap w:val="0"/>
        <w:spacing w:line="336" w:lineRule="auto"/>
        <w:ind w:firstLine="3840" w:firstLineChars="16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    年   月   日</w:t>
      </w:r>
    </w:p>
    <w:p w14:paraId="5BFA31BD">
      <w:pPr>
        <w:shd w:val="clear"/>
        <w:wordWrap w:val="0"/>
        <w:spacing w:line="336" w:lineRule="auto"/>
        <w:rPr>
          <w:rFonts w:asciiTheme="minorEastAsia" w:hAnsiTheme="minorEastAsia" w:eastAsiaTheme="minorEastAsia" w:cstheme="minorEastAsia"/>
          <w:color w:val="auto"/>
          <w:sz w:val="24"/>
          <w:highlight w:val="none"/>
        </w:rPr>
      </w:pPr>
    </w:p>
    <w:p w14:paraId="24776A2C">
      <w:pPr>
        <w:shd w:val="clear"/>
        <w:wordWrap w:val="0"/>
        <w:spacing w:line="336" w:lineRule="auto"/>
        <w:ind w:firstLine="3120" w:firstLineChars="1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被授权人（签字）：</w:t>
      </w:r>
    </w:p>
    <w:p w14:paraId="22CA019F">
      <w:pPr>
        <w:shd w:val="clear"/>
        <w:wordWrap w:val="0"/>
        <w:spacing w:line="336" w:lineRule="auto"/>
        <w:ind w:firstLine="3840" w:firstLineChars="16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    年   月   日</w:t>
      </w:r>
    </w:p>
    <w:p w14:paraId="5C474A94">
      <w:pPr>
        <w:shd w:val="clear"/>
        <w:wordWrap w:val="0"/>
        <w:spacing w:line="336" w:lineRule="auto"/>
        <w:rPr>
          <w:rFonts w:asciiTheme="minorEastAsia" w:hAnsiTheme="minorEastAsia" w:eastAsiaTheme="minorEastAsia" w:cstheme="minorEastAsia"/>
          <w:color w:val="auto"/>
          <w:sz w:val="24"/>
          <w:highlight w:val="none"/>
        </w:rPr>
      </w:pPr>
    </w:p>
    <w:p w14:paraId="2139EC97">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 法定代表人必须在授权委托书上亲笔签字或盖章，委托代理人必须在授权委托书上亲笔签字，</w:t>
      </w:r>
      <w:r>
        <w:rPr>
          <w:rFonts w:hint="eastAsia" w:asciiTheme="minorEastAsia" w:hAnsiTheme="minorEastAsia" w:eastAsiaTheme="minorEastAsia" w:cstheme="minorEastAsia"/>
          <w:b/>
          <w:color w:val="auto"/>
          <w:sz w:val="24"/>
          <w:highlight w:val="none"/>
        </w:rPr>
        <w:t>否则其响应文件按无效响应处理。</w:t>
      </w:r>
    </w:p>
    <w:p w14:paraId="4277AC46">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2.本授权委托书应由联合体牵头人的法定代表人按上述规定签署。</w:t>
      </w:r>
    </w:p>
    <w:p w14:paraId="785EEFAE">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3.供应商为其他组织或者自然人时，本磋商文件规定的法定代表人指负责人或者自然人。本磋商文件所称负责人是指参加响应的其他组织营业执照上的负责人，本磋商文件所称自然人指参与响应的自然人本人。</w:t>
      </w:r>
    </w:p>
    <w:p w14:paraId="7041D760">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4.法人、其他组织响应时“我方”是指“我单位”，自然人响应时“我方”是指“本人”。</w:t>
      </w:r>
    </w:p>
    <w:p w14:paraId="5562CF17">
      <w:pPr>
        <w:shd w:val="clear"/>
        <w:wordWrap w:val="0"/>
        <w:spacing w:line="336" w:lineRule="auto"/>
        <w:jc w:val="left"/>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color w:val="auto"/>
          <w:sz w:val="32"/>
          <w:szCs w:val="32"/>
          <w:highlight w:val="none"/>
        </w:rPr>
        <w:br w:type="page"/>
      </w:r>
      <w:r>
        <w:rPr>
          <w:rFonts w:hint="eastAsia" w:asciiTheme="minorEastAsia" w:hAnsiTheme="minorEastAsia" w:eastAsiaTheme="minorEastAsia" w:cstheme="minorEastAsia"/>
          <w:b/>
          <w:color w:val="auto"/>
          <w:sz w:val="30"/>
          <w:szCs w:val="30"/>
          <w:highlight w:val="none"/>
        </w:rPr>
        <w:t>四、商务条款偏离表</w:t>
      </w:r>
    </w:p>
    <w:p w14:paraId="0CDA2FC8">
      <w:pPr>
        <w:shd w:val="clear"/>
        <w:wordWrap w:val="0"/>
        <w:spacing w:line="336" w:lineRule="auto"/>
        <w:jc w:val="center"/>
        <w:rPr>
          <w:rFonts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商务条款偏离表</w:t>
      </w:r>
    </w:p>
    <w:p w14:paraId="418A5157">
      <w:pPr>
        <w:shd w:val="clear"/>
        <w:wordWrap w:val="0"/>
        <w:spacing w:line="336" w:lineRule="auto"/>
        <w:rPr>
          <w:rFonts w:asciiTheme="minorEastAsia" w:hAnsiTheme="minorEastAsia" w:eastAsiaTheme="minorEastAsia" w:cstheme="minorEastAsia"/>
          <w:color w:val="auto"/>
          <w:sz w:val="32"/>
          <w:szCs w:val="32"/>
          <w:highlight w:val="none"/>
        </w:rPr>
      </w:pPr>
    </w:p>
    <w:p w14:paraId="6B43489E">
      <w:pPr>
        <w:shd w:val="clear"/>
        <w:wordWrap w:val="0"/>
        <w:spacing w:line="336" w:lineRule="auto"/>
        <w:contextualSpacing/>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采购项目编号：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p>
    <w:p w14:paraId="5FF8E9D2">
      <w:pPr>
        <w:shd w:val="clear"/>
        <w:wordWrap w:val="0"/>
        <w:spacing w:line="336" w:lineRule="auto"/>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采购项目名称：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p>
    <w:p w14:paraId="37B7EAD5">
      <w:pPr>
        <w:shd w:val="clear"/>
        <w:wordWrap w:val="0"/>
        <w:spacing w:line="336" w:lineRule="auto"/>
        <w:contextualSpacing/>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分标号（此处有分标时填写具体分标号，无分标时填写“无”）：</w:t>
      </w:r>
      <w:r>
        <w:rPr>
          <w:rFonts w:hint="eastAsia" w:asciiTheme="minorEastAsia" w:hAnsiTheme="minorEastAsia" w:eastAsiaTheme="minorEastAsia" w:cstheme="minorEastAsia"/>
          <w:color w:val="auto"/>
          <w:sz w:val="24"/>
          <w:highlight w:val="none"/>
          <w:u w:val="single"/>
        </w:rPr>
        <w:t xml:space="preserve">              </w:t>
      </w:r>
    </w:p>
    <w:tbl>
      <w:tblPr>
        <w:tblStyle w:val="2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5638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40ACBBEC">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2757278B">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0CB2DBA5">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396FF5B4">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偏离说明</w:t>
            </w:r>
          </w:p>
        </w:tc>
      </w:tr>
      <w:tr w14:paraId="5983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46CD58A2">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041D90EF">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w:t>
            </w:r>
          </w:p>
          <w:p w14:paraId="38ECFB3F">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w:t>
            </w:r>
          </w:p>
          <w:p w14:paraId="2DF3A3C8">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w:t>
            </w:r>
          </w:p>
          <w:p w14:paraId="1383A4FB">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3589" w:type="dxa"/>
            <w:tcBorders>
              <w:top w:val="single" w:color="auto" w:sz="4" w:space="0"/>
              <w:left w:val="single" w:color="auto" w:sz="4" w:space="0"/>
              <w:bottom w:val="single" w:color="auto" w:sz="4" w:space="0"/>
              <w:right w:val="single" w:color="auto" w:sz="4" w:space="0"/>
            </w:tcBorders>
          </w:tcPr>
          <w:p w14:paraId="6B460F5B">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w:t>
            </w:r>
          </w:p>
          <w:p w14:paraId="0E9A197A">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w:t>
            </w:r>
          </w:p>
          <w:p w14:paraId="096ABCE7">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w:t>
            </w:r>
          </w:p>
          <w:p w14:paraId="1D1A598A">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274" w:type="dxa"/>
            <w:tcBorders>
              <w:top w:val="single" w:color="auto" w:sz="4" w:space="0"/>
              <w:left w:val="single" w:color="auto" w:sz="4" w:space="0"/>
              <w:bottom w:val="single" w:color="auto" w:sz="4" w:space="0"/>
              <w:right w:val="single" w:color="auto" w:sz="4" w:space="0"/>
            </w:tcBorders>
          </w:tcPr>
          <w:p w14:paraId="499A9E5A">
            <w:pPr>
              <w:shd w:val="clear"/>
              <w:wordWrap w:val="0"/>
              <w:spacing w:line="336" w:lineRule="auto"/>
              <w:rPr>
                <w:rFonts w:asciiTheme="minorEastAsia" w:hAnsiTheme="minorEastAsia" w:eastAsiaTheme="minorEastAsia" w:cstheme="minorEastAsia"/>
                <w:color w:val="auto"/>
                <w:sz w:val="24"/>
                <w:highlight w:val="none"/>
              </w:rPr>
            </w:pPr>
          </w:p>
        </w:tc>
      </w:tr>
      <w:tr w14:paraId="1A35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76F6C6FD">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425A06B8">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w:t>
            </w:r>
          </w:p>
          <w:p w14:paraId="76C1AB9B">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w:t>
            </w:r>
          </w:p>
          <w:p w14:paraId="50F29247">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w:t>
            </w:r>
          </w:p>
          <w:p w14:paraId="204D64CE">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3589" w:type="dxa"/>
            <w:tcBorders>
              <w:top w:val="single" w:color="auto" w:sz="4" w:space="0"/>
              <w:left w:val="single" w:color="auto" w:sz="4" w:space="0"/>
              <w:bottom w:val="single" w:color="auto" w:sz="4" w:space="0"/>
              <w:right w:val="single" w:color="auto" w:sz="4" w:space="0"/>
            </w:tcBorders>
          </w:tcPr>
          <w:p w14:paraId="50B9A340">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w:t>
            </w:r>
          </w:p>
          <w:p w14:paraId="0F7DE1F2">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w:t>
            </w:r>
          </w:p>
          <w:p w14:paraId="1C2BF9EE">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w:t>
            </w:r>
          </w:p>
          <w:p w14:paraId="0C4B4D3E">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274" w:type="dxa"/>
            <w:tcBorders>
              <w:top w:val="single" w:color="auto" w:sz="4" w:space="0"/>
              <w:left w:val="single" w:color="auto" w:sz="4" w:space="0"/>
              <w:bottom w:val="single" w:color="auto" w:sz="4" w:space="0"/>
              <w:right w:val="single" w:color="auto" w:sz="4" w:space="0"/>
            </w:tcBorders>
          </w:tcPr>
          <w:p w14:paraId="62EB80B8">
            <w:pPr>
              <w:shd w:val="clear"/>
              <w:wordWrap w:val="0"/>
              <w:spacing w:line="336" w:lineRule="auto"/>
              <w:rPr>
                <w:rFonts w:asciiTheme="minorEastAsia" w:hAnsiTheme="minorEastAsia" w:eastAsiaTheme="minorEastAsia" w:cstheme="minorEastAsia"/>
                <w:color w:val="auto"/>
                <w:sz w:val="24"/>
                <w:highlight w:val="none"/>
              </w:rPr>
            </w:pPr>
          </w:p>
        </w:tc>
      </w:tr>
      <w:tr w14:paraId="60F0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784FD2F7">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3926" w:type="dxa"/>
            <w:tcBorders>
              <w:top w:val="single" w:color="auto" w:sz="4" w:space="0"/>
              <w:left w:val="single" w:color="auto" w:sz="4" w:space="0"/>
              <w:bottom w:val="single" w:color="auto" w:sz="4" w:space="0"/>
              <w:right w:val="single" w:color="auto" w:sz="4" w:space="0"/>
            </w:tcBorders>
          </w:tcPr>
          <w:p w14:paraId="7F4F46C7">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w:t>
            </w:r>
          </w:p>
          <w:p w14:paraId="507D5651">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w:t>
            </w:r>
          </w:p>
          <w:p w14:paraId="45FC5247">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w:t>
            </w:r>
          </w:p>
          <w:p w14:paraId="7C5FDF69">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3589" w:type="dxa"/>
            <w:tcBorders>
              <w:top w:val="single" w:color="auto" w:sz="4" w:space="0"/>
              <w:left w:val="single" w:color="auto" w:sz="4" w:space="0"/>
              <w:bottom w:val="single" w:color="auto" w:sz="4" w:space="0"/>
              <w:right w:val="single" w:color="auto" w:sz="4" w:space="0"/>
            </w:tcBorders>
          </w:tcPr>
          <w:p w14:paraId="34CCDDF0">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w:t>
            </w:r>
          </w:p>
          <w:p w14:paraId="14A74262">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w:t>
            </w:r>
          </w:p>
          <w:p w14:paraId="456C4375">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w:t>
            </w:r>
          </w:p>
          <w:p w14:paraId="028A6E3D">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274" w:type="dxa"/>
            <w:tcBorders>
              <w:top w:val="single" w:color="auto" w:sz="4" w:space="0"/>
              <w:left w:val="single" w:color="auto" w:sz="4" w:space="0"/>
              <w:bottom w:val="single" w:color="auto" w:sz="4" w:space="0"/>
              <w:right w:val="single" w:color="auto" w:sz="4" w:space="0"/>
            </w:tcBorders>
          </w:tcPr>
          <w:p w14:paraId="5AEB5846">
            <w:pPr>
              <w:shd w:val="clear"/>
              <w:wordWrap w:val="0"/>
              <w:spacing w:line="336" w:lineRule="auto"/>
              <w:rPr>
                <w:rFonts w:asciiTheme="minorEastAsia" w:hAnsiTheme="minorEastAsia" w:eastAsiaTheme="minorEastAsia" w:cstheme="minorEastAsia"/>
                <w:color w:val="auto"/>
                <w:sz w:val="24"/>
                <w:highlight w:val="none"/>
              </w:rPr>
            </w:pPr>
          </w:p>
        </w:tc>
      </w:tr>
    </w:tbl>
    <w:p w14:paraId="6241A6DC">
      <w:pPr>
        <w:pStyle w:val="10"/>
        <w:shd w:val="clear"/>
        <w:wordWrap w:val="0"/>
        <w:spacing w:line="336" w:lineRule="auto"/>
        <w:ind w:firstLine="0" w:firstLineChars="0"/>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p>
    <w:p w14:paraId="2EE31208">
      <w:pPr>
        <w:pStyle w:val="10"/>
        <w:shd w:val="clear"/>
        <w:wordWrap w:val="0"/>
        <w:spacing w:line="336" w:lineRule="auto"/>
        <w:ind w:firstLine="0" w:firstLineChars="0"/>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1.说明：应对照磋商文件“第二章 采购需求”中的商务条款逐条作出明确响应，并作出偏离说明。</w:t>
      </w:r>
    </w:p>
    <w:p w14:paraId="3E12BD82">
      <w:pPr>
        <w:pStyle w:val="10"/>
        <w:shd w:val="clear"/>
        <w:wordWrap w:val="0"/>
        <w:spacing w:line="336" w:lineRule="auto"/>
        <w:ind w:firstLine="0" w:firstLineChars="0"/>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当响应文件的商务内容低于竞争性磋商采购文件要求时，磋商供应商应当如实写明“负偏离”，否则视为虚假应标</w:t>
      </w:r>
    </w:p>
    <w:p w14:paraId="0A446811">
      <w:pPr>
        <w:shd w:val="clear"/>
        <w:wordWrap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3.表格内容均需按要求填写，不得留空，否则按响应无效处理。</w:t>
      </w:r>
    </w:p>
    <w:p w14:paraId="62F26862">
      <w:pPr>
        <w:pStyle w:val="13"/>
        <w:shd w:val="clear"/>
        <w:wordWrap w:val="0"/>
        <w:spacing w:line="336" w:lineRule="auto"/>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4.如果采购需求为小于、小于等于、大于或大于等于某个数值标准时，响应文件承诺不得直接复制采购需求，响应文件承诺内容应当写明响应货物具体参数或商务响应承诺的具体数值，否则按响应无效处理。如该采购需求属于不能明确具体数值的，采购人应在此采购需求的数值后标注◆号，对标注◆号的采购需求不适用上述“响应无效”条款。</w:t>
      </w:r>
    </w:p>
    <w:p w14:paraId="195D7106">
      <w:pPr>
        <w:shd w:val="clear"/>
        <w:wordWrap w:val="0"/>
        <w:spacing w:line="336" w:lineRule="auto"/>
        <w:ind w:firstLine="3840" w:firstLineChars="16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5729B205">
      <w:pPr>
        <w:shd w:val="clear"/>
        <w:wordWrap w:val="0"/>
        <w:spacing w:line="336" w:lineRule="auto"/>
        <w:contextualSpacing/>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 xml:space="preserve">                                                   日期：  年  月   日</w:t>
      </w:r>
    </w:p>
    <w:p w14:paraId="3549C562">
      <w:pPr>
        <w:shd w:val="clear"/>
        <w:spacing w:line="336" w:lineRule="auto"/>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p>
    <w:p w14:paraId="1FA0AB1C">
      <w:pPr>
        <w:shd w:val="clear"/>
        <w:wordWrap w:val="0"/>
        <w:snapToGrid w:val="0"/>
        <w:spacing w:line="336" w:lineRule="auto"/>
        <w:ind w:firstLine="602" w:firstLineChars="200"/>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五、磋商供应商情况介绍</w:t>
      </w:r>
    </w:p>
    <w:p w14:paraId="4EAD6CBE">
      <w:pPr>
        <w:shd w:val="clear"/>
        <w:wordWrap w:val="0"/>
        <w:snapToGrid w:val="0"/>
        <w:spacing w:line="336" w:lineRule="auto"/>
        <w:ind w:firstLine="602" w:firstLineChars="200"/>
        <w:rPr>
          <w:rFonts w:asciiTheme="minorEastAsia" w:hAnsiTheme="minorEastAsia" w:eastAsiaTheme="minorEastAsia" w:cstheme="minorEastAsia"/>
          <w:b/>
          <w:color w:val="auto"/>
          <w:sz w:val="30"/>
          <w:szCs w:val="30"/>
          <w:highlight w:val="none"/>
        </w:rPr>
      </w:pPr>
    </w:p>
    <w:p w14:paraId="30F26A9E">
      <w:pPr>
        <w:pStyle w:val="18"/>
        <w:shd w:val="clear"/>
        <w:spacing w:line="336" w:lineRule="auto"/>
        <w:ind w:left="1022" w:hanging="602"/>
        <w:rPr>
          <w:rFonts w:asciiTheme="minorEastAsia" w:hAnsiTheme="minorEastAsia" w:eastAsiaTheme="minorEastAsia" w:cstheme="minorEastAsia"/>
          <w:b/>
          <w:color w:val="auto"/>
          <w:sz w:val="30"/>
          <w:szCs w:val="30"/>
          <w:highlight w:val="none"/>
        </w:rPr>
      </w:pPr>
    </w:p>
    <w:p w14:paraId="3A612499">
      <w:pPr>
        <w:shd w:val="clear"/>
        <w:spacing w:line="336" w:lineRule="auto"/>
        <w:rPr>
          <w:rFonts w:asciiTheme="minorEastAsia" w:hAnsiTheme="minorEastAsia" w:eastAsiaTheme="minorEastAsia" w:cstheme="minorEastAsia"/>
          <w:b/>
          <w:color w:val="auto"/>
          <w:sz w:val="30"/>
          <w:szCs w:val="30"/>
          <w:highlight w:val="none"/>
        </w:rPr>
      </w:pPr>
    </w:p>
    <w:p w14:paraId="2A0A53CD">
      <w:pPr>
        <w:pStyle w:val="18"/>
        <w:shd w:val="clear"/>
        <w:spacing w:line="336" w:lineRule="auto"/>
        <w:ind w:left="1022" w:hanging="602"/>
        <w:rPr>
          <w:rFonts w:asciiTheme="minorEastAsia" w:hAnsiTheme="minorEastAsia" w:eastAsiaTheme="minorEastAsia" w:cstheme="minorEastAsia"/>
          <w:b/>
          <w:color w:val="auto"/>
          <w:sz w:val="30"/>
          <w:szCs w:val="30"/>
          <w:highlight w:val="none"/>
        </w:rPr>
      </w:pPr>
    </w:p>
    <w:p w14:paraId="17EDE10B">
      <w:pPr>
        <w:shd w:val="clear"/>
        <w:spacing w:line="336" w:lineRule="auto"/>
        <w:rPr>
          <w:rFonts w:asciiTheme="minorEastAsia" w:hAnsiTheme="minorEastAsia" w:eastAsiaTheme="minorEastAsia" w:cstheme="minorEastAsia"/>
          <w:b/>
          <w:color w:val="auto"/>
          <w:sz w:val="30"/>
          <w:szCs w:val="30"/>
          <w:highlight w:val="none"/>
        </w:rPr>
      </w:pPr>
    </w:p>
    <w:p w14:paraId="2C0E1EC9">
      <w:pPr>
        <w:pStyle w:val="18"/>
        <w:shd w:val="clear"/>
        <w:spacing w:line="336" w:lineRule="auto"/>
        <w:ind w:left="1022" w:hanging="602"/>
        <w:rPr>
          <w:rFonts w:asciiTheme="minorEastAsia" w:hAnsiTheme="minorEastAsia" w:eastAsiaTheme="minorEastAsia" w:cstheme="minorEastAsia"/>
          <w:b/>
          <w:color w:val="auto"/>
          <w:sz w:val="30"/>
          <w:szCs w:val="30"/>
          <w:highlight w:val="none"/>
        </w:rPr>
      </w:pPr>
    </w:p>
    <w:p w14:paraId="745502DA">
      <w:pPr>
        <w:shd w:val="clear"/>
        <w:spacing w:line="336" w:lineRule="auto"/>
        <w:rPr>
          <w:rFonts w:asciiTheme="minorEastAsia" w:hAnsiTheme="minorEastAsia" w:eastAsiaTheme="minorEastAsia" w:cstheme="minorEastAsia"/>
          <w:b/>
          <w:color w:val="auto"/>
          <w:sz w:val="30"/>
          <w:szCs w:val="30"/>
          <w:highlight w:val="none"/>
        </w:rPr>
      </w:pPr>
    </w:p>
    <w:p w14:paraId="51524B8E">
      <w:pPr>
        <w:pStyle w:val="18"/>
        <w:shd w:val="clear"/>
        <w:spacing w:line="336" w:lineRule="auto"/>
        <w:ind w:left="1022" w:hanging="602"/>
        <w:rPr>
          <w:rFonts w:asciiTheme="minorEastAsia" w:hAnsiTheme="minorEastAsia" w:eastAsiaTheme="minorEastAsia" w:cstheme="minorEastAsia"/>
          <w:b/>
          <w:color w:val="auto"/>
          <w:sz w:val="30"/>
          <w:szCs w:val="30"/>
          <w:highlight w:val="none"/>
        </w:rPr>
      </w:pPr>
    </w:p>
    <w:p w14:paraId="70E1865D">
      <w:pPr>
        <w:shd w:val="clear"/>
        <w:spacing w:line="336" w:lineRule="auto"/>
        <w:rPr>
          <w:color w:val="auto"/>
          <w:highlight w:val="none"/>
        </w:rPr>
      </w:pPr>
    </w:p>
    <w:p w14:paraId="4DFB1F37">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7CF6FF08">
      <w:pPr>
        <w:shd w:val="clear"/>
        <w:wordWrap w:val="0"/>
        <w:autoSpaceDE w:val="0"/>
        <w:autoSpaceDN w:val="0"/>
        <w:spacing w:line="336" w:lineRule="auto"/>
        <w:ind w:firstLine="6480" w:firstLineChars="27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12D262E9">
      <w:pPr>
        <w:shd w:val="clear"/>
        <w:spacing w:line="336" w:lineRule="auto"/>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p>
    <w:p w14:paraId="2A2F35A5">
      <w:pPr>
        <w:shd w:val="clear"/>
        <w:wordWrap w:val="0"/>
        <w:snapToGrid w:val="0"/>
        <w:spacing w:line="336" w:lineRule="auto"/>
        <w:ind w:firstLine="602" w:firstLineChars="200"/>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六、供应商类似的业绩证明文件</w:t>
      </w:r>
    </w:p>
    <w:p w14:paraId="64617951">
      <w:pPr>
        <w:pStyle w:val="17"/>
        <w:shd w:val="clear"/>
        <w:wordWrap w:val="0"/>
        <w:snapToGrid w:val="0"/>
        <w:spacing w:line="336" w:lineRule="auto"/>
        <w:ind w:left="480" w:hanging="480"/>
        <w:rPr>
          <w:rFonts w:asciiTheme="minorEastAsia" w:hAnsiTheme="minorEastAsia" w:eastAsiaTheme="minorEastAsia" w:cstheme="minorEastAsia"/>
          <w:color w:val="auto"/>
          <w:sz w:val="24"/>
          <w:highlight w:val="none"/>
        </w:rPr>
      </w:pPr>
    </w:p>
    <w:tbl>
      <w:tblPr>
        <w:tblStyle w:val="21"/>
        <w:tblpPr w:leftFromText="180" w:rightFromText="180" w:vertAnchor="page" w:horzAnchor="page" w:tblpX="461" w:tblpY="3097"/>
        <w:tblW w:w="10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0"/>
        <w:gridCol w:w="1581"/>
        <w:gridCol w:w="1134"/>
        <w:gridCol w:w="1263"/>
        <w:gridCol w:w="1572"/>
        <w:gridCol w:w="1276"/>
        <w:gridCol w:w="1842"/>
      </w:tblGrid>
      <w:tr w14:paraId="665FC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720" w:type="dxa"/>
            <w:vMerge w:val="restart"/>
            <w:tcBorders>
              <w:top w:val="single" w:color="auto" w:sz="4" w:space="0"/>
              <w:left w:val="single" w:color="auto" w:sz="4" w:space="0"/>
              <w:bottom w:val="single" w:color="auto" w:sz="4" w:space="0"/>
              <w:right w:val="single" w:color="auto" w:sz="4" w:space="0"/>
            </w:tcBorders>
            <w:vAlign w:val="center"/>
          </w:tcPr>
          <w:p w14:paraId="3147628C">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p>
        </w:tc>
        <w:tc>
          <w:tcPr>
            <w:tcW w:w="1581" w:type="dxa"/>
            <w:vMerge w:val="restart"/>
            <w:tcBorders>
              <w:top w:val="single" w:color="auto" w:sz="4" w:space="0"/>
              <w:left w:val="single" w:color="auto" w:sz="4" w:space="0"/>
              <w:bottom w:val="single" w:color="auto" w:sz="4" w:space="0"/>
              <w:right w:val="single" w:color="auto" w:sz="4" w:space="0"/>
            </w:tcBorders>
            <w:vAlign w:val="center"/>
          </w:tcPr>
          <w:p w14:paraId="4CAB99C1">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7D895F0B">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w:t>
            </w:r>
          </w:p>
          <w:p w14:paraId="72C363CC">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金额</w:t>
            </w:r>
          </w:p>
          <w:p w14:paraId="54076A54">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14:paraId="46C770F7">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4971E9FE">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采购人联系人及联系电话</w:t>
            </w:r>
          </w:p>
        </w:tc>
      </w:tr>
      <w:tr w14:paraId="5DF07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720" w:type="dxa"/>
            <w:vMerge w:val="continue"/>
            <w:tcBorders>
              <w:top w:val="single" w:color="auto" w:sz="4" w:space="0"/>
              <w:left w:val="single" w:color="auto" w:sz="4" w:space="0"/>
              <w:bottom w:val="single" w:color="auto" w:sz="4" w:space="0"/>
              <w:right w:val="single" w:color="auto" w:sz="4" w:space="0"/>
            </w:tcBorders>
            <w:vAlign w:val="center"/>
          </w:tcPr>
          <w:p w14:paraId="22AAB375">
            <w:pPr>
              <w:shd w:val="clear"/>
              <w:wordWrap w:val="0"/>
              <w:spacing w:line="336" w:lineRule="auto"/>
              <w:jc w:val="left"/>
              <w:rPr>
                <w:rFonts w:asciiTheme="minorEastAsia" w:hAnsiTheme="minorEastAsia" w:eastAsiaTheme="minorEastAsia" w:cstheme="minorEastAsia"/>
                <w:color w:val="auto"/>
                <w:sz w:val="24"/>
                <w:highlight w:val="none"/>
              </w:rPr>
            </w:pPr>
          </w:p>
        </w:tc>
        <w:tc>
          <w:tcPr>
            <w:tcW w:w="1581" w:type="dxa"/>
            <w:vMerge w:val="continue"/>
            <w:tcBorders>
              <w:top w:val="single" w:color="auto" w:sz="4" w:space="0"/>
              <w:left w:val="single" w:color="auto" w:sz="4" w:space="0"/>
              <w:bottom w:val="single" w:color="auto" w:sz="4" w:space="0"/>
              <w:right w:val="single" w:color="auto" w:sz="4" w:space="0"/>
            </w:tcBorders>
            <w:vAlign w:val="center"/>
          </w:tcPr>
          <w:p w14:paraId="658A1C36">
            <w:pPr>
              <w:shd w:val="clear"/>
              <w:wordWrap w:val="0"/>
              <w:spacing w:line="336" w:lineRule="auto"/>
              <w:jc w:val="left"/>
              <w:rPr>
                <w:rFonts w:asciiTheme="minorEastAsia" w:hAnsiTheme="minorEastAsia" w:eastAsiaTheme="minorEastAsia" w:cstheme="minorEastAsia"/>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B3F81ED">
            <w:pPr>
              <w:shd w:val="clear"/>
              <w:wordWrap w:val="0"/>
              <w:spacing w:line="336" w:lineRule="auto"/>
              <w:jc w:val="left"/>
              <w:rPr>
                <w:rFonts w:asciiTheme="minorEastAsia" w:hAnsiTheme="minorEastAsia" w:eastAsiaTheme="minorEastAsia" w:cstheme="minorEastAsia"/>
                <w:color w:val="auto"/>
                <w:sz w:val="24"/>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14:paraId="029EA9C1">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合同原件扫描件</w:t>
            </w:r>
          </w:p>
        </w:tc>
        <w:tc>
          <w:tcPr>
            <w:tcW w:w="1572" w:type="dxa"/>
            <w:tcBorders>
              <w:top w:val="single" w:color="auto" w:sz="4" w:space="0"/>
              <w:left w:val="single" w:color="auto" w:sz="4" w:space="0"/>
              <w:bottom w:val="single" w:color="auto" w:sz="4" w:space="0"/>
              <w:right w:val="single" w:color="auto" w:sz="4" w:space="0"/>
            </w:tcBorders>
            <w:vAlign w:val="center"/>
          </w:tcPr>
          <w:p w14:paraId="4E6A2D0B">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验收报告</w:t>
            </w:r>
          </w:p>
          <w:p w14:paraId="35F78A24">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（如有）</w:t>
            </w:r>
          </w:p>
        </w:tc>
        <w:tc>
          <w:tcPr>
            <w:tcW w:w="1276" w:type="dxa"/>
            <w:tcBorders>
              <w:top w:val="single" w:color="auto" w:sz="4" w:space="0"/>
              <w:left w:val="single" w:color="auto" w:sz="4" w:space="0"/>
              <w:bottom w:val="single" w:color="auto" w:sz="4" w:space="0"/>
              <w:right w:val="single" w:color="auto" w:sz="4" w:space="0"/>
            </w:tcBorders>
            <w:vAlign w:val="center"/>
          </w:tcPr>
          <w:p w14:paraId="7266C784">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用户评价（如有）</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5E010BF3">
            <w:pPr>
              <w:shd w:val="clear"/>
              <w:wordWrap w:val="0"/>
              <w:spacing w:line="336" w:lineRule="auto"/>
              <w:jc w:val="left"/>
              <w:rPr>
                <w:rFonts w:asciiTheme="minorEastAsia" w:hAnsiTheme="minorEastAsia" w:eastAsiaTheme="minorEastAsia" w:cstheme="minorEastAsia"/>
                <w:color w:val="auto"/>
                <w:sz w:val="24"/>
                <w:highlight w:val="none"/>
              </w:rPr>
            </w:pPr>
          </w:p>
        </w:tc>
      </w:tr>
      <w:tr w14:paraId="4F8F6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720" w:type="dxa"/>
            <w:tcBorders>
              <w:top w:val="single" w:color="auto" w:sz="4" w:space="0"/>
              <w:left w:val="single" w:color="auto" w:sz="4" w:space="0"/>
              <w:bottom w:val="single" w:color="auto" w:sz="4" w:space="0"/>
              <w:right w:val="single" w:color="auto" w:sz="4" w:space="0"/>
            </w:tcBorders>
          </w:tcPr>
          <w:p w14:paraId="257CE837">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581" w:type="dxa"/>
            <w:tcBorders>
              <w:top w:val="single" w:color="auto" w:sz="4" w:space="0"/>
              <w:left w:val="single" w:color="auto" w:sz="4" w:space="0"/>
              <w:bottom w:val="single" w:color="auto" w:sz="4" w:space="0"/>
              <w:right w:val="single" w:color="auto" w:sz="4" w:space="0"/>
            </w:tcBorders>
          </w:tcPr>
          <w:p w14:paraId="1608454D">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728376F">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64C838A2">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572" w:type="dxa"/>
            <w:tcBorders>
              <w:top w:val="single" w:color="auto" w:sz="4" w:space="0"/>
              <w:left w:val="single" w:color="auto" w:sz="4" w:space="0"/>
              <w:bottom w:val="single" w:color="auto" w:sz="4" w:space="0"/>
              <w:right w:val="single" w:color="auto" w:sz="4" w:space="0"/>
            </w:tcBorders>
          </w:tcPr>
          <w:p w14:paraId="39DEBCAD">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C453B89">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1D79B52">
            <w:pPr>
              <w:shd w:val="clear"/>
              <w:wordWrap w:val="0"/>
              <w:snapToGrid w:val="0"/>
              <w:spacing w:line="336" w:lineRule="auto"/>
              <w:jc w:val="left"/>
              <w:rPr>
                <w:rFonts w:asciiTheme="minorEastAsia" w:hAnsiTheme="minorEastAsia" w:eastAsiaTheme="minorEastAsia" w:cstheme="minorEastAsia"/>
                <w:color w:val="auto"/>
                <w:sz w:val="24"/>
                <w:highlight w:val="none"/>
              </w:rPr>
            </w:pPr>
          </w:p>
        </w:tc>
      </w:tr>
      <w:tr w14:paraId="1EAA6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0" w:type="dxa"/>
            <w:tcBorders>
              <w:top w:val="single" w:color="auto" w:sz="4" w:space="0"/>
              <w:left w:val="single" w:color="auto" w:sz="4" w:space="0"/>
              <w:bottom w:val="single" w:color="auto" w:sz="4" w:space="0"/>
              <w:right w:val="single" w:color="auto" w:sz="4" w:space="0"/>
            </w:tcBorders>
          </w:tcPr>
          <w:p w14:paraId="611B7182">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581" w:type="dxa"/>
            <w:tcBorders>
              <w:top w:val="single" w:color="auto" w:sz="4" w:space="0"/>
              <w:left w:val="single" w:color="auto" w:sz="4" w:space="0"/>
              <w:bottom w:val="single" w:color="auto" w:sz="4" w:space="0"/>
              <w:right w:val="single" w:color="auto" w:sz="4" w:space="0"/>
            </w:tcBorders>
          </w:tcPr>
          <w:p w14:paraId="4983A25F">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434EA29">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6802247E">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572" w:type="dxa"/>
            <w:tcBorders>
              <w:top w:val="single" w:color="auto" w:sz="4" w:space="0"/>
              <w:left w:val="single" w:color="auto" w:sz="4" w:space="0"/>
              <w:bottom w:val="single" w:color="auto" w:sz="4" w:space="0"/>
              <w:right w:val="single" w:color="auto" w:sz="4" w:space="0"/>
            </w:tcBorders>
          </w:tcPr>
          <w:p w14:paraId="52CE5B55">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A1D3493">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6D0A7F7">
            <w:pPr>
              <w:shd w:val="clear"/>
              <w:wordWrap w:val="0"/>
              <w:snapToGrid w:val="0"/>
              <w:spacing w:line="336" w:lineRule="auto"/>
              <w:jc w:val="left"/>
              <w:rPr>
                <w:rFonts w:asciiTheme="minorEastAsia" w:hAnsiTheme="minorEastAsia" w:eastAsiaTheme="minorEastAsia" w:cstheme="minorEastAsia"/>
                <w:color w:val="auto"/>
                <w:sz w:val="24"/>
                <w:highlight w:val="none"/>
              </w:rPr>
            </w:pPr>
          </w:p>
        </w:tc>
      </w:tr>
      <w:tr w14:paraId="0CF72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720" w:type="dxa"/>
            <w:tcBorders>
              <w:top w:val="single" w:color="auto" w:sz="4" w:space="0"/>
              <w:left w:val="single" w:color="auto" w:sz="4" w:space="0"/>
              <w:bottom w:val="single" w:color="auto" w:sz="4" w:space="0"/>
              <w:right w:val="single" w:color="auto" w:sz="4" w:space="0"/>
            </w:tcBorders>
          </w:tcPr>
          <w:p w14:paraId="26482715">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581" w:type="dxa"/>
            <w:tcBorders>
              <w:top w:val="single" w:color="auto" w:sz="4" w:space="0"/>
              <w:left w:val="single" w:color="auto" w:sz="4" w:space="0"/>
              <w:bottom w:val="single" w:color="auto" w:sz="4" w:space="0"/>
              <w:right w:val="single" w:color="auto" w:sz="4" w:space="0"/>
            </w:tcBorders>
          </w:tcPr>
          <w:p w14:paraId="34C8E0F4">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4C9CF8C">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7F684391">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572" w:type="dxa"/>
            <w:tcBorders>
              <w:top w:val="single" w:color="auto" w:sz="4" w:space="0"/>
              <w:left w:val="single" w:color="auto" w:sz="4" w:space="0"/>
              <w:bottom w:val="single" w:color="auto" w:sz="4" w:space="0"/>
              <w:right w:val="single" w:color="auto" w:sz="4" w:space="0"/>
            </w:tcBorders>
          </w:tcPr>
          <w:p w14:paraId="276FA600">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0B9BCF6">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5B607216">
            <w:pPr>
              <w:shd w:val="clear"/>
              <w:wordWrap w:val="0"/>
              <w:snapToGrid w:val="0"/>
              <w:spacing w:line="336" w:lineRule="auto"/>
              <w:jc w:val="left"/>
              <w:rPr>
                <w:rFonts w:asciiTheme="minorEastAsia" w:hAnsiTheme="minorEastAsia" w:eastAsiaTheme="minorEastAsia" w:cstheme="minorEastAsia"/>
                <w:color w:val="auto"/>
                <w:sz w:val="24"/>
                <w:highlight w:val="none"/>
              </w:rPr>
            </w:pPr>
          </w:p>
        </w:tc>
      </w:tr>
      <w:tr w14:paraId="6497B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0" w:type="dxa"/>
            <w:tcBorders>
              <w:top w:val="single" w:color="auto" w:sz="4" w:space="0"/>
              <w:left w:val="single" w:color="auto" w:sz="4" w:space="0"/>
              <w:bottom w:val="single" w:color="auto" w:sz="4" w:space="0"/>
              <w:right w:val="single" w:color="auto" w:sz="4" w:space="0"/>
            </w:tcBorders>
          </w:tcPr>
          <w:p w14:paraId="19682E6B">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581" w:type="dxa"/>
            <w:tcBorders>
              <w:top w:val="single" w:color="auto" w:sz="4" w:space="0"/>
              <w:left w:val="single" w:color="auto" w:sz="4" w:space="0"/>
              <w:bottom w:val="single" w:color="auto" w:sz="4" w:space="0"/>
              <w:right w:val="single" w:color="auto" w:sz="4" w:space="0"/>
            </w:tcBorders>
          </w:tcPr>
          <w:p w14:paraId="23942B31">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04B14B1">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33EE6594">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572" w:type="dxa"/>
            <w:tcBorders>
              <w:top w:val="single" w:color="auto" w:sz="4" w:space="0"/>
              <w:left w:val="single" w:color="auto" w:sz="4" w:space="0"/>
              <w:bottom w:val="single" w:color="auto" w:sz="4" w:space="0"/>
              <w:right w:val="single" w:color="auto" w:sz="4" w:space="0"/>
            </w:tcBorders>
          </w:tcPr>
          <w:p w14:paraId="6C41F6D2">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103E309">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B298284">
            <w:pPr>
              <w:shd w:val="clear"/>
              <w:wordWrap w:val="0"/>
              <w:snapToGrid w:val="0"/>
              <w:spacing w:line="336" w:lineRule="auto"/>
              <w:jc w:val="left"/>
              <w:rPr>
                <w:rFonts w:asciiTheme="minorEastAsia" w:hAnsiTheme="minorEastAsia" w:eastAsiaTheme="minorEastAsia" w:cstheme="minorEastAsia"/>
                <w:color w:val="auto"/>
                <w:sz w:val="24"/>
                <w:highlight w:val="none"/>
              </w:rPr>
            </w:pPr>
          </w:p>
        </w:tc>
      </w:tr>
      <w:tr w14:paraId="25586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0" w:type="dxa"/>
            <w:tcBorders>
              <w:top w:val="single" w:color="auto" w:sz="4" w:space="0"/>
              <w:left w:val="single" w:color="auto" w:sz="4" w:space="0"/>
              <w:bottom w:val="single" w:color="auto" w:sz="4" w:space="0"/>
              <w:right w:val="single" w:color="auto" w:sz="4" w:space="0"/>
            </w:tcBorders>
          </w:tcPr>
          <w:p w14:paraId="27EB1268">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581" w:type="dxa"/>
            <w:tcBorders>
              <w:top w:val="single" w:color="auto" w:sz="4" w:space="0"/>
              <w:left w:val="single" w:color="auto" w:sz="4" w:space="0"/>
              <w:bottom w:val="single" w:color="auto" w:sz="4" w:space="0"/>
              <w:right w:val="single" w:color="auto" w:sz="4" w:space="0"/>
            </w:tcBorders>
          </w:tcPr>
          <w:p w14:paraId="212FE490">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F18652F">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10C904B6">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572" w:type="dxa"/>
            <w:tcBorders>
              <w:top w:val="single" w:color="auto" w:sz="4" w:space="0"/>
              <w:left w:val="single" w:color="auto" w:sz="4" w:space="0"/>
              <w:bottom w:val="single" w:color="auto" w:sz="4" w:space="0"/>
              <w:right w:val="single" w:color="auto" w:sz="4" w:space="0"/>
            </w:tcBorders>
          </w:tcPr>
          <w:p w14:paraId="595F92C4">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69B387B">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7E38156">
            <w:pPr>
              <w:shd w:val="clear"/>
              <w:wordWrap w:val="0"/>
              <w:snapToGrid w:val="0"/>
              <w:spacing w:line="336" w:lineRule="auto"/>
              <w:jc w:val="left"/>
              <w:rPr>
                <w:rFonts w:asciiTheme="minorEastAsia" w:hAnsiTheme="minorEastAsia" w:eastAsiaTheme="minorEastAsia" w:cstheme="minorEastAsia"/>
                <w:color w:val="auto"/>
                <w:sz w:val="24"/>
                <w:highlight w:val="none"/>
              </w:rPr>
            </w:pPr>
          </w:p>
        </w:tc>
      </w:tr>
    </w:tbl>
    <w:p w14:paraId="7FF42BAB">
      <w:pPr>
        <w:pStyle w:val="17"/>
        <w:shd w:val="clear"/>
        <w:wordWrap w:val="0"/>
        <w:snapToGrid w:val="0"/>
        <w:spacing w:line="336" w:lineRule="auto"/>
        <w:ind w:left="480" w:hanging="480"/>
        <w:rPr>
          <w:rFonts w:asciiTheme="minorEastAsia" w:hAnsiTheme="minorEastAsia" w:eastAsiaTheme="minorEastAsia" w:cstheme="minorEastAsia"/>
          <w:color w:val="auto"/>
          <w:sz w:val="24"/>
          <w:highlight w:val="none"/>
        </w:rPr>
      </w:pPr>
    </w:p>
    <w:p w14:paraId="7A235437">
      <w:pPr>
        <w:shd w:val="clear"/>
        <w:wordWrap w:val="0"/>
        <w:snapToGrid w:val="0"/>
        <w:spacing w:line="336" w:lineRule="auto"/>
        <w:ind w:firstLine="4935" w:firstLineChars="2350"/>
        <w:rPr>
          <w:rFonts w:asciiTheme="minorEastAsia" w:hAnsiTheme="minorEastAsia" w:eastAsiaTheme="minorEastAsia" w:cstheme="minorEastAsia"/>
          <w:color w:val="auto"/>
          <w:szCs w:val="21"/>
          <w:highlight w:val="none"/>
        </w:rPr>
      </w:pPr>
    </w:p>
    <w:p w14:paraId="0F2DE925">
      <w:pPr>
        <w:shd w:val="clear"/>
        <w:wordWrap w:val="0"/>
        <w:snapToGrid w:val="0"/>
        <w:spacing w:line="336" w:lineRule="auto"/>
        <w:ind w:left="210" w:hanging="210" w:hangingChars="87"/>
        <w:rPr>
          <w:rFonts w:asciiTheme="minorEastAsia" w:hAnsiTheme="minorEastAsia" w:eastAsiaTheme="minorEastAsia" w:cstheme="minorEastAsia"/>
          <w:b/>
          <w:color w:val="auto"/>
          <w:sz w:val="24"/>
          <w:highlight w:val="none"/>
        </w:rPr>
      </w:pPr>
    </w:p>
    <w:p w14:paraId="318ECD21">
      <w:pPr>
        <w:shd w:val="clear"/>
        <w:wordWrap w:val="0"/>
        <w:snapToGrid w:val="0"/>
        <w:spacing w:line="336" w:lineRule="auto"/>
        <w:ind w:hanging="1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附表 :相关项目业绩一览表（提供合同原件扫描件、用户验收报告（如有）、用户评价意见（如有）格式自拟）</w:t>
      </w:r>
    </w:p>
    <w:p w14:paraId="67FD8C7C">
      <w:pPr>
        <w:shd w:val="clear"/>
        <w:wordWrap w:val="0"/>
        <w:snapToGrid w:val="0"/>
        <w:spacing w:line="336" w:lineRule="auto"/>
        <w:ind w:hanging="10"/>
        <w:rPr>
          <w:rFonts w:asciiTheme="minorEastAsia" w:hAnsiTheme="minorEastAsia" w:eastAsiaTheme="minorEastAsia" w:cstheme="minorEastAsia"/>
          <w:b/>
          <w:color w:val="auto"/>
          <w:sz w:val="24"/>
          <w:highlight w:val="none"/>
        </w:rPr>
      </w:pPr>
    </w:p>
    <w:p w14:paraId="2B6ADF20">
      <w:pPr>
        <w:pStyle w:val="13"/>
        <w:shd w:val="clear"/>
        <w:wordWrap w:val="0"/>
        <w:spacing w:line="336" w:lineRule="auto"/>
        <w:ind w:left="7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注：供应商可按上述的格式自行编制，须随表提交相应的合同复印件和用户单位验收证明（如有）并注明所在供应商商务技术文件页码。</w:t>
      </w:r>
    </w:p>
    <w:p w14:paraId="252037B1">
      <w:pPr>
        <w:shd w:val="clear"/>
        <w:wordWrap w:val="0"/>
        <w:snapToGrid w:val="0"/>
        <w:spacing w:line="336" w:lineRule="auto"/>
        <w:ind w:hanging="1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029AA1ED">
      <w:pPr>
        <w:shd w:val="clear"/>
        <w:wordWrap w:val="0"/>
        <w:snapToGrid w:val="0"/>
        <w:spacing w:line="336" w:lineRule="auto"/>
        <w:ind w:left="4410" w:leftChars="2100" w:firstLine="5670" w:firstLineChars="2700"/>
        <w:rPr>
          <w:rFonts w:asciiTheme="minorEastAsia" w:hAnsiTheme="minorEastAsia" w:eastAsiaTheme="minorEastAsia" w:cstheme="minorEastAsia"/>
          <w:color w:val="auto"/>
          <w:szCs w:val="21"/>
          <w:highlight w:val="none"/>
        </w:rPr>
      </w:pPr>
    </w:p>
    <w:p w14:paraId="4A8F1CC3">
      <w:pPr>
        <w:shd w:val="clear"/>
        <w:wordWrap w:val="0"/>
        <w:snapToGrid w:val="0"/>
        <w:spacing w:line="336" w:lineRule="auto"/>
        <w:ind w:left="4647" w:leftChars="2213" w:firstLine="4168" w:firstLineChars="1737"/>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供应商名称(电子签章)：</w:t>
      </w:r>
    </w:p>
    <w:p w14:paraId="64DBD14D">
      <w:pPr>
        <w:shd w:val="clear"/>
        <w:wordWrap w:val="0"/>
        <w:spacing w:line="336" w:lineRule="auto"/>
        <w:jc w:val="center"/>
        <w:rPr>
          <w:rFonts w:asciiTheme="minorEastAsia" w:hAnsiTheme="minorEastAsia" w:eastAsiaTheme="minorEastAsia" w:cstheme="minorEastAsia"/>
          <w:color w:val="auto"/>
          <w:sz w:val="32"/>
          <w:szCs w:val="32"/>
          <w:highlight w:val="none"/>
        </w:rPr>
        <w:sectPr>
          <w:pgSz w:w="11905" w:h="16838"/>
          <w:pgMar w:top="1440" w:right="1080" w:bottom="1440" w:left="1080" w:header="720" w:footer="720" w:gutter="0"/>
          <w:cols w:space="0" w:num="1"/>
        </w:sectPr>
      </w:pPr>
      <w:r>
        <w:rPr>
          <w:rFonts w:hint="eastAsia" w:asciiTheme="minorEastAsia" w:hAnsiTheme="minorEastAsia" w:eastAsiaTheme="minorEastAsia" w:cstheme="minorEastAsia"/>
          <w:color w:val="auto"/>
          <w:kern w:val="0"/>
          <w:sz w:val="24"/>
          <w:highlight w:val="none"/>
          <w:lang w:val="zh-CN"/>
        </w:rPr>
        <w:t xml:space="preserve">                                                     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610BA46D">
      <w:pPr>
        <w:shd w:val="clear"/>
        <w:wordWrap w:val="0"/>
        <w:snapToGrid w:val="0"/>
        <w:spacing w:line="336" w:lineRule="auto"/>
        <w:ind w:firstLine="602"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0"/>
          <w:szCs w:val="30"/>
          <w:highlight w:val="none"/>
        </w:rPr>
        <w:t>七、服务需求偏离表</w:t>
      </w:r>
    </w:p>
    <w:p w14:paraId="240D5D0D">
      <w:pPr>
        <w:shd w:val="clear"/>
        <w:wordWrap w:val="0"/>
        <w:spacing w:line="336" w:lineRule="auto"/>
        <w:jc w:val="center"/>
        <w:rPr>
          <w:rFonts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服务需求偏离表</w:t>
      </w:r>
    </w:p>
    <w:p w14:paraId="0B48C946">
      <w:pPr>
        <w:shd w:val="clear"/>
        <w:wordWrap w:val="0"/>
        <w:spacing w:line="336"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Cs/>
          <w:color w:val="auto"/>
          <w:sz w:val="44"/>
          <w:szCs w:val="44"/>
          <w:highlight w:val="none"/>
        </w:rPr>
        <w:t>(注：按采购需求具体条款修改)</w:t>
      </w:r>
    </w:p>
    <w:p w14:paraId="4D98AEF4">
      <w:pPr>
        <w:shd w:val="clear"/>
        <w:wordWrap w:val="0"/>
        <w:spacing w:line="336" w:lineRule="auto"/>
        <w:contextualSpacing/>
        <w:jc w:val="left"/>
        <w:rPr>
          <w:rFonts w:asciiTheme="minorEastAsia" w:hAnsiTheme="minorEastAsia" w:eastAsiaTheme="minorEastAsia" w:cstheme="minorEastAsia"/>
          <w:color w:val="auto"/>
          <w:sz w:val="24"/>
          <w:highlight w:val="none"/>
        </w:rPr>
      </w:pPr>
    </w:p>
    <w:p w14:paraId="03C0407C">
      <w:pPr>
        <w:pStyle w:val="13"/>
        <w:shd w:val="clear"/>
        <w:wordWrap w:val="0"/>
        <w:spacing w:line="336" w:lineRule="auto"/>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所响应分标：</w:t>
      </w:r>
      <w:r>
        <w:rPr>
          <w:rFonts w:hint="eastAsia" w:asciiTheme="minorEastAsia" w:hAnsiTheme="minorEastAsia" w:eastAsiaTheme="minorEastAsia" w:cstheme="minorEastAsia"/>
          <w:color w:val="auto"/>
          <w:sz w:val="24"/>
          <w:szCs w:val="24"/>
          <w:highlight w:val="none"/>
          <w:u w:val="single"/>
        </w:rPr>
        <w:t xml:space="preserve">              </w:t>
      </w:r>
    </w:p>
    <w:tbl>
      <w:tblPr>
        <w:tblStyle w:val="21"/>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138B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vAlign w:val="center"/>
          </w:tcPr>
          <w:p w14:paraId="4C0A4696">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项号</w:t>
            </w:r>
          </w:p>
        </w:tc>
        <w:tc>
          <w:tcPr>
            <w:tcW w:w="3454" w:type="dxa"/>
            <w:gridSpan w:val="3"/>
            <w:tcBorders>
              <w:top w:val="single" w:color="auto" w:sz="4" w:space="0"/>
              <w:left w:val="single" w:color="auto" w:sz="4" w:space="0"/>
              <w:bottom w:val="single" w:color="auto" w:sz="4" w:space="0"/>
              <w:right w:val="single" w:color="auto" w:sz="4" w:space="0"/>
            </w:tcBorders>
            <w:vAlign w:val="center"/>
          </w:tcPr>
          <w:p w14:paraId="64D75854">
            <w:pPr>
              <w:shd w:val="clear"/>
              <w:wordWrap w:val="0"/>
              <w:spacing w:line="336"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vAlign w:val="center"/>
          </w:tcPr>
          <w:p w14:paraId="0EE7EC39">
            <w:pPr>
              <w:shd w:val="clear"/>
              <w:wordWrap w:val="0"/>
              <w:spacing w:line="336"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65CA43AD">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偏离说明</w:t>
            </w:r>
          </w:p>
        </w:tc>
      </w:tr>
      <w:tr w14:paraId="28E7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14:paraId="59AC4B91">
            <w:pPr>
              <w:widowControl/>
              <w:shd w:val="clear"/>
              <w:wordWrap w:val="0"/>
              <w:spacing w:line="336" w:lineRule="auto"/>
              <w:jc w:val="left"/>
              <w:rPr>
                <w:rFonts w:asciiTheme="minorEastAsia" w:hAnsiTheme="minorEastAsia" w:eastAsiaTheme="minorEastAsia" w:cstheme="minorEastAsia"/>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27351C42">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35B1840A">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576" w:type="dxa"/>
            <w:tcBorders>
              <w:top w:val="single" w:color="auto" w:sz="4" w:space="0"/>
              <w:left w:val="single" w:color="auto" w:sz="4" w:space="0"/>
              <w:bottom w:val="single" w:color="auto" w:sz="4" w:space="0"/>
              <w:right w:val="single" w:color="auto" w:sz="4" w:space="0"/>
            </w:tcBorders>
            <w:vAlign w:val="center"/>
          </w:tcPr>
          <w:p w14:paraId="22F20A50">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服务参数要求</w:t>
            </w:r>
          </w:p>
        </w:tc>
        <w:tc>
          <w:tcPr>
            <w:tcW w:w="1140" w:type="dxa"/>
            <w:tcBorders>
              <w:top w:val="single" w:color="auto" w:sz="4" w:space="0"/>
              <w:left w:val="single" w:color="auto" w:sz="4" w:space="0"/>
              <w:bottom w:val="single" w:color="auto" w:sz="4" w:space="0"/>
              <w:right w:val="single" w:color="auto" w:sz="4" w:space="0"/>
            </w:tcBorders>
            <w:vAlign w:val="center"/>
          </w:tcPr>
          <w:p w14:paraId="7498513B">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4A37F33A">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146" w:type="dxa"/>
            <w:tcBorders>
              <w:top w:val="single" w:color="auto" w:sz="4" w:space="0"/>
              <w:left w:val="single" w:color="auto" w:sz="4" w:space="0"/>
              <w:bottom w:val="single" w:color="auto" w:sz="4" w:space="0"/>
              <w:right w:val="single" w:color="auto" w:sz="4" w:space="0"/>
            </w:tcBorders>
            <w:vAlign w:val="center"/>
          </w:tcPr>
          <w:p w14:paraId="1F3307E3">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服务参数</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500A734F">
            <w:pPr>
              <w:widowControl/>
              <w:shd w:val="clear"/>
              <w:wordWrap w:val="0"/>
              <w:spacing w:line="336" w:lineRule="auto"/>
              <w:jc w:val="left"/>
              <w:rPr>
                <w:rFonts w:asciiTheme="minorEastAsia" w:hAnsiTheme="minorEastAsia" w:eastAsiaTheme="minorEastAsia" w:cstheme="minorEastAsia"/>
                <w:color w:val="auto"/>
                <w:szCs w:val="21"/>
                <w:highlight w:val="none"/>
              </w:rPr>
            </w:pPr>
          </w:p>
        </w:tc>
      </w:tr>
      <w:tr w14:paraId="2E50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313FE831">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142" w:type="dxa"/>
            <w:tcBorders>
              <w:top w:val="single" w:color="auto" w:sz="4" w:space="0"/>
              <w:left w:val="single" w:color="auto" w:sz="4" w:space="0"/>
              <w:bottom w:val="single" w:color="auto" w:sz="4" w:space="0"/>
              <w:right w:val="single" w:color="auto" w:sz="4" w:space="0"/>
            </w:tcBorders>
            <w:vAlign w:val="center"/>
          </w:tcPr>
          <w:p w14:paraId="11AEC630">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68F9F759">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vAlign w:val="center"/>
          </w:tcPr>
          <w:p w14:paraId="45D6FACD">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5607F270">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473B749F">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1B90805C">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vAlign w:val="center"/>
          </w:tcPr>
          <w:p w14:paraId="34357B9B">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5060E644">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vAlign w:val="center"/>
          </w:tcPr>
          <w:p w14:paraId="1D6593A3">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51E95139">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6E3EB692">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5576B432">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vAlign w:val="center"/>
          </w:tcPr>
          <w:p w14:paraId="7CC92984">
            <w:pPr>
              <w:shd w:val="clear"/>
              <w:wordWrap w:val="0"/>
              <w:spacing w:line="336" w:lineRule="auto"/>
              <w:rPr>
                <w:rFonts w:asciiTheme="minorEastAsia" w:hAnsiTheme="minorEastAsia" w:eastAsiaTheme="minorEastAsia" w:cstheme="minorEastAsia"/>
                <w:color w:val="auto"/>
                <w:szCs w:val="21"/>
                <w:highlight w:val="none"/>
              </w:rPr>
            </w:pPr>
          </w:p>
        </w:tc>
      </w:tr>
      <w:tr w14:paraId="7725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359CE6DE">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142" w:type="dxa"/>
            <w:tcBorders>
              <w:top w:val="single" w:color="auto" w:sz="4" w:space="0"/>
              <w:left w:val="single" w:color="auto" w:sz="4" w:space="0"/>
              <w:bottom w:val="single" w:color="auto" w:sz="4" w:space="0"/>
              <w:right w:val="single" w:color="auto" w:sz="4" w:space="0"/>
            </w:tcBorders>
            <w:vAlign w:val="center"/>
          </w:tcPr>
          <w:p w14:paraId="7A363F5F">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6A60D0F7">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vAlign w:val="center"/>
          </w:tcPr>
          <w:p w14:paraId="5EF37959">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5CDFC09D">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6B986C09">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480EA169">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vAlign w:val="center"/>
          </w:tcPr>
          <w:p w14:paraId="468619D0">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67B82482">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vAlign w:val="center"/>
          </w:tcPr>
          <w:p w14:paraId="4F279FCE">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230E4EDC">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01CB3890">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0C6CA697">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vAlign w:val="center"/>
          </w:tcPr>
          <w:p w14:paraId="55DEDDD6">
            <w:pPr>
              <w:shd w:val="clear"/>
              <w:wordWrap w:val="0"/>
              <w:spacing w:line="336" w:lineRule="auto"/>
              <w:rPr>
                <w:rFonts w:asciiTheme="minorEastAsia" w:hAnsiTheme="minorEastAsia" w:eastAsiaTheme="minorEastAsia" w:cstheme="minorEastAsia"/>
                <w:color w:val="auto"/>
                <w:szCs w:val="21"/>
                <w:highlight w:val="none"/>
              </w:rPr>
            </w:pPr>
          </w:p>
        </w:tc>
      </w:tr>
      <w:tr w14:paraId="2FEE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3F0682ED">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142" w:type="dxa"/>
            <w:tcBorders>
              <w:top w:val="single" w:color="auto" w:sz="4" w:space="0"/>
              <w:left w:val="single" w:color="auto" w:sz="4" w:space="0"/>
              <w:bottom w:val="single" w:color="auto" w:sz="4" w:space="0"/>
              <w:right w:val="single" w:color="auto" w:sz="4" w:space="0"/>
            </w:tcBorders>
            <w:vAlign w:val="center"/>
          </w:tcPr>
          <w:p w14:paraId="68346024">
            <w:pPr>
              <w:shd w:val="clear"/>
              <w:wordWrap w:val="0"/>
              <w:spacing w:line="336" w:lineRule="auto"/>
              <w:rPr>
                <w:rFonts w:asciiTheme="minorEastAsia" w:hAnsiTheme="minorEastAsia" w:eastAsiaTheme="minorEastAsia" w:cstheme="minorEastAsia"/>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4D40A4AB">
            <w:pPr>
              <w:shd w:val="clear"/>
              <w:wordWrap w:val="0"/>
              <w:spacing w:line="336" w:lineRule="auto"/>
              <w:rPr>
                <w:rFonts w:asciiTheme="minorEastAsia" w:hAnsiTheme="minorEastAsia" w:eastAsiaTheme="minorEastAsia" w:cstheme="minorEastAsia"/>
                <w:color w:val="auto"/>
                <w:szCs w:val="21"/>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69A439F8">
            <w:pPr>
              <w:shd w:val="clear"/>
              <w:wordWrap w:val="0"/>
              <w:spacing w:line="336" w:lineRule="auto"/>
              <w:rPr>
                <w:rFonts w:asciiTheme="minorEastAsia" w:hAnsiTheme="minorEastAsia" w:eastAsiaTheme="minorEastAsia" w:cstheme="minorEastAsia"/>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26638B8F">
            <w:pPr>
              <w:shd w:val="clear"/>
              <w:wordWrap w:val="0"/>
              <w:spacing w:line="336" w:lineRule="auto"/>
              <w:rPr>
                <w:rFonts w:asciiTheme="minorEastAsia" w:hAnsiTheme="minorEastAsia" w:eastAsiaTheme="minorEastAsia" w:cstheme="minorEastAsia"/>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14:paraId="6A7546A9">
            <w:pPr>
              <w:shd w:val="clear"/>
              <w:wordWrap w:val="0"/>
              <w:spacing w:line="336" w:lineRule="auto"/>
              <w:rPr>
                <w:rFonts w:asciiTheme="minorEastAsia" w:hAnsiTheme="minorEastAsia" w:eastAsiaTheme="minorEastAsia" w:cstheme="minorEastAsia"/>
                <w:color w:val="auto"/>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14:paraId="18F31B55">
            <w:pPr>
              <w:shd w:val="clear"/>
              <w:wordWrap w:val="0"/>
              <w:spacing w:line="336" w:lineRule="auto"/>
              <w:rPr>
                <w:rFonts w:asciiTheme="minorEastAsia" w:hAnsiTheme="minorEastAsia" w:eastAsiaTheme="minorEastAsia" w:cstheme="minorEastAsia"/>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06A00F71">
            <w:pPr>
              <w:shd w:val="clear"/>
              <w:wordWrap w:val="0"/>
              <w:spacing w:line="336" w:lineRule="auto"/>
              <w:rPr>
                <w:rFonts w:asciiTheme="minorEastAsia" w:hAnsiTheme="minorEastAsia" w:eastAsiaTheme="minorEastAsia" w:cstheme="minorEastAsia"/>
                <w:color w:val="auto"/>
                <w:szCs w:val="21"/>
                <w:highlight w:val="none"/>
              </w:rPr>
            </w:pPr>
          </w:p>
        </w:tc>
      </w:tr>
    </w:tbl>
    <w:p w14:paraId="3F4308E6">
      <w:pPr>
        <w:pStyle w:val="8"/>
        <w:shd w:val="clear"/>
        <w:wordWrap w:val="0"/>
        <w:spacing w:after="0" w:line="336" w:lineRule="auto"/>
        <w:ind w:left="900" w:hanging="480"/>
        <w:contextualSpacing/>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w:t>
      </w:r>
    </w:p>
    <w:p w14:paraId="7C597A70">
      <w:pPr>
        <w:pStyle w:val="8"/>
        <w:shd w:val="clear"/>
        <w:wordWrap w:val="0"/>
        <w:spacing w:after="0" w:line="336" w:lineRule="auto"/>
        <w:ind w:left="840" w:hanging="420"/>
        <w:contextualSpacing/>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w:t>
      </w:r>
    </w:p>
    <w:p w14:paraId="760CC8F7">
      <w:pPr>
        <w:pStyle w:val="8"/>
        <w:shd w:val="clear"/>
        <w:wordWrap w:val="0"/>
        <w:spacing w:after="0" w:line="336" w:lineRule="auto"/>
        <w:ind w:left="840" w:hanging="420"/>
        <w:contextualSpacing/>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1.说明：应对照磋商文件“第二章”中“服务需求一览表”的采购清单及技术参数条款逐条作出明确响应，并作出偏离说明。</w:t>
      </w:r>
    </w:p>
    <w:p w14:paraId="17F1A597">
      <w:pPr>
        <w:pStyle w:val="10"/>
        <w:shd w:val="clear"/>
        <w:wordWrap w:val="0"/>
        <w:spacing w:line="336" w:lineRule="auto"/>
        <w:ind w:firstLine="0" w:firstLineChars="0"/>
        <w:contextualSpacing/>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当响应文件的商务内容低于竞争性磋商采购文件要求时，磋商供应商应当如实写明“负偏离”，否则视为虚假应标</w:t>
      </w:r>
    </w:p>
    <w:p w14:paraId="7C20A6F0">
      <w:pPr>
        <w:shd w:val="clear"/>
        <w:wordWrap w:val="0"/>
        <w:spacing w:line="336"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3.表格内容均需按要求填写并盖章，不得留空，否则按响应无效处理。</w:t>
      </w:r>
    </w:p>
    <w:p w14:paraId="5601D5D1">
      <w:pPr>
        <w:pStyle w:val="13"/>
        <w:shd w:val="clear"/>
        <w:wordWrap w:val="0"/>
        <w:spacing w:line="336" w:lineRule="auto"/>
        <w:contextualSpacing/>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如果采购需求为小于、小于等于、大于或大于等于某个数值标准时，响应文件承诺不得直接复制采购需求，响应文件承诺内容应当写明响应服务具体参数或商务响应承诺的具体数值，否则按响应无效处理。如该采购需求属于不能明确具体数值的，采购人应在此采购需求的数值后标注◆号，对标注◆号的采购需求不适用上述“响应无效”条款。</w:t>
      </w:r>
    </w:p>
    <w:p w14:paraId="576310C8">
      <w:pPr>
        <w:pStyle w:val="10"/>
        <w:shd w:val="clear"/>
        <w:wordWrap w:val="0"/>
        <w:spacing w:line="336" w:lineRule="auto"/>
        <w:ind w:firstLine="0" w:firstLineChars="0"/>
        <w:contextualSpacing/>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color w:val="auto"/>
          <w:sz w:val="21"/>
          <w:szCs w:val="21"/>
          <w:highlight w:val="none"/>
        </w:rPr>
        <w:t>5. 如技术偏离表中的响应响应与佐证材料不一致的，以佐证材料为准。</w:t>
      </w:r>
    </w:p>
    <w:p w14:paraId="33D14C2D">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5D386E6C">
      <w:pPr>
        <w:shd w:val="clear"/>
        <w:wordWrap w:val="0"/>
        <w:autoSpaceDE w:val="0"/>
        <w:autoSpaceDN w:val="0"/>
        <w:spacing w:line="336" w:lineRule="auto"/>
        <w:ind w:firstLine="6240" w:firstLineChars="26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772DB9BA">
      <w:pPr>
        <w:shd w:val="clear"/>
        <w:wordWrap w:val="0"/>
        <w:adjustRightInd w:val="0"/>
        <w:snapToGrid w:val="0"/>
        <w:spacing w:line="336" w:lineRule="auto"/>
        <w:jc w:val="center"/>
        <w:rPr>
          <w:rFonts w:asciiTheme="minorEastAsia" w:hAnsiTheme="minorEastAsia" w:eastAsiaTheme="minorEastAsia" w:cstheme="minorEastAsia"/>
          <w:bCs/>
          <w:color w:val="auto"/>
          <w:sz w:val="44"/>
          <w:szCs w:val="44"/>
          <w:highlight w:val="none"/>
        </w:rPr>
      </w:pPr>
    </w:p>
    <w:p w14:paraId="095DF948">
      <w:pPr>
        <w:shd w:val="clear"/>
        <w:wordWrap w:val="0"/>
        <w:adjustRightInd w:val="0"/>
        <w:snapToGrid w:val="0"/>
        <w:spacing w:line="336"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Cs/>
          <w:color w:val="auto"/>
          <w:sz w:val="44"/>
          <w:szCs w:val="44"/>
          <w:highlight w:val="none"/>
        </w:rPr>
        <w:t>服务配置清单（如有）</w:t>
      </w:r>
    </w:p>
    <w:p w14:paraId="05873BD8">
      <w:pPr>
        <w:shd w:val="clear"/>
        <w:wordWrap w:val="0"/>
        <w:spacing w:line="336" w:lineRule="auto"/>
        <w:rPr>
          <w:rFonts w:asciiTheme="minorEastAsia" w:hAnsiTheme="minorEastAsia" w:eastAsiaTheme="minorEastAsia" w:cstheme="minorEastAsia"/>
          <w:color w:val="auto"/>
          <w:szCs w:val="21"/>
          <w:highlight w:val="none"/>
        </w:rPr>
      </w:pPr>
    </w:p>
    <w:p w14:paraId="4BDA788C">
      <w:pPr>
        <w:shd w:val="clear"/>
        <w:wordWrap w:val="0"/>
        <w:spacing w:line="336"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所响应分标：</w:t>
      </w:r>
      <w:r>
        <w:rPr>
          <w:rFonts w:hint="eastAsia" w:asciiTheme="minorEastAsia" w:hAnsiTheme="minorEastAsia" w:eastAsiaTheme="minorEastAsia" w:cstheme="minorEastAsia"/>
          <w:color w:val="auto"/>
          <w:sz w:val="24"/>
          <w:highlight w:val="none"/>
          <w:u w:val="single"/>
        </w:rPr>
        <w:t xml:space="preserve">                 </w:t>
      </w:r>
    </w:p>
    <w:tbl>
      <w:tblPr>
        <w:tblStyle w:val="21"/>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245"/>
        <w:gridCol w:w="991"/>
        <w:gridCol w:w="707"/>
        <w:gridCol w:w="1498"/>
        <w:gridCol w:w="1533"/>
        <w:gridCol w:w="897"/>
        <w:gridCol w:w="1560"/>
      </w:tblGrid>
      <w:tr w14:paraId="21E87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5588F703">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245" w:type="dxa"/>
            <w:tcBorders>
              <w:top w:val="single" w:color="auto" w:sz="4" w:space="0"/>
              <w:left w:val="single" w:color="auto" w:sz="4" w:space="0"/>
              <w:bottom w:val="single" w:color="auto" w:sz="4" w:space="0"/>
              <w:right w:val="single" w:color="auto" w:sz="4" w:space="0"/>
            </w:tcBorders>
            <w:vAlign w:val="center"/>
          </w:tcPr>
          <w:p w14:paraId="28B8A6CE">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服务名称</w:t>
            </w:r>
          </w:p>
        </w:tc>
        <w:tc>
          <w:tcPr>
            <w:tcW w:w="991" w:type="dxa"/>
            <w:tcBorders>
              <w:top w:val="single" w:color="auto" w:sz="4" w:space="0"/>
              <w:left w:val="single" w:color="auto" w:sz="4" w:space="0"/>
              <w:bottom w:val="single" w:color="auto" w:sz="4" w:space="0"/>
              <w:right w:val="single" w:color="auto" w:sz="4" w:space="0"/>
            </w:tcBorders>
            <w:vAlign w:val="center"/>
          </w:tcPr>
          <w:p w14:paraId="24F82A69">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数量及单位</w:t>
            </w:r>
          </w:p>
        </w:tc>
        <w:tc>
          <w:tcPr>
            <w:tcW w:w="707" w:type="dxa"/>
            <w:tcBorders>
              <w:top w:val="single" w:color="auto" w:sz="4" w:space="0"/>
              <w:left w:val="single" w:color="auto" w:sz="4" w:space="0"/>
              <w:bottom w:val="single" w:color="auto" w:sz="4" w:space="0"/>
              <w:right w:val="single" w:color="auto" w:sz="4" w:space="0"/>
            </w:tcBorders>
            <w:vAlign w:val="center"/>
          </w:tcPr>
          <w:p w14:paraId="79EE92EC">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品牌</w:t>
            </w:r>
          </w:p>
        </w:tc>
        <w:tc>
          <w:tcPr>
            <w:tcW w:w="1498" w:type="dxa"/>
            <w:tcBorders>
              <w:top w:val="single" w:color="auto" w:sz="4" w:space="0"/>
              <w:left w:val="single" w:color="auto" w:sz="4" w:space="0"/>
              <w:bottom w:val="single" w:color="auto" w:sz="4" w:space="0"/>
              <w:right w:val="single" w:color="auto" w:sz="4" w:space="0"/>
            </w:tcBorders>
          </w:tcPr>
          <w:p w14:paraId="35364DE8">
            <w:pPr>
              <w:shd w:val="clear"/>
              <w:wordWrap w:val="0"/>
              <w:snapToGrid w:val="0"/>
              <w:spacing w:line="336" w:lineRule="auto"/>
              <w:jc w:val="center"/>
              <w:rPr>
                <w:rFonts w:asciiTheme="minorEastAsia" w:hAnsiTheme="minorEastAsia" w:eastAsiaTheme="minorEastAsia" w:cstheme="minorEastAsia"/>
                <w:color w:val="auto"/>
                <w:sz w:val="24"/>
                <w:highlight w:val="none"/>
              </w:rPr>
            </w:pPr>
          </w:p>
          <w:p w14:paraId="13BBE7F9">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规格型号</w:t>
            </w:r>
          </w:p>
        </w:tc>
        <w:tc>
          <w:tcPr>
            <w:tcW w:w="1533" w:type="dxa"/>
            <w:tcBorders>
              <w:top w:val="single" w:color="auto" w:sz="4" w:space="0"/>
              <w:left w:val="single" w:color="auto" w:sz="4" w:space="0"/>
              <w:bottom w:val="single" w:color="auto" w:sz="4" w:space="0"/>
              <w:right w:val="single" w:color="auto" w:sz="4" w:space="0"/>
            </w:tcBorders>
            <w:vAlign w:val="center"/>
          </w:tcPr>
          <w:p w14:paraId="2598EBBD">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制造商</w:t>
            </w:r>
          </w:p>
        </w:tc>
        <w:tc>
          <w:tcPr>
            <w:tcW w:w="897" w:type="dxa"/>
            <w:tcBorders>
              <w:top w:val="single" w:color="auto" w:sz="4" w:space="0"/>
              <w:left w:val="single" w:color="auto" w:sz="4" w:space="0"/>
              <w:bottom w:val="single" w:color="auto" w:sz="4" w:space="0"/>
              <w:right w:val="single" w:color="auto" w:sz="4" w:space="0"/>
            </w:tcBorders>
            <w:vAlign w:val="center"/>
          </w:tcPr>
          <w:p w14:paraId="4BC882CD">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原产地</w:t>
            </w:r>
          </w:p>
        </w:tc>
        <w:tc>
          <w:tcPr>
            <w:tcW w:w="1560" w:type="dxa"/>
            <w:tcBorders>
              <w:top w:val="single" w:color="auto" w:sz="4" w:space="0"/>
              <w:left w:val="single" w:color="auto" w:sz="4" w:space="0"/>
              <w:bottom w:val="single" w:color="auto" w:sz="4" w:space="0"/>
              <w:right w:val="single" w:color="auto" w:sz="4" w:space="0"/>
            </w:tcBorders>
            <w:vAlign w:val="center"/>
          </w:tcPr>
          <w:p w14:paraId="15F9ABA3">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参数性能、指标及配置</w:t>
            </w:r>
          </w:p>
        </w:tc>
      </w:tr>
      <w:tr w14:paraId="62F0F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79DC4272">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2AC7D982">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7CAD4723">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2E2E6D61">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498" w:type="dxa"/>
            <w:tcBorders>
              <w:top w:val="single" w:color="auto" w:sz="4" w:space="0"/>
              <w:left w:val="single" w:color="auto" w:sz="4" w:space="0"/>
              <w:bottom w:val="single" w:color="auto" w:sz="4" w:space="0"/>
              <w:right w:val="single" w:color="auto" w:sz="4" w:space="0"/>
            </w:tcBorders>
          </w:tcPr>
          <w:p w14:paraId="18E08083">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65F4ED4E">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02290B3D">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6A2EFEDB">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r>
      <w:tr w14:paraId="4DE50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5DDE924">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0F953212">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19D05EFC">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3A445C27">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498" w:type="dxa"/>
            <w:tcBorders>
              <w:top w:val="single" w:color="auto" w:sz="4" w:space="0"/>
              <w:left w:val="single" w:color="auto" w:sz="4" w:space="0"/>
              <w:bottom w:val="single" w:color="auto" w:sz="4" w:space="0"/>
              <w:right w:val="single" w:color="auto" w:sz="4" w:space="0"/>
            </w:tcBorders>
          </w:tcPr>
          <w:p w14:paraId="2A68BA50">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67CBC140">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65270EBF">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C7A299B">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r>
      <w:tr w14:paraId="7DA5A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F0B7A6D">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4E5DAB94">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4AFABB1C">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19F9EF16">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498" w:type="dxa"/>
            <w:tcBorders>
              <w:top w:val="single" w:color="auto" w:sz="4" w:space="0"/>
              <w:left w:val="single" w:color="auto" w:sz="4" w:space="0"/>
              <w:bottom w:val="single" w:color="auto" w:sz="4" w:space="0"/>
              <w:right w:val="single" w:color="auto" w:sz="4" w:space="0"/>
            </w:tcBorders>
          </w:tcPr>
          <w:p w14:paraId="1DBA3B21">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7D046567">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678D63B1">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17192F3">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r>
    </w:tbl>
    <w:p w14:paraId="6B96D7F4">
      <w:pPr>
        <w:shd w:val="clear"/>
        <w:wordWrap w:val="0"/>
        <w:spacing w:line="336" w:lineRule="auto"/>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p w14:paraId="78625AF7">
      <w:pPr>
        <w:shd w:val="clear"/>
        <w:tabs>
          <w:tab w:val="left" w:pos="1065"/>
        </w:tabs>
        <w:wordWrap w:val="0"/>
        <w:adjustRightInd w:val="0"/>
        <w:spacing w:line="336" w:lineRule="auto"/>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以上性能配置清单中“服务名称、数量及单位、品牌、规格型号、制造商、原产地、参数性能、指标及配置”必须如实填写完整，品牌、规格型号没有则填无，填写有缺漏的，响应文件作无效处理。</w:t>
      </w:r>
      <w:r>
        <w:rPr>
          <w:rFonts w:hint="eastAsia" w:asciiTheme="minorEastAsia" w:hAnsiTheme="minorEastAsia" w:eastAsiaTheme="minorEastAsia" w:cstheme="minorEastAsia"/>
          <w:bCs/>
          <w:color w:val="auto"/>
          <w:sz w:val="24"/>
          <w:highlight w:val="none"/>
        </w:rPr>
        <w:t>服务名称、数量及单位、品牌必须与“服务需求一览表”一致，否则响应文件作无效处理</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rPr>
        <w:tab/>
      </w:r>
    </w:p>
    <w:p w14:paraId="70F1F252">
      <w:pPr>
        <w:shd w:val="clear"/>
        <w:wordWrap w:val="0"/>
        <w:adjustRightInd w:val="0"/>
        <w:spacing w:line="336" w:lineRule="auto"/>
        <w:contextualSpacing/>
        <w:jc w:val="left"/>
        <w:rPr>
          <w:rFonts w:asciiTheme="minorEastAsia" w:hAnsiTheme="minorEastAsia" w:eastAsiaTheme="minorEastAsia" w:cstheme="minorEastAsia"/>
          <w:color w:val="auto"/>
          <w:sz w:val="24"/>
          <w:highlight w:val="none"/>
        </w:rPr>
      </w:pPr>
    </w:p>
    <w:p w14:paraId="70C5DE8E">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1C35DF75">
      <w:pPr>
        <w:shd w:val="clear"/>
        <w:wordWrap w:val="0"/>
        <w:spacing w:line="336" w:lineRule="auto"/>
        <w:jc w:val="center"/>
        <w:rPr>
          <w:rFonts w:asciiTheme="minorEastAsia" w:hAnsiTheme="minorEastAsia" w:eastAsiaTheme="minorEastAsia" w:cstheme="minorEastAsia"/>
          <w:color w:val="auto"/>
          <w:kern w:val="0"/>
          <w:sz w:val="24"/>
          <w:highlight w:val="none"/>
          <w:lang w:val="zh-CN"/>
        </w:rPr>
        <w:sectPr>
          <w:pgSz w:w="11905" w:h="16838"/>
          <w:pgMar w:top="1440" w:right="1080" w:bottom="1440" w:left="1080" w:header="720" w:footer="720" w:gutter="0"/>
          <w:cols w:space="0" w:num="1"/>
        </w:sect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  年  月   日</w:t>
      </w:r>
    </w:p>
    <w:p w14:paraId="302D0222">
      <w:pPr>
        <w:shd w:val="clear"/>
        <w:wordWrap w:val="0"/>
        <w:snapToGrid w:val="0"/>
        <w:spacing w:line="336" w:lineRule="auto"/>
        <w:ind w:firstLine="602" w:firstLineChars="200"/>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八、组织服务方案</w:t>
      </w:r>
    </w:p>
    <w:p w14:paraId="26BDE1A8">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（由供应商根据采购需求及采购文件要求编制）</w:t>
      </w:r>
    </w:p>
    <w:p w14:paraId="683E481C">
      <w:pPr>
        <w:shd w:val="clear"/>
        <w:wordWrap w:val="0"/>
        <w:spacing w:line="336" w:lineRule="auto"/>
        <w:rPr>
          <w:rFonts w:asciiTheme="minorEastAsia" w:hAnsiTheme="minorEastAsia" w:eastAsiaTheme="minorEastAsia" w:cstheme="minorEastAsia"/>
          <w:b/>
          <w:bCs/>
          <w:color w:val="auto"/>
          <w:kern w:val="0"/>
          <w:sz w:val="24"/>
          <w:highlight w:val="none"/>
          <w:lang w:val="zh-CN"/>
        </w:rPr>
      </w:pPr>
      <w:bookmarkStart w:id="64" w:name="_Toc78473822"/>
      <w:r>
        <w:rPr>
          <w:rFonts w:hint="eastAsia" w:asciiTheme="minorEastAsia" w:hAnsiTheme="minorEastAsia" w:eastAsiaTheme="minorEastAsia" w:cstheme="minorEastAsia"/>
          <w:b/>
          <w:bCs/>
          <w:color w:val="auto"/>
          <w:kern w:val="0"/>
          <w:sz w:val="24"/>
          <w:highlight w:val="none"/>
          <w:lang w:val="zh-CN"/>
        </w:rPr>
        <w:t>附表:项目实施进度计划表</w:t>
      </w:r>
      <w:r>
        <w:rPr>
          <w:rFonts w:hint="eastAsia" w:asciiTheme="minorEastAsia" w:hAnsiTheme="minorEastAsia" w:eastAsiaTheme="minorEastAsia" w:cstheme="minorEastAsia"/>
          <w:b/>
          <w:color w:val="auto"/>
          <w:sz w:val="24"/>
          <w:highlight w:val="none"/>
        </w:rPr>
        <w:t>(以生效日算起)</w:t>
      </w:r>
      <w:bookmarkEnd w:id="64"/>
      <w:r>
        <w:rPr>
          <w:rFonts w:hint="eastAsia" w:asciiTheme="minorEastAsia" w:hAnsiTheme="minorEastAsia" w:eastAsiaTheme="minorEastAsia" w:cstheme="minorEastAsia"/>
          <w:b/>
          <w:color w:val="auto"/>
          <w:sz w:val="24"/>
          <w:highlight w:val="none"/>
        </w:rPr>
        <w:t xml:space="preserve"> </w:t>
      </w:r>
    </w:p>
    <w:tbl>
      <w:tblPr>
        <w:tblStyle w:val="2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2A9F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vAlign w:val="center"/>
          </w:tcPr>
          <w:p w14:paraId="561E615D">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mc:AlternateContent>
                <mc:Choice Requires="wpg">
                  <w:drawing>
                    <wp:anchor distT="0" distB="0" distL="114300" distR="114300" simplePos="0" relativeHeight="251662336"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1" name="组合 11"/>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2" name="__TH_L2"/>
                              <wps:cNvCnPr/>
                              <wps:spPr bwMode="auto">
                                <a:xfrm>
                                  <a:off x="0" y="0"/>
                                  <a:ext cx="1178" cy="1860"/>
                                </a:xfrm>
                                <a:prstGeom prst="line">
                                  <a:avLst/>
                                </a:prstGeom>
                                <a:noFill/>
                                <a:ln w="6350">
                                  <a:solidFill>
                                    <a:srgbClr val="000000"/>
                                  </a:solidFill>
                                  <a:round/>
                                </a:ln>
                                <a:effectLst/>
                              </wps:spPr>
                              <wps:bodyPr/>
                            </wps:wsp>
                            <wps:wsp>
                              <wps:cNvPr id="13" name="__TH_B113"/>
                              <wps:cNvSpPr txBox="1">
                                <a:spLocks noChangeArrowheads="1"/>
                              </wps:cNvSpPr>
                              <wps:spPr bwMode="auto">
                                <a:xfrm>
                                  <a:off x="455" y="122"/>
                                  <a:ext cx="253" cy="263"/>
                                </a:xfrm>
                                <a:prstGeom prst="rect">
                                  <a:avLst/>
                                </a:prstGeom>
                                <a:noFill/>
                                <a:ln>
                                  <a:noFill/>
                                </a:ln>
                                <a:effectLst/>
                              </wps:spPr>
                              <wps:txbx>
                                <w:txbxContent>
                                  <w:p w14:paraId="566A95EA">
                                    <w:pPr>
                                      <w:snapToGrid w:val="0"/>
                                    </w:pPr>
                                    <w:r>
                                      <w:t>工</w:t>
                                    </w:r>
                                  </w:p>
                                </w:txbxContent>
                              </wps:txbx>
                              <wps:bodyPr rot="0" vert="horz" wrap="square" lIns="0" tIns="0" rIns="0" bIns="0" anchor="t" anchorCtr="0" upright="1">
                                <a:noAutofit/>
                              </wps:bodyPr>
                            </wps:wsp>
                            <wps:wsp>
                              <wps:cNvPr id="14" name="__TH_B124"/>
                              <wps:cNvSpPr txBox="1">
                                <a:spLocks noChangeArrowheads="1"/>
                              </wps:cNvSpPr>
                              <wps:spPr bwMode="auto">
                                <a:xfrm>
                                  <a:off x="643" y="419"/>
                                  <a:ext cx="253" cy="263"/>
                                </a:xfrm>
                                <a:prstGeom prst="rect">
                                  <a:avLst/>
                                </a:prstGeom>
                                <a:noFill/>
                                <a:ln>
                                  <a:noFill/>
                                </a:ln>
                                <a:effectLst/>
                              </wps:spPr>
                              <wps:txbx>
                                <w:txbxContent>
                                  <w:p w14:paraId="55CF7FAF">
                                    <w:pPr>
                                      <w:snapToGrid w:val="0"/>
                                    </w:pPr>
                                    <w:r>
                                      <w:t>作</w:t>
                                    </w:r>
                                  </w:p>
                                </w:txbxContent>
                              </wps:txbx>
                              <wps:bodyPr rot="0" vert="horz" wrap="square" lIns="0" tIns="0" rIns="0" bIns="0" anchor="t" anchorCtr="0" upright="1">
                                <a:noAutofit/>
                              </wps:bodyPr>
                            </wps:wsp>
                            <wps:wsp>
                              <wps:cNvPr id="15" name="__TH_B135"/>
                              <wps:cNvSpPr txBox="1">
                                <a:spLocks noChangeArrowheads="1"/>
                              </wps:cNvSpPr>
                              <wps:spPr bwMode="auto">
                                <a:xfrm>
                                  <a:off x="831" y="717"/>
                                  <a:ext cx="253" cy="262"/>
                                </a:xfrm>
                                <a:prstGeom prst="rect">
                                  <a:avLst/>
                                </a:prstGeom>
                                <a:noFill/>
                                <a:ln>
                                  <a:noFill/>
                                </a:ln>
                                <a:effectLst/>
                              </wps:spPr>
                              <wps:txbx>
                                <w:txbxContent>
                                  <w:p w14:paraId="306B3470">
                                    <w:pPr>
                                      <w:snapToGrid w:val="0"/>
                                    </w:pPr>
                                    <w: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233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G+B8/BY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PXLXJ7YAAAACAEAAA8AAAAAAAAAAQAgAAAAIgAAAGRycy9kb3ducmV2Lnht&#10;bFBLAQIUABQAAAAIAIdO4kAb4Hz8FgMAAEoLAAAOAAAAAAAAAAEAIAAAACcBAABkcnMvZTJvRG9j&#10;LnhtbFBLBQYAAAAABgAGAFkBAACvBgAAAAA=&#10;">
                      <o:lock v:ext="edit" aspectratio="f"/>
                      <v:line id="__TH_L2" o:spid="_x0000_s1026" o:spt="20" style="position:absolute;left:0;top:0;height:1860;width:1178;" filled="f" stroked="t" coordsize="21600,21600" o:gfxdata="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FfH+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66A95EA">
                              <w:pPr>
                                <w:snapToGrid w:val="0"/>
                              </w:pPr>
                              <w:r>
                                <w:t>工</w:t>
                              </w:r>
                            </w:p>
                          </w:txbxContent>
                        </v:textbox>
                      </v:shape>
                      <v:shape id="__TH_B124" o:spid="_x0000_s1026" o:spt="202" type="#_x0000_t202" style="position:absolute;left:643;top:419;height:263;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5CF7FAF">
                              <w:pPr>
                                <w:snapToGrid w:val="0"/>
                              </w:pPr>
                              <w:r>
                                <w:t>作</w:t>
                              </w:r>
                            </w:p>
                          </w:txbxContent>
                        </v:textbox>
                      </v:shape>
                      <v:shape id="__TH_B135" o:spid="_x0000_s1026" o:spt="202" type="#_x0000_t202" style="position:absolute;left:831;top:717;height:262;width:253;"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06B3470">
                              <w:pPr>
                                <w:snapToGrid w:val="0"/>
                              </w:pPr>
                              <w:r>
                                <w:t>日</w:t>
                              </w:r>
                            </w:p>
                          </w:txbxContent>
                        </v:textbox>
                      </v:shape>
                    </v:group>
                  </w:pict>
                </mc:Fallback>
              </mc:AlternateContent>
            </w:r>
          </w:p>
          <w:p w14:paraId="1243C40F">
            <w:pPr>
              <w:shd w:val="clear"/>
              <w:wordWrap w:val="0"/>
              <w:spacing w:line="336" w:lineRule="auto"/>
              <w:rPr>
                <w:rFonts w:asciiTheme="minorEastAsia" w:hAnsiTheme="minorEastAsia" w:eastAsiaTheme="minorEastAsia" w:cstheme="minorEastAsia"/>
                <w:color w:val="auto"/>
                <w:sz w:val="24"/>
                <w:highlight w:val="none"/>
              </w:rPr>
            </w:pPr>
          </w:p>
          <w:p w14:paraId="4A3D180A">
            <w:pPr>
              <w:shd w:val="clear"/>
              <w:wordWrap w:val="0"/>
              <w:spacing w:line="336" w:lineRule="auto"/>
              <w:rPr>
                <w:rFonts w:asciiTheme="minorEastAsia" w:hAnsiTheme="minorEastAsia" w:eastAsiaTheme="minorEastAsia" w:cstheme="minorEastAsia"/>
                <w:color w:val="auto"/>
                <w:sz w:val="24"/>
                <w:highlight w:val="none"/>
              </w:rPr>
            </w:pPr>
          </w:p>
          <w:p w14:paraId="52310536">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内容</w:t>
            </w:r>
          </w:p>
        </w:tc>
        <w:tc>
          <w:tcPr>
            <w:tcW w:w="552" w:type="dxa"/>
            <w:vAlign w:val="center"/>
          </w:tcPr>
          <w:p w14:paraId="63DC4422">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552" w:type="dxa"/>
            <w:vAlign w:val="center"/>
          </w:tcPr>
          <w:p w14:paraId="1BD325E9">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552" w:type="dxa"/>
            <w:vAlign w:val="center"/>
          </w:tcPr>
          <w:p w14:paraId="3197C0B0">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552" w:type="dxa"/>
            <w:vAlign w:val="center"/>
          </w:tcPr>
          <w:p w14:paraId="68E210F4">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552" w:type="dxa"/>
            <w:vAlign w:val="center"/>
          </w:tcPr>
          <w:p w14:paraId="4761AD17">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552" w:type="dxa"/>
            <w:vAlign w:val="center"/>
          </w:tcPr>
          <w:p w14:paraId="69ADCC84">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553" w:type="dxa"/>
            <w:vAlign w:val="center"/>
          </w:tcPr>
          <w:p w14:paraId="5B1094EC">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553" w:type="dxa"/>
            <w:vAlign w:val="center"/>
          </w:tcPr>
          <w:p w14:paraId="28BCE0E1">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553" w:type="dxa"/>
            <w:vAlign w:val="center"/>
          </w:tcPr>
          <w:p w14:paraId="51470465">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553" w:type="dxa"/>
            <w:vAlign w:val="center"/>
          </w:tcPr>
          <w:p w14:paraId="5A4FBF18">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553" w:type="dxa"/>
            <w:vAlign w:val="center"/>
          </w:tcPr>
          <w:p w14:paraId="48F0D18C">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553" w:type="dxa"/>
            <w:vAlign w:val="center"/>
          </w:tcPr>
          <w:p w14:paraId="6519FAA7">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553" w:type="dxa"/>
            <w:vAlign w:val="center"/>
          </w:tcPr>
          <w:p w14:paraId="10C7B88C">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553" w:type="dxa"/>
            <w:vAlign w:val="center"/>
          </w:tcPr>
          <w:p w14:paraId="34607424">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553" w:type="dxa"/>
            <w:vAlign w:val="center"/>
          </w:tcPr>
          <w:p w14:paraId="11C2758B">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553" w:type="dxa"/>
            <w:vAlign w:val="center"/>
          </w:tcPr>
          <w:p w14:paraId="14D78691">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2393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194E660">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7B59F092">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12B64414">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0AC4766D">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38397446">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3398EE11">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01E3F6A5">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7CA7A45A">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6603007E">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D1E8982">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02786E2">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1DD64A7D">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58BEC8F">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E3F71FD">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604E5BF1">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7B58A68E">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2BFBF337">
            <w:pPr>
              <w:shd w:val="clear"/>
              <w:wordWrap w:val="0"/>
              <w:spacing w:line="336" w:lineRule="auto"/>
              <w:rPr>
                <w:rFonts w:asciiTheme="minorEastAsia" w:hAnsiTheme="minorEastAsia" w:eastAsiaTheme="minorEastAsia" w:cstheme="minorEastAsia"/>
                <w:color w:val="auto"/>
                <w:sz w:val="24"/>
                <w:highlight w:val="none"/>
              </w:rPr>
            </w:pPr>
          </w:p>
        </w:tc>
      </w:tr>
      <w:tr w14:paraId="6DC0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AEA7847">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3340255D">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7061FCE4">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14629BEF">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1889B76F">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0A7EAAED">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6ED351F4">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12B15B4C">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2E969CFE">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07B3F25">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718B6FBA">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80A54E0">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62F13B2D">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49F34F0">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04413C8">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1BAA313A">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11202280">
            <w:pPr>
              <w:shd w:val="clear"/>
              <w:wordWrap w:val="0"/>
              <w:spacing w:line="336" w:lineRule="auto"/>
              <w:rPr>
                <w:rFonts w:asciiTheme="minorEastAsia" w:hAnsiTheme="minorEastAsia" w:eastAsiaTheme="minorEastAsia" w:cstheme="minorEastAsia"/>
                <w:color w:val="auto"/>
                <w:sz w:val="24"/>
                <w:highlight w:val="none"/>
              </w:rPr>
            </w:pPr>
          </w:p>
        </w:tc>
      </w:tr>
      <w:tr w14:paraId="3415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575C626">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70C594E3">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3C77E124">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5FA77F16">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46BE4CC8">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3E19A46B">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1A70F04E">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24F9E721">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B4A172C">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24BEDFE6">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F3B84D6">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67431A1">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D7B14F1">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251E18EA">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63D6455D">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1BE5CD9A">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3E9E34F">
            <w:pPr>
              <w:shd w:val="clear"/>
              <w:wordWrap w:val="0"/>
              <w:spacing w:line="336" w:lineRule="auto"/>
              <w:rPr>
                <w:rFonts w:asciiTheme="minorEastAsia" w:hAnsiTheme="minorEastAsia" w:eastAsiaTheme="minorEastAsia" w:cstheme="minorEastAsia"/>
                <w:color w:val="auto"/>
                <w:sz w:val="24"/>
                <w:highlight w:val="none"/>
              </w:rPr>
            </w:pPr>
          </w:p>
        </w:tc>
      </w:tr>
      <w:tr w14:paraId="5274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8C27925">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1E65133A">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7A2F0D13">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585CFDBB">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4904BD20">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6F21D3F0">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7B923BD6">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61B25F7">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1211289B">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E17FF73">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99C518B">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E86F332">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702FE671">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257AEFCD">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65D196C7">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139EA246">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B2EBD1E">
            <w:pPr>
              <w:shd w:val="clear"/>
              <w:wordWrap w:val="0"/>
              <w:spacing w:line="336" w:lineRule="auto"/>
              <w:rPr>
                <w:rFonts w:asciiTheme="minorEastAsia" w:hAnsiTheme="minorEastAsia" w:eastAsiaTheme="minorEastAsia" w:cstheme="minorEastAsia"/>
                <w:color w:val="auto"/>
                <w:sz w:val="24"/>
                <w:highlight w:val="none"/>
              </w:rPr>
            </w:pPr>
          </w:p>
        </w:tc>
      </w:tr>
      <w:tr w14:paraId="6B07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A46E36">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6C8B1A4E">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446EC2D6">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0D37C62E">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4C483DA5">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1F297F95">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2262A5E1">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D6FBA27">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7168879D">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08EAA8F">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F936F5E">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44ECDEE">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ED71B2D">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CE8617A">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BA019B1">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560A4A7">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7DBC93E">
            <w:pPr>
              <w:shd w:val="clear"/>
              <w:wordWrap w:val="0"/>
              <w:spacing w:line="336" w:lineRule="auto"/>
              <w:rPr>
                <w:rFonts w:asciiTheme="minorEastAsia" w:hAnsiTheme="minorEastAsia" w:eastAsiaTheme="minorEastAsia" w:cstheme="minorEastAsia"/>
                <w:color w:val="auto"/>
                <w:sz w:val="24"/>
                <w:highlight w:val="none"/>
              </w:rPr>
            </w:pPr>
          </w:p>
        </w:tc>
      </w:tr>
      <w:tr w14:paraId="0BC2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06602FD">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12386C80">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6DF6E224">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732F9649">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056AE499">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2C30DF7A">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2368EDFC">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7C14E0DB">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1CFEFB9">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652CB03">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16EF64E4">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6AC367A3">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292FCAB2">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03F33DC">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DC61F7F">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1727059">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A974D32">
            <w:pPr>
              <w:shd w:val="clear"/>
              <w:wordWrap w:val="0"/>
              <w:spacing w:line="336" w:lineRule="auto"/>
              <w:rPr>
                <w:rFonts w:asciiTheme="minorEastAsia" w:hAnsiTheme="minorEastAsia" w:eastAsiaTheme="minorEastAsia" w:cstheme="minorEastAsia"/>
                <w:color w:val="auto"/>
                <w:sz w:val="24"/>
                <w:highlight w:val="none"/>
              </w:rPr>
            </w:pPr>
          </w:p>
        </w:tc>
      </w:tr>
      <w:tr w14:paraId="38FB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D619CFE">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5679F1A5">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478C7B91">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37BB072B">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317E5180">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0B525165">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43C0B818">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539BF39">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299E041C">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2B61101">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6F5ACE6B">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FB17627">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E71A379">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B0D0284">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50F9356">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6E46908D">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29A1FE30">
            <w:pPr>
              <w:shd w:val="clear"/>
              <w:wordWrap w:val="0"/>
              <w:spacing w:line="336" w:lineRule="auto"/>
              <w:rPr>
                <w:rFonts w:asciiTheme="minorEastAsia" w:hAnsiTheme="minorEastAsia" w:eastAsiaTheme="minorEastAsia" w:cstheme="minorEastAsia"/>
                <w:color w:val="auto"/>
                <w:sz w:val="24"/>
                <w:highlight w:val="none"/>
              </w:rPr>
            </w:pPr>
          </w:p>
        </w:tc>
      </w:tr>
      <w:tr w14:paraId="3E0B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7E4E893">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080357CC">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3CD9272B">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25C9221F">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3A39BFD6">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6A9CFE0C">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11017104">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C748410">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63F0B0F2">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10F628DE">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7519B61">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E132962">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75322DD4">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A4C52AD">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7107CD4E">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81BEF9D">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1B336EA">
            <w:pPr>
              <w:shd w:val="clear"/>
              <w:wordWrap w:val="0"/>
              <w:spacing w:line="336" w:lineRule="auto"/>
              <w:rPr>
                <w:rFonts w:asciiTheme="minorEastAsia" w:hAnsiTheme="minorEastAsia" w:eastAsiaTheme="minorEastAsia" w:cstheme="minorEastAsia"/>
                <w:color w:val="auto"/>
                <w:sz w:val="24"/>
                <w:highlight w:val="none"/>
              </w:rPr>
            </w:pPr>
          </w:p>
        </w:tc>
      </w:tr>
      <w:tr w14:paraId="4FEE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07EB68">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276BCE99">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3E2026CC">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3452B944">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0915C529">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546028CD">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03D5822C">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7F68E19C">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2F860A8E">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1A0B83F">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6FD05358">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8B926B8">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35BC615">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9C3E553">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1C9419E2">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7952F72D">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14CDF0B2">
            <w:pPr>
              <w:shd w:val="clear"/>
              <w:wordWrap w:val="0"/>
              <w:spacing w:line="336" w:lineRule="auto"/>
              <w:rPr>
                <w:rFonts w:asciiTheme="minorEastAsia" w:hAnsiTheme="minorEastAsia" w:eastAsiaTheme="minorEastAsia" w:cstheme="minorEastAsia"/>
                <w:color w:val="auto"/>
                <w:sz w:val="24"/>
                <w:highlight w:val="none"/>
              </w:rPr>
            </w:pPr>
          </w:p>
        </w:tc>
      </w:tr>
    </w:tbl>
    <w:p w14:paraId="5AAB07AC">
      <w:pPr>
        <w:shd w:val="clear"/>
        <w:wordWrap w:val="0"/>
        <w:autoSpaceDE w:val="0"/>
        <w:autoSpaceDN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24"/>
          <w:highlight w:val="none"/>
        </w:rPr>
        <w:t>注：供应商可按上述时间表的格式自行编制切合实际的具体时间表。</w:t>
      </w:r>
    </w:p>
    <w:p w14:paraId="1863D834">
      <w:pPr>
        <w:shd w:val="clear"/>
        <w:wordWrap w:val="0"/>
        <w:spacing w:line="336" w:lineRule="auto"/>
        <w:rPr>
          <w:rFonts w:asciiTheme="minorEastAsia" w:hAnsiTheme="minorEastAsia" w:eastAsiaTheme="minorEastAsia" w:cstheme="minorEastAsia"/>
          <w:color w:val="auto"/>
          <w:sz w:val="32"/>
          <w:szCs w:val="32"/>
          <w:highlight w:val="none"/>
        </w:rPr>
      </w:pPr>
    </w:p>
    <w:p w14:paraId="5FEC2A18">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2EBC61A9">
      <w:pPr>
        <w:shd w:val="clear"/>
        <w:wordWrap w:val="0"/>
        <w:autoSpaceDE w:val="0"/>
        <w:autoSpaceDN w:val="0"/>
        <w:spacing w:line="336" w:lineRule="auto"/>
        <w:ind w:firstLine="6480" w:firstLineChars="27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3E77ACEC">
      <w:pPr>
        <w:shd w:val="clear"/>
        <w:wordWrap w:val="0"/>
        <w:spacing w:line="336" w:lineRule="auto"/>
        <w:rPr>
          <w:rFonts w:asciiTheme="minorEastAsia" w:hAnsiTheme="minorEastAsia" w:eastAsiaTheme="minorEastAsia" w:cstheme="minorEastAsia"/>
          <w:color w:val="auto"/>
          <w:sz w:val="32"/>
          <w:szCs w:val="32"/>
          <w:highlight w:val="none"/>
        </w:rPr>
      </w:pPr>
    </w:p>
    <w:p w14:paraId="5179C7E0">
      <w:pPr>
        <w:shd w:val="clear"/>
        <w:spacing w:line="336" w:lineRule="auto"/>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p>
    <w:p w14:paraId="1E80E171">
      <w:pPr>
        <w:shd w:val="clear"/>
        <w:wordWrap w:val="0"/>
        <w:snapToGrid w:val="0"/>
        <w:spacing w:line="336" w:lineRule="auto"/>
        <w:ind w:left="143" w:leftChars="68" w:firstLine="596" w:firstLineChars="198"/>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九、售后服务方案</w:t>
      </w:r>
    </w:p>
    <w:p w14:paraId="5C92D13F">
      <w:pPr>
        <w:shd w:val="clear"/>
        <w:wordWrap w:val="0"/>
        <w:snapToGrid w:val="0"/>
        <w:spacing w:line="336" w:lineRule="auto"/>
        <w:ind w:left="143" w:leftChars="68"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由磋商供应商按本项目竞争性磋商采购文件第二章“服务需求一览表”中商务条款部分的售后服务要求自行填写，其中要包含售后服务承诺书。</w:t>
      </w:r>
    </w:p>
    <w:p w14:paraId="47C8EF2F">
      <w:pPr>
        <w:shd w:val="clear"/>
        <w:wordWrap w:val="0"/>
        <w:snapToGrid w:val="0"/>
        <w:spacing w:line="336" w:lineRule="auto"/>
        <w:ind w:left="142"/>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1、售后服务承诺</w:t>
      </w:r>
    </w:p>
    <w:p w14:paraId="0D72C5B6">
      <w:pPr>
        <w:shd w:val="clear"/>
        <w:wordWrap w:val="0"/>
        <w:autoSpaceDE w:val="0"/>
        <w:autoSpaceDN w:val="0"/>
        <w:spacing w:line="336"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附表A:售后服务机构情况表</w:t>
      </w:r>
      <w:r>
        <w:rPr>
          <w:rFonts w:hint="eastAsia" w:asciiTheme="minorEastAsia" w:hAnsiTheme="minorEastAsia" w:eastAsiaTheme="minorEastAsia" w:cstheme="minorEastAsia"/>
          <w:color w:val="auto"/>
          <w:sz w:val="24"/>
          <w:highlight w:val="none"/>
        </w:rPr>
        <w:t>（按此格式自制）</w:t>
      </w:r>
    </w:p>
    <w:tbl>
      <w:tblPr>
        <w:tblStyle w:val="2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255F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A3FBC62">
            <w:pPr>
              <w:shd w:val="clear"/>
              <w:wordWrap w:val="0"/>
              <w:autoSpaceDE w:val="0"/>
              <w:autoSpaceDN w:val="0"/>
              <w:spacing w:line="336"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2340" w:type="dxa"/>
          </w:tcPr>
          <w:p w14:paraId="3BF9552B">
            <w:pPr>
              <w:shd w:val="clear"/>
              <w:wordWrap w:val="0"/>
              <w:autoSpaceDE w:val="0"/>
              <w:autoSpaceDN w:val="0"/>
              <w:spacing w:line="336"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机构名称</w:t>
            </w:r>
          </w:p>
        </w:tc>
        <w:tc>
          <w:tcPr>
            <w:tcW w:w="1095" w:type="dxa"/>
          </w:tcPr>
          <w:p w14:paraId="7B6A13E0">
            <w:pPr>
              <w:shd w:val="clear"/>
              <w:wordWrap w:val="0"/>
              <w:autoSpaceDE w:val="0"/>
              <w:autoSpaceDN w:val="0"/>
              <w:spacing w:line="336"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机构性质</w:t>
            </w:r>
          </w:p>
        </w:tc>
        <w:tc>
          <w:tcPr>
            <w:tcW w:w="1245" w:type="dxa"/>
          </w:tcPr>
          <w:p w14:paraId="55080D9A">
            <w:pPr>
              <w:shd w:val="clear"/>
              <w:wordWrap w:val="0"/>
              <w:autoSpaceDE w:val="0"/>
              <w:autoSpaceDN w:val="0"/>
              <w:spacing w:line="336"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注册地址</w:t>
            </w:r>
          </w:p>
        </w:tc>
        <w:tc>
          <w:tcPr>
            <w:tcW w:w="1980" w:type="dxa"/>
          </w:tcPr>
          <w:p w14:paraId="13F41029">
            <w:pPr>
              <w:shd w:val="clear"/>
              <w:wordWrap w:val="0"/>
              <w:autoSpaceDE w:val="0"/>
              <w:autoSpaceDN w:val="0"/>
              <w:spacing w:line="336"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服务技术人员数量</w:t>
            </w:r>
          </w:p>
        </w:tc>
        <w:tc>
          <w:tcPr>
            <w:tcW w:w="1260" w:type="dxa"/>
          </w:tcPr>
          <w:p w14:paraId="52527C6E">
            <w:pPr>
              <w:shd w:val="clear"/>
              <w:wordWrap w:val="0"/>
              <w:autoSpaceDE w:val="0"/>
              <w:autoSpaceDN w:val="0"/>
              <w:spacing w:line="336"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联系电话</w:t>
            </w:r>
          </w:p>
        </w:tc>
      </w:tr>
      <w:tr w14:paraId="4CCD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0C7ACFB">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2340" w:type="dxa"/>
          </w:tcPr>
          <w:p w14:paraId="327E38FA">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095" w:type="dxa"/>
          </w:tcPr>
          <w:p w14:paraId="532A58A3">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45" w:type="dxa"/>
          </w:tcPr>
          <w:p w14:paraId="5A2AFA53">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980" w:type="dxa"/>
          </w:tcPr>
          <w:p w14:paraId="1C4CC578">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Pr>
          <w:p w14:paraId="6CAFDC57">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r w14:paraId="6F2F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A66CAA1">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2340" w:type="dxa"/>
          </w:tcPr>
          <w:p w14:paraId="16D47FE3">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095" w:type="dxa"/>
          </w:tcPr>
          <w:p w14:paraId="32672B79">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45" w:type="dxa"/>
          </w:tcPr>
          <w:p w14:paraId="5C43D74A">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980" w:type="dxa"/>
          </w:tcPr>
          <w:p w14:paraId="2D77C9C4">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Pr>
          <w:p w14:paraId="3477B085">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r w14:paraId="60F9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86E0680">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2340" w:type="dxa"/>
          </w:tcPr>
          <w:p w14:paraId="2FFDB7C3">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095" w:type="dxa"/>
          </w:tcPr>
          <w:p w14:paraId="78C1EE6A">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45" w:type="dxa"/>
          </w:tcPr>
          <w:p w14:paraId="7B647D4A">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980" w:type="dxa"/>
          </w:tcPr>
          <w:p w14:paraId="21C2EF68">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Pr>
          <w:p w14:paraId="1F1236FE">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bl>
    <w:p w14:paraId="29B092CF">
      <w:pPr>
        <w:shd w:val="clear"/>
        <w:wordWrap w:val="0"/>
        <w:autoSpaceDE w:val="0"/>
        <w:autoSpaceDN w:val="0"/>
        <w:spacing w:line="336"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注：关于项目涉及的所有售后服务机构均在本表注明，包括供应商本单位和符合条件的第三方服务机构；</w:t>
      </w:r>
    </w:p>
    <w:p w14:paraId="04FB5128">
      <w:pPr>
        <w:shd w:val="clear"/>
        <w:wordWrap w:val="0"/>
        <w:autoSpaceDE w:val="0"/>
        <w:autoSpaceDN w:val="0"/>
        <w:spacing w:line="336" w:lineRule="auto"/>
        <w:rPr>
          <w:rFonts w:asciiTheme="minorEastAsia" w:hAnsiTheme="minorEastAsia" w:eastAsiaTheme="minorEastAsia" w:cstheme="minorEastAsia"/>
          <w:color w:val="auto"/>
          <w:kern w:val="0"/>
          <w:sz w:val="24"/>
          <w:highlight w:val="none"/>
        </w:rPr>
      </w:pPr>
    </w:p>
    <w:p w14:paraId="10184D26">
      <w:pPr>
        <w:shd w:val="clear"/>
        <w:wordWrap w:val="0"/>
        <w:autoSpaceDE w:val="0"/>
        <w:autoSpaceDN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附表B：售后服务人员情况表</w:t>
      </w:r>
      <w:r>
        <w:rPr>
          <w:rFonts w:hint="eastAsia" w:asciiTheme="minorEastAsia" w:hAnsiTheme="minorEastAsia" w:eastAsiaTheme="minorEastAsia" w:cstheme="minorEastAsia"/>
          <w:color w:val="auto"/>
          <w:sz w:val="24"/>
          <w:highlight w:val="none"/>
        </w:rPr>
        <w:t>（按此格式自制）</w:t>
      </w:r>
    </w:p>
    <w:tbl>
      <w:tblPr>
        <w:tblStyle w:val="21"/>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4D3C5625">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70D925BC">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p w14:paraId="038AFDEF">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29E04BAD">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32DAA25C">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0B3B9F5">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4A2A2C38">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348FDEAE">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2A7F4F84">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0D186C18">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3CDB9D96">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EFDF8D9">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1309442F">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到达现场时间</w:t>
            </w:r>
          </w:p>
        </w:tc>
      </w:tr>
      <w:tr w14:paraId="3AD8D2AE">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2AF767A7">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7523327">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2B65D34A">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A01B42A">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B5C7092">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9806EF7">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AB9C0F7">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3B97B50">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4E41B0D">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001BA89">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6FA74CD2">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r>
      <w:tr w14:paraId="6E7558A3">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3A9C07FD">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359DFD20">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59D82A38">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69C2D57">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1344386">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8429468">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CB74A41">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1257527">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802D288">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C199426">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2EBD3C02">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r>
      <w:tr w14:paraId="6B007C05">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4241873">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65D650BA">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50C2C66">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1A8FF9E">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A21524F">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2CFB30D">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F0E1BBA">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D60AFA4">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852F949">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5D3962C">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7234DB55">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r>
      <w:tr w14:paraId="3BBEE54E">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CF9FA0B">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68A9F7F0">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1B58350">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C3B99DA">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8EB6B2B">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5FBF989">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4308213">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40F673F">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3AE6560">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EB87FF3">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5C156E87">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r>
    </w:tbl>
    <w:p w14:paraId="49F070B2">
      <w:pPr>
        <w:pStyle w:val="13"/>
        <w:shd w:val="clear"/>
        <w:wordWrap w:val="0"/>
        <w:spacing w:line="336" w:lineRule="auto"/>
        <w:ind w:firstLine="396" w:firstLineChars="198"/>
        <w:rPr>
          <w:rFonts w:asciiTheme="minorEastAsia" w:hAnsiTheme="minorEastAsia" w:eastAsiaTheme="minorEastAsia" w:cstheme="minorEastAsia"/>
          <w:color w:val="auto"/>
          <w:highlight w:val="none"/>
        </w:rPr>
      </w:pPr>
    </w:p>
    <w:p w14:paraId="10C74F92">
      <w:pPr>
        <w:shd w:val="clear"/>
        <w:wordWrap w:val="0"/>
        <w:spacing w:line="336" w:lineRule="auto"/>
        <w:rPr>
          <w:rFonts w:asciiTheme="minorEastAsia" w:hAnsiTheme="minorEastAsia" w:eastAsiaTheme="minorEastAsia" w:cstheme="minorEastAsia"/>
          <w:color w:val="auto"/>
          <w:sz w:val="32"/>
          <w:szCs w:val="32"/>
          <w:highlight w:val="none"/>
        </w:rPr>
      </w:pPr>
    </w:p>
    <w:p w14:paraId="23031B9C">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08BFDCA5">
      <w:pPr>
        <w:shd w:val="clear"/>
        <w:wordWrap w:val="0"/>
        <w:snapToGrid w:val="0"/>
        <w:spacing w:line="336" w:lineRule="auto"/>
        <w:ind w:firstLine="6120" w:firstLineChars="25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02FF708E">
      <w:pPr>
        <w:shd w:val="clear"/>
        <w:wordWrap w:val="0"/>
        <w:snapToGrid w:val="0"/>
        <w:spacing w:line="336" w:lineRule="auto"/>
        <w:ind w:firstLine="602" w:firstLineChars="200"/>
        <w:rPr>
          <w:rFonts w:asciiTheme="minorEastAsia" w:hAnsiTheme="minorEastAsia" w:eastAsiaTheme="minorEastAsia" w:cstheme="minorEastAsia"/>
          <w:b/>
          <w:color w:val="auto"/>
          <w:sz w:val="30"/>
          <w:szCs w:val="30"/>
          <w:highlight w:val="none"/>
        </w:rPr>
      </w:pPr>
    </w:p>
    <w:p w14:paraId="3732B3E9">
      <w:pPr>
        <w:shd w:val="clear"/>
        <w:spacing w:line="336" w:lineRule="auto"/>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p>
    <w:p w14:paraId="1D9C563B">
      <w:pPr>
        <w:shd w:val="clear"/>
        <w:wordWrap w:val="0"/>
        <w:snapToGrid w:val="0"/>
        <w:spacing w:line="336" w:lineRule="auto"/>
        <w:ind w:firstLine="602" w:firstLineChars="200"/>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十、项目实施人员一览表</w:t>
      </w:r>
    </w:p>
    <w:p w14:paraId="6903CE5A">
      <w:pPr>
        <w:shd w:val="clear"/>
        <w:wordWrap w:val="0"/>
        <w:spacing w:line="336"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（由供应商根据采购需求及采购文件要求编制）</w:t>
      </w:r>
    </w:p>
    <w:p w14:paraId="7EF7FACA">
      <w:pPr>
        <w:pStyle w:val="13"/>
        <w:shd w:val="clear"/>
        <w:wordWrap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响应分标：</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分标</w:t>
      </w:r>
    </w:p>
    <w:p w14:paraId="59F15F34">
      <w:pPr>
        <w:keepNext/>
        <w:shd w:val="clear"/>
        <w:wordWrap w:val="0"/>
        <w:autoSpaceDE w:val="0"/>
        <w:autoSpaceDN w:val="0"/>
        <w:spacing w:line="336" w:lineRule="auto"/>
        <w:ind w:firstLine="477"/>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附表A:本项目的项目经理情况表</w:t>
      </w:r>
    </w:p>
    <w:tbl>
      <w:tblPr>
        <w:tblStyle w:val="21"/>
        <w:tblW w:w="8755" w:type="dxa"/>
        <w:tblInd w:w="0" w:type="dxa"/>
        <w:tblLayout w:type="fixed"/>
        <w:tblCellMar>
          <w:top w:w="0" w:type="dxa"/>
          <w:left w:w="108" w:type="dxa"/>
          <w:bottom w:w="0" w:type="dxa"/>
          <w:right w:w="108" w:type="dxa"/>
        </w:tblCellMar>
      </w:tblPr>
      <w:tblGrid>
        <w:gridCol w:w="2061"/>
        <w:gridCol w:w="1287"/>
        <w:gridCol w:w="1260"/>
        <w:gridCol w:w="4147"/>
      </w:tblGrid>
      <w:tr w14:paraId="7A6FBDD8">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0722B70">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5F346CD9">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6BA5803">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132A28F4">
            <w:pPr>
              <w:shd w:val="clear"/>
              <w:wordWrap w:val="0"/>
              <w:autoSpaceDE w:val="0"/>
              <w:autoSpaceDN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响应截止时间前三年业绩及承担的主要工作情况，曾担任项目经理的项目应列明细</w:t>
            </w:r>
          </w:p>
        </w:tc>
      </w:tr>
      <w:tr w14:paraId="1D33F4E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09AFF33">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999F4B8">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D26A3EE">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36C64F45">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r w14:paraId="63C28C5D">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DE6157F">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1BA912A">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2E8F1DA">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483F81A">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r w14:paraId="05B5A94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2EE6E0B">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1719FC5D">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AF1433C">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075BC6E">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r w14:paraId="502DF548">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283BFFA">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41C831A8">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1BCFB04">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557E559">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r w14:paraId="7CDE1094">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75264EC2">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06726947">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B8C7149">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0A24E3C">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r w14:paraId="0D46138D">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5C85C1FB">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578DD1EC">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DF5571A">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493429B">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r w14:paraId="6401F000">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0AFE5892">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5206B1D6">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5BD32F8">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5601938">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r w14:paraId="4797031E">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3F87F3D5">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3A4244FA">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F4031AC">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177EC26">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r w14:paraId="5438988F">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A606332">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431DC31">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C07E58C">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8481FDB">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bl>
    <w:p w14:paraId="2B5E6DD7">
      <w:pPr>
        <w:shd w:val="clear"/>
        <w:wordWrap w:val="0"/>
        <w:autoSpaceDE w:val="0"/>
        <w:autoSpaceDN w:val="0"/>
        <w:spacing w:line="336"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注：须随表提交相应的证书复印件并注明所在响应技术文件页码。</w:t>
      </w:r>
    </w:p>
    <w:p w14:paraId="4AB55F4C">
      <w:pPr>
        <w:shd w:val="clear"/>
        <w:wordWrap w:val="0"/>
        <w:autoSpaceDE w:val="0"/>
        <w:autoSpaceDN w:val="0"/>
        <w:spacing w:line="336"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附表B:本项目的项目小组人员情况表</w:t>
      </w:r>
      <w:r>
        <w:rPr>
          <w:rFonts w:hint="eastAsia" w:asciiTheme="minorEastAsia" w:hAnsiTheme="minorEastAsia" w:eastAsiaTheme="minorEastAsia" w:cstheme="minorEastAsia"/>
          <w:color w:val="auto"/>
          <w:sz w:val="24"/>
          <w:highlight w:val="none"/>
        </w:rPr>
        <w:t>（按此格式自制）</w:t>
      </w:r>
    </w:p>
    <w:tbl>
      <w:tblPr>
        <w:tblStyle w:val="2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FB59E56">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2B7894E2">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BBFFDF7">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E33BC9E">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325CB08">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1C8F919A">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w:t>
            </w:r>
          </w:p>
          <w:p w14:paraId="58B03DB3">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1B8D8B6">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专业</w:t>
            </w:r>
          </w:p>
          <w:p w14:paraId="34A48B8F">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913A38D">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w:t>
            </w:r>
          </w:p>
          <w:p w14:paraId="66AAA9B5">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3CF5594">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2450BF7">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171878C">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参与本项目的到位情况</w:t>
            </w:r>
          </w:p>
        </w:tc>
      </w:tr>
      <w:tr w14:paraId="587BBC03">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F0857E5">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B7CE5F7">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2048FD7">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592A086">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D6128D4">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92C7B12">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42E8CAF">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7C13D6F">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54D75BC">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FE44E7A">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r>
      <w:tr w14:paraId="7C788B45">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322E43D">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E7B58D9">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70FCA4E">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06DFE1A">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10908BF">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6C9A679">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817C6A2">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6893913">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F568E3E">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C6BF147">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r>
    </w:tbl>
    <w:p w14:paraId="2AA76F0E">
      <w:pPr>
        <w:shd w:val="clear"/>
        <w:wordWrap w:val="0"/>
        <w:spacing w:line="336"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color w:val="auto"/>
          <w:sz w:val="24"/>
          <w:highlight w:val="none"/>
        </w:rPr>
        <w:t>注：供应商可按上述的格式自行编制，须随表提交相应的证书复印件并注明所在响应技术文件页码。</w:t>
      </w:r>
    </w:p>
    <w:p w14:paraId="5604A367">
      <w:pPr>
        <w:shd w:val="clear"/>
        <w:wordWrap w:val="0"/>
        <w:snapToGrid w:val="0"/>
        <w:spacing w:line="336" w:lineRule="auto"/>
        <w:ind w:firstLine="602" w:firstLineChars="200"/>
        <w:rPr>
          <w:rFonts w:asciiTheme="minorEastAsia" w:hAnsiTheme="minorEastAsia" w:eastAsiaTheme="minorEastAsia" w:cstheme="minorEastAsia"/>
          <w:b/>
          <w:color w:val="auto"/>
          <w:sz w:val="30"/>
          <w:szCs w:val="30"/>
          <w:highlight w:val="none"/>
        </w:rPr>
      </w:pPr>
    </w:p>
    <w:p w14:paraId="7B31B7A4">
      <w:pPr>
        <w:shd w:val="clear"/>
        <w:wordWrap w:val="0"/>
        <w:autoSpaceDE w:val="0"/>
        <w:autoSpaceDN w:val="0"/>
        <w:spacing w:line="336" w:lineRule="auto"/>
        <w:ind w:firstLine="6505" w:firstLineChars="2700"/>
        <w:rPr>
          <w:rFonts w:asciiTheme="minorEastAsia" w:hAnsiTheme="minorEastAsia" w:eastAsiaTheme="minorEastAsia" w:cstheme="minorEastAsia"/>
          <w:b/>
          <w:bCs/>
          <w:color w:val="auto"/>
          <w:sz w:val="24"/>
          <w:highlight w:val="none"/>
        </w:rPr>
      </w:pPr>
    </w:p>
    <w:p w14:paraId="76A154E2">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6519578B">
      <w:pPr>
        <w:shd w:val="clear"/>
        <w:wordWrap w:val="0"/>
        <w:autoSpaceDE w:val="0"/>
        <w:autoSpaceDN w:val="0"/>
        <w:spacing w:line="336" w:lineRule="auto"/>
        <w:ind w:firstLine="6480" w:firstLineChars="27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538ED48C">
      <w:pPr>
        <w:shd w:val="clear"/>
        <w:wordWrap w:val="0"/>
        <w:autoSpaceDE w:val="0"/>
        <w:autoSpaceDN w:val="0"/>
        <w:spacing w:line="336" w:lineRule="auto"/>
        <w:ind w:firstLine="6480" w:firstLineChars="2700"/>
        <w:rPr>
          <w:rFonts w:asciiTheme="minorEastAsia" w:hAnsiTheme="minorEastAsia" w:eastAsiaTheme="minorEastAsia" w:cstheme="minorEastAsia"/>
          <w:color w:val="auto"/>
          <w:kern w:val="0"/>
          <w:sz w:val="24"/>
          <w:highlight w:val="none"/>
          <w:lang w:val="zh-CN"/>
        </w:rPr>
      </w:pPr>
    </w:p>
    <w:p w14:paraId="7A571A3D">
      <w:pPr>
        <w:shd w:val="clear"/>
        <w:wordWrap w:val="0"/>
        <w:snapToGrid w:val="0"/>
        <w:spacing w:line="336" w:lineRule="auto"/>
        <w:ind w:firstLine="602" w:firstLineChars="200"/>
        <w:rPr>
          <w:rFonts w:hint="eastAsia" w:asciiTheme="minorEastAsia" w:hAnsiTheme="minorEastAsia" w:eastAsiaTheme="minorEastAsia" w:cstheme="minorEastAsia"/>
          <w:b/>
          <w:color w:val="auto"/>
          <w:sz w:val="30"/>
          <w:szCs w:val="30"/>
          <w:highlight w:val="none"/>
        </w:rPr>
      </w:pPr>
    </w:p>
    <w:p w14:paraId="5664DB78">
      <w:pPr>
        <w:shd w:val="clear"/>
        <w:wordWrap w:val="0"/>
        <w:snapToGrid w:val="0"/>
        <w:spacing w:line="336" w:lineRule="auto"/>
        <w:ind w:firstLine="602" w:firstLineChars="200"/>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十一、服务需求、商务条款要求提供的其他材料</w:t>
      </w:r>
    </w:p>
    <w:p w14:paraId="3AAC2F14">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p>
    <w:p w14:paraId="766DEF76">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4C76B2C2">
      <w:pPr>
        <w:shd w:val="clear"/>
        <w:wordWrap w:val="0"/>
        <w:autoSpaceDE w:val="0"/>
        <w:autoSpaceDN w:val="0"/>
        <w:spacing w:line="336" w:lineRule="auto"/>
        <w:ind w:firstLine="6480" w:firstLineChars="27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5B8001D0">
      <w:pPr>
        <w:shd w:val="clear"/>
        <w:wordWrap w:val="0"/>
        <w:autoSpaceDE w:val="0"/>
        <w:autoSpaceDN w:val="0"/>
        <w:spacing w:line="336" w:lineRule="auto"/>
        <w:ind w:firstLine="6505" w:firstLineChars="2700"/>
        <w:rPr>
          <w:rFonts w:asciiTheme="minorEastAsia" w:hAnsiTheme="minorEastAsia" w:eastAsiaTheme="minorEastAsia" w:cstheme="minorEastAsia"/>
          <w:b/>
          <w:bCs/>
          <w:color w:val="auto"/>
          <w:sz w:val="24"/>
          <w:highlight w:val="none"/>
        </w:rPr>
        <w:sectPr>
          <w:pgSz w:w="11905" w:h="16838"/>
          <w:pgMar w:top="1440" w:right="1080" w:bottom="1440" w:left="1080" w:header="720" w:footer="720" w:gutter="0"/>
          <w:cols w:space="0" w:num="1"/>
        </w:sectPr>
      </w:pPr>
    </w:p>
    <w:p w14:paraId="3B1B21C6">
      <w:pPr>
        <w:shd w:val="clear"/>
        <w:wordWrap w:val="0"/>
        <w:autoSpaceDE w:val="0"/>
        <w:autoSpaceDN w:val="0"/>
        <w:spacing w:line="336" w:lineRule="auto"/>
        <w:ind w:firstLine="6505" w:firstLineChars="2700"/>
        <w:rPr>
          <w:rFonts w:asciiTheme="minorEastAsia" w:hAnsiTheme="minorEastAsia" w:eastAsiaTheme="minorEastAsia" w:cstheme="minorEastAsia"/>
          <w:b/>
          <w:bCs/>
          <w:color w:val="auto"/>
          <w:sz w:val="24"/>
          <w:highlight w:val="none"/>
        </w:rPr>
      </w:pPr>
    </w:p>
    <w:p w14:paraId="2D8BB670">
      <w:pPr>
        <w:pStyle w:val="3"/>
        <w:shd w:val="clear"/>
        <w:wordWrap w:val="0"/>
        <w:spacing w:before="0" w:after="0" w:line="336" w:lineRule="auto"/>
        <w:jc w:val="center"/>
        <w:rPr>
          <w:rFonts w:asciiTheme="minorEastAsia" w:hAnsiTheme="minorEastAsia" w:eastAsiaTheme="minorEastAsia" w:cstheme="minorEastAsia"/>
          <w:color w:val="auto"/>
          <w:highlight w:val="none"/>
        </w:rPr>
      </w:pPr>
      <w:bookmarkStart w:id="65" w:name="_Toc4827"/>
      <w:bookmarkStart w:id="66" w:name="_Toc80205941"/>
      <w:r>
        <w:rPr>
          <w:rFonts w:hint="eastAsia" w:asciiTheme="minorEastAsia" w:hAnsiTheme="minorEastAsia" w:eastAsiaTheme="minorEastAsia" w:cstheme="minorEastAsia"/>
          <w:color w:val="auto"/>
          <w:highlight w:val="none"/>
        </w:rPr>
        <w:t>第四节 报价文件格式</w:t>
      </w:r>
      <w:bookmarkEnd w:id="65"/>
      <w:bookmarkEnd w:id="66"/>
    </w:p>
    <w:p w14:paraId="60376E19">
      <w:pPr>
        <w:shd w:val="clear"/>
        <w:wordWrap w:val="0"/>
        <w:snapToGrid w:val="0"/>
        <w:spacing w:line="336" w:lineRule="auto"/>
        <w:rPr>
          <w:rFonts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全流程电子文件</w:t>
      </w:r>
    </w:p>
    <w:p w14:paraId="58A05A6C">
      <w:pPr>
        <w:shd w:val="clear"/>
        <w:wordWrap w:val="0"/>
        <w:snapToGrid w:val="0"/>
        <w:spacing w:line="336" w:lineRule="auto"/>
        <w:rPr>
          <w:rFonts w:asciiTheme="minorEastAsia" w:hAnsiTheme="minorEastAsia" w:eastAsiaTheme="minorEastAsia" w:cstheme="minorEastAsia"/>
          <w:color w:val="auto"/>
          <w:sz w:val="24"/>
          <w:szCs w:val="20"/>
          <w:highlight w:val="none"/>
        </w:rPr>
      </w:pPr>
    </w:p>
    <w:p w14:paraId="06F14B8F">
      <w:pPr>
        <w:shd w:val="clear"/>
        <w:wordWrap w:val="0"/>
        <w:snapToGrid w:val="0"/>
        <w:spacing w:line="336" w:lineRule="auto"/>
        <w:rPr>
          <w:rFonts w:asciiTheme="minorEastAsia" w:hAnsiTheme="minorEastAsia" w:eastAsiaTheme="minorEastAsia" w:cstheme="minorEastAsia"/>
          <w:color w:val="auto"/>
          <w:sz w:val="24"/>
          <w:szCs w:val="20"/>
          <w:highlight w:val="none"/>
        </w:rPr>
      </w:pPr>
    </w:p>
    <w:p w14:paraId="649D5785">
      <w:pPr>
        <w:shd w:val="clear"/>
        <w:wordWrap w:val="0"/>
        <w:snapToGrid w:val="0"/>
        <w:spacing w:line="336" w:lineRule="auto"/>
        <w:rPr>
          <w:rFonts w:asciiTheme="minorEastAsia" w:hAnsiTheme="minorEastAsia" w:eastAsiaTheme="minorEastAsia" w:cstheme="minorEastAsia"/>
          <w:color w:val="auto"/>
          <w:sz w:val="24"/>
          <w:szCs w:val="20"/>
          <w:highlight w:val="none"/>
        </w:rPr>
      </w:pPr>
    </w:p>
    <w:p w14:paraId="6987C86C">
      <w:pPr>
        <w:shd w:val="clear"/>
        <w:wordWrap w:val="0"/>
        <w:snapToGrid w:val="0"/>
        <w:spacing w:line="336" w:lineRule="auto"/>
        <w:jc w:val="center"/>
        <w:rPr>
          <w:rFonts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报  价  文  件（封面）</w:t>
      </w:r>
    </w:p>
    <w:p w14:paraId="305E027F">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3B8D7FB7">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43795264">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4BF159E7">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7B110407">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7CCA40F5">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项目名称：</w:t>
      </w:r>
      <w:r>
        <w:rPr>
          <w:rFonts w:hint="eastAsia" w:asciiTheme="minorEastAsia" w:hAnsiTheme="minorEastAsia" w:eastAsiaTheme="minorEastAsia" w:cstheme="minorEastAsia"/>
          <w:bCs/>
          <w:color w:val="auto"/>
          <w:sz w:val="32"/>
          <w:szCs w:val="32"/>
          <w:highlight w:val="none"/>
          <w:lang w:val="en-US" w:eastAsia="zh-CN"/>
        </w:rPr>
        <w:t xml:space="preserve"> </w:t>
      </w:r>
      <w:r>
        <w:rPr>
          <w:rFonts w:hint="eastAsia" w:asciiTheme="minorEastAsia" w:hAnsiTheme="minorEastAsia" w:eastAsiaTheme="minorEastAsia" w:cstheme="minorEastAsia"/>
          <w:bCs/>
          <w:color w:val="auto"/>
          <w:sz w:val="32"/>
          <w:szCs w:val="32"/>
          <w:highlight w:val="none"/>
        </w:rPr>
        <w:t xml:space="preserve">  </w:t>
      </w:r>
    </w:p>
    <w:p w14:paraId="2186046C">
      <w:pPr>
        <w:shd w:val="clear"/>
        <w:wordWrap w:val="0"/>
        <w:snapToGrid w:val="0"/>
        <w:spacing w:line="336" w:lineRule="auto"/>
        <w:ind w:firstLine="480" w:firstLineChars="150"/>
        <w:rPr>
          <w:rFonts w:asciiTheme="minorEastAsia" w:hAnsiTheme="minorEastAsia" w:eastAsiaTheme="minorEastAsia" w:cstheme="minorEastAsia"/>
          <w:bCs/>
          <w:color w:val="auto"/>
          <w:sz w:val="32"/>
          <w:szCs w:val="32"/>
          <w:highlight w:val="none"/>
        </w:rPr>
      </w:pPr>
    </w:p>
    <w:p w14:paraId="1719D608">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 xml:space="preserve">项目编号：  </w:t>
      </w:r>
      <w:r>
        <w:rPr>
          <w:rFonts w:hint="eastAsia" w:asciiTheme="minorEastAsia" w:hAnsiTheme="minorEastAsia" w:eastAsiaTheme="minorEastAsia" w:cstheme="minorEastAsia"/>
          <w:bCs/>
          <w:color w:val="auto"/>
          <w:sz w:val="32"/>
          <w:szCs w:val="32"/>
          <w:highlight w:val="none"/>
          <w:lang w:val="en-US" w:eastAsia="zh-CN"/>
        </w:rPr>
        <w:t xml:space="preserve"> </w:t>
      </w:r>
    </w:p>
    <w:p w14:paraId="646ABA0F">
      <w:pPr>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 xml:space="preserve"> </w:t>
      </w:r>
    </w:p>
    <w:p w14:paraId="14365207">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所响应分标（如有则填写，无分标时填写“无”或者留空）：</w:t>
      </w:r>
    </w:p>
    <w:p w14:paraId="2897B099">
      <w:pPr>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p>
    <w:p w14:paraId="2ABAEF49">
      <w:pPr>
        <w:pStyle w:val="6"/>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供应商名称：</w:t>
      </w:r>
    </w:p>
    <w:p w14:paraId="5E8D6A43">
      <w:pPr>
        <w:pStyle w:val="6"/>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p>
    <w:p w14:paraId="4973C4F0">
      <w:pPr>
        <w:pStyle w:val="6"/>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p>
    <w:p w14:paraId="621DC627">
      <w:pPr>
        <w:pStyle w:val="6"/>
        <w:shd w:val="clear"/>
        <w:wordWrap w:val="0"/>
        <w:snapToGrid w:val="0"/>
        <w:spacing w:line="336" w:lineRule="auto"/>
        <w:ind w:firstLine="1280" w:firstLineChars="400"/>
        <w:rPr>
          <w:rFonts w:asciiTheme="minorEastAsia" w:hAnsiTheme="minorEastAsia" w:eastAsiaTheme="minorEastAsia" w:cstheme="minorEastAsia"/>
          <w:bCs/>
          <w:color w:val="auto"/>
          <w:sz w:val="32"/>
          <w:szCs w:val="32"/>
          <w:highlight w:val="none"/>
        </w:rPr>
      </w:pPr>
    </w:p>
    <w:p w14:paraId="27777257">
      <w:pPr>
        <w:shd w:val="clear"/>
        <w:wordWrap w:val="0"/>
        <w:snapToGrid w:val="0"/>
        <w:spacing w:line="336"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年    月    日</w:t>
      </w:r>
    </w:p>
    <w:p w14:paraId="648EC8FD">
      <w:pPr>
        <w:shd w:val="clear"/>
        <w:wordWrap w:val="0"/>
        <w:snapToGrid w:val="0"/>
        <w:spacing w:line="336"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b/>
          <w:bCs/>
          <w:color w:val="auto"/>
          <w:sz w:val="32"/>
          <w:szCs w:val="32"/>
          <w:highlight w:val="none"/>
        </w:rPr>
        <w:t>报价文件目录</w:t>
      </w:r>
    </w:p>
    <w:p w14:paraId="09DEBA81">
      <w:pPr>
        <w:shd w:val="clear"/>
        <w:wordWrap w:val="0"/>
        <w:spacing w:line="336" w:lineRule="auto"/>
        <w:rPr>
          <w:rFonts w:asciiTheme="minorEastAsia" w:hAnsiTheme="minorEastAsia" w:eastAsiaTheme="minorEastAsia" w:cstheme="minorEastAsia"/>
          <w:color w:val="auto"/>
          <w:highlight w:val="none"/>
        </w:rPr>
      </w:pPr>
    </w:p>
    <w:p w14:paraId="63906C92">
      <w:pPr>
        <w:shd w:val="clear"/>
        <w:wordWrap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一、响应函………………………………………………………（页码）</w:t>
      </w:r>
    </w:p>
    <w:p w14:paraId="64C724ED">
      <w:pPr>
        <w:shd w:val="clear"/>
        <w:wordWrap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二、响应报价表…………………………………………………（页码）</w:t>
      </w:r>
    </w:p>
    <w:p w14:paraId="66C5AE49">
      <w:pPr>
        <w:shd w:val="clear"/>
        <w:wordWrap w:val="0"/>
        <w:spacing w:line="336" w:lineRule="auto"/>
        <w:rPr>
          <w:rFonts w:asciiTheme="minorEastAsia" w:hAnsiTheme="minorEastAsia" w:eastAsiaTheme="minorEastAsia" w:cstheme="minorEastAsia"/>
          <w:color w:val="auto"/>
          <w:kern w:val="0"/>
          <w:sz w:val="24"/>
          <w:highlight w:val="none"/>
        </w:rPr>
      </w:pPr>
    </w:p>
    <w:p w14:paraId="0EF3F11C">
      <w:pPr>
        <w:shd w:val="clear"/>
        <w:wordWrap w:val="0"/>
        <w:snapToGrid w:val="0"/>
        <w:spacing w:line="336" w:lineRule="auto"/>
        <w:ind w:left="142"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b/>
          <w:bCs/>
          <w:color w:val="auto"/>
          <w:sz w:val="32"/>
          <w:szCs w:val="32"/>
          <w:highlight w:val="none"/>
        </w:rPr>
        <w:t>一、响应函</w:t>
      </w:r>
    </w:p>
    <w:p w14:paraId="59D8699E">
      <w:pPr>
        <w:pStyle w:val="13"/>
        <w:shd w:val="clear"/>
        <w:wordWrap w:val="0"/>
        <w:spacing w:line="336" w:lineRule="auto"/>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响应函</w:t>
      </w:r>
    </w:p>
    <w:p w14:paraId="40564AD5">
      <w:pPr>
        <w:pStyle w:val="13"/>
        <w:shd w:val="clear"/>
        <w:wordWrap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 xml:space="preserve"> 广西邕政采购代理有限公司 </w:t>
      </w:r>
    </w:p>
    <w:p w14:paraId="2CBCDF71">
      <w:pPr>
        <w:pStyle w:val="13"/>
        <w:shd w:val="clear"/>
        <w:wordWrap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我方已仔细阅读了贵方组织的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（项目名称）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项目（项目编号：</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）的竞争性磋商采购文件的全部内容，现正式递交下述文件参加贵方组织的本次政府采购活动： </w:t>
      </w:r>
    </w:p>
    <w:p w14:paraId="6584064E">
      <w:pPr>
        <w:pStyle w:val="13"/>
        <w:shd w:val="clear"/>
        <w:wordWrap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一、首次报价文件电子版</w:t>
      </w:r>
      <w:r>
        <w:rPr>
          <w:rFonts w:hint="eastAsia" w:asciiTheme="minorEastAsia" w:hAnsiTheme="minorEastAsia" w:eastAsiaTheme="minorEastAsia" w:cstheme="minorEastAsia"/>
          <w:color w:val="auto"/>
          <w:sz w:val="24"/>
          <w:szCs w:val="24"/>
          <w:highlight w:val="none"/>
          <w:u w:val="single"/>
        </w:rPr>
        <w:t xml:space="preserve"> 一 </w:t>
      </w:r>
      <w:r>
        <w:rPr>
          <w:rFonts w:hint="eastAsia" w:asciiTheme="minorEastAsia" w:hAnsiTheme="minorEastAsia" w:eastAsiaTheme="minorEastAsia" w:cstheme="minorEastAsia"/>
          <w:color w:val="auto"/>
          <w:sz w:val="24"/>
          <w:szCs w:val="24"/>
          <w:highlight w:val="none"/>
        </w:rPr>
        <w:t>份（包含按“第三章 供应商须知”提交的全部文件）；</w:t>
      </w:r>
    </w:p>
    <w:p w14:paraId="0B2BCC9B">
      <w:pPr>
        <w:pStyle w:val="13"/>
        <w:shd w:val="clear"/>
        <w:wordWrap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二、技术文件电子版</w:t>
      </w:r>
      <w:r>
        <w:rPr>
          <w:rFonts w:hint="eastAsia" w:asciiTheme="minorEastAsia" w:hAnsiTheme="minorEastAsia" w:eastAsiaTheme="minorEastAsia" w:cstheme="minorEastAsia"/>
          <w:color w:val="auto"/>
          <w:sz w:val="24"/>
          <w:szCs w:val="24"/>
          <w:highlight w:val="none"/>
          <w:u w:val="single"/>
        </w:rPr>
        <w:t xml:space="preserve">  一  </w:t>
      </w:r>
      <w:r>
        <w:rPr>
          <w:rFonts w:hint="eastAsia" w:asciiTheme="minorEastAsia" w:hAnsiTheme="minorEastAsia" w:eastAsiaTheme="minorEastAsia" w:cstheme="minorEastAsia"/>
          <w:color w:val="auto"/>
          <w:sz w:val="24"/>
          <w:szCs w:val="24"/>
          <w:highlight w:val="none"/>
        </w:rPr>
        <w:t>份（包含按“第三章 供应商须知”提交的全部文件）；商务文件电子版</w:t>
      </w:r>
      <w:r>
        <w:rPr>
          <w:rFonts w:hint="eastAsia" w:asciiTheme="minorEastAsia" w:hAnsiTheme="minorEastAsia" w:eastAsiaTheme="minorEastAsia" w:cstheme="minorEastAsia"/>
          <w:color w:val="auto"/>
          <w:sz w:val="24"/>
          <w:szCs w:val="24"/>
          <w:highlight w:val="none"/>
          <w:u w:val="single"/>
        </w:rPr>
        <w:t xml:space="preserve">  一  </w:t>
      </w:r>
      <w:r>
        <w:rPr>
          <w:rFonts w:hint="eastAsia" w:asciiTheme="minorEastAsia" w:hAnsiTheme="minorEastAsia" w:eastAsiaTheme="minorEastAsia" w:cstheme="minorEastAsia"/>
          <w:color w:val="auto"/>
          <w:sz w:val="24"/>
          <w:szCs w:val="24"/>
          <w:highlight w:val="none"/>
        </w:rPr>
        <w:t>份（包含按“第三章 供应商须知”提交的全部文件）；（商务技术文件已合并装订成册）</w:t>
      </w:r>
    </w:p>
    <w:p w14:paraId="7D118C92">
      <w:pPr>
        <w:pStyle w:val="13"/>
        <w:shd w:val="clear"/>
        <w:wordWrap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据此函，签字人兹宣布：</w:t>
      </w:r>
    </w:p>
    <w:p w14:paraId="399E9043">
      <w:pPr>
        <w:pStyle w:val="13"/>
        <w:shd w:val="clear"/>
        <w:wordWrap w:val="0"/>
        <w:spacing w:line="336"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1、我方愿意以（大写）人民币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 (</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总报价，提交最终服务成果时间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，提供本项目招标文件第二章“服务需求”中的相应的采购内容。</w:t>
      </w:r>
    </w:p>
    <w:p w14:paraId="2BFBC7E3">
      <w:pPr>
        <w:pStyle w:val="13"/>
        <w:shd w:val="clear"/>
        <w:wordWrap w:val="0"/>
        <w:spacing w:line="336"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2、我方同意自本项目竞争性磋商采购文件采购公告规定的递交响应文件截止时间起遵循本响应函，并承诺在“第三章 供应商须知”规定的响应有效期内不修改、撤销响应文件。</w:t>
      </w:r>
    </w:p>
    <w:p w14:paraId="772FDA4B">
      <w:pPr>
        <w:pStyle w:val="13"/>
        <w:shd w:val="clear"/>
        <w:wordWrap w:val="0"/>
        <w:spacing w:line="336"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3、我方在此声明，所递交的响应文件及有关资料内容完整、真实和准确。</w:t>
      </w:r>
    </w:p>
    <w:p w14:paraId="2D6B8BD3">
      <w:pPr>
        <w:pStyle w:val="13"/>
        <w:shd w:val="clear"/>
        <w:wordWrap w:val="0"/>
        <w:spacing w:line="336"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4、如本项目采购内容涉及须符合国家强制规定的，我方承诺我方本次响应均符合国家有关强制规定。</w:t>
      </w:r>
    </w:p>
    <w:p w14:paraId="0B9F803F">
      <w:pPr>
        <w:pStyle w:val="13"/>
        <w:shd w:val="clear"/>
        <w:wordWrap w:val="0"/>
        <w:spacing w:line="336"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0219F191">
      <w:pPr>
        <w:pStyle w:val="13"/>
        <w:shd w:val="clear"/>
        <w:wordWrap w:val="0"/>
        <w:spacing w:line="336"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6、我方已详细审核竞争性磋商采购文件，我方知道必须放弃提出含糊不清或误解问题的权利。</w:t>
      </w:r>
    </w:p>
    <w:p w14:paraId="16E21638">
      <w:pPr>
        <w:pStyle w:val="13"/>
        <w:shd w:val="clear"/>
        <w:wordWrap w:val="0"/>
        <w:spacing w:line="336"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7、我方承诺满足竞争性磋商采购文件第六章“合同文本”的条款，承担完成合同的责任和义务。</w:t>
      </w:r>
    </w:p>
    <w:p w14:paraId="6C9C5AC3">
      <w:pPr>
        <w:pStyle w:val="13"/>
        <w:shd w:val="clear"/>
        <w:wordWrap w:val="0"/>
        <w:spacing w:line="336"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8、我方同意应贵方要求提供与本响应有关的任何数据或资料。若贵方需要，我方愿意提供我方作出的一切承诺的证明材料。</w:t>
      </w:r>
    </w:p>
    <w:p w14:paraId="70C6C367">
      <w:pPr>
        <w:pStyle w:val="13"/>
        <w:shd w:val="clear"/>
        <w:wordWrap w:val="0"/>
        <w:spacing w:line="336"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9、我方完全理解贵方不一定接受响应报价最低的磋商供应商为成交供应商的行为。</w:t>
      </w:r>
    </w:p>
    <w:p w14:paraId="3EB9649D">
      <w:pPr>
        <w:pStyle w:val="13"/>
        <w:shd w:val="clear"/>
        <w:wordWrap w:val="0"/>
        <w:spacing w:line="336"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40A9943">
      <w:pPr>
        <w:pStyle w:val="13"/>
        <w:numPr>
          <w:ilvl w:val="0"/>
          <w:numId w:val="5"/>
        </w:numPr>
        <w:shd w:val="clear"/>
        <w:tabs>
          <w:tab w:val="left" w:pos="945"/>
        </w:tabs>
        <w:wordWrap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提供虚假材料谋取成交、成交的；</w:t>
      </w:r>
    </w:p>
    <w:p w14:paraId="11228E0E">
      <w:pPr>
        <w:pStyle w:val="13"/>
        <w:numPr>
          <w:ilvl w:val="0"/>
          <w:numId w:val="5"/>
        </w:numPr>
        <w:shd w:val="clear"/>
        <w:tabs>
          <w:tab w:val="left" w:pos="945"/>
        </w:tabs>
        <w:wordWrap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采取不正当手段诋毁、排挤其他供应商的；</w:t>
      </w:r>
    </w:p>
    <w:p w14:paraId="6A69DEE1">
      <w:pPr>
        <w:pStyle w:val="13"/>
        <w:numPr>
          <w:ilvl w:val="0"/>
          <w:numId w:val="5"/>
        </w:numPr>
        <w:shd w:val="clear"/>
        <w:tabs>
          <w:tab w:val="left" w:pos="945"/>
        </w:tabs>
        <w:wordWrap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与采购人、其他供应商或者采购代理机构恶意串通的；</w:t>
      </w:r>
    </w:p>
    <w:p w14:paraId="31065E83">
      <w:pPr>
        <w:pStyle w:val="13"/>
        <w:numPr>
          <w:ilvl w:val="0"/>
          <w:numId w:val="5"/>
        </w:numPr>
        <w:shd w:val="clear"/>
        <w:tabs>
          <w:tab w:val="left" w:pos="945"/>
        </w:tabs>
        <w:wordWrap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向采购人、采购代理机构行贿或者提供其他不正当利益的；</w:t>
      </w:r>
    </w:p>
    <w:p w14:paraId="48C15C23">
      <w:pPr>
        <w:pStyle w:val="13"/>
        <w:numPr>
          <w:ilvl w:val="0"/>
          <w:numId w:val="5"/>
        </w:numPr>
        <w:shd w:val="clear"/>
        <w:tabs>
          <w:tab w:val="left" w:pos="945"/>
        </w:tabs>
        <w:wordWrap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在采购过程中与采购人进行协商谈判的；</w:t>
      </w:r>
    </w:p>
    <w:p w14:paraId="15E84115">
      <w:pPr>
        <w:pStyle w:val="13"/>
        <w:numPr>
          <w:ilvl w:val="0"/>
          <w:numId w:val="5"/>
        </w:numPr>
        <w:shd w:val="clear"/>
        <w:tabs>
          <w:tab w:val="left" w:pos="945"/>
        </w:tabs>
        <w:wordWrap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拒绝有关部门监督检查或提供虚假情况的。</w:t>
      </w:r>
    </w:p>
    <w:p w14:paraId="42AF276F">
      <w:pPr>
        <w:pStyle w:val="13"/>
        <w:shd w:val="clear"/>
        <w:wordWrap w:val="0"/>
        <w:spacing w:line="336" w:lineRule="auto"/>
        <w:ind w:firstLine="42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11.与本磋商有关的一切正式往来信函请寄：</w:t>
      </w:r>
      <w:r>
        <w:rPr>
          <w:rFonts w:hint="eastAsia" w:asciiTheme="minorEastAsia" w:hAnsiTheme="minorEastAsia" w:eastAsiaTheme="minorEastAsia" w:cstheme="minorEastAsia"/>
          <w:color w:val="auto"/>
          <w:sz w:val="24"/>
          <w:szCs w:val="24"/>
          <w:highlight w:val="none"/>
          <w:u w:val="single"/>
        </w:rPr>
        <w:t xml:space="preserve"> </w:t>
      </w:r>
    </w:p>
    <w:p w14:paraId="28D649C0">
      <w:pPr>
        <w:pStyle w:val="13"/>
        <w:shd w:val="clear"/>
        <w:wordWrap w:val="0"/>
        <w:spacing w:line="336" w:lineRule="auto"/>
        <w:ind w:firstLine="42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15A488B5">
      <w:pPr>
        <w:pStyle w:val="13"/>
        <w:shd w:val="clear"/>
        <w:wordWrap w:val="0"/>
        <w:spacing w:line="336" w:lineRule="auto"/>
        <w:ind w:firstLine="42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color w:val="auto"/>
          <w:sz w:val="24"/>
          <w:szCs w:val="24"/>
          <w:highlight w:val="none"/>
          <w:u w:val="single"/>
        </w:rPr>
        <w:t xml:space="preserve">                                      　　　　　　　　　</w:t>
      </w:r>
    </w:p>
    <w:p w14:paraId="686D7467">
      <w:pPr>
        <w:pStyle w:val="13"/>
        <w:shd w:val="clear"/>
        <w:wordWrap w:val="0"/>
        <w:spacing w:line="336" w:lineRule="auto"/>
        <w:ind w:firstLine="42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w:t>
      </w:r>
      <w:r>
        <w:rPr>
          <w:rFonts w:hint="eastAsia" w:asciiTheme="minorEastAsia" w:hAnsiTheme="minorEastAsia" w:eastAsiaTheme="minorEastAsia" w:cstheme="minorEastAsia"/>
          <w:color w:val="auto"/>
          <w:sz w:val="24"/>
          <w:szCs w:val="24"/>
          <w:highlight w:val="none"/>
          <w:u w:val="single"/>
        </w:rPr>
        <w:t>　　　　　　　　　　　　　　　　　　　　　　　　　　　　</w:t>
      </w:r>
    </w:p>
    <w:p w14:paraId="0B12AA5B">
      <w:pPr>
        <w:pStyle w:val="13"/>
        <w:shd w:val="clear"/>
        <w:wordWrap w:val="0"/>
        <w:spacing w:line="336" w:lineRule="auto"/>
        <w:ind w:firstLine="42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邮政编码：</w:t>
      </w:r>
      <w:r>
        <w:rPr>
          <w:rFonts w:hint="eastAsia" w:asciiTheme="minorEastAsia" w:hAnsiTheme="minorEastAsia" w:eastAsiaTheme="minorEastAsia" w:cstheme="minorEastAsia"/>
          <w:color w:val="auto"/>
          <w:sz w:val="24"/>
          <w:szCs w:val="24"/>
          <w:highlight w:val="none"/>
          <w:u w:val="single"/>
        </w:rPr>
        <w:t xml:space="preserve">                                                    </w:t>
      </w:r>
    </w:p>
    <w:p w14:paraId="2CD3635A">
      <w:pPr>
        <w:pStyle w:val="13"/>
        <w:shd w:val="clear"/>
        <w:wordWrap w:val="0"/>
        <w:spacing w:line="336" w:lineRule="auto"/>
        <w:ind w:firstLine="42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开户名称：</w:t>
      </w:r>
      <w:r>
        <w:rPr>
          <w:rFonts w:hint="eastAsia" w:asciiTheme="minorEastAsia" w:hAnsiTheme="minorEastAsia" w:eastAsiaTheme="minorEastAsia" w:cstheme="minorEastAsia"/>
          <w:color w:val="auto"/>
          <w:sz w:val="24"/>
          <w:szCs w:val="24"/>
          <w:highlight w:val="none"/>
          <w:u w:val="single"/>
        </w:rPr>
        <w:t xml:space="preserve">                                                    </w:t>
      </w:r>
    </w:p>
    <w:p w14:paraId="0428C328">
      <w:pPr>
        <w:pStyle w:val="13"/>
        <w:shd w:val="clear"/>
        <w:wordWrap w:val="0"/>
        <w:spacing w:line="336" w:lineRule="auto"/>
        <w:ind w:firstLine="42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开户银行：</w:t>
      </w:r>
      <w:r>
        <w:rPr>
          <w:rFonts w:hint="eastAsia" w:asciiTheme="minorEastAsia" w:hAnsiTheme="minorEastAsia" w:eastAsiaTheme="minorEastAsia" w:cstheme="minorEastAsia"/>
          <w:color w:val="auto"/>
          <w:sz w:val="24"/>
          <w:szCs w:val="24"/>
          <w:highlight w:val="none"/>
          <w:u w:val="single"/>
        </w:rPr>
        <w:t xml:space="preserve">                                                    </w:t>
      </w:r>
    </w:p>
    <w:p w14:paraId="397A6904">
      <w:pPr>
        <w:pStyle w:val="13"/>
        <w:shd w:val="clear"/>
        <w:wordWrap w:val="0"/>
        <w:spacing w:line="336" w:lineRule="auto"/>
        <w:ind w:firstLine="42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银行账号：</w:t>
      </w:r>
      <w:r>
        <w:rPr>
          <w:rFonts w:hint="eastAsia" w:asciiTheme="minorEastAsia" w:hAnsiTheme="minorEastAsia" w:eastAsiaTheme="minorEastAsia" w:cstheme="minorEastAsia"/>
          <w:color w:val="auto"/>
          <w:sz w:val="24"/>
          <w:szCs w:val="24"/>
          <w:highlight w:val="none"/>
          <w:u w:val="single"/>
        </w:rPr>
        <w:t xml:space="preserve">                                                    </w:t>
      </w:r>
    </w:p>
    <w:p w14:paraId="17A3CABB">
      <w:pPr>
        <w:pStyle w:val="12"/>
        <w:shd w:val="clear"/>
        <w:tabs>
          <w:tab w:val="left" w:pos="939"/>
        </w:tabs>
        <w:wordWrap w:val="0"/>
        <w:spacing w:line="336" w:lineRule="auto"/>
        <w:ind w:left="141" w:leftChars="67"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14:paraId="71042B6E">
      <w:pPr>
        <w:shd w:val="clear"/>
        <w:wordWrap w:val="0"/>
        <w:spacing w:line="336" w:lineRule="auto"/>
        <w:contextualSpacing/>
        <w:jc w:val="left"/>
        <w:rPr>
          <w:rFonts w:asciiTheme="minorEastAsia" w:hAnsiTheme="minorEastAsia" w:eastAsiaTheme="minorEastAsia" w:cstheme="minorEastAsia"/>
          <w:color w:val="auto"/>
          <w:sz w:val="24"/>
          <w:highlight w:val="none"/>
        </w:rPr>
      </w:pPr>
    </w:p>
    <w:p w14:paraId="01BEF083">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6D176C8E">
      <w:pPr>
        <w:shd w:val="clear"/>
        <w:wordWrap w:val="0"/>
        <w:autoSpaceDE w:val="0"/>
        <w:autoSpaceDN w:val="0"/>
        <w:spacing w:line="336" w:lineRule="auto"/>
        <w:ind w:firstLine="6480" w:firstLineChars="2700"/>
        <w:rPr>
          <w:rFonts w:asciiTheme="minorEastAsia" w:hAnsiTheme="minorEastAsia" w:eastAsiaTheme="minorEastAsia" w:cstheme="minorEastAsia"/>
          <w:color w:val="auto"/>
          <w:kern w:val="0"/>
          <w:sz w:val="24"/>
          <w:highlight w:val="none"/>
          <w:lang w:val="zh-CN"/>
        </w:rPr>
        <w:sectPr>
          <w:pgSz w:w="11905" w:h="16838"/>
          <w:pgMar w:top="1440" w:right="1080" w:bottom="1440" w:left="1080" w:header="720" w:footer="720" w:gutter="0"/>
          <w:cols w:space="0" w:num="1"/>
        </w:sectPr>
      </w:pPr>
      <w:r>
        <w:rPr>
          <w:rFonts w:hint="eastAsia" w:asciiTheme="minorEastAsia" w:hAnsiTheme="minorEastAsia" w:eastAsiaTheme="minorEastAsia" w:cstheme="minorEastAsia"/>
          <w:color w:val="auto"/>
          <w:kern w:val="0"/>
          <w:sz w:val="24"/>
          <w:highlight w:val="none"/>
          <w:lang w:val="zh-CN"/>
        </w:rPr>
        <w:t>日期：  年  月   日</w:t>
      </w:r>
    </w:p>
    <w:p w14:paraId="2EB2CFAA">
      <w:pPr>
        <w:shd w:val="clear"/>
        <w:wordWrap w:val="0"/>
        <w:autoSpaceDE w:val="0"/>
        <w:autoSpaceDN w:val="0"/>
        <w:spacing w:line="336" w:lineRule="auto"/>
        <w:ind w:firstLine="6480" w:firstLineChars="2700"/>
        <w:rPr>
          <w:rFonts w:asciiTheme="minorEastAsia" w:hAnsiTheme="minorEastAsia" w:eastAsiaTheme="minorEastAsia" w:cstheme="minorEastAsia"/>
          <w:color w:val="auto"/>
          <w:kern w:val="0"/>
          <w:sz w:val="24"/>
          <w:highlight w:val="none"/>
          <w:lang w:val="zh-CN"/>
        </w:rPr>
      </w:pPr>
    </w:p>
    <w:p w14:paraId="5B425415">
      <w:pPr>
        <w:shd w:val="clear"/>
        <w:wordWrap w:val="0"/>
        <w:spacing w:line="336" w:lineRule="auto"/>
        <w:ind w:firstLine="420" w:firstLineChars="200"/>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color w:val="auto"/>
          <w:highlight w:val="none"/>
        </w:rPr>
        <w:t>二</w:t>
      </w:r>
      <w:r>
        <w:rPr>
          <w:rFonts w:hint="eastAsia" w:asciiTheme="minorEastAsia" w:hAnsiTheme="minorEastAsia" w:eastAsiaTheme="minorEastAsia" w:cstheme="minorEastAsia"/>
          <w:b/>
          <w:bCs/>
          <w:color w:val="auto"/>
          <w:sz w:val="32"/>
          <w:szCs w:val="32"/>
          <w:highlight w:val="none"/>
        </w:rPr>
        <w:t>、响应报价表</w:t>
      </w:r>
    </w:p>
    <w:p w14:paraId="0F4F8848">
      <w:pPr>
        <w:shd w:val="clear"/>
        <w:wordWrap w:val="0"/>
        <w:snapToGrid w:val="0"/>
        <w:spacing w:line="336"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p>
    <w:p w14:paraId="5157F269">
      <w:pPr>
        <w:shd w:val="clear"/>
        <w:wordWrap w:val="0"/>
        <w:snapToGrid w:val="0"/>
        <w:spacing w:line="336"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供应商名称：</w:t>
      </w:r>
      <w:r>
        <w:rPr>
          <w:rFonts w:hint="eastAsia" w:asciiTheme="minorEastAsia" w:hAnsiTheme="minorEastAsia" w:eastAsiaTheme="minorEastAsia" w:cstheme="minorEastAsia"/>
          <w:color w:val="auto"/>
          <w:sz w:val="24"/>
          <w:highlight w:val="none"/>
          <w:u w:val="single"/>
        </w:rPr>
        <w:t xml:space="preserve">        </w:t>
      </w:r>
    </w:p>
    <w:tbl>
      <w:tblPr>
        <w:tblStyle w:val="21"/>
        <w:tblpPr w:leftFromText="180" w:rightFromText="180" w:vertAnchor="text" w:horzAnchor="page" w:tblpX="941" w:tblpY="756"/>
        <w:tblOverlap w:val="never"/>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083"/>
        <w:gridCol w:w="2346"/>
        <w:gridCol w:w="1183"/>
        <w:gridCol w:w="950"/>
        <w:gridCol w:w="1612"/>
        <w:gridCol w:w="1102"/>
        <w:gridCol w:w="823"/>
      </w:tblGrid>
      <w:tr w14:paraId="4EDD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trPr>
        <w:tc>
          <w:tcPr>
            <w:tcW w:w="618" w:type="dxa"/>
            <w:tcBorders>
              <w:top w:val="single" w:color="auto" w:sz="4" w:space="0"/>
              <w:left w:val="single" w:color="auto" w:sz="4" w:space="0"/>
              <w:bottom w:val="single" w:color="auto" w:sz="4" w:space="0"/>
              <w:right w:val="single" w:color="auto" w:sz="4" w:space="0"/>
            </w:tcBorders>
            <w:vAlign w:val="center"/>
          </w:tcPr>
          <w:p w14:paraId="53E34FB7">
            <w:pPr>
              <w:shd w:val="clear"/>
              <w:wordWrap w:val="0"/>
              <w:spacing w:line="336" w:lineRule="auto"/>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序号</w:t>
            </w:r>
          </w:p>
        </w:tc>
        <w:tc>
          <w:tcPr>
            <w:tcW w:w="1083" w:type="dxa"/>
            <w:tcBorders>
              <w:top w:val="single" w:color="auto" w:sz="4" w:space="0"/>
              <w:left w:val="single" w:color="auto" w:sz="4" w:space="0"/>
              <w:bottom w:val="single" w:color="auto" w:sz="4" w:space="0"/>
              <w:right w:val="single" w:color="auto" w:sz="4" w:space="0"/>
            </w:tcBorders>
            <w:vAlign w:val="center"/>
          </w:tcPr>
          <w:p w14:paraId="342FDB69">
            <w:pPr>
              <w:shd w:val="clear"/>
              <w:wordWrap w:val="0"/>
              <w:spacing w:line="336" w:lineRule="auto"/>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服务名称</w:t>
            </w:r>
          </w:p>
        </w:tc>
        <w:tc>
          <w:tcPr>
            <w:tcW w:w="2346" w:type="dxa"/>
            <w:tcBorders>
              <w:top w:val="single" w:color="auto" w:sz="4" w:space="0"/>
              <w:left w:val="single" w:color="auto" w:sz="4" w:space="0"/>
              <w:bottom w:val="single" w:color="auto" w:sz="4" w:space="0"/>
              <w:right w:val="single" w:color="auto" w:sz="4" w:space="0"/>
            </w:tcBorders>
            <w:vAlign w:val="center"/>
          </w:tcPr>
          <w:p w14:paraId="4A131825">
            <w:pPr>
              <w:shd w:val="clear"/>
              <w:wordWrap w:val="0"/>
              <w:spacing w:line="336" w:lineRule="auto"/>
              <w:jc w:val="cente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具体服务内容</w:t>
            </w:r>
          </w:p>
        </w:tc>
        <w:tc>
          <w:tcPr>
            <w:tcW w:w="1183" w:type="dxa"/>
            <w:tcBorders>
              <w:top w:val="single" w:color="auto" w:sz="4" w:space="0"/>
              <w:left w:val="single" w:color="auto" w:sz="4" w:space="0"/>
              <w:bottom w:val="single" w:color="auto" w:sz="4" w:space="0"/>
              <w:right w:val="single" w:color="auto" w:sz="4" w:space="0"/>
            </w:tcBorders>
            <w:vAlign w:val="center"/>
          </w:tcPr>
          <w:p w14:paraId="6D2BA4D1">
            <w:pPr>
              <w:pStyle w:val="13"/>
              <w:shd w:val="clear"/>
              <w:spacing w:line="336" w:lineRule="auto"/>
              <w:jc w:val="center"/>
              <w:rPr>
                <w:rFonts w:asciiTheme="minorEastAsia" w:hAnsiTheme="minorEastAsia" w:eastAsiaTheme="minorEastAsia" w:cstheme="minorEastAsia"/>
                <w:color w:val="auto"/>
                <w:kern w:val="2"/>
                <w:sz w:val="21"/>
                <w:szCs w:val="22"/>
                <w:highlight w:val="none"/>
              </w:rPr>
            </w:pPr>
            <w:r>
              <w:rPr>
                <w:rFonts w:hint="eastAsia" w:asciiTheme="minorEastAsia" w:hAnsiTheme="minorEastAsia" w:eastAsiaTheme="minorEastAsia" w:cstheme="minorEastAsia"/>
                <w:color w:val="auto"/>
                <w:kern w:val="2"/>
                <w:sz w:val="21"/>
                <w:szCs w:val="22"/>
                <w:highlight w:val="none"/>
              </w:rPr>
              <w:t>数量</w:t>
            </w:r>
          </w:p>
          <w:p w14:paraId="3975980F">
            <w:pPr>
              <w:pStyle w:val="13"/>
              <w:shd w:val="clear"/>
              <w:spacing w:line="336" w:lineRule="auto"/>
              <w:jc w:val="center"/>
              <w:rPr>
                <w:rFonts w:asciiTheme="minorEastAsia" w:hAnsiTheme="minorEastAsia" w:eastAsiaTheme="minorEastAsia" w:cstheme="minorEastAsia"/>
                <w:color w:val="auto"/>
                <w:kern w:val="2"/>
                <w:sz w:val="21"/>
                <w:szCs w:val="22"/>
                <w:highlight w:val="none"/>
              </w:rPr>
            </w:pPr>
            <w:r>
              <w:rPr>
                <w:rFonts w:hint="eastAsia" w:asciiTheme="minorEastAsia" w:hAnsiTheme="minorEastAsia" w:eastAsiaTheme="minorEastAsia" w:cstheme="minorEastAsia"/>
                <w:color w:val="auto"/>
                <w:kern w:val="2"/>
                <w:sz w:val="21"/>
                <w:szCs w:val="22"/>
                <w:highlight w:val="none"/>
              </w:rPr>
              <w:t>①</w:t>
            </w:r>
          </w:p>
        </w:tc>
        <w:tc>
          <w:tcPr>
            <w:tcW w:w="950" w:type="dxa"/>
            <w:tcBorders>
              <w:top w:val="single" w:color="auto" w:sz="4" w:space="0"/>
              <w:left w:val="single" w:color="auto" w:sz="4" w:space="0"/>
              <w:bottom w:val="single" w:color="auto" w:sz="4" w:space="0"/>
              <w:right w:val="single" w:color="auto" w:sz="4" w:space="0"/>
            </w:tcBorders>
            <w:vAlign w:val="center"/>
          </w:tcPr>
          <w:p w14:paraId="707B8790">
            <w:pPr>
              <w:pStyle w:val="13"/>
              <w:shd w:val="clear"/>
              <w:spacing w:line="336" w:lineRule="auto"/>
              <w:jc w:val="center"/>
              <w:rPr>
                <w:rFonts w:asciiTheme="minorEastAsia" w:hAnsiTheme="minorEastAsia" w:eastAsiaTheme="minorEastAsia" w:cstheme="minorEastAsia"/>
                <w:color w:val="auto"/>
                <w:kern w:val="2"/>
                <w:sz w:val="21"/>
                <w:szCs w:val="22"/>
                <w:highlight w:val="none"/>
              </w:rPr>
            </w:pPr>
            <w:r>
              <w:rPr>
                <w:rFonts w:hint="eastAsia" w:asciiTheme="minorEastAsia" w:hAnsiTheme="minorEastAsia" w:eastAsiaTheme="minorEastAsia" w:cstheme="minorEastAsia"/>
                <w:color w:val="auto"/>
                <w:kern w:val="2"/>
                <w:sz w:val="21"/>
                <w:szCs w:val="22"/>
                <w:highlight w:val="none"/>
              </w:rPr>
              <w:t>单价(元)</w:t>
            </w:r>
          </w:p>
          <w:p w14:paraId="3C534341">
            <w:pPr>
              <w:pStyle w:val="13"/>
              <w:shd w:val="clear"/>
              <w:spacing w:line="336" w:lineRule="auto"/>
              <w:jc w:val="center"/>
              <w:rPr>
                <w:rFonts w:asciiTheme="minorEastAsia" w:hAnsiTheme="minorEastAsia" w:eastAsiaTheme="minorEastAsia" w:cstheme="minorEastAsia"/>
                <w:color w:val="auto"/>
                <w:kern w:val="2"/>
                <w:sz w:val="21"/>
                <w:szCs w:val="22"/>
                <w:highlight w:val="none"/>
              </w:rPr>
            </w:pPr>
            <w:r>
              <w:rPr>
                <w:rFonts w:hint="eastAsia" w:asciiTheme="minorEastAsia" w:hAnsiTheme="minorEastAsia" w:eastAsiaTheme="minorEastAsia" w:cstheme="minorEastAsia"/>
                <w:color w:val="auto"/>
                <w:kern w:val="2"/>
                <w:sz w:val="21"/>
                <w:szCs w:val="22"/>
                <w:highlight w:val="none"/>
              </w:rPr>
              <w:t>②</w:t>
            </w:r>
          </w:p>
        </w:tc>
        <w:tc>
          <w:tcPr>
            <w:tcW w:w="1612" w:type="dxa"/>
            <w:tcBorders>
              <w:top w:val="single" w:color="auto" w:sz="4" w:space="0"/>
              <w:left w:val="single" w:color="auto" w:sz="4" w:space="0"/>
              <w:bottom w:val="single" w:color="auto" w:sz="4" w:space="0"/>
              <w:right w:val="single" w:color="auto" w:sz="4" w:space="0"/>
            </w:tcBorders>
            <w:vAlign w:val="center"/>
          </w:tcPr>
          <w:p w14:paraId="1FC11ED3">
            <w:pPr>
              <w:pStyle w:val="13"/>
              <w:shd w:val="clear"/>
              <w:spacing w:line="336" w:lineRule="auto"/>
              <w:jc w:val="center"/>
              <w:rPr>
                <w:rFonts w:asciiTheme="minorEastAsia" w:hAnsiTheme="minorEastAsia" w:eastAsiaTheme="minorEastAsia" w:cstheme="minorEastAsia"/>
                <w:color w:val="auto"/>
                <w:kern w:val="2"/>
                <w:sz w:val="21"/>
                <w:szCs w:val="22"/>
                <w:highlight w:val="none"/>
              </w:rPr>
            </w:pPr>
            <w:r>
              <w:rPr>
                <w:rFonts w:hint="eastAsia" w:asciiTheme="minorEastAsia" w:hAnsiTheme="minorEastAsia" w:eastAsiaTheme="minorEastAsia" w:cstheme="minorEastAsia"/>
                <w:color w:val="auto"/>
                <w:kern w:val="2"/>
                <w:sz w:val="21"/>
                <w:szCs w:val="22"/>
                <w:highlight w:val="none"/>
              </w:rPr>
              <w:t>单项合价（元）</w:t>
            </w:r>
          </w:p>
          <w:p w14:paraId="4D260D85">
            <w:pPr>
              <w:pStyle w:val="13"/>
              <w:shd w:val="clear"/>
              <w:spacing w:line="336" w:lineRule="auto"/>
              <w:jc w:val="center"/>
              <w:rPr>
                <w:rFonts w:asciiTheme="minorEastAsia" w:hAnsiTheme="minorEastAsia" w:eastAsiaTheme="minorEastAsia" w:cstheme="minorEastAsia"/>
                <w:color w:val="auto"/>
                <w:kern w:val="2"/>
                <w:sz w:val="21"/>
                <w:szCs w:val="22"/>
                <w:highlight w:val="none"/>
              </w:rPr>
            </w:pPr>
            <w:r>
              <w:rPr>
                <w:rFonts w:hint="eastAsia" w:asciiTheme="minorEastAsia" w:hAnsiTheme="minorEastAsia" w:eastAsiaTheme="minorEastAsia" w:cstheme="minorEastAsia"/>
                <w:color w:val="auto"/>
                <w:kern w:val="2"/>
                <w:sz w:val="21"/>
                <w:szCs w:val="22"/>
                <w:highlight w:val="none"/>
              </w:rPr>
              <w:t>③＝①×②</w:t>
            </w:r>
          </w:p>
        </w:tc>
        <w:tc>
          <w:tcPr>
            <w:tcW w:w="1102" w:type="dxa"/>
            <w:tcBorders>
              <w:top w:val="single" w:color="auto" w:sz="4" w:space="0"/>
              <w:left w:val="single" w:color="auto" w:sz="4" w:space="0"/>
              <w:bottom w:val="single" w:color="auto" w:sz="4" w:space="0"/>
              <w:right w:val="single" w:color="auto" w:sz="4" w:space="0"/>
            </w:tcBorders>
            <w:vAlign w:val="center"/>
          </w:tcPr>
          <w:p w14:paraId="3AA050DA">
            <w:pPr>
              <w:shd w:val="clear"/>
              <w:wordWrap w:val="0"/>
              <w:spacing w:line="336" w:lineRule="auto"/>
              <w:jc w:val="cente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服务期</w:t>
            </w:r>
          </w:p>
        </w:tc>
        <w:tc>
          <w:tcPr>
            <w:tcW w:w="823" w:type="dxa"/>
            <w:tcBorders>
              <w:top w:val="single" w:color="auto" w:sz="4" w:space="0"/>
              <w:left w:val="single" w:color="auto" w:sz="4" w:space="0"/>
              <w:bottom w:val="single" w:color="auto" w:sz="4" w:space="0"/>
              <w:right w:val="single" w:color="auto" w:sz="4" w:space="0"/>
            </w:tcBorders>
            <w:vAlign w:val="center"/>
          </w:tcPr>
          <w:p w14:paraId="1D373ECB">
            <w:pPr>
              <w:shd w:val="clear"/>
              <w:wordWrap w:val="0"/>
              <w:spacing w:line="336" w:lineRule="auto"/>
              <w:jc w:val="cente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备注</w:t>
            </w:r>
          </w:p>
        </w:tc>
      </w:tr>
      <w:tr w14:paraId="1D68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18" w:type="dxa"/>
            <w:tcBorders>
              <w:top w:val="single" w:color="auto" w:sz="4" w:space="0"/>
              <w:left w:val="single" w:color="auto" w:sz="4" w:space="0"/>
              <w:bottom w:val="single" w:color="auto" w:sz="4" w:space="0"/>
              <w:right w:val="single" w:color="auto" w:sz="4" w:space="0"/>
            </w:tcBorders>
            <w:vAlign w:val="center"/>
          </w:tcPr>
          <w:p w14:paraId="34EA5F56">
            <w:pPr>
              <w:shd w:val="clear"/>
              <w:wordWrap w:val="0"/>
              <w:spacing w:line="336" w:lineRule="auto"/>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1</w:t>
            </w:r>
          </w:p>
        </w:tc>
        <w:tc>
          <w:tcPr>
            <w:tcW w:w="1083" w:type="dxa"/>
            <w:tcBorders>
              <w:top w:val="single" w:color="auto" w:sz="4" w:space="0"/>
              <w:left w:val="single" w:color="auto" w:sz="4" w:space="0"/>
              <w:bottom w:val="single" w:color="auto" w:sz="4" w:space="0"/>
              <w:right w:val="single" w:color="auto" w:sz="4" w:space="0"/>
            </w:tcBorders>
            <w:vAlign w:val="center"/>
          </w:tcPr>
          <w:p w14:paraId="48F31280">
            <w:pPr>
              <w:shd w:val="clear"/>
              <w:wordWrap w:val="0"/>
              <w:spacing w:line="336" w:lineRule="auto"/>
              <w:rPr>
                <w:rFonts w:asciiTheme="minorEastAsia" w:hAnsiTheme="minorEastAsia" w:eastAsiaTheme="minorEastAsia" w:cstheme="minorEastAsia"/>
                <w:color w:val="auto"/>
                <w:szCs w:val="22"/>
                <w:highlight w:val="none"/>
              </w:rPr>
            </w:pPr>
          </w:p>
        </w:tc>
        <w:tc>
          <w:tcPr>
            <w:tcW w:w="2346" w:type="dxa"/>
            <w:tcBorders>
              <w:top w:val="single" w:color="auto" w:sz="4" w:space="0"/>
              <w:left w:val="single" w:color="auto" w:sz="4" w:space="0"/>
              <w:bottom w:val="single" w:color="auto" w:sz="4" w:space="0"/>
              <w:right w:val="single" w:color="auto" w:sz="4" w:space="0"/>
            </w:tcBorders>
            <w:vAlign w:val="center"/>
          </w:tcPr>
          <w:p w14:paraId="1B456DC7">
            <w:pPr>
              <w:shd w:val="clear"/>
              <w:wordWrap w:val="0"/>
              <w:spacing w:line="336" w:lineRule="auto"/>
              <w:rPr>
                <w:rFonts w:asciiTheme="minorEastAsia" w:hAnsiTheme="minorEastAsia" w:eastAsiaTheme="minorEastAsia" w:cstheme="minorEastAsia"/>
                <w:color w:val="auto"/>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0E946C85">
            <w:pPr>
              <w:shd w:val="clear"/>
              <w:wordWrap w:val="0"/>
              <w:spacing w:line="336" w:lineRule="auto"/>
              <w:rPr>
                <w:rFonts w:asciiTheme="minorEastAsia" w:hAnsiTheme="minorEastAsia" w:eastAsiaTheme="minorEastAsia" w:cstheme="minorEastAsia"/>
                <w:color w:val="auto"/>
                <w:szCs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6FF8596F">
            <w:pPr>
              <w:shd w:val="clear"/>
              <w:wordWrap w:val="0"/>
              <w:spacing w:line="336" w:lineRule="auto"/>
              <w:rPr>
                <w:rFonts w:asciiTheme="minorEastAsia" w:hAnsiTheme="minorEastAsia" w:eastAsiaTheme="minorEastAsia" w:cstheme="minorEastAsia"/>
                <w:color w:val="auto"/>
                <w:szCs w:val="22"/>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14:paraId="38D9FD94">
            <w:pPr>
              <w:shd w:val="clear"/>
              <w:wordWrap w:val="0"/>
              <w:spacing w:line="336" w:lineRule="auto"/>
              <w:rPr>
                <w:rFonts w:asciiTheme="minorEastAsia" w:hAnsiTheme="minorEastAsia" w:eastAsiaTheme="minorEastAsia" w:cstheme="minorEastAsia"/>
                <w:color w:val="auto"/>
                <w:szCs w:val="22"/>
                <w:highlight w:val="none"/>
              </w:rPr>
            </w:pPr>
          </w:p>
        </w:tc>
        <w:tc>
          <w:tcPr>
            <w:tcW w:w="1102" w:type="dxa"/>
            <w:tcBorders>
              <w:top w:val="single" w:color="auto" w:sz="4" w:space="0"/>
              <w:left w:val="single" w:color="auto" w:sz="4" w:space="0"/>
              <w:bottom w:val="single" w:color="auto" w:sz="4" w:space="0"/>
              <w:right w:val="single" w:color="auto" w:sz="4" w:space="0"/>
            </w:tcBorders>
          </w:tcPr>
          <w:p w14:paraId="5A627640">
            <w:pPr>
              <w:shd w:val="clear"/>
              <w:wordWrap w:val="0"/>
              <w:spacing w:line="336" w:lineRule="auto"/>
              <w:rPr>
                <w:rFonts w:asciiTheme="minorEastAsia" w:hAnsiTheme="minorEastAsia" w:eastAsiaTheme="minorEastAsia" w:cstheme="minorEastAsia"/>
                <w:color w:val="auto"/>
                <w:szCs w:val="22"/>
                <w:highlight w:val="none"/>
              </w:rPr>
            </w:pPr>
          </w:p>
        </w:tc>
        <w:tc>
          <w:tcPr>
            <w:tcW w:w="823" w:type="dxa"/>
            <w:tcBorders>
              <w:top w:val="single" w:color="auto" w:sz="4" w:space="0"/>
              <w:left w:val="single" w:color="auto" w:sz="4" w:space="0"/>
              <w:bottom w:val="single" w:color="auto" w:sz="4" w:space="0"/>
              <w:right w:val="single" w:color="auto" w:sz="4" w:space="0"/>
            </w:tcBorders>
            <w:vAlign w:val="center"/>
          </w:tcPr>
          <w:p w14:paraId="453D9263">
            <w:pPr>
              <w:shd w:val="clear"/>
              <w:wordWrap w:val="0"/>
              <w:spacing w:line="336" w:lineRule="auto"/>
              <w:rPr>
                <w:rFonts w:asciiTheme="minorEastAsia" w:hAnsiTheme="minorEastAsia" w:eastAsiaTheme="minorEastAsia" w:cstheme="minorEastAsia"/>
                <w:color w:val="auto"/>
                <w:szCs w:val="22"/>
                <w:highlight w:val="none"/>
              </w:rPr>
            </w:pPr>
          </w:p>
        </w:tc>
      </w:tr>
      <w:tr w14:paraId="0BF9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618" w:type="dxa"/>
            <w:tcBorders>
              <w:top w:val="single" w:color="auto" w:sz="4" w:space="0"/>
              <w:left w:val="single" w:color="auto" w:sz="4" w:space="0"/>
              <w:bottom w:val="single" w:color="auto" w:sz="4" w:space="0"/>
              <w:right w:val="single" w:color="auto" w:sz="4" w:space="0"/>
            </w:tcBorders>
            <w:vAlign w:val="center"/>
          </w:tcPr>
          <w:p w14:paraId="5266F75C">
            <w:pPr>
              <w:shd w:val="clear"/>
              <w:wordWrap w:val="0"/>
              <w:spacing w:line="336" w:lineRule="auto"/>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2</w:t>
            </w:r>
          </w:p>
        </w:tc>
        <w:tc>
          <w:tcPr>
            <w:tcW w:w="1083" w:type="dxa"/>
            <w:tcBorders>
              <w:top w:val="single" w:color="auto" w:sz="4" w:space="0"/>
              <w:left w:val="single" w:color="auto" w:sz="4" w:space="0"/>
              <w:bottom w:val="single" w:color="auto" w:sz="4" w:space="0"/>
              <w:right w:val="single" w:color="auto" w:sz="4" w:space="0"/>
            </w:tcBorders>
            <w:vAlign w:val="center"/>
          </w:tcPr>
          <w:p w14:paraId="21C6065D">
            <w:pPr>
              <w:shd w:val="clear"/>
              <w:wordWrap w:val="0"/>
              <w:spacing w:line="336" w:lineRule="auto"/>
              <w:rPr>
                <w:rFonts w:asciiTheme="minorEastAsia" w:hAnsiTheme="minorEastAsia" w:eastAsiaTheme="minorEastAsia" w:cstheme="minorEastAsia"/>
                <w:color w:val="auto"/>
                <w:szCs w:val="22"/>
                <w:highlight w:val="none"/>
              </w:rPr>
            </w:pPr>
          </w:p>
        </w:tc>
        <w:tc>
          <w:tcPr>
            <w:tcW w:w="2346" w:type="dxa"/>
            <w:tcBorders>
              <w:top w:val="single" w:color="auto" w:sz="4" w:space="0"/>
              <w:left w:val="single" w:color="auto" w:sz="4" w:space="0"/>
              <w:bottom w:val="single" w:color="auto" w:sz="4" w:space="0"/>
              <w:right w:val="single" w:color="auto" w:sz="4" w:space="0"/>
            </w:tcBorders>
            <w:vAlign w:val="center"/>
          </w:tcPr>
          <w:p w14:paraId="18CD9714">
            <w:pPr>
              <w:shd w:val="clear"/>
              <w:wordWrap w:val="0"/>
              <w:spacing w:line="336" w:lineRule="auto"/>
              <w:rPr>
                <w:rFonts w:asciiTheme="minorEastAsia" w:hAnsiTheme="minorEastAsia" w:eastAsiaTheme="minorEastAsia" w:cstheme="minorEastAsia"/>
                <w:color w:val="auto"/>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48CF76A1">
            <w:pPr>
              <w:shd w:val="clear"/>
              <w:wordWrap w:val="0"/>
              <w:spacing w:line="336" w:lineRule="auto"/>
              <w:rPr>
                <w:rFonts w:asciiTheme="minorEastAsia" w:hAnsiTheme="minorEastAsia" w:eastAsiaTheme="minorEastAsia" w:cstheme="minorEastAsia"/>
                <w:color w:val="auto"/>
                <w:szCs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750B9DC6">
            <w:pPr>
              <w:shd w:val="clear"/>
              <w:wordWrap w:val="0"/>
              <w:spacing w:line="336" w:lineRule="auto"/>
              <w:rPr>
                <w:rFonts w:asciiTheme="minorEastAsia" w:hAnsiTheme="minorEastAsia" w:eastAsiaTheme="minorEastAsia" w:cstheme="minorEastAsia"/>
                <w:color w:val="auto"/>
                <w:szCs w:val="22"/>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14:paraId="0FB139E7">
            <w:pPr>
              <w:shd w:val="clear"/>
              <w:wordWrap w:val="0"/>
              <w:spacing w:line="336" w:lineRule="auto"/>
              <w:rPr>
                <w:rFonts w:asciiTheme="minorEastAsia" w:hAnsiTheme="minorEastAsia" w:eastAsiaTheme="minorEastAsia" w:cstheme="minorEastAsia"/>
                <w:color w:val="auto"/>
                <w:szCs w:val="22"/>
                <w:highlight w:val="none"/>
              </w:rPr>
            </w:pPr>
          </w:p>
        </w:tc>
        <w:tc>
          <w:tcPr>
            <w:tcW w:w="1102" w:type="dxa"/>
            <w:tcBorders>
              <w:top w:val="single" w:color="auto" w:sz="4" w:space="0"/>
              <w:left w:val="single" w:color="auto" w:sz="4" w:space="0"/>
              <w:bottom w:val="single" w:color="auto" w:sz="4" w:space="0"/>
              <w:right w:val="single" w:color="auto" w:sz="4" w:space="0"/>
            </w:tcBorders>
          </w:tcPr>
          <w:p w14:paraId="4710D442">
            <w:pPr>
              <w:shd w:val="clear"/>
              <w:wordWrap w:val="0"/>
              <w:spacing w:line="336" w:lineRule="auto"/>
              <w:rPr>
                <w:rFonts w:asciiTheme="minorEastAsia" w:hAnsiTheme="minorEastAsia" w:eastAsiaTheme="minorEastAsia" w:cstheme="minorEastAsia"/>
                <w:color w:val="auto"/>
                <w:szCs w:val="22"/>
                <w:highlight w:val="none"/>
              </w:rPr>
            </w:pPr>
          </w:p>
        </w:tc>
        <w:tc>
          <w:tcPr>
            <w:tcW w:w="823" w:type="dxa"/>
            <w:tcBorders>
              <w:top w:val="single" w:color="auto" w:sz="4" w:space="0"/>
              <w:left w:val="single" w:color="auto" w:sz="4" w:space="0"/>
              <w:bottom w:val="single" w:color="auto" w:sz="4" w:space="0"/>
              <w:right w:val="single" w:color="auto" w:sz="4" w:space="0"/>
            </w:tcBorders>
            <w:vAlign w:val="center"/>
          </w:tcPr>
          <w:p w14:paraId="36F7E4D2">
            <w:pPr>
              <w:shd w:val="clear"/>
              <w:wordWrap w:val="0"/>
              <w:spacing w:line="336" w:lineRule="auto"/>
              <w:rPr>
                <w:rFonts w:asciiTheme="minorEastAsia" w:hAnsiTheme="minorEastAsia" w:eastAsiaTheme="minorEastAsia" w:cstheme="minorEastAsia"/>
                <w:color w:val="auto"/>
                <w:szCs w:val="22"/>
                <w:highlight w:val="none"/>
              </w:rPr>
            </w:pPr>
          </w:p>
        </w:tc>
      </w:tr>
      <w:tr w14:paraId="0C63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18" w:type="dxa"/>
            <w:tcBorders>
              <w:top w:val="single" w:color="auto" w:sz="4" w:space="0"/>
              <w:left w:val="single" w:color="auto" w:sz="4" w:space="0"/>
              <w:bottom w:val="single" w:color="auto" w:sz="4" w:space="0"/>
              <w:right w:val="single" w:color="auto" w:sz="4" w:space="0"/>
            </w:tcBorders>
            <w:vAlign w:val="center"/>
          </w:tcPr>
          <w:p w14:paraId="064106CA">
            <w:pPr>
              <w:shd w:val="clear"/>
              <w:wordWrap w:val="0"/>
              <w:spacing w:line="336" w:lineRule="auto"/>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w:t>
            </w:r>
          </w:p>
        </w:tc>
        <w:tc>
          <w:tcPr>
            <w:tcW w:w="1083" w:type="dxa"/>
            <w:tcBorders>
              <w:top w:val="single" w:color="auto" w:sz="4" w:space="0"/>
              <w:left w:val="single" w:color="auto" w:sz="4" w:space="0"/>
              <w:bottom w:val="single" w:color="auto" w:sz="4" w:space="0"/>
              <w:right w:val="single" w:color="auto" w:sz="4" w:space="0"/>
            </w:tcBorders>
            <w:vAlign w:val="center"/>
          </w:tcPr>
          <w:p w14:paraId="5BF02942">
            <w:pPr>
              <w:shd w:val="clear"/>
              <w:wordWrap w:val="0"/>
              <w:spacing w:line="336" w:lineRule="auto"/>
              <w:rPr>
                <w:rFonts w:asciiTheme="minorEastAsia" w:hAnsiTheme="minorEastAsia" w:eastAsiaTheme="minorEastAsia" w:cstheme="minorEastAsia"/>
                <w:color w:val="auto"/>
                <w:szCs w:val="22"/>
                <w:highlight w:val="none"/>
              </w:rPr>
            </w:pPr>
          </w:p>
        </w:tc>
        <w:tc>
          <w:tcPr>
            <w:tcW w:w="2346" w:type="dxa"/>
            <w:tcBorders>
              <w:top w:val="single" w:color="auto" w:sz="4" w:space="0"/>
              <w:left w:val="single" w:color="auto" w:sz="4" w:space="0"/>
              <w:bottom w:val="single" w:color="auto" w:sz="4" w:space="0"/>
              <w:right w:val="single" w:color="auto" w:sz="4" w:space="0"/>
            </w:tcBorders>
            <w:vAlign w:val="center"/>
          </w:tcPr>
          <w:p w14:paraId="236CD6B3">
            <w:pPr>
              <w:shd w:val="clear"/>
              <w:wordWrap w:val="0"/>
              <w:spacing w:line="336" w:lineRule="auto"/>
              <w:rPr>
                <w:rFonts w:asciiTheme="minorEastAsia" w:hAnsiTheme="minorEastAsia" w:eastAsiaTheme="minorEastAsia" w:cstheme="minorEastAsia"/>
                <w:color w:val="auto"/>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3F23499C">
            <w:pPr>
              <w:shd w:val="clear"/>
              <w:wordWrap w:val="0"/>
              <w:spacing w:line="336" w:lineRule="auto"/>
              <w:rPr>
                <w:rFonts w:asciiTheme="minorEastAsia" w:hAnsiTheme="minorEastAsia" w:eastAsiaTheme="minorEastAsia" w:cstheme="minorEastAsia"/>
                <w:color w:val="auto"/>
                <w:szCs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325206A2">
            <w:pPr>
              <w:shd w:val="clear"/>
              <w:wordWrap w:val="0"/>
              <w:spacing w:line="336" w:lineRule="auto"/>
              <w:rPr>
                <w:rFonts w:asciiTheme="minorEastAsia" w:hAnsiTheme="minorEastAsia" w:eastAsiaTheme="minorEastAsia" w:cstheme="minorEastAsia"/>
                <w:color w:val="auto"/>
                <w:szCs w:val="22"/>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14:paraId="6FDB3C88">
            <w:pPr>
              <w:shd w:val="clear"/>
              <w:wordWrap w:val="0"/>
              <w:spacing w:line="336" w:lineRule="auto"/>
              <w:rPr>
                <w:rFonts w:asciiTheme="minorEastAsia" w:hAnsiTheme="minorEastAsia" w:eastAsiaTheme="minorEastAsia" w:cstheme="minorEastAsia"/>
                <w:color w:val="auto"/>
                <w:szCs w:val="22"/>
                <w:highlight w:val="none"/>
              </w:rPr>
            </w:pPr>
          </w:p>
        </w:tc>
        <w:tc>
          <w:tcPr>
            <w:tcW w:w="1102" w:type="dxa"/>
            <w:tcBorders>
              <w:top w:val="single" w:color="auto" w:sz="4" w:space="0"/>
              <w:left w:val="single" w:color="auto" w:sz="4" w:space="0"/>
              <w:bottom w:val="single" w:color="auto" w:sz="4" w:space="0"/>
              <w:right w:val="single" w:color="auto" w:sz="4" w:space="0"/>
            </w:tcBorders>
          </w:tcPr>
          <w:p w14:paraId="601C6A8E">
            <w:pPr>
              <w:shd w:val="clear"/>
              <w:wordWrap w:val="0"/>
              <w:spacing w:line="336" w:lineRule="auto"/>
              <w:rPr>
                <w:rFonts w:asciiTheme="minorEastAsia" w:hAnsiTheme="minorEastAsia" w:eastAsiaTheme="minorEastAsia" w:cstheme="minorEastAsia"/>
                <w:color w:val="auto"/>
                <w:szCs w:val="22"/>
                <w:highlight w:val="none"/>
              </w:rPr>
            </w:pPr>
          </w:p>
        </w:tc>
        <w:tc>
          <w:tcPr>
            <w:tcW w:w="823" w:type="dxa"/>
            <w:tcBorders>
              <w:top w:val="single" w:color="auto" w:sz="4" w:space="0"/>
              <w:left w:val="single" w:color="auto" w:sz="4" w:space="0"/>
              <w:bottom w:val="single" w:color="auto" w:sz="4" w:space="0"/>
              <w:right w:val="single" w:color="auto" w:sz="4" w:space="0"/>
            </w:tcBorders>
            <w:vAlign w:val="center"/>
          </w:tcPr>
          <w:p w14:paraId="24BB0CE2">
            <w:pPr>
              <w:shd w:val="clear"/>
              <w:wordWrap w:val="0"/>
              <w:spacing w:line="336" w:lineRule="auto"/>
              <w:rPr>
                <w:rFonts w:asciiTheme="minorEastAsia" w:hAnsiTheme="minorEastAsia" w:eastAsiaTheme="minorEastAsia" w:cstheme="minorEastAsia"/>
                <w:color w:val="auto"/>
                <w:szCs w:val="22"/>
                <w:highlight w:val="none"/>
              </w:rPr>
            </w:pPr>
          </w:p>
        </w:tc>
      </w:tr>
      <w:tr w14:paraId="3D72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9717" w:type="dxa"/>
            <w:gridSpan w:val="8"/>
            <w:tcBorders>
              <w:top w:val="single" w:color="auto" w:sz="4" w:space="0"/>
              <w:left w:val="single" w:color="auto" w:sz="4" w:space="0"/>
              <w:bottom w:val="single" w:color="auto" w:sz="4" w:space="0"/>
              <w:right w:val="single" w:color="auto" w:sz="4" w:space="0"/>
            </w:tcBorders>
          </w:tcPr>
          <w:p w14:paraId="2663961F">
            <w:pPr>
              <w:shd w:val="clear"/>
              <w:wordWrap w:val="0"/>
              <w:spacing w:line="336" w:lineRule="auto"/>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报价合计（包含税费等所有费用）：（大写）人民币</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 xml:space="preserve">元）。    </w:t>
            </w:r>
          </w:p>
        </w:tc>
      </w:tr>
      <w:tr w14:paraId="23C4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9717" w:type="dxa"/>
            <w:gridSpan w:val="8"/>
            <w:tcBorders>
              <w:top w:val="single" w:color="auto" w:sz="4" w:space="0"/>
              <w:left w:val="single" w:color="auto" w:sz="4" w:space="0"/>
              <w:bottom w:val="single" w:color="auto" w:sz="4" w:space="0"/>
              <w:right w:val="single" w:color="auto" w:sz="4" w:space="0"/>
            </w:tcBorders>
          </w:tcPr>
          <w:p w14:paraId="2ABC68D4">
            <w:pPr>
              <w:shd w:val="clear"/>
              <w:wordWrap w:val="0"/>
              <w:spacing w:line="336" w:lineRule="auto"/>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1"/>
                <w:highlight w:val="none"/>
                <w:u w:val="single"/>
              </w:rPr>
              <w:t>　　</w:t>
            </w:r>
            <w:r>
              <w:rPr>
                <w:rFonts w:hint="eastAsia" w:asciiTheme="minorEastAsia" w:hAnsiTheme="minorEastAsia" w:eastAsiaTheme="minorEastAsia" w:cstheme="minorEastAsia"/>
                <w:color w:val="auto"/>
                <w:szCs w:val="21"/>
                <w:highlight w:val="none"/>
              </w:rPr>
              <w:t>分标（此处有分标时填写具体分标号，无分标时填写“无”）</w:t>
            </w:r>
          </w:p>
        </w:tc>
      </w:tr>
      <w:tr w14:paraId="4EC8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9717" w:type="dxa"/>
            <w:gridSpan w:val="8"/>
            <w:tcBorders>
              <w:top w:val="single" w:color="auto" w:sz="4" w:space="0"/>
              <w:left w:val="single" w:color="auto" w:sz="4" w:space="0"/>
              <w:bottom w:val="single" w:color="auto" w:sz="4" w:space="0"/>
              <w:right w:val="single" w:color="auto" w:sz="4" w:space="0"/>
            </w:tcBorders>
          </w:tcPr>
          <w:p w14:paraId="25384692">
            <w:pPr>
              <w:shd w:val="clear"/>
              <w:wordWrap w:val="0"/>
              <w:spacing w:line="336" w:lineRule="auto"/>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验收标准：</w:t>
            </w:r>
          </w:p>
        </w:tc>
      </w:tr>
      <w:tr w14:paraId="7491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9717" w:type="dxa"/>
            <w:gridSpan w:val="8"/>
            <w:tcBorders>
              <w:top w:val="single" w:color="auto" w:sz="4" w:space="0"/>
              <w:left w:val="single" w:color="auto" w:sz="4" w:space="0"/>
              <w:bottom w:val="single" w:color="auto" w:sz="4" w:space="0"/>
              <w:right w:val="single" w:color="auto" w:sz="4" w:space="0"/>
            </w:tcBorders>
          </w:tcPr>
          <w:p w14:paraId="6DDF1CB1">
            <w:pPr>
              <w:shd w:val="clear"/>
              <w:wordWrap w:val="0"/>
              <w:spacing w:line="336" w:lineRule="auto"/>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优惠及其它：</w:t>
            </w:r>
          </w:p>
        </w:tc>
      </w:tr>
    </w:tbl>
    <w:p w14:paraId="12650737">
      <w:pPr>
        <w:shd w:val="clear"/>
        <w:wordWrap w:val="0"/>
        <w:snapToGrid w:val="0"/>
        <w:spacing w:line="336" w:lineRule="auto"/>
        <w:rPr>
          <w:rFonts w:asciiTheme="minorEastAsia" w:hAnsiTheme="minorEastAsia" w:eastAsiaTheme="minorEastAsia" w:cstheme="minorEastAsia"/>
          <w:color w:val="auto"/>
          <w:sz w:val="24"/>
          <w:highlight w:val="none"/>
          <w:u w:val="single"/>
        </w:rPr>
      </w:pPr>
    </w:p>
    <w:p w14:paraId="2BFC4DB3">
      <w:pPr>
        <w:shd w:val="clear"/>
        <w:wordWrap w:val="0"/>
        <w:snapToGrid w:val="0"/>
        <w:spacing w:line="336"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注： </w:t>
      </w:r>
    </w:p>
    <w:p w14:paraId="48A2B20B">
      <w:pPr>
        <w:shd w:val="clear"/>
        <w:wordWrap w:val="0"/>
        <w:snapToGrid w:val="0"/>
        <w:spacing w:line="336"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 供应商需按本表格式填写，不得自行更改，也不得留空, 如有多分标，按分标分别提供响应报价表</w:t>
      </w:r>
      <w:r>
        <w:rPr>
          <w:rFonts w:hint="eastAsia" w:asciiTheme="minorEastAsia" w:hAnsiTheme="minorEastAsia" w:eastAsiaTheme="minorEastAsia" w:cstheme="minorEastAsia"/>
          <w:b/>
          <w:color w:val="auto"/>
          <w:kern w:val="0"/>
          <w:sz w:val="24"/>
          <w:highlight w:val="none"/>
          <w:lang w:val="zh-CN"/>
        </w:rPr>
        <w:t>。</w:t>
      </w:r>
    </w:p>
    <w:p w14:paraId="68A39CFF">
      <w:pPr>
        <w:shd w:val="clear"/>
        <w:wordWrap w:val="0"/>
        <w:snapToGrid w:val="0"/>
        <w:spacing w:line="336" w:lineRule="auto"/>
        <w:ind w:firstLine="480" w:firstLineChars="200"/>
        <w:jc w:val="left"/>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2、如为联合体响应的，“供应商名称”处必须列明联合体各方名称，并标注联合体牵头人名称，且盖章处须加盖联合体各方公章，</w:t>
      </w:r>
      <w:r>
        <w:rPr>
          <w:rFonts w:hint="eastAsia" w:asciiTheme="minorEastAsia" w:hAnsiTheme="minorEastAsia" w:eastAsiaTheme="minorEastAsia" w:cstheme="minorEastAsia"/>
          <w:b/>
          <w:color w:val="auto"/>
          <w:kern w:val="0"/>
          <w:sz w:val="24"/>
          <w:highlight w:val="none"/>
          <w:lang w:val="zh-CN"/>
        </w:rPr>
        <w:t>否则其响应作无效响应处理。</w:t>
      </w:r>
    </w:p>
    <w:p w14:paraId="0F4E7B8A">
      <w:pPr>
        <w:shd w:val="clear"/>
        <w:wordWrap w:val="0"/>
        <w:snapToGrid w:val="0"/>
        <w:spacing w:line="336" w:lineRule="auto"/>
        <w:ind w:firstLine="480" w:firstLineChars="200"/>
        <w:jc w:val="left"/>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3、以上表格要求细分项目及报价，在“具体服务内容”一栏中，填写具体服务，，</w:t>
      </w:r>
      <w:r>
        <w:rPr>
          <w:rFonts w:hint="eastAsia" w:asciiTheme="minorEastAsia" w:hAnsiTheme="minorEastAsia" w:eastAsiaTheme="minorEastAsia" w:cstheme="minorEastAsia"/>
          <w:b/>
          <w:color w:val="auto"/>
          <w:kern w:val="0"/>
          <w:sz w:val="24"/>
          <w:highlight w:val="none"/>
          <w:lang w:val="zh-CN"/>
        </w:rPr>
        <w:t>否则其响应作无效响应处理。</w:t>
      </w:r>
    </w:p>
    <w:p w14:paraId="723F5B95">
      <w:pPr>
        <w:shd w:val="clear"/>
        <w:wordWrap w:val="0"/>
        <w:snapToGrid w:val="0"/>
        <w:spacing w:line="336"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4、特别提示：采购机构将对项目名称和项目编号，成交供应商名称、地址和成交金额，主要成交标的的名称、规格型号、数量、单价、服务要求等予以公示。</w:t>
      </w:r>
    </w:p>
    <w:p w14:paraId="4A8FE681">
      <w:pPr>
        <w:shd w:val="clear"/>
        <w:wordWrap w:val="0"/>
        <w:snapToGrid w:val="0"/>
        <w:spacing w:line="336"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szCs w:val="22"/>
          <w:highlight w:val="none"/>
          <w:lang w:val="zh-CN"/>
        </w:rPr>
        <w:t>5、</w:t>
      </w:r>
      <w:r>
        <w:rPr>
          <w:rFonts w:hint="eastAsia" w:asciiTheme="minorEastAsia" w:hAnsiTheme="minorEastAsia" w:eastAsiaTheme="minorEastAsia" w:cstheme="minorEastAsia"/>
          <w:color w:val="auto"/>
          <w:kern w:val="0"/>
          <w:sz w:val="24"/>
          <w:highlight w:val="none"/>
          <w:lang w:val="zh-CN"/>
        </w:rPr>
        <w:t>符合采购文件中列明的可享受中小企业扶持政策的供应商，请填写中小企业声明函。注：供应商提供的中小企业声明函内容不实的，属于提供虚假材料谋取成交、成交，依照《中华人民共和国政府采购法》等国家有关规定追究相应责任。</w:t>
      </w:r>
    </w:p>
    <w:p w14:paraId="45697179">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7B626C40">
      <w:pPr>
        <w:pStyle w:val="13"/>
        <w:shd w:val="clear"/>
        <w:wordWrap w:val="0"/>
        <w:spacing w:line="336" w:lineRule="auto"/>
        <w:ind w:firstLine="6360" w:firstLineChars="2650"/>
        <w:rPr>
          <w:rFonts w:asciiTheme="minorEastAsia" w:hAnsiTheme="minorEastAsia" w:eastAsiaTheme="minorEastAsia" w:cstheme="minorEastAsia"/>
          <w:color w:val="auto"/>
          <w:sz w:val="24"/>
          <w:highlight w:val="none"/>
          <w:lang w:val="zh-CN"/>
        </w:rPr>
        <w:sectPr>
          <w:pgSz w:w="11905" w:h="16838"/>
          <w:pgMar w:top="1440" w:right="1080" w:bottom="1440" w:left="1080" w:header="720" w:footer="720" w:gutter="0"/>
          <w:cols w:space="0" w:num="1"/>
        </w:sectPr>
      </w:pPr>
      <w:r>
        <w:rPr>
          <w:rFonts w:hint="eastAsia" w:asciiTheme="minorEastAsia" w:hAnsiTheme="minorEastAsia" w:eastAsiaTheme="minorEastAsia" w:cstheme="minorEastAsia"/>
          <w:color w:val="auto"/>
          <w:sz w:val="24"/>
          <w:highlight w:val="none"/>
          <w:lang w:val="zh-CN"/>
        </w:rPr>
        <w:t>日期：  年  月   日</w:t>
      </w:r>
    </w:p>
    <w:p w14:paraId="21F24DD8">
      <w:pPr>
        <w:pStyle w:val="13"/>
        <w:shd w:val="clear"/>
        <w:wordWrap w:val="0"/>
        <w:spacing w:line="336" w:lineRule="auto"/>
        <w:rPr>
          <w:rFonts w:asciiTheme="minorEastAsia" w:hAnsiTheme="minorEastAsia" w:eastAsiaTheme="minorEastAsia" w:cstheme="minorEastAsia"/>
          <w:color w:val="auto"/>
          <w:sz w:val="24"/>
          <w:highlight w:val="none"/>
          <w:lang w:val="zh-CN"/>
        </w:rPr>
      </w:pPr>
    </w:p>
    <w:p w14:paraId="193A22EE">
      <w:pPr>
        <w:shd w:val="clear"/>
        <w:wordWrap w:val="0"/>
        <w:spacing w:before="0" w:after="0" w:line="336" w:lineRule="auto"/>
        <w:jc w:val="center"/>
        <w:outlineLvl w:val="9"/>
        <w:rPr>
          <w:rFonts w:asciiTheme="minorEastAsia" w:hAnsiTheme="minorEastAsia" w:eastAsiaTheme="minorEastAsia" w:cstheme="minorEastAsia"/>
          <w:color w:val="auto"/>
          <w:highlight w:val="none"/>
        </w:rPr>
      </w:pPr>
      <w:bookmarkStart w:id="67" w:name="_Toc80205942"/>
    </w:p>
    <w:p w14:paraId="614FC20B">
      <w:pPr>
        <w:pStyle w:val="3"/>
        <w:shd w:val="clear"/>
        <w:wordWrap w:val="0"/>
        <w:spacing w:before="0" w:after="0" w:line="336" w:lineRule="auto"/>
        <w:jc w:val="center"/>
        <w:rPr>
          <w:rFonts w:asciiTheme="minorEastAsia" w:hAnsiTheme="minorEastAsia" w:eastAsiaTheme="minorEastAsia" w:cstheme="minorEastAsia"/>
          <w:b w:val="0"/>
          <w:color w:val="auto"/>
          <w:highlight w:val="none"/>
        </w:rPr>
      </w:pPr>
      <w:bookmarkStart w:id="68" w:name="_Toc21018"/>
      <w:r>
        <w:rPr>
          <w:rFonts w:hint="eastAsia" w:asciiTheme="minorEastAsia" w:hAnsiTheme="minorEastAsia" w:eastAsiaTheme="minorEastAsia" w:cstheme="minorEastAsia"/>
          <w:color w:val="auto"/>
          <w:highlight w:val="none"/>
        </w:rPr>
        <w:t>第五节 其他文书、文件格式</w:t>
      </w:r>
      <w:bookmarkEnd w:id="67"/>
      <w:bookmarkEnd w:id="68"/>
    </w:p>
    <w:p w14:paraId="776DFA51">
      <w:pPr>
        <w:shd w:val="clear"/>
        <w:wordWrap w:val="0"/>
        <w:spacing w:line="336" w:lineRule="auto"/>
        <w:jc w:val="center"/>
        <w:rPr>
          <w:rFonts w:asciiTheme="minorEastAsia" w:hAnsiTheme="minorEastAsia" w:eastAsiaTheme="minorEastAsia" w:cstheme="minorEastAsia"/>
          <w:b/>
          <w:bCs/>
          <w:color w:val="auto"/>
          <w:sz w:val="32"/>
          <w:szCs w:val="32"/>
          <w:highlight w:val="none"/>
          <w:lang w:val="en"/>
        </w:rPr>
      </w:pPr>
      <w:r>
        <w:rPr>
          <w:rFonts w:hint="eastAsia" w:asciiTheme="minorEastAsia" w:hAnsiTheme="minorEastAsia" w:eastAsiaTheme="minorEastAsia" w:cstheme="minorEastAsia"/>
          <w:b/>
          <w:bCs/>
          <w:color w:val="auto"/>
          <w:sz w:val="32"/>
          <w:szCs w:val="32"/>
          <w:highlight w:val="none"/>
          <w:lang w:val="en"/>
        </w:rPr>
        <w:t>知识产权合规性声明</w:t>
      </w:r>
    </w:p>
    <w:p w14:paraId="1210CCE5">
      <w:pPr>
        <w:shd w:val="clear"/>
        <w:wordWrap w:val="0"/>
        <w:spacing w:line="336" w:lineRule="auto"/>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 xml:space="preserve">    </w:t>
      </w:r>
    </w:p>
    <w:p w14:paraId="66FDFB6D">
      <w:pPr>
        <w:shd w:val="clear"/>
        <w:wordWrap w:val="0"/>
        <w:spacing w:line="336" w:lineRule="auto"/>
        <w:rPr>
          <w:rFonts w:asciiTheme="minorEastAsia" w:hAnsiTheme="minorEastAsia" w:eastAsiaTheme="minorEastAsia" w:cstheme="minorEastAsia"/>
          <w:color w:val="auto"/>
          <w:sz w:val="30"/>
          <w:szCs w:val="30"/>
          <w:highlight w:val="none"/>
          <w:lang w:val="en"/>
        </w:rPr>
      </w:pPr>
      <w:r>
        <w:rPr>
          <w:rFonts w:hint="eastAsia" w:asciiTheme="minorEastAsia" w:hAnsiTheme="minorEastAsia" w:eastAsiaTheme="minorEastAsia" w:cstheme="minorEastAsia"/>
          <w:color w:val="auto"/>
          <w:sz w:val="30"/>
          <w:szCs w:val="30"/>
          <w:highlight w:val="none"/>
        </w:rPr>
        <w:t xml:space="preserve">    本</w:t>
      </w:r>
      <w:r>
        <w:rPr>
          <w:rFonts w:hint="eastAsia" w:asciiTheme="minorEastAsia" w:hAnsiTheme="minorEastAsia" w:eastAsiaTheme="minorEastAsia" w:cstheme="minorEastAsia"/>
          <w:color w:val="auto"/>
          <w:sz w:val="30"/>
          <w:szCs w:val="30"/>
          <w:highlight w:val="none"/>
          <w:lang w:val="en"/>
        </w:rPr>
        <w:t>企业（单位）自愿参与政府投资政府采购的</w:t>
      </w:r>
      <w:r>
        <w:rPr>
          <w:rFonts w:hint="eastAsia" w:asciiTheme="minorEastAsia" w:hAnsiTheme="minorEastAsia" w:eastAsiaTheme="minorEastAsia" w:cstheme="minorEastAsia"/>
          <w:color w:val="auto"/>
          <w:sz w:val="30"/>
          <w:szCs w:val="30"/>
          <w:highlight w:val="none"/>
          <w:u w:val="single"/>
        </w:rPr>
        <w:t xml:space="preserve"> </w:t>
      </w:r>
      <w:r>
        <w:rPr>
          <w:rFonts w:hint="eastAsia" w:asciiTheme="minorEastAsia" w:hAnsiTheme="minorEastAsia" w:eastAsiaTheme="minorEastAsia" w:cstheme="minorEastAsia"/>
          <w:color w:val="auto"/>
          <w:sz w:val="30"/>
          <w:szCs w:val="30"/>
          <w:highlight w:val="none"/>
          <w:u w:val="single"/>
          <w:lang w:eastAsia="zh-CN"/>
        </w:rPr>
        <w:t>南宁片区提升新质生产力发展动能咨询项目</w:t>
      </w:r>
      <w:r>
        <w:rPr>
          <w:rFonts w:hint="eastAsia" w:asciiTheme="minorEastAsia" w:hAnsiTheme="minorEastAsia" w:eastAsiaTheme="minorEastAsia" w:cstheme="minorEastAsia"/>
          <w:color w:val="auto"/>
          <w:sz w:val="30"/>
          <w:szCs w:val="30"/>
          <w:highlight w:val="none"/>
          <w:u w:val="single"/>
        </w:rPr>
        <w:t xml:space="preserve"> </w:t>
      </w:r>
      <w:r>
        <w:rPr>
          <w:rFonts w:hint="eastAsia" w:asciiTheme="minorEastAsia" w:hAnsiTheme="minorEastAsia" w:eastAsiaTheme="minorEastAsia" w:cstheme="minorEastAsia"/>
          <w:color w:val="auto"/>
          <w:sz w:val="30"/>
          <w:szCs w:val="30"/>
          <w:highlight w:val="none"/>
          <w:lang w:val="en"/>
        </w:rPr>
        <w:t>，</w:t>
      </w:r>
      <w:r>
        <w:rPr>
          <w:rFonts w:hint="eastAsia" w:asciiTheme="minorEastAsia" w:hAnsiTheme="minorEastAsia" w:eastAsiaTheme="minorEastAsia" w:cstheme="minorEastAsia"/>
          <w:b/>
          <w:bCs/>
          <w:color w:val="auto"/>
          <w:sz w:val="30"/>
          <w:szCs w:val="30"/>
          <w:highlight w:val="none"/>
          <w:lang w:val="en"/>
        </w:rPr>
        <w:t>在此郑重承诺：</w:t>
      </w:r>
      <w:r>
        <w:rPr>
          <w:rFonts w:hint="eastAsia" w:asciiTheme="minorEastAsia" w:hAnsiTheme="minorEastAsia" w:eastAsiaTheme="minorEastAsia" w:cstheme="minorEastAsia"/>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319F46A0">
      <w:pPr>
        <w:shd w:val="clear"/>
        <w:wordWrap w:val="0"/>
        <w:snapToGrid w:val="0"/>
        <w:spacing w:line="336" w:lineRule="auto"/>
        <w:ind w:left="5137" w:leftChars="1736" w:hanging="1491" w:hangingChars="825"/>
        <w:rPr>
          <w:rFonts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 xml:space="preserve">           </w:t>
      </w:r>
    </w:p>
    <w:p w14:paraId="13DBEA16">
      <w:pPr>
        <w:shd w:val="clear"/>
        <w:wordWrap w:val="0"/>
        <w:snapToGrid w:val="0"/>
        <w:spacing w:line="336" w:lineRule="auto"/>
        <w:ind w:left="5137" w:leftChars="1736" w:hanging="1491" w:hangingChars="825"/>
        <w:rPr>
          <w:rFonts w:asciiTheme="minorEastAsia" w:hAnsiTheme="minorEastAsia" w:eastAsiaTheme="minorEastAsia" w:cstheme="minorEastAsia"/>
          <w:b/>
          <w:color w:val="auto"/>
          <w:sz w:val="18"/>
          <w:szCs w:val="18"/>
          <w:highlight w:val="none"/>
        </w:rPr>
      </w:pPr>
    </w:p>
    <w:p w14:paraId="1223D66C">
      <w:pPr>
        <w:shd w:val="clear"/>
        <w:wordWrap w:val="0"/>
        <w:snapToGrid w:val="0"/>
        <w:spacing w:line="336" w:lineRule="auto"/>
        <w:ind w:left="5137" w:leftChars="1736" w:hanging="1491" w:hangingChars="825"/>
        <w:rPr>
          <w:rFonts w:asciiTheme="minorEastAsia" w:hAnsiTheme="minorEastAsia" w:eastAsiaTheme="minorEastAsia" w:cstheme="minorEastAsia"/>
          <w:b/>
          <w:color w:val="auto"/>
          <w:sz w:val="18"/>
          <w:szCs w:val="18"/>
          <w:highlight w:val="none"/>
        </w:rPr>
      </w:pPr>
    </w:p>
    <w:p w14:paraId="1AF2A038">
      <w:pPr>
        <w:shd w:val="clear"/>
        <w:wordWrap w:val="0"/>
        <w:snapToGrid w:val="0"/>
        <w:spacing w:line="336" w:lineRule="auto"/>
        <w:ind w:left="5137" w:leftChars="1736" w:hanging="1491" w:hangingChars="825"/>
        <w:rPr>
          <w:rFonts w:asciiTheme="minorEastAsia" w:hAnsiTheme="minorEastAsia" w:eastAsiaTheme="minorEastAsia" w:cstheme="minorEastAsia"/>
          <w:b/>
          <w:color w:val="auto"/>
          <w:sz w:val="18"/>
          <w:szCs w:val="18"/>
          <w:highlight w:val="none"/>
        </w:rPr>
      </w:pPr>
    </w:p>
    <w:p w14:paraId="23FFE97A">
      <w:pPr>
        <w:shd w:val="clear"/>
        <w:wordWrap w:val="0"/>
        <w:snapToGrid w:val="0"/>
        <w:spacing w:line="336" w:lineRule="auto"/>
        <w:ind w:left="5137" w:leftChars="1736" w:hanging="1491" w:hangingChars="825"/>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18"/>
          <w:szCs w:val="18"/>
          <w:highlight w:val="none"/>
        </w:rPr>
        <w:t xml:space="preserve">      </w:t>
      </w:r>
      <w:r>
        <w:rPr>
          <w:rFonts w:hint="eastAsia" w:asciiTheme="minorEastAsia" w:hAnsiTheme="minorEastAsia" w:eastAsiaTheme="minorEastAsia" w:cstheme="minorEastAsia"/>
          <w:color w:val="auto"/>
          <w:kern w:val="0"/>
          <w:sz w:val="24"/>
          <w:highlight w:val="none"/>
          <w:lang w:val="zh-CN"/>
        </w:rPr>
        <w:t>磋商供应商名称(电子签章)：</w:t>
      </w:r>
    </w:p>
    <w:p w14:paraId="47BEC216">
      <w:pPr>
        <w:shd w:val="clear"/>
        <w:wordWrap w:val="0"/>
        <w:snapToGrid w:val="0"/>
        <w:spacing w:line="336" w:lineRule="auto"/>
        <w:ind w:firstLine="5160" w:firstLineChars="21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4D11412B">
      <w:pPr>
        <w:shd w:val="clear"/>
        <w:wordWrap w:val="0"/>
        <w:spacing w:line="336" w:lineRule="auto"/>
        <w:rPr>
          <w:rFonts w:asciiTheme="minorEastAsia" w:hAnsiTheme="minorEastAsia" w:eastAsiaTheme="minorEastAsia" w:cstheme="minorEastAsia"/>
          <w:color w:val="auto"/>
          <w:sz w:val="24"/>
          <w:highlight w:val="none"/>
        </w:rPr>
        <w:sectPr>
          <w:pgSz w:w="11905" w:h="16838"/>
          <w:pgMar w:top="1440" w:right="1080" w:bottom="1440" w:left="1080" w:header="720" w:footer="720" w:gutter="0"/>
          <w:cols w:space="0" w:num="1"/>
          <w:docGrid w:linePitch="331" w:charSpace="0"/>
        </w:sectPr>
      </w:pPr>
    </w:p>
    <w:p w14:paraId="2ED79644">
      <w:pPr>
        <w:shd w:val="clear"/>
        <w:wordWrap w:val="0"/>
        <w:spacing w:line="336" w:lineRule="auto"/>
        <w:rPr>
          <w:rFonts w:asciiTheme="minorEastAsia" w:hAnsiTheme="minorEastAsia" w:eastAsiaTheme="minorEastAsia" w:cstheme="minorEastAsia"/>
          <w:color w:val="auto"/>
          <w:sz w:val="24"/>
          <w:highlight w:val="none"/>
        </w:rPr>
      </w:pPr>
    </w:p>
    <w:p w14:paraId="2D26D68C">
      <w:pPr>
        <w:shd w:val="clear"/>
        <w:wordWrap w:val="0"/>
        <w:spacing w:line="336"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44"/>
          <w:szCs w:val="44"/>
          <w:highlight w:val="none"/>
        </w:rPr>
        <w:t>残疾人福利性单位声明函</w:t>
      </w:r>
    </w:p>
    <w:p w14:paraId="00721252">
      <w:pPr>
        <w:shd w:val="clear"/>
        <w:wordWrap w:val="0"/>
        <w:spacing w:line="336" w:lineRule="auto"/>
        <w:rPr>
          <w:rFonts w:asciiTheme="minorEastAsia" w:hAnsiTheme="minorEastAsia" w:eastAsiaTheme="minorEastAsia" w:cstheme="minorEastAsia"/>
          <w:color w:val="auto"/>
          <w:sz w:val="32"/>
          <w:szCs w:val="32"/>
          <w:highlight w:val="none"/>
        </w:rPr>
      </w:pPr>
    </w:p>
    <w:p w14:paraId="3BF43574">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u w:val="single"/>
          <w:lang w:val="en-US" w:eastAsia="zh-CN"/>
        </w:rPr>
        <w:t>采购人名称</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单位的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u w:val="single"/>
          <w:lang w:val="en-US" w:eastAsia="zh-CN"/>
        </w:rPr>
        <w:t>项目名称</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项目采购活动由本单位提供服务。</w:t>
      </w:r>
    </w:p>
    <w:p w14:paraId="4D3B28CF">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7B046DCA">
      <w:pPr>
        <w:shd w:val="clear"/>
        <w:wordWrap w:val="0"/>
        <w:spacing w:line="336" w:lineRule="auto"/>
        <w:contextualSpacing/>
        <w:rPr>
          <w:rFonts w:asciiTheme="minorEastAsia" w:hAnsiTheme="minorEastAsia" w:eastAsiaTheme="minorEastAsia" w:cstheme="minorEastAsia"/>
          <w:color w:val="auto"/>
          <w:sz w:val="24"/>
          <w:highlight w:val="none"/>
        </w:rPr>
      </w:pPr>
    </w:p>
    <w:p w14:paraId="60B7E179">
      <w:pPr>
        <w:shd w:val="clear"/>
        <w:wordWrap w:val="0"/>
        <w:spacing w:line="336" w:lineRule="auto"/>
        <w:contextualSpacing/>
        <w:rPr>
          <w:rFonts w:asciiTheme="minorEastAsia" w:hAnsiTheme="minorEastAsia" w:eastAsiaTheme="minorEastAsia" w:cstheme="minorEastAsia"/>
          <w:color w:val="auto"/>
          <w:sz w:val="24"/>
          <w:highlight w:val="none"/>
        </w:rPr>
      </w:pPr>
    </w:p>
    <w:p w14:paraId="353D7ECB">
      <w:pPr>
        <w:shd w:val="clear"/>
        <w:wordWrap w:val="0"/>
        <w:spacing w:line="336" w:lineRule="auto"/>
        <w:contextualSpacing/>
        <w:rPr>
          <w:rFonts w:asciiTheme="minorEastAsia" w:hAnsiTheme="minorEastAsia" w:eastAsiaTheme="minorEastAsia" w:cstheme="minorEastAsia"/>
          <w:color w:val="auto"/>
          <w:sz w:val="24"/>
          <w:highlight w:val="none"/>
        </w:rPr>
      </w:pPr>
    </w:p>
    <w:p w14:paraId="30343021">
      <w:pPr>
        <w:shd w:val="clear"/>
        <w:wordWrap w:val="0"/>
        <w:spacing w:line="336" w:lineRule="auto"/>
        <w:ind w:firstLine="2400" w:firstLineChars="10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供应商名称（电子签章）：</w:t>
      </w:r>
    </w:p>
    <w:p w14:paraId="3F1BE8BC">
      <w:pPr>
        <w:shd w:val="clear"/>
        <w:wordWrap w:val="0"/>
        <w:spacing w:line="336" w:lineRule="auto"/>
        <w:ind w:firstLine="4320" w:firstLineChars="18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     年   月   日</w:t>
      </w:r>
    </w:p>
    <w:p w14:paraId="3818745A">
      <w:pPr>
        <w:shd w:val="clear"/>
        <w:wordWrap w:val="0"/>
        <w:spacing w:line="336" w:lineRule="auto"/>
        <w:contextualSpacing/>
        <w:rPr>
          <w:rFonts w:asciiTheme="minorEastAsia" w:hAnsiTheme="minorEastAsia" w:eastAsiaTheme="minorEastAsia" w:cstheme="minorEastAsia"/>
          <w:color w:val="auto"/>
          <w:sz w:val="24"/>
          <w:highlight w:val="none"/>
        </w:rPr>
      </w:pPr>
    </w:p>
    <w:p w14:paraId="0F2229E4">
      <w:pPr>
        <w:shd w:val="clear"/>
        <w:wordWrap w:val="0"/>
        <w:spacing w:line="336" w:lineRule="auto"/>
        <w:contextualSpacing/>
        <w:rPr>
          <w:rFonts w:asciiTheme="minorEastAsia" w:hAnsiTheme="minorEastAsia" w:eastAsiaTheme="minorEastAsia" w:cstheme="minorEastAsia"/>
          <w:color w:val="auto"/>
          <w:sz w:val="24"/>
          <w:highlight w:val="none"/>
        </w:rPr>
      </w:pPr>
    </w:p>
    <w:p w14:paraId="4ECF134D">
      <w:pPr>
        <w:shd w:val="clear"/>
        <w:wordWrap w:val="0"/>
        <w:spacing w:line="336" w:lineRule="auto"/>
        <w:contextualSpacing/>
        <w:rPr>
          <w:rFonts w:asciiTheme="minorEastAsia" w:hAnsiTheme="minorEastAsia" w:eastAsiaTheme="minorEastAsia" w:cstheme="minorEastAsia"/>
          <w:color w:val="auto"/>
          <w:sz w:val="24"/>
          <w:highlight w:val="none"/>
        </w:rPr>
      </w:pPr>
    </w:p>
    <w:p w14:paraId="537EC0E9">
      <w:pPr>
        <w:shd w:val="clear"/>
        <w:wordWrap w:val="0"/>
        <w:spacing w:line="336" w:lineRule="auto"/>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7B812768">
      <w:pPr>
        <w:shd w:val="clear"/>
        <w:wordWrap w:val="0"/>
        <w:spacing w:line="336" w:lineRule="auto"/>
        <w:jc w:val="center"/>
        <w:rPr>
          <w:rFonts w:asciiTheme="minorEastAsia" w:hAnsiTheme="minorEastAsia" w:eastAsiaTheme="minorEastAsia" w:cstheme="minorEastAsia"/>
          <w:color w:val="auto"/>
          <w:sz w:val="24"/>
          <w:highlight w:val="none"/>
        </w:rPr>
      </w:pPr>
    </w:p>
    <w:p w14:paraId="7633BCA5">
      <w:pPr>
        <w:shd w:val="clear"/>
        <w:wordWrap w:val="0"/>
        <w:spacing w:line="336" w:lineRule="auto"/>
        <w:jc w:val="center"/>
        <w:rPr>
          <w:rFonts w:asciiTheme="minorEastAsia" w:hAnsiTheme="minorEastAsia" w:eastAsiaTheme="minorEastAsia" w:cstheme="minorEastAsia"/>
          <w:color w:val="auto"/>
          <w:sz w:val="24"/>
          <w:highlight w:val="none"/>
        </w:rPr>
      </w:pPr>
    </w:p>
    <w:p w14:paraId="70F55538">
      <w:pPr>
        <w:shd w:val="clear"/>
        <w:wordWrap w:val="0"/>
        <w:spacing w:line="336" w:lineRule="auto"/>
        <w:jc w:val="center"/>
        <w:rPr>
          <w:rFonts w:asciiTheme="minorEastAsia" w:hAnsiTheme="minorEastAsia" w:eastAsiaTheme="minorEastAsia" w:cstheme="minorEastAsia"/>
          <w:color w:val="auto"/>
          <w:sz w:val="24"/>
          <w:highlight w:val="none"/>
        </w:rPr>
      </w:pPr>
    </w:p>
    <w:p w14:paraId="4F718F42">
      <w:pPr>
        <w:shd w:val="clear"/>
        <w:wordWrap w:val="0"/>
        <w:spacing w:line="336" w:lineRule="auto"/>
        <w:jc w:val="center"/>
        <w:rPr>
          <w:rFonts w:asciiTheme="minorEastAsia" w:hAnsiTheme="minorEastAsia" w:eastAsiaTheme="minorEastAsia" w:cstheme="minorEastAsia"/>
          <w:color w:val="auto"/>
          <w:sz w:val="24"/>
          <w:highlight w:val="none"/>
        </w:rPr>
      </w:pPr>
    </w:p>
    <w:p w14:paraId="0F7B8A0B">
      <w:pPr>
        <w:shd w:val="clear"/>
        <w:wordWrap w:val="0"/>
        <w:spacing w:line="336" w:lineRule="auto"/>
        <w:jc w:val="center"/>
        <w:rPr>
          <w:rFonts w:asciiTheme="minorEastAsia" w:hAnsiTheme="minorEastAsia" w:eastAsiaTheme="minorEastAsia" w:cstheme="minorEastAsia"/>
          <w:color w:val="auto"/>
          <w:sz w:val="24"/>
          <w:highlight w:val="none"/>
        </w:rPr>
      </w:pPr>
    </w:p>
    <w:p w14:paraId="0B3A0ECD">
      <w:pPr>
        <w:shd w:val="clear"/>
        <w:wordWrap w:val="0"/>
        <w:spacing w:line="336" w:lineRule="auto"/>
        <w:jc w:val="center"/>
        <w:rPr>
          <w:rFonts w:asciiTheme="minorEastAsia" w:hAnsiTheme="minorEastAsia" w:eastAsiaTheme="minorEastAsia" w:cstheme="minorEastAsia"/>
          <w:color w:val="auto"/>
          <w:sz w:val="24"/>
          <w:highlight w:val="none"/>
        </w:rPr>
      </w:pPr>
    </w:p>
    <w:p w14:paraId="1B5783F9">
      <w:pPr>
        <w:shd w:val="clear"/>
        <w:wordWrap w:val="0"/>
        <w:spacing w:line="336" w:lineRule="auto"/>
        <w:jc w:val="center"/>
        <w:rPr>
          <w:rFonts w:asciiTheme="minorEastAsia" w:hAnsiTheme="minorEastAsia" w:eastAsiaTheme="minorEastAsia" w:cstheme="minorEastAsia"/>
          <w:color w:val="auto"/>
          <w:sz w:val="24"/>
          <w:highlight w:val="none"/>
        </w:rPr>
      </w:pPr>
    </w:p>
    <w:p w14:paraId="51DDC0EB">
      <w:pPr>
        <w:shd w:val="clear"/>
        <w:wordWrap w:val="0"/>
        <w:spacing w:line="336" w:lineRule="auto"/>
        <w:jc w:val="center"/>
        <w:rPr>
          <w:rFonts w:asciiTheme="minorEastAsia" w:hAnsiTheme="minorEastAsia" w:eastAsiaTheme="minorEastAsia" w:cstheme="minorEastAsia"/>
          <w:color w:val="auto"/>
          <w:sz w:val="24"/>
          <w:highlight w:val="none"/>
        </w:rPr>
      </w:pPr>
    </w:p>
    <w:p w14:paraId="4E6B6D68">
      <w:pPr>
        <w:shd w:val="clear"/>
        <w:wordWrap w:val="0"/>
        <w:spacing w:line="336" w:lineRule="auto"/>
        <w:jc w:val="center"/>
        <w:rPr>
          <w:rFonts w:asciiTheme="minorEastAsia" w:hAnsiTheme="minorEastAsia" w:eastAsiaTheme="minorEastAsia" w:cstheme="minorEastAsia"/>
          <w:color w:val="auto"/>
          <w:sz w:val="24"/>
          <w:highlight w:val="none"/>
        </w:rPr>
      </w:pPr>
    </w:p>
    <w:p w14:paraId="645C7F36">
      <w:pPr>
        <w:shd w:val="clear"/>
        <w:wordWrap w:val="0"/>
        <w:spacing w:line="336" w:lineRule="auto"/>
        <w:jc w:val="center"/>
        <w:rPr>
          <w:rFonts w:asciiTheme="minorEastAsia" w:hAnsiTheme="minorEastAsia" w:eastAsiaTheme="minorEastAsia" w:cstheme="minorEastAsia"/>
          <w:color w:val="auto"/>
          <w:sz w:val="24"/>
          <w:highlight w:val="none"/>
        </w:rPr>
      </w:pPr>
    </w:p>
    <w:p w14:paraId="7AEA4F55">
      <w:pPr>
        <w:shd w:val="clear"/>
        <w:wordWrap w:val="0"/>
        <w:spacing w:line="336" w:lineRule="auto"/>
        <w:jc w:val="center"/>
        <w:rPr>
          <w:rFonts w:asciiTheme="minorEastAsia" w:hAnsiTheme="minorEastAsia" w:eastAsiaTheme="minorEastAsia" w:cstheme="minorEastAsia"/>
          <w:color w:val="auto"/>
          <w:sz w:val="24"/>
          <w:highlight w:val="none"/>
        </w:rPr>
      </w:pPr>
    </w:p>
    <w:p w14:paraId="58CFE24A">
      <w:pPr>
        <w:shd w:val="clear"/>
        <w:wordWrap w:val="0"/>
        <w:spacing w:line="336" w:lineRule="auto"/>
        <w:jc w:val="center"/>
        <w:rPr>
          <w:rFonts w:asciiTheme="minorEastAsia" w:hAnsiTheme="minorEastAsia" w:eastAsiaTheme="minorEastAsia" w:cstheme="minorEastAsia"/>
          <w:color w:val="auto"/>
          <w:sz w:val="24"/>
          <w:highlight w:val="none"/>
        </w:rPr>
      </w:pPr>
    </w:p>
    <w:p w14:paraId="4E8930A5">
      <w:pPr>
        <w:shd w:val="clear"/>
        <w:wordWrap w:val="0"/>
        <w:spacing w:line="336" w:lineRule="auto"/>
        <w:jc w:val="center"/>
        <w:rPr>
          <w:rFonts w:asciiTheme="minorEastAsia" w:hAnsiTheme="minorEastAsia" w:eastAsiaTheme="minorEastAsia" w:cstheme="minorEastAsia"/>
          <w:color w:val="auto"/>
          <w:sz w:val="24"/>
          <w:highlight w:val="none"/>
        </w:rPr>
      </w:pPr>
    </w:p>
    <w:p w14:paraId="18BEFFD0">
      <w:pPr>
        <w:shd w:val="clear"/>
        <w:wordWrap w:val="0"/>
        <w:spacing w:line="336" w:lineRule="auto"/>
        <w:jc w:val="center"/>
        <w:rPr>
          <w:rFonts w:asciiTheme="minorEastAsia" w:hAnsiTheme="minorEastAsia" w:eastAsiaTheme="minorEastAsia" w:cstheme="minorEastAsia"/>
          <w:color w:val="auto"/>
          <w:sz w:val="24"/>
          <w:highlight w:val="none"/>
        </w:rPr>
      </w:pPr>
    </w:p>
    <w:p w14:paraId="344413E6">
      <w:pPr>
        <w:shd w:val="clear"/>
        <w:wordWrap w:val="0"/>
        <w:spacing w:line="336" w:lineRule="auto"/>
        <w:jc w:val="center"/>
        <w:rPr>
          <w:rFonts w:asciiTheme="minorEastAsia" w:hAnsiTheme="minorEastAsia" w:eastAsiaTheme="minorEastAsia" w:cstheme="minorEastAsia"/>
          <w:color w:val="auto"/>
          <w:sz w:val="24"/>
          <w:highlight w:val="none"/>
        </w:rPr>
      </w:pPr>
    </w:p>
    <w:p w14:paraId="17032ECE">
      <w:pPr>
        <w:pStyle w:val="2"/>
        <w:shd w:val="clear"/>
        <w:wordWrap w:val="0"/>
        <w:spacing w:before="0" w:after="0" w:line="336" w:lineRule="auto"/>
        <w:jc w:val="center"/>
        <w:rPr>
          <w:rFonts w:asciiTheme="minorEastAsia" w:hAnsiTheme="minorEastAsia" w:eastAsiaTheme="minorEastAsia" w:cstheme="minorEastAsia"/>
          <w:b w:val="0"/>
          <w:bCs w:val="0"/>
          <w:color w:val="auto"/>
          <w:highlight w:val="none"/>
        </w:rPr>
      </w:pPr>
      <w:bookmarkStart w:id="69" w:name="_Toc13051"/>
      <w:r>
        <w:rPr>
          <w:rFonts w:hint="eastAsia" w:asciiTheme="minorEastAsia" w:hAnsiTheme="minorEastAsia" w:eastAsiaTheme="minorEastAsia" w:cstheme="minorEastAsia"/>
          <w:b w:val="0"/>
          <w:bCs w:val="0"/>
          <w:color w:val="auto"/>
          <w:highlight w:val="none"/>
        </w:rPr>
        <w:t>第六章  合同文本</w:t>
      </w:r>
      <w:r>
        <w:rPr>
          <w:rFonts w:hint="eastAsia" w:asciiTheme="minorEastAsia" w:hAnsiTheme="minorEastAsia" w:eastAsiaTheme="minorEastAsia" w:cstheme="minorEastAsia"/>
          <w:b w:val="0"/>
          <w:bCs w:val="0"/>
          <w:color w:val="auto"/>
          <w:highlight w:val="none"/>
        </w:rPr>
        <w:br w:type="page"/>
      </w:r>
      <w:bookmarkEnd w:id="69"/>
    </w:p>
    <w:p w14:paraId="71FD0E6A">
      <w:pPr>
        <w:shd w:val="clear"/>
        <w:wordWrap w:val="0"/>
        <w:spacing w:line="336" w:lineRule="auto"/>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sz w:val="24"/>
          <w:highlight w:val="none"/>
          <w:lang w:eastAsia="zh-CN"/>
        </w:rPr>
        <w:t>“广西政府采购云平台”</w:t>
      </w:r>
      <w:r>
        <w:rPr>
          <w:rFonts w:hint="eastAsia" w:asciiTheme="minorEastAsia" w:hAnsiTheme="minorEastAsia" w:eastAsiaTheme="minorEastAsia" w:cstheme="minorEastAsia"/>
          <w:color w:val="auto"/>
          <w:sz w:val="24"/>
          <w:highlight w:val="none"/>
        </w:rPr>
        <w:t>平台合同编号：</w:t>
      </w:r>
    </w:p>
    <w:p w14:paraId="5C4205EC">
      <w:pPr>
        <w:shd w:val="clear"/>
        <w:wordWrap w:val="0"/>
        <w:spacing w:line="336" w:lineRule="auto"/>
        <w:jc w:val="center"/>
        <w:rPr>
          <w:rFonts w:asciiTheme="minorEastAsia" w:hAnsiTheme="minorEastAsia" w:eastAsiaTheme="minorEastAsia" w:cstheme="minorEastAsia"/>
          <w:b/>
          <w:bCs/>
          <w:color w:val="auto"/>
          <w:sz w:val="52"/>
          <w:highlight w:val="none"/>
        </w:rPr>
      </w:pPr>
      <w:r>
        <w:rPr>
          <w:rFonts w:hint="eastAsia" w:asciiTheme="minorEastAsia" w:hAnsiTheme="minorEastAsia" w:eastAsiaTheme="minorEastAsia" w:cstheme="minorEastAsia"/>
          <w:b/>
          <w:bCs/>
          <w:color w:val="auto"/>
          <w:sz w:val="52"/>
          <w:highlight w:val="none"/>
        </w:rPr>
        <w:t>南 宁 市 政 府 采 购</w:t>
      </w:r>
    </w:p>
    <w:p w14:paraId="02DB3E2A">
      <w:pPr>
        <w:shd w:val="clear"/>
        <w:wordWrap w:val="0"/>
        <w:spacing w:line="336" w:lineRule="auto"/>
        <w:ind w:firstLine="420" w:firstLineChars="200"/>
        <w:rPr>
          <w:rFonts w:asciiTheme="minorEastAsia" w:hAnsiTheme="minorEastAsia" w:eastAsiaTheme="minorEastAsia" w:cstheme="minorEastAsia"/>
          <w:color w:val="auto"/>
          <w:highlight w:val="none"/>
        </w:rPr>
      </w:pPr>
    </w:p>
    <w:p w14:paraId="7065C1D2">
      <w:pPr>
        <w:shd w:val="clear"/>
        <w:wordWrap w:val="0"/>
        <w:spacing w:line="336"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14:paraId="372D4662">
      <w:pPr>
        <w:shd w:val="clear"/>
        <w:wordWrap w:val="0"/>
        <w:spacing w:line="336" w:lineRule="auto"/>
        <w:jc w:val="center"/>
        <w:rPr>
          <w:rFonts w:hint="eastAsia" w:asciiTheme="minorEastAsia" w:hAnsiTheme="minorEastAsia" w:eastAsiaTheme="minorEastAsia" w:cstheme="minorEastAsia"/>
          <w:b/>
          <w:bCs/>
          <w:color w:val="auto"/>
          <w:sz w:val="44"/>
          <w:highlight w:val="none"/>
          <w:lang w:eastAsia="zh-CN"/>
        </w:rPr>
      </w:pPr>
      <w:r>
        <w:rPr>
          <w:rFonts w:hint="eastAsia" w:asciiTheme="minorEastAsia" w:hAnsiTheme="minorEastAsia" w:eastAsiaTheme="minorEastAsia" w:cstheme="minorEastAsia"/>
          <w:b/>
          <w:bCs/>
          <w:color w:val="auto"/>
          <w:sz w:val="44"/>
          <w:highlight w:val="none"/>
          <w:u w:val="single"/>
        </w:rPr>
        <w:t xml:space="preserve"> </w:t>
      </w:r>
      <w:r>
        <w:rPr>
          <w:rFonts w:hint="eastAsia" w:asciiTheme="minorEastAsia" w:hAnsiTheme="minorEastAsia" w:eastAsiaTheme="minorEastAsia" w:cstheme="minorEastAsia"/>
          <w:b/>
          <w:bCs/>
          <w:color w:val="auto"/>
          <w:sz w:val="44"/>
          <w:highlight w:val="none"/>
          <w:u w:val="single"/>
          <w:lang w:eastAsia="zh-CN"/>
        </w:rPr>
        <w:t>南宁片区提升新质生产力发展动能咨询项目</w:t>
      </w:r>
      <w:r>
        <w:rPr>
          <w:rFonts w:hint="eastAsia" w:asciiTheme="minorEastAsia" w:hAnsiTheme="minorEastAsia" w:eastAsiaTheme="minorEastAsia" w:cstheme="minorEastAsia"/>
          <w:b/>
          <w:bCs/>
          <w:color w:val="auto"/>
          <w:sz w:val="44"/>
          <w:highlight w:val="none"/>
          <w:u w:val="single"/>
        </w:rPr>
        <w:t xml:space="preserve"> </w:t>
      </w:r>
      <w:r>
        <w:rPr>
          <w:rFonts w:hint="eastAsia" w:asciiTheme="minorEastAsia" w:hAnsiTheme="minorEastAsia" w:eastAsiaTheme="minorEastAsia" w:cstheme="minorEastAsia"/>
          <w:b/>
          <w:bCs/>
          <w:color w:val="auto"/>
          <w:sz w:val="44"/>
          <w:highlight w:val="none"/>
        </w:rPr>
        <w:t>合同</w:t>
      </w:r>
    </w:p>
    <w:p w14:paraId="6E74A5D6">
      <w:pPr>
        <w:shd w:val="clear"/>
        <w:wordWrap w:val="0"/>
        <w:spacing w:line="336" w:lineRule="auto"/>
        <w:rPr>
          <w:rFonts w:asciiTheme="minorEastAsia" w:hAnsiTheme="minorEastAsia" w:eastAsiaTheme="minorEastAsia" w:cstheme="minorEastAsia"/>
          <w:b/>
          <w:bCs/>
          <w:color w:val="auto"/>
          <w:sz w:val="44"/>
          <w:highlight w:val="none"/>
        </w:rPr>
      </w:pPr>
    </w:p>
    <w:p w14:paraId="2277FFC1">
      <w:pPr>
        <w:shd w:val="clear"/>
        <w:wordWrap w:val="0"/>
        <w:spacing w:line="336" w:lineRule="auto"/>
        <w:ind w:firstLine="3507" w:firstLineChars="794"/>
        <w:rPr>
          <w:rFonts w:asciiTheme="minorEastAsia" w:hAnsiTheme="minorEastAsia" w:eastAsiaTheme="minorEastAsia" w:cstheme="minorEastAsia"/>
          <w:b/>
          <w:bCs/>
          <w:color w:val="auto"/>
          <w:sz w:val="44"/>
          <w:highlight w:val="none"/>
        </w:rPr>
      </w:pPr>
    </w:p>
    <w:p w14:paraId="065CE103">
      <w:pPr>
        <w:shd w:val="clear"/>
        <w:wordWrap w:val="0"/>
        <w:spacing w:line="336" w:lineRule="auto"/>
        <w:ind w:firstLine="1807" w:firstLineChars="500"/>
        <w:jc w:val="left"/>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rPr>
        <w:t>采购项目编号：</w:t>
      </w:r>
    </w:p>
    <w:p w14:paraId="4A7AF5FC">
      <w:pPr>
        <w:shd w:val="clear"/>
        <w:wordWrap w:val="0"/>
        <w:spacing w:line="336" w:lineRule="auto"/>
        <w:ind w:left="4325" w:leftChars="855" w:hanging="2530" w:hangingChars="700"/>
        <w:jc w:val="left"/>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采购计划编号：</w:t>
      </w:r>
    </w:p>
    <w:p w14:paraId="649EAEFA">
      <w:pPr>
        <w:shd w:val="clear"/>
        <w:wordWrap w:val="0"/>
        <w:spacing w:line="336" w:lineRule="auto"/>
        <w:ind w:firstLine="1308" w:firstLineChars="545"/>
        <w:rPr>
          <w:rFonts w:asciiTheme="minorEastAsia" w:hAnsiTheme="minorEastAsia" w:eastAsiaTheme="minorEastAsia" w:cstheme="minorEastAsia"/>
          <w:color w:val="auto"/>
          <w:sz w:val="24"/>
          <w:highlight w:val="none"/>
        </w:rPr>
      </w:pPr>
    </w:p>
    <w:p w14:paraId="1B2268CD">
      <w:pPr>
        <w:shd w:val="clear"/>
        <w:wordWrap w:val="0"/>
        <w:spacing w:line="336" w:lineRule="auto"/>
        <w:ind w:firstLine="1995" w:firstLineChars="552"/>
        <w:rPr>
          <w:rFonts w:asciiTheme="minorEastAsia" w:hAnsiTheme="minorEastAsia" w:eastAsiaTheme="minorEastAsia" w:cstheme="minorEastAsia"/>
          <w:b/>
          <w:color w:val="auto"/>
          <w:sz w:val="36"/>
          <w:szCs w:val="36"/>
          <w:highlight w:val="none"/>
          <w:u w:val="single"/>
        </w:rPr>
      </w:pPr>
    </w:p>
    <w:p w14:paraId="7DAA1915">
      <w:pPr>
        <w:shd w:val="clear"/>
        <w:wordWrap w:val="0"/>
        <w:spacing w:line="336" w:lineRule="auto"/>
        <w:ind w:firstLine="1995" w:firstLineChars="552"/>
        <w:rPr>
          <w:rFonts w:asciiTheme="minorEastAsia" w:hAnsiTheme="minorEastAsia" w:eastAsiaTheme="minorEastAsia" w:cstheme="minorEastAsia"/>
          <w:b/>
          <w:color w:val="auto"/>
          <w:sz w:val="36"/>
          <w:szCs w:val="36"/>
          <w:highlight w:val="none"/>
          <w:u w:val="single"/>
        </w:rPr>
      </w:pPr>
    </w:p>
    <w:p w14:paraId="57E7331F">
      <w:pPr>
        <w:shd w:val="clear"/>
        <w:tabs>
          <w:tab w:val="left" w:pos="7200"/>
        </w:tabs>
        <w:wordWrap w:val="0"/>
        <w:spacing w:line="336" w:lineRule="auto"/>
        <w:ind w:firstLine="1995" w:firstLineChars="552"/>
        <w:rPr>
          <w:rFonts w:hint="default" w:asciiTheme="minorEastAsia" w:hAnsiTheme="minorEastAsia" w:eastAsiaTheme="minorEastAsia" w:cstheme="minorEastAsia"/>
          <w:b/>
          <w:color w:val="auto"/>
          <w:sz w:val="36"/>
          <w:szCs w:val="36"/>
          <w:highlight w:val="none"/>
          <w:u w:val="single"/>
          <w:lang w:val="en-US" w:eastAsia="zh-CN"/>
        </w:rPr>
      </w:pPr>
      <w:r>
        <w:rPr>
          <w:rFonts w:hint="eastAsia" w:asciiTheme="minorEastAsia" w:hAnsiTheme="minorEastAsia" w:eastAsiaTheme="minorEastAsia" w:cstheme="minorEastAsia"/>
          <w:b/>
          <w:color w:val="auto"/>
          <w:sz w:val="36"/>
          <w:szCs w:val="36"/>
          <w:highlight w:val="none"/>
        </w:rPr>
        <w:t>采购人：</w:t>
      </w:r>
      <w:r>
        <w:rPr>
          <w:rFonts w:hint="eastAsia" w:asciiTheme="minorEastAsia" w:hAnsiTheme="minorEastAsia" w:eastAsiaTheme="minorEastAsia" w:cstheme="minorEastAsia"/>
          <w:b/>
          <w:color w:val="auto"/>
          <w:sz w:val="36"/>
          <w:szCs w:val="36"/>
          <w:highlight w:val="none"/>
          <w:u w:val="single"/>
          <w:lang w:val="en-US" w:eastAsia="zh-CN"/>
        </w:rPr>
        <w:t xml:space="preserve">              </w:t>
      </w:r>
    </w:p>
    <w:p w14:paraId="35254C7B">
      <w:pPr>
        <w:shd w:val="clear"/>
        <w:tabs>
          <w:tab w:val="left" w:pos="7380"/>
        </w:tabs>
        <w:wordWrap w:val="0"/>
        <w:spacing w:line="336" w:lineRule="auto"/>
        <w:ind w:firstLine="1995" w:firstLineChars="552"/>
        <w:rPr>
          <w:rFonts w:asciiTheme="minorEastAsia" w:hAnsiTheme="minorEastAsia" w:eastAsiaTheme="minorEastAsia" w:cstheme="minorEastAsia"/>
          <w:b/>
          <w:bCs/>
          <w:color w:val="auto"/>
          <w:sz w:val="44"/>
          <w:highlight w:val="none"/>
        </w:rPr>
      </w:pPr>
      <w:r>
        <w:rPr>
          <w:rFonts w:hint="eastAsia" w:asciiTheme="minorEastAsia" w:hAnsiTheme="minorEastAsia" w:eastAsiaTheme="minorEastAsia" w:cstheme="minorEastAsia"/>
          <w:b/>
          <w:color w:val="auto"/>
          <w:sz w:val="36"/>
          <w:szCs w:val="36"/>
          <w:highlight w:val="none"/>
        </w:rPr>
        <w:t>成交供应商：</w:t>
      </w:r>
      <w:r>
        <w:rPr>
          <w:rFonts w:hint="eastAsia" w:asciiTheme="minorEastAsia" w:hAnsiTheme="minorEastAsia" w:eastAsiaTheme="minorEastAsia" w:cstheme="minorEastAsia"/>
          <w:b/>
          <w:color w:val="auto"/>
          <w:sz w:val="36"/>
          <w:szCs w:val="36"/>
          <w:highlight w:val="none"/>
          <w:u w:val="single"/>
        </w:rPr>
        <w:t xml:space="preserve">                   </w:t>
      </w:r>
    </w:p>
    <w:p w14:paraId="292AF74D">
      <w:pPr>
        <w:shd w:val="clear"/>
        <w:tabs>
          <w:tab w:val="left" w:pos="7380"/>
        </w:tabs>
        <w:wordWrap w:val="0"/>
        <w:spacing w:line="336" w:lineRule="auto"/>
        <w:rPr>
          <w:rFonts w:asciiTheme="minorEastAsia" w:hAnsiTheme="minorEastAsia" w:eastAsiaTheme="minorEastAsia" w:cstheme="minorEastAsia"/>
          <w:b/>
          <w:bCs/>
          <w:color w:val="auto"/>
          <w:sz w:val="44"/>
          <w:highlight w:val="none"/>
        </w:rPr>
      </w:pPr>
    </w:p>
    <w:p w14:paraId="41A7C293">
      <w:pPr>
        <w:shd w:val="clear"/>
        <w:tabs>
          <w:tab w:val="left" w:pos="7380"/>
        </w:tabs>
        <w:wordWrap w:val="0"/>
        <w:spacing w:line="336" w:lineRule="auto"/>
        <w:rPr>
          <w:rFonts w:asciiTheme="minorEastAsia" w:hAnsiTheme="minorEastAsia" w:eastAsiaTheme="minorEastAsia" w:cstheme="minorEastAsia"/>
          <w:b/>
          <w:bCs/>
          <w:color w:val="auto"/>
          <w:sz w:val="44"/>
          <w:highlight w:val="none"/>
        </w:rPr>
      </w:pPr>
    </w:p>
    <w:p w14:paraId="268B0C93">
      <w:pPr>
        <w:shd w:val="clear"/>
        <w:tabs>
          <w:tab w:val="left" w:pos="7380"/>
        </w:tabs>
        <w:wordWrap w:val="0"/>
        <w:spacing w:line="336" w:lineRule="auto"/>
        <w:rPr>
          <w:rFonts w:asciiTheme="minorEastAsia" w:hAnsiTheme="minorEastAsia" w:eastAsiaTheme="minorEastAsia" w:cstheme="minorEastAsia"/>
          <w:b/>
          <w:bCs/>
          <w:color w:val="auto"/>
          <w:sz w:val="44"/>
          <w:highlight w:val="none"/>
        </w:rPr>
      </w:pPr>
    </w:p>
    <w:p w14:paraId="497CE7CA">
      <w:pPr>
        <w:shd w:val="clear"/>
        <w:tabs>
          <w:tab w:val="left" w:pos="7380"/>
        </w:tabs>
        <w:wordWrap w:val="0"/>
        <w:spacing w:line="336" w:lineRule="auto"/>
        <w:ind w:firstLine="3360" w:firstLineChars="14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签订时间：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p>
    <w:p w14:paraId="6C8A3474">
      <w:pPr>
        <w:shd w:val="clear"/>
        <w:wordWrap w:val="0"/>
        <w:snapToGrid w:val="0"/>
        <w:spacing w:line="336"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44"/>
          <w:highlight w:val="none"/>
        </w:rPr>
        <w:br w:type="page"/>
      </w:r>
      <w:r>
        <w:rPr>
          <w:rFonts w:hint="eastAsia" w:asciiTheme="minorEastAsia" w:hAnsiTheme="minorEastAsia" w:eastAsiaTheme="minorEastAsia" w:cstheme="minorEastAsia"/>
          <w:b/>
          <w:color w:val="auto"/>
          <w:sz w:val="24"/>
          <w:highlight w:val="none"/>
        </w:rPr>
        <w:t>合同目录</w:t>
      </w:r>
    </w:p>
    <w:p w14:paraId="282728AB">
      <w:pPr>
        <w:shd w:val="clear"/>
        <w:wordWrap w:val="0"/>
        <w:snapToGrid w:val="0"/>
        <w:spacing w:line="336" w:lineRule="auto"/>
        <w:jc w:val="center"/>
        <w:rPr>
          <w:rFonts w:asciiTheme="minorEastAsia" w:hAnsiTheme="minorEastAsia" w:eastAsiaTheme="minorEastAsia" w:cstheme="minorEastAsia"/>
          <w:b/>
          <w:bCs/>
          <w:color w:val="auto"/>
          <w:sz w:val="44"/>
          <w:highlight w:val="none"/>
        </w:rPr>
      </w:pPr>
    </w:p>
    <w:p w14:paraId="6AAC3F15">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w:t>
      </w:r>
      <w:r>
        <w:rPr>
          <w:rFonts w:hint="eastAsia" w:asciiTheme="minorEastAsia" w:hAnsiTheme="minorEastAsia" w:eastAsiaTheme="minorEastAsia" w:cstheme="minorEastAsia"/>
          <w:color w:val="auto"/>
          <w:sz w:val="24"/>
          <w:highlight w:val="none"/>
        </w:rPr>
        <w:t>第一部分 合同书</w:t>
      </w:r>
      <w:r>
        <w:rPr>
          <w:rFonts w:hint="eastAsia" w:asciiTheme="minorEastAsia" w:hAnsiTheme="minorEastAsia" w:eastAsiaTheme="minorEastAsia" w:cstheme="minorEastAsia"/>
          <w:color w:val="auto"/>
          <w:kern w:val="0"/>
          <w:sz w:val="24"/>
          <w:highlight w:val="none"/>
        </w:rPr>
        <w:t>……………………………………………………………（页码）</w:t>
      </w:r>
    </w:p>
    <w:p w14:paraId="6BD49F07">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二、第二部分 合同一般条款……………………………………………………（页码）</w:t>
      </w:r>
    </w:p>
    <w:p w14:paraId="05E88E0B">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三、第三部分 合同专用条款……………………………………………………（页码）</w:t>
      </w:r>
    </w:p>
    <w:p w14:paraId="642372C7">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四、</w:t>
      </w:r>
      <w:r>
        <w:rPr>
          <w:rFonts w:hint="eastAsia" w:asciiTheme="minorEastAsia" w:hAnsiTheme="minorEastAsia" w:eastAsiaTheme="minorEastAsia" w:cstheme="minorEastAsia"/>
          <w:color w:val="auto"/>
          <w:sz w:val="24"/>
          <w:highlight w:val="none"/>
        </w:rPr>
        <w:t>第四部分 合同附件</w:t>
      </w:r>
      <w:r>
        <w:rPr>
          <w:rFonts w:hint="eastAsia" w:asciiTheme="minorEastAsia" w:hAnsiTheme="minorEastAsia" w:eastAsiaTheme="minorEastAsia" w:cstheme="minorEastAsia"/>
          <w:color w:val="auto"/>
          <w:kern w:val="0"/>
          <w:sz w:val="24"/>
          <w:highlight w:val="none"/>
        </w:rPr>
        <w:t>…………………………………………………………（页码）</w:t>
      </w:r>
    </w:p>
    <w:p w14:paraId="341E2CA9">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4.1成交通知书 …………………………………………………………………（页码）</w:t>
      </w:r>
    </w:p>
    <w:p w14:paraId="76180164">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4.2采购文件服务需求一览表 …………………………………………………（页码）</w:t>
      </w:r>
    </w:p>
    <w:p w14:paraId="330BA6BC">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4.3采购文件的更改通知（如有） ……………………………………………（页码）</w:t>
      </w:r>
    </w:p>
    <w:p w14:paraId="472D0663">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4.4响应函 ………………………………………………………………………（页码）</w:t>
      </w:r>
    </w:p>
    <w:p w14:paraId="36A7095C">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4.5响应报价表 …………………………………………………………………（页码）</w:t>
      </w:r>
    </w:p>
    <w:p w14:paraId="69C69874">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4.6最终报价表 …………………………………………………………………（页码）</w:t>
      </w:r>
    </w:p>
    <w:p w14:paraId="643B3FAC">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4.6响应服务技术资料表 ………………………………………………………（页码）</w:t>
      </w:r>
    </w:p>
    <w:p w14:paraId="72F7EA7E">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4.7商务条款偏离表 ……………………………………………………………（页码）</w:t>
      </w:r>
    </w:p>
    <w:p w14:paraId="2A035A7B">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4.8成交供应商澄清函（如有请提供） ………………………………………（页码）</w:t>
      </w:r>
    </w:p>
    <w:p w14:paraId="1C28EDAA">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4.9其他与本合同相关的资料（如有请提供） ………………………………（页码）</w:t>
      </w:r>
    </w:p>
    <w:p w14:paraId="14431DFF">
      <w:pPr>
        <w:shd w:val="clear"/>
        <w:wordWrap w:val="0"/>
        <w:snapToGrid w:val="0"/>
        <w:spacing w:line="336" w:lineRule="auto"/>
        <w:rPr>
          <w:rFonts w:asciiTheme="minorEastAsia" w:hAnsiTheme="minorEastAsia" w:eastAsiaTheme="minorEastAsia" w:cstheme="minorEastAsia"/>
          <w:color w:val="auto"/>
          <w:kern w:val="0"/>
          <w:sz w:val="24"/>
          <w:highlight w:val="none"/>
        </w:rPr>
      </w:pPr>
    </w:p>
    <w:p w14:paraId="013438E8">
      <w:pPr>
        <w:pStyle w:val="10"/>
        <w:shd w:val="clear"/>
        <w:wordWrap w:val="0"/>
        <w:spacing w:line="336" w:lineRule="auto"/>
        <w:ind w:firstLine="1126"/>
        <w:rPr>
          <w:rFonts w:asciiTheme="minorEastAsia" w:hAnsiTheme="minorEastAsia" w:eastAsiaTheme="minorEastAsia" w:cstheme="minorEastAsia"/>
          <w:color w:val="auto"/>
          <w:highlight w:val="none"/>
        </w:rPr>
        <w:sectPr>
          <w:pgSz w:w="11905" w:h="16838"/>
          <w:pgMar w:top="1440" w:right="1080" w:bottom="1440" w:left="1080" w:header="720" w:footer="720" w:gutter="0"/>
          <w:cols w:space="0" w:num="1"/>
          <w:docGrid w:linePitch="331" w:charSpace="0"/>
        </w:sectPr>
      </w:pPr>
    </w:p>
    <w:p w14:paraId="19FCAADC">
      <w:pPr>
        <w:pStyle w:val="31"/>
        <w:shd w:val="clear"/>
        <w:wordWrap w:val="0"/>
        <w:spacing w:after="0" w:line="336" w:lineRule="auto"/>
        <w:ind w:firstLine="562"/>
        <w:jc w:val="center"/>
        <w:outlineLvl w:val="1"/>
        <w:rPr>
          <w:rFonts w:asciiTheme="minorEastAsia" w:hAnsiTheme="minorEastAsia" w:eastAsiaTheme="minorEastAsia" w:cstheme="minorEastAsia"/>
          <w:b/>
          <w:color w:val="auto"/>
          <w:sz w:val="28"/>
          <w:szCs w:val="28"/>
          <w:highlight w:val="none"/>
        </w:rPr>
      </w:pPr>
      <w:bookmarkStart w:id="70" w:name="_Toc30124"/>
      <w:bookmarkStart w:id="71" w:name="_Toc80205944"/>
      <w:r>
        <w:rPr>
          <w:rFonts w:hint="eastAsia" w:asciiTheme="minorEastAsia" w:hAnsiTheme="minorEastAsia" w:eastAsiaTheme="minorEastAsia" w:cstheme="minorEastAsia"/>
          <w:b/>
          <w:color w:val="auto"/>
          <w:sz w:val="28"/>
          <w:szCs w:val="28"/>
          <w:highlight w:val="none"/>
        </w:rPr>
        <w:t>第一部分 合同书</w:t>
      </w:r>
      <w:bookmarkEnd w:id="70"/>
      <w:bookmarkEnd w:id="71"/>
    </w:p>
    <w:p w14:paraId="524D297A">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（采购人）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以</w:t>
      </w:r>
      <w:r>
        <w:rPr>
          <w:rFonts w:hint="eastAsia" w:asciiTheme="minorEastAsia" w:hAnsiTheme="minorEastAsia" w:eastAsiaTheme="minorEastAsia" w:cstheme="minorEastAsia"/>
          <w:color w:val="auto"/>
          <w:sz w:val="24"/>
          <w:highlight w:val="none"/>
          <w:u w:val="single"/>
        </w:rPr>
        <w:t xml:space="preserve">   竞争性磋商方式  </w:t>
      </w:r>
      <w:r>
        <w:rPr>
          <w:rFonts w:hint="eastAsia" w:asciiTheme="minorEastAsia" w:hAnsiTheme="minorEastAsia" w:eastAsiaTheme="minorEastAsia" w:cstheme="minorEastAsia"/>
          <w:color w:val="auto"/>
          <w:sz w:val="24"/>
          <w:highlight w:val="none"/>
        </w:rPr>
        <w:t>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项目进行了采购。经</w:t>
      </w:r>
      <w:r>
        <w:rPr>
          <w:rFonts w:hint="eastAsia" w:asciiTheme="minorEastAsia" w:hAnsiTheme="minorEastAsia" w:eastAsiaTheme="minorEastAsia" w:cstheme="minorEastAsia"/>
          <w:color w:val="auto"/>
          <w:sz w:val="24"/>
          <w:highlight w:val="none"/>
          <w:u w:val="single"/>
        </w:rPr>
        <w:t xml:space="preserve">   （相关评定主体名称）   </w:t>
      </w:r>
      <w:r>
        <w:rPr>
          <w:rFonts w:hint="eastAsia" w:asciiTheme="minorEastAsia" w:hAnsiTheme="minorEastAsia" w:eastAsiaTheme="minorEastAsia" w:cstheme="minorEastAsia"/>
          <w:color w:val="auto"/>
          <w:sz w:val="24"/>
          <w:highlight w:val="none"/>
        </w:rPr>
        <w:t>评定，</w:t>
      </w:r>
      <w:r>
        <w:rPr>
          <w:rFonts w:hint="eastAsia" w:asciiTheme="minorEastAsia" w:hAnsiTheme="minorEastAsia" w:eastAsiaTheme="minorEastAsia" w:cstheme="minorEastAsia"/>
          <w:color w:val="auto"/>
          <w:sz w:val="24"/>
          <w:highlight w:val="none"/>
          <w:u w:val="single"/>
        </w:rPr>
        <w:t xml:space="preserve">   （供应商名称）</w:t>
      </w:r>
      <w:r>
        <w:rPr>
          <w:rFonts w:hint="eastAsia" w:asciiTheme="minorEastAsia" w:hAnsiTheme="minorEastAsia" w:eastAsiaTheme="minorEastAsia" w:cstheme="minorEastAsia"/>
          <w:color w:val="auto"/>
          <w:sz w:val="24"/>
          <w:highlight w:val="none"/>
        </w:rPr>
        <w:t>为该项目成交供应商。现于成交通知书发出之日起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日（时限根据项目情况而定，不得超过25日）内，按照采购文件确定的事项签订本合同。</w:t>
      </w:r>
    </w:p>
    <w:p w14:paraId="13E5E96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根据《中华人民共和国民法典》、《中华人民共和国政府采购法》等相关法律法规之规定，按照平等、自愿、公平和诚实信用的原则，经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lang w:val="zh-CN"/>
        </w:rPr>
        <w:t>(以下简称：甲方)和</w:t>
      </w:r>
      <w:r>
        <w:rPr>
          <w:rFonts w:hint="eastAsia" w:asciiTheme="minorEastAsia" w:hAnsiTheme="minorEastAsia" w:eastAsiaTheme="minorEastAsia" w:cstheme="minorEastAsia"/>
          <w:color w:val="auto"/>
          <w:sz w:val="24"/>
          <w:highlight w:val="none"/>
          <w:u w:val="single"/>
        </w:rPr>
        <w:t xml:space="preserve">   （成交供应商名称）   </w:t>
      </w:r>
      <w:r>
        <w:rPr>
          <w:rFonts w:hint="eastAsia" w:asciiTheme="minorEastAsia" w:hAnsiTheme="minorEastAsia" w:eastAsiaTheme="minorEastAsia" w:cstheme="minorEastAsia"/>
          <w:color w:val="auto"/>
          <w:sz w:val="24"/>
          <w:highlight w:val="none"/>
          <w:lang w:val="zh-CN"/>
        </w:rPr>
        <w:t>(以下简称：乙方)协商一致，约定以下合同</w:t>
      </w:r>
      <w:r>
        <w:rPr>
          <w:rFonts w:hint="eastAsia" w:asciiTheme="minorEastAsia" w:hAnsiTheme="minorEastAsia" w:eastAsiaTheme="minorEastAsia" w:cstheme="minorEastAsia"/>
          <w:color w:val="auto"/>
          <w:sz w:val="24"/>
          <w:highlight w:val="none"/>
        </w:rPr>
        <w:t>条款，以兹共同遵守、全面履行。</w:t>
      </w:r>
    </w:p>
    <w:p w14:paraId="22A3A7B4">
      <w:pPr>
        <w:shd w:val="clear"/>
        <w:spacing w:line="336" w:lineRule="auto"/>
        <w:ind w:firstLine="482" w:firstLineChars="200"/>
        <w:rPr>
          <w:rFonts w:ascii="宋体" w:hAnsi="宋体" w:cs="宋体"/>
          <w:b/>
          <w:color w:val="auto"/>
          <w:sz w:val="24"/>
          <w:highlight w:val="none"/>
        </w:rPr>
      </w:pPr>
      <w:bookmarkStart w:id="72" w:name="_Toc24059"/>
      <w:bookmarkStart w:id="73" w:name="_Toc2232"/>
      <w:bookmarkStart w:id="74" w:name="_Toc3029"/>
      <w:r>
        <w:rPr>
          <w:rFonts w:hint="eastAsia" w:ascii="宋体" w:hAnsi="宋体" w:cs="宋体"/>
          <w:b/>
          <w:color w:val="auto"/>
          <w:sz w:val="24"/>
          <w:highlight w:val="none"/>
        </w:rPr>
        <w:t>1.1 合同组成部分</w:t>
      </w:r>
      <w:bookmarkEnd w:id="72"/>
      <w:bookmarkEnd w:id="73"/>
      <w:bookmarkEnd w:id="74"/>
    </w:p>
    <w:p w14:paraId="2E773A94">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52A61E25">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02CD798E">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成交通知书；</w:t>
      </w:r>
    </w:p>
    <w:p w14:paraId="395E0445">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采购文件及“响应报价”（含澄清或者说明文件）；</w:t>
      </w:r>
    </w:p>
    <w:p w14:paraId="2B7A5464">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6373FCA7">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25ACBCDC">
      <w:pPr>
        <w:shd w:val="clear"/>
        <w:spacing w:line="336" w:lineRule="auto"/>
        <w:ind w:firstLine="482" w:firstLineChars="200"/>
        <w:rPr>
          <w:rFonts w:ascii="宋体" w:hAnsi="宋体" w:cs="宋体"/>
          <w:b/>
          <w:color w:val="auto"/>
          <w:sz w:val="24"/>
          <w:highlight w:val="none"/>
        </w:rPr>
      </w:pPr>
      <w:bookmarkStart w:id="75" w:name="_Toc24300"/>
      <w:bookmarkStart w:id="76" w:name="_Toc21295"/>
      <w:bookmarkStart w:id="77" w:name="_Toc27126"/>
      <w:r>
        <w:rPr>
          <w:rFonts w:hint="eastAsia" w:ascii="宋体" w:hAnsi="宋体" w:cs="宋体"/>
          <w:b/>
          <w:color w:val="auto"/>
          <w:sz w:val="24"/>
          <w:highlight w:val="none"/>
        </w:rPr>
        <w:t>1.2 标的物</w:t>
      </w:r>
      <w:bookmarkEnd w:id="75"/>
      <w:bookmarkEnd w:id="76"/>
      <w:bookmarkEnd w:id="77"/>
    </w:p>
    <w:p w14:paraId="6944A7E2">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标的物1信息</w:t>
      </w:r>
    </w:p>
    <w:p w14:paraId="70D63483">
      <w:pPr>
        <w:shd w:val="clear"/>
        <w:spacing w:line="33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C787B43">
      <w:pPr>
        <w:shd w:val="clear"/>
        <w:spacing w:line="33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48BE256">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B1D9C31">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59B00E1B">
      <w:pPr>
        <w:shd w:val="clear"/>
        <w:spacing w:line="336" w:lineRule="auto"/>
        <w:ind w:firstLine="482" w:firstLineChars="200"/>
        <w:rPr>
          <w:rFonts w:ascii="宋体" w:hAnsi="宋体" w:cs="宋体"/>
          <w:b/>
          <w:color w:val="auto"/>
          <w:sz w:val="24"/>
          <w:highlight w:val="none"/>
        </w:rPr>
      </w:pPr>
      <w:bookmarkStart w:id="78" w:name="_Toc21551"/>
      <w:bookmarkStart w:id="79" w:name="_Toc23292"/>
      <w:bookmarkStart w:id="80" w:name="_Toc21631"/>
      <w:r>
        <w:rPr>
          <w:rFonts w:hint="eastAsia" w:ascii="宋体" w:hAnsi="宋体" w:cs="宋体"/>
          <w:b/>
          <w:color w:val="auto"/>
          <w:sz w:val="24"/>
          <w:highlight w:val="none"/>
        </w:rPr>
        <w:t>1.3 价款</w:t>
      </w:r>
      <w:bookmarkEnd w:id="78"/>
      <w:bookmarkEnd w:id="79"/>
      <w:bookmarkEnd w:id="80"/>
    </w:p>
    <w:p w14:paraId="15F1DCA1">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元人民币，含税）。</w:t>
      </w:r>
    </w:p>
    <w:p w14:paraId="643731A7">
      <w:pPr>
        <w:shd w:val="clear"/>
        <w:spacing w:line="33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2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EE8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6BE607">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序号</w:t>
            </w:r>
          </w:p>
        </w:tc>
        <w:tc>
          <w:tcPr>
            <w:tcW w:w="3402" w:type="dxa"/>
            <w:vAlign w:val="center"/>
          </w:tcPr>
          <w:p w14:paraId="64A87B30">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分项名称</w:t>
            </w:r>
          </w:p>
        </w:tc>
        <w:tc>
          <w:tcPr>
            <w:tcW w:w="2552" w:type="dxa"/>
            <w:vAlign w:val="center"/>
          </w:tcPr>
          <w:p w14:paraId="5F5E3B49">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分项价格</w:t>
            </w:r>
          </w:p>
        </w:tc>
      </w:tr>
      <w:tr w14:paraId="558A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B5D9B7">
            <w:pPr>
              <w:shd w:val="clear"/>
              <w:spacing w:line="336" w:lineRule="auto"/>
              <w:ind w:firstLine="480" w:firstLineChars="200"/>
              <w:rPr>
                <w:rFonts w:ascii="宋体" w:hAnsi="宋体" w:cs="宋体"/>
                <w:color w:val="auto"/>
                <w:sz w:val="24"/>
                <w:highlight w:val="none"/>
              </w:rPr>
            </w:pPr>
          </w:p>
        </w:tc>
        <w:tc>
          <w:tcPr>
            <w:tcW w:w="3402" w:type="dxa"/>
            <w:vAlign w:val="center"/>
          </w:tcPr>
          <w:p w14:paraId="7373E148">
            <w:pPr>
              <w:shd w:val="clear"/>
              <w:spacing w:line="336" w:lineRule="auto"/>
              <w:ind w:firstLine="480" w:firstLineChars="200"/>
              <w:rPr>
                <w:rFonts w:ascii="宋体" w:hAnsi="宋体" w:cs="宋体"/>
                <w:color w:val="auto"/>
                <w:sz w:val="24"/>
                <w:highlight w:val="none"/>
              </w:rPr>
            </w:pPr>
          </w:p>
        </w:tc>
        <w:tc>
          <w:tcPr>
            <w:tcW w:w="2552" w:type="dxa"/>
            <w:vAlign w:val="center"/>
          </w:tcPr>
          <w:p w14:paraId="45BD109B">
            <w:pPr>
              <w:shd w:val="clear"/>
              <w:spacing w:line="336" w:lineRule="auto"/>
              <w:ind w:firstLine="480" w:firstLineChars="200"/>
              <w:rPr>
                <w:rFonts w:ascii="宋体" w:hAnsi="宋体" w:cs="宋体"/>
                <w:color w:val="auto"/>
                <w:sz w:val="24"/>
                <w:highlight w:val="none"/>
              </w:rPr>
            </w:pPr>
          </w:p>
        </w:tc>
      </w:tr>
      <w:tr w14:paraId="3FF1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2481AC">
            <w:pPr>
              <w:shd w:val="clear"/>
              <w:spacing w:line="336" w:lineRule="auto"/>
              <w:ind w:firstLine="480" w:firstLineChars="200"/>
              <w:rPr>
                <w:rFonts w:ascii="宋体" w:hAnsi="宋体" w:cs="宋体"/>
                <w:color w:val="auto"/>
                <w:sz w:val="24"/>
                <w:highlight w:val="none"/>
              </w:rPr>
            </w:pPr>
          </w:p>
        </w:tc>
        <w:tc>
          <w:tcPr>
            <w:tcW w:w="3402" w:type="dxa"/>
            <w:vAlign w:val="center"/>
          </w:tcPr>
          <w:p w14:paraId="3448EC7E">
            <w:pPr>
              <w:shd w:val="clear"/>
              <w:spacing w:line="336" w:lineRule="auto"/>
              <w:ind w:firstLine="480" w:firstLineChars="200"/>
              <w:rPr>
                <w:rFonts w:ascii="宋体" w:hAnsi="宋体" w:cs="宋体"/>
                <w:color w:val="auto"/>
                <w:sz w:val="24"/>
                <w:highlight w:val="none"/>
              </w:rPr>
            </w:pPr>
          </w:p>
        </w:tc>
        <w:tc>
          <w:tcPr>
            <w:tcW w:w="2552" w:type="dxa"/>
            <w:vAlign w:val="center"/>
          </w:tcPr>
          <w:p w14:paraId="49148F11">
            <w:pPr>
              <w:shd w:val="clear"/>
              <w:spacing w:line="336" w:lineRule="auto"/>
              <w:ind w:firstLine="480" w:firstLineChars="200"/>
              <w:rPr>
                <w:rFonts w:ascii="宋体" w:hAnsi="宋体" w:cs="宋体"/>
                <w:color w:val="auto"/>
                <w:sz w:val="24"/>
                <w:highlight w:val="none"/>
              </w:rPr>
            </w:pPr>
          </w:p>
        </w:tc>
      </w:tr>
      <w:tr w14:paraId="194A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1444C7">
            <w:pPr>
              <w:shd w:val="clear"/>
              <w:spacing w:line="336" w:lineRule="auto"/>
              <w:ind w:firstLine="480" w:firstLineChars="200"/>
              <w:rPr>
                <w:rFonts w:ascii="宋体" w:hAnsi="宋体" w:cs="宋体"/>
                <w:color w:val="auto"/>
                <w:sz w:val="24"/>
                <w:highlight w:val="none"/>
              </w:rPr>
            </w:pPr>
          </w:p>
        </w:tc>
        <w:tc>
          <w:tcPr>
            <w:tcW w:w="3402" w:type="dxa"/>
            <w:vAlign w:val="center"/>
          </w:tcPr>
          <w:p w14:paraId="0A272BFF">
            <w:pPr>
              <w:shd w:val="clear"/>
              <w:spacing w:line="336" w:lineRule="auto"/>
              <w:ind w:firstLine="480" w:firstLineChars="200"/>
              <w:rPr>
                <w:rFonts w:ascii="宋体" w:hAnsi="宋体" w:cs="宋体"/>
                <w:color w:val="auto"/>
                <w:sz w:val="24"/>
                <w:highlight w:val="none"/>
              </w:rPr>
            </w:pPr>
          </w:p>
        </w:tc>
        <w:tc>
          <w:tcPr>
            <w:tcW w:w="2552" w:type="dxa"/>
            <w:vAlign w:val="center"/>
          </w:tcPr>
          <w:p w14:paraId="27ACB46A">
            <w:pPr>
              <w:shd w:val="clear"/>
              <w:spacing w:line="336" w:lineRule="auto"/>
              <w:ind w:firstLine="480" w:firstLineChars="200"/>
              <w:rPr>
                <w:rFonts w:ascii="宋体" w:hAnsi="宋体" w:cs="宋体"/>
                <w:color w:val="auto"/>
                <w:sz w:val="24"/>
                <w:highlight w:val="none"/>
              </w:rPr>
            </w:pPr>
          </w:p>
        </w:tc>
      </w:tr>
      <w:tr w14:paraId="1A59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E3E37BA">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总价</w:t>
            </w:r>
          </w:p>
        </w:tc>
        <w:tc>
          <w:tcPr>
            <w:tcW w:w="2552" w:type="dxa"/>
            <w:vAlign w:val="center"/>
          </w:tcPr>
          <w:p w14:paraId="10747CBB">
            <w:pPr>
              <w:shd w:val="clear"/>
              <w:spacing w:line="336" w:lineRule="auto"/>
              <w:ind w:firstLine="480" w:firstLineChars="200"/>
              <w:rPr>
                <w:rFonts w:ascii="宋体" w:hAnsi="宋体" w:cs="宋体"/>
                <w:color w:val="auto"/>
                <w:sz w:val="24"/>
                <w:highlight w:val="none"/>
              </w:rPr>
            </w:pPr>
          </w:p>
        </w:tc>
      </w:tr>
    </w:tbl>
    <w:p w14:paraId="24BFFE72">
      <w:pPr>
        <w:shd w:val="clear"/>
        <w:spacing w:line="336" w:lineRule="auto"/>
        <w:ind w:firstLine="482" w:firstLineChars="200"/>
        <w:rPr>
          <w:rFonts w:ascii="宋体" w:hAnsi="宋体" w:cs="宋体"/>
          <w:b/>
          <w:color w:val="auto"/>
          <w:sz w:val="24"/>
          <w:highlight w:val="none"/>
        </w:rPr>
      </w:pPr>
      <w:bookmarkStart w:id="81" w:name="_Toc1814"/>
      <w:bookmarkStart w:id="82" w:name="_Toc10340"/>
      <w:bookmarkStart w:id="83" w:name="_Toc22618"/>
      <w:r>
        <w:rPr>
          <w:rFonts w:hint="eastAsia" w:ascii="宋体" w:hAnsi="宋体" w:cs="宋体"/>
          <w:b/>
          <w:color w:val="auto"/>
          <w:sz w:val="24"/>
          <w:highlight w:val="none"/>
        </w:rPr>
        <w:t>1.4 付款方式和发票开具方式</w:t>
      </w:r>
      <w:bookmarkEnd w:id="81"/>
      <w:bookmarkEnd w:id="82"/>
      <w:bookmarkEnd w:id="83"/>
    </w:p>
    <w:p w14:paraId="4DAA553E">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付款方式：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F56FE8F">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FB943E2">
      <w:pPr>
        <w:shd w:val="clear"/>
        <w:spacing w:line="336" w:lineRule="auto"/>
        <w:ind w:firstLine="482" w:firstLineChars="200"/>
        <w:rPr>
          <w:rFonts w:ascii="宋体" w:hAnsi="宋体" w:cs="宋体"/>
          <w:b/>
          <w:color w:val="auto"/>
          <w:sz w:val="24"/>
          <w:highlight w:val="none"/>
        </w:rPr>
      </w:pPr>
      <w:bookmarkStart w:id="84" w:name="_Toc19304"/>
      <w:bookmarkStart w:id="85" w:name="_Toc32071"/>
      <w:bookmarkStart w:id="86" w:name="_Toc2846"/>
      <w:r>
        <w:rPr>
          <w:rFonts w:hint="eastAsia" w:ascii="宋体" w:hAnsi="宋体" w:cs="宋体"/>
          <w:b/>
          <w:color w:val="auto"/>
          <w:sz w:val="24"/>
          <w:highlight w:val="none"/>
        </w:rPr>
        <w:t>1.5 标的物交付期限、地点、方式</w:t>
      </w:r>
      <w:bookmarkEnd w:id="84"/>
      <w:bookmarkEnd w:id="85"/>
      <w:bookmarkEnd w:id="86"/>
      <w:r>
        <w:rPr>
          <w:rFonts w:hint="eastAsia" w:ascii="宋体" w:hAnsi="宋体" w:cs="宋体"/>
          <w:b/>
          <w:color w:val="auto"/>
          <w:sz w:val="24"/>
          <w:highlight w:val="none"/>
        </w:rPr>
        <w:t>和服务期限</w:t>
      </w:r>
    </w:p>
    <w:p w14:paraId="526AE41B">
      <w:pPr>
        <w:shd w:val="clear"/>
        <w:spacing w:line="33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提交最终服务成果时间</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p>
    <w:p w14:paraId="55505BDF">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 服务地点：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5513D50">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6AFDDF9">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 服务及质保期限：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F6E9A71">
      <w:pPr>
        <w:shd w:val="clear"/>
        <w:spacing w:line="336" w:lineRule="auto"/>
        <w:ind w:firstLine="482" w:firstLineChars="200"/>
        <w:rPr>
          <w:rFonts w:ascii="宋体" w:hAnsi="宋体" w:cs="宋体"/>
          <w:b/>
          <w:color w:val="auto"/>
          <w:sz w:val="24"/>
          <w:highlight w:val="none"/>
        </w:rPr>
      </w:pPr>
      <w:bookmarkStart w:id="87" w:name="_Toc21423"/>
      <w:bookmarkStart w:id="88" w:name="_Toc19554"/>
      <w:bookmarkStart w:id="89" w:name="_Toc27250"/>
      <w:r>
        <w:rPr>
          <w:rFonts w:hint="eastAsia" w:ascii="宋体" w:hAnsi="宋体" w:cs="宋体"/>
          <w:b/>
          <w:color w:val="auto"/>
          <w:sz w:val="24"/>
          <w:highlight w:val="none"/>
        </w:rPr>
        <w:t>1.6 违约责任</w:t>
      </w:r>
      <w:bookmarkEnd w:id="87"/>
      <w:bookmarkEnd w:id="88"/>
      <w:bookmarkEnd w:id="89"/>
    </w:p>
    <w:p w14:paraId="5AEBCA9F">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（根据项目实际填写，一般为万分之五）计算，最高限额为本合同总价的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%（根据项目实际填写，一般为20%）；迟延超过【  】日的，甲方有权在要求乙方支付违约金的同时，书面通知乙方解除本合同，乙方应退回全部已收取的合同价款并按合同总金额的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%（根据项目实际填写，一般为20%）向甲方支付违约金；</w:t>
      </w:r>
    </w:p>
    <w:p w14:paraId="761B0320">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（根据项目实际填写，一般为万分之五）计算，最高限额为欠付金额的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154C3349">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D663378">
      <w:pPr>
        <w:shd w:val="clear"/>
        <w:spacing w:line="336" w:lineRule="auto"/>
        <w:ind w:left="239" w:leftChars="114" w:firstLine="240" w:firstLineChars="100"/>
        <w:rPr>
          <w:rFonts w:ascii="宋体" w:hAnsi="宋体" w:cs="宋体"/>
          <w:color w:val="auto"/>
          <w:sz w:val="24"/>
          <w:highlight w:val="none"/>
        </w:rPr>
      </w:pPr>
      <w:r>
        <w:rPr>
          <w:rFonts w:hint="eastAsia" w:ascii="宋体" w:hAnsi="宋体" w:cs="宋体"/>
          <w:color w:val="auto"/>
          <w:sz w:val="24"/>
          <w:highlight w:val="none"/>
        </w:rPr>
        <w:t>1.6.4乙方在质保期内未按承诺提供售后等服务的，每发生一次向甲方支付</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元（根据项目实际填写，一般为2000元）的违约金。</w:t>
      </w:r>
    </w:p>
    <w:p w14:paraId="218F48BD">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D57F090">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97F674E">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1.6.7 如果出现政府采购监督管理部门在处理投诉事项期间，书面通知甲方暂停采购活动的情形，或者询问或质疑事项可能影响成交结果的，导致甲方中止履行合同的情形，均不视为甲方违约。</w:t>
      </w:r>
    </w:p>
    <w:p w14:paraId="7EBD9B8B">
      <w:pPr>
        <w:shd w:val="clear"/>
        <w:spacing w:line="336" w:lineRule="auto"/>
        <w:ind w:firstLine="482" w:firstLineChars="200"/>
        <w:rPr>
          <w:rFonts w:ascii="宋体" w:hAnsi="宋体" w:cs="宋体"/>
          <w:b/>
          <w:color w:val="auto"/>
          <w:sz w:val="24"/>
          <w:highlight w:val="none"/>
        </w:rPr>
      </w:pPr>
      <w:bookmarkStart w:id="90" w:name="_Toc15583"/>
      <w:bookmarkStart w:id="91" w:name="_Toc28375"/>
      <w:bookmarkStart w:id="92" w:name="_Toc16021"/>
      <w:r>
        <w:rPr>
          <w:rFonts w:hint="eastAsia" w:ascii="宋体" w:hAnsi="宋体" w:cs="宋体"/>
          <w:b/>
          <w:color w:val="auto"/>
          <w:sz w:val="24"/>
          <w:highlight w:val="none"/>
        </w:rPr>
        <w:t>1.7 合同争议的解决</w:t>
      </w:r>
      <w:bookmarkEnd w:id="90"/>
      <w:bookmarkEnd w:id="91"/>
      <w:bookmarkEnd w:id="92"/>
    </w:p>
    <w:p w14:paraId="755E8BEB">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3FDCE4EF">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南宁</w:t>
      </w:r>
      <w:r>
        <w:rPr>
          <w:rFonts w:hint="eastAsia" w:ascii="宋体" w:hAnsi="宋体" w:cs="宋体"/>
          <w:color w:val="auto"/>
          <w:sz w:val="24"/>
          <w:highlight w:val="none"/>
        </w:rPr>
        <w:t>仲裁委员会依申请仲裁时其现行有效的仲裁规则裁决；</w:t>
      </w:r>
    </w:p>
    <w:p w14:paraId="2B4D3B71">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甲方所在地  </w:t>
      </w:r>
      <w:r>
        <w:rPr>
          <w:rFonts w:hint="eastAsia" w:ascii="宋体" w:hAnsi="宋体" w:cs="宋体"/>
          <w:color w:val="auto"/>
          <w:sz w:val="24"/>
          <w:highlight w:val="none"/>
        </w:rPr>
        <w:t>人民法院起诉。</w:t>
      </w:r>
    </w:p>
    <w:p w14:paraId="615B0F4D">
      <w:pPr>
        <w:shd w:val="clear"/>
        <w:spacing w:line="336" w:lineRule="auto"/>
        <w:ind w:firstLine="482" w:firstLineChars="200"/>
        <w:rPr>
          <w:rFonts w:ascii="宋体" w:hAnsi="宋体" w:cs="宋体"/>
          <w:b/>
          <w:color w:val="auto"/>
          <w:sz w:val="24"/>
          <w:highlight w:val="none"/>
        </w:rPr>
      </w:pPr>
      <w:bookmarkStart w:id="93" w:name="_Toc15322"/>
      <w:bookmarkStart w:id="94" w:name="_Toc11173"/>
      <w:bookmarkStart w:id="95" w:name="_Toc7245"/>
      <w:r>
        <w:rPr>
          <w:rFonts w:hint="eastAsia" w:ascii="宋体" w:hAnsi="宋体" w:cs="宋体"/>
          <w:b/>
          <w:color w:val="auto"/>
          <w:sz w:val="24"/>
          <w:highlight w:val="none"/>
        </w:rPr>
        <w:t>1.8 合同生效</w:t>
      </w:r>
      <w:bookmarkEnd w:id="93"/>
      <w:bookmarkEnd w:id="94"/>
      <w:bookmarkEnd w:id="95"/>
    </w:p>
    <w:p w14:paraId="27AA374D">
      <w:pPr>
        <w:shd w:val="clear"/>
        <w:spacing w:line="336"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本合同自双方当事人加盖有效公章时生效。</w:t>
      </w:r>
    </w:p>
    <w:p w14:paraId="7D900206">
      <w:pPr>
        <w:shd w:val="clear"/>
        <w:spacing w:line="336"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甲方：                                   乙方：</w:t>
      </w:r>
    </w:p>
    <w:p w14:paraId="5B3905CE">
      <w:pPr>
        <w:shd w:val="clear"/>
        <w:spacing w:line="336"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4F304BD2">
      <w:pPr>
        <w:shd w:val="clear"/>
        <w:spacing w:line="336" w:lineRule="auto"/>
        <w:ind w:firstLine="200"/>
        <w:rPr>
          <w:rFonts w:ascii="宋体" w:hAnsi="宋体" w:cs="宋体"/>
          <w:color w:val="auto"/>
          <w:sz w:val="24"/>
          <w:highlight w:val="none"/>
          <w:lang w:val="zh-CN"/>
        </w:rPr>
      </w:pPr>
    </w:p>
    <w:p w14:paraId="4D24F259">
      <w:pPr>
        <w:shd w:val="clear"/>
        <w:spacing w:line="336"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37EF86F0">
      <w:pPr>
        <w:shd w:val="clear"/>
        <w:spacing w:line="336"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595EE63D">
      <w:pPr>
        <w:shd w:val="clear"/>
        <w:spacing w:line="336"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授权代表（签字或盖章）：                 或授权代表（签字或盖章）: </w:t>
      </w:r>
    </w:p>
    <w:p w14:paraId="432A3508">
      <w:pPr>
        <w:shd w:val="clear"/>
        <w:spacing w:line="336"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2DD3D43A">
      <w:pPr>
        <w:shd w:val="clear"/>
        <w:spacing w:line="336"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76D5E615">
      <w:pPr>
        <w:shd w:val="clear"/>
        <w:spacing w:line="336"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2EB6F087">
      <w:pPr>
        <w:shd w:val="clear"/>
        <w:spacing w:line="336"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287EBA47">
      <w:pPr>
        <w:shd w:val="clear"/>
        <w:spacing w:line="336"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2D07B619">
      <w:pPr>
        <w:shd w:val="clear"/>
        <w:spacing w:line="336" w:lineRule="auto"/>
        <w:ind w:firstLine="200"/>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50E8EE8C">
      <w:pPr>
        <w:shd w:val="clear"/>
        <w:spacing w:line="336"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77B95097">
      <w:pPr>
        <w:shd w:val="clear"/>
        <w:spacing w:line="336"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21FDC646">
      <w:pPr>
        <w:shd w:val="clear"/>
        <w:spacing w:line="336" w:lineRule="auto"/>
        <w:ind w:firstLine="200"/>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36D7CC3E">
      <w:pPr>
        <w:pStyle w:val="31"/>
        <w:shd w:val="clear"/>
        <w:spacing w:after="0" w:line="336" w:lineRule="auto"/>
        <w:ind w:firstLine="482"/>
        <w:jc w:val="center"/>
        <w:outlineLvl w:val="1"/>
        <w:rPr>
          <w:rFonts w:ascii="宋体" w:hAnsi="宋体" w:cs="宋体"/>
          <w:b/>
          <w:color w:val="auto"/>
          <w:sz w:val="28"/>
          <w:szCs w:val="28"/>
          <w:highlight w:val="none"/>
        </w:rPr>
      </w:pPr>
      <w:bookmarkStart w:id="96" w:name="_Toc331685783"/>
      <w:r>
        <w:rPr>
          <w:rFonts w:hint="eastAsia" w:ascii="宋体" w:hAnsi="宋体" w:cs="宋体"/>
          <w:b/>
          <w:color w:val="auto"/>
          <w:highlight w:val="none"/>
        </w:rPr>
        <w:br w:type="page"/>
      </w:r>
      <w:bookmarkStart w:id="97" w:name="_Toc7510"/>
      <w:bookmarkStart w:id="98" w:name="_Toc31244"/>
      <w:bookmarkStart w:id="99" w:name="_Toc80205945"/>
      <w:r>
        <w:rPr>
          <w:rFonts w:hint="eastAsia" w:ascii="宋体" w:hAnsi="宋体" w:cs="宋体"/>
          <w:b/>
          <w:color w:val="auto"/>
          <w:sz w:val="28"/>
          <w:szCs w:val="28"/>
          <w:highlight w:val="none"/>
        </w:rPr>
        <w:t>第二部分 合同一般条款</w:t>
      </w:r>
      <w:bookmarkEnd w:id="96"/>
      <w:bookmarkEnd w:id="97"/>
      <w:bookmarkEnd w:id="98"/>
      <w:bookmarkEnd w:id="99"/>
    </w:p>
    <w:p w14:paraId="2F96D3AB">
      <w:pPr>
        <w:shd w:val="clear"/>
        <w:tabs>
          <w:tab w:val="left" w:pos="5960"/>
        </w:tabs>
        <w:spacing w:line="336" w:lineRule="auto"/>
        <w:ind w:firstLine="482" w:firstLineChars="200"/>
        <w:rPr>
          <w:rFonts w:hint="eastAsia" w:ascii="宋体" w:hAnsi="宋体" w:eastAsia="宋体" w:cs="宋体"/>
          <w:b/>
          <w:color w:val="auto"/>
          <w:sz w:val="24"/>
          <w:highlight w:val="none"/>
          <w:lang w:eastAsia="zh-CN"/>
        </w:rPr>
      </w:pPr>
      <w:bookmarkStart w:id="100" w:name="_Ref467379214"/>
      <w:bookmarkStart w:id="101" w:name="_Ref467379225"/>
      <w:bookmarkStart w:id="102" w:name="_Ref467378404"/>
      <w:bookmarkStart w:id="103" w:name="_Ref467378499"/>
      <w:bookmarkStart w:id="104" w:name="_Ref467378463"/>
      <w:bookmarkStart w:id="105" w:name="_Toc16917"/>
      <w:bookmarkStart w:id="106" w:name="_Ref467379094"/>
      <w:bookmarkStart w:id="107" w:name="_Ref467379195"/>
      <w:bookmarkStart w:id="108" w:name="_Ref467379101"/>
      <w:bookmarkStart w:id="109" w:name="_Ref467379205"/>
      <w:bookmarkStart w:id="110" w:name="_Toc28763"/>
      <w:bookmarkStart w:id="111" w:name="_Toc279701240"/>
      <w:bookmarkStart w:id="112" w:name="_Toc259093669"/>
      <w:bookmarkStart w:id="113" w:name="_Toc487900349"/>
      <w:bookmarkStart w:id="114" w:name="_Ref467379109"/>
      <w:bookmarkStart w:id="115" w:name="_Toc19614"/>
      <w:r>
        <w:rPr>
          <w:rFonts w:hint="eastAsia" w:ascii="宋体" w:hAnsi="宋体" w:cs="宋体"/>
          <w:b/>
          <w:color w:val="auto"/>
          <w:sz w:val="24"/>
          <w:highlight w:val="none"/>
        </w:rPr>
        <w:t>2.1 定义</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宋体" w:hAnsi="宋体" w:cs="宋体"/>
          <w:b/>
          <w:color w:val="auto"/>
          <w:sz w:val="24"/>
          <w:highlight w:val="none"/>
          <w:lang w:eastAsia="zh-CN"/>
        </w:rPr>
        <w:tab/>
      </w:r>
    </w:p>
    <w:p w14:paraId="62531398">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4101A45F">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“合同”系指采购人和成交人签订的载明双方当事人所达成的协议，并包括所有的附件、附录和构成合同的其他文件。</w:t>
      </w:r>
    </w:p>
    <w:p w14:paraId="2C690603">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“合同价”系指根据合同约定，成交人在完全履行合同义务后，采购人应支付给成交人的价格。</w:t>
      </w:r>
    </w:p>
    <w:p w14:paraId="7B25ABCD">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标的物”系指成交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7EB06D5E">
      <w:pPr>
        <w:shd w:val="clear"/>
        <w:spacing w:line="336" w:lineRule="auto"/>
        <w:ind w:firstLine="480" w:firstLineChars="200"/>
        <w:rPr>
          <w:rFonts w:ascii="宋体" w:hAnsi="宋体" w:cs="宋体"/>
          <w:color w:val="auto"/>
          <w:sz w:val="24"/>
          <w:highlight w:val="none"/>
        </w:rPr>
      </w:pPr>
      <w:bookmarkStart w:id="116" w:name="_Ref467378840"/>
      <w:r>
        <w:rPr>
          <w:rFonts w:hint="eastAsia" w:ascii="宋体" w:hAnsi="宋体" w:cs="宋体"/>
          <w:color w:val="auto"/>
          <w:sz w:val="24"/>
          <w:highlight w:val="none"/>
        </w:rPr>
        <w:t>2.1.4 “甲方”系指与成交人签署合同的采购人</w:t>
      </w:r>
      <w:bookmarkEnd w:id="116"/>
      <w:r>
        <w:rPr>
          <w:rFonts w:hint="eastAsia" w:ascii="宋体" w:hAnsi="宋体" w:cs="宋体"/>
          <w:color w:val="auto"/>
          <w:sz w:val="24"/>
          <w:highlight w:val="none"/>
        </w:rPr>
        <w:t>；采购人委托采购机构代表其与乙方签订合同的，采购人的授权委托书作为合同附件。</w:t>
      </w:r>
    </w:p>
    <w:p w14:paraId="69CE3026">
      <w:pPr>
        <w:shd w:val="clear"/>
        <w:spacing w:line="336" w:lineRule="auto"/>
        <w:ind w:firstLine="480" w:firstLineChars="200"/>
        <w:rPr>
          <w:rFonts w:ascii="宋体" w:hAnsi="宋体" w:cs="宋体"/>
          <w:color w:val="auto"/>
          <w:sz w:val="24"/>
          <w:highlight w:val="none"/>
        </w:rPr>
      </w:pPr>
      <w:bookmarkStart w:id="117" w:name="_Ref467379400"/>
      <w:r>
        <w:rPr>
          <w:rFonts w:hint="eastAsia" w:ascii="宋体" w:hAnsi="宋体" w:cs="宋体"/>
          <w:color w:val="auto"/>
          <w:sz w:val="24"/>
          <w:highlight w:val="none"/>
        </w:rPr>
        <w:t>2.1.5 “乙方”系指根据合同约定交付标的物的</w:t>
      </w:r>
      <w:bookmarkEnd w:id="117"/>
      <w:r>
        <w:rPr>
          <w:rFonts w:hint="eastAsia" w:ascii="宋体" w:hAnsi="宋体" w:cs="宋体"/>
          <w:color w:val="auto"/>
          <w:sz w:val="24"/>
          <w:highlight w:val="none"/>
        </w:rPr>
        <w:t>成交人；两个以上的自然人、法人或者其他组织组成一个联合体，以一个供应商的身份共同参加政府采购的，联合体各方均应为乙方或者与乙方相同地位的合同当事人，并就合同约定的事项对甲方承担连带责任。</w:t>
      </w:r>
    </w:p>
    <w:p w14:paraId="1BF553AD">
      <w:pPr>
        <w:shd w:val="clear"/>
        <w:spacing w:line="336" w:lineRule="auto"/>
        <w:ind w:firstLine="480" w:firstLineChars="200"/>
        <w:rPr>
          <w:rFonts w:ascii="宋体" w:hAnsi="宋体" w:cs="宋体"/>
          <w:color w:val="auto"/>
          <w:sz w:val="24"/>
          <w:highlight w:val="none"/>
        </w:rPr>
      </w:pPr>
      <w:bookmarkStart w:id="118" w:name="_Ref467379436"/>
      <w:r>
        <w:rPr>
          <w:rFonts w:hint="eastAsia" w:ascii="宋体" w:hAnsi="宋体" w:cs="宋体"/>
          <w:color w:val="auto"/>
          <w:sz w:val="24"/>
          <w:highlight w:val="none"/>
        </w:rPr>
        <w:t>2.1.6 “现场”系指合同约定标的物将要运至或者实施或者安装的地点。</w:t>
      </w:r>
      <w:bookmarkEnd w:id="118"/>
    </w:p>
    <w:p w14:paraId="5EC803E3">
      <w:pPr>
        <w:shd w:val="clear"/>
        <w:spacing w:line="336" w:lineRule="auto"/>
        <w:ind w:firstLine="482" w:firstLineChars="200"/>
        <w:rPr>
          <w:rFonts w:ascii="宋体" w:hAnsi="宋体" w:cs="宋体"/>
          <w:b/>
          <w:color w:val="auto"/>
          <w:sz w:val="24"/>
          <w:highlight w:val="none"/>
        </w:rPr>
      </w:pPr>
      <w:bookmarkStart w:id="119" w:name="_Toc13336"/>
      <w:bookmarkStart w:id="120" w:name="_Toc32504"/>
      <w:bookmarkStart w:id="121" w:name="_Toc487900350"/>
      <w:bookmarkStart w:id="122" w:name="_Toc27635"/>
      <w:bookmarkStart w:id="123" w:name="_Toc259093670"/>
      <w:bookmarkStart w:id="124" w:name="_Toc279701241"/>
      <w:r>
        <w:rPr>
          <w:rFonts w:hint="eastAsia" w:ascii="宋体" w:hAnsi="宋体" w:cs="宋体"/>
          <w:b/>
          <w:color w:val="auto"/>
          <w:sz w:val="24"/>
          <w:highlight w:val="none"/>
        </w:rPr>
        <w:t>2.2 技术规范</w:t>
      </w:r>
      <w:bookmarkEnd w:id="119"/>
      <w:bookmarkEnd w:id="120"/>
      <w:bookmarkEnd w:id="121"/>
      <w:bookmarkEnd w:id="122"/>
      <w:bookmarkEnd w:id="123"/>
      <w:bookmarkEnd w:id="124"/>
    </w:p>
    <w:p w14:paraId="0E8972F0">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4343206D">
      <w:pPr>
        <w:shd w:val="clear"/>
        <w:spacing w:line="336" w:lineRule="auto"/>
        <w:ind w:firstLine="482" w:firstLineChars="200"/>
        <w:rPr>
          <w:rFonts w:ascii="宋体" w:hAnsi="宋体" w:cs="宋体"/>
          <w:b/>
          <w:color w:val="auto"/>
          <w:sz w:val="24"/>
          <w:highlight w:val="none"/>
        </w:rPr>
      </w:pPr>
      <w:bookmarkStart w:id="125" w:name="_Toc9829"/>
      <w:bookmarkStart w:id="126" w:name="_Toc279701242"/>
      <w:bookmarkStart w:id="127" w:name="_Toc27853"/>
      <w:bookmarkStart w:id="128" w:name="_Toc487900351"/>
      <w:bookmarkStart w:id="129" w:name="_Toc31634"/>
      <w:bookmarkStart w:id="130" w:name="_Toc259093671"/>
      <w:r>
        <w:rPr>
          <w:rFonts w:hint="eastAsia" w:ascii="宋体" w:hAnsi="宋体" w:cs="宋体"/>
          <w:b/>
          <w:color w:val="auto"/>
          <w:sz w:val="24"/>
          <w:highlight w:val="none"/>
        </w:rPr>
        <w:t>2.3 知识产权</w:t>
      </w:r>
      <w:bookmarkEnd w:id="125"/>
      <w:bookmarkEnd w:id="126"/>
      <w:bookmarkEnd w:id="127"/>
      <w:bookmarkEnd w:id="128"/>
      <w:bookmarkEnd w:id="129"/>
      <w:bookmarkEnd w:id="130"/>
    </w:p>
    <w:p w14:paraId="015E8344">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5467C3B3">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A27C2A2">
      <w:pPr>
        <w:shd w:val="clear"/>
        <w:spacing w:line="336" w:lineRule="auto"/>
        <w:ind w:firstLine="482" w:firstLineChars="200"/>
        <w:rPr>
          <w:rFonts w:ascii="宋体" w:hAnsi="宋体" w:cs="宋体"/>
          <w:b/>
          <w:color w:val="auto"/>
          <w:sz w:val="24"/>
          <w:highlight w:val="none"/>
        </w:rPr>
      </w:pPr>
      <w:bookmarkStart w:id="131" w:name="_Toc29149"/>
      <w:bookmarkStart w:id="132" w:name="_Toc4194"/>
      <w:bookmarkStart w:id="133" w:name="_Toc11932"/>
      <w:r>
        <w:rPr>
          <w:rFonts w:hint="eastAsia" w:ascii="宋体" w:hAnsi="宋体" w:cs="宋体"/>
          <w:b/>
          <w:color w:val="auto"/>
          <w:sz w:val="24"/>
          <w:highlight w:val="none"/>
        </w:rPr>
        <w:t>2.4 包装和装运</w:t>
      </w:r>
      <w:bookmarkEnd w:id="131"/>
      <w:bookmarkEnd w:id="132"/>
      <w:bookmarkEnd w:id="133"/>
    </w:p>
    <w:p w14:paraId="52D3A57B">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313CB94E">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12A4E9C">
      <w:pPr>
        <w:shd w:val="clear"/>
        <w:spacing w:line="336" w:lineRule="auto"/>
        <w:ind w:firstLine="482" w:firstLineChars="200"/>
        <w:rPr>
          <w:rFonts w:ascii="宋体" w:hAnsi="宋体" w:cs="宋体"/>
          <w:b/>
          <w:color w:val="auto"/>
          <w:sz w:val="24"/>
          <w:highlight w:val="none"/>
        </w:rPr>
      </w:pPr>
      <w:bookmarkStart w:id="134" w:name="_Ref467379536"/>
      <w:bookmarkStart w:id="135" w:name="_Toc487900354"/>
      <w:bookmarkStart w:id="136" w:name="_Ref467379542"/>
      <w:bookmarkStart w:id="137" w:name="_Toc259093674"/>
      <w:bookmarkStart w:id="138" w:name="_Ref467378591"/>
      <w:bookmarkStart w:id="139" w:name="_Ref467378541"/>
      <w:bookmarkStart w:id="140" w:name="_Toc279701245"/>
      <w:bookmarkStart w:id="141" w:name="_Ref467379527"/>
      <w:bookmarkStart w:id="142" w:name="_Toc26182"/>
      <w:bookmarkStart w:id="143" w:name="_Toc19074"/>
      <w:bookmarkStart w:id="144" w:name="_Toc30272"/>
      <w:r>
        <w:rPr>
          <w:rFonts w:hint="eastAsia" w:ascii="宋体" w:hAnsi="宋体" w:cs="宋体"/>
          <w:b/>
          <w:color w:val="auto"/>
          <w:sz w:val="24"/>
          <w:highlight w:val="none"/>
        </w:rPr>
        <w:t>2.</w:t>
      </w:r>
      <w:bookmarkEnd w:id="134"/>
      <w:bookmarkEnd w:id="135"/>
      <w:bookmarkEnd w:id="136"/>
      <w:bookmarkEnd w:id="137"/>
      <w:bookmarkEnd w:id="138"/>
      <w:bookmarkEnd w:id="139"/>
      <w:bookmarkEnd w:id="140"/>
      <w:bookmarkEnd w:id="141"/>
      <w:r>
        <w:rPr>
          <w:rFonts w:hint="eastAsia" w:ascii="宋体" w:hAnsi="宋体" w:cs="宋体"/>
          <w:b/>
          <w:color w:val="auto"/>
          <w:sz w:val="24"/>
          <w:highlight w:val="none"/>
        </w:rPr>
        <w:t>5 履约检查和问题反馈</w:t>
      </w:r>
      <w:bookmarkEnd w:id="142"/>
      <w:bookmarkEnd w:id="143"/>
      <w:bookmarkEnd w:id="144"/>
    </w:p>
    <w:p w14:paraId="5AA15E98">
      <w:pPr>
        <w:shd w:val="clear"/>
        <w:spacing w:line="336" w:lineRule="auto"/>
        <w:ind w:firstLine="480" w:firstLineChars="200"/>
        <w:rPr>
          <w:rFonts w:ascii="宋体" w:hAnsi="宋体" w:cs="宋体"/>
          <w:color w:val="auto"/>
          <w:sz w:val="24"/>
          <w:highlight w:val="none"/>
        </w:rPr>
      </w:pPr>
      <w:bookmarkStart w:id="145" w:name="_Ref467379657"/>
      <w:r>
        <w:rPr>
          <w:rFonts w:hint="eastAsia" w:ascii="宋体" w:hAnsi="宋体" w:cs="宋体"/>
          <w:color w:val="auto"/>
          <w:sz w:val="24"/>
          <w:highlight w:val="none"/>
        </w:rPr>
        <w:t>2.5.1</w:t>
      </w:r>
      <w:bookmarkEnd w:id="145"/>
      <w:bookmarkStart w:id="146" w:name="_Toc186431854"/>
      <w:bookmarkStart w:id="147" w:name="_Ref467379807"/>
      <w:bookmarkStart w:id="148" w:name="_Toc279701247"/>
      <w:bookmarkStart w:id="149" w:name="_Ref467379793"/>
      <w:bookmarkStart w:id="150" w:name="_Toc259093676"/>
      <w:bookmarkStart w:id="151" w:name="_Toc487900357"/>
      <w:r>
        <w:rPr>
          <w:rFonts w:hint="eastAsia" w:ascii="宋体" w:hAnsi="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754DF512">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146"/>
      <w:bookmarkStart w:id="152" w:name="_Toc186431855"/>
      <w:r>
        <w:rPr>
          <w:rFonts w:hint="eastAsia" w:ascii="宋体" w:hAnsi="宋体" w:cs="宋体"/>
          <w:color w:val="auto"/>
          <w:sz w:val="24"/>
          <w:highlight w:val="none"/>
        </w:rPr>
        <w:t>。</w:t>
      </w:r>
    </w:p>
    <w:bookmarkEnd w:id="152"/>
    <w:p w14:paraId="31A0F541">
      <w:pPr>
        <w:shd w:val="clear"/>
        <w:spacing w:line="336" w:lineRule="auto"/>
        <w:ind w:firstLine="482" w:firstLineChars="200"/>
        <w:rPr>
          <w:rFonts w:ascii="宋体" w:hAnsi="宋体" w:cs="宋体"/>
          <w:b/>
          <w:color w:val="auto"/>
          <w:sz w:val="24"/>
          <w:highlight w:val="none"/>
        </w:rPr>
      </w:pPr>
      <w:bookmarkStart w:id="153" w:name="_Toc19219"/>
      <w:bookmarkStart w:id="154" w:name="_Toc7836"/>
      <w:bookmarkStart w:id="155" w:name="_Toc28451"/>
      <w:r>
        <w:rPr>
          <w:rFonts w:hint="eastAsia" w:ascii="宋体" w:hAnsi="宋体" w:cs="宋体"/>
          <w:b/>
          <w:color w:val="auto"/>
          <w:sz w:val="24"/>
          <w:highlight w:val="none"/>
        </w:rPr>
        <w:t>2.6 结算方式和付款条件</w:t>
      </w:r>
      <w:bookmarkEnd w:id="147"/>
      <w:bookmarkEnd w:id="148"/>
      <w:bookmarkEnd w:id="149"/>
      <w:bookmarkEnd w:id="150"/>
      <w:bookmarkEnd w:id="151"/>
      <w:bookmarkEnd w:id="153"/>
      <w:bookmarkEnd w:id="154"/>
      <w:bookmarkEnd w:id="155"/>
    </w:p>
    <w:p w14:paraId="6C2CD848">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D8905ED">
      <w:pPr>
        <w:shd w:val="clear"/>
        <w:spacing w:line="336" w:lineRule="auto"/>
        <w:ind w:firstLine="482" w:firstLineChars="200"/>
        <w:rPr>
          <w:rFonts w:ascii="宋体" w:hAnsi="宋体" w:cs="宋体"/>
          <w:b/>
          <w:color w:val="auto"/>
          <w:sz w:val="24"/>
          <w:highlight w:val="none"/>
        </w:rPr>
      </w:pPr>
      <w:bookmarkStart w:id="156" w:name="_Ref467379852"/>
      <w:bookmarkStart w:id="157" w:name="_Toc487900358"/>
      <w:bookmarkStart w:id="158" w:name="_Ref467379923"/>
      <w:bookmarkStart w:id="159" w:name="_Toc279701248"/>
      <w:bookmarkStart w:id="160" w:name="_Toc259093677"/>
      <w:bookmarkStart w:id="161" w:name="_Ref467379863"/>
      <w:bookmarkStart w:id="162" w:name="_Toc3225"/>
      <w:bookmarkStart w:id="163" w:name="_Toc774"/>
      <w:bookmarkStart w:id="164" w:name="_Toc16110"/>
      <w:r>
        <w:rPr>
          <w:rFonts w:hint="eastAsia" w:ascii="宋体" w:hAnsi="宋体" w:cs="宋体"/>
          <w:b/>
          <w:color w:val="auto"/>
          <w:sz w:val="24"/>
          <w:highlight w:val="none"/>
        </w:rPr>
        <w:t>2.7 技术资料</w:t>
      </w:r>
      <w:bookmarkEnd w:id="156"/>
      <w:bookmarkEnd w:id="157"/>
      <w:bookmarkEnd w:id="158"/>
      <w:bookmarkEnd w:id="159"/>
      <w:bookmarkEnd w:id="160"/>
      <w:bookmarkEnd w:id="161"/>
      <w:r>
        <w:rPr>
          <w:rFonts w:hint="eastAsia" w:ascii="宋体" w:hAnsi="宋体" w:cs="宋体"/>
          <w:b/>
          <w:color w:val="auto"/>
          <w:sz w:val="24"/>
          <w:highlight w:val="none"/>
        </w:rPr>
        <w:t>和保密义务</w:t>
      </w:r>
      <w:bookmarkEnd w:id="162"/>
      <w:bookmarkEnd w:id="163"/>
      <w:bookmarkEnd w:id="164"/>
    </w:p>
    <w:p w14:paraId="3988BC16">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2D672B08">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45AF59C2">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43F3D2CD">
      <w:pPr>
        <w:shd w:val="clear"/>
        <w:spacing w:line="336" w:lineRule="auto"/>
        <w:ind w:firstLine="482" w:firstLineChars="200"/>
        <w:rPr>
          <w:rFonts w:ascii="宋体" w:hAnsi="宋体" w:cs="宋体"/>
          <w:b/>
          <w:color w:val="auto"/>
          <w:sz w:val="24"/>
          <w:highlight w:val="none"/>
        </w:rPr>
      </w:pPr>
      <w:bookmarkStart w:id="165" w:name="_Toc7860"/>
      <w:r>
        <w:rPr>
          <w:rFonts w:hint="eastAsia" w:ascii="宋体" w:hAnsi="宋体" w:cs="宋体"/>
          <w:b/>
          <w:color w:val="auto"/>
          <w:sz w:val="24"/>
          <w:highlight w:val="none"/>
        </w:rPr>
        <w:t>2.8 质量保证</w:t>
      </w:r>
      <w:bookmarkEnd w:id="165"/>
    </w:p>
    <w:p w14:paraId="0BDD4DC3">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2A9B7A2A">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66222CB6">
      <w:pPr>
        <w:shd w:val="clear"/>
        <w:spacing w:line="336"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文件一致。未经甲方书面同意，乙方不得擅自更换</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文件中注明的项目经理和技术负责人。否则</w:t>
      </w:r>
      <w:r>
        <w:rPr>
          <w:rFonts w:hint="eastAsia" w:ascii="宋体" w:hAnsi="宋体" w:cs="宋体"/>
          <w:color w:val="auto"/>
          <w:kern w:val="0"/>
          <w:sz w:val="24"/>
          <w:highlight w:val="none"/>
        </w:rPr>
        <w:t>甲方有权放弃或终止合同。</w:t>
      </w:r>
    </w:p>
    <w:p w14:paraId="0D4BAA47">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highlight w:val="none"/>
          <w:u w:val="single"/>
        </w:rPr>
        <w:t>30%</w:t>
      </w:r>
      <w:r>
        <w:rPr>
          <w:rFonts w:hint="eastAsia" w:ascii="宋体" w:hAnsi="宋体" w:cs="宋体"/>
          <w:color w:val="auto"/>
          <w:sz w:val="24"/>
          <w:highlight w:val="none"/>
        </w:rPr>
        <w:t>（根据项目实际情况填写，一般为30%）。</w:t>
      </w:r>
    </w:p>
    <w:p w14:paraId="1F7C8A4C">
      <w:pPr>
        <w:shd w:val="clear"/>
        <w:spacing w:line="336" w:lineRule="auto"/>
        <w:ind w:firstLine="482" w:firstLineChars="200"/>
        <w:rPr>
          <w:rFonts w:ascii="宋体" w:hAnsi="宋体" w:cs="宋体"/>
          <w:b/>
          <w:color w:val="auto"/>
          <w:sz w:val="24"/>
          <w:highlight w:val="none"/>
        </w:rPr>
      </w:pPr>
      <w:bookmarkStart w:id="166" w:name="_Toc17244"/>
      <w:bookmarkStart w:id="167" w:name="_Toc259093681"/>
      <w:bookmarkStart w:id="168" w:name="_Toc487900362"/>
      <w:bookmarkStart w:id="169" w:name="_Toc279701252"/>
      <w:r>
        <w:rPr>
          <w:rFonts w:hint="eastAsia" w:ascii="宋体" w:hAnsi="宋体" w:cs="宋体"/>
          <w:b/>
          <w:color w:val="auto"/>
          <w:sz w:val="24"/>
          <w:highlight w:val="none"/>
        </w:rPr>
        <w:t>2.9 标的物的风险负担</w:t>
      </w:r>
      <w:bookmarkEnd w:id="166"/>
    </w:p>
    <w:p w14:paraId="13041FF8">
      <w:pPr>
        <w:shd w:val="clear"/>
        <w:spacing w:line="336"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91A798E">
      <w:pPr>
        <w:shd w:val="clear"/>
        <w:spacing w:line="336" w:lineRule="auto"/>
        <w:ind w:firstLine="482" w:firstLineChars="200"/>
        <w:rPr>
          <w:rFonts w:ascii="宋体" w:hAnsi="宋体" w:cs="宋体"/>
          <w:b/>
          <w:color w:val="auto"/>
          <w:sz w:val="24"/>
          <w:highlight w:val="none"/>
        </w:rPr>
      </w:pPr>
      <w:bookmarkStart w:id="170" w:name="_Toc14055"/>
      <w:r>
        <w:rPr>
          <w:rFonts w:hint="eastAsia" w:ascii="宋体" w:hAnsi="宋体" w:cs="宋体"/>
          <w:b/>
          <w:color w:val="auto"/>
          <w:sz w:val="24"/>
          <w:highlight w:val="none"/>
        </w:rPr>
        <w:t>2.10 延迟交货</w:t>
      </w:r>
      <w:bookmarkEnd w:id="167"/>
      <w:bookmarkEnd w:id="168"/>
      <w:bookmarkEnd w:id="169"/>
      <w:bookmarkEnd w:id="170"/>
      <w:r>
        <w:rPr>
          <w:rFonts w:hint="eastAsia" w:ascii="宋体" w:hAnsi="宋体" w:cs="宋体"/>
          <w:b/>
          <w:color w:val="auto"/>
          <w:sz w:val="24"/>
          <w:highlight w:val="none"/>
        </w:rPr>
        <w:t>/交付</w:t>
      </w:r>
    </w:p>
    <w:p w14:paraId="3D31E4EB">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11C571D9">
      <w:pPr>
        <w:shd w:val="clear"/>
        <w:spacing w:line="336" w:lineRule="auto"/>
        <w:ind w:firstLine="482" w:firstLineChars="200"/>
        <w:rPr>
          <w:rFonts w:ascii="宋体" w:hAnsi="宋体" w:cs="宋体"/>
          <w:b/>
          <w:color w:val="auto"/>
          <w:sz w:val="24"/>
          <w:highlight w:val="none"/>
        </w:rPr>
      </w:pPr>
      <w:bookmarkStart w:id="171" w:name="_Toc7502"/>
      <w:bookmarkStart w:id="172" w:name="_Toc259093683"/>
      <w:bookmarkStart w:id="173" w:name="_Ref467378121"/>
      <w:bookmarkStart w:id="174" w:name="_Toc279701254"/>
      <w:bookmarkStart w:id="175" w:name="_Toc487900364"/>
      <w:r>
        <w:rPr>
          <w:rFonts w:hint="eastAsia" w:ascii="宋体" w:hAnsi="宋体" w:cs="宋体"/>
          <w:b/>
          <w:color w:val="auto"/>
          <w:sz w:val="24"/>
          <w:highlight w:val="none"/>
        </w:rPr>
        <w:t>2.11 合同变更</w:t>
      </w:r>
      <w:bookmarkEnd w:id="171"/>
    </w:p>
    <w:p w14:paraId="1FDA3A2E">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3827CCF9">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176" w:name="_Toc259093688"/>
      <w:bookmarkStart w:id="177" w:name="_Toc279701259"/>
      <w:bookmarkStart w:id="178" w:name="_Toc487900369"/>
    </w:p>
    <w:p w14:paraId="602151CC">
      <w:pPr>
        <w:shd w:val="clear"/>
        <w:spacing w:line="336" w:lineRule="auto"/>
        <w:ind w:firstLine="482" w:firstLineChars="200"/>
        <w:rPr>
          <w:rFonts w:ascii="宋体" w:hAnsi="宋体" w:cs="宋体"/>
          <w:b/>
          <w:color w:val="auto"/>
          <w:sz w:val="24"/>
          <w:highlight w:val="none"/>
        </w:rPr>
      </w:pPr>
      <w:bookmarkStart w:id="179" w:name="_Toc10366"/>
      <w:bookmarkStart w:id="180" w:name="_Toc15237"/>
      <w:bookmarkStart w:id="181" w:name="_Toc22955"/>
      <w:r>
        <w:rPr>
          <w:rFonts w:hint="eastAsia" w:ascii="宋体" w:hAnsi="宋体" w:cs="宋体"/>
          <w:b/>
          <w:color w:val="auto"/>
          <w:sz w:val="24"/>
          <w:highlight w:val="none"/>
        </w:rPr>
        <w:t>2.12 合同转让</w:t>
      </w:r>
      <w:bookmarkEnd w:id="176"/>
      <w:bookmarkEnd w:id="177"/>
      <w:bookmarkEnd w:id="178"/>
      <w:r>
        <w:rPr>
          <w:rFonts w:hint="eastAsia" w:ascii="宋体" w:hAnsi="宋体" w:cs="宋体"/>
          <w:b/>
          <w:color w:val="auto"/>
          <w:sz w:val="24"/>
          <w:highlight w:val="none"/>
        </w:rPr>
        <w:t>和分包</w:t>
      </w:r>
      <w:bookmarkEnd w:id="179"/>
      <w:bookmarkEnd w:id="180"/>
      <w:bookmarkEnd w:id="181"/>
    </w:p>
    <w:p w14:paraId="43A55E53">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BBDF3DC">
      <w:pPr>
        <w:shd w:val="clear"/>
        <w:spacing w:line="336" w:lineRule="auto"/>
        <w:ind w:firstLine="482" w:firstLineChars="200"/>
        <w:rPr>
          <w:rFonts w:ascii="宋体" w:hAnsi="宋体" w:cs="宋体"/>
          <w:b/>
          <w:color w:val="auto"/>
          <w:sz w:val="24"/>
          <w:highlight w:val="none"/>
        </w:rPr>
      </w:pPr>
      <w:bookmarkStart w:id="182" w:name="_Toc16508"/>
      <w:bookmarkStart w:id="183" w:name="_Toc14066"/>
      <w:bookmarkStart w:id="184" w:name="_Toc13566"/>
      <w:r>
        <w:rPr>
          <w:rFonts w:hint="eastAsia" w:ascii="宋体" w:hAnsi="宋体" w:cs="宋体"/>
          <w:b/>
          <w:color w:val="auto"/>
          <w:sz w:val="24"/>
          <w:highlight w:val="none"/>
        </w:rPr>
        <w:t>2.13 不可抗力</w:t>
      </w:r>
      <w:bookmarkEnd w:id="182"/>
      <w:bookmarkEnd w:id="183"/>
      <w:bookmarkEnd w:id="184"/>
    </w:p>
    <w:p w14:paraId="5BA95616">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2BBE7635">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0BF0E65A">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7F3D30EA">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12C39B10">
      <w:pPr>
        <w:shd w:val="clear"/>
        <w:spacing w:line="336" w:lineRule="auto"/>
        <w:ind w:firstLine="482" w:firstLineChars="200"/>
        <w:rPr>
          <w:rFonts w:ascii="宋体" w:hAnsi="宋体" w:cs="宋体"/>
          <w:b/>
          <w:color w:val="auto"/>
          <w:sz w:val="24"/>
          <w:highlight w:val="none"/>
        </w:rPr>
      </w:pPr>
      <w:bookmarkStart w:id="185" w:name="_Toc487900365"/>
      <w:bookmarkStart w:id="186" w:name="_Toc259093684"/>
      <w:bookmarkStart w:id="187" w:name="_Toc6969"/>
      <w:bookmarkStart w:id="188" w:name="_Toc279701255"/>
      <w:bookmarkStart w:id="189" w:name="_Toc689"/>
      <w:bookmarkStart w:id="190" w:name="_Toc30676"/>
      <w:r>
        <w:rPr>
          <w:rFonts w:hint="eastAsia" w:ascii="宋体" w:hAnsi="宋体" w:cs="宋体"/>
          <w:b/>
          <w:color w:val="auto"/>
          <w:sz w:val="24"/>
          <w:highlight w:val="none"/>
        </w:rPr>
        <w:t>2.14 税费</w:t>
      </w:r>
      <w:bookmarkEnd w:id="185"/>
      <w:bookmarkEnd w:id="186"/>
      <w:bookmarkEnd w:id="187"/>
      <w:bookmarkEnd w:id="188"/>
      <w:bookmarkEnd w:id="189"/>
      <w:bookmarkEnd w:id="190"/>
    </w:p>
    <w:p w14:paraId="1FD62784">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51702A25">
      <w:pPr>
        <w:shd w:val="clear"/>
        <w:spacing w:line="336" w:lineRule="auto"/>
        <w:ind w:firstLine="482" w:firstLineChars="200"/>
        <w:rPr>
          <w:rFonts w:ascii="宋体" w:hAnsi="宋体" w:cs="宋体"/>
          <w:b/>
          <w:color w:val="auto"/>
          <w:sz w:val="24"/>
          <w:highlight w:val="none"/>
        </w:rPr>
      </w:pPr>
      <w:bookmarkStart w:id="191" w:name="_Toc8298"/>
      <w:bookmarkStart w:id="192" w:name="_Toc7102"/>
      <w:bookmarkStart w:id="193" w:name="_Toc259093687"/>
      <w:bookmarkStart w:id="194" w:name="_Toc487900368"/>
      <w:bookmarkStart w:id="195" w:name="_Toc16959"/>
      <w:bookmarkStart w:id="196" w:name="_Toc279701258"/>
      <w:r>
        <w:rPr>
          <w:rFonts w:hint="eastAsia" w:ascii="宋体" w:hAnsi="宋体" w:cs="宋体"/>
          <w:b/>
          <w:color w:val="auto"/>
          <w:sz w:val="24"/>
          <w:highlight w:val="none"/>
        </w:rPr>
        <w:t>2.15 乙方破产</w:t>
      </w:r>
      <w:bookmarkEnd w:id="191"/>
      <w:bookmarkEnd w:id="192"/>
      <w:bookmarkEnd w:id="193"/>
      <w:bookmarkEnd w:id="194"/>
      <w:bookmarkEnd w:id="195"/>
      <w:bookmarkEnd w:id="196"/>
    </w:p>
    <w:p w14:paraId="5DAD767D">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683D209">
      <w:pPr>
        <w:shd w:val="clear"/>
        <w:spacing w:line="336" w:lineRule="auto"/>
        <w:ind w:firstLine="482" w:firstLineChars="200"/>
        <w:rPr>
          <w:rFonts w:ascii="宋体" w:hAnsi="宋体" w:cs="宋体"/>
          <w:b/>
          <w:color w:val="auto"/>
          <w:sz w:val="24"/>
          <w:highlight w:val="none"/>
        </w:rPr>
      </w:pPr>
      <w:bookmarkStart w:id="197" w:name="_Toc15387"/>
      <w:bookmarkStart w:id="198" w:name="_Toc6134"/>
      <w:bookmarkStart w:id="199" w:name="_Toc29333"/>
      <w:r>
        <w:rPr>
          <w:rFonts w:hint="eastAsia" w:ascii="宋体" w:hAnsi="宋体" w:cs="宋体"/>
          <w:b/>
          <w:color w:val="auto"/>
          <w:sz w:val="24"/>
          <w:highlight w:val="none"/>
        </w:rPr>
        <w:t>2.16 合同中止、终止</w:t>
      </w:r>
      <w:bookmarkEnd w:id="197"/>
      <w:bookmarkEnd w:id="198"/>
      <w:bookmarkEnd w:id="199"/>
    </w:p>
    <w:p w14:paraId="67A6B70C">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017D6AA1">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5068B4C2">
      <w:pPr>
        <w:shd w:val="clear"/>
        <w:spacing w:line="336" w:lineRule="auto"/>
        <w:ind w:firstLine="482" w:firstLineChars="200"/>
        <w:rPr>
          <w:rFonts w:ascii="宋体" w:hAnsi="宋体" w:cs="宋体"/>
          <w:b/>
          <w:color w:val="auto"/>
          <w:sz w:val="24"/>
          <w:highlight w:val="none"/>
        </w:rPr>
      </w:pPr>
      <w:bookmarkStart w:id="200" w:name="_Toc6596"/>
      <w:bookmarkStart w:id="201" w:name="_Toc14563"/>
      <w:bookmarkStart w:id="202" w:name="_Toc1125"/>
      <w:r>
        <w:rPr>
          <w:rFonts w:hint="eastAsia" w:ascii="宋体" w:hAnsi="宋体" w:cs="宋体"/>
          <w:b/>
          <w:color w:val="auto"/>
          <w:sz w:val="24"/>
          <w:highlight w:val="none"/>
        </w:rPr>
        <w:t>2.17 检验和验收</w:t>
      </w:r>
      <w:bookmarkEnd w:id="200"/>
      <w:bookmarkEnd w:id="201"/>
      <w:bookmarkEnd w:id="202"/>
    </w:p>
    <w:p w14:paraId="4652AE29">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1D70D2EF">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4A8F187">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172"/>
    <w:bookmarkEnd w:id="173"/>
    <w:bookmarkEnd w:id="174"/>
    <w:bookmarkEnd w:id="175"/>
    <w:p w14:paraId="5BC89E9E">
      <w:pPr>
        <w:shd w:val="clear"/>
        <w:spacing w:line="336" w:lineRule="auto"/>
        <w:ind w:firstLine="482" w:firstLineChars="200"/>
        <w:rPr>
          <w:rFonts w:ascii="宋体" w:hAnsi="宋体" w:cs="宋体"/>
          <w:b/>
          <w:color w:val="auto"/>
          <w:sz w:val="24"/>
          <w:highlight w:val="none"/>
        </w:rPr>
      </w:pPr>
      <w:bookmarkStart w:id="203" w:name="_Toc279701261"/>
      <w:bookmarkStart w:id="204" w:name="_Toc487900371"/>
      <w:bookmarkStart w:id="205" w:name="_Toc259093690"/>
      <w:bookmarkStart w:id="206" w:name="_Toc11284"/>
      <w:bookmarkStart w:id="207" w:name="_Toc25182"/>
      <w:bookmarkStart w:id="208" w:name="_Toc19604"/>
      <w:r>
        <w:rPr>
          <w:rFonts w:hint="eastAsia" w:ascii="宋体" w:hAnsi="宋体" w:cs="宋体"/>
          <w:b/>
          <w:color w:val="auto"/>
          <w:sz w:val="24"/>
          <w:highlight w:val="none"/>
        </w:rPr>
        <w:t>2.18 通知</w:t>
      </w:r>
      <w:bookmarkEnd w:id="203"/>
      <w:bookmarkEnd w:id="204"/>
      <w:bookmarkEnd w:id="205"/>
      <w:r>
        <w:rPr>
          <w:rFonts w:hint="eastAsia" w:ascii="宋体" w:hAnsi="宋体" w:cs="宋体"/>
          <w:b/>
          <w:color w:val="auto"/>
          <w:sz w:val="24"/>
          <w:highlight w:val="none"/>
        </w:rPr>
        <w:t>和送达</w:t>
      </w:r>
      <w:bookmarkEnd w:id="206"/>
      <w:bookmarkEnd w:id="207"/>
      <w:bookmarkEnd w:id="208"/>
    </w:p>
    <w:p w14:paraId="777E32FD">
      <w:pPr>
        <w:shd w:val="clear"/>
        <w:spacing w:line="336" w:lineRule="auto"/>
        <w:ind w:firstLine="480" w:firstLineChars="200"/>
        <w:rPr>
          <w:rFonts w:ascii="宋体" w:hAnsi="宋体" w:cs="宋体"/>
          <w:color w:val="auto"/>
          <w:sz w:val="24"/>
          <w:highlight w:val="none"/>
        </w:rPr>
      </w:pPr>
      <w:bookmarkStart w:id="209" w:name="_Toc3135"/>
      <w:bookmarkStart w:id="210" w:name="_Toc6698"/>
      <w:bookmarkStart w:id="211" w:name="_Toc487900372"/>
      <w:bookmarkStart w:id="212" w:name="_Toc279701262"/>
      <w:bookmarkStart w:id="213" w:name="_Toc259093691"/>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个工作日内（根据项目实际填写）书面通知对方当事人，在对方当事人收到有关变更通知之前，变更前的约定送达方式或者地址仍视为有效。</w:t>
      </w:r>
      <w:bookmarkEnd w:id="209"/>
      <w:bookmarkEnd w:id="210"/>
    </w:p>
    <w:p w14:paraId="1AF019AF">
      <w:pPr>
        <w:shd w:val="clear"/>
        <w:spacing w:line="336" w:lineRule="auto"/>
        <w:ind w:firstLine="480" w:firstLineChars="200"/>
        <w:rPr>
          <w:rFonts w:ascii="宋体" w:hAnsi="宋体" w:cs="宋体"/>
          <w:color w:val="auto"/>
          <w:sz w:val="24"/>
          <w:highlight w:val="none"/>
        </w:rPr>
      </w:pPr>
      <w:bookmarkStart w:id="214" w:name="_Toc23128"/>
      <w:bookmarkStart w:id="215" w:name="_Toc23294"/>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14"/>
      <w:bookmarkEnd w:id="215"/>
    </w:p>
    <w:p w14:paraId="2281C52E">
      <w:pPr>
        <w:shd w:val="clear"/>
        <w:spacing w:line="336" w:lineRule="auto"/>
        <w:ind w:firstLine="482" w:firstLineChars="200"/>
        <w:rPr>
          <w:rFonts w:ascii="宋体" w:hAnsi="宋体" w:cs="宋体"/>
          <w:b/>
          <w:color w:val="auto"/>
          <w:sz w:val="24"/>
          <w:highlight w:val="none"/>
        </w:rPr>
      </w:pPr>
      <w:bookmarkStart w:id="216" w:name="_Toc30599"/>
      <w:bookmarkStart w:id="217" w:name="_Toc18540"/>
      <w:bookmarkStart w:id="218" w:name="_Toc4355"/>
      <w:r>
        <w:rPr>
          <w:rFonts w:hint="eastAsia" w:ascii="宋体" w:hAnsi="宋体" w:cs="宋体"/>
          <w:b/>
          <w:color w:val="auto"/>
          <w:sz w:val="24"/>
          <w:highlight w:val="none"/>
        </w:rPr>
        <w:t>2.19 计量单位</w:t>
      </w:r>
      <w:bookmarkEnd w:id="211"/>
      <w:bookmarkEnd w:id="212"/>
      <w:bookmarkEnd w:id="213"/>
      <w:bookmarkEnd w:id="216"/>
      <w:bookmarkEnd w:id="217"/>
      <w:bookmarkEnd w:id="218"/>
    </w:p>
    <w:p w14:paraId="14CA6D29">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0A0856A">
      <w:pPr>
        <w:shd w:val="clear"/>
        <w:spacing w:line="336" w:lineRule="auto"/>
        <w:ind w:firstLine="482" w:firstLineChars="200"/>
        <w:rPr>
          <w:rFonts w:ascii="宋体" w:hAnsi="宋体" w:cs="宋体"/>
          <w:b/>
          <w:color w:val="auto"/>
          <w:sz w:val="24"/>
          <w:highlight w:val="none"/>
        </w:rPr>
      </w:pPr>
      <w:bookmarkStart w:id="219" w:name="_Toc487900373"/>
      <w:bookmarkStart w:id="220" w:name="_Toc12773"/>
      <w:bookmarkStart w:id="221" w:name="_Toc259093692"/>
      <w:bookmarkStart w:id="222" w:name="_Toc279701263"/>
      <w:bookmarkStart w:id="223" w:name="_Toc10330"/>
      <w:bookmarkStart w:id="224" w:name="_Toc18567"/>
      <w:r>
        <w:rPr>
          <w:rFonts w:hint="eastAsia" w:ascii="宋体" w:hAnsi="宋体" w:cs="宋体"/>
          <w:b/>
          <w:color w:val="auto"/>
          <w:sz w:val="24"/>
          <w:highlight w:val="none"/>
        </w:rPr>
        <w:t>2.20 合同使用的文字和适用的法律</w:t>
      </w:r>
      <w:bookmarkEnd w:id="219"/>
      <w:bookmarkEnd w:id="220"/>
      <w:bookmarkEnd w:id="221"/>
      <w:bookmarkEnd w:id="222"/>
      <w:bookmarkEnd w:id="223"/>
      <w:bookmarkEnd w:id="224"/>
    </w:p>
    <w:p w14:paraId="1F7FD8EB">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2.20.1 合同使用汉语书就、变更和解释；</w:t>
      </w:r>
    </w:p>
    <w:p w14:paraId="34FA5340">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2.20.2 合同适用中华人民共和国法律。</w:t>
      </w:r>
    </w:p>
    <w:p w14:paraId="70372E11">
      <w:pPr>
        <w:shd w:val="clear"/>
        <w:spacing w:line="336" w:lineRule="auto"/>
        <w:ind w:firstLine="482" w:firstLineChars="200"/>
        <w:rPr>
          <w:rFonts w:ascii="宋体" w:hAnsi="宋体" w:cs="宋体"/>
          <w:b/>
          <w:color w:val="auto"/>
          <w:sz w:val="24"/>
          <w:highlight w:val="none"/>
        </w:rPr>
      </w:pPr>
      <w:bookmarkStart w:id="225" w:name="_Toc279701264"/>
      <w:bookmarkStart w:id="226" w:name="_Toc12004"/>
      <w:bookmarkStart w:id="227" w:name="_Toc16673"/>
      <w:bookmarkStart w:id="228" w:name="_Toc259093693"/>
      <w:bookmarkStart w:id="229" w:name="_Toc3148"/>
      <w:bookmarkStart w:id="230" w:name="_Toc487900374"/>
      <w:r>
        <w:rPr>
          <w:rFonts w:hint="eastAsia" w:ascii="宋体" w:hAnsi="宋体" w:cs="宋体"/>
          <w:b/>
          <w:color w:val="auto"/>
          <w:sz w:val="24"/>
          <w:highlight w:val="none"/>
        </w:rPr>
        <w:t>2.21 履约保证金</w:t>
      </w:r>
      <w:bookmarkEnd w:id="225"/>
      <w:bookmarkEnd w:id="226"/>
      <w:bookmarkEnd w:id="227"/>
      <w:bookmarkEnd w:id="228"/>
      <w:bookmarkEnd w:id="229"/>
    </w:p>
    <w:p w14:paraId="1AAD6C98">
      <w:pPr>
        <w:shd w:val="clear"/>
        <w:spacing w:line="336"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14:paraId="629C217C">
      <w:pPr>
        <w:shd w:val="clear"/>
        <w:spacing w:line="336" w:lineRule="auto"/>
        <w:ind w:firstLine="482" w:firstLineChars="200"/>
        <w:rPr>
          <w:rFonts w:ascii="宋体" w:hAnsi="宋体" w:cs="宋体"/>
          <w:color w:val="auto"/>
          <w:kern w:val="0"/>
          <w:sz w:val="24"/>
          <w:highlight w:val="none"/>
          <w:lang w:val="zh-CN"/>
        </w:rPr>
      </w:pPr>
      <w:r>
        <w:rPr>
          <w:rFonts w:hint="eastAsia" w:ascii="宋体" w:hAnsi="宋体" w:cs="宋体"/>
          <w:b/>
          <w:color w:val="auto"/>
          <w:sz w:val="24"/>
          <w:highlight w:val="none"/>
        </w:rPr>
        <w:t>2.22 中小企业政策</w:t>
      </w:r>
    </w:p>
    <w:p w14:paraId="56C74382">
      <w:pPr>
        <w:shd w:val="clear"/>
        <w:spacing w:line="336"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2.22.1本合同（□是  □否）为中小企业“政采贷”可融资合同，关于中小企业信用融资事项见采购文件“供应商须知正文”。</w:t>
      </w:r>
    </w:p>
    <w:p w14:paraId="02114C2A">
      <w:pPr>
        <w:shd w:val="clear"/>
        <w:spacing w:line="336"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2.22.2本合同（□是  □否）为中小企业预留合同。</w:t>
      </w:r>
    </w:p>
    <w:bookmarkEnd w:id="230"/>
    <w:p w14:paraId="05A3B9B3">
      <w:pPr>
        <w:shd w:val="clear"/>
        <w:spacing w:line="336" w:lineRule="auto"/>
        <w:ind w:firstLine="482" w:firstLineChars="200"/>
        <w:rPr>
          <w:rFonts w:ascii="宋体" w:hAnsi="宋体" w:cs="宋体"/>
          <w:b/>
          <w:color w:val="auto"/>
          <w:sz w:val="24"/>
          <w:highlight w:val="none"/>
        </w:rPr>
      </w:pPr>
      <w:bookmarkStart w:id="231" w:name="_Toc6885"/>
      <w:bookmarkStart w:id="232" w:name="_Toc14001"/>
      <w:bookmarkStart w:id="233" w:name="_Toc19890"/>
      <w:r>
        <w:rPr>
          <w:rFonts w:hint="eastAsia" w:ascii="宋体" w:hAnsi="宋体" w:cs="宋体"/>
          <w:b/>
          <w:color w:val="auto"/>
          <w:sz w:val="24"/>
          <w:highlight w:val="none"/>
        </w:rPr>
        <w:t>2.23 合同份数</w:t>
      </w:r>
      <w:bookmarkEnd w:id="231"/>
      <w:bookmarkEnd w:id="232"/>
      <w:bookmarkEnd w:id="233"/>
    </w:p>
    <w:p w14:paraId="2F549123">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份，采购代理机构执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份。每份均具有同等法律效力。</w:t>
      </w:r>
    </w:p>
    <w:p w14:paraId="001E4FDF">
      <w:pPr>
        <w:pStyle w:val="31"/>
        <w:shd w:val="clear"/>
        <w:spacing w:after="0" w:line="336" w:lineRule="auto"/>
        <w:jc w:val="center"/>
        <w:outlineLvl w:val="1"/>
        <w:rPr>
          <w:rFonts w:ascii="宋体" w:hAnsi="宋体" w:cs="宋体"/>
          <w:b/>
          <w:color w:val="auto"/>
          <w:sz w:val="28"/>
          <w:szCs w:val="28"/>
          <w:highlight w:val="none"/>
        </w:rPr>
      </w:pPr>
      <w:r>
        <w:rPr>
          <w:rFonts w:hint="eastAsia" w:ascii="宋体" w:hAnsi="宋体" w:cs="宋体"/>
          <w:color w:val="auto"/>
          <w:highlight w:val="none"/>
        </w:rPr>
        <w:br w:type="page"/>
      </w:r>
      <w:bookmarkStart w:id="234" w:name="_Toc331685784"/>
      <w:bookmarkStart w:id="235" w:name="_Toc80205946"/>
      <w:bookmarkStart w:id="236" w:name="_Toc21058"/>
      <w:bookmarkStart w:id="237" w:name="_Toc10052"/>
      <w:r>
        <w:rPr>
          <w:rFonts w:hint="eastAsia" w:ascii="宋体" w:hAnsi="宋体" w:cs="宋体"/>
          <w:b/>
          <w:color w:val="auto"/>
          <w:sz w:val="28"/>
          <w:szCs w:val="28"/>
          <w:highlight w:val="none"/>
        </w:rPr>
        <w:t>第三部分  合同专用条款</w:t>
      </w:r>
      <w:bookmarkEnd w:id="234"/>
      <w:bookmarkEnd w:id="235"/>
      <w:bookmarkEnd w:id="236"/>
      <w:bookmarkEnd w:id="237"/>
    </w:p>
    <w:p w14:paraId="3084E7B4">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40FA7FFC">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2.3.2具有知识产权的标的物知识产权归属：</w:t>
      </w:r>
    </w:p>
    <w:p w14:paraId="7C75B899">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1E2CBEC">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2.4.1包装和装运专用条款（如果有）：</w:t>
      </w:r>
    </w:p>
    <w:p w14:paraId="10D4CBDE">
      <w:pPr>
        <w:shd w:val="clear"/>
        <w:spacing w:line="33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588D9302">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2.4.2装运标的物的要求和通知：</w:t>
      </w:r>
    </w:p>
    <w:p w14:paraId="5165EA6A">
      <w:pPr>
        <w:shd w:val="clear"/>
        <w:spacing w:line="33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2D5BD33A">
      <w:pPr>
        <w:shd w:val="clear"/>
        <w:spacing w:line="336"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2.6</w:t>
      </w:r>
      <w:r>
        <w:rPr>
          <w:rFonts w:hint="eastAsia" w:ascii="宋体" w:hAnsi="宋体" w:cs="宋体"/>
          <w:b/>
          <w:color w:val="auto"/>
          <w:sz w:val="24"/>
          <w:highlight w:val="none"/>
        </w:rPr>
        <w:t>结算方式和付款条件</w:t>
      </w:r>
    </w:p>
    <w:p w14:paraId="1A9A69BD">
      <w:pPr>
        <w:shd w:val="clear"/>
        <w:spacing w:line="336"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本次项目合同总价为大写人民币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val="zh-CN"/>
        </w:rPr>
        <w:t xml:space="preserve">    元）。本项目采用以下勾选结算方式进行支付：</w:t>
      </w:r>
    </w:p>
    <w:p w14:paraId="05030E52">
      <w:pPr>
        <w:shd w:val="clear"/>
        <w:spacing w:line="336"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□采用一次性支付方式，付款条件为：</w:t>
      </w:r>
      <w:r>
        <w:rPr>
          <w:rFonts w:hint="eastAsia" w:ascii="宋体" w:hAnsi="宋体" w:cs="宋体"/>
          <w:color w:val="auto"/>
          <w:kern w:val="0"/>
          <w:sz w:val="24"/>
          <w:highlight w:val="none"/>
          <w:u w:val="single"/>
        </w:rPr>
        <w:t xml:space="preserve">           </w:t>
      </w:r>
    </w:p>
    <w:p w14:paraId="26E82928">
      <w:pPr>
        <w:shd w:val="clear"/>
        <w:spacing w:line="336"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□采用分期付款方式，付款条件为</w:t>
      </w:r>
      <w:r>
        <w:rPr>
          <w:rFonts w:hint="eastAsia" w:ascii="宋体" w:hAnsi="宋体" w:cs="宋体"/>
          <w:color w:val="auto"/>
          <w:kern w:val="0"/>
          <w:sz w:val="24"/>
          <w:highlight w:val="none"/>
        </w:rPr>
        <w:t>：</w:t>
      </w:r>
    </w:p>
    <w:p w14:paraId="3AF88447">
      <w:pPr>
        <w:shd w:val="clear"/>
        <w:spacing w:line="336"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第一期付款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188C0762">
      <w:pPr>
        <w:shd w:val="clear"/>
        <w:spacing w:line="336"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第</w:t>
      </w:r>
      <w:r>
        <w:rPr>
          <w:rFonts w:hint="eastAsia" w:ascii="宋体" w:hAnsi="宋体" w:cs="宋体"/>
          <w:color w:val="auto"/>
          <w:kern w:val="0"/>
          <w:sz w:val="24"/>
          <w:highlight w:val="none"/>
        </w:rPr>
        <w:t>二</w:t>
      </w:r>
      <w:r>
        <w:rPr>
          <w:rFonts w:hint="eastAsia" w:ascii="宋体" w:hAnsi="宋体" w:cs="宋体"/>
          <w:color w:val="auto"/>
          <w:kern w:val="0"/>
          <w:sz w:val="24"/>
          <w:highlight w:val="none"/>
          <w:lang w:val="zh-CN"/>
        </w:rPr>
        <w:t>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0F8093AB">
      <w:pPr>
        <w:shd w:val="clear"/>
        <w:spacing w:line="336"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p>
    <w:p w14:paraId="24B8D044">
      <w:pPr>
        <w:shd w:val="clear"/>
        <w:spacing w:line="336" w:lineRule="auto"/>
        <w:ind w:firstLine="480" w:firstLineChars="200"/>
        <w:rPr>
          <w:rFonts w:ascii="宋体" w:hAnsi="宋体" w:cs="宋体"/>
          <w:color w:val="auto"/>
          <w:kern w:val="0"/>
          <w:sz w:val="24"/>
          <w:highlight w:val="none"/>
          <w:lang w:val="zh-CN"/>
        </w:rPr>
      </w:pPr>
      <w:r>
        <w:rPr>
          <w:rFonts w:hint="eastAsia" w:ascii="宋体" w:hAnsi="宋体" w:cs="宋体"/>
          <w:color w:val="auto"/>
          <w:sz w:val="24"/>
          <w:highlight w:val="none"/>
        </w:rPr>
        <w:t>甲方无故逾期支付服务费用的，按照每逾期一日支付欠付服务费额度的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（根据项目实际填写，一般为万分之五）承担违约责任，违约金上限按照《合同书》约定执行。</w:t>
      </w:r>
    </w:p>
    <w:p w14:paraId="3B2FD192">
      <w:pPr>
        <w:shd w:val="clear"/>
        <w:spacing w:line="336"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2.9</w:t>
      </w:r>
      <w:r>
        <w:rPr>
          <w:rFonts w:hint="eastAsia" w:ascii="宋体" w:hAnsi="宋体" w:cs="宋体"/>
          <w:b/>
          <w:color w:val="auto"/>
          <w:sz w:val="24"/>
          <w:highlight w:val="none"/>
        </w:rPr>
        <w:t>标的物的风险负担</w:t>
      </w:r>
    </w:p>
    <w:p w14:paraId="1B275871">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w:t>
      </w:r>
    </w:p>
    <w:p w14:paraId="048BE1D4">
      <w:pPr>
        <w:shd w:val="clear"/>
        <w:spacing w:line="33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乙方                                                                       </w:t>
      </w:r>
    </w:p>
    <w:p w14:paraId="17097AC8">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日内（根据项目实际填写）以书面形式通知对方当事人，并在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日内（根据项目实际填写），将有关部门出具的证明文件送达对方当事人。</w:t>
      </w:r>
    </w:p>
    <w:p w14:paraId="0BA35CA8">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2.13.4因不可抗力致使合同有变更必要的，双方当事人应在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日内（根据项目实际填写）以书面形式变更合同；</w:t>
      </w:r>
    </w:p>
    <w:p w14:paraId="29671EE2">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日内（根据项目实际填写）发起验收，并可依法邀请相关方参加，验收应出具验收书。</w:t>
      </w:r>
    </w:p>
    <w:p w14:paraId="17A26539">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w:t>
      </w:r>
    </w:p>
    <w:p w14:paraId="17CE066E">
      <w:pPr>
        <w:shd w:val="clear"/>
        <w:spacing w:line="33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309F5C9F">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其他：</w:t>
      </w:r>
    </w:p>
    <w:p w14:paraId="560BB85D">
      <w:pPr>
        <w:shd w:val="clear"/>
        <w:spacing w:line="336"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项目验收：</w:t>
      </w:r>
    </w:p>
    <w:p w14:paraId="364B9776">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1DC89C7A">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5399ED19">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65EA4B3E">
      <w:pPr>
        <w:shd w:val="clear"/>
        <w:spacing w:line="336" w:lineRule="auto"/>
        <w:ind w:firstLine="480" w:firstLineChars="200"/>
        <w:rPr>
          <w:rFonts w:ascii="宋体" w:hAnsi="宋体" w:cs="宋体"/>
          <w:color w:val="auto"/>
          <w:sz w:val="24"/>
          <w:highlight w:val="none"/>
          <w:u w:val="none"/>
        </w:rPr>
      </w:pPr>
      <w:r>
        <w:rPr>
          <w:rFonts w:hint="eastAsia" w:ascii="宋体" w:hAnsi="宋体" w:cs="宋体"/>
          <w:color w:val="auto"/>
          <w:sz w:val="24"/>
          <w:highlight w:val="none"/>
        </w:rPr>
        <w:t>4、验收产生的费用</w:t>
      </w:r>
      <w:r>
        <w:rPr>
          <w:rFonts w:hint="eastAsia" w:ascii="宋体" w:hAnsi="宋体" w:cs="宋体"/>
          <w:color w:val="auto"/>
          <w:sz w:val="24"/>
          <w:highlight w:val="none"/>
          <w:u w:val="none"/>
        </w:rPr>
        <w:t>首次验收费用由</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承担，如首次验收不合格，后续验收费用由</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支付。</w:t>
      </w:r>
    </w:p>
    <w:p w14:paraId="628187ED">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5、验收内容及资料要求：</w:t>
      </w:r>
    </w:p>
    <w:p w14:paraId="782E22AA">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根根据采购文件确定的技术指标或者服务要求确定验收指标和标准。未进行相应约定的，应当符合国家强制性规定、政策要求、安全标准、行业或企业有关标准等。</w:t>
      </w:r>
    </w:p>
    <w:p w14:paraId="0D8F9E6D">
      <w:pPr>
        <w:shd w:val="clear"/>
        <w:tabs>
          <w:tab w:val="left" w:pos="904"/>
        </w:tabs>
        <w:snapToGrid w:val="0"/>
        <w:spacing w:line="336"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5.1验收内容</w:t>
      </w:r>
    </w:p>
    <w:tbl>
      <w:tblPr>
        <w:tblStyle w:val="21"/>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3165"/>
        <w:gridCol w:w="4391"/>
      </w:tblGrid>
      <w:tr w14:paraId="7F80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14:paraId="33989C98">
            <w:pPr>
              <w:widowControl/>
              <w:shd w:val="clear"/>
              <w:spacing w:line="336"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3165" w:type="dxa"/>
            <w:vAlign w:val="center"/>
          </w:tcPr>
          <w:p w14:paraId="0A9219B7">
            <w:pPr>
              <w:widowControl/>
              <w:shd w:val="clear"/>
              <w:spacing w:line="336"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验收内容</w:t>
            </w:r>
          </w:p>
        </w:tc>
        <w:tc>
          <w:tcPr>
            <w:tcW w:w="4391" w:type="dxa"/>
            <w:vAlign w:val="center"/>
          </w:tcPr>
          <w:p w14:paraId="3AB5F21E">
            <w:pPr>
              <w:widowControl/>
              <w:shd w:val="clear"/>
              <w:spacing w:line="336"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 xml:space="preserve"> 验收标准</w:t>
            </w:r>
          </w:p>
        </w:tc>
      </w:tr>
      <w:tr w14:paraId="221B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61" w:type="dxa"/>
            <w:vAlign w:val="center"/>
          </w:tcPr>
          <w:p w14:paraId="3A7A9B81">
            <w:pPr>
              <w:widowControl/>
              <w:shd w:val="clear"/>
              <w:spacing w:line="336"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3165" w:type="dxa"/>
            <w:vAlign w:val="center"/>
          </w:tcPr>
          <w:p w14:paraId="22113EF6">
            <w:pPr>
              <w:widowControl/>
              <w:shd w:val="clear"/>
              <w:spacing w:line="336"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交付标的</w:t>
            </w:r>
            <w:r>
              <w:rPr>
                <w:rFonts w:hint="eastAsia" w:ascii="宋体" w:hAnsi="宋体" w:cs="宋体"/>
                <w:bCs/>
                <w:color w:val="auto"/>
                <w:kern w:val="0"/>
                <w:sz w:val="24"/>
                <w:highlight w:val="none"/>
              </w:rPr>
              <w:t>数量</w:t>
            </w:r>
          </w:p>
        </w:tc>
        <w:tc>
          <w:tcPr>
            <w:tcW w:w="4391" w:type="dxa"/>
            <w:vAlign w:val="center"/>
          </w:tcPr>
          <w:p w14:paraId="1D3BA546">
            <w:pPr>
              <w:widowControl/>
              <w:shd w:val="clear"/>
              <w:spacing w:line="336" w:lineRule="auto"/>
              <w:ind w:firstLine="200"/>
              <w:jc w:val="center"/>
              <w:rPr>
                <w:rFonts w:ascii="宋体" w:hAnsi="宋体" w:cs="宋体"/>
                <w:color w:val="auto"/>
                <w:kern w:val="0"/>
                <w:sz w:val="24"/>
                <w:highlight w:val="none"/>
              </w:rPr>
            </w:pPr>
          </w:p>
        </w:tc>
      </w:tr>
      <w:tr w14:paraId="4424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961" w:type="dxa"/>
            <w:vAlign w:val="center"/>
          </w:tcPr>
          <w:p w14:paraId="57497E3E">
            <w:pPr>
              <w:widowControl/>
              <w:shd w:val="clear"/>
              <w:spacing w:line="336"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2</w:t>
            </w:r>
          </w:p>
        </w:tc>
        <w:tc>
          <w:tcPr>
            <w:tcW w:w="3165" w:type="dxa"/>
            <w:vAlign w:val="center"/>
          </w:tcPr>
          <w:p w14:paraId="560FC0AC">
            <w:pPr>
              <w:widowControl/>
              <w:shd w:val="clear"/>
              <w:spacing w:line="336"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交付标的</w:t>
            </w:r>
            <w:r>
              <w:rPr>
                <w:rFonts w:hint="eastAsia" w:ascii="宋体" w:hAnsi="宋体" w:cs="宋体"/>
                <w:bCs/>
                <w:color w:val="auto"/>
                <w:kern w:val="0"/>
                <w:sz w:val="24"/>
                <w:highlight w:val="none"/>
              </w:rPr>
              <w:t>的质量文件</w:t>
            </w:r>
          </w:p>
        </w:tc>
        <w:tc>
          <w:tcPr>
            <w:tcW w:w="4391" w:type="dxa"/>
            <w:vAlign w:val="center"/>
          </w:tcPr>
          <w:p w14:paraId="1ECBCF37">
            <w:pPr>
              <w:widowControl/>
              <w:shd w:val="clear"/>
              <w:spacing w:line="336" w:lineRule="auto"/>
              <w:ind w:firstLine="200"/>
              <w:jc w:val="center"/>
              <w:rPr>
                <w:rFonts w:ascii="宋体" w:hAnsi="宋体" w:cs="宋体"/>
                <w:color w:val="auto"/>
                <w:kern w:val="0"/>
                <w:sz w:val="24"/>
                <w:highlight w:val="none"/>
              </w:rPr>
            </w:pPr>
          </w:p>
        </w:tc>
      </w:tr>
      <w:tr w14:paraId="5065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61" w:type="dxa"/>
            <w:vAlign w:val="center"/>
          </w:tcPr>
          <w:p w14:paraId="59506D6F">
            <w:pPr>
              <w:widowControl/>
              <w:shd w:val="clear"/>
              <w:spacing w:line="336"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4</w:t>
            </w:r>
          </w:p>
        </w:tc>
        <w:tc>
          <w:tcPr>
            <w:tcW w:w="3165" w:type="dxa"/>
            <w:vAlign w:val="center"/>
          </w:tcPr>
          <w:p w14:paraId="415793E4">
            <w:pPr>
              <w:shd w:val="clear"/>
              <w:spacing w:line="336"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交付标的</w:t>
            </w:r>
            <w:r>
              <w:rPr>
                <w:rFonts w:hint="eastAsia" w:ascii="宋体" w:hAnsi="宋体" w:cs="宋体"/>
                <w:bCs/>
                <w:color w:val="auto"/>
                <w:kern w:val="0"/>
                <w:sz w:val="24"/>
                <w:highlight w:val="none"/>
              </w:rPr>
              <w:t xml:space="preserve">技术、性能指标 </w:t>
            </w:r>
          </w:p>
        </w:tc>
        <w:tc>
          <w:tcPr>
            <w:tcW w:w="4391" w:type="dxa"/>
            <w:vAlign w:val="center"/>
          </w:tcPr>
          <w:p w14:paraId="6152F919">
            <w:pPr>
              <w:pStyle w:val="9"/>
              <w:shd w:val="clear"/>
              <w:spacing w:after="0" w:line="336" w:lineRule="auto"/>
              <w:ind w:firstLine="200"/>
              <w:jc w:val="left"/>
              <w:rPr>
                <w:rFonts w:ascii="宋体" w:hAnsi="宋体" w:cs="宋体"/>
                <w:color w:val="auto"/>
                <w:highlight w:val="none"/>
              </w:rPr>
            </w:pPr>
          </w:p>
        </w:tc>
      </w:tr>
      <w:tr w14:paraId="0BD4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961" w:type="dxa"/>
            <w:vAlign w:val="center"/>
          </w:tcPr>
          <w:p w14:paraId="30688EAB">
            <w:pPr>
              <w:widowControl/>
              <w:shd w:val="clear"/>
              <w:spacing w:line="336" w:lineRule="auto"/>
              <w:ind w:firstLine="200"/>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3165" w:type="dxa"/>
            <w:vAlign w:val="center"/>
          </w:tcPr>
          <w:p w14:paraId="4A579C28">
            <w:pPr>
              <w:shd w:val="clear"/>
              <w:spacing w:line="336" w:lineRule="auto"/>
              <w:ind w:firstLine="200"/>
              <w:jc w:val="center"/>
              <w:rPr>
                <w:rFonts w:ascii="宋体" w:hAnsi="宋体" w:cs="宋体"/>
                <w:color w:val="auto"/>
                <w:sz w:val="24"/>
                <w:highlight w:val="none"/>
              </w:rPr>
            </w:pPr>
            <w:r>
              <w:rPr>
                <w:rFonts w:hint="eastAsia" w:ascii="宋体" w:hAnsi="宋体" w:cs="宋体"/>
                <w:color w:val="auto"/>
                <w:sz w:val="24"/>
                <w:highlight w:val="none"/>
              </w:rPr>
              <w:t>售后服务</w:t>
            </w:r>
          </w:p>
          <w:p w14:paraId="152632DB">
            <w:pPr>
              <w:widowControl/>
              <w:shd w:val="clear"/>
              <w:spacing w:line="336" w:lineRule="auto"/>
              <w:ind w:firstLine="200"/>
              <w:jc w:val="center"/>
              <w:rPr>
                <w:rFonts w:ascii="宋体" w:hAnsi="宋体" w:cs="宋体"/>
                <w:bCs/>
                <w:color w:val="auto"/>
                <w:kern w:val="0"/>
                <w:sz w:val="24"/>
                <w:highlight w:val="none"/>
              </w:rPr>
            </w:pPr>
            <w:r>
              <w:rPr>
                <w:rFonts w:hint="eastAsia" w:ascii="宋体" w:hAnsi="宋体" w:cs="宋体"/>
                <w:color w:val="auto"/>
                <w:sz w:val="24"/>
                <w:highlight w:val="none"/>
              </w:rPr>
              <w:t>承诺</w:t>
            </w:r>
          </w:p>
        </w:tc>
        <w:tc>
          <w:tcPr>
            <w:tcW w:w="4391" w:type="dxa"/>
            <w:vAlign w:val="center"/>
          </w:tcPr>
          <w:p w14:paraId="7F085271">
            <w:pPr>
              <w:widowControl/>
              <w:shd w:val="clear"/>
              <w:spacing w:line="336" w:lineRule="auto"/>
              <w:ind w:firstLine="200"/>
              <w:jc w:val="center"/>
              <w:rPr>
                <w:rFonts w:ascii="宋体" w:hAnsi="宋体" w:cs="宋体"/>
                <w:color w:val="auto"/>
                <w:kern w:val="0"/>
                <w:sz w:val="24"/>
                <w:highlight w:val="none"/>
              </w:rPr>
            </w:pPr>
          </w:p>
        </w:tc>
      </w:tr>
      <w:tr w14:paraId="553B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961" w:type="dxa"/>
            <w:vAlign w:val="center"/>
          </w:tcPr>
          <w:p w14:paraId="7B4505EF">
            <w:pPr>
              <w:widowControl/>
              <w:shd w:val="clear"/>
              <w:spacing w:line="336"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6</w:t>
            </w:r>
          </w:p>
        </w:tc>
        <w:tc>
          <w:tcPr>
            <w:tcW w:w="3165" w:type="dxa"/>
            <w:vAlign w:val="center"/>
          </w:tcPr>
          <w:p w14:paraId="2428685F">
            <w:pPr>
              <w:widowControl/>
              <w:shd w:val="clear"/>
              <w:spacing w:line="336"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其他工作</w:t>
            </w:r>
          </w:p>
        </w:tc>
        <w:tc>
          <w:tcPr>
            <w:tcW w:w="4391" w:type="dxa"/>
            <w:vAlign w:val="center"/>
          </w:tcPr>
          <w:p w14:paraId="6FEEF3C1">
            <w:pPr>
              <w:widowControl/>
              <w:shd w:val="clear"/>
              <w:spacing w:line="336" w:lineRule="auto"/>
              <w:ind w:firstLine="200"/>
              <w:jc w:val="left"/>
              <w:rPr>
                <w:rFonts w:ascii="宋体" w:hAnsi="宋体" w:cs="宋体"/>
                <w:color w:val="auto"/>
                <w:kern w:val="0"/>
                <w:sz w:val="24"/>
                <w:highlight w:val="none"/>
              </w:rPr>
            </w:pPr>
          </w:p>
        </w:tc>
      </w:tr>
    </w:tbl>
    <w:p w14:paraId="677D74DB">
      <w:pPr>
        <w:shd w:val="clear"/>
        <w:tabs>
          <w:tab w:val="left" w:pos="904"/>
        </w:tabs>
        <w:snapToGrid w:val="0"/>
        <w:spacing w:line="336" w:lineRule="auto"/>
        <w:ind w:firstLine="480" w:firstLineChars="200"/>
        <w:jc w:val="left"/>
        <w:rPr>
          <w:rFonts w:ascii="宋体" w:hAnsi="宋体" w:cs="宋体"/>
          <w:color w:val="auto"/>
          <w:sz w:val="24"/>
          <w:highlight w:val="none"/>
        </w:rPr>
      </w:pPr>
    </w:p>
    <w:p w14:paraId="1D6FABB7">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5.2验收资料要求</w:t>
      </w:r>
    </w:p>
    <w:p w14:paraId="6C9C40C8">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0DDA3056">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（1）采购文件；</w:t>
      </w:r>
    </w:p>
    <w:p w14:paraId="3A69121F">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（2）响应文件；</w:t>
      </w:r>
    </w:p>
    <w:p w14:paraId="19BD002E">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（3）采购合同；</w:t>
      </w:r>
    </w:p>
    <w:p w14:paraId="73439EBA">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（4）其他需提供的相关材料。</w:t>
      </w:r>
    </w:p>
    <w:p w14:paraId="66C9D6C2">
      <w:pPr>
        <w:widowControl/>
        <w:shd w:val="clear"/>
        <w:spacing w:line="336" w:lineRule="auto"/>
        <w:ind w:firstLine="720" w:firstLineChars="300"/>
        <w:jc w:val="left"/>
        <w:rPr>
          <w:rFonts w:ascii="宋体" w:hAnsi="宋体" w:cs="宋体"/>
          <w:bCs/>
          <w:color w:val="auto"/>
          <w:sz w:val="24"/>
          <w:highlight w:val="none"/>
        </w:rPr>
      </w:pPr>
    </w:p>
    <w:p w14:paraId="22A1C1D9">
      <w:pPr>
        <w:shd w:val="clear"/>
        <w:tabs>
          <w:tab w:val="left" w:pos="3261"/>
        </w:tabs>
        <w:wordWrap w:val="0"/>
        <w:spacing w:line="336" w:lineRule="auto"/>
        <w:contextualSpacing/>
        <w:rPr>
          <w:rFonts w:asciiTheme="minorEastAsia" w:hAnsiTheme="minorEastAsia" w:eastAsiaTheme="minorEastAsia" w:cstheme="minorEastAsia"/>
          <w:b/>
          <w:color w:val="auto"/>
          <w:sz w:val="44"/>
          <w:szCs w:val="44"/>
          <w:highlight w:val="none"/>
        </w:rPr>
      </w:pPr>
      <w:r>
        <w:rPr>
          <w:rFonts w:hint="eastAsia" w:ascii="宋体" w:hAnsi="宋体" w:cs="宋体"/>
          <w:color w:val="auto"/>
          <w:sz w:val="24"/>
          <w:highlight w:val="none"/>
          <w:u w:val="single"/>
        </w:rPr>
        <w:t xml:space="preserve">                                                                      </w:t>
      </w:r>
    </w:p>
    <w:p w14:paraId="1DCE655D">
      <w:pPr>
        <w:shd w:val="clear"/>
        <w:wordWrap w:val="0"/>
        <w:spacing w:line="336" w:lineRule="auto"/>
        <w:jc w:val="center"/>
        <w:rPr>
          <w:rFonts w:asciiTheme="minorEastAsia" w:hAnsiTheme="minorEastAsia" w:eastAsiaTheme="minorEastAsia" w:cstheme="minorEastAsia"/>
          <w:b/>
          <w:bCs/>
          <w:color w:val="auto"/>
          <w:sz w:val="44"/>
          <w:szCs w:val="44"/>
          <w:highlight w:val="none"/>
        </w:rPr>
        <w:sectPr>
          <w:pgSz w:w="11905" w:h="16838"/>
          <w:pgMar w:top="1440" w:right="1080" w:bottom="1440" w:left="1080" w:header="720" w:footer="720" w:gutter="0"/>
          <w:cols w:space="0" w:num="1"/>
        </w:sectPr>
      </w:pPr>
    </w:p>
    <w:p w14:paraId="0815612F">
      <w:pPr>
        <w:shd w:val="clear"/>
        <w:tabs>
          <w:tab w:val="left" w:pos="3261"/>
        </w:tabs>
        <w:wordWrap w:val="0"/>
        <w:spacing w:line="336" w:lineRule="auto"/>
        <w:contextualSpacing/>
        <w:jc w:val="center"/>
        <w:rPr>
          <w:rFonts w:asciiTheme="minorEastAsia" w:hAnsiTheme="minorEastAsia" w:eastAsiaTheme="minorEastAsia" w:cstheme="minorEastAsia"/>
          <w:b/>
          <w:color w:val="auto"/>
          <w:sz w:val="44"/>
          <w:szCs w:val="44"/>
          <w:highlight w:val="none"/>
        </w:rPr>
      </w:pPr>
    </w:p>
    <w:p w14:paraId="5CF4F5D2">
      <w:pPr>
        <w:shd w:val="clear"/>
        <w:tabs>
          <w:tab w:val="left" w:pos="3261"/>
        </w:tabs>
        <w:wordWrap w:val="0"/>
        <w:spacing w:line="336" w:lineRule="auto"/>
        <w:contextualSpacing/>
        <w:jc w:val="center"/>
        <w:rPr>
          <w:rFonts w:asciiTheme="minorEastAsia" w:hAnsiTheme="minorEastAsia" w:eastAsiaTheme="minorEastAsia" w:cstheme="minorEastAsia"/>
          <w:b/>
          <w:color w:val="auto"/>
          <w:sz w:val="44"/>
          <w:szCs w:val="44"/>
          <w:highlight w:val="none"/>
        </w:rPr>
      </w:pPr>
    </w:p>
    <w:p w14:paraId="458D175F">
      <w:pPr>
        <w:shd w:val="clear"/>
        <w:tabs>
          <w:tab w:val="left" w:pos="3261"/>
        </w:tabs>
        <w:wordWrap w:val="0"/>
        <w:spacing w:line="336" w:lineRule="auto"/>
        <w:contextualSpacing/>
        <w:jc w:val="center"/>
        <w:rPr>
          <w:rFonts w:asciiTheme="minorEastAsia" w:hAnsiTheme="minorEastAsia" w:eastAsiaTheme="minorEastAsia" w:cstheme="minorEastAsia"/>
          <w:b/>
          <w:color w:val="auto"/>
          <w:sz w:val="44"/>
          <w:szCs w:val="44"/>
          <w:highlight w:val="none"/>
        </w:rPr>
      </w:pPr>
    </w:p>
    <w:p w14:paraId="191C8802">
      <w:pPr>
        <w:shd w:val="clear"/>
        <w:tabs>
          <w:tab w:val="left" w:pos="3261"/>
        </w:tabs>
        <w:wordWrap w:val="0"/>
        <w:spacing w:line="336" w:lineRule="auto"/>
        <w:contextualSpacing/>
        <w:jc w:val="center"/>
        <w:rPr>
          <w:rFonts w:asciiTheme="minorEastAsia" w:hAnsiTheme="minorEastAsia" w:eastAsiaTheme="minorEastAsia" w:cstheme="minorEastAsia"/>
          <w:b/>
          <w:color w:val="auto"/>
          <w:sz w:val="44"/>
          <w:szCs w:val="44"/>
          <w:highlight w:val="none"/>
        </w:rPr>
      </w:pPr>
    </w:p>
    <w:p w14:paraId="212AF070">
      <w:pPr>
        <w:shd w:val="clear"/>
        <w:tabs>
          <w:tab w:val="left" w:pos="3261"/>
        </w:tabs>
        <w:wordWrap w:val="0"/>
        <w:spacing w:line="336" w:lineRule="auto"/>
        <w:contextualSpacing/>
        <w:jc w:val="center"/>
        <w:rPr>
          <w:rFonts w:asciiTheme="minorEastAsia" w:hAnsiTheme="minorEastAsia" w:eastAsiaTheme="minorEastAsia" w:cstheme="minorEastAsia"/>
          <w:b/>
          <w:color w:val="auto"/>
          <w:sz w:val="44"/>
          <w:szCs w:val="44"/>
          <w:highlight w:val="none"/>
        </w:rPr>
      </w:pPr>
    </w:p>
    <w:p w14:paraId="4FFA0DFC">
      <w:pPr>
        <w:pStyle w:val="2"/>
        <w:shd w:val="clear"/>
        <w:wordWrap w:val="0"/>
        <w:spacing w:before="0" w:after="0" w:line="336" w:lineRule="auto"/>
        <w:jc w:val="center"/>
        <w:rPr>
          <w:rFonts w:asciiTheme="minorEastAsia" w:hAnsiTheme="minorEastAsia" w:eastAsiaTheme="minorEastAsia" w:cstheme="minorEastAsia"/>
          <w:color w:val="auto"/>
          <w:highlight w:val="none"/>
        </w:rPr>
        <w:sectPr>
          <w:pgSz w:w="11905" w:h="16838"/>
          <w:pgMar w:top="1440" w:right="1080" w:bottom="1440" w:left="1080" w:header="720" w:footer="720" w:gutter="0"/>
          <w:cols w:space="0" w:num="1"/>
        </w:sectPr>
      </w:pPr>
      <w:bookmarkStart w:id="238" w:name="_Toc31116"/>
      <w:r>
        <w:rPr>
          <w:rFonts w:hint="eastAsia" w:asciiTheme="minorEastAsia" w:hAnsiTheme="minorEastAsia" w:eastAsiaTheme="minorEastAsia" w:cstheme="minorEastAsia"/>
          <w:b w:val="0"/>
          <w:color w:val="auto"/>
          <w:highlight w:val="none"/>
        </w:rPr>
        <w:t>第七章 质疑、投诉材料格式</w:t>
      </w:r>
      <w:bookmarkEnd w:id="238"/>
    </w:p>
    <w:p w14:paraId="48D9CC39">
      <w:pPr>
        <w:shd w:val="clear"/>
        <w:wordWrap w:val="0"/>
        <w:spacing w:line="336"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质疑函（格式）</w:t>
      </w:r>
    </w:p>
    <w:p w14:paraId="4DC39062">
      <w:pPr>
        <w:pStyle w:val="13"/>
        <w:shd w:val="clear"/>
        <w:wordWrap w:val="0"/>
        <w:spacing w:line="336" w:lineRule="auto"/>
        <w:ind w:firstLine="482" w:firstLineChars="200"/>
        <w:contextualSpacing/>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一、质疑供应商基本信息：</w:t>
      </w:r>
    </w:p>
    <w:p w14:paraId="03238A2E">
      <w:pPr>
        <w:pStyle w:val="13"/>
        <w:shd w:val="clear"/>
        <w:wordWrap w:val="0"/>
        <w:spacing w:line="336" w:lineRule="auto"/>
        <w:ind w:firstLine="480" w:firstLineChars="200"/>
        <w:contextualSpacing/>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质疑供应商：</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4C6337F3">
      <w:pPr>
        <w:pStyle w:val="13"/>
        <w:shd w:val="clear"/>
        <w:wordWrap w:val="0"/>
        <w:spacing w:line="336" w:lineRule="auto"/>
        <w:ind w:firstLine="480" w:firstLineChars="200"/>
        <w:contextualSpacing/>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邮编：</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6511B42E">
      <w:pPr>
        <w:pStyle w:val="13"/>
        <w:shd w:val="clear"/>
        <w:wordWrap w:val="0"/>
        <w:spacing w:line="336" w:lineRule="auto"/>
        <w:ind w:firstLine="480" w:firstLineChars="200"/>
        <w:contextualSpacing/>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联系人：</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p>
    <w:p w14:paraId="0AA66661">
      <w:pPr>
        <w:pStyle w:val="13"/>
        <w:shd w:val="clear"/>
        <w:wordWrap w:val="0"/>
        <w:spacing w:line="336" w:lineRule="auto"/>
        <w:ind w:firstLine="480" w:firstLineChars="200"/>
        <w:contextualSpacing/>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授权代表：</w:t>
      </w:r>
      <w:r>
        <w:rPr>
          <w:rFonts w:hint="eastAsia" w:asciiTheme="minorEastAsia" w:hAnsiTheme="minorEastAsia" w:eastAsiaTheme="minorEastAsia" w:cstheme="minorEastAsia"/>
          <w:bCs/>
          <w:color w:val="auto"/>
          <w:sz w:val="24"/>
          <w:szCs w:val="24"/>
          <w:highlight w:val="none"/>
          <w:u w:val="single"/>
        </w:rPr>
        <w:t xml:space="preserve">                      </w:t>
      </w:r>
    </w:p>
    <w:p w14:paraId="7E442C10">
      <w:pPr>
        <w:pStyle w:val="13"/>
        <w:shd w:val="clear"/>
        <w:wordWrap w:val="0"/>
        <w:spacing w:line="336" w:lineRule="auto"/>
        <w:ind w:firstLine="480" w:firstLineChars="200"/>
        <w:contextualSpacing/>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p>
    <w:p w14:paraId="32465EB4">
      <w:pPr>
        <w:pStyle w:val="13"/>
        <w:shd w:val="clear"/>
        <w:wordWrap w:val="0"/>
        <w:spacing w:line="336" w:lineRule="auto"/>
        <w:ind w:firstLine="480" w:firstLineChars="200"/>
        <w:contextualSpacing/>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邮编：</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2593F28E">
      <w:pPr>
        <w:pStyle w:val="13"/>
        <w:shd w:val="clear"/>
        <w:wordWrap w:val="0"/>
        <w:spacing w:line="336" w:lineRule="auto"/>
        <w:ind w:firstLine="482" w:firstLineChars="200"/>
        <w:contextualSpacing/>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二、质疑项目基本情况：</w:t>
      </w:r>
    </w:p>
    <w:p w14:paraId="4EC09D96">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质疑</w:t>
      </w:r>
      <w:r>
        <w:rPr>
          <w:rFonts w:hint="eastAsia" w:asciiTheme="minorEastAsia" w:hAnsiTheme="minorEastAsia" w:eastAsiaTheme="minorEastAsia" w:cstheme="minorEastAsia"/>
          <w:color w:val="auto"/>
          <w:sz w:val="24"/>
          <w:szCs w:val="24"/>
          <w:highlight w:val="none"/>
        </w:rPr>
        <w:t>项目的名称：</w:t>
      </w:r>
      <w:r>
        <w:rPr>
          <w:rFonts w:hint="eastAsia" w:asciiTheme="minorEastAsia" w:hAnsiTheme="minorEastAsia" w:eastAsiaTheme="minorEastAsia" w:cstheme="minorEastAsia"/>
          <w:bCs/>
          <w:color w:val="auto"/>
          <w:sz w:val="24"/>
          <w:szCs w:val="24"/>
          <w:highlight w:val="none"/>
          <w:u w:val="single"/>
        </w:rPr>
        <w:t xml:space="preserve">     </w:t>
      </w:r>
    </w:p>
    <w:p w14:paraId="137342F0">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质疑</w:t>
      </w:r>
      <w:r>
        <w:rPr>
          <w:rFonts w:hint="eastAsia" w:asciiTheme="minorEastAsia" w:hAnsiTheme="minorEastAsia" w:eastAsiaTheme="minorEastAsia" w:cstheme="minorEastAsia"/>
          <w:color w:val="auto"/>
          <w:sz w:val="24"/>
          <w:szCs w:val="24"/>
          <w:highlight w:val="none"/>
        </w:rPr>
        <w:t>项目的编号：</w:t>
      </w:r>
      <w:r>
        <w:rPr>
          <w:rFonts w:hint="eastAsia" w:asciiTheme="minorEastAsia" w:hAnsiTheme="minorEastAsia" w:eastAsiaTheme="minorEastAsia" w:cstheme="minorEastAsia"/>
          <w:bCs/>
          <w:color w:val="auto"/>
          <w:sz w:val="24"/>
          <w:szCs w:val="24"/>
          <w:highlight w:val="none"/>
          <w:u w:val="single"/>
        </w:rPr>
        <w:t xml:space="preserve">   </w:t>
      </w:r>
    </w:p>
    <w:p w14:paraId="4A8F1EC6">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6CDA0DEF">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质疑事项：</w:t>
      </w:r>
    </w:p>
    <w:p w14:paraId="08D7003B">
      <w:pPr>
        <w:pStyle w:val="13"/>
        <w:shd w:val="clear"/>
        <w:wordWrap w:val="0"/>
        <w:spacing w:line="336" w:lineRule="auto"/>
        <w:ind w:left="25" w:leftChars="12" w:firstLine="352" w:firstLineChars="14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□采购文件   采购文件获取日期：</w:t>
      </w:r>
      <w:r>
        <w:rPr>
          <w:rFonts w:hint="eastAsia" w:asciiTheme="minorEastAsia" w:hAnsiTheme="minorEastAsia" w:eastAsiaTheme="minorEastAsia" w:cstheme="minorEastAsia"/>
          <w:bCs/>
          <w:color w:val="auto"/>
          <w:sz w:val="24"/>
          <w:szCs w:val="24"/>
          <w:highlight w:val="none"/>
          <w:u w:val="single"/>
        </w:rPr>
        <w:t xml:space="preserve">                                   </w:t>
      </w:r>
    </w:p>
    <w:p w14:paraId="37AD54B4">
      <w:pPr>
        <w:pStyle w:val="13"/>
        <w:shd w:val="clear"/>
        <w:wordWrap w:val="0"/>
        <w:spacing w:line="336" w:lineRule="auto"/>
        <w:ind w:left="25" w:leftChars="12" w:firstLine="352" w:firstLineChars="14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□采购过程   </w:t>
      </w:r>
    </w:p>
    <w:p w14:paraId="63563437">
      <w:pPr>
        <w:pStyle w:val="13"/>
        <w:shd w:val="clear"/>
        <w:wordWrap w:val="0"/>
        <w:spacing w:line="336" w:lineRule="auto"/>
        <w:ind w:left="25" w:leftChars="12" w:firstLine="352" w:firstLineChars="147"/>
        <w:contextualSpacing/>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□成交结果   </w:t>
      </w:r>
    </w:p>
    <w:p w14:paraId="4F3DC9F5">
      <w:pPr>
        <w:pStyle w:val="13"/>
        <w:shd w:val="clear"/>
        <w:wordWrap w:val="0"/>
        <w:spacing w:line="336" w:lineRule="auto"/>
        <w:ind w:left="25" w:leftChars="12" w:firstLine="472" w:firstLineChars="196"/>
        <w:contextualSpacing/>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三、质疑事项具体内容</w:t>
      </w:r>
    </w:p>
    <w:p w14:paraId="7986D806">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质疑事项1：</w:t>
      </w:r>
      <w:r>
        <w:rPr>
          <w:rFonts w:hint="eastAsia" w:asciiTheme="minorEastAsia" w:hAnsiTheme="minorEastAsia" w:eastAsiaTheme="minorEastAsia" w:cstheme="minorEastAsia"/>
          <w:bCs/>
          <w:color w:val="auto"/>
          <w:sz w:val="24"/>
          <w:szCs w:val="24"/>
          <w:highlight w:val="none"/>
          <w:u w:val="single"/>
        </w:rPr>
        <w:t xml:space="preserve">                                                                    </w:t>
      </w:r>
    </w:p>
    <w:p w14:paraId="245E236B">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事实依据：</w:t>
      </w:r>
      <w:r>
        <w:rPr>
          <w:rFonts w:hint="eastAsia" w:asciiTheme="minorEastAsia" w:hAnsiTheme="minorEastAsia" w:eastAsiaTheme="minorEastAsia" w:cstheme="minorEastAsia"/>
          <w:bCs/>
          <w:color w:val="auto"/>
          <w:sz w:val="24"/>
          <w:szCs w:val="24"/>
          <w:highlight w:val="none"/>
          <w:u w:val="single"/>
        </w:rPr>
        <w:t xml:space="preserve">                                                                      </w:t>
      </w:r>
    </w:p>
    <w:p w14:paraId="2E18BB17">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法律依据：</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068D6580">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质疑事项2</w:t>
      </w:r>
    </w:p>
    <w:p w14:paraId="2AFC4863">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6F2A9AC5">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四、与质疑事项相关的质疑请求：</w:t>
      </w:r>
    </w:p>
    <w:p w14:paraId="49F15DCD">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bCs/>
          <w:color w:val="auto"/>
          <w:sz w:val="24"/>
          <w:szCs w:val="24"/>
          <w:highlight w:val="none"/>
          <w:u w:val="single"/>
        </w:rPr>
        <w:t xml:space="preserve">                                                                </w:t>
      </w:r>
    </w:p>
    <w:p w14:paraId="4AAF9543">
      <w:pPr>
        <w:pStyle w:val="13"/>
        <w:shd w:val="clear"/>
        <w:wordWrap w:val="0"/>
        <w:spacing w:line="336" w:lineRule="auto"/>
        <w:ind w:left="25" w:leftChars="12" w:firstLine="352" w:firstLineChars="147"/>
        <w:contextualSpacing/>
        <w:rPr>
          <w:rFonts w:asciiTheme="minorEastAsia" w:hAnsiTheme="minorEastAsia" w:eastAsiaTheme="minorEastAsia" w:cstheme="minorEastAsia"/>
          <w:color w:val="auto"/>
          <w:sz w:val="24"/>
          <w:szCs w:val="24"/>
          <w:highlight w:val="none"/>
        </w:rPr>
      </w:pPr>
    </w:p>
    <w:p w14:paraId="1D5E4170">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签字（签章）：                                       公章：</w:t>
      </w:r>
    </w:p>
    <w:p w14:paraId="15DDCCBA">
      <w:pPr>
        <w:pStyle w:val="13"/>
        <w:shd w:val="clear"/>
        <w:wordWrap w:val="0"/>
        <w:spacing w:line="336" w:lineRule="auto"/>
        <w:ind w:left="25" w:leftChars="12" w:firstLine="352" w:firstLineChars="147"/>
        <w:contextualSpacing/>
        <w:rPr>
          <w:rFonts w:asciiTheme="minorEastAsia" w:hAnsiTheme="minorEastAsia" w:eastAsiaTheme="minorEastAsia" w:cstheme="minorEastAsia"/>
          <w:color w:val="auto"/>
          <w:sz w:val="24"/>
          <w:szCs w:val="24"/>
          <w:highlight w:val="none"/>
        </w:rPr>
      </w:pPr>
    </w:p>
    <w:p w14:paraId="49AE572C">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p w14:paraId="5AB3D600">
      <w:pPr>
        <w:pStyle w:val="13"/>
        <w:shd w:val="clear"/>
        <w:wordWrap w:val="0"/>
        <w:spacing w:line="336" w:lineRule="auto"/>
        <w:contextualSpacing/>
        <w:rPr>
          <w:rFonts w:asciiTheme="minorEastAsia" w:hAnsiTheme="minorEastAsia" w:eastAsiaTheme="minorEastAsia" w:cstheme="minorEastAsia"/>
          <w:b/>
          <w:color w:val="auto"/>
          <w:sz w:val="24"/>
          <w:szCs w:val="24"/>
          <w:highlight w:val="none"/>
        </w:rPr>
      </w:pPr>
    </w:p>
    <w:p w14:paraId="6ED42DFC">
      <w:pPr>
        <w:pStyle w:val="13"/>
        <w:shd w:val="clear"/>
        <w:wordWrap w:val="0"/>
        <w:spacing w:line="336" w:lineRule="auto"/>
        <w:contextualSpacing/>
        <w:rPr>
          <w:rFonts w:asciiTheme="minorEastAsia" w:hAnsiTheme="minorEastAsia" w:eastAsiaTheme="minorEastAsia" w:cstheme="minorEastAsia"/>
          <w:b/>
          <w:color w:val="auto"/>
          <w:sz w:val="24"/>
          <w:szCs w:val="24"/>
          <w:highlight w:val="none"/>
        </w:rPr>
      </w:pPr>
    </w:p>
    <w:p w14:paraId="54CDB1A6">
      <w:pPr>
        <w:pStyle w:val="13"/>
        <w:shd w:val="clear"/>
        <w:wordWrap w:val="0"/>
        <w:spacing w:line="336" w:lineRule="auto"/>
        <w:contextualSpacing/>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说明：</w:t>
      </w:r>
    </w:p>
    <w:p w14:paraId="195E1672">
      <w:pPr>
        <w:pStyle w:val="13"/>
        <w:shd w:val="clear"/>
        <w:wordWrap w:val="0"/>
        <w:spacing w:line="336" w:lineRule="auto"/>
        <w:ind w:left="25" w:leftChars="12" w:firstLine="354" w:firstLineChars="147"/>
        <w:contextualSpacing/>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rPr>
        <w:t>1.供应商提出质疑时，应提交质疑函和必要的证明材料</w:t>
      </w:r>
      <w:r>
        <w:rPr>
          <w:rFonts w:hint="eastAsia" w:asciiTheme="minorEastAsia" w:hAnsiTheme="minorEastAsia" w:eastAsiaTheme="minorEastAsia" w:cstheme="minorEastAsia"/>
          <w:b/>
          <w:bCs/>
          <w:color w:val="auto"/>
          <w:sz w:val="24"/>
          <w:szCs w:val="24"/>
          <w:highlight w:val="none"/>
        </w:rPr>
        <w:t>。</w:t>
      </w:r>
    </w:p>
    <w:p w14:paraId="7BF2D603">
      <w:pPr>
        <w:pStyle w:val="13"/>
        <w:shd w:val="clear"/>
        <w:wordWrap w:val="0"/>
        <w:spacing w:line="336" w:lineRule="auto"/>
        <w:ind w:left="25" w:leftChars="12" w:firstLine="354" w:firstLineChars="147"/>
        <w:contextualSpacing/>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229558B">
      <w:pPr>
        <w:pStyle w:val="13"/>
        <w:shd w:val="clear"/>
        <w:wordWrap w:val="0"/>
        <w:spacing w:line="336" w:lineRule="auto"/>
        <w:ind w:left="25" w:leftChars="12" w:firstLine="354" w:firstLineChars="147"/>
        <w:contextualSpacing/>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3.质疑函的质疑事项应具体、明确，并有必要的事实依据和法律依据。</w:t>
      </w:r>
    </w:p>
    <w:p w14:paraId="7F711267">
      <w:pPr>
        <w:pStyle w:val="13"/>
        <w:shd w:val="clear"/>
        <w:wordWrap w:val="0"/>
        <w:spacing w:line="336" w:lineRule="auto"/>
        <w:ind w:left="25" w:leftChars="12" w:firstLine="354" w:firstLineChars="147"/>
        <w:contextualSpacing/>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4.质疑函的质疑请求应与质疑事项相关。</w:t>
      </w:r>
    </w:p>
    <w:p w14:paraId="39EEEEFB">
      <w:pPr>
        <w:pStyle w:val="13"/>
        <w:shd w:val="clear"/>
        <w:wordWrap w:val="0"/>
        <w:spacing w:line="336" w:lineRule="auto"/>
        <w:ind w:left="25" w:leftChars="12" w:firstLine="354" w:firstLineChars="147"/>
        <w:contextualSpacing/>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szCs w:val="24"/>
          <w:highlight w:val="none"/>
        </w:rPr>
        <w:t>5.质疑供应商为法人或者其他组织的，质疑函应由法定代表人、主要负责人，或者其授权代表签字或者盖章，并加盖公章。</w:t>
      </w:r>
    </w:p>
    <w:p w14:paraId="48844AEA">
      <w:pPr>
        <w:pStyle w:val="13"/>
        <w:shd w:val="clear"/>
        <w:wordWrap w:val="0"/>
        <w:snapToGrid w:val="0"/>
        <w:spacing w:line="336" w:lineRule="auto"/>
        <w:rPr>
          <w:rFonts w:asciiTheme="minorEastAsia" w:hAnsiTheme="minorEastAsia" w:eastAsiaTheme="minorEastAsia" w:cstheme="minorEastAsia"/>
          <w:b/>
          <w:color w:val="auto"/>
          <w:sz w:val="24"/>
          <w:szCs w:val="24"/>
          <w:highlight w:val="none"/>
        </w:rPr>
      </w:pPr>
    </w:p>
    <w:p w14:paraId="1F143C45">
      <w:pPr>
        <w:shd w:val="clear"/>
        <w:wordWrap w:val="0"/>
        <w:spacing w:line="336" w:lineRule="auto"/>
        <w:jc w:val="center"/>
        <w:rPr>
          <w:rFonts w:asciiTheme="minorEastAsia" w:hAnsiTheme="minorEastAsia" w:eastAsiaTheme="minorEastAsia" w:cstheme="minorEastAsia"/>
          <w:color w:val="auto"/>
          <w:sz w:val="44"/>
          <w:highlight w:val="none"/>
        </w:rPr>
      </w:pPr>
      <w:r>
        <w:rPr>
          <w:rFonts w:hint="eastAsia" w:asciiTheme="minorEastAsia" w:hAnsiTheme="minorEastAsia" w:eastAsiaTheme="minorEastAsia" w:cstheme="minorEastAsia"/>
          <w:color w:val="auto"/>
          <w:sz w:val="44"/>
          <w:highlight w:val="none"/>
        </w:rPr>
        <w:br w:type="page"/>
      </w:r>
    </w:p>
    <w:p w14:paraId="4B3DDD86">
      <w:pPr>
        <w:shd w:val="clear"/>
        <w:wordWrap w:val="0"/>
        <w:spacing w:line="336"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投诉书（格式）</w:t>
      </w:r>
    </w:p>
    <w:p w14:paraId="04F22EDB">
      <w:pPr>
        <w:pStyle w:val="13"/>
        <w:shd w:val="clear"/>
        <w:wordWrap w:val="0"/>
        <w:snapToGrid w:val="0"/>
        <w:spacing w:line="336"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一、投诉相关主体基本情况：</w:t>
      </w:r>
    </w:p>
    <w:p w14:paraId="4797A936">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供应商：</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6D380BAD">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邮编：</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5D4A9C23">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法定代表人/主要负责人：</w:t>
      </w:r>
      <w:r>
        <w:rPr>
          <w:rFonts w:hint="eastAsia" w:asciiTheme="minorEastAsia" w:hAnsiTheme="minorEastAsia" w:eastAsiaTheme="minorEastAsia" w:cstheme="minorEastAsia"/>
          <w:bCs/>
          <w:color w:val="auto"/>
          <w:sz w:val="24"/>
          <w:szCs w:val="24"/>
          <w:highlight w:val="none"/>
          <w:u w:val="single"/>
        </w:rPr>
        <w:t xml:space="preserve">                                                         </w:t>
      </w:r>
    </w:p>
    <w:p w14:paraId="36BA14F0">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p>
    <w:p w14:paraId="5E2B5E89">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授权代表：</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p>
    <w:p w14:paraId="7FBD5484">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p>
    <w:p w14:paraId="32FCEB39">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邮编：</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17F31B35">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被投诉人1：</w:t>
      </w:r>
    </w:p>
    <w:p w14:paraId="0743AB46">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p>
    <w:p w14:paraId="56B528EB">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邮编：</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0F6DD556">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联系人：</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p>
    <w:p w14:paraId="67A13EF7">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被投诉人2：</w:t>
      </w:r>
    </w:p>
    <w:p w14:paraId="494184AE">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p>
    <w:p w14:paraId="106F5C08">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相关供应商：</w:t>
      </w:r>
      <w:r>
        <w:rPr>
          <w:rFonts w:hint="eastAsia" w:asciiTheme="minorEastAsia" w:hAnsiTheme="minorEastAsia" w:eastAsiaTheme="minorEastAsia" w:cstheme="minorEastAsia"/>
          <w:bCs/>
          <w:color w:val="auto"/>
          <w:sz w:val="24"/>
          <w:szCs w:val="24"/>
          <w:highlight w:val="none"/>
          <w:u w:val="single"/>
        </w:rPr>
        <w:t xml:space="preserve">                                                                       </w:t>
      </w:r>
    </w:p>
    <w:p w14:paraId="0310BF92">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邮编：</w:t>
      </w:r>
      <w:r>
        <w:rPr>
          <w:rFonts w:hint="eastAsia" w:asciiTheme="minorEastAsia" w:hAnsiTheme="minorEastAsia" w:eastAsiaTheme="minorEastAsia" w:cstheme="minorEastAsia"/>
          <w:bCs/>
          <w:color w:val="auto"/>
          <w:sz w:val="24"/>
          <w:szCs w:val="24"/>
          <w:highlight w:val="none"/>
          <w:u w:val="single"/>
        </w:rPr>
        <w:t xml:space="preserve">                         </w:t>
      </w:r>
    </w:p>
    <w:p w14:paraId="67056984">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联系人：</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4C63D696">
      <w:pPr>
        <w:pStyle w:val="13"/>
        <w:shd w:val="clear"/>
        <w:wordWrap w:val="0"/>
        <w:snapToGrid w:val="0"/>
        <w:spacing w:line="336"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二、投诉项目基本情况：</w:t>
      </w:r>
    </w:p>
    <w:p w14:paraId="09FB2F51">
      <w:pPr>
        <w:pStyle w:val="13"/>
        <w:shd w:val="clear"/>
        <w:wordWrap w:val="0"/>
        <w:spacing w:line="336" w:lineRule="auto"/>
        <w:ind w:left="25" w:leftChars="12" w:firstLine="472" w:firstLineChars="197"/>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采购</w:t>
      </w:r>
      <w:r>
        <w:rPr>
          <w:rFonts w:hint="eastAsia" w:asciiTheme="minorEastAsia" w:hAnsiTheme="minorEastAsia" w:eastAsiaTheme="minorEastAsia" w:cstheme="minorEastAsia"/>
          <w:color w:val="auto"/>
          <w:sz w:val="24"/>
          <w:szCs w:val="24"/>
          <w:highlight w:val="none"/>
        </w:rPr>
        <w:t>项目的名称：</w:t>
      </w:r>
      <w:r>
        <w:rPr>
          <w:rFonts w:hint="eastAsia" w:asciiTheme="minorEastAsia" w:hAnsiTheme="minorEastAsia" w:eastAsiaTheme="minorEastAsia" w:cstheme="minorEastAsia"/>
          <w:bCs/>
          <w:color w:val="auto"/>
          <w:sz w:val="24"/>
          <w:szCs w:val="24"/>
          <w:highlight w:val="none"/>
          <w:u w:val="single"/>
        </w:rPr>
        <w:t xml:space="preserve">      </w:t>
      </w:r>
    </w:p>
    <w:p w14:paraId="436C5186">
      <w:pPr>
        <w:pStyle w:val="13"/>
        <w:shd w:val="clear"/>
        <w:wordWrap w:val="0"/>
        <w:spacing w:line="336" w:lineRule="auto"/>
        <w:ind w:left="25" w:leftChars="12" w:firstLine="472" w:firstLineChars="197"/>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采购</w:t>
      </w:r>
      <w:r>
        <w:rPr>
          <w:rFonts w:hint="eastAsia" w:asciiTheme="minorEastAsia" w:hAnsiTheme="minorEastAsia" w:eastAsiaTheme="minorEastAsia" w:cstheme="minorEastAsia"/>
          <w:color w:val="auto"/>
          <w:sz w:val="24"/>
          <w:szCs w:val="24"/>
          <w:highlight w:val="none"/>
        </w:rPr>
        <w:t>项目的编号：</w:t>
      </w:r>
      <w:r>
        <w:rPr>
          <w:rFonts w:hint="eastAsia" w:asciiTheme="minorEastAsia" w:hAnsiTheme="minorEastAsia" w:eastAsiaTheme="minorEastAsia" w:cstheme="minorEastAsia"/>
          <w:bCs/>
          <w:color w:val="auto"/>
          <w:sz w:val="24"/>
          <w:szCs w:val="24"/>
          <w:highlight w:val="none"/>
          <w:u w:val="single"/>
        </w:rPr>
        <w:t xml:space="preserve">      </w:t>
      </w:r>
    </w:p>
    <w:p w14:paraId="51B92BCF">
      <w:pPr>
        <w:pStyle w:val="13"/>
        <w:shd w:val="clear"/>
        <w:wordWrap w:val="0"/>
        <w:spacing w:line="336" w:lineRule="auto"/>
        <w:ind w:left="25" w:leftChars="12" w:firstLine="472" w:firstLineChars="197"/>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2B083E50">
      <w:pPr>
        <w:pStyle w:val="13"/>
        <w:shd w:val="clear"/>
        <w:wordWrap w:val="0"/>
        <w:spacing w:line="336" w:lineRule="auto"/>
        <w:ind w:left="25" w:leftChars="12" w:firstLine="472" w:firstLineChars="197"/>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代理机构名称：</w:t>
      </w:r>
      <w:r>
        <w:rPr>
          <w:rFonts w:hint="eastAsia" w:asciiTheme="minorEastAsia" w:hAnsiTheme="minorEastAsia" w:eastAsiaTheme="minorEastAsia" w:cstheme="minorEastAsia"/>
          <w:bCs/>
          <w:color w:val="auto"/>
          <w:sz w:val="24"/>
          <w:szCs w:val="24"/>
          <w:highlight w:val="none"/>
          <w:u w:val="single"/>
        </w:rPr>
        <w:t xml:space="preserve"> 广西邕政采购代理有限公司  </w:t>
      </w:r>
    </w:p>
    <w:p w14:paraId="4AB9387B">
      <w:pPr>
        <w:pStyle w:val="13"/>
        <w:shd w:val="clear"/>
        <w:wordWrap w:val="0"/>
        <w:spacing w:line="336" w:lineRule="auto"/>
        <w:ind w:left="25" w:leftChars="12" w:firstLine="472" w:firstLineChars="197"/>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招标文件公告：</w:t>
      </w:r>
      <w:r>
        <w:rPr>
          <w:rFonts w:hint="eastAsia" w:asciiTheme="minorEastAsia" w:hAnsiTheme="minorEastAsia" w:eastAsiaTheme="minorEastAsia" w:cstheme="minorEastAsia"/>
          <w:bCs/>
          <w:color w:val="auto"/>
          <w:sz w:val="24"/>
          <w:szCs w:val="24"/>
          <w:highlight w:val="none"/>
          <w:u w:val="single"/>
        </w:rPr>
        <w:t>是/否</w:t>
      </w:r>
      <w:r>
        <w:rPr>
          <w:rFonts w:hint="eastAsia" w:asciiTheme="minorEastAsia" w:hAnsiTheme="minorEastAsia" w:eastAsiaTheme="minorEastAsia" w:cstheme="minorEastAsia"/>
          <w:bCs/>
          <w:color w:val="auto"/>
          <w:sz w:val="24"/>
          <w:szCs w:val="24"/>
          <w:highlight w:val="none"/>
        </w:rPr>
        <w:t>公告期限：</w:t>
      </w:r>
      <w:r>
        <w:rPr>
          <w:rFonts w:hint="eastAsia" w:asciiTheme="minorEastAsia" w:hAnsiTheme="minorEastAsia" w:eastAsiaTheme="minorEastAsia" w:cstheme="minorEastAsia"/>
          <w:bCs/>
          <w:color w:val="auto"/>
          <w:sz w:val="24"/>
          <w:szCs w:val="24"/>
          <w:highlight w:val="none"/>
          <w:u w:val="single"/>
        </w:rPr>
        <w:t xml:space="preserve">                                                       </w:t>
      </w:r>
    </w:p>
    <w:p w14:paraId="34979B5A">
      <w:pPr>
        <w:pStyle w:val="13"/>
        <w:shd w:val="clear"/>
        <w:wordWrap w:val="0"/>
        <w:spacing w:line="336" w:lineRule="auto"/>
        <w:ind w:left="25" w:leftChars="12" w:firstLine="472" w:firstLineChars="197"/>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采购结果公告：</w:t>
      </w:r>
      <w:r>
        <w:rPr>
          <w:rFonts w:hint="eastAsia" w:asciiTheme="minorEastAsia" w:hAnsiTheme="minorEastAsia" w:eastAsiaTheme="minorEastAsia" w:cstheme="minorEastAsia"/>
          <w:bCs/>
          <w:color w:val="auto"/>
          <w:sz w:val="24"/>
          <w:szCs w:val="24"/>
          <w:highlight w:val="none"/>
          <w:u w:val="single"/>
        </w:rPr>
        <w:t>是/否</w:t>
      </w:r>
      <w:r>
        <w:rPr>
          <w:rFonts w:hint="eastAsia" w:asciiTheme="minorEastAsia" w:hAnsiTheme="minorEastAsia" w:eastAsiaTheme="minorEastAsia" w:cstheme="minorEastAsia"/>
          <w:bCs/>
          <w:color w:val="auto"/>
          <w:sz w:val="24"/>
          <w:szCs w:val="24"/>
          <w:highlight w:val="none"/>
        </w:rPr>
        <w:t>公告期限：</w:t>
      </w:r>
      <w:r>
        <w:rPr>
          <w:rFonts w:hint="eastAsia" w:asciiTheme="minorEastAsia" w:hAnsiTheme="minorEastAsia" w:eastAsiaTheme="minorEastAsia" w:cstheme="minorEastAsia"/>
          <w:bCs/>
          <w:color w:val="auto"/>
          <w:sz w:val="24"/>
          <w:szCs w:val="24"/>
          <w:highlight w:val="none"/>
          <w:u w:val="single"/>
        </w:rPr>
        <w:t xml:space="preserve">                                                       </w:t>
      </w:r>
    </w:p>
    <w:p w14:paraId="36CDA719">
      <w:pPr>
        <w:pStyle w:val="13"/>
        <w:shd w:val="clear"/>
        <w:wordWrap w:val="0"/>
        <w:spacing w:line="336" w:lineRule="auto"/>
        <w:ind w:left="25" w:leftChars="12" w:firstLine="472" w:firstLineChars="196"/>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三、质疑基本情况</w:t>
      </w:r>
    </w:p>
    <w:p w14:paraId="18262DD7">
      <w:pPr>
        <w:pStyle w:val="13"/>
        <w:shd w:val="clear"/>
        <w:wordWrap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投诉人于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提出质疑，质疑事项为：</w:t>
      </w:r>
    </w:p>
    <w:p w14:paraId="1E0C82B9">
      <w:pPr>
        <w:pStyle w:val="13"/>
        <w:shd w:val="clear"/>
        <w:wordWrap w:val="0"/>
        <w:spacing w:line="336" w:lineRule="auto"/>
        <w:ind w:firstLine="241"/>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1581BF6C">
      <w:pPr>
        <w:pStyle w:val="13"/>
        <w:shd w:val="clear"/>
        <w:wordWrap w:val="0"/>
        <w:spacing w:line="336" w:lineRule="auto"/>
        <w:ind w:firstLine="241"/>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7FDA31A6">
      <w:pPr>
        <w:pStyle w:val="13"/>
        <w:shd w:val="clear"/>
        <w:wordWrap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u w:val="single"/>
        </w:rPr>
        <w:t>采购人/代理机构</w:t>
      </w:r>
      <w:r>
        <w:rPr>
          <w:rFonts w:hint="eastAsia" w:asciiTheme="minorEastAsia" w:hAnsiTheme="minorEastAsia" w:eastAsiaTheme="minorEastAsia" w:cstheme="minorEastAsia"/>
          <w:bCs/>
          <w:color w:val="auto"/>
          <w:sz w:val="24"/>
          <w:szCs w:val="24"/>
          <w:highlight w:val="none"/>
        </w:rPr>
        <w:t>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bCs/>
          <w:color w:val="auto"/>
          <w:sz w:val="24"/>
          <w:szCs w:val="24"/>
          <w:highlight w:val="none"/>
        </w:rPr>
        <w:t xml:space="preserve">就质疑事项作出了答复/没有在法定期限内作出答复。                                                                                             </w:t>
      </w:r>
    </w:p>
    <w:p w14:paraId="131CE687">
      <w:pPr>
        <w:pStyle w:val="13"/>
        <w:shd w:val="clear"/>
        <w:wordWrap w:val="0"/>
        <w:spacing w:line="336" w:lineRule="auto"/>
        <w:ind w:left="25" w:leftChars="12" w:firstLine="472" w:firstLineChars="196"/>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四、投诉事项具体内容</w:t>
      </w:r>
    </w:p>
    <w:p w14:paraId="34CE84BB">
      <w:pPr>
        <w:pStyle w:val="13"/>
        <w:shd w:val="clear"/>
        <w:wordWrap w:val="0"/>
        <w:spacing w:line="336" w:lineRule="auto"/>
        <w:ind w:left="25" w:leftChars="12" w:firstLine="472" w:firstLineChars="197"/>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投诉事项1：</w:t>
      </w:r>
      <w:r>
        <w:rPr>
          <w:rFonts w:hint="eastAsia" w:asciiTheme="minorEastAsia" w:hAnsiTheme="minorEastAsia" w:eastAsiaTheme="minorEastAsia" w:cstheme="minorEastAsia"/>
          <w:bCs/>
          <w:color w:val="auto"/>
          <w:sz w:val="24"/>
          <w:szCs w:val="24"/>
          <w:highlight w:val="none"/>
          <w:u w:val="single"/>
        </w:rPr>
        <w:t xml:space="preserve">                                                                           </w:t>
      </w:r>
    </w:p>
    <w:p w14:paraId="0E646FC4">
      <w:pPr>
        <w:pStyle w:val="13"/>
        <w:shd w:val="clear"/>
        <w:wordWrap w:val="0"/>
        <w:spacing w:line="336"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事实依据：</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4D157699">
      <w:pPr>
        <w:pStyle w:val="13"/>
        <w:shd w:val="clear"/>
        <w:wordWrap w:val="0"/>
        <w:spacing w:line="336" w:lineRule="auto"/>
        <w:ind w:left="25" w:leftChars="12" w:firstLine="472" w:firstLineChars="197"/>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u w:val="single"/>
        </w:rPr>
        <w:t xml:space="preserve">                                                                                        </w:t>
      </w:r>
    </w:p>
    <w:p w14:paraId="1EFB2AAA">
      <w:pPr>
        <w:pStyle w:val="13"/>
        <w:shd w:val="clear"/>
        <w:wordWrap w:val="0"/>
        <w:spacing w:line="336"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法律依据：</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27AFE0D8">
      <w:pPr>
        <w:pStyle w:val="13"/>
        <w:shd w:val="clear"/>
        <w:wordWrap w:val="0"/>
        <w:spacing w:line="336" w:lineRule="auto"/>
        <w:ind w:left="25" w:leftChars="12" w:firstLine="352" w:firstLineChars="147"/>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47F87180">
      <w:pPr>
        <w:pStyle w:val="13"/>
        <w:shd w:val="clear"/>
        <w:wordWrap w:val="0"/>
        <w:spacing w:line="336" w:lineRule="auto"/>
        <w:ind w:left="25" w:leftChars="12" w:firstLine="472" w:firstLineChars="197"/>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投诉事项2  </w:t>
      </w:r>
      <w:r>
        <w:rPr>
          <w:rFonts w:hint="eastAsia" w:asciiTheme="minorEastAsia" w:hAnsiTheme="minorEastAsia" w:eastAsiaTheme="minorEastAsia" w:cstheme="minorEastAsia"/>
          <w:bCs/>
          <w:color w:val="auto"/>
          <w:sz w:val="24"/>
          <w:szCs w:val="24"/>
          <w:highlight w:val="none"/>
        </w:rPr>
        <w:t xml:space="preserve">   </w:t>
      </w:r>
    </w:p>
    <w:p w14:paraId="3E0DE88C">
      <w:pPr>
        <w:pStyle w:val="13"/>
        <w:shd w:val="clear"/>
        <w:wordWrap w:val="0"/>
        <w:spacing w:line="336" w:lineRule="auto"/>
        <w:ind w:left="25" w:leftChars="12" w:firstLine="472" w:firstLineChars="197"/>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p>
    <w:p w14:paraId="3A75E649">
      <w:pPr>
        <w:pStyle w:val="13"/>
        <w:shd w:val="clear"/>
        <w:wordWrap w:val="0"/>
        <w:spacing w:line="336" w:lineRule="auto"/>
        <w:ind w:left="25" w:leftChars="12" w:firstLine="472" w:firstLineChars="196"/>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五、与投诉事项相关的投诉请求：</w:t>
      </w:r>
    </w:p>
    <w:p w14:paraId="621165C5">
      <w:pPr>
        <w:pStyle w:val="13"/>
        <w:shd w:val="clear"/>
        <w:wordWrap w:val="0"/>
        <w:spacing w:line="336" w:lineRule="auto"/>
        <w:ind w:left="25" w:leftChars="12" w:firstLine="472" w:firstLineChars="197"/>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bCs/>
          <w:color w:val="auto"/>
          <w:sz w:val="24"/>
          <w:szCs w:val="24"/>
          <w:highlight w:val="none"/>
          <w:u w:val="single"/>
        </w:rPr>
        <w:t xml:space="preserve">                                                                                 </w:t>
      </w:r>
    </w:p>
    <w:p w14:paraId="7B61D91D">
      <w:pPr>
        <w:pStyle w:val="13"/>
        <w:shd w:val="clear"/>
        <w:wordWrap w:val="0"/>
        <w:spacing w:line="336" w:lineRule="auto"/>
        <w:ind w:left="25" w:leftChars="12" w:firstLine="352" w:firstLineChars="147"/>
        <w:rPr>
          <w:rFonts w:asciiTheme="minorEastAsia" w:hAnsiTheme="minorEastAsia" w:eastAsiaTheme="minorEastAsia" w:cstheme="minorEastAsia"/>
          <w:color w:val="auto"/>
          <w:sz w:val="24"/>
          <w:szCs w:val="24"/>
          <w:highlight w:val="none"/>
        </w:rPr>
      </w:pPr>
    </w:p>
    <w:p w14:paraId="0FE09F6D">
      <w:pPr>
        <w:pStyle w:val="13"/>
        <w:shd w:val="clear"/>
        <w:wordWrap w:val="0"/>
        <w:spacing w:line="336" w:lineRule="auto"/>
        <w:ind w:left="25" w:leftChars="12" w:firstLine="472" w:firstLineChars="197"/>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签字（签章）：                                       公章：</w:t>
      </w:r>
    </w:p>
    <w:p w14:paraId="407C5DE8">
      <w:pPr>
        <w:pStyle w:val="13"/>
        <w:shd w:val="clear"/>
        <w:wordWrap w:val="0"/>
        <w:spacing w:line="336" w:lineRule="auto"/>
        <w:ind w:left="25" w:leftChars="12" w:firstLine="352" w:firstLineChars="147"/>
        <w:rPr>
          <w:rFonts w:asciiTheme="minorEastAsia" w:hAnsiTheme="minorEastAsia" w:eastAsiaTheme="minorEastAsia" w:cstheme="minorEastAsia"/>
          <w:color w:val="auto"/>
          <w:sz w:val="24"/>
          <w:szCs w:val="24"/>
          <w:highlight w:val="none"/>
        </w:rPr>
      </w:pPr>
    </w:p>
    <w:p w14:paraId="1F3C560B">
      <w:pPr>
        <w:pStyle w:val="13"/>
        <w:shd w:val="clear"/>
        <w:wordWrap w:val="0"/>
        <w:spacing w:line="336" w:lineRule="auto"/>
        <w:ind w:left="25" w:leftChars="12" w:firstLine="472" w:firstLineChars="197"/>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p w14:paraId="79BF22F2">
      <w:pPr>
        <w:pStyle w:val="13"/>
        <w:shd w:val="clear"/>
        <w:wordWrap w:val="0"/>
        <w:spacing w:line="336" w:lineRule="auto"/>
        <w:ind w:left="25" w:leftChars="12" w:firstLine="472" w:firstLineChars="197"/>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w:t>
      </w:r>
    </w:p>
    <w:p w14:paraId="0FFF2059">
      <w:pPr>
        <w:pStyle w:val="13"/>
        <w:shd w:val="clear"/>
        <w:wordWrap w:val="0"/>
        <w:snapToGrid w:val="0"/>
        <w:spacing w:line="336" w:lineRule="auto"/>
        <w:rPr>
          <w:rFonts w:asciiTheme="minorEastAsia" w:hAnsiTheme="minorEastAsia" w:eastAsiaTheme="minorEastAsia" w:cstheme="minorEastAsia"/>
          <w:b/>
          <w:color w:val="auto"/>
          <w:sz w:val="24"/>
          <w:szCs w:val="24"/>
          <w:highlight w:val="none"/>
        </w:rPr>
      </w:pPr>
    </w:p>
    <w:p w14:paraId="21312C40">
      <w:pPr>
        <w:pStyle w:val="13"/>
        <w:shd w:val="clear"/>
        <w:wordWrap w:val="0"/>
        <w:snapToGrid w:val="0"/>
        <w:spacing w:line="336"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说明：</w:t>
      </w:r>
    </w:p>
    <w:p w14:paraId="5B2534BA">
      <w:pPr>
        <w:pStyle w:val="13"/>
        <w:shd w:val="clear"/>
        <w:wordWrap w:val="0"/>
        <w:spacing w:line="336" w:lineRule="auto"/>
        <w:ind w:left="25" w:leftChars="12" w:firstLine="354" w:firstLineChars="147"/>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rPr>
        <w:t>1.投诉人提起投诉时，应当提交投诉书和必要的证明材料，并按照被投诉人和与投诉事项有关的供应商数量提供投诉书副本</w:t>
      </w:r>
      <w:r>
        <w:rPr>
          <w:rFonts w:hint="eastAsia" w:asciiTheme="minorEastAsia" w:hAnsiTheme="minorEastAsia" w:eastAsiaTheme="minorEastAsia" w:cstheme="minorEastAsia"/>
          <w:b/>
          <w:bCs/>
          <w:color w:val="auto"/>
          <w:sz w:val="24"/>
          <w:szCs w:val="24"/>
          <w:highlight w:val="none"/>
        </w:rPr>
        <w:t>。</w:t>
      </w:r>
    </w:p>
    <w:p w14:paraId="56DEB6E4">
      <w:pPr>
        <w:pStyle w:val="13"/>
        <w:shd w:val="clear"/>
        <w:wordWrap w:val="0"/>
        <w:spacing w:line="336" w:lineRule="auto"/>
        <w:ind w:left="25" w:leftChars="12" w:firstLine="354" w:firstLineChars="147"/>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9082E5F">
      <w:pPr>
        <w:pStyle w:val="13"/>
        <w:shd w:val="clear"/>
        <w:wordWrap w:val="0"/>
        <w:spacing w:line="336" w:lineRule="auto"/>
        <w:ind w:left="25" w:leftChars="12" w:firstLine="354" w:firstLineChars="147"/>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3.投诉书应简要列明质疑事项，质疑函、质疑答复等作为附件材料提供。</w:t>
      </w:r>
    </w:p>
    <w:p w14:paraId="6D238ED9">
      <w:pPr>
        <w:pStyle w:val="13"/>
        <w:shd w:val="clear"/>
        <w:wordWrap w:val="0"/>
        <w:spacing w:line="336" w:lineRule="auto"/>
        <w:ind w:left="25" w:leftChars="12" w:firstLine="354" w:firstLineChars="147"/>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4.投诉书的投诉事项应具体、明确，并有必要的事实依据和法律依据。</w:t>
      </w:r>
    </w:p>
    <w:p w14:paraId="0CE492ED">
      <w:pPr>
        <w:pStyle w:val="13"/>
        <w:shd w:val="clear"/>
        <w:wordWrap w:val="0"/>
        <w:spacing w:line="336" w:lineRule="auto"/>
        <w:ind w:left="25" w:leftChars="12" w:firstLine="354" w:firstLineChars="147"/>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5.投诉书的投诉请求应与投诉事项相关。</w:t>
      </w:r>
    </w:p>
    <w:p w14:paraId="11378EEF">
      <w:pPr>
        <w:pStyle w:val="13"/>
        <w:shd w:val="clear"/>
        <w:wordWrap w:val="0"/>
        <w:spacing w:line="336" w:lineRule="auto"/>
        <w:ind w:left="25" w:leftChars="12" w:firstLine="354" w:firstLineChars="147"/>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szCs w:val="24"/>
          <w:highlight w:val="none"/>
        </w:rPr>
        <w:t>6.投诉人为法人或者其他组织的，投诉书应由法定代表人、主要负责人，或者其授权代表签字或者盖章，并加盖公章。</w:t>
      </w:r>
    </w:p>
    <w:p w14:paraId="63380F82">
      <w:pPr>
        <w:shd w:val="clear"/>
        <w:wordWrap w:val="0"/>
        <w:spacing w:line="336" w:lineRule="auto"/>
        <w:jc w:val="center"/>
        <w:rPr>
          <w:rFonts w:asciiTheme="minorEastAsia" w:hAnsiTheme="minorEastAsia" w:eastAsiaTheme="minorEastAsia" w:cstheme="minorEastAsia"/>
          <w:b/>
          <w:color w:val="auto"/>
          <w:highlight w:val="none"/>
        </w:rPr>
      </w:pPr>
    </w:p>
    <w:p w14:paraId="62411323">
      <w:pPr>
        <w:shd w:val="clear"/>
        <w:wordWrap w:val="0"/>
        <w:spacing w:line="336" w:lineRule="auto"/>
        <w:rPr>
          <w:rFonts w:asciiTheme="minorEastAsia" w:hAnsiTheme="minorEastAsia" w:eastAsiaTheme="minorEastAsia" w:cstheme="minorEastAsia"/>
          <w:color w:val="auto"/>
          <w:highlight w:val="none"/>
        </w:rPr>
      </w:pPr>
    </w:p>
    <w:p w14:paraId="3D8DE6EE">
      <w:pPr>
        <w:shd w:val="clear"/>
        <w:wordWrap w:val="0"/>
        <w:spacing w:line="336" w:lineRule="auto"/>
        <w:rPr>
          <w:rFonts w:asciiTheme="minorEastAsia" w:hAnsiTheme="minorEastAsia" w:eastAsiaTheme="minorEastAsia" w:cstheme="minorEastAsia"/>
          <w:b/>
          <w:bCs/>
          <w:color w:val="auto"/>
          <w:highlight w:val="none"/>
        </w:rPr>
      </w:pPr>
    </w:p>
    <w:p w14:paraId="52DCAB0F">
      <w:pPr>
        <w:shd w:val="clear"/>
        <w:rPr>
          <w:color w:val="auto"/>
          <w:highlight w:val="none"/>
        </w:rPr>
      </w:pPr>
    </w:p>
    <w:sectPr>
      <w:footerReference r:id="rId11" w:type="first"/>
      <w:footerReference r:id="rId10" w:type="default"/>
      <w:pgSz w:w="11905" w:h="16838"/>
      <w:pgMar w:top="1440" w:right="1080" w:bottom="1440" w:left="1080"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汉仪叶叶相思体简">
    <w:altName w:val="宋体"/>
    <w:panose1 w:val="00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E612F">
    <w:pPr>
      <w:pStyle w:val="14"/>
      <w:tabs>
        <w:tab w:val="center" w:pos="4439"/>
        <w:tab w:val="clear" w:pos="4153"/>
      </w:tabs>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255783">
                          <w:pPr>
                            <w:pStyle w:val="14"/>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19255783">
                    <w:pPr>
                      <w:pStyle w:val="14"/>
                    </w:pPr>
                    <w:r>
                      <w:fldChar w:fldCharType="begin"/>
                    </w:r>
                    <w:r>
                      <w:instrText xml:space="preserve"> PAGE  \* MERGEFORMAT </w:instrText>
                    </w:r>
                    <w:r>
                      <w:fldChar w:fldCharType="separate"/>
                    </w:r>
                    <w:r>
                      <w:t>17</w:t>
                    </w:r>
                    <w:r>
                      <w:fldChar w:fldCharType="end"/>
                    </w:r>
                  </w:p>
                </w:txbxContent>
              </v:textbox>
            </v:shape>
          </w:pict>
        </mc:Fallback>
      </mc:AlternateContent>
    </w:r>
  </w:p>
  <w:p w14:paraId="05A7E2B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14D9E">
    <w:pPr>
      <w:pStyle w:val="14"/>
      <w:tabs>
        <w:tab w:val="center" w:pos="4439"/>
        <w:tab w:val="clear" w:pos="4153"/>
      </w:tabs>
      <w:jc w:val="both"/>
    </w:pPr>
  </w:p>
  <w:p w14:paraId="2F03BFDA">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462EA">
    <w:pPr>
      <w:pStyle w:val="14"/>
      <w:tabs>
        <w:tab w:val="center" w:pos="4439"/>
        <w:tab w:val="clear" w:pos="4153"/>
      </w:tabs>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EC0612">
                          <w:pPr>
                            <w:pStyle w:val="14"/>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0EC0612">
                    <w:pPr>
                      <w:pStyle w:val="14"/>
                    </w:pPr>
                    <w:r>
                      <w:fldChar w:fldCharType="begin"/>
                    </w:r>
                    <w:r>
                      <w:instrText xml:space="preserve"> PAGE  \* MERGEFORMAT </w:instrText>
                    </w:r>
                    <w:r>
                      <w:fldChar w:fldCharType="separate"/>
                    </w:r>
                    <w:r>
                      <w:t>17</w:t>
                    </w:r>
                    <w:r>
                      <w:fldChar w:fldCharType="end"/>
                    </w:r>
                  </w:p>
                </w:txbxContent>
              </v:textbox>
            </v:shape>
          </w:pict>
        </mc:Fallback>
      </mc:AlternateContent>
    </w:r>
  </w:p>
  <w:p w14:paraId="7194D3F7">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B4D0F">
    <w:pPr>
      <w:pStyle w:val="14"/>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839DFF">
                          <w:pPr>
                            <w:pStyle w:val="14"/>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4E839DFF">
                    <w:pPr>
                      <w:pStyle w:val="14"/>
                    </w:pPr>
                    <w:r>
                      <w:fldChar w:fldCharType="begin"/>
                    </w:r>
                    <w:r>
                      <w:instrText xml:space="preserve"> PAGE  \* MERGEFORMAT </w:instrText>
                    </w:r>
                    <w:r>
                      <w:fldChar w:fldCharType="separate"/>
                    </w:r>
                    <w:r>
                      <w:t>17</w:t>
                    </w:r>
                    <w:r>
                      <w:fldChar w:fldCharType="end"/>
                    </w:r>
                  </w:p>
                </w:txbxContent>
              </v:textbox>
            </v:shape>
          </w:pict>
        </mc:Fallback>
      </mc:AlternateContent>
    </w:r>
  </w:p>
  <w:p w14:paraId="79DD303D">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F6DC5">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CB0355">
                          <w:pPr>
                            <w:pStyle w:val="14"/>
                            <w:jc w:val="center"/>
                          </w:pPr>
                          <w:r>
                            <w:fldChar w:fldCharType="begin"/>
                          </w:r>
                          <w:r>
                            <w:instrText xml:space="preserve"> PAGE  \* MERGEFORMAT </w:instrText>
                          </w:r>
                          <w:r>
                            <w:fldChar w:fldCharType="separate"/>
                          </w:r>
                          <w:r>
                            <w:t>53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14:paraId="34CB0355">
                    <w:pPr>
                      <w:pStyle w:val="14"/>
                      <w:jc w:val="center"/>
                    </w:pPr>
                    <w:r>
                      <w:fldChar w:fldCharType="begin"/>
                    </w:r>
                    <w:r>
                      <w:instrText xml:space="preserve"> PAGE  \* MERGEFORMAT </w:instrText>
                    </w:r>
                    <w:r>
                      <w:fldChar w:fldCharType="separate"/>
                    </w:r>
                    <w:r>
                      <w:t>53</w:t>
                    </w:r>
                    <w:r>
                      <w:fldChar w:fldCharType="end"/>
                    </w:r>
                  </w:p>
                </w:txbxContent>
              </v:textbox>
            </v:shape>
          </w:pict>
        </mc:Fallback>
      </mc:AlternateContent>
    </w:r>
  </w:p>
  <w:p w14:paraId="7C379342">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8B860">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7E0D0A">
                          <w:pPr>
                            <w:pStyle w:val="14"/>
                            <w:jc w:val="center"/>
                          </w:pPr>
                          <w:r>
                            <w:fldChar w:fldCharType="begin"/>
                          </w:r>
                          <w:r>
                            <w:instrText xml:space="preserve"> PAGE  \* MERGEFORMAT </w:instrText>
                          </w:r>
                          <w:r>
                            <w:fldChar w:fldCharType="separate"/>
                          </w:r>
                          <w:r>
                            <w:t>102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47E0D0A">
                    <w:pPr>
                      <w:pStyle w:val="14"/>
                      <w:jc w:val="center"/>
                    </w:pPr>
                    <w:r>
                      <w:fldChar w:fldCharType="begin"/>
                    </w:r>
                    <w:r>
                      <w:instrText xml:space="preserve"> PAGE  \* MERGEFORMAT </w:instrText>
                    </w:r>
                    <w:r>
                      <w:fldChar w:fldCharType="separate"/>
                    </w:r>
                    <w:r>
                      <w:t>102</w:t>
                    </w:r>
                    <w:r>
                      <w:fldChar w:fldCharType="end"/>
                    </w:r>
                  </w:p>
                </w:txbxContent>
              </v:textbox>
            </v:shape>
          </w:pict>
        </mc:Fallback>
      </mc:AlternateContent>
    </w:r>
  </w:p>
  <w:p w14:paraId="5ABC7443">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CD4B9">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96E3DA">
                          <w:pPr>
                            <w:pStyle w:val="14"/>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3596E3DA">
                    <w:pPr>
                      <w:pStyle w:val="14"/>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A39C3">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17CFC">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15E08"/>
    <w:multiLevelType w:val="singleLevel"/>
    <w:tmpl w:val="A7215E08"/>
    <w:lvl w:ilvl="0" w:tentative="0">
      <w:start w:val="1"/>
      <w:numFmt w:val="decimal"/>
      <w:pStyle w:val="5"/>
      <w:lvlText w:val="%1."/>
      <w:lvlJc w:val="left"/>
      <w:pPr>
        <w:tabs>
          <w:tab w:val="left" w:pos="360"/>
        </w:tabs>
        <w:ind w:left="360" w:hanging="360"/>
      </w:pPr>
    </w:lvl>
  </w:abstractNum>
  <w:abstractNum w:abstractNumId="1">
    <w:nsid w:val="D9E1F716"/>
    <w:multiLevelType w:val="singleLevel"/>
    <w:tmpl w:val="D9E1F716"/>
    <w:lvl w:ilvl="0" w:tentative="0">
      <w:start w:val="1"/>
      <w:numFmt w:val="decimal"/>
      <w:suff w:val="nothing"/>
      <w:lvlText w:val="（%1）"/>
      <w:lvlJc w:val="left"/>
    </w:lvl>
  </w:abstractNum>
  <w:abstractNum w:abstractNumId="2">
    <w:nsid w:val="E88AC33F"/>
    <w:multiLevelType w:val="singleLevel"/>
    <w:tmpl w:val="E88AC33F"/>
    <w:lvl w:ilvl="0" w:tentative="0">
      <w:start w:val="1"/>
      <w:numFmt w:val="decimal"/>
      <w:suff w:val="space"/>
      <w:lvlText w:val="%1."/>
      <w:lvlJc w:val="left"/>
    </w:lvl>
  </w:abstractNum>
  <w:abstractNum w:abstractNumId="3">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7A6FF2EA"/>
    <w:multiLevelType w:val="singleLevel"/>
    <w:tmpl w:val="7A6FF2EA"/>
    <w:lvl w:ilvl="0" w:tentative="0">
      <w:start w:val="1"/>
      <w:numFmt w:val="decimal"/>
      <w:suff w:val="nothing"/>
      <w:lvlText w:val="（%1）"/>
      <w:lvlJc w:val="left"/>
    </w:lvl>
  </w:abstractNum>
  <w:num w:numId="1">
    <w:abstractNumId w:val="0"/>
  </w:num>
  <w:num w:numId="2">
    <w:abstractNumId w:val="1"/>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formatting="1" w:enforcement="1" w:cryptProviderType="rsaFull" w:cryptAlgorithmClass="hash" w:cryptAlgorithmType="typeAny" w:cryptAlgorithmSid="4" w:cryptSpinCount="0" w:hash="BlSlCixR1bVM92tWtGxgA8+X6hk=" w:salt="QkA+e/oju1yI86XE7wDqM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NWY5YmNlZmRiYmYzMDU0NzZlZDY1NzMzM2Q0NmIifQ=="/>
  </w:docVars>
  <w:rsids>
    <w:rsidRoot w:val="4F34462D"/>
    <w:rsid w:val="010A29DC"/>
    <w:rsid w:val="021D0C36"/>
    <w:rsid w:val="02943A90"/>
    <w:rsid w:val="03ED1FF1"/>
    <w:rsid w:val="07040B8F"/>
    <w:rsid w:val="07B72C94"/>
    <w:rsid w:val="082A2324"/>
    <w:rsid w:val="086A1FB2"/>
    <w:rsid w:val="097045FE"/>
    <w:rsid w:val="098B54A3"/>
    <w:rsid w:val="0A7C520D"/>
    <w:rsid w:val="0C1909D6"/>
    <w:rsid w:val="0E376AFE"/>
    <w:rsid w:val="0EEB43BB"/>
    <w:rsid w:val="10C67D8D"/>
    <w:rsid w:val="128B08DE"/>
    <w:rsid w:val="128D0AE9"/>
    <w:rsid w:val="133F0A67"/>
    <w:rsid w:val="14943E0F"/>
    <w:rsid w:val="14E4755D"/>
    <w:rsid w:val="15AE428B"/>
    <w:rsid w:val="15DD40F7"/>
    <w:rsid w:val="1743234C"/>
    <w:rsid w:val="178E1E6B"/>
    <w:rsid w:val="17A20CF4"/>
    <w:rsid w:val="18670EB6"/>
    <w:rsid w:val="195C76F5"/>
    <w:rsid w:val="19F16090"/>
    <w:rsid w:val="1AB31597"/>
    <w:rsid w:val="1AE3037C"/>
    <w:rsid w:val="1C202C5C"/>
    <w:rsid w:val="1E074A1B"/>
    <w:rsid w:val="1E3E386E"/>
    <w:rsid w:val="1EC5250C"/>
    <w:rsid w:val="21FB138D"/>
    <w:rsid w:val="220426D8"/>
    <w:rsid w:val="22F34F89"/>
    <w:rsid w:val="2357640C"/>
    <w:rsid w:val="239D1036"/>
    <w:rsid w:val="24074DC2"/>
    <w:rsid w:val="24A53360"/>
    <w:rsid w:val="250F2833"/>
    <w:rsid w:val="260D5FFF"/>
    <w:rsid w:val="27D1734C"/>
    <w:rsid w:val="28041684"/>
    <w:rsid w:val="28F6721F"/>
    <w:rsid w:val="298C22CD"/>
    <w:rsid w:val="2A57187A"/>
    <w:rsid w:val="2BA525D5"/>
    <w:rsid w:val="2C4C271D"/>
    <w:rsid w:val="2D7369A6"/>
    <w:rsid w:val="2DBF0527"/>
    <w:rsid w:val="2DED19B7"/>
    <w:rsid w:val="2E642E7C"/>
    <w:rsid w:val="2ED51684"/>
    <w:rsid w:val="2EDA313F"/>
    <w:rsid w:val="2F453233"/>
    <w:rsid w:val="30AD0B0B"/>
    <w:rsid w:val="310628F0"/>
    <w:rsid w:val="311A0CF9"/>
    <w:rsid w:val="31832FA6"/>
    <w:rsid w:val="34D86270"/>
    <w:rsid w:val="35E8670E"/>
    <w:rsid w:val="36022C46"/>
    <w:rsid w:val="36C41A21"/>
    <w:rsid w:val="36F01751"/>
    <w:rsid w:val="3736112E"/>
    <w:rsid w:val="384015BA"/>
    <w:rsid w:val="3845787B"/>
    <w:rsid w:val="3B4A4F14"/>
    <w:rsid w:val="3B5322AF"/>
    <w:rsid w:val="3E006810"/>
    <w:rsid w:val="3E0E40DB"/>
    <w:rsid w:val="3F264EDF"/>
    <w:rsid w:val="3F4211EE"/>
    <w:rsid w:val="3FA95343"/>
    <w:rsid w:val="3FE730CA"/>
    <w:rsid w:val="3FFF172A"/>
    <w:rsid w:val="414C55A4"/>
    <w:rsid w:val="417D5732"/>
    <w:rsid w:val="426E68BC"/>
    <w:rsid w:val="435666F2"/>
    <w:rsid w:val="43CD4BC8"/>
    <w:rsid w:val="45FE7DC0"/>
    <w:rsid w:val="460E295E"/>
    <w:rsid w:val="462E61DA"/>
    <w:rsid w:val="46713F31"/>
    <w:rsid w:val="46D97E27"/>
    <w:rsid w:val="47C50090"/>
    <w:rsid w:val="47EE6472"/>
    <w:rsid w:val="485B1AC3"/>
    <w:rsid w:val="48BE3EB0"/>
    <w:rsid w:val="4A520E1F"/>
    <w:rsid w:val="4BBE132D"/>
    <w:rsid w:val="4D0612FB"/>
    <w:rsid w:val="4E8D513E"/>
    <w:rsid w:val="4F1C1589"/>
    <w:rsid w:val="4F34462D"/>
    <w:rsid w:val="4F610FE6"/>
    <w:rsid w:val="4F6F70C9"/>
    <w:rsid w:val="50413B85"/>
    <w:rsid w:val="519A3BC6"/>
    <w:rsid w:val="52586AA6"/>
    <w:rsid w:val="52A64F62"/>
    <w:rsid w:val="52DA28FD"/>
    <w:rsid w:val="55872650"/>
    <w:rsid w:val="55ED55BD"/>
    <w:rsid w:val="58B379D3"/>
    <w:rsid w:val="5991500E"/>
    <w:rsid w:val="59950BD8"/>
    <w:rsid w:val="5A84202D"/>
    <w:rsid w:val="5AEF3F1B"/>
    <w:rsid w:val="5B21787C"/>
    <w:rsid w:val="5B597015"/>
    <w:rsid w:val="5BFFED3A"/>
    <w:rsid w:val="5CBD5946"/>
    <w:rsid w:val="5D221689"/>
    <w:rsid w:val="5D261179"/>
    <w:rsid w:val="5E0305A4"/>
    <w:rsid w:val="5F7679C4"/>
    <w:rsid w:val="5FA358D4"/>
    <w:rsid w:val="5FDF21AD"/>
    <w:rsid w:val="609A4746"/>
    <w:rsid w:val="627E06DC"/>
    <w:rsid w:val="65517436"/>
    <w:rsid w:val="65646CE3"/>
    <w:rsid w:val="66EF6A80"/>
    <w:rsid w:val="673718FE"/>
    <w:rsid w:val="67582877"/>
    <w:rsid w:val="67935787"/>
    <w:rsid w:val="68354966"/>
    <w:rsid w:val="696372B1"/>
    <w:rsid w:val="69CA7330"/>
    <w:rsid w:val="6A466ADA"/>
    <w:rsid w:val="6AAC3A12"/>
    <w:rsid w:val="6BC83A4C"/>
    <w:rsid w:val="6C0062C1"/>
    <w:rsid w:val="6D7F5D91"/>
    <w:rsid w:val="6DCE59E3"/>
    <w:rsid w:val="6F1751E2"/>
    <w:rsid w:val="6FC66C43"/>
    <w:rsid w:val="6FF796B8"/>
    <w:rsid w:val="70A865F9"/>
    <w:rsid w:val="71382720"/>
    <w:rsid w:val="71A7706E"/>
    <w:rsid w:val="720D141A"/>
    <w:rsid w:val="73547E0C"/>
    <w:rsid w:val="735C01A0"/>
    <w:rsid w:val="73A100AF"/>
    <w:rsid w:val="73F66D27"/>
    <w:rsid w:val="771F2A69"/>
    <w:rsid w:val="77FF98BF"/>
    <w:rsid w:val="78F515CA"/>
    <w:rsid w:val="7BBFE5AD"/>
    <w:rsid w:val="7DCF1BFE"/>
    <w:rsid w:val="7E4663BC"/>
    <w:rsid w:val="7E68119A"/>
    <w:rsid w:val="7F7FEAC7"/>
    <w:rsid w:val="7FDB63F4"/>
    <w:rsid w:val="BDE68257"/>
    <w:rsid w:val="E7756FFC"/>
    <w:rsid w:val="EDF314F9"/>
    <w:rsid w:val="FC984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576" w:lineRule="auto"/>
      <w:outlineLvl w:val="0"/>
    </w:pPr>
    <w:rPr>
      <w:rFonts w:ascii="Times New Roman" w:hAnsi="Times New Roman" w:eastAsia="宋体" w:cs="Times New Roman"/>
      <w:b/>
      <w:kern w:val="44"/>
      <w:sz w:val="32"/>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4">
    <w:name w:val="index 8"/>
    <w:basedOn w:val="1"/>
    <w:next w:val="1"/>
    <w:unhideWhenUsed/>
    <w:qFormat/>
    <w:uiPriority w:val="99"/>
    <w:pPr>
      <w:ind w:left="1400" w:leftChars="1400"/>
    </w:pPr>
  </w:style>
  <w:style w:type="paragraph" w:styleId="5">
    <w:name w:val="List Number"/>
    <w:basedOn w:val="1"/>
    <w:qFormat/>
    <w:uiPriority w:val="0"/>
    <w:pPr>
      <w:numPr>
        <w:ilvl w:val="0"/>
        <w:numId w:val="1"/>
      </w:numPr>
    </w:p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99"/>
    <w:pPr>
      <w:jc w:val="left"/>
    </w:pPr>
  </w:style>
  <w:style w:type="paragraph" w:styleId="8">
    <w:name w:val="Body Text 3"/>
    <w:basedOn w:val="1"/>
    <w:autoRedefine/>
    <w:unhideWhenUsed/>
    <w:qFormat/>
    <w:uiPriority w:val="99"/>
    <w:pPr>
      <w:spacing w:after="120"/>
    </w:pPr>
    <w:rPr>
      <w:sz w:val="16"/>
      <w:szCs w:val="16"/>
    </w:rPr>
  </w:style>
  <w:style w:type="paragraph" w:styleId="9">
    <w:name w:val="Body Text"/>
    <w:basedOn w:val="1"/>
    <w:autoRedefine/>
    <w:unhideWhenUsed/>
    <w:qFormat/>
    <w:uiPriority w:val="0"/>
    <w:pPr>
      <w:spacing w:after="120"/>
    </w:pPr>
  </w:style>
  <w:style w:type="paragraph" w:styleId="10">
    <w:name w:val="Body Text Indent"/>
    <w:basedOn w:val="1"/>
    <w:next w:val="11"/>
    <w:autoRedefine/>
    <w:qFormat/>
    <w:uiPriority w:val="0"/>
    <w:pPr>
      <w:ind w:firstLine="830" w:firstLineChars="352"/>
    </w:pPr>
    <w:rPr>
      <w:rFonts w:ascii="仿宋_GB2312" w:eastAsia="仿宋_GB2312"/>
      <w:kern w:val="0"/>
      <w:sz w:val="32"/>
      <w:szCs w:val="20"/>
    </w:rPr>
  </w:style>
  <w:style w:type="paragraph" w:styleId="11">
    <w:name w:val="envelope return"/>
    <w:basedOn w:val="1"/>
    <w:autoRedefine/>
    <w:qFormat/>
    <w:uiPriority w:val="0"/>
    <w:rPr>
      <w:rFonts w:ascii="Arial" w:hAnsi="Arial"/>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next w:val="1"/>
    <w:autoRedefine/>
    <w:qFormat/>
    <w:uiPriority w:val="0"/>
    <w:rPr>
      <w:rFonts w:ascii="宋体" w:hAnsi="Courier New"/>
      <w:kern w:val="0"/>
      <w:sz w:val="20"/>
      <w:szCs w:val="21"/>
    </w:rPr>
  </w:style>
  <w:style w:type="paragraph" w:styleId="14">
    <w:name w:val="footer"/>
    <w:basedOn w:val="1"/>
    <w:unhideWhenUsed/>
    <w:qFormat/>
    <w:uiPriority w:val="99"/>
    <w:pPr>
      <w:tabs>
        <w:tab w:val="center" w:pos="4153"/>
        <w:tab w:val="right" w:pos="8306"/>
      </w:tabs>
      <w:snapToGrid w:val="0"/>
      <w:jc w:val="left"/>
    </w:pPr>
    <w:rPr>
      <w:kern w:val="0"/>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style>
  <w:style w:type="paragraph" w:styleId="17">
    <w:name w:val="List"/>
    <w:basedOn w:val="1"/>
    <w:autoRedefine/>
    <w:unhideWhenUsed/>
    <w:qFormat/>
    <w:uiPriority w:val="99"/>
    <w:pPr>
      <w:ind w:left="200" w:hanging="200" w:hangingChars="200"/>
      <w:contextualSpacing/>
    </w:pPr>
  </w:style>
  <w:style w:type="paragraph" w:styleId="18">
    <w:name w:val="table of figures"/>
    <w:basedOn w:val="1"/>
    <w:next w:val="1"/>
    <w:qFormat/>
    <w:uiPriority w:val="0"/>
    <w:pPr>
      <w:ind w:left="200" w:leftChars="200" w:hanging="200" w:hangingChars="200"/>
    </w:pPr>
    <w:rPr>
      <w:rFonts w:ascii="Calibri" w:hAnsi="Calibri"/>
    </w:rPr>
  </w:style>
  <w:style w:type="paragraph" w:styleId="19">
    <w:name w:val="toc 2"/>
    <w:basedOn w:val="1"/>
    <w:next w:val="1"/>
    <w:unhideWhenUsed/>
    <w:qFormat/>
    <w:uiPriority w:val="39"/>
    <w:pPr>
      <w:tabs>
        <w:tab w:val="right" w:leader="dot" w:pos="8296"/>
      </w:tabs>
      <w:ind w:left="420" w:leftChars="200"/>
    </w:pPr>
  </w:style>
  <w:style w:type="paragraph" w:styleId="20">
    <w:name w:val="Title"/>
    <w:basedOn w:val="1"/>
    <w:next w:val="1"/>
    <w:qFormat/>
    <w:uiPriority w:val="0"/>
    <w:pPr>
      <w:spacing w:before="240" w:after="60"/>
      <w:ind w:firstLine="0" w:firstLineChars="0"/>
      <w:jc w:val="center"/>
      <w:outlineLvl w:val="0"/>
    </w:pPr>
    <w:rPr>
      <w:rFonts w:ascii="方正小标宋_GBK" w:hAnsi="方正小标宋_GBK" w:eastAsia="黑体" w:cs="Times New Roman"/>
      <w:b/>
      <w:bCs/>
      <w:sz w:val="36"/>
    </w:rPr>
  </w:style>
  <w:style w:type="character" w:styleId="23">
    <w:name w:val="Strong"/>
    <w:basedOn w:val="22"/>
    <w:qFormat/>
    <w:uiPriority w:val="0"/>
    <w:rPr>
      <w:b/>
    </w:rPr>
  </w:style>
  <w:style w:type="character" w:styleId="24">
    <w:name w:val="Hyperlink"/>
    <w:autoRedefine/>
    <w:unhideWhenUsed/>
    <w:qFormat/>
    <w:uiPriority w:val="99"/>
    <w:rPr>
      <w:color w:val="0000FF"/>
      <w:u w:val="single"/>
    </w:rPr>
  </w:style>
  <w:style w:type="character" w:customStyle="1" w:styleId="25">
    <w:name w:val="批注文字 Char1"/>
    <w:qFormat/>
    <w:uiPriority w:val="0"/>
    <w:rPr>
      <w:rFonts w:ascii="Times New Roman" w:hAnsi="Times New Roman"/>
      <w:kern w:val="2"/>
      <w:sz w:val="21"/>
      <w:szCs w:val="24"/>
    </w:rPr>
  </w:style>
  <w:style w:type="paragraph" w:customStyle="1" w:styleId="2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正文"/>
    <w:basedOn w:val="1"/>
    <w:qFormat/>
    <w:uiPriority w:val="0"/>
    <w:pPr>
      <w:spacing w:line="360" w:lineRule="auto"/>
      <w:ind w:firstLine="200" w:firstLineChars="200"/>
      <w:jc w:val="left"/>
    </w:pPr>
    <w:rPr>
      <w:sz w:val="24"/>
    </w:rPr>
  </w:style>
  <w:style w:type="paragraph" w:customStyle="1" w:styleId="28">
    <w:name w:val="正文2"/>
    <w:basedOn w:val="1"/>
    <w:qFormat/>
    <w:uiPriority w:val="0"/>
    <w:pPr>
      <w:adjustRightInd w:val="0"/>
      <w:spacing w:before="156" w:line="360" w:lineRule="auto"/>
      <w:ind w:firstLine="510" w:firstLineChars="200"/>
    </w:pPr>
    <w:rPr>
      <w:kern w:val="0"/>
      <w:sz w:val="24"/>
      <w:szCs w:val="20"/>
    </w:rPr>
  </w:style>
  <w:style w:type="paragraph" w:customStyle="1" w:styleId="29">
    <w:name w:val="Body text|2"/>
    <w:basedOn w:val="1"/>
    <w:qFormat/>
    <w:uiPriority w:val="0"/>
    <w:pPr>
      <w:spacing w:line="388" w:lineRule="auto"/>
      <w:ind w:firstLine="220"/>
      <w:jc w:val="left"/>
    </w:pPr>
    <w:rPr>
      <w:rFonts w:ascii="宋体" w:hAnsi="宋体" w:cs="宋体"/>
      <w:color w:val="000000"/>
      <w:kern w:val="0"/>
      <w:sz w:val="20"/>
      <w:szCs w:val="20"/>
      <w:lang w:val="zh-TW" w:eastAsia="zh-TW" w:bidi="zh-TW"/>
    </w:rPr>
  </w:style>
  <w:style w:type="paragraph" w:customStyle="1" w:styleId="3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1">
    <w:name w:val="正文缩进1"/>
    <w:basedOn w:val="1"/>
    <w:next w:val="10"/>
    <w:qFormat/>
    <w:uiPriority w:val="0"/>
    <w:pPr>
      <w:autoSpaceDE w:val="0"/>
      <w:autoSpaceDN w:val="0"/>
      <w:adjustRightInd w:val="0"/>
      <w:snapToGrid w:val="0"/>
      <w:spacing w:after="120" w:line="360" w:lineRule="auto"/>
      <w:ind w:left="420" w:leftChars="200" w:firstLine="480" w:firstLineChars="200"/>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101</Pages>
  <Words>48861</Words>
  <Characters>52322</Characters>
  <Lines>0</Lines>
  <Paragraphs>0</Paragraphs>
  <TotalTime>13</TotalTime>
  <ScaleCrop>false</ScaleCrop>
  <LinksUpToDate>false</LinksUpToDate>
  <CharactersWithSpaces>59288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2024-05-07T07:52:00Z</dcterms:created>
  <dc:creator>.</dc:creator>
  <cp:lastModifiedBy>no  umbrella</cp:lastModifiedBy>
  <dcterms:modified xsi:type="dcterms:W3CDTF">2025-08-01T07:50:55Z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7EF865C63A044CFCAE7F6FCBD6681251_13</vt:lpwstr>
  </property>
  <property fmtid="{D5CDD505-2E9C-101B-9397-08002B2CF9AE}" pid="4" name="KSOTemplateDocerSaveRecord">
    <vt:lpwstr>eyJoZGlkIjoiNzBiOTFhODhhODQ5MGE1NjQ3NjcyY2IzYTY3ZGMxNDUiLCJ1c2VySWQiOiIxMjU4NzUyMzk1In0=</vt:lpwstr>
  </property>
</Properties>
</file>